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AC5A3" w14:textId="77777777" w:rsidR="0032633A" w:rsidRPr="00D14C15" w:rsidRDefault="00727073" w:rsidP="0032633A">
      <w:pPr>
        <w:jc w:val="center"/>
        <w:rPr>
          <w:sz w:val="28"/>
          <w:lang w:val="en-GB"/>
        </w:rPr>
      </w:pPr>
      <w:r>
        <w:rPr>
          <w:sz w:val="28"/>
          <w:lang w:val="en-GB"/>
        </w:rPr>
        <w:t xml:space="preserve">  </w:t>
      </w:r>
    </w:p>
    <w:p w14:paraId="0D1CCF24" w14:textId="77777777" w:rsidR="0032633A" w:rsidRPr="00D14C15" w:rsidRDefault="0032633A" w:rsidP="0032633A">
      <w:pPr>
        <w:jc w:val="center"/>
        <w:rPr>
          <w:lang w:val="en-GB"/>
        </w:rPr>
      </w:pPr>
      <w:r w:rsidRPr="00D14C15">
        <w:rPr>
          <w:noProof/>
          <w:lang w:val="sl-SI"/>
        </w:rPr>
        <w:drawing>
          <wp:inline distT="0" distB="0" distL="0" distR="0" wp14:anchorId="44230680" wp14:editId="0EBD270F">
            <wp:extent cx="4104136" cy="11290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8">
                      <a:extLst>
                        <a:ext uri="{28A0092B-C50C-407E-A947-70E740481C1C}">
                          <a14:useLocalDpi xmlns:a14="http://schemas.microsoft.com/office/drawing/2010/main" val="0"/>
                        </a:ext>
                      </a:extLst>
                    </a:blip>
                    <a:stretch>
                      <a:fillRect/>
                    </a:stretch>
                  </pic:blipFill>
                  <pic:spPr>
                    <a:xfrm>
                      <a:off x="0" y="0"/>
                      <a:ext cx="4104136" cy="1129030"/>
                    </a:xfrm>
                    <a:prstGeom prst="rect">
                      <a:avLst/>
                    </a:prstGeom>
                  </pic:spPr>
                </pic:pic>
              </a:graphicData>
            </a:graphic>
          </wp:inline>
        </w:drawing>
      </w:r>
    </w:p>
    <w:p w14:paraId="25435226" w14:textId="77777777" w:rsidR="0032633A" w:rsidRPr="00D14C15" w:rsidRDefault="0032633A" w:rsidP="0032633A">
      <w:pPr>
        <w:jc w:val="center"/>
        <w:rPr>
          <w:rFonts w:ascii="Cambria" w:hAnsi="Cambria"/>
          <w:sz w:val="28"/>
          <w:szCs w:val="28"/>
          <w:lang w:val="en-GB"/>
        </w:rPr>
      </w:pPr>
    </w:p>
    <w:p w14:paraId="22B34CE1" w14:textId="77777777" w:rsidR="0032633A" w:rsidRPr="00D14C15" w:rsidRDefault="0032633A" w:rsidP="0032633A">
      <w:pPr>
        <w:jc w:val="center"/>
        <w:rPr>
          <w:rFonts w:ascii="Cambria" w:hAnsi="Cambria"/>
          <w:sz w:val="28"/>
          <w:szCs w:val="28"/>
          <w:lang w:val="en-GB"/>
        </w:rPr>
      </w:pPr>
    </w:p>
    <w:p w14:paraId="53991BBE" w14:textId="77777777" w:rsidR="0032633A" w:rsidRPr="00D14C15" w:rsidRDefault="0032633A" w:rsidP="0032633A">
      <w:pPr>
        <w:jc w:val="center"/>
        <w:rPr>
          <w:rFonts w:ascii="Cambria" w:hAnsi="Cambria"/>
          <w:sz w:val="28"/>
          <w:szCs w:val="28"/>
          <w:lang w:val="en-GB"/>
        </w:rPr>
      </w:pPr>
    </w:p>
    <w:p w14:paraId="33CA3738" w14:textId="77777777" w:rsidR="0032633A" w:rsidRPr="00D14C15" w:rsidRDefault="0032633A" w:rsidP="0032633A">
      <w:pPr>
        <w:jc w:val="center"/>
        <w:rPr>
          <w:rFonts w:ascii="Cambria" w:hAnsi="Cambria"/>
          <w:sz w:val="28"/>
          <w:szCs w:val="28"/>
          <w:lang w:val="en-GB"/>
        </w:rPr>
      </w:pPr>
    </w:p>
    <w:p w14:paraId="6FB52819" w14:textId="77777777" w:rsidR="0032633A" w:rsidRPr="00D14C15" w:rsidRDefault="0032633A" w:rsidP="0032633A">
      <w:pPr>
        <w:jc w:val="center"/>
        <w:rPr>
          <w:rFonts w:ascii="Cambria" w:hAnsi="Cambria"/>
          <w:sz w:val="28"/>
          <w:szCs w:val="28"/>
          <w:lang w:val="en-GB"/>
        </w:rPr>
      </w:pPr>
    </w:p>
    <w:p w14:paraId="13D02F3C" w14:textId="77777777" w:rsidR="0032633A" w:rsidRPr="00D14C15" w:rsidRDefault="0032633A" w:rsidP="0032633A">
      <w:pPr>
        <w:jc w:val="center"/>
        <w:rPr>
          <w:rFonts w:ascii="Cambria" w:hAnsi="Cambria"/>
          <w:sz w:val="28"/>
          <w:szCs w:val="28"/>
          <w:lang w:val="en-GB"/>
        </w:rPr>
      </w:pPr>
    </w:p>
    <w:p w14:paraId="34B0D6DB" w14:textId="77777777" w:rsidR="0032633A" w:rsidRPr="00D14C15" w:rsidRDefault="0032633A" w:rsidP="0032633A">
      <w:pPr>
        <w:jc w:val="center"/>
        <w:rPr>
          <w:rFonts w:ascii="Cambria" w:hAnsi="Cambria"/>
          <w:sz w:val="28"/>
          <w:szCs w:val="28"/>
          <w:lang w:val="en-GB"/>
        </w:rPr>
      </w:pPr>
    </w:p>
    <w:p w14:paraId="7F2F6306" w14:textId="77777777" w:rsidR="0032633A" w:rsidRPr="00D14C15" w:rsidRDefault="0032633A" w:rsidP="0032633A">
      <w:pPr>
        <w:jc w:val="center"/>
        <w:rPr>
          <w:rFonts w:ascii="Cambria" w:hAnsi="Cambria"/>
          <w:sz w:val="28"/>
          <w:szCs w:val="28"/>
          <w:lang w:val="en-GB"/>
        </w:rPr>
      </w:pPr>
    </w:p>
    <w:p w14:paraId="57F6EAB8" w14:textId="77777777" w:rsidR="0032633A" w:rsidRPr="00D14C15" w:rsidRDefault="0032633A" w:rsidP="0032633A">
      <w:pPr>
        <w:jc w:val="center"/>
        <w:rPr>
          <w:rFonts w:ascii="Cambria" w:hAnsi="Cambria"/>
          <w:sz w:val="28"/>
          <w:szCs w:val="28"/>
          <w:lang w:val="en-GB"/>
        </w:rPr>
      </w:pPr>
    </w:p>
    <w:p w14:paraId="36977354" w14:textId="77777777" w:rsidR="0032633A" w:rsidRPr="00D14C15" w:rsidRDefault="000F5298" w:rsidP="0032633A">
      <w:pPr>
        <w:jc w:val="center"/>
        <w:rPr>
          <w:rFonts w:cs="Arial"/>
          <w:b/>
          <w:bCs/>
          <w:color w:val="2E74B5" w:themeColor="accent1" w:themeShade="BF"/>
          <w:sz w:val="48"/>
          <w:szCs w:val="48"/>
          <w:lang w:val="en-GB"/>
        </w:rPr>
      </w:pPr>
      <w:r>
        <w:rPr>
          <w:rFonts w:cs="Arial"/>
          <w:b/>
          <w:bCs/>
          <w:color w:val="2E74B5" w:themeColor="accent1" w:themeShade="BF"/>
          <w:sz w:val="48"/>
          <w:szCs w:val="48"/>
          <w:lang w:val="en-GB"/>
        </w:rPr>
        <w:t xml:space="preserve">Slovenia’s </w:t>
      </w:r>
      <w:r w:rsidR="008100E2">
        <w:rPr>
          <w:rFonts w:cs="Arial"/>
          <w:b/>
          <w:bCs/>
          <w:color w:val="2E74B5" w:themeColor="accent1" w:themeShade="BF"/>
          <w:sz w:val="48"/>
          <w:szCs w:val="48"/>
          <w:lang w:val="en-GB"/>
        </w:rPr>
        <w:t xml:space="preserve">EU </w:t>
      </w:r>
      <w:r>
        <w:rPr>
          <w:rFonts w:cs="Arial"/>
          <w:b/>
          <w:bCs/>
          <w:color w:val="2E74B5" w:themeColor="accent1" w:themeShade="BF"/>
          <w:sz w:val="48"/>
          <w:szCs w:val="48"/>
          <w:lang w:val="en-GB"/>
        </w:rPr>
        <w:t xml:space="preserve">Cohesion Policy Programme </w:t>
      </w:r>
      <w:r w:rsidR="0032633A" w:rsidRPr="00D14C15">
        <w:rPr>
          <w:rFonts w:cs="Arial"/>
          <w:b/>
          <w:bCs/>
          <w:color w:val="2E74B5" w:themeColor="accent1" w:themeShade="BF"/>
          <w:sz w:val="48"/>
          <w:szCs w:val="48"/>
          <w:lang w:val="en-GB"/>
        </w:rPr>
        <w:t>2021-2027</w:t>
      </w:r>
    </w:p>
    <w:p w14:paraId="6B30393A" w14:textId="77777777" w:rsidR="0032633A" w:rsidRPr="00D14C15" w:rsidRDefault="0032633A" w:rsidP="0032633A">
      <w:pPr>
        <w:jc w:val="center"/>
        <w:rPr>
          <w:rFonts w:cs="Arial"/>
          <w:b/>
          <w:color w:val="2E74B5" w:themeColor="accent1" w:themeShade="BF"/>
          <w:sz w:val="48"/>
          <w:szCs w:val="48"/>
          <w:lang w:val="en-GB"/>
        </w:rPr>
      </w:pPr>
    </w:p>
    <w:p w14:paraId="34104C80" w14:textId="77777777" w:rsidR="0032633A" w:rsidRPr="00D14C15" w:rsidRDefault="0032633A" w:rsidP="0032633A">
      <w:pPr>
        <w:jc w:val="center"/>
        <w:rPr>
          <w:rFonts w:cs="Arial"/>
          <w:color w:val="2E74B5" w:themeColor="accent1" w:themeShade="BF"/>
          <w:sz w:val="32"/>
          <w:szCs w:val="32"/>
          <w:lang w:val="en-GB"/>
        </w:rPr>
      </w:pPr>
    </w:p>
    <w:p w14:paraId="705389A9" w14:textId="77777777" w:rsidR="0032633A" w:rsidRPr="00D14C15" w:rsidRDefault="0032633A" w:rsidP="0032633A">
      <w:pPr>
        <w:jc w:val="center"/>
        <w:rPr>
          <w:rFonts w:cs="Arial"/>
          <w:color w:val="2E74B5" w:themeColor="accent1" w:themeShade="BF"/>
          <w:sz w:val="32"/>
          <w:szCs w:val="32"/>
          <w:lang w:val="en-GB"/>
        </w:rPr>
      </w:pPr>
    </w:p>
    <w:p w14:paraId="4FD51D51" w14:textId="77777777" w:rsidR="0032633A" w:rsidRPr="00D14C15" w:rsidRDefault="0032633A" w:rsidP="0032633A">
      <w:pPr>
        <w:jc w:val="center"/>
        <w:rPr>
          <w:rFonts w:cs="Arial"/>
          <w:color w:val="2E74B5" w:themeColor="accent1" w:themeShade="BF"/>
          <w:sz w:val="28"/>
          <w:szCs w:val="28"/>
          <w:lang w:val="en-GB"/>
        </w:rPr>
      </w:pPr>
    </w:p>
    <w:p w14:paraId="3DD28F42" w14:textId="77777777" w:rsidR="0032633A" w:rsidRPr="00D14C15" w:rsidRDefault="0032633A" w:rsidP="0032633A">
      <w:pPr>
        <w:jc w:val="center"/>
        <w:rPr>
          <w:rFonts w:ascii="Cambria" w:hAnsi="Cambria"/>
          <w:color w:val="2E74B5" w:themeColor="accent1" w:themeShade="BF"/>
          <w:sz w:val="28"/>
          <w:szCs w:val="28"/>
          <w:lang w:val="en-GB"/>
        </w:rPr>
      </w:pPr>
    </w:p>
    <w:p w14:paraId="51CEA0DB" w14:textId="77777777" w:rsidR="0032633A" w:rsidRPr="00D14C15" w:rsidRDefault="0032633A" w:rsidP="0032633A">
      <w:pPr>
        <w:jc w:val="center"/>
        <w:rPr>
          <w:rFonts w:ascii="Cambria" w:hAnsi="Cambria"/>
          <w:color w:val="2E74B5" w:themeColor="accent1" w:themeShade="BF"/>
          <w:sz w:val="28"/>
          <w:szCs w:val="28"/>
          <w:lang w:val="en-GB"/>
        </w:rPr>
      </w:pPr>
    </w:p>
    <w:p w14:paraId="7EFDCF24" w14:textId="77777777" w:rsidR="0032633A" w:rsidRPr="00D14C15" w:rsidRDefault="0032633A" w:rsidP="0032633A">
      <w:pPr>
        <w:jc w:val="center"/>
        <w:rPr>
          <w:rFonts w:ascii="Cambria" w:hAnsi="Cambria"/>
          <w:color w:val="2E74B5" w:themeColor="accent1" w:themeShade="BF"/>
          <w:sz w:val="28"/>
          <w:szCs w:val="28"/>
          <w:lang w:val="en-GB"/>
        </w:rPr>
      </w:pPr>
    </w:p>
    <w:p w14:paraId="6A009342" w14:textId="77777777" w:rsidR="0032633A" w:rsidRPr="00D14C15" w:rsidRDefault="0032633A" w:rsidP="0032633A">
      <w:pPr>
        <w:jc w:val="center"/>
        <w:rPr>
          <w:rFonts w:ascii="Cambria" w:hAnsi="Cambria"/>
          <w:color w:val="2E74B5" w:themeColor="accent1" w:themeShade="BF"/>
          <w:sz w:val="28"/>
          <w:szCs w:val="28"/>
          <w:lang w:val="en-GB"/>
        </w:rPr>
      </w:pPr>
    </w:p>
    <w:p w14:paraId="331E3C7E" w14:textId="77777777" w:rsidR="0032633A" w:rsidRPr="00D14C15" w:rsidRDefault="0032633A" w:rsidP="0032633A">
      <w:pPr>
        <w:jc w:val="center"/>
        <w:rPr>
          <w:rFonts w:ascii="Cambria" w:hAnsi="Cambria"/>
          <w:color w:val="2E74B5" w:themeColor="accent1" w:themeShade="BF"/>
          <w:sz w:val="28"/>
          <w:szCs w:val="28"/>
          <w:lang w:val="en-GB"/>
        </w:rPr>
      </w:pPr>
    </w:p>
    <w:p w14:paraId="2A038EBB" w14:textId="77777777" w:rsidR="0032633A" w:rsidRPr="00D14C15" w:rsidRDefault="0032633A" w:rsidP="0032633A">
      <w:pPr>
        <w:jc w:val="center"/>
        <w:rPr>
          <w:rFonts w:ascii="Cambria" w:hAnsi="Cambria"/>
          <w:color w:val="2E74B5" w:themeColor="accent1" w:themeShade="BF"/>
          <w:sz w:val="28"/>
          <w:szCs w:val="28"/>
          <w:lang w:val="en-GB"/>
        </w:rPr>
      </w:pPr>
    </w:p>
    <w:p w14:paraId="6587776B" w14:textId="77777777" w:rsidR="0032633A" w:rsidRPr="00D14C15" w:rsidRDefault="0032633A" w:rsidP="0032633A">
      <w:pPr>
        <w:jc w:val="center"/>
        <w:rPr>
          <w:rFonts w:ascii="Cambria" w:hAnsi="Cambria"/>
          <w:color w:val="2E74B5" w:themeColor="accent1" w:themeShade="BF"/>
          <w:sz w:val="28"/>
          <w:szCs w:val="28"/>
          <w:lang w:val="en-GB"/>
        </w:rPr>
      </w:pPr>
    </w:p>
    <w:p w14:paraId="18FD3BC2" w14:textId="77777777" w:rsidR="0032633A" w:rsidRPr="00D14C15" w:rsidRDefault="0032633A" w:rsidP="0032633A">
      <w:pPr>
        <w:jc w:val="center"/>
        <w:rPr>
          <w:rFonts w:ascii="Cambria" w:hAnsi="Cambria"/>
          <w:color w:val="2E74B5" w:themeColor="accent1" w:themeShade="BF"/>
          <w:sz w:val="28"/>
          <w:szCs w:val="28"/>
          <w:lang w:val="en-GB"/>
        </w:rPr>
      </w:pPr>
    </w:p>
    <w:p w14:paraId="45EA4CEE" w14:textId="77777777" w:rsidR="0032633A" w:rsidRPr="00D14C15" w:rsidRDefault="00372F31" w:rsidP="0032633A">
      <w:pPr>
        <w:jc w:val="center"/>
        <w:rPr>
          <w:rFonts w:cs="Arial"/>
          <w:color w:val="2E74B5" w:themeColor="accent1" w:themeShade="BF"/>
          <w:sz w:val="32"/>
          <w:szCs w:val="32"/>
          <w:lang w:val="en-GB"/>
        </w:rPr>
      </w:pPr>
      <w:r>
        <w:rPr>
          <w:rFonts w:cs="Arial"/>
          <w:color w:val="2E74B5" w:themeColor="accent1" w:themeShade="BF"/>
          <w:sz w:val="32"/>
          <w:szCs w:val="32"/>
          <w:lang w:val="en-GB"/>
        </w:rPr>
        <w:t>Ljubljana, D</w:t>
      </w:r>
      <w:r w:rsidR="0032633A" w:rsidRPr="00D14C15">
        <w:rPr>
          <w:rFonts w:cs="Arial"/>
          <w:color w:val="2E74B5" w:themeColor="accent1" w:themeShade="BF"/>
          <w:sz w:val="32"/>
          <w:szCs w:val="32"/>
          <w:lang w:val="en-GB"/>
        </w:rPr>
        <w:t>ecember 2022</w:t>
      </w:r>
    </w:p>
    <w:p w14:paraId="48961CEE" w14:textId="77777777" w:rsidR="0032633A" w:rsidRPr="00D14C15" w:rsidRDefault="0032633A" w:rsidP="0032633A">
      <w:pPr>
        <w:jc w:val="center"/>
        <w:rPr>
          <w:rFonts w:cs="Arial"/>
          <w:color w:val="2E74B5" w:themeColor="accent1" w:themeShade="BF"/>
          <w:sz w:val="28"/>
          <w:szCs w:val="28"/>
          <w:lang w:val="en-GB"/>
        </w:rPr>
      </w:pPr>
    </w:p>
    <w:p w14:paraId="41E0A177" w14:textId="77777777" w:rsidR="0032633A" w:rsidRPr="00D14C15" w:rsidRDefault="00372F31" w:rsidP="0032633A">
      <w:pPr>
        <w:jc w:val="center"/>
        <w:rPr>
          <w:rFonts w:cs="Arial"/>
          <w:color w:val="2E74B5" w:themeColor="accent1" w:themeShade="BF"/>
          <w:sz w:val="32"/>
          <w:szCs w:val="32"/>
          <w:lang w:val="en-GB"/>
        </w:rPr>
      </w:pPr>
      <w:r>
        <w:rPr>
          <w:rFonts w:cs="Arial"/>
          <w:color w:val="2E74B5" w:themeColor="accent1" w:themeShade="BF"/>
          <w:sz w:val="32"/>
          <w:szCs w:val="32"/>
          <w:lang w:val="en-GB"/>
        </w:rPr>
        <w:t>Version</w:t>
      </w:r>
      <w:r w:rsidR="0032633A" w:rsidRPr="00D14C15">
        <w:rPr>
          <w:rFonts w:cs="Arial"/>
          <w:color w:val="2E74B5" w:themeColor="accent1" w:themeShade="BF"/>
          <w:sz w:val="32"/>
          <w:szCs w:val="32"/>
          <w:lang w:val="en-GB"/>
        </w:rPr>
        <w:t xml:space="preserve"> 4.2.2</w:t>
      </w:r>
    </w:p>
    <w:p w14:paraId="619F2540" w14:textId="77777777" w:rsidR="0032633A" w:rsidRPr="00D14C15" w:rsidRDefault="0032633A" w:rsidP="0032633A">
      <w:pPr>
        <w:jc w:val="center"/>
        <w:rPr>
          <w:rFonts w:cs="Arial"/>
          <w:color w:val="2E74B5" w:themeColor="accent1" w:themeShade="BF"/>
          <w:sz w:val="28"/>
          <w:szCs w:val="28"/>
          <w:lang w:val="en-GB"/>
        </w:rPr>
      </w:pPr>
    </w:p>
    <w:p w14:paraId="3164EBFB" w14:textId="77777777" w:rsidR="0032633A" w:rsidRPr="00D14C15" w:rsidRDefault="0032633A" w:rsidP="0032633A">
      <w:pPr>
        <w:jc w:val="both"/>
        <w:rPr>
          <w:rFonts w:ascii="Cambria" w:hAnsi="Cambria"/>
          <w:color w:val="2E74B5" w:themeColor="accent1" w:themeShade="BF"/>
          <w:sz w:val="28"/>
          <w:szCs w:val="28"/>
          <w:lang w:val="en-GB"/>
        </w:rPr>
      </w:pPr>
    </w:p>
    <w:p w14:paraId="07BDCCF6" w14:textId="77777777" w:rsidR="0032633A" w:rsidRPr="00D14C15" w:rsidRDefault="0032633A" w:rsidP="0032633A">
      <w:pPr>
        <w:rPr>
          <w:color w:val="2E74B5" w:themeColor="accent1" w:themeShade="BF"/>
          <w:lang w:val="en-GB"/>
        </w:rPr>
      </w:pPr>
      <w:r w:rsidRPr="00D14C15">
        <w:rPr>
          <w:color w:val="2E74B5" w:themeColor="accent1" w:themeShade="BF"/>
          <w:lang w:val="en-GB"/>
        </w:rPr>
        <w:br w:type="page"/>
      </w:r>
    </w:p>
    <w:p w14:paraId="176CA581" w14:textId="77777777" w:rsidR="0032633A" w:rsidRPr="00D14C15" w:rsidRDefault="00372F31" w:rsidP="0032633A">
      <w:pPr>
        <w:rPr>
          <w:b/>
          <w:color w:val="2E74B5" w:themeColor="accent1" w:themeShade="BF"/>
          <w:sz w:val="28"/>
          <w:szCs w:val="28"/>
          <w:lang w:val="en-GB"/>
        </w:rPr>
      </w:pPr>
      <w:r>
        <w:rPr>
          <w:b/>
          <w:color w:val="2E74B5" w:themeColor="accent1" w:themeShade="BF"/>
          <w:sz w:val="28"/>
          <w:szCs w:val="28"/>
          <w:lang w:val="en-GB"/>
        </w:rPr>
        <w:lastRenderedPageBreak/>
        <w:t>Table of contents</w:t>
      </w:r>
      <w:bookmarkStart w:id="0" w:name="_GoBack"/>
      <w:bookmarkEnd w:id="0"/>
    </w:p>
    <w:p w14:paraId="3E15F8D1" w14:textId="77777777" w:rsidR="0032633A" w:rsidRPr="00D14C15" w:rsidRDefault="0032633A" w:rsidP="0032633A">
      <w:pPr>
        <w:widowControl/>
        <w:tabs>
          <w:tab w:val="right" w:leader="dot" w:pos="9062"/>
        </w:tabs>
        <w:autoSpaceDE/>
        <w:autoSpaceDN/>
        <w:ind w:left="220"/>
        <w:rPr>
          <w:rFonts w:eastAsia="Calibri"/>
          <w:color w:val="2E74B5" w:themeColor="accent1" w:themeShade="BF"/>
          <w:highlight w:val="yellow"/>
          <w:lang w:val="en-GB"/>
        </w:rPr>
      </w:pPr>
    </w:p>
    <w:p w14:paraId="33287D6A" w14:textId="1B618026" w:rsidR="00425F22" w:rsidRDefault="0032633A">
      <w:pPr>
        <w:pStyle w:val="Kazalovsebine1"/>
        <w:rPr>
          <w:rFonts w:asciiTheme="minorHAnsi" w:hAnsiTheme="minorHAnsi" w:cstheme="minorBidi"/>
          <w:b w:val="0"/>
          <w:noProof/>
          <w:sz w:val="22"/>
          <w:szCs w:val="22"/>
          <w:lang w:val="sl-SI"/>
        </w:rPr>
      </w:pPr>
      <w:r w:rsidRPr="00D14C15">
        <w:rPr>
          <w:rFonts w:eastAsia="Calibri"/>
          <w:color w:val="2E74B5" w:themeColor="accent1" w:themeShade="BF"/>
          <w:highlight w:val="yellow"/>
          <w:lang w:val="en-GB"/>
        </w:rPr>
        <w:fldChar w:fldCharType="begin"/>
      </w:r>
      <w:r w:rsidRPr="00D14C15">
        <w:rPr>
          <w:rFonts w:eastAsia="Calibri"/>
          <w:color w:val="2E74B5" w:themeColor="accent1" w:themeShade="BF"/>
          <w:highlight w:val="yellow"/>
          <w:lang w:val="en-GB"/>
        </w:rPr>
        <w:instrText xml:space="preserve"> TOC \o "1-4" \h \z \u </w:instrText>
      </w:r>
      <w:r w:rsidRPr="00D14C15">
        <w:rPr>
          <w:rFonts w:eastAsia="Calibri"/>
          <w:color w:val="2E74B5" w:themeColor="accent1" w:themeShade="BF"/>
          <w:highlight w:val="yellow"/>
          <w:lang w:val="en-GB"/>
        </w:rPr>
        <w:fldChar w:fldCharType="separate"/>
      </w:r>
      <w:hyperlink w:anchor="_Toc131161691" w:history="1">
        <w:r w:rsidR="00425F22" w:rsidRPr="00062C01">
          <w:rPr>
            <w:rStyle w:val="Hiperpovezava"/>
            <w:noProof/>
            <w:lang w:val="en-GB"/>
          </w:rPr>
          <w:t>Information about the programme</w:t>
        </w:r>
        <w:r w:rsidR="00425F22">
          <w:rPr>
            <w:noProof/>
            <w:webHidden/>
          </w:rPr>
          <w:tab/>
        </w:r>
        <w:r w:rsidR="00425F22">
          <w:rPr>
            <w:noProof/>
            <w:webHidden/>
          </w:rPr>
          <w:fldChar w:fldCharType="begin"/>
        </w:r>
        <w:r w:rsidR="00425F22">
          <w:rPr>
            <w:noProof/>
            <w:webHidden/>
          </w:rPr>
          <w:instrText xml:space="preserve"> PAGEREF _Toc131161691 \h </w:instrText>
        </w:r>
        <w:r w:rsidR="00425F22">
          <w:rPr>
            <w:noProof/>
            <w:webHidden/>
          </w:rPr>
        </w:r>
        <w:r w:rsidR="00425F22">
          <w:rPr>
            <w:noProof/>
            <w:webHidden/>
          </w:rPr>
          <w:fldChar w:fldCharType="separate"/>
        </w:r>
        <w:r w:rsidR="00425F22">
          <w:rPr>
            <w:noProof/>
            <w:webHidden/>
          </w:rPr>
          <w:t>7</w:t>
        </w:r>
        <w:r w:rsidR="00425F22">
          <w:rPr>
            <w:noProof/>
            <w:webHidden/>
          </w:rPr>
          <w:fldChar w:fldCharType="end"/>
        </w:r>
      </w:hyperlink>
    </w:p>
    <w:p w14:paraId="336011DE" w14:textId="75776249" w:rsidR="00425F22" w:rsidRDefault="00425F22">
      <w:pPr>
        <w:pStyle w:val="Kazalovsebine1"/>
        <w:rPr>
          <w:rFonts w:asciiTheme="minorHAnsi" w:hAnsiTheme="minorHAnsi" w:cstheme="minorBidi"/>
          <w:b w:val="0"/>
          <w:noProof/>
          <w:sz w:val="22"/>
          <w:szCs w:val="22"/>
          <w:lang w:val="sl-SI"/>
        </w:rPr>
      </w:pPr>
      <w:hyperlink w:anchor="_Toc131161692" w:history="1">
        <w:r w:rsidRPr="00062C01">
          <w:rPr>
            <w:rStyle w:val="Hiperpovezava"/>
            <w:noProof/>
            <w:lang w:val="en-GB"/>
          </w:rPr>
          <w:t>1</w:t>
        </w:r>
        <w:r>
          <w:rPr>
            <w:rFonts w:asciiTheme="minorHAnsi" w:hAnsiTheme="minorHAnsi" w:cstheme="minorBidi"/>
            <w:b w:val="0"/>
            <w:noProof/>
            <w:sz w:val="22"/>
            <w:szCs w:val="22"/>
            <w:lang w:val="sl-SI"/>
          </w:rPr>
          <w:tab/>
        </w:r>
        <w:r w:rsidRPr="00062C01">
          <w:rPr>
            <w:rStyle w:val="Hiperpovezava"/>
            <w:noProof/>
            <w:lang w:val="en-GB"/>
          </w:rPr>
          <w:t>Programme strategy: main development challenges and policy responses</w:t>
        </w:r>
        <w:r>
          <w:rPr>
            <w:noProof/>
            <w:webHidden/>
          </w:rPr>
          <w:tab/>
        </w:r>
        <w:r>
          <w:rPr>
            <w:noProof/>
            <w:webHidden/>
          </w:rPr>
          <w:fldChar w:fldCharType="begin"/>
        </w:r>
        <w:r>
          <w:rPr>
            <w:noProof/>
            <w:webHidden/>
          </w:rPr>
          <w:instrText xml:space="preserve"> PAGEREF _Toc131161692 \h </w:instrText>
        </w:r>
        <w:r>
          <w:rPr>
            <w:noProof/>
            <w:webHidden/>
          </w:rPr>
        </w:r>
        <w:r>
          <w:rPr>
            <w:noProof/>
            <w:webHidden/>
          </w:rPr>
          <w:fldChar w:fldCharType="separate"/>
        </w:r>
        <w:r>
          <w:rPr>
            <w:noProof/>
            <w:webHidden/>
          </w:rPr>
          <w:t>8</w:t>
        </w:r>
        <w:r>
          <w:rPr>
            <w:noProof/>
            <w:webHidden/>
          </w:rPr>
          <w:fldChar w:fldCharType="end"/>
        </w:r>
      </w:hyperlink>
    </w:p>
    <w:p w14:paraId="079A3AA2" w14:textId="75FAE065"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693" w:history="1">
        <w:r w:rsidRPr="00062C01">
          <w:rPr>
            <w:rStyle w:val="Hiperpovezava"/>
            <w:noProof/>
            <w:lang w:val="en-GB"/>
            <w14:scene3d>
              <w14:camera w14:prst="orthographicFront"/>
              <w14:lightRig w14:rig="threePt" w14:dir="t">
                <w14:rot w14:lat="0" w14:lon="0" w14:rev="0"/>
              </w14:lightRig>
            </w14:scene3d>
          </w:rPr>
          <w:t>1.1</w:t>
        </w:r>
        <w:r>
          <w:rPr>
            <w:rFonts w:asciiTheme="minorHAnsi" w:eastAsiaTheme="minorEastAsia" w:hAnsiTheme="minorHAnsi" w:cstheme="minorBidi"/>
            <w:b w:val="0"/>
            <w:noProof/>
            <w:sz w:val="22"/>
            <w:szCs w:val="22"/>
            <w:lang w:val="sl-SI"/>
          </w:rPr>
          <w:tab/>
        </w:r>
        <w:r w:rsidRPr="00062C01">
          <w:rPr>
            <w:rStyle w:val="Hiperpovezava"/>
            <w:noProof/>
            <w:lang w:val="en-GB"/>
          </w:rPr>
          <w:t>Justification for the selected policy objectives, corresponding priorities, specific objectives and forms of support</w:t>
        </w:r>
        <w:r>
          <w:rPr>
            <w:noProof/>
            <w:webHidden/>
          </w:rPr>
          <w:tab/>
        </w:r>
        <w:r>
          <w:rPr>
            <w:noProof/>
            <w:webHidden/>
          </w:rPr>
          <w:fldChar w:fldCharType="begin"/>
        </w:r>
        <w:r>
          <w:rPr>
            <w:noProof/>
            <w:webHidden/>
          </w:rPr>
          <w:instrText xml:space="preserve"> PAGEREF _Toc131161693 \h </w:instrText>
        </w:r>
        <w:r>
          <w:rPr>
            <w:noProof/>
            <w:webHidden/>
          </w:rPr>
        </w:r>
        <w:r>
          <w:rPr>
            <w:noProof/>
            <w:webHidden/>
          </w:rPr>
          <w:fldChar w:fldCharType="separate"/>
        </w:r>
        <w:r>
          <w:rPr>
            <w:noProof/>
            <w:webHidden/>
          </w:rPr>
          <w:t>19</w:t>
        </w:r>
        <w:r>
          <w:rPr>
            <w:noProof/>
            <w:webHidden/>
          </w:rPr>
          <w:fldChar w:fldCharType="end"/>
        </w:r>
      </w:hyperlink>
    </w:p>
    <w:p w14:paraId="42C8092E" w14:textId="28432FF3" w:rsidR="00425F22" w:rsidRDefault="00425F22">
      <w:pPr>
        <w:pStyle w:val="Kazalovsebine1"/>
        <w:rPr>
          <w:rFonts w:asciiTheme="minorHAnsi" w:hAnsiTheme="minorHAnsi" w:cstheme="minorBidi"/>
          <w:b w:val="0"/>
          <w:noProof/>
          <w:sz w:val="22"/>
          <w:szCs w:val="22"/>
          <w:lang w:val="sl-SI"/>
        </w:rPr>
      </w:pPr>
      <w:hyperlink w:anchor="_Toc131161694" w:history="1">
        <w:r w:rsidRPr="00062C01">
          <w:rPr>
            <w:rStyle w:val="Hiperpovezava"/>
            <w:noProof/>
          </w:rPr>
          <w:t>2</w:t>
        </w:r>
        <w:r>
          <w:rPr>
            <w:rFonts w:asciiTheme="minorHAnsi" w:hAnsiTheme="minorHAnsi" w:cstheme="minorBidi"/>
            <w:b w:val="0"/>
            <w:noProof/>
            <w:sz w:val="22"/>
            <w:szCs w:val="22"/>
            <w:lang w:val="sl-SI"/>
          </w:rPr>
          <w:tab/>
        </w:r>
        <w:r w:rsidRPr="00062C01">
          <w:rPr>
            <w:rStyle w:val="Hiperpovezava"/>
            <w:noProof/>
          </w:rPr>
          <w:t>Priorities</w:t>
        </w:r>
        <w:r>
          <w:rPr>
            <w:noProof/>
            <w:webHidden/>
          </w:rPr>
          <w:tab/>
        </w:r>
        <w:r>
          <w:rPr>
            <w:noProof/>
            <w:webHidden/>
          </w:rPr>
          <w:fldChar w:fldCharType="begin"/>
        </w:r>
        <w:r>
          <w:rPr>
            <w:noProof/>
            <w:webHidden/>
          </w:rPr>
          <w:instrText xml:space="preserve"> PAGEREF _Toc131161694 \h </w:instrText>
        </w:r>
        <w:r>
          <w:rPr>
            <w:noProof/>
            <w:webHidden/>
          </w:rPr>
        </w:r>
        <w:r>
          <w:rPr>
            <w:noProof/>
            <w:webHidden/>
          </w:rPr>
          <w:fldChar w:fldCharType="separate"/>
        </w:r>
        <w:r>
          <w:rPr>
            <w:noProof/>
            <w:webHidden/>
          </w:rPr>
          <w:t>47</w:t>
        </w:r>
        <w:r>
          <w:rPr>
            <w:noProof/>
            <w:webHidden/>
          </w:rPr>
          <w:fldChar w:fldCharType="end"/>
        </w:r>
      </w:hyperlink>
    </w:p>
    <w:p w14:paraId="0F15099F" w14:textId="7D34F918"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695" w:history="1">
        <w:r w:rsidRPr="00062C01">
          <w:rPr>
            <w:rStyle w:val="Hiperpovezava"/>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sz w:val="22"/>
            <w:szCs w:val="22"/>
            <w:lang w:val="sl-SI"/>
          </w:rPr>
          <w:tab/>
        </w:r>
        <w:r w:rsidRPr="00062C01">
          <w:rPr>
            <w:rStyle w:val="Hiperpovezava"/>
            <w:noProof/>
          </w:rPr>
          <w:t>Priorities other than technical assistance</w:t>
        </w:r>
        <w:r>
          <w:rPr>
            <w:noProof/>
            <w:webHidden/>
          </w:rPr>
          <w:tab/>
        </w:r>
        <w:r>
          <w:rPr>
            <w:noProof/>
            <w:webHidden/>
          </w:rPr>
          <w:fldChar w:fldCharType="begin"/>
        </w:r>
        <w:r>
          <w:rPr>
            <w:noProof/>
            <w:webHidden/>
          </w:rPr>
          <w:instrText xml:space="preserve"> PAGEREF _Toc131161695 \h </w:instrText>
        </w:r>
        <w:r>
          <w:rPr>
            <w:noProof/>
            <w:webHidden/>
          </w:rPr>
        </w:r>
        <w:r>
          <w:rPr>
            <w:noProof/>
            <w:webHidden/>
          </w:rPr>
          <w:fldChar w:fldCharType="separate"/>
        </w:r>
        <w:r>
          <w:rPr>
            <w:noProof/>
            <w:webHidden/>
          </w:rPr>
          <w:t>47</w:t>
        </w:r>
        <w:r>
          <w:rPr>
            <w:noProof/>
            <w:webHidden/>
          </w:rPr>
          <w:fldChar w:fldCharType="end"/>
        </w:r>
      </w:hyperlink>
    </w:p>
    <w:p w14:paraId="351EDF6C" w14:textId="5235BB30" w:rsidR="00425F22" w:rsidRDefault="00425F22">
      <w:pPr>
        <w:pStyle w:val="Kazalovsebine3"/>
        <w:rPr>
          <w:rFonts w:asciiTheme="minorHAnsi" w:eastAsiaTheme="minorEastAsia" w:hAnsiTheme="minorHAnsi" w:cstheme="minorBidi"/>
          <w:b w:val="0"/>
          <w:noProof/>
          <w:szCs w:val="22"/>
          <w:lang w:val="sl-SI"/>
        </w:rPr>
      </w:pPr>
      <w:hyperlink w:anchor="_Toc131161696" w:history="1">
        <w:r w:rsidRPr="00062C01">
          <w:rPr>
            <w:rStyle w:val="Hiperpovezava"/>
            <w:noProof/>
          </w:rPr>
          <w:t>2.1.1</w:t>
        </w:r>
        <w:r>
          <w:rPr>
            <w:rFonts w:asciiTheme="minorHAnsi" w:eastAsiaTheme="minorEastAsia" w:hAnsiTheme="minorHAnsi" w:cstheme="minorBidi"/>
            <w:b w:val="0"/>
            <w:noProof/>
            <w:szCs w:val="22"/>
            <w:lang w:val="sl-SI"/>
          </w:rPr>
          <w:tab/>
        </w:r>
        <w:r w:rsidRPr="00062C01">
          <w:rPr>
            <w:rStyle w:val="Hiperpovezava"/>
            <w:noProof/>
          </w:rPr>
          <w:t xml:space="preserve">Priority 1: </w:t>
        </w:r>
        <w:r w:rsidRPr="00062C01">
          <w:rPr>
            <w:rStyle w:val="Hiperpovezava"/>
            <w:rFonts w:cstheme="minorHAnsi"/>
            <w:noProof/>
          </w:rPr>
          <w:t>Innovative knowledge-based society</w:t>
        </w:r>
        <w:r>
          <w:rPr>
            <w:noProof/>
            <w:webHidden/>
          </w:rPr>
          <w:tab/>
        </w:r>
        <w:r>
          <w:rPr>
            <w:noProof/>
            <w:webHidden/>
          </w:rPr>
          <w:fldChar w:fldCharType="begin"/>
        </w:r>
        <w:r>
          <w:rPr>
            <w:noProof/>
            <w:webHidden/>
          </w:rPr>
          <w:instrText xml:space="preserve"> PAGEREF _Toc131161696 \h </w:instrText>
        </w:r>
        <w:r>
          <w:rPr>
            <w:noProof/>
            <w:webHidden/>
          </w:rPr>
        </w:r>
        <w:r>
          <w:rPr>
            <w:noProof/>
            <w:webHidden/>
          </w:rPr>
          <w:fldChar w:fldCharType="separate"/>
        </w:r>
        <w:r>
          <w:rPr>
            <w:noProof/>
            <w:webHidden/>
          </w:rPr>
          <w:t>47</w:t>
        </w:r>
        <w:r>
          <w:rPr>
            <w:noProof/>
            <w:webHidden/>
          </w:rPr>
          <w:fldChar w:fldCharType="end"/>
        </w:r>
      </w:hyperlink>
    </w:p>
    <w:p w14:paraId="7C6DF0B9" w14:textId="48CA4C8A" w:rsidR="00425F22" w:rsidRDefault="00425F22">
      <w:pPr>
        <w:pStyle w:val="Kazalovsebine4"/>
        <w:rPr>
          <w:rFonts w:asciiTheme="minorHAnsi" w:eastAsiaTheme="minorEastAsia" w:hAnsiTheme="minorHAnsi" w:cstheme="minorBidi"/>
          <w:noProof/>
          <w:szCs w:val="22"/>
          <w:lang w:val="sl-SI"/>
        </w:rPr>
      </w:pPr>
      <w:hyperlink w:anchor="_Toc131161697" w:history="1">
        <w:r w:rsidRPr="00062C01">
          <w:rPr>
            <w:rStyle w:val="Hiperpovezava"/>
            <w:noProof/>
          </w:rPr>
          <w:t>2.1.1.1</w:t>
        </w:r>
        <w:r>
          <w:rPr>
            <w:rFonts w:asciiTheme="minorHAnsi" w:eastAsiaTheme="minorEastAsia" w:hAnsiTheme="minorHAnsi" w:cstheme="minorBidi"/>
            <w:noProof/>
            <w:szCs w:val="22"/>
            <w:lang w:val="sl-SI"/>
          </w:rPr>
          <w:tab/>
        </w:r>
        <w:r w:rsidRPr="00062C01">
          <w:rPr>
            <w:rStyle w:val="Hiperpovezava"/>
            <w:noProof/>
          </w:rPr>
          <w:t>Specific objective RSO1.1. Developing and enhancing research and innovation capacities and the uptake of advanced technologies (ERDF)</w:t>
        </w:r>
        <w:r>
          <w:rPr>
            <w:noProof/>
            <w:webHidden/>
          </w:rPr>
          <w:tab/>
        </w:r>
        <w:r>
          <w:rPr>
            <w:noProof/>
            <w:webHidden/>
          </w:rPr>
          <w:fldChar w:fldCharType="begin"/>
        </w:r>
        <w:r>
          <w:rPr>
            <w:noProof/>
            <w:webHidden/>
          </w:rPr>
          <w:instrText xml:space="preserve"> PAGEREF _Toc131161697 \h </w:instrText>
        </w:r>
        <w:r>
          <w:rPr>
            <w:noProof/>
            <w:webHidden/>
          </w:rPr>
        </w:r>
        <w:r>
          <w:rPr>
            <w:noProof/>
            <w:webHidden/>
          </w:rPr>
          <w:fldChar w:fldCharType="separate"/>
        </w:r>
        <w:r>
          <w:rPr>
            <w:noProof/>
            <w:webHidden/>
          </w:rPr>
          <w:t>47</w:t>
        </w:r>
        <w:r>
          <w:rPr>
            <w:noProof/>
            <w:webHidden/>
          </w:rPr>
          <w:fldChar w:fldCharType="end"/>
        </w:r>
      </w:hyperlink>
    </w:p>
    <w:p w14:paraId="20B8D5C8" w14:textId="3450492B" w:rsidR="00425F22" w:rsidRDefault="00425F22">
      <w:pPr>
        <w:pStyle w:val="Kazalovsebine4"/>
        <w:rPr>
          <w:rFonts w:asciiTheme="minorHAnsi" w:eastAsiaTheme="minorEastAsia" w:hAnsiTheme="minorHAnsi" w:cstheme="minorBidi"/>
          <w:noProof/>
          <w:szCs w:val="22"/>
          <w:lang w:val="sl-SI"/>
        </w:rPr>
      </w:pPr>
      <w:hyperlink w:anchor="_Toc131161698" w:history="1">
        <w:r w:rsidRPr="00062C01">
          <w:rPr>
            <w:rStyle w:val="Hiperpovezava"/>
            <w:noProof/>
          </w:rPr>
          <w:t>2.1.1.2</w:t>
        </w:r>
        <w:r>
          <w:rPr>
            <w:rFonts w:asciiTheme="minorHAnsi" w:eastAsiaTheme="minorEastAsia" w:hAnsiTheme="minorHAnsi" w:cstheme="minorBidi"/>
            <w:noProof/>
            <w:szCs w:val="22"/>
            <w:lang w:val="sl-SI"/>
          </w:rPr>
          <w:tab/>
        </w:r>
        <w:r w:rsidRPr="00062C01">
          <w:rPr>
            <w:rStyle w:val="Hiperpovezava"/>
            <w:noProof/>
          </w:rPr>
          <w:t>RSO1.2. Reaping the benefits of digitisation for citizens, companies, research organisations and public authorities (ERDF)</w:t>
        </w:r>
        <w:r>
          <w:rPr>
            <w:noProof/>
            <w:webHidden/>
          </w:rPr>
          <w:tab/>
        </w:r>
        <w:r>
          <w:rPr>
            <w:noProof/>
            <w:webHidden/>
          </w:rPr>
          <w:fldChar w:fldCharType="begin"/>
        </w:r>
        <w:r>
          <w:rPr>
            <w:noProof/>
            <w:webHidden/>
          </w:rPr>
          <w:instrText xml:space="preserve"> PAGEREF _Toc131161698 \h </w:instrText>
        </w:r>
        <w:r>
          <w:rPr>
            <w:noProof/>
            <w:webHidden/>
          </w:rPr>
        </w:r>
        <w:r>
          <w:rPr>
            <w:noProof/>
            <w:webHidden/>
          </w:rPr>
          <w:fldChar w:fldCharType="separate"/>
        </w:r>
        <w:r>
          <w:rPr>
            <w:noProof/>
            <w:webHidden/>
          </w:rPr>
          <w:t>55</w:t>
        </w:r>
        <w:r>
          <w:rPr>
            <w:noProof/>
            <w:webHidden/>
          </w:rPr>
          <w:fldChar w:fldCharType="end"/>
        </w:r>
      </w:hyperlink>
    </w:p>
    <w:p w14:paraId="6DEE14C6" w14:textId="31E0E914" w:rsidR="00425F22" w:rsidRDefault="00425F22">
      <w:pPr>
        <w:pStyle w:val="Kazalovsebine4"/>
        <w:rPr>
          <w:rFonts w:asciiTheme="minorHAnsi" w:eastAsiaTheme="minorEastAsia" w:hAnsiTheme="minorHAnsi" w:cstheme="minorBidi"/>
          <w:noProof/>
          <w:szCs w:val="22"/>
          <w:lang w:val="sl-SI"/>
        </w:rPr>
      </w:pPr>
      <w:hyperlink w:anchor="_Toc131161699" w:history="1">
        <w:r w:rsidRPr="00062C01">
          <w:rPr>
            <w:rStyle w:val="Hiperpovezava"/>
            <w:noProof/>
          </w:rPr>
          <w:t>2.1.1.3</w:t>
        </w:r>
        <w:r>
          <w:rPr>
            <w:rFonts w:asciiTheme="minorHAnsi" w:eastAsiaTheme="minorEastAsia" w:hAnsiTheme="minorHAnsi" w:cstheme="minorBidi"/>
            <w:noProof/>
            <w:szCs w:val="22"/>
            <w:lang w:val="sl-SI"/>
          </w:rPr>
          <w:tab/>
        </w:r>
        <w:r w:rsidRPr="00062C01">
          <w:rPr>
            <w:rStyle w:val="Hiperpovezava"/>
            <w:noProof/>
          </w:rPr>
          <w:t>Specific objective RSO1.3. Enhancing sustainable growth and competitiveness of SMEs and job creation in SMEs, including by productive investments (ERDF)</w:t>
        </w:r>
        <w:r>
          <w:rPr>
            <w:noProof/>
            <w:webHidden/>
          </w:rPr>
          <w:tab/>
        </w:r>
        <w:r>
          <w:rPr>
            <w:noProof/>
            <w:webHidden/>
          </w:rPr>
          <w:fldChar w:fldCharType="begin"/>
        </w:r>
        <w:r>
          <w:rPr>
            <w:noProof/>
            <w:webHidden/>
          </w:rPr>
          <w:instrText xml:space="preserve"> PAGEREF _Toc131161699 \h </w:instrText>
        </w:r>
        <w:r>
          <w:rPr>
            <w:noProof/>
            <w:webHidden/>
          </w:rPr>
        </w:r>
        <w:r>
          <w:rPr>
            <w:noProof/>
            <w:webHidden/>
          </w:rPr>
          <w:fldChar w:fldCharType="separate"/>
        </w:r>
        <w:r>
          <w:rPr>
            <w:noProof/>
            <w:webHidden/>
          </w:rPr>
          <w:t>64</w:t>
        </w:r>
        <w:r>
          <w:rPr>
            <w:noProof/>
            <w:webHidden/>
          </w:rPr>
          <w:fldChar w:fldCharType="end"/>
        </w:r>
      </w:hyperlink>
    </w:p>
    <w:p w14:paraId="619FD5D5" w14:textId="1F63E280" w:rsidR="00425F22" w:rsidRDefault="00425F22">
      <w:pPr>
        <w:pStyle w:val="Kazalovsebine4"/>
        <w:rPr>
          <w:rFonts w:asciiTheme="minorHAnsi" w:eastAsiaTheme="minorEastAsia" w:hAnsiTheme="minorHAnsi" w:cstheme="minorBidi"/>
          <w:noProof/>
          <w:szCs w:val="22"/>
          <w:lang w:val="sl-SI"/>
        </w:rPr>
      </w:pPr>
      <w:hyperlink w:anchor="_Toc131161700" w:history="1">
        <w:r w:rsidRPr="00062C01">
          <w:rPr>
            <w:rStyle w:val="Hiperpovezava"/>
            <w:noProof/>
          </w:rPr>
          <w:t>2.1.1.4</w:t>
        </w:r>
        <w:r>
          <w:rPr>
            <w:rFonts w:asciiTheme="minorHAnsi" w:eastAsiaTheme="minorEastAsia" w:hAnsiTheme="minorHAnsi" w:cstheme="minorBidi"/>
            <w:noProof/>
            <w:szCs w:val="22"/>
            <w:lang w:val="sl-SI"/>
          </w:rPr>
          <w:tab/>
        </w:r>
        <w:r w:rsidRPr="00062C01">
          <w:rPr>
            <w:rStyle w:val="Hiperpovezava"/>
            <w:noProof/>
          </w:rPr>
          <w:t>Specific objective RSO1.4. Developing skills for smart specialisation, industrial transition and entrepreneurship (ERDF)</w:t>
        </w:r>
        <w:r>
          <w:rPr>
            <w:noProof/>
            <w:webHidden/>
          </w:rPr>
          <w:tab/>
        </w:r>
        <w:r>
          <w:rPr>
            <w:noProof/>
            <w:webHidden/>
          </w:rPr>
          <w:fldChar w:fldCharType="begin"/>
        </w:r>
        <w:r>
          <w:rPr>
            <w:noProof/>
            <w:webHidden/>
          </w:rPr>
          <w:instrText xml:space="preserve"> PAGEREF _Toc131161700 \h </w:instrText>
        </w:r>
        <w:r>
          <w:rPr>
            <w:noProof/>
            <w:webHidden/>
          </w:rPr>
        </w:r>
        <w:r>
          <w:rPr>
            <w:noProof/>
            <w:webHidden/>
          </w:rPr>
          <w:fldChar w:fldCharType="separate"/>
        </w:r>
        <w:r>
          <w:rPr>
            <w:noProof/>
            <w:webHidden/>
          </w:rPr>
          <w:t>73</w:t>
        </w:r>
        <w:r>
          <w:rPr>
            <w:noProof/>
            <w:webHidden/>
          </w:rPr>
          <w:fldChar w:fldCharType="end"/>
        </w:r>
      </w:hyperlink>
    </w:p>
    <w:p w14:paraId="4BDB276B" w14:textId="0523EA8E" w:rsidR="00425F22" w:rsidRDefault="00425F22">
      <w:pPr>
        <w:pStyle w:val="Kazalovsebine3"/>
        <w:rPr>
          <w:rFonts w:asciiTheme="minorHAnsi" w:eastAsiaTheme="minorEastAsia" w:hAnsiTheme="minorHAnsi" w:cstheme="minorBidi"/>
          <w:b w:val="0"/>
          <w:noProof/>
          <w:szCs w:val="22"/>
          <w:lang w:val="sl-SI"/>
        </w:rPr>
      </w:pPr>
      <w:hyperlink w:anchor="_Toc131161701" w:history="1">
        <w:r w:rsidRPr="00062C01">
          <w:rPr>
            <w:rStyle w:val="Hiperpovezava"/>
            <w:noProof/>
          </w:rPr>
          <w:t>2.1.2</w:t>
        </w:r>
        <w:r>
          <w:rPr>
            <w:rFonts w:asciiTheme="minorHAnsi" w:eastAsiaTheme="minorEastAsia" w:hAnsiTheme="minorHAnsi" w:cstheme="minorBidi"/>
            <w:b w:val="0"/>
            <w:noProof/>
            <w:szCs w:val="22"/>
            <w:lang w:val="sl-SI"/>
          </w:rPr>
          <w:tab/>
        </w:r>
        <w:r w:rsidRPr="00062C01">
          <w:rPr>
            <w:rStyle w:val="Hiperpovezava"/>
            <w:noProof/>
          </w:rPr>
          <w:t>Priority  2: Digital connectivity</w:t>
        </w:r>
        <w:r>
          <w:rPr>
            <w:noProof/>
            <w:webHidden/>
          </w:rPr>
          <w:tab/>
        </w:r>
        <w:r>
          <w:rPr>
            <w:noProof/>
            <w:webHidden/>
          </w:rPr>
          <w:fldChar w:fldCharType="begin"/>
        </w:r>
        <w:r>
          <w:rPr>
            <w:noProof/>
            <w:webHidden/>
          </w:rPr>
          <w:instrText xml:space="preserve"> PAGEREF _Toc131161701 \h </w:instrText>
        </w:r>
        <w:r>
          <w:rPr>
            <w:noProof/>
            <w:webHidden/>
          </w:rPr>
        </w:r>
        <w:r>
          <w:rPr>
            <w:noProof/>
            <w:webHidden/>
          </w:rPr>
          <w:fldChar w:fldCharType="separate"/>
        </w:r>
        <w:r>
          <w:rPr>
            <w:noProof/>
            <w:webHidden/>
          </w:rPr>
          <w:t>80</w:t>
        </w:r>
        <w:r>
          <w:rPr>
            <w:noProof/>
            <w:webHidden/>
          </w:rPr>
          <w:fldChar w:fldCharType="end"/>
        </w:r>
      </w:hyperlink>
    </w:p>
    <w:p w14:paraId="318401F3" w14:textId="69BC4D88" w:rsidR="00425F22" w:rsidRDefault="00425F22">
      <w:pPr>
        <w:pStyle w:val="Kazalovsebine4"/>
        <w:rPr>
          <w:rFonts w:asciiTheme="minorHAnsi" w:eastAsiaTheme="minorEastAsia" w:hAnsiTheme="minorHAnsi" w:cstheme="minorBidi"/>
          <w:noProof/>
          <w:szCs w:val="22"/>
          <w:lang w:val="sl-SI"/>
        </w:rPr>
      </w:pPr>
      <w:hyperlink w:anchor="_Toc131161702" w:history="1">
        <w:r w:rsidRPr="00062C01">
          <w:rPr>
            <w:rStyle w:val="Hiperpovezava"/>
            <w:noProof/>
          </w:rPr>
          <w:t>2.1.2.1</w:t>
        </w:r>
        <w:r>
          <w:rPr>
            <w:rFonts w:asciiTheme="minorHAnsi" w:eastAsiaTheme="minorEastAsia" w:hAnsiTheme="minorHAnsi" w:cstheme="minorBidi"/>
            <w:noProof/>
            <w:szCs w:val="22"/>
            <w:lang w:val="sl-SI"/>
          </w:rPr>
          <w:tab/>
        </w:r>
        <w:r w:rsidRPr="00062C01">
          <w:rPr>
            <w:rStyle w:val="Hiperpovezava"/>
            <w:noProof/>
          </w:rPr>
          <w:t>Specific objective RSO1.5. Enhancing digital connectivity (ERDF)</w:t>
        </w:r>
        <w:r>
          <w:rPr>
            <w:noProof/>
            <w:webHidden/>
          </w:rPr>
          <w:tab/>
        </w:r>
        <w:r>
          <w:rPr>
            <w:noProof/>
            <w:webHidden/>
          </w:rPr>
          <w:fldChar w:fldCharType="begin"/>
        </w:r>
        <w:r>
          <w:rPr>
            <w:noProof/>
            <w:webHidden/>
          </w:rPr>
          <w:instrText xml:space="preserve"> PAGEREF _Toc131161702 \h </w:instrText>
        </w:r>
        <w:r>
          <w:rPr>
            <w:noProof/>
            <w:webHidden/>
          </w:rPr>
        </w:r>
        <w:r>
          <w:rPr>
            <w:noProof/>
            <w:webHidden/>
          </w:rPr>
          <w:fldChar w:fldCharType="separate"/>
        </w:r>
        <w:r>
          <w:rPr>
            <w:noProof/>
            <w:webHidden/>
          </w:rPr>
          <w:t>80</w:t>
        </w:r>
        <w:r>
          <w:rPr>
            <w:noProof/>
            <w:webHidden/>
          </w:rPr>
          <w:fldChar w:fldCharType="end"/>
        </w:r>
      </w:hyperlink>
    </w:p>
    <w:p w14:paraId="304B8518" w14:textId="46CD4C54" w:rsidR="00425F22" w:rsidRDefault="00425F22">
      <w:pPr>
        <w:pStyle w:val="Kazalovsebine3"/>
        <w:rPr>
          <w:rFonts w:asciiTheme="minorHAnsi" w:eastAsiaTheme="minorEastAsia" w:hAnsiTheme="minorHAnsi" w:cstheme="minorBidi"/>
          <w:b w:val="0"/>
          <w:noProof/>
          <w:szCs w:val="22"/>
          <w:lang w:val="sl-SI"/>
        </w:rPr>
      </w:pPr>
      <w:hyperlink w:anchor="_Toc131161703" w:history="1">
        <w:r w:rsidRPr="00062C01">
          <w:rPr>
            <w:rStyle w:val="Hiperpovezava"/>
            <w:noProof/>
          </w:rPr>
          <w:t>2.1.3</w:t>
        </w:r>
        <w:r>
          <w:rPr>
            <w:rFonts w:asciiTheme="minorHAnsi" w:eastAsiaTheme="minorEastAsia" w:hAnsiTheme="minorHAnsi" w:cstheme="minorBidi"/>
            <w:b w:val="0"/>
            <w:noProof/>
            <w:szCs w:val="22"/>
            <w:lang w:val="sl-SI"/>
          </w:rPr>
          <w:tab/>
        </w:r>
        <w:r w:rsidRPr="00062C01">
          <w:rPr>
            <w:rStyle w:val="Hiperpovezava"/>
            <w:noProof/>
          </w:rPr>
          <w:t>Priority 3: Green transformation for climate neutrality</w:t>
        </w:r>
        <w:r>
          <w:rPr>
            <w:noProof/>
            <w:webHidden/>
          </w:rPr>
          <w:tab/>
        </w:r>
        <w:r>
          <w:rPr>
            <w:noProof/>
            <w:webHidden/>
          </w:rPr>
          <w:fldChar w:fldCharType="begin"/>
        </w:r>
        <w:r>
          <w:rPr>
            <w:noProof/>
            <w:webHidden/>
          </w:rPr>
          <w:instrText xml:space="preserve"> PAGEREF _Toc131161703 \h </w:instrText>
        </w:r>
        <w:r>
          <w:rPr>
            <w:noProof/>
            <w:webHidden/>
          </w:rPr>
        </w:r>
        <w:r>
          <w:rPr>
            <w:noProof/>
            <w:webHidden/>
          </w:rPr>
          <w:fldChar w:fldCharType="separate"/>
        </w:r>
        <w:r>
          <w:rPr>
            <w:noProof/>
            <w:webHidden/>
          </w:rPr>
          <w:t>86</w:t>
        </w:r>
        <w:r>
          <w:rPr>
            <w:noProof/>
            <w:webHidden/>
          </w:rPr>
          <w:fldChar w:fldCharType="end"/>
        </w:r>
      </w:hyperlink>
    </w:p>
    <w:p w14:paraId="5C3DBDF0" w14:textId="57F46471" w:rsidR="00425F22" w:rsidRDefault="00425F22">
      <w:pPr>
        <w:pStyle w:val="Kazalovsebine4"/>
        <w:rPr>
          <w:rFonts w:asciiTheme="minorHAnsi" w:eastAsiaTheme="minorEastAsia" w:hAnsiTheme="minorHAnsi" w:cstheme="minorBidi"/>
          <w:noProof/>
          <w:szCs w:val="22"/>
          <w:lang w:val="sl-SI"/>
        </w:rPr>
      </w:pPr>
      <w:hyperlink w:anchor="_Toc131161704" w:history="1">
        <w:r w:rsidRPr="00062C01">
          <w:rPr>
            <w:rStyle w:val="Hiperpovezava"/>
            <w:noProof/>
          </w:rPr>
          <w:t>2.1.3.1</w:t>
        </w:r>
        <w:r>
          <w:rPr>
            <w:rFonts w:asciiTheme="minorHAnsi" w:eastAsiaTheme="minorEastAsia" w:hAnsiTheme="minorHAnsi" w:cstheme="minorBidi"/>
            <w:noProof/>
            <w:szCs w:val="22"/>
            <w:lang w:val="sl-SI"/>
          </w:rPr>
          <w:tab/>
        </w:r>
        <w:r w:rsidRPr="00062C01">
          <w:rPr>
            <w:rStyle w:val="Hiperpovezava"/>
            <w:noProof/>
          </w:rPr>
          <w:t>Specific objective RSO2.1. Promoting energy efficiency and reducing greenhouse gas emissions (ERDF) (Cohesion Fund)</w:t>
        </w:r>
        <w:r>
          <w:rPr>
            <w:noProof/>
            <w:webHidden/>
          </w:rPr>
          <w:tab/>
        </w:r>
        <w:r>
          <w:rPr>
            <w:noProof/>
            <w:webHidden/>
          </w:rPr>
          <w:fldChar w:fldCharType="begin"/>
        </w:r>
        <w:r>
          <w:rPr>
            <w:noProof/>
            <w:webHidden/>
          </w:rPr>
          <w:instrText xml:space="preserve"> PAGEREF _Toc131161704 \h </w:instrText>
        </w:r>
        <w:r>
          <w:rPr>
            <w:noProof/>
            <w:webHidden/>
          </w:rPr>
        </w:r>
        <w:r>
          <w:rPr>
            <w:noProof/>
            <w:webHidden/>
          </w:rPr>
          <w:fldChar w:fldCharType="separate"/>
        </w:r>
        <w:r>
          <w:rPr>
            <w:noProof/>
            <w:webHidden/>
          </w:rPr>
          <w:t>86</w:t>
        </w:r>
        <w:r>
          <w:rPr>
            <w:noProof/>
            <w:webHidden/>
          </w:rPr>
          <w:fldChar w:fldCharType="end"/>
        </w:r>
      </w:hyperlink>
    </w:p>
    <w:p w14:paraId="47AC8052" w14:textId="730FD6A7" w:rsidR="00425F22" w:rsidRDefault="00425F22">
      <w:pPr>
        <w:pStyle w:val="Kazalovsebine4"/>
        <w:rPr>
          <w:rFonts w:asciiTheme="minorHAnsi" w:eastAsiaTheme="minorEastAsia" w:hAnsiTheme="minorHAnsi" w:cstheme="minorBidi"/>
          <w:noProof/>
          <w:szCs w:val="22"/>
          <w:lang w:val="sl-SI"/>
        </w:rPr>
      </w:pPr>
      <w:hyperlink w:anchor="_Toc131161705" w:history="1">
        <w:r w:rsidRPr="00062C01">
          <w:rPr>
            <w:rStyle w:val="Hiperpovezava"/>
            <w:noProof/>
          </w:rPr>
          <w:t>2.1.3.2</w:t>
        </w:r>
        <w:r>
          <w:rPr>
            <w:rFonts w:asciiTheme="minorHAnsi" w:eastAsiaTheme="minorEastAsia" w:hAnsiTheme="minorHAnsi" w:cstheme="minorBidi"/>
            <w:noProof/>
            <w:szCs w:val="22"/>
            <w:lang w:val="sl-SI"/>
          </w:rPr>
          <w:tab/>
        </w:r>
        <w:r w:rsidRPr="00062C01">
          <w:rPr>
            <w:rStyle w:val="Hiperpovezava"/>
            <w:noProof/>
          </w:rPr>
          <w:t>Specific objective RSO2.2. Promoting renewable energy in accordance with Renewable Energy Directive (EU) 2018/2001, including the sustainability criteria set out therein (ERDF) (Cohesion Fund)</w:t>
        </w:r>
        <w:r>
          <w:rPr>
            <w:noProof/>
            <w:webHidden/>
          </w:rPr>
          <w:tab/>
        </w:r>
        <w:r>
          <w:rPr>
            <w:noProof/>
            <w:webHidden/>
          </w:rPr>
          <w:fldChar w:fldCharType="begin"/>
        </w:r>
        <w:r>
          <w:rPr>
            <w:noProof/>
            <w:webHidden/>
          </w:rPr>
          <w:instrText xml:space="preserve"> PAGEREF _Toc131161705 \h </w:instrText>
        </w:r>
        <w:r>
          <w:rPr>
            <w:noProof/>
            <w:webHidden/>
          </w:rPr>
        </w:r>
        <w:r>
          <w:rPr>
            <w:noProof/>
            <w:webHidden/>
          </w:rPr>
          <w:fldChar w:fldCharType="separate"/>
        </w:r>
        <w:r>
          <w:rPr>
            <w:noProof/>
            <w:webHidden/>
          </w:rPr>
          <w:t>94</w:t>
        </w:r>
        <w:r>
          <w:rPr>
            <w:noProof/>
            <w:webHidden/>
          </w:rPr>
          <w:fldChar w:fldCharType="end"/>
        </w:r>
      </w:hyperlink>
    </w:p>
    <w:p w14:paraId="3FC3A55A" w14:textId="482468E8" w:rsidR="00425F22" w:rsidRDefault="00425F22">
      <w:pPr>
        <w:pStyle w:val="Kazalovsebine4"/>
        <w:rPr>
          <w:rFonts w:asciiTheme="minorHAnsi" w:eastAsiaTheme="minorEastAsia" w:hAnsiTheme="minorHAnsi" w:cstheme="minorBidi"/>
          <w:noProof/>
          <w:szCs w:val="22"/>
          <w:lang w:val="sl-SI"/>
        </w:rPr>
      </w:pPr>
      <w:hyperlink w:anchor="_Toc131161706" w:history="1">
        <w:r w:rsidRPr="00062C01">
          <w:rPr>
            <w:rStyle w:val="Hiperpovezava"/>
            <w:noProof/>
          </w:rPr>
          <w:t>2.1.3.3</w:t>
        </w:r>
        <w:r>
          <w:rPr>
            <w:rFonts w:asciiTheme="minorHAnsi" w:eastAsiaTheme="minorEastAsia" w:hAnsiTheme="minorHAnsi" w:cstheme="minorBidi"/>
            <w:noProof/>
            <w:szCs w:val="22"/>
            <w:lang w:val="sl-SI"/>
          </w:rPr>
          <w:tab/>
        </w:r>
        <w:r w:rsidRPr="00062C01">
          <w:rPr>
            <w:rStyle w:val="Hiperpovezava"/>
            <w:noProof/>
          </w:rPr>
          <w:t>Specific objective RSO2.3. Developing smart energy systems, grids and storage outside the Trans-European Energy Network (TEN-E)(ERDF) (Cohesion Fund)</w:t>
        </w:r>
        <w:r>
          <w:rPr>
            <w:noProof/>
            <w:webHidden/>
          </w:rPr>
          <w:tab/>
        </w:r>
        <w:r>
          <w:rPr>
            <w:noProof/>
            <w:webHidden/>
          </w:rPr>
          <w:fldChar w:fldCharType="begin"/>
        </w:r>
        <w:r>
          <w:rPr>
            <w:noProof/>
            <w:webHidden/>
          </w:rPr>
          <w:instrText xml:space="preserve"> PAGEREF _Toc131161706 \h </w:instrText>
        </w:r>
        <w:r>
          <w:rPr>
            <w:noProof/>
            <w:webHidden/>
          </w:rPr>
        </w:r>
        <w:r>
          <w:rPr>
            <w:noProof/>
            <w:webHidden/>
          </w:rPr>
          <w:fldChar w:fldCharType="separate"/>
        </w:r>
        <w:r>
          <w:rPr>
            <w:noProof/>
            <w:webHidden/>
          </w:rPr>
          <w:t>100</w:t>
        </w:r>
        <w:r>
          <w:rPr>
            <w:noProof/>
            <w:webHidden/>
          </w:rPr>
          <w:fldChar w:fldCharType="end"/>
        </w:r>
      </w:hyperlink>
    </w:p>
    <w:p w14:paraId="4FAB462F" w14:textId="25DEB557" w:rsidR="00425F22" w:rsidRDefault="00425F22">
      <w:pPr>
        <w:pStyle w:val="Kazalovsebine4"/>
        <w:rPr>
          <w:rFonts w:asciiTheme="minorHAnsi" w:eastAsiaTheme="minorEastAsia" w:hAnsiTheme="minorHAnsi" w:cstheme="minorBidi"/>
          <w:noProof/>
          <w:szCs w:val="22"/>
          <w:lang w:val="sl-SI"/>
        </w:rPr>
      </w:pPr>
      <w:hyperlink w:anchor="_Toc131161707" w:history="1">
        <w:r w:rsidRPr="00062C01">
          <w:rPr>
            <w:rStyle w:val="Hiperpovezava"/>
            <w:noProof/>
          </w:rPr>
          <w:t>2.1.3.4</w:t>
        </w:r>
        <w:r>
          <w:rPr>
            <w:rFonts w:asciiTheme="minorHAnsi" w:eastAsiaTheme="minorEastAsia" w:hAnsiTheme="minorHAnsi" w:cstheme="minorBidi"/>
            <w:noProof/>
            <w:szCs w:val="22"/>
            <w:lang w:val="sl-SI"/>
          </w:rPr>
          <w:tab/>
        </w:r>
        <w:r w:rsidRPr="00062C01">
          <w:rPr>
            <w:rStyle w:val="Hiperpovezava"/>
            <w:noProof/>
          </w:rPr>
          <w:t>Specific objective RSO2.4. Promoting climate change adaptation and disaster risk prevention and resilience, taking into account eco-system based approaches (ERDF) (Cohesion Fund)</w:t>
        </w:r>
        <w:r>
          <w:rPr>
            <w:noProof/>
            <w:webHidden/>
          </w:rPr>
          <w:tab/>
        </w:r>
        <w:r>
          <w:rPr>
            <w:noProof/>
            <w:webHidden/>
          </w:rPr>
          <w:fldChar w:fldCharType="begin"/>
        </w:r>
        <w:r>
          <w:rPr>
            <w:noProof/>
            <w:webHidden/>
          </w:rPr>
          <w:instrText xml:space="preserve"> PAGEREF _Toc131161707 \h </w:instrText>
        </w:r>
        <w:r>
          <w:rPr>
            <w:noProof/>
            <w:webHidden/>
          </w:rPr>
        </w:r>
        <w:r>
          <w:rPr>
            <w:noProof/>
            <w:webHidden/>
          </w:rPr>
          <w:fldChar w:fldCharType="separate"/>
        </w:r>
        <w:r>
          <w:rPr>
            <w:noProof/>
            <w:webHidden/>
          </w:rPr>
          <w:t>106</w:t>
        </w:r>
        <w:r>
          <w:rPr>
            <w:noProof/>
            <w:webHidden/>
          </w:rPr>
          <w:fldChar w:fldCharType="end"/>
        </w:r>
      </w:hyperlink>
    </w:p>
    <w:p w14:paraId="78B066C4" w14:textId="43D040E3" w:rsidR="00425F22" w:rsidRDefault="00425F22">
      <w:pPr>
        <w:pStyle w:val="Kazalovsebine4"/>
        <w:rPr>
          <w:rFonts w:asciiTheme="minorHAnsi" w:eastAsiaTheme="minorEastAsia" w:hAnsiTheme="minorHAnsi" w:cstheme="minorBidi"/>
          <w:noProof/>
          <w:szCs w:val="22"/>
          <w:lang w:val="sl-SI"/>
        </w:rPr>
      </w:pPr>
      <w:hyperlink w:anchor="_Toc131161708" w:history="1">
        <w:r w:rsidRPr="00062C01">
          <w:rPr>
            <w:rStyle w:val="Hiperpovezava"/>
            <w:noProof/>
          </w:rPr>
          <w:t>2.1.3.5</w:t>
        </w:r>
        <w:r>
          <w:rPr>
            <w:rFonts w:asciiTheme="minorHAnsi" w:eastAsiaTheme="minorEastAsia" w:hAnsiTheme="minorHAnsi" w:cstheme="minorBidi"/>
            <w:noProof/>
            <w:szCs w:val="22"/>
            <w:lang w:val="sl-SI"/>
          </w:rPr>
          <w:tab/>
        </w:r>
        <w:r w:rsidRPr="00062C01">
          <w:rPr>
            <w:rStyle w:val="Hiperpovezava"/>
            <w:noProof/>
          </w:rPr>
          <w:t>Specific objective RSO2.5. Promoting access to water and sustainable water management (ERDF) (Cohesion Fund)</w:t>
        </w:r>
        <w:r>
          <w:rPr>
            <w:noProof/>
            <w:webHidden/>
          </w:rPr>
          <w:tab/>
        </w:r>
        <w:r>
          <w:rPr>
            <w:noProof/>
            <w:webHidden/>
          </w:rPr>
          <w:fldChar w:fldCharType="begin"/>
        </w:r>
        <w:r>
          <w:rPr>
            <w:noProof/>
            <w:webHidden/>
          </w:rPr>
          <w:instrText xml:space="preserve"> PAGEREF _Toc131161708 \h </w:instrText>
        </w:r>
        <w:r>
          <w:rPr>
            <w:noProof/>
            <w:webHidden/>
          </w:rPr>
        </w:r>
        <w:r>
          <w:rPr>
            <w:noProof/>
            <w:webHidden/>
          </w:rPr>
          <w:fldChar w:fldCharType="separate"/>
        </w:r>
        <w:r>
          <w:rPr>
            <w:noProof/>
            <w:webHidden/>
          </w:rPr>
          <w:t>112</w:t>
        </w:r>
        <w:r>
          <w:rPr>
            <w:noProof/>
            <w:webHidden/>
          </w:rPr>
          <w:fldChar w:fldCharType="end"/>
        </w:r>
      </w:hyperlink>
    </w:p>
    <w:p w14:paraId="22636A69" w14:textId="7B7CFFF4" w:rsidR="00425F22" w:rsidRDefault="00425F22">
      <w:pPr>
        <w:pStyle w:val="Kazalovsebine4"/>
        <w:rPr>
          <w:rFonts w:asciiTheme="minorHAnsi" w:eastAsiaTheme="minorEastAsia" w:hAnsiTheme="minorHAnsi" w:cstheme="minorBidi"/>
          <w:noProof/>
          <w:szCs w:val="22"/>
          <w:lang w:val="sl-SI"/>
        </w:rPr>
      </w:pPr>
      <w:hyperlink w:anchor="_Toc131161709" w:history="1">
        <w:r w:rsidRPr="00062C01">
          <w:rPr>
            <w:rStyle w:val="Hiperpovezava"/>
            <w:noProof/>
          </w:rPr>
          <w:t>2.1.3.6</w:t>
        </w:r>
        <w:r>
          <w:rPr>
            <w:rFonts w:asciiTheme="minorHAnsi" w:eastAsiaTheme="minorEastAsia" w:hAnsiTheme="minorHAnsi" w:cstheme="minorBidi"/>
            <w:noProof/>
            <w:szCs w:val="22"/>
            <w:lang w:val="sl-SI"/>
          </w:rPr>
          <w:tab/>
        </w:r>
        <w:r w:rsidRPr="00062C01">
          <w:rPr>
            <w:rStyle w:val="Hiperpovezava"/>
            <w:noProof/>
          </w:rPr>
          <w:t>Specific objective RSO2.6. Promoting the transition to a circular and resource efficient economy (ERDF)</w:t>
        </w:r>
        <w:r>
          <w:rPr>
            <w:noProof/>
            <w:webHidden/>
          </w:rPr>
          <w:tab/>
        </w:r>
        <w:r>
          <w:rPr>
            <w:noProof/>
            <w:webHidden/>
          </w:rPr>
          <w:fldChar w:fldCharType="begin"/>
        </w:r>
        <w:r>
          <w:rPr>
            <w:noProof/>
            <w:webHidden/>
          </w:rPr>
          <w:instrText xml:space="preserve"> PAGEREF _Toc131161709 \h </w:instrText>
        </w:r>
        <w:r>
          <w:rPr>
            <w:noProof/>
            <w:webHidden/>
          </w:rPr>
        </w:r>
        <w:r>
          <w:rPr>
            <w:noProof/>
            <w:webHidden/>
          </w:rPr>
          <w:fldChar w:fldCharType="separate"/>
        </w:r>
        <w:r>
          <w:rPr>
            <w:noProof/>
            <w:webHidden/>
          </w:rPr>
          <w:t>118</w:t>
        </w:r>
        <w:r>
          <w:rPr>
            <w:noProof/>
            <w:webHidden/>
          </w:rPr>
          <w:fldChar w:fldCharType="end"/>
        </w:r>
      </w:hyperlink>
    </w:p>
    <w:p w14:paraId="5AF605B3" w14:textId="3B104B98" w:rsidR="00425F22" w:rsidRDefault="00425F22">
      <w:pPr>
        <w:pStyle w:val="Kazalovsebine4"/>
        <w:rPr>
          <w:rFonts w:asciiTheme="minorHAnsi" w:eastAsiaTheme="minorEastAsia" w:hAnsiTheme="minorHAnsi" w:cstheme="minorBidi"/>
          <w:noProof/>
          <w:szCs w:val="22"/>
          <w:lang w:val="sl-SI"/>
        </w:rPr>
      </w:pPr>
      <w:hyperlink w:anchor="_Toc131161710" w:history="1">
        <w:r w:rsidRPr="00062C01">
          <w:rPr>
            <w:rStyle w:val="Hiperpovezava"/>
            <w:noProof/>
          </w:rPr>
          <w:t>2.1.3.7</w:t>
        </w:r>
        <w:r>
          <w:rPr>
            <w:rFonts w:asciiTheme="minorHAnsi" w:eastAsiaTheme="minorEastAsia" w:hAnsiTheme="minorHAnsi" w:cstheme="minorBidi"/>
            <w:noProof/>
            <w:szCs w:val="22"/>
            <w:lang w:val="sl-SI"/>
          </w:rPr>
          <w:tab/>
        </w:r>
        <w:r w:rsidRPr="00062C01">
          <w:rPr>
            <w:rStyle w:val="Hiperpovezava"/>
            <w:noProof/>
          </w:rPr>
          <w:t>Specific objective RSO2.7. Enhancing protection and preservation of nature, biodiversity and green infrastructure, including in urban areas, and reducing all forms of pollution (ERDF) (Cohesion Fund)</w:t>
        </w:r>
        <w:r>
          <w:rPr>
            <w:noProof/>
            <w:webHidden/>
          </w:rPr>
          <w:tab/>
        </w:r>
        <w:r>
          <w:rPr>
            <w:noProof/>
            <w:webHidden/>
          </w:rPr>
          <w:fldChar w:fldCharType="begin"/>
        </w:r>
        <w:r>
          <w:rPr>
            <w:noProof/>
            <w:webHidden/>
          </w:rPr>
          <w:instrText xml:space="preserve"> PAGEREF _Toc131161710 \h </w:instrText>
        </w:r>
        <w:r>
          <w:rPr>
            <w:noProof/>
            <w:webHidden/>
          </w:rPr>
        </w:r>
        <w:r>
          <w:rPr>
            <w:noProof/>
            <w:webHidden/>
          </w:rPr>
          <w:fldChar w:fldCharType="separate"/>
        </w:r>
        <w:r>
          <w:rPr>
            <w:noProof/>
            <w:webHidden/>
          </w:rPr>
          <w:t>124</w:t>
        </w:r>
        <w:r>
          <w:rPr>
            <w:noProof/>
            <w:webHidden/>
          </w:rPr>
          <w:fldChar w:fldCharType="end"/>
        </w:r>
      </w:hyperlink>
    </w:p>
    <w:p w14:paraId="2B458FC7" w14:textId="6D25B629" w:rsidR="00425F22" w:rsidRDefault="00425F22">
      <w:pPr>
        <w:pStyle w:val="Kazalovsebine3"/>
        <w:rPr>
          <w:rFonts w:asciiTheme="minorHAnsi" w:eastAsiaTheme="minorEastAsia" w:hAnsiTheme="minorHAnsi" w:cstheme="minorBidi"/>
          <w:b w:val="0"/>
          <w:noProof/>
          <w:szCs w:val="22"/>
          <w:lang w:val="sl-SI"/>
        </w:rPr>
      </w:pPr>
      <w:hyperlink w:anchor="_Toc131161711" w:history="1">
        <w:r w:rsidRPr="00062C01">
          <w:rPr>
            <w:rStyle w:val="Hiperpovezava"/>
            <w:noProof/>
          </w:rPr>
          <w:t>2.1.4</w:t>
        </w:r>
        <w:r>
          <w:rPr>
            <w:rFonts w:asciiTheme="minorHAnsi" w:eastAsiaTheme="minorEastAsia" w:hAnsiTheme="minorHAnsi" w:cstheme="minorBidi"/>
            <w:b w:val="0"/>
            <w:noProof/>
            <w:szCs w:val="22"/>
            <w:lang w:val="sl-SI"/>
          </w:rPr>
          <w:tab/>
        </w:r>
        <w:r w:rsidRPr="00062C01">
          <w:rPr>
            <w:rStyle w:val="Hiperpovezava"/>
            <w:noProof/>
          </w:rPr>
          <w:t>Priority 4: Sustainable urban mobility</w:t>
        </w:r>
        <w:r>
          <w:rPr>
            <w:noProof/>
            <w:webHidden/>
          </w:rPr>
          <w:tab/>
        </w:r>
        <w:r>
          <w:rPr>
            <w:noProof/>
            <w:webHidden/>
          </w:rPr>
          <w:fldChar w:fldCharType="begin"/>
        </w:r>
        <w:r>
          <w:rPr>
            <w:noProof/>
            <w:webHidden/>
          </w:rPr>
          <w:instrText xml:space="preserve"> PAGEREF _Toc131161711 \h </w:instrText>
        </w:r>
        <w:r>
          <w:rPr>
            <w:noProof/>
            <w:webHidden/>
          </w:rPr>
        </w:r>
        <w:r>
          <w:rPr>
            <w:noProof/>
            <w:webHidden/>
          </w:rPr>
          <w:fldChar w:fldCharType="separate"/>
        </w:r>
        <w:r>
          <w:rPr>
            <w:noProof/>
            <w:webHidden/>
          </w:rPr>
          <w:t>132</w:t>
        </w:r>
        <w:r>
          <w:rPr>
            <w:noProof/>
            <w:webHidden/>
          </w:rPr>
          <w:fldChar w:fldCharType="end"/>
        </w:r>
      </w:hyperlink>
    </w:p>
    <w:p w14:paraId="26A9806A" w14:textId="5137CD52" w:rsidR="00425F22" w:rsidRDefault="00425F22">
      <w:pPr>
        <w:pStyle w:val="Kazalovsebine4"/>
        <w:rPr>
          <w:rFonts w:asciiTheme="minorHAnsi" w:eastAsiaTheme="minorEastAsia" w:hAnsiTheme="minorHAnsi" w:cstheme="minorBidi"/>
          <w:noProof/>
          <w:szCs w:val="22"/>
          <w:lang w:val="sl-SI"/>
        </w:rPr>
      </w:pPr>
      <w:hyperlink w:anchor="_Toc131161712" w:history="1">
        <w:r w:rsidRPr="00062C01">
          <w:rPr>
            <w:rStyle w:val="Hiperpovezava"/>
            <w:noProof/>
          </w:rPr>
          <w:t>2.1.4.1</w:t>
        </w:r>
        <w:r>
          <w:rPr>
            <w:rFonts w:asciiTheme="minorHAnsi" w:eastAsiaTheme="minorEastAsia" w:hAnsiTheme="minorHAnsi" w:cstheme="minorBidi"/>
            <w:noProof/>
            <w:szCs w:val="22"/>
            <w:lang w:val="sl-SI"/>
          </w:rPr>
          <w:tab/>
        </w:r>
        <w:r w:rsidRPr="00062C01">
          <w:rPr>
            <w:rStyle w:val="Hiperpovezava"/>
            <w:noProof/>
          </w:rPr>
          <w:t>Specific objective RSO2.8. Promoting sustainable multimodal urban mobility, as part of transition to a net zero carbon economy (ERDF)</w:t>
        </w:r>
        <w:r>
          <w:rPr>
            <w:noProof/>
            <w:webHidden/>
          </w:rPr>
          <w:tab/>
        </w:r>
        <w:r>
          <w:rPr>
            <w:noProof/>
            <w:webHidden/>
          </w:rPr>
          <w:fldChar w:fldCharType="begin"/>
        </w:r>
        <w:r>
          <w:rPr>
            <w:noProof/>
            <w:webHidden/>
          </w:rPr>
          <w:instrText xml:space="preserve"> PAGEREF _Toc131161712 \h </w:instrText>
        </w:r>
        <w:r>
          <w:rPr>
            <w:noProof/>
            <w:webHidden/>
          </w:rPr>
        </w:r>
        <w:r>
          <w:rPr>
            <w:noProof/>
            <w:webHidden/>
          </w:rPr>
          <w:fldChar w:fldCharType="separate"/>
        </w:r>
        <w:r>
          <w:rPr>
            <w:noProof/>
            <w:webHidden/>
          </w:rPr>
          <w:t>132</w:t>
        </w:r>
        <w:r>
          <w:rPr>
            <w:noProof/>
            <w:webHidden/>
          </w:rPr>
          <w:fldChar w:fldCharType="end"/>
        </w:r>
      </w:hyperlink>
    </w:p>
    <w:p w14:paraId="4FB0220C" w14:textId="33F3525F" w:rsidR="00425F22" w:rsidRDefault="00425F22">
      <w:pPr>
        <w:pStyle w:val="Kazalovsebine3"/>
        <w:rPr>
          <w:rFonts w:asciiTheme="minorHAnsi" w:eastAsiaTheme="minorEastAsia" w:hAnsiTheme="minorHAnsi" w:cstheme="minorBidi"/>
          <w:b w:val="0"/>
          <w:noProof/>
          <w:szCs w:val="22"/>
          <w:lang w:val="sl-SI"/>
        </w:rPr>
      </w:pPr>
      <w:hyperlink w:anchor="_Toc131161713" w:history="1">
        <w:r w:rsidRPr="00062C01">
          <w:rPr>
            <w:rStyle w:val="Hiperpovezava"/>
            <w:noProof/>
          </w:rPr>
          <w:t>2.1.5</w:t>
        </w:r>
        <w:r>
          <w:rPr>
            <w:rFonts w:asciiTheme="minorHAnsi" w:eastAsiaTheme="minorEastAsia" w:hAnsiTheme="minorHAnsi" w:cstheme="minorBidi"/>
            <w:b w:val="0"/>
            <w:noProof/>
            <w:szCs w:val="22"/>
            <w:lang w:val="sl-SI"/>
          </w:rPr>
          <w:tab/>
        </w:r>
        <w:r w:rsidRPr="00062C01">
          <w:rPr>
            <w:rStyle w:val="Hiperpovezava"/>
            <w:noProof/>
          </w:rPr>
          <w:t>Priority 5: Sustainable cross-regional mobility and connectivity</w:t>
        </w:r>
        <w:r>
          <w:rPr>
            <w:noProof/>
            <w:webHidden/>
          </w:rPr>
          <w:tab/>
        </w:r>
        <w:r>
          <w:rPr>
            <w:noProof/>
            <w:webHidden/>
          </w:rPr>
          <w:fldChar w:fldCharType="begin"/>
        </w:r>
        <w:r>
          <w:rPr>
            <w:noProof/>
            <w:webHidden/>
          </w:rPr>
          <w:instrText xml:space="preserve"> PAGEREF _Toc131161713 \h </w:instrText>
        </w:r>
        <w:r>
          <w:rPr>
            <w:noProof/>
            <w:webHidden/>
          </w:rPr>
        </w:r>
        <w:r>
          <w:rPr>
            <w:noProof/>
            <w:webHidden/>
          </w:rPr>
          <w:fldChar w:fldCharType="separate"/>
        </w:r>
        <w:r>
          <w:rPr>
            <w:noProof/>
            <w:webHidden/>
          </w:rPr>
          <w:t>139</w:t>
        </w:r>
        <w:r>
          <w:rPr>
            <w:noProof/>
            <w:webHidden/>
          </w:rPr>
          <w:fldChar w:fldCharType="end"/>
        </w:r>
      </w:hyperlink>
    </w:p>
    <w:p w14:paraId="33170166" w14:textId="2C09473E" w:rsidR="00425F22" w:rsidRDefault="00425F22">
      <w:pPr>
        <w:pStyle w:val="Kazalovsebine4"/>
        <w:rPr>
          <w:rFonts w:asciiTheme="minorHAnsi" w:eastAsiaTheme="minorEastAsia" w:hAnsiTheme="minorHAnsi" w:cstheme="minorBidi"/>
          <w:noProof/>
          <w:szCs w:val="22"/>
          <w:lang w:val="sl-SI"/>
        </w:rPr>
      </w:pPr>
      <w:hyperlink w:anchor="_Toc131161714" w:history="1">
        <w:r w:rsidRPr="00062C01">
          <w:rPr>
            <w:rStyle w:val="Hiperpovezava"/>
            <w:noProof/>
          </w:rPr>
          <w:t>2.1.5.1</w:t>
        </w:r>
        <w:r>
          <w:rPr>
            <w:rFonts w:asciiTheme="minorHAnsi" w:eastAsiaTheme="minorEastAsia" w:hAnsiTheme="minorHAnsi" w:cstheme="minorBidi"/>
            <w:noProof/>
            <w:szCs w:val="22"/>
            <w:lang w:val="sl-SI"/>
          </w:rPr>
          <w:tab/>
        </w:r>
        <w:r w:rsidRPr="00062C01">
          <w:rPr>
            <w:rStyle w:val="Hiperpovezava"/>
            <w:noProof/>
          </w:rPr>
          <w:t>Specific objective RSO3.1. Developing a sustainable, climate resilient, intelligent, secure, sustainable and intermodal TEN-T (Cohesion Fund)</w:t>
        </w:r>
        <w:r>
          <w:rPr>
            <w:noProof/>
            <w:webHidden/>
          </w:rPr>
          <w:tab/>
        </w:r>
        <w:r>
          <w:rPr>
            <w:noProof/>
            <w:webHidden/>
          </w:rPr>
          <w:fldChar w:fldCharType="begin"/>
        </w:r>
        <w:r>
          <w:rPr>
            <w:noProof/>
            <w:webHidden/>
          </w:rPr>
          <w:instrText xml:space="preserve"> PAGEREF _Toc131161714 \h </w:instrText>
        </w:r>
        <w:r>
          <w:rPr>
            <w:noProof/>
            <w:webHidden/>
          </w:rPr>
        </w:r>
        <w:r>
          <w:rPr>
            <w:noProof/>
            <w:webHidden/>
          </w:rPr>
          <w:fldChar w:fldCharType="separate"/>
        </w:r>
        <w:r>
          <w:rPr>
            <w:noProof/>
            <w:webHidden/>
          </w:rPr>
          <w:t>139</w:t>
        </w:r>
        <w:r>
          <w:rPr>
            <w:noProof/>
            <w:webHidden/>
          </w:rPr>
          <w:fldChar w:fldCharType="end"/>
        </w:r>
      </w:hyperlink>
    </w:p>
    <w:p w14:paraId="149D7422" w14:textId="7789F6F8" w:rsidR="00425F22" w:rsidRDefault="00425F22">
      <w:pPr>
        <w:pStyle w:val="Kazalovsebine4"/>
        <w:rPr>
          <w:rFonts w:asciiTheme="minorHAnsi" w:eastAsiaTheme="minorEastAsia" w:hAnsiTheme="minorHAnsi" w:cstheme="minorBidi"/>
          <w:noProof/>
          <w:szCs w:val="22"/>
          <w:lang w:val="sl-SI"/>
        </w:rPr>
      </w:pPr>
      <w:hyperlink w:anchor="_Toc131161715" w:history="1">
        <w:r w:rsidRPr="00062C01">
          <w:rPr>
            <w:rStyle w:val="Hiperpovezava"/>
            <w:noProof/>
          </w:rPr>
          <w:t>2.1.5.2</w:t>
        </w:r>
        <w:r>
          <w:rPr>
            <w:rFonts w:asciiTheme="minorHAnsi" w:eastAsiaTheme="minorEastAsia" w:hAnsiTheme="minorHAnsi" w:cstheme="minorBidi"/>
            <w:noProof/>
            <w:szCs w:val="22"/>
            <w:lang w:val="sl-SI"/>
          </w:rPr>
          <w:tab/>
        </w:r>
        <w:r w:rsidRPr="00062C01">
          <w:rPr>
            <w:rStyle w:val="Hiperpovezava"/>
            <w:noProof/>
          </w:rPr>
          <w:t>Specific objective RSO3.2. Developing and enhancing sustainable, climate resilient, intelligent and intermodal national, regional and local mobility, including improved access to TEN-T and cross-border mobility (ERDF) (Cohesion Fund)</w:t>
        </w:r>
        <w:r>
          <w:rPr>
            <w:noProof/>
            <w:webHidden/>
          </w:rPr>
          <w:tab/>
        </w:r>
        <w:r>
          <w:rPr>
            <w:noProof/>
            <w:webHidden/>
          </w:rPr>
          <w:fldChar w:fldCharType="begin"/>
        </w:r>
        <w:r>
          <w:rPr>
            <w:noProof/>
            <w:webHidden/>
          </w:rPr>
          <w:instrText xml:space="preserve"> PAGEREF _Toc131161715 \h </w:instrText>
        </w:r>
        <w:r>
          <w:rPr>
            <w:noProof/>
            <w:webHidden/>
          </w:rPr>
        </w:r>
        <w:r>
          <w:rPr>
            <w:noProof/>
            <w:webHidden/>
          </w:rPr>
          <w:fldChar w:fldCharType="separate"/>
        </w:r>
        <w:r>
          <w:rPr>
            <w:noProof/>
            <w:webHidden/>
          </w:rPr>
          <w:t>146</w:t>
        </w:r>
        <w:r>
          <w:rPr>
            <w:noProof/>
            <w:webHidden/>
          </w:rPr>
          <w:fldChar w:fldCharType="end"/>
        </w:r>
      </w:hyperlink>
    </w:p>
    <w:p w14:paraId="777CFA2A" w14:textId="3AB395B6" w:rsidR="00425F22" w:rsidRDefault="00425F22">
      <w:pPr>
        <w:pStyle w:val="Kazalovsebine3"/>
        <w:rPr>
          <w:rFonts w:asciiTheme="minorHAnsi" w:eastAsiaTheme="minorEastAsia" w:hAnsiTheme="minorHAnsi" w:cstheme="minorBidi"/>
          <w:b w:val="0"/>
          <w:noProof/>
          <w:szCs w:val="22"/>
          <w:lang w:val="sl-SI"/>
        </w:rPr>
      </w:pPr>
      <w:hyperlink w:anchor="_Toc131161716" w:history="1">
        <w:r w:rsidRPr="00062C01">
          <w:rPr>
            <w:rStyle w:val="Hiperpovezava"/>
            <w:noProof/>
          </w:rPr>
          <w:t>2.1.6</w:t>
        </w:r>
        <w:r>
          <w:rPr>
            <w:rFonts w:asciiTheme="minorHAnsi" w:eastAsiaTheme="minorEastAsia" w:hAnsiTheme="minorHAnsi" w:cstheme="minorBidi"/>
            <w:b w:val="0"/>
            <w:noProof/>
            <w:szCs w:val="22"/>
            <w:lang w:val="sl-SI"/>
          </w:rPr>
          <w:tab/>
        </w:r>
        <w:r w:rsidRPr="00062C01">
          <w:rPr>
            <w:rStyle w:val="Hiperpovezava"/>
            <w:noProof/>
          </w:rPr>
          <w:t>Priority 6: Skills and responsive labour market</w:t>
        </w:r>
        <w:r>
          <w:rPr>
            <w:noProof/>
            <w:webHidden/>
          </w:rPr>
          <w:tab/>
        </w:r>
        <w:r>
          <w:rPr>
            <w:noProof/>
            <w:webHidden/>
          </w:rPr>
          <w:fldChar w:fldCharType="begin"/>
        </w:r>
        <w:r>
          <w:rPr>
            <w:noProof/>
            <w:webHidden/>
          </w:rPr>
          <w:instrText xml:space="preserve"> PAGEREF _Toc131161716 \h </w:instrText>
        </w:r>
        <w:r>
          <w:rPr>
            <w:noProof/>
            <w:webHidden/>
          </w:rPr>
        </w:r>
        <w:r>
          <w:rPr>
            <w:noProof/>
            <w:webHidden/>
          </w:rPr>
          <w:fldChar w:fldCharType="separate"/>
        </w:r>
        <w:r>
          <w:rPr>
            <w:noProof/>
            <w:webHidden/>
          </w:rPr>
          <w:t>153</w:t>
        </w:r>
        <w:r>
          <w:rPr>
            <w:noProof/>
            <w:webHidden/>
          </w:rPr>
          <w:fldChar w:fldCharType="end"/>
        </w:r>
      </w:hyperlink>
    </w:p>
    <w:p w14:paraId="109617D8" w14:textId="4E4D2F03" w:rsidR="00425F22" w:rsidRDefault="00425F22">
      <w:pPr>
        <w:pStyle w:val="Kazalovsebine4"/>
        <w:rPr>
          <w:rFonts w:asciiTheme="minorHAnsi" w:eastAsiaTheme="minorEastAsia" w:hAnsiTheme="minorHAnsi" w:cstheme="minorBidi"/>
          <w:noProof/>
          <w:szCs w:val="22"/>
          <w:lang w:val="sl-SI"/>
        </w:rPr>
      </w:pPr>
      <w:hyperlink w:anchor="_Toc131161717" w:history="1">
        <w:r w:rsidRPr="00062C01">
          <w:rPr>
            <w:rStyle w:val="Hiperpovezava"/>
            <w:noProof/>
          </w:rPr>
          <w:t>2.1.6.1</w:t>
        </w:r>
        <w:r>
          <w:rPr>
            <w:rFonts w:asciiTheme="minorHAnsi" w:eastAsiaTheme="minorEastAsia" w:hAnsiTheme="minorHAnsi" w:cstheme="minorBidi"/>
            <w:noProof/>
            <w:szCs w:val="22"/>
            <w:lang w:val="sl-SI"/>
          </w:rPr>
          <w:tab/>
        </w:r>
        <w:r w:rsidRPr="00062C01">
          <w:rPr>
            <w:rStyle w:val="Hiperpovezava"/>
            <w:noProof/>
          </w:rPr>
          <w:t>Specific objective ESO4.1. Improving access to employment and activation measures for all jobseekers, in particular young people, especially through the implementation of the Youth Guarantee, for long-term unemployed and disadvantaged groups on the labour market, and for inactive people, as well as through the promotion of self-employment and the social economy (ESF+)</w:t>
        </w:r>
        <w:r>
          <w:rPr>
            <w:noProof/>
            <w:webHidden/>
          </w:rPr>
          <w:tab/>
        </w:r>
        <w:r>
          <w:rPr>
            <w:noProof/>
            <w:webHidden/>
          </w:rPr>
          <w:fldChar w:fldCharType="begin"/>
        </w:r>
        <w:r>
          <w:rPr>
            <w:noProof/>
            <w:webHidden/>
          </w:rPr>
          <w:instrText xml:space="preserve"> PAGEREF _Toc131161717 \h </w:instrText>
        </w:r>
        <w:r>
          <w:rPr>
            <w:noProof/>
            <w:webHidden/>
          </w:rPr>
        </w:r>
        <w:r>
          <w:rPr>
            <w:noProof/>
            <w:webHidden/>
          </w:rPr>
          <w:fldChar w:fldCharType="separate"/>
        </w:r>
        <w:r>
          <w:rPr>
            <w:noProof/>
            <w:webHidden/>
          </w:rPr>
          <w:t>153</w:t>
        </w:r>
        <w:r>
          <w:rPr>
            <w:noProof/>
            <w:webHidden/>
          </w:rPr>
          <w:fldChar w:fldCharType="end"/>
        </w:r>
      </w:hyperlink>
    </w:p>
    <w:p w14:paraId="691D733C" w14:textId="61B8EABF" w:rsidR="00425F22" w:rsidRDefault="00425F22">
      <w:pPr>
        <w:pStyle w:val="Kazalovsebine4"/>
        <w:rPr>
          <w:rFonts w:asciiTheme="minorHAnsi" w:eastAsiaTheme="minorEastAsia" w:hAnsiTheme="minorHAnsi" w:cstheme="minorBidi"/>
          <w:noProof/>
          <w:szCs w:val="22"/>
          <w:lang w:val="sl-SI"/>
        </w:rPr>
      </w:pPr>
      <w:hyperlink w:anchor="_Toc131161718" w:history="1">
        <w:r w:rsidRPr="00062C01">
          <w:rPr>
            <w:rStyle w:val="Hiperpovezava"/>
            <w:noProof/>
          </w:rPr>
          <w:t>2.1.6.2</w:t>
        </w:r>
        <w:r>
          <w:rPr>
            <w:rFonts w:asciiTheme="minorHAnsi" w:eastAsiaTheme="minorEastAsia" w:hAnsiTheme="minorHAnsi" w:cstheme="minorBidi"/>
            <w:noProof/>
            <w:szCs w:val="22"/>
            <w:lang w:val="sl-SI"/>
          </w:rPr>
          <w:tab/>
        </w:r>
        <w:r w:rsidRPr="00062C01">
          <w:rPr>
            <w:rStyle w:val="Hiperpovezava"/>
            <w:noProof/>
          </w:rPr>
          <w:t>Specific objective ESO4.2. Modernising labour market institutions and services to assess and anticipate skills needs and ensure timely and tailormade assistance and support for labour market matching, transitions and mobility (ESF+)</w:t>
        </w:r>
        <w:r>
          <w:rPr>
            <w:noProof/>
            <w:webHidden/>
          </w:rPr>
          <w:tab/>
        </w:r>
        <w:r>
          <w:rPr>
            <w:noProof/>
            <w:webHidden/>
          </w:rPr>
          <w:fldChar w:fldCharType="begin"/>
        </w:r>
        <w:r>
          <w:rPr>
            <w:noProof/>
            <w:webHidden/>
          </w:rPr>
          <w:instrText xml:space="preserve"> PAGEREF _Toc131161718 \h </w:instrText>
        </w:r>
        <w:r>
          <w:rPr>
            <w:noProof/>
            <w:webHidden/>
          </w:rPr>
        </w:r>
        <w:r>
          <w:rPr>
            <w:noProof/>
            <w:webHidden/>
          </w:rPr>
          <w:fldChar w:fldCharType="separate"/>
        </w:r>
        <w:r>
          <w:rPr>
            <w:noProof/>
            <w:webHidden/>
          </w:rPr>
          <w:t>161</w:t>
        </w:r>
        <w:r>
          <w:rPr>
            <w:noProof/>
            <w:webHidden/>
          </w:rPr>
          <w:fldChar w:fldCharType="end"/>
        </w:r>
      </w:hyperlink>
    </w:p>
    <w:p w14:paraId="29DAC6B9" w14:textId="2C1CBAF3" w:rsidR="00425F22" w:rsidRDefault="00425F22">
      <w:pPr>
        <w:pStyle w:val="Kazalovsebine4"/>
        <w:rPr>
          <w:rFonts w:asciiTheme="minorHAnsi" w:eastAsiaTheme="minorEastAsia" w:hAnsiTheme="minorHAnsi" w:cstheme="minorBidi"/>
          <w:noProof/>
          <w:szCs w:val="22"/>
          <w:lang w:val="sl-SI"/>
        </w:rPr>
      </w:pPr>
      <w:hyperlink w:anchor="_Toc131161719" w:history="1">
        <w:r w:rsidRPr="00062C01">
          <w:rPr>
            <w:rStyle w:val="Hiperpovezava"/>
            <w:noProof/>
          </w:rPr>
          <w:t>2.1.6.3</w:t>
        </w:r>
        <w:r>
          <w:rPr>
            <w:rFonts w:asciiTheme="minorHAnsi" w:eastAsiaTheme="minorEastAsia" w:hAnsiTheme="minorHAnsi" w:cstheme="minorBidi"/>
            <w:noProof/>
            <w:szCs w:val="22"/>
            <w:lang w:val="sl-SI"/>
          </w:rPr>
          <w:tab/>
        </w:r>
        <w:r w:rsidRPr="00062C01">
          <w:rPr>
            <w:rStyle w:val="Hiperpovezava"/>
            <w:noProof/>
          </w:rPr>
          <w:t>Specific objective ESO4.4. Promoting the adaptation of workers, enterprises and entrepreneurs to change, active and healthy ageing and a healthy and well-adapted working environment that addresses health risks (ESF+)</w:t>
        </w:r>
        <w:r>
          <w:rPr>
            <w:noProof/>
            <w:webHidden/>
          </w:rPr>
          <w:tab/>
        </w:r>
        <w:r>
          <w:rPr>
            <w:noProof/>
            <w:webHidden/>
          </w:rPr>
          <w:fldChar w:fldCharType="begin"/>
        </w:r>
        <w:r>
          <w:rPr>
            <w:noProof/>
            <w:webHidden/>
          </w:rPr>
          <w:instrText xml:space="preserve"> PAGEREF _Toc131161719 \h </w:instrText>
        </w:r>
        <w:r>
          <w:rPr>
            <w:noProof/>
            <w:webHidden/>
          </w:rPr>
        </w:r>
        <w:r>
          <w:rPr>
            <w:noProof/>
            <w:webHidden/>
          </w:rPr>
          <w:fldChar w:fldCharType="separate"/>
        </w:r>
        <w:r>
          <w:rPr>
            <w:noProof/>
            <w:webHidden/>
          </w:rPr>
          <w:t>167</w:t>
        </w:r>
        <w:r>
          <w:rPr>
            <w:noProof/>
            <w:webHidden/>
          </w:rPr>
          <w:fldChar w:fldCharType="end"/>
        </w:r>
      </w:hyperlink>
    </w:p>
    <w:p w14:paraId="49067FB2" w14:textId="581EC405" w:rsidR="00425F22" w:rsidRDefault="00425F22">
      <w:pPr>
        <w:pStyle w:val="Kazalovsebine4"/>
        <w:rPr>
          <w:rFonts w:asciiTheme="minorHAnsi" w:eastAsiaTheme="minorEastAsia" w:hAnsiTheme="minorHAnsi" w:cstheme="minorBidi"/>
          <w:noProof/>
          <w:szCs w:val="22"/>
          <w:lang w:val="sl-SI"/>
        </w:rPr>
      </w:pPr>
      <w:hyperlink w:anchor="_Toc131161720" w:history="1">
        <w:r w:rsidRPr="00062C01">
          <w:rPr>
            <w:rStyle w:val="Hiperpovezava"/>
            <w:noProof/>
          </w:rPr>
          <w:t>2.1.6.4</w:t>
        </w:r>
        <w:r>
          <w:rPr>
            <w:rFonts w:asciiTheme="minorHAnsi" w:eastAsiaTheme="minorEastAsia" w:hAnsiTheme="minorHAnsi" w:cstheme="minorBidi"/>
            <w:noProof/>
            <w:szCs w:val="22"/>
            <w:lang w:val="sl-SI"/>
          </w:rPr>
          <w:tab/>
        </w:r>
        <w:r w:rsidRPr="00062C01">
          <w:rPr>
            <w:rStyle w:val="Hiperpovezava"/>
            <w:noProof/>
          </w:rPr>
          <w:t>Specific objective ESO4.5. Improving the quality, inclusiveness, effectiveness and labour market relevance of education and training systems including through validation of non-formal and informal learning, to support acquisition of key competences including entrepreneurial and digital skills, and by promoting the introduction of dual-training systems and apprenticeships (ESF+)</w:t>
        </w:r>
        <w:r>
          <w:rPr>
            <w:noProof/>
            <w:webHidden/>
          </w:rPr>
          <w:tab/>
        </w:r>
        <w:r>
          <w:rPr>
            <w:noProof/>
            <w:webHidden/>
          </w:rPr>
          <w:fldChar w:fldCharType="begin"/>
        </w:r>
        <w:r>
          <w:rPr>
            <w:noProof/>
            <w:webHidden/>
          </w:rPr>
          <w:instrText xml:space="preserve"> PAGEREF _Toc131161720 \h </w:instrText>
        </w:r>
        <w:r>
          <w:rPr>
            <w:noProof/>
            <w:webHidden/>
          </w:rPr>
        </w:r>
        <w:r>
          <w:rPr>
            <w:noProof/>
            <w:webHidden/>
          </w:rPr>
          <w:fldChar w:fldCharType="separate"/>
        </w:r>
        <w:r>
          <w:rPr>
            <w:noProof/>
            <w:webHidden/>
          </w:rPr>
          <w:t>174</w:t>
        </w:r>
        <w:r>
          <w:rPr>
            <w:noProof/>
            <w:webHidden/>
          </w:rPr>
          <w:fldChar w:fldCharType="end"/>
        </w:r>
      </w:hyperlink>
    </w:p>
    <w:p w14:paraId="195DBD5D" w14:textId="5A9CC8DD" w:rsidR="00425F22" w:rsidRDefault="00425F22">
      <w:pPr>
        <w:pStyle w:val="Kazalovsebine4"/>
        <w:rPr>
          <w:rFonts w:asciiTheme="minorHAnsi" w:eastAsiaTheme="minorEastAsia" w:hAnsiTheme="minorHAnsi" w:cstheme="minorBidi"/>
          <w:noProof/>
          <w:szCs w:val="22"/>
          <w:lang w:val="sl-SI"/>
        </w:rPr>
      </w:pPr>
      <w:hyperlink w:anchor="_Toc131161721" w:history="1">
        <w:r w:rsidRPr="00062C01">
          <w:rPr>
            <w:rStyle w:val="Hiperpovezava"/>
            <w:noProof/>
          </w:rPr>
          <w:t>2.1.6.5</w:t>
        </w:r>
        <w:r>
          <w:rPr>
            <w:rFonts w:asciiTheme="minorHAnsi" w:eastAsiaTheme="minorEastAsia" w:hAnsiTheme="minorHAnsi" w:cstheme="minorBidi"/>
            <w:noProof/>
            <w:szCs w:val="22"/>
            <w:lang w:val="sl-SI"/>
          </w:rPr>
          <w:tab/>
        </w:r>
        <w:r w:rsidRPr="00062C01">
          <w:rPr>
            <w:rStyle w:val="Hiperpovezava"/>
            <w:noProof/>
          </w:rPr>
          <w:t>Specific objective ESO4.7. Promoting lifelong learning, in particular flexible upskilling and reskilling opportunities for all taking into account entrepreneurial and digital skills, better anticipating change and new skills requirements based on labour market needs, facilitating career transitions and promoting professional mobility (ESF+)</w:t>
        </w:r>
        <w:r>
          <w:rPr>
            <w:noProof/>
            <w:webHidden/>
          </w:rPr>
          <w:tab/>
        </w:r>
        <w:r>
          <w:rPr>
            <w:noProof/>
            <w:webHidden/>
          </w:rPr>
          <w:fldChar w:fldCharType="begin"/>
        </w:r>
        <w:r>
          <w:rPr>
            <w:noProof/>
            <w:webHidden/>
          </w:rPr>
          <w:instrText xml:space="preserve"> PAGEREF _Toc131161721 \h </w:instrText>
        </w:r>
        <w:r>
          <w:rPr>
            <w:noProof/>
            <w:webHidden/>
          </w:rPr>
        </w:r>
        <w:r>
          <w:rPr>
            <w:noProof/>
            <w:webHidden/>
          </w:rPr>
          <w:fldChar w:fldCharType="separate"/>
        </w:r>
        <w:r>
          <w:rPr>
            <w:noProof/>
            <w:webHidden/>
          </w:rPr>
          <w:t>182</w:t>
        </w:r>
        <w:r>
          <w:rPr>
            <w:noProof/>
            <w:webHidden/>
          </w:rPr>
          <w:fldChar w:fldCharType="end"/>
        </w:r>
      </w:hyperlink>
    </w:p>
    <w:p w14:paraId="3C364944" w14:textId="19338C9D" w:rsidR="00425F22" w:rsidRDefault="00425F22">
      <w:pPr>
        <w:pStyle w:val="Kazalovsebine4"/>
        <w:rPr>
          <w:rFonts w:asciiTheme="minorHAnsi" w:eastAsiaTheme="minorEastAsia" w:hAnsiTheme="minorHAnsi" w:cstheme="minorBidi"/>
          <w:noProof/>
          <w:szCs w:val="22"/>
          <w:lang w:val="sl-SI"/>
        </w:rPr>
      </w:pPr>
      <w:hyperlink w:anchor="_Toc131161722" w:history="1">
        <w:r w:rsidRPr="00062C01">
          <w:rPr>
            <w:rStyle w:val="Hiperpovezava"/>
            <w:noProof/>
          </w:rPr>
          <w:t>2.1.6.6</w:t>
        </w:r>
        <w:r>
          <w:rPr>
            <w:rFonts w:asciiTheme="minorHAnsi" w:eastAsiaTheme="minorEastAsia" w:hAnsiTheme="minorHAnsi" w:cstheme="minorBidi"/>
            <w:noProof/>
            <w:szCs w:val="22"/>
            <w:lang w:val="sl-SI"/>
          </w:rPr>
          <w:tab/>
        </w:r>
        <w:r w:rsidRPr="00062C01">
          <w:rPr>
            <w:rStyle w:val="Hiperpovezava"/>
            <w:noProof/>
          </w:rPr>
          <w:t>Specific objective RSO4.2. Improving equal access to inclusive and quality services in education, training and lifelong learning through developing accessible infrastructure, including by fostering resilience for distance and on-line education and  training (ERDF)</w:t>
        </w:r>
        <w:r>
          <w:rPr>
            <w:noProof/>
            <w:webHidden/>
          </w:rPr>
          <w:tab/>
        </w:r>
        <w:r>
          <w:rPr>
            <w:noProof/>
            <w:webHidden/>
          </w:rPr>
          <w:fldChar w:fldCharType="begin"/>
        </w:r>
        <w:r>
          <w:rPr>
            <w:noProof/>
            <w:webHidden/>
          </w:rPr>
          <w:instrText xml:space="preserve"> PAGEREF _Toc131161722 \h </w:instrText>
        </w:r>
        <w:r>
          <w:rPr>
            <w:noProof/>
            <w:webHidden/>
          </w:rPr>
        </w:r>
        <w:r>
          <w:rPr>
            <w:noProof/>
            <w:webHidden/>
          </w:rPr>
          <w:fldChar w:fldCharType="separate"/>
        </w:r>
        <w:r>
          <w:rPr>
            <w:noProof/>
            <w:webHidden/>
          </w:rPr>
          <w:t>189</w:t>
        </w:r>
        <w:r>
          <w:rPr>
            <w:noProof/>
            <w:webHidden/>
          </w:rPr>
          <w:fldChar w:fldCharType="end"/>
        </w:r>
      </w:hyperlink>
    </w:p>
    <w:p w14:paraId="09A57D30" w14:textId="701995FE" w:rsidR="00425F22" w:rsidRDefault="00425F22">
      <w:pPr>
        <w:pStyle w:val="Kazalovsebine3"/>
        <w:rPr>
          <w:rFonts w:asciiTheme="minorHAnsi" w:eastAsiaTheme="minorEastAsia" w:hAnsiTheme="minorHAnsi" w:cstheme="minorBidi"/>
          <w:b w:val="0"/>
          <w:noProof/>
          <w:szCs w:val="22"/>
          <w:lang w:val="sl-SI"/>
        </w:rPr>
      </w:pPr>
      <w:hyperlink w:anchor="_Toc131161723" w:history="1">
        <w:r w:rsidRPr="00062C01">
          <w:rPr>
            <w:rStyle w:val="Hiperpovezava"/>
            <w:noProof/>
          </w:rPr>
          <w:t>2.1.7</w:t>
        </w:r>
        <w:r>
          <w:rPr>
            <w:rFonts w:asciiTheme="minorHAnsi" w:eastAsiaTheme="minorEastAsia" w:hAnsiTheme="minorHAnsi" w:cstheme="minorBidi"/>
            <w:b w:val="0"/>
            <w:noProof/>
            <w:szCs w:val="22"/>
            <w:lang w:val="sl-SI"/>
          </w:rPr>
          <w:tab/>
        </w:r>
        <w:r w:rsidRPr="00062C01">
          <w:rPr>
            <w:rStyle w:val="Hiperpovezava"/>
            <w:noProof/>
          </w:rPr>
          <w:t>Priority 7: Long-term care and health, and social inclusion</w:t>
        </w:r>
        <w:r>
          <w:rPr>
            <w:noProof/>
            <w:webHidden/>
          </w:rPr>
          <w:tab/>
        </w:r>
        <w:r>
          <w:rPr>
            <w:noProof/>
            <w:webHidden/>
          </w:rPr>
          <w:fldChar w:fldCharType="begin"/>
        </w:r>
        <w:r>
          <w:rPr>
            <w:noProof/>
            <w:webHidden/>
          </w:rPr>
          <w:instrText xml:space="preserve"> PAGEREF _Toc131161723 \h </w:instrText>
        </w:r>
        <w:r>
          <w:rPr>
            <w:noProof/>
            <w:webHidden/>
          </w:rPr>
        </w:r>
        <w:r>
          <w:rPr>
            <w:noProof/>
            <w:webHidden/>
          </w:rPr>
          <w:fldChar w:fldCharType="separate"/>
        </w:r>
        <w:r>
          <w:rPr>
            <w:noProof/>
            <w:webHidden/>
          </w:rPr>
          <w:t>195</w:t>
        </w:r>
        <w:r>
          <w:rPr>
            <w:noProof/>
            <w:webHidden/>
          </w:rPr>
          <w:fldChar w:fldCharType="end"/>
        </w:r>
      </w:hyperlink>
    </w:p>
    <w:p w14:paraId="2CC058DB" w14:textId="693FEA06" w:rsidR="00425F22" w:rsidRDefault="00425F22">
      <w:pPr>
        <w:pStyle w:val="Kazalovsebine4"/>
        <w:rPr>
          <w:rFonts w:asciiTheme="minorHAnsi" w:eastAsiaTheme="minorEastAsia" w:hAnsiTheme="minorHAnsi" w:cstheme="minorBidi"/>
          <w:noProof/>
          <w:szCs w:val="22"/>
          <w:lang w:val="sl-SI"/>
        </w:rPr>
      </w:pPr>
      <w:hyperlink w:anchor="_Toc131161724" w:history="1">
        <w:r w:rsidRPr="00062C01">
          <w:rPr>
            <w:rStyle w:val="Hiperpovezava"/>
            <w:noProof/>
          </w:rPr>
          <w:t>2.1.7.1</w:t>
        </w:r>
        <w:r>
          <w:rPr>
            <w:rFonts w:asciiTheme="minorHAnsi" w:eastAsiaTheme="minorEastAsia" w:hAnsiTheme="minorHAnsi" w:cstheme="minorBidi"/>
            <w:noProof/>
            <w:szCs w:val="22"/>
            <w:lang w:val="sl-SI"/>
          </w:rPr>
          <w:tab/>
        </w:r>
        <w:r w:rsidRPr="00062C01">
          <w:rPr>
            <w:rStyle w:val="Hiperpovezava"/>
            <w:noProof/>
          </w:rPr>
          <w:t>Specific objective ESO4.8. Fostering active inclusion with a view to promoting equal opportunities, non-discrimination and active participation, and improving employability, in particular for disadvantaged groups (ESF+)</w:t>
        </w:r>
        <w:r>
          <w:rPr>
            <w:noProof/>
            <w:webHidden/>
          </w:rPr>
          <w:tab/>
        </w:r>
        <w:r>
          <w:rPr>
            <w:noProof/>
            <w:webHidden/>
          </w:rPr>
          <w:fldChar w:fldCharType="begin"/>
        </w:r>
        <w:r>
          <w:rPr>
            <w:noProof/>
            <w:webHidden/>
          </w:rPr>
          <w:instrText xml:space="preserve"> PAGEREF _Toc131161724 \h </w:instrText>
        </w:r>
        <w:r>
          <w:rPr>
            <w:noProof/>
            <w:webHidden/>
          </w:rPr>
        </w:r>
        <w:r>
          <w:rPr>
            <w:noProof/>
            <w:webHidden/>
          </w:rPr>
          <w:fldChar w:fldCharType="separate"/>
        </w:r>
        <w:r>
          <w:rPr>
            <w:noProof/>
            <w:webHidden/>
          </w:rPr>
          <w:t>195</w:t>
        </w:r>
        <w:r>
          <w:rPr>
            <w:noProof/>
            <w:webHidden/>
          </w:rPr>
          <w:fldChar w:fldCharType="end"/>
        </w:r>
      </w:hyperlink>
    </w:p>
    <w:p w14:paraId="6A1D88CC" w14:textId="3B4C951D" w:rsidR="00425F22" w:rsidRDefault="00425F22">
      <w:pPr>
        <w:pStyle w:val="Kazalovsebine4"/>
        <w:rPr>
          <w:rFonts w:asciiTheme="minorHAnsi" w:eastAsiaTheme="minorEastAsia" w:hAnsiTheme="minorHAnsi" w:cstheme="minorBidi"/>
          <w:noProof/>
          <w:szCs w:val="22"/>
          <w:lang w:val="sl-SI"/>
        </w:rPr>
      </w:pPr>
      <w:hyperlink w:anchor="_Toc131161725" w:history="1">
        <w:r w:rsidRPr="00062C01">
          <w:rPr>
            <w:rStyle w:val="Hiperpovezava"/>
            <w:noProof/>
          </w:rPr>
          <w:t>2.1.7.2</w:t>
        </w:r>
        <w:r>
          <w:rPr>
            <w:rFonts w:asciiTheme="minorHAnsi" w:eastAsiaTheme="minorEastAsia" w:hAnsiTheme="minorHAnsi" w:cstheme="minorBidi"/>
            <w:noProof/>
            <w:szCs w:val="22"/>
            <w:lang w:val="sl-SI"/>
          </w:rPr>
          <w:tab/>
        </w:r>
        <w:r w:rsidRPr="00062C01">
          <w:rPr>
            <w:rStyle w:val="Hiperpovezava"/>
            <w:noProof/>
          </w:rPr>
          <w:t>Specific objective ESO4.11. Enhancing equal and timely access to quality, sustainable and affordable services, including services that promote the access to housing and person-centred care including healthcare; modernising social protection systems, including promoting access to social protection, with a particular focus on children and disadvantaged groups; improving accessibility including for persons with disabilities, effectiveness and resilience of healthcare systems and long-term care services (ESF+)</w:t>
        </w:r>
        <w:r>
          <w:rPr>
            <w:noProof/>
            <w:webHidden/>
          </w:rPr>
          <w:tab/>
        </w:r>
        <w:r>
          <w:rPr>
            <w:noProof/>
            <w:webHidden/>
          </w:rPr>
          <w:fldChar w:fldCharType="begin"/>
        </w:r>
        <w:r>
          <w:rPr>
            <w:noProof/>
            <w:webHidden/>
          </w:rPr>
          <w:instrText xml:space="preserve"> PAGEREF _Toc131161725 \h </w:instrText>
        </w:r>
        <w:r>
          <w:rPr>
            <w:noProof/>
            <w:webHidden/>
          </w:rPr>
        </w:r>
        <w:r>
          <w:rPr>
            <w:noProof/>
            <w:webHidden/>
          </w:rPr>
          <w:fldChar w:fldCharType="separate"/>
        </w:r>
        <w:r>
          <w:rPr>
            <w:noProof/>
            <w:webHidden/>
          </w:rPr>
          <w:t>200</w:t>
        </w:r>
        <w:r>
          <w:rPr>
            <w:noProof/>
            <w:webHidden/>
          </w:rPr>
          <w:fldChar w:fldCharType="end"/>
        </w:r>
      </w:hyperlink>
    </w:p>
    <w:p w14:paraId="0A15DFA4" w14:textId="486A382B" w:rsidR="00425F22" w:rsidRDefault="00425F22">
      <w:pPr>
        <w:pStyle w:val="Kazalovsebine4"/>
        <w:rPr>
          <w:rFonts w:asciiTheme="minorHAnsi" w:eastAsiaTheme="minorEastAsia" w:hAnsiTheme="minorHAnsi" w:cstheme="minorBidi"/>
          <w:noProof/>
          <w:szCs w:val="22"/>
          <w:lang w:val="sl-SI"/>
        </w:rPr>
      </w:pPr>
      <w:hyperlink w:anchor="_Toc131161726" w:history="1">
        <w:r w:rsidRPr="00062C01">
          <w:rPr>
            <w:rStyle w:val="Hiperpovezava"/>
            <w:noProof/>
          </w:rPr>
          <w:t>2.1.7.3</w:t>
        </w:r>
        <w:r>
          <w:rPr>
            <w:rFonts w:asciiTheme="minorHAnsi" w:eastAsiaTheme="minorEastAsia" w:hAnsiTheme="minorHAnsi" w:cstheme="minorBidi"/>
            <w:noProof/>
            <w:szCs w:val="22"/>
            <w:lang w:val="sl-SI"/>
          </w:rPr>
          <w:tab/>
        </w:r>
        <w:r w:rsidRPr="00062C01">
          <w:rPr>
            <w:rStyle w:val="Hiperpovezava"/>
            <w:noProof/>
          </w:rPr>
          <w:t>Specific objective ESO4.12. Promoting social integration of people at risk of poverty or social exclusion, including the most deprived persons and children (ESF+)</w:t>
        </w:r>
        <w:r>
          <w:rPr>
            <w:noProof/>
            <w:webHidden/>
          </w:rPr>
          <w:tab/>
        </w:r>
        <w:r>
          <w:rPr>
            <w:noProof/>
            <w:webHidden/>
          </w:rPr>
          <w:fldChar w:fldCharType="begin"/>
        </w:r>
        <w:r>
          <w:rPr>
            <w:noProof/>
            <w:webHidden/>
          </w:rPr>
          <w:instrText xml:space="preserve"> PAGEREF _Toc131161726 \h </w:instrText>
        </w:r>
        <w:r>
          <w:rPr>
            <w:noProof/>
            <w:webHidden/>
          </w:rPr>
        </w:r>
        <w:r>
          <w:rPr>
            <w:noProof/>
            <w:webHidden/>
          </w:rPr>
          <w:fldChar w:fldCharType="separate"/>
        </w:r>
        <w:r>
          <w:rPr>
            <w:noProof/>
            <w:webHidden/>
          </w:rPr>
          <w:t>207</w:t>
        </w:r>
        <w:r>
          <w:rPr>
            <w:noProof/>
            <w:webHidden/>
          </w:rPr>
          <w:fldChar w:fldCharType="end"/>
        </w:r>
      </w:hyperlink>
    </w:p>
    <w:p w14:paraId="04314EC7" w14:textId="7A19E60A" w:rsidR="00425F22" w:rsidRDefault="00425F22">
      <w:pPr>
        <w:pStyle w:val="Kazalovsebine4"/>
        <w:rPr>
          <w:rFonts w:asciiTheme="minorHAnsi" w:eastAsiaTheme="minorEastAsia" w:hAnsiTheme="minorHAnsi" w:cstheme="minorBidi"/>
          <w:noProof/>
          <w:szCs w:val="22"/>
          <w:lang w:val="sl-SI"/>
        </w:rPr>
      </w:pPr>
      <w:hyperlink w:anchor="_Toc131161727" w:history="1">
        <w:r w:rsidRPr="00062C01">
          <w:rPr>
            <w:rStyle w:val="Hiperpovezava"/>
            <w:noProof/>
          </w:rPr>
          <w:t>2.1.7.4</w:t>
        </w:r>
        <w:r>
          <w:rPr>
            <w:rFonts w:asciiTheme="minorHAnsi" w:eastAsiaTheme="minorEastAsia" w:hAnsiTheme="minorHAnsi" w:cstheme="minorBidi"/>
            <w:noProof/>
            <w:szCs w:val="22"/>
            <w:lang w:val="sl-SI"/>
          </w:rPr>
          <w:tab/>
        </w:r>
        <w:r w:rsidRPr="00062C01">
          <w:rPr>
            <w:rStyle w:val="Hiperpovezava"/>
            <w:noProof/>
          </w:rPr>
          <w:t>Specific objective RSO4.3. Promoting the socio-economic inclusion of marginalised communities, low income households and disadvantaged groups including people with special needs, through integrated actions including housing and social services (ERDF)</w:t>
        </w:r>
        <w:r>
          <w:rPr>
            <w:noProof/>
            <w:webHidden/>
          </w:rPr>
          <w:tab/>
        </w:r>
        <w:r>
          <w:rPr>
            <w:noProof/>
            <w:webHidden/>
          </w:rPr>
          <w:fldChar w:fldCharType="begin"/>
        </w:r>
        <w:r>
          <w:rPr>
            <w:noProof/>
            <w:webHidden/>
          </w:rPr>
          <w:instrText xml:space="preserve"> PAGEREF _Toc131161727 \h </w:instrText>
        </w:r>
        <w:r>
          <w:rPr>
            <w:noProof/>
            <w:webHidden/>
          </w:rPr>
        </w:r>
        <w:r>
          <w:rPr>
            <w:noProof/>
            <w:webHidden/>
          </w:rPr>
          <w:fldChar w:fldCharType="separate"/>
        </w:r>
        <w:r>
          <w:rPr>
            <w:noProof/>
            <w:webHidden/>
          </w:rPr>
          <w:t>214</w:t>
        </w:r>
        <w:r>
          <w:rPr>
            <w:noProof/>
            <w:webHidden/>
          </w:rPr>
          <w:fldChar w:fldCharType="end"/>
        </w:r>
      </w:hyperlink>
    </w:p>
    <w:p w14:paraId="72A7E49C" w14:textId="3CFDA5D5" w:rsidR="00425F22" w:rsidRDefault="00425F22">
      <w:pPr>
        <w:pStyle w:val="Kazalovsebine4"/>
        <w:rPr>
          <w:rFonts w:asciiTheme="minorHAnsi" w:eastAsiaTheme="minorEastAsia" w:hAnsiTheme="minorHAnsi" w:cstheme="minorBidi"/>
          <w:noProof/>
          <w:szCs w:val="22"/>
          <w:lang w:val="sl-SI"/>
        </w:rPr>
      </w:pPr>
      <w:hyperlink w:anchor="_Toc131161728" w:history="1">
        <w:r w:rsidRPr="00062C01">
          <w:rPr>
            <w:rStyle w:val="Hiperpovezava"/>
            <w:noProof/>
          </w:rPr>
          <w:t>2.1.7.5</w:t>
        </w:r>
        <w:r>
          <w:rPr>
            <w:rFonts w:asciiTheme="minorHAnsi" w:eastAsiaTheme="minorEastAsia" w:hAnsiTheme="minorHAnsi" w:cstheme="minorBidi"/>
            <w:noProof/>
            <w:szCs w:val="22"/>
            <w:lang w:val="sl-SI"/>
          </w:rPr>
          <w:tab/>
        </w:r>
        <w:r w:rsidRPr="00062C01">
          <w:rPr>
            <w:rStyle w:val="Hiperpovezava"/>
            <w:noProof/>
          </w:rPr>
          <w:t>Specific objective RSO4.5. Ensuring equal access to health care and fostering resilience of health systems, including primary care, and promoting the transition from institutional to family-based and community-based care (ERDF)</w:t>
        </w:r>
        <w:r>
          <w:rPr>
            <w:noProof/>
            <w:webHidden/>
          </w:rPr>
          <w:tab/>
        </w:r>
        <w:r>
          <w:rPr>
            <w:noProof/>
            <w:webHidden/>
          </w:rPr>
          <w:fldChar w:fldCharType="begin"/>
        </w:r>
        <w:r>
          <w:rPr>
            <w:noProof/>
            <w:webHidden/>
          </w:rPr>
          <w:instrText xml:space="preserve"> PAGEREF _Toc131161728 \h </w:instrText>
        </w:r>
        <w:r>
          <w:rPr>
            <w:noProof/>
            <w:webHidden/>
          </w:rPr>
        </w:r>
        <w:r>
          <w:rPr>
            <w:noProof/>
            <w:webHidden/>
          </w:rPr>
          <w:fldChar w:fldCharType="separate"/>
        </w:r>
        <w:r>
          <w:rPr>
            <w:noProof/>
            <w:webHidden/>
          </w:rPr>
          <w:t>219</w:t>
        </w:r>
        <w:r>
          <w:rPr>
            <w:noProof/>
            <w:webHidden/>
          </w:rPr>
          <w:fldChar w:fldCharType="end"/>
        </w:r>
      </w:hyperlink>
    </w:p>
    <w:p w14:paraId="2DFA16FB" w14:textId="54A806DC" w:rsidR="00425F22" w:rsidRDefault="00425F22">
      <w:pPr>
        <w:pStyle w:val="Kazalovsebine3"/>
        <w:rPr>
          <w:rFonts w:asciiTheme="minorHAnsi" w:eastAsiaTheme="minorEastAsia" w:hAnsiTheme="minorHAnsi" w:cstheme="minorBidi"/>
          <w:b w:val="0"/>
          <w:noProof/>
          <w:szCs w:val="22"/>
          <w:lang w:val="sl-SI"/>
        </w:rPr>
      </w:pPr>
      <w:hyperlink w:anchor="_Toc131161729" w:history="1">
        <w:r w:rsidRPr="00062C01">
          <w:rPr>
            <w:rStyle w:val="Hiperpovezava"/>
            <w:noProof/>
          </w:rPr>
          <w:t>2.1.8</w:t>
        </w:r>
        <w:r>
          <w:rPr>
            <w:rFonts w:asciiTheme="minorHAnsi" w:eastAsiaTheme="minorEastAsia" w:hAnsiTheme="minorHAnsi" w:cstheme="minorBidi"/>
            <w:b w:val="0"/>
            <w:noProof/>
            <w:szCs w:val="22"/>
            <w:lang w:val="sl-SI"/>
          </w:rPr>
          <w:tab/>
        </w:r>
        <w:r w:rsidRPr="00062C01">
          <w:rPr>
            <w:rStyle w:val="Hiperpovezava"/>
            <w:noProof/>
          </w:rPr>
          <w:t>Priority 8: Sustainable tourism and culture</w:t>
        </w:r>
        <w:r>
          <w:rPr>
            <w:noProof/>
            <w:webHidden/>
          </w:rPr>
          <w:tab/>
        </w:r>
        <w:r>
          <w:rPr>
            <w:noProof/>
            <w:webHidden/>
          </w:rPr>
          <w:fldChar w:fldCharType="begin"/>
        </w:r>
        <w:r>
          <w:rPr>
            <w:noProof/>
            <w:webHidden/>
          </w:rPr>
          <w:instrText xml:space="preserve"> PAGEREF _Toc131161729 \h </w:instrText>
        </w:r>
        <w:r>
          <w:rPr>
            <w:noProof/>
            <w:webHidden/>
          </w:rPr>
        </w:r>
        <w:r>
          <w:rPr>
            <w:noProof/>
            <w:webHidden/>
          </w:rPr>
          <w:fldChar w:fldCharType="separate"/>
        </w:r>
        <w:r>
          <w:rPr>
            <w:noProof/>
            <w:webHidden/>
          </w:rPr>
          <w:t>224</w:t>
        </w:r>
        <w:r>
          <w:rPr>
            <w:noProof/>
            <w:webHidden/>
          </w:rPr>
          <w:fldChar w:fldCharType="end"/>
        </w:r>
      </w:hyperlink>
    </w:p>
    <w:p w14:paraId="6E505AA5" w14:textId="40F4C3FD" w:rsidR="00425F22" w:rsidRDefault="00425F22">
      <w:pPr>
        <w:pStyle w:val="Kazalovsebine4"/>
        <w:rPr>
          <w:rFonts w:asciiTheme="minorHAnsi" w:eastAsiaTheme="minorEastAsia" w:hAnsiTheme="minorHAnsi" w:cstheme="minorBidi"/>
          <w:noProof/>
          <w:szCs w:val="22"/>
          <w:lang w:val="sl-SI"/>
        </w:rPr>
      </w:pPr>
      <w:hyperlink w:anchor="_Toc131161730" w:history="1">
        <w:r w:rsidRPr="00062C01">
          <w:rPr>
            <w:rStyle w:val="Hiperpovezava"/>
            <w:noProof/>
          </w:rPr>
          <w:t>2.1.8.1</w:t>
        </w:r>
        <w:r>
          <w:rPr>
            <w:rFonts w:asciiTheme="minorHAnsi" w:eastAsiaTheme="minorEastAsia" w:hAnsiTheme="minorHAnsi" w:cstheme="minorBidi"/>
            <w:noProof/>
            <w:szCs w:val="22"/>
            <w:lang w:val="sl-SI"/>
          </w:rPr>
          <w:tab/>
        </w:r>
        <w:r w:rsidRPr="00062C01">
          <w:rPr>
            <w:rStyle w:val="Hiperpovezava"/>
            <w:noProof/>
          </w:rPr>
          <w:t>Specific objective RSO4.6. Enhancing the role of culture and sustainable tourism in economic development, social inclusion and social innovation (ERDF)</w:t>
        </w:r>
        <w:r>
          <w:rPr>
            <w:noProof/>
            <w:webHidden/>
          </w:rPr>
          <w:tab/>
        </w:r>
        <w:r>
          <w:rPr>
            <w:noProof/>
            <w:webHidden/>
          </w:rPr>
          <w:fldChar w:fldCharType="begin"/>
        </w:r>
        <w:r>
          <w:rPr>
            <w:noProof/>
            <w:webHidden/>
          </w:rPr>
          <w:instrText xml:space="preserve"> PAGEREF _Toc131161730 \h </w:instrText>
        </w:r>
        <w:r>
          <w:rPr>
            <w:noProof/>
            <w:webHidden/>
          </w:rPr>
        </w:r>
        <w:r>
          <w:rPr>
            <w:noProof/>
            <w:webHidden/>
          </w:rPr>
          <w:fldChar w:fldCharType="separate"/>
        </w:r>
        <w:r>
          <w:rPr>
            <w:noProof/>
            <w:webHidden/>
          </w:rPr>
          <w:t>224</w:t>
        </w:r>
        <w:r>
          <w:rPr>
            <w:noProof/>
            <w:webHidden/>
          </w:rPr>
          <w:fldChar w:fldCharType="end"/>
        </w:r>
      </w:hyperlink>
    </w:p>
    <w:p w14:paraId="1BB26660" w14:textId="2B56C40E" w:rsidR="00425F22" w:rsidRDefault="00425F22">
      <w:pPr>
        <w:pStyle w:val="Kazalovsebine3"/>
        <w:rPr>
          <w:rFonts w:asciiTheme="minorHAnsi" w:eastAsiaTheme="minorEastAsia" w:hAnsiTheme="minorHAnsi" w:cstheme="minorBidi"/>
          <w:b w:val="0"/>
          <w:noProof/>
          <w:szCs w:val="22"/>
          <w:lang w:val="sl-SI"/>
        </w:rPr>
      </w:pPr>
      <w:hyperlink w:anchor="_Toc131161731" w:history="1">
        <w:r w:rsidRPr="00062C01">
          <w:rPr>
            <w:rStyle w:val="Hiperpovezava"/>
            <w:noProof/>
          </w:rPr>
          <w:t>2.1.9</w:t>
        </w:r>
        <w:r>
          <w:rPr>
            <w:rFonts w:asciiTheme="minorHAnsi" w:eastAsiaTheme="minorEastAsia" w:hAnsiTheme="minorHAnsi" w:cstheme="minorBidi"/>
            <w:b w:val="0"/>
            <w:noProof/>
            <w:szCs w:val="22"/>
            <w:lang w:val="sl-SI"/>
          </w:rPr>
          <w:tab/>
        </w:r>
        <w:r w:rsidRPr="00062C01">
          <w:rPr>
            <w:rStyle w:val="Hiperpovezava"/>
            <w:noProof/>
          </w:rPr>
          <w:t>Priority 9: Sustainable development of local areas</w:t>
        </w:r>
        <w:r>
          <w:rPr>
            <w:noProof/>
            <w:webHidden/>
          </w:rPr>
          <w:tab/>
        </w:r>
        <w:r>
          <w:rPr>
            <w:noProof/>
            <w:webHidden/>
          </w:rPr>
          <w:fldChar w:fldCharType="begin"/>
        </w:r>
        <w:r>
          <w:rPr>
            <w:noProof/>
            <w:webHidden/>
          </w:rPr>
          <w:instrText xml:space="preserve"> PAGEREF _Toc131161731 \h </w:instrText>
        </w:r>
        <w:r>
          <w:rPr>
            <w:noProof/>
            <w:webHidden/>
          </w:rPr>
        </w:r>
        <w:r>
          <w:rPr>
            <w:noProof/>
            <w:webHidden/>
          </w:rPr>
          <w:fldChar w:fldCharType="separate"/>
        </w:r>
        <w:r>
          <w:rPr>
            <w:noProof/>
            <w:webHidden/>
          </w:rPr>
          <w:t>231</w:t>
        </w:r>
        <w:r>
          <w:rPr>
            <w:noProof/>
            <w:webHidden/>
          </w:rPr>
          <w:fldChar w:fldCharType="end"/>
        </w:r>
      </w:hyperlink>
    </w:p>
    <w:p w14:paraId="260E4339" w14:textId="2CDA20BA" w:rsidR="00425F22" w:rsidRDefault="00425F22">
      <w:pPr>
        <w:pStyle w:val="Kazalovsebine4"/>
        <w:rPr>
          <w:rFonts w:asciiTheme="minorHAnsi" w:eastAsiaTheme="minorEastAsia" w:hAnsiTheme="minorHAnsi" w:cstheme="minorBidi"/>
          <w:noProof/>
          <w:szCs w:val="22"/>
          <w:lang w:val="sl-SI"/>
        </w:rPr>
      </w:pPr>
      <w:hyperlink w:anchor="_Toc131161732" w:history="1">
        <w:r w:rsidRPr="00062C01">
          <w:rPr>
            <w:rStyle w:val="Hiperpovezava"/>
            <w:noProof/>
          </w:rPr>
          <w:t>2.1.9.1</w:t>
        </w:r>
        <w:r>
          <w:rPr>
            <w:rFonts w:asciiTheme="minorHAnsi" w:eastAsiaTheme="minorEastAsia" w:hAnsiTheme="minorHAnsi" w:cstheme="minorBidi"/>
            <w:noProof/>
            <w:szCs w:val="22"/>
            <w:lang w:val="sl-SI"/>
          </w:rPr>
          <w:tab/>
        </w:r>
        <w:r w:rsidRPr="00062C01">
          <w:rPr>
            <w:rStyle w:val="Hiperpovezava"/>
            <w:noProof/>
          </w:rPr>
          <w:t>Specific objective RSO5.1. Fostering the integrated and inclusive social, economic and environmental development, culture, natural heritage, sustainable tourism, and security in urban areas (ERDF)</w:t>
        </w:r>
        <w:r>
          <w:rPr>
            <w:noProof/>
            <w:webHidden/>
          </w:rPr>
          <w:tab/>
        </w:r>
        <w:r>
          <w:rPr>
            <w:noProof/>
            <w:webHidden/>
          </w:rPr>
          <w:fldChar w:fldCharType="begin"/>
        </w:r>
        <w:r>
          <w:rPr>
            <w:noProof/>
            <w:webHidden/>
          </w:rPr>
          <w:instrText xml:space="preserve"> PAGEREF _Toc131161732 \h </w:instrText>
        </w:r>
        <w:r>
          <w:rPr>
            <w:noProof/>
            <w:webHidden/>
          </w:rPr>
        </w:r>
        <w:r>
          <w:rPr>
            <w:noProof/>
            <w:webHidden/>
          </w:rPr>
          <w:fldChar w:fldCharType="separate"/>
        </w:r>
        <w:r>
          <w:rPr>
            <w:noProof/>
            <w:webHidden/>
          </w:rPr>
          <w:t>231</w:t>
        </w:r>
        <w:r>
          <w:rPr>
            <w:noProof/>
            <w:webHidden/>
          </w:rPr>
          <w:fldChar w:fldCharType="end"/>
        </w:r>
      </w:hyperlink>
    </w:p>
    <w:p w14:paraId="0C35AD17" w14:textId="768BF0E2" w:rsidR="00425F22" w:rsidRDefault="00425F22">
      <w:pPr>
        <w:pStyle w:val="Kazalovsebine4"/>
        <w:rPr>
          <w:rFonts w:asciiTheme="minorHAnsi" w:eastAsiaTheme="minorEastAsia" w:hAnsiTheme="minorHAnsi" w:cstheme="minorBidi"/>
          <w:noProof/>
          <w:szCs w:val="22"/>
          <w:lang w:val="sl-SI"/>
        </w:rPr>
      </w:pPr>
      <w:hyperlink w:anchor="_Toc131161733" w:history="1">
        <w:r w:rsidRPr="00062C01">
          <w:rPr>
            <w:rStyle w:val="Hiperpovezava"/>
            <w:noProof/>
          </w:rPr>
          <w:t>2.1.9.2</w:t>
        </w:r>
        <w:r>
          <w:rPr>
            <w:rFonts w:asciiTheme="minorHAnsi" w:eastAsiaTheme="minorEastAsia" w:hAnsiTheme="minorHAnsi" w:cstheme="minorBidi"/>
            <w:noProof/>
            <w:szCs w:val="22"/>
            <w:lang w:val="sl-SI"/>
          </w:rPr>
          <w:tab/>
        </w:r>
        <w:r w:rsidRPr="00062C01">
          <w:rPr>
            <w:rStyle w:val="Hiperpovezava"/>
            <w:noProof/>
          </w:rPr>
          <w:t>Specific objective RSO5.2. Fostering the integrated and inclusive social, economic and environmental local development, culture, natural heritage, sustainable tourism and security, in areas other than urban areas (ERDF)</w:t>
        </w:r>
        <w:r>
          <w:rPr>
            <w:noProof/>
            <w:webHidden/>
          </w:rPr>
          <w:tab/>
        </w:r>
        <w:r>
          <w:rPr>
            <w:noProof/>
            <w:webHidden/>
          </w:rPr>
          <w:fldChar w:fldCharType="begin"/>
        </w:r>
        <w:r>
          <w:rPr>
            <w:noProof/>
            <w:webHidden/>
          </w:rPr>
          <w:instrText xml:space="preserve"> PAGEREF _Toc131161733 \h </w:instrText>
        </w:r>
        <w:r>
          <w:rPr>
            <w:noProof/>
            <w:webHidden/>
          </w:rPr>
        </w:r>
        <w:r>
          <w:rPr>
            <w:noProof/>
            <w:webHidden/>
          </w:rPr>
          <w:fldChar w:fldCharType="separate"/>
        </w:r>
        <w:r>
          <w:rPr>
            <w:noProof/>
            <w:webHidden/>
          </w:rPr>
          <w:t>237</w:t>
        </w:r>
        <w:r>
          <w:rPr>
            <w:noProof/>
            <w:webHidden/>
          </w:rPr>
          <w:fldChar w:fldCharType="end"/>
        </w:r>
      </w:hyperlink>
    </w:p>
    <w:p w14:paraId="023DF47F" w14:textId="56E94EDE" w:rsidR="00425F22" w:rsidRDefault="00425F22">
      <w:pPr>
        <w:pStyle w:val="Kazalovsebine3"/>
        <w:rPr>
          <w:rFonts w:asciiTheme="minorHAnsi" w:eastAsiaTheme="minorEastAsia" w:hAnsiTheme="minorHAnsi" w:cstheme="minorBidi"/>
          <w:b w:val="0"/>
          <w:noProof/>
          <w:szCs w:val="22"/>
          <w:lang w:val="sl-SI"/>
        </w:rPr>
      </w:pPr>
      <w:hyperlink w:anchor="_Toc131161734" w:history="1">
        <w:r w:rsidRPr="00062C01">
          <w:rPr>
            <w:rStyle w:val="Hiperpovezava"/>
            <w:noProof/>
          </w:rPr>
          <w:t>2.1.10</w:t>
        </w:r>
        <w:r>
          <w:rPr>
            <w:rFonts w:asciiTheme="minorHAnsi" w:eastAsiaTheme="minorEastAsia" w:hAnsiTheme="minorHAnsi" w:cstheme="minorBidi"/>
            <w:b w:val="0"/>
            <w:noProof/>
            <w:szCs w:val="22"/>
            <w:lang w:val="sl-SI"/>
          </w:rPr>
          <w:tab/>
        </w:r>
        <w:r w:rsidRPr="00062C01">
          <w:rPr>
            <w:rStyle w:val="Hiperpovezava"/>
            <w:noProof/>
          </w:rPr>
          <w:t>Priority 10: Restructuring of coal regions</w:t>
        </w:r>
        <w:r>
          <w:rPr>
            <w:noProof/>
            <w:webHidden/>
          </w:rPr>
          <w:tab/>
        </w:r>
        <w:r>
          <w:rPr>
            <w:noProof/>
            <w:webHidden/>
          </w:rPr>
          <w:fldChar w:fldCharType="begin"/>
        </w:r>
        <w:r>
          <w:rPr>
            <w:noProof/>
            <w:webHidden/>
          </w:rPr>
          <w:instrText xml:space="preserve"> PAGEREF _Toc131161734 \h </w:instrText>
        </w:r>
        <w:r>
          <w:rPr>
            <w:noProof/>
            <w:webHidden/>
          </w:rPr>
        </w:r>
        <w:r>
          <w:rPr>
            <w:noProof/>
            <w:webHidden/>
          </w:rPr>
          <w:fldChar w:fldCharType="separate"/>
        </w:r>
        <w:r>
          <w:rPr>
            <w:noProof/>
            <w:webHidden/>
          </w:rPr>
          <w:t>242</w:t>
        </w:r>
        <w:r>
          <w:rPr>
            <w:noProof/>
            <w:webHidden/>
          </w:rPr>
          <w:fldChar w:fldCharType="end"/>
        </w:r>
      </w:hyperlink>
    </w:p>
    <w:p w14:paraId="1DD954E6" w14:textId="3EE06E04" w:rsidR="00425F22" w:rsidRDefault="00425F22">
      <w:pPr>
        <w:pStyle w:val="Kazalovsebine4"/>
        <w:rPr>
          <w:rFonts w:asciiTheme="minorHAnsi" w:eastAsiaTheme="minorEastAsia" w:hAnsiTheme="minorHAnsi" w:cstheme="minorBidi"/>
          <w:noProof/>
          <w:szCs w:val="22"/>
          <w:lang w:val="sl-SI"/>
        </w:rPr>
      </w:pPr>
      <w:hyperlink w:anchor="_Toc131161735" w:history="1">
        <w:r w:rsidRPr="00062C01">
          <w:rPr>
            <w:rStyle w:val="Hiperpovezava"/>
            <w:noProof/>
          </w:rPr>
          <w:t>2.1.10.1</w:t>
        </w:r>
        <w:r>
          <w:rPr>
            <w:rFonts w:asciiTheme="minorHAnsi" w:eastAsiaTheme="minorEastAsia" w:hAnsiTheme="minorHAnsi" w:cstheme="minorBidi"/>
            <w:noProof/>
            <w:szCs w:val="22"/>
            <w:lang w:val="sl-SI"/>
          </w:rPr>
          <w:tab/>
        </w:r>
        <w:r w:rsidRPr="00062C01">
          <w:rPr>
            <w:rStyle w:val="Hiperpovezava"/>
            <w:noProof/>
          </w:rPr>
          <w:t>Specific objective JSO8.1.: Just Transition Fund</w:t>
        </w:r>
        <w:r>
          <w:rPr>
            <w:noProof/>
            <w:webHidden/>
          </w:rPr>
          <w:tab/>
        </w:r>
        <w:r>
          <w:rPr>
            <w:noProof/>
            <w:webHidden/>
          </w:rPr>
          <w:fldChar w:fldCharType="begin"/>
        </w:r>
        <w:r>
          <w:rPr>
            <w:noProof/>
            <w:webHidden/>
          </w:rPr>
          <w:instrText xml:space="preserve"> PAGEREF _Toc131161735 \h </w:instrText>
        </w:r>
        <w:r>
          <w:rPr>
            <w:noProof/>
            <w:webHidden/>
          </w:rPr>
        </w:r>
        <w:r>
          <w:rPr>
            <w:noProof/>
            <w:webHidden/>
          </w:rPr>
          <w:fldChar w:fldCharType="separate"/>
        </w:r>
        <w:r>
          <w:rPr>
            <w:noProof/>
            <w:webHidden/>
          </w:rPr>
          <w:t>242</w:t>
        </w:r>
        <w:r>
          <w:rPr>
            <w:noProof/>
            <w:webHidden/>
          </w:rPr>
          <w:fldChar w:fldCharType="end"/>
        </w:r>
      </w:hyperlink>
    </w:p>
    <w:p w14:paraId="359ACE34" w14:textId="7F106DF0" w:rsidR="00425F22" w:rsidRDefault="00425F22">
      <w:pPr>
        <w:pStyle w:val="Kazalovsebine1"/>
        <w:rPr>
          <w:rFonts w:asciiTheme="minorHAnsi" w:hAnsiTheme="minorHAnsi" w:cstheme="minorBidi"/>
          <w:b w:val="0"/>
          <w:noProof/>
          <w:sz w:val="22"/>
          <w:szCs w:val="22"/>
          <w:lang w:val="sl-SI"/>
        </w:rPr>
      </w:pPr>
      <w:hyperlink w:anchor="_Toc131161736" w:history="1">
        <w:r w:rsidRPr="00062C01">
          <w:rPr>
            <w:rStyle w:val="Hiperpovezava"/>
            <w:noProof/>
          </w:rPr>
          <w:t>3</w:t>
        </w:r>
        <w:r>
          <w:rPr>
            <w:rFonts w:asciiTheme="minorHAnsi" w:hAnsiTheme="minorHAnsi" w:cstheme="minorBidi"/>
            <w:b w:val="0"/>
            <w:noProof/>
            <w:sz w:val="22"/>
            <w:szCs w:val="22"/>
            <w:lang w:val="sl-SI"/>
          </w:rPr>
          <w:tab/>
        </w:r>
        <w:r w:rsidRPr="00062C01">
          <w:rPr>
            <w:rStyle w:val="Hiperpovezava"/>
            <w:noProof/>
          </w:rPr>
          <w:t>Financial plan</w:t>
        </w:r>
        <w:r>
          <w:rPr>
            <w:noProof/>
            <w:webHidden/>
          </w:rPr>
          <w:tab/>
        </w:r>
        <w:r>
          <w:rPr>
            <w:noProof/>
            <w:webHidden/>
          </w:rPr>
          <w:fldChar w:fldCharType="begin"/>
        </w:r>
        <w:r>
          <w:rPr>
            <w:noProof/>
            <w:webHidden/>
          </w:rPr>
          <w:instrText xml:space="preserve"> PAGEREF _Toc131161736 \h </w:instrText>
        </w:r>
        <w:r>
          <w:rPr>
            <w:noProof/>
            <w:webHidden/>
          </w:rPr>
        </w:r>
        <w:r>
          <w:rPr>
            <w:noProof/>
            <w:webHidden/>
          </w:rPr>
          <w:fldChar w:fldCharType="separate"/>
        </w:r>
        <w:r>
          <w:rPr>
            <w:noProof/>
            <w:webHidden/>
          </w:rPr>
          <w:t>250</w:t>
        </w:r>
        <w:r>
          <w:rPr>
            <w:noProof/>
            <w:webHidden/>
          </w:rPr>
          <w:fldChar w:fldCharType="end"/>
        </w:r>
      </w:hyperlink>
    </w:p>
    <w:p w14:paraId="0EE578C9" w14:textId="4EB0C388"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37" w:history="1">
        <w:r w:rsidRPr="00062C01">
          <w:rPr>
            <w:rStyle w:val="Hiperpovezava"/>
            <w:noProof/>
            <w14:scene3d>
              <w14:camera w14:prst="orthographicFront"/>
              <w14:lightRig w14:rig="threePt" w14:dir="t">
                <w14:rot w14:lat="0" w14:lon="0" w14:rev="0"/>
              </w14:lightRig>
            </w14:scene3d>
          </w:rPr>
          <w:t>3.1</w:t>
        </w:r>
        <w:r>
          <w:rPr>
            <w:rFonts w:asciiTheme="minorHAnsi" w:eastAsiaTheme="minorEastAsia" w:hAnsiTheme="minorHAnsi" w:cstheme="minorBidi"/>
            <w:b w:val="0"/>
            <w:noProof/>
            <w:sz w:val="22"/>
            <w:szCs w:val="22"/>
            <w:lang w:val="sl-SI"/>
          </w:rPr>
          <w:tab/>
        </w:r>
        <w:r w:rsidRPr="00062C01">
          <w:rPr>
            <w:rStyle w:val="Hiperpovezava"/>
            <w:noProof/>
          </w:rPr>
          <w:t>Transfers and contributions</w:t>
        </w:r>
        <w:r>
          <w:rPr>
            <w:noProof/>
            <w:webHidden/>
          </w:rPr>
          <w:tab/>
        </w:r>
        <w:r>
          <w:rPr>
            <w:noProof/>
            <w:webHidden/>
          </w:rPr>
          <w:fldChar w:fldCharType="begin"/>
        </w:r>
        <w:r>
          <w:rPr>
            <w:noProof/>
            <w:webHidden/>
          </w:rPr>
          <w:instrText xml:space="preserve"> PAGEREF _Toc131161737 \h </w:instrText>
        </w:r>
        <w:r>
          <w:rPr>
            <w:noProof/>
            <w:webHidden/>
          </w:rPr>
        </w:r>
        <w:r>
          <w:rPr>
            <w:noProof/>
            <w:webHidden/>
          </w:rPr>
          <w:fldChar w:fldCharType="separate"/>
        </w:r>
        <w:r>
          <w:rPr>
            <w:noProof/>
            <w:webHidden/>
          </w:rPr>
          <w:t>250</w:t>
        </w:r>
        <w:r>
          <w:rPr>
            <w:noProof/>
            <w:webHidden/>
          </w:rPr>
          <w:fldChar w:fldCharType="end"/>
        </w:r>
      </w:hyperlink>
    </w:p>
    <w:p w14:paraId="14576CF9" w14:textId="5EC9796E"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38" w:history="1">
        <w:r w:rsidRPr="00062C01">
          <w:rPr>
            <w:rStyle w:val="Hiperpovezava"/>
            <w:noProof/>
            <w14:scene3d>
              <w14:camera w14:prst="orthographicFront"/>
              <w14:lightRig w14:rig="threePt" w14:dir="t">
                <w14:rot w14:lat="0" w14:lon="0" w14:rev="0"/>
              </w14:lightRig>
            </w14:scene3d>
          </w:rPr>
          <w:t>3.2</w:t>
        </w:r>
        <w:r>
          <w:rPr>
            <w:rFonts w:asciiTheme="minorHAnsi" w:eastAsiaTheme="minorEastAsia" w:hAnsiTheme="minorHAnsi" w:cstheme="minorBidi"/>
            <w:b w:val="0"/>
            <w:noProof/>
            <w:sz w:val="22"/>
            <w:szCs w:val="22"/>
            <w:lang w:val="sl-SI"/>
          </w:rPr>
          <w:tab/>
        </w:r>
        <w:r w:rsidRPr="00062C01">
          <w:rPr>
            <w:rStyle w:val="Hiperpovezava"/>
            <w:noProof/>
          </w:rPr>
          <w:t>JTF: allocation in the programme and transfers</w:t>
        </w:r>
        <w:r>
          <w:rPr>
            <w:noProof/>
            <w:webHidden/>
          </w:rPr>
          <w:tab/>
        </w:r>
        <w:r>
          <w:rPr>
            <w:noProof/>
            <w:webHidden/>
          </w:rPr>
          <w:fldChar w:fldCharType="begin"/>
        </w:r>
        <w:r>
          <w:rPr>
            <w:noProof/>
            <w:webHidden/>
          </w:rPr>
          <w:instrText xml:space="preserve"> PAGEREF _Toc131161738 \h </w:instrText>
        </w:r>
        <w:r>
          <w:rPr>
            <w:noProof/>
            <w:webHidden/>
          </w:rPr>
        </w:r>
        <w:r>
          <w:rPr>
            <w:noProof/>
            <w:webHidden/>
          </w:rPr>
          <w:fldChar w:fldCharType="separate"/>
        </w:r>
        <w:r>
          <w:rPr>
            <w:noProof/>
            <w:webHidden/>
          </w:rPr>
          <w:t>250</w:t>
        </w:r>
        <w:r>
          <w:rPr>
            <w:noProof/>
            <w:webHidden/>
          </w:rPr>
          <w:fldChar w:fldCharType="end"/>
        </w:r>
      </w:hyperlink>
    </w:p>
    <w:p w14:paraId="78FC378A" w14:textId="12024272" w:rsidR="00425F22" w:rsidRDefault="00425F22">
      <w:pPr>
        <w:pStyle w:val="Kazalovsebine3"/>
        <w:rPr>
          <w:rFonts w:asciiTheme="minorHAnsi" w:eastAsiaTheme="minorEastAsia" w:hAnsiTheme="minorHAnsi" w:cstheme="minorBidi"/>
          <w:b w:val="0"/>
          <w:noProof/>
          <w:szCs w:val="22"/>
          <w:lang w:val="sl-SI"/>
        </w:rPr>
      </w:pPr>
      <w:hyperlink w:anchor="_Toc131161739" w:history="1">
        <w:r w:rsidRPr="00062C01">
          <w:rPr>
            <w:rStyle w:val="Hiperpovezava"/>
            <w:noProof/>
          </w:rPr>
          <w:t>3.2.1</w:t>
        </w:r>
        <w:r>
          <w:rPr>
            <w:rFonts w:asciiTheme="minorHAnsi" w:eastAsiaTheme="minorEastAsia" w:hAnsiTheme="minorHAnsi" w:cstheme="minorBidi"/>
            <w:b w:val="0"/>
            <w:noProof/>
            <w:szCs w:val="22"/>
            <w:lang w:val="sl-SI"/>
          </w:rPr>
          <w:tab/>
        </w:r>
        <w:r w:rsidRPr="00062C01">
          <w:rPr>
            <w:rStyle w:val="Hiperpovezava"/>
            <w:noProof/>
          </w:rPr>
          <w:t>JTF allocation to the programme prior to transfers by priority</w:t>
        </w:r>
        <w:r>
          <w:rPr>
            <w:noProof/>
            <w:webHidden/>
          </w:rPr>
          <w:tab/>
        </w:r>
        <w:r>
          <w:rPr>
            <w:noProof/>
            <w:webHidden/>
          </w:rPr>
          <w:fldChar w:fldCharType="begin"/>
        </w:r>
        <w:r>
          <w:rPr>
            <w:noProof/>
            <w:webHidden/>
          </w:rPr>
          <w:instrText xml:space="preserve"> PAGEREF _Toc131161739 \h </w:instrText>
        </w:r>
        <w:r>
          <w:rPr>
            <w:noProof/>
            <w:webHidden/>
          </w:rPr>
        </w:r>
        <w:r>
          <w:rPr>
            <w:noProof/>
            <w:webHidden/>
          </w:rPr>
          <w:fldChar w:fldCharType="separate"/>
        </w:r>
        <w:r>
          <w:rPr>
            <w:noProof/>
            <w:webHidden/>
          </w:rPr>
          <w:t>250</w:t>
        </w:r>
        <w:r>
          <w:rPr>
            <w:noProof/>
            <w:webHidden/>
          </w:rPr>
          <w:fldChar w:fldCharType="end"/>
        </w:r>
      </w:hyperlink>
    </w:p>
    <w:p w14:paraId="7EEB93FA" w14:textId="50A4A232" w:rsidR="00425F22" w:rsidRDefault="00425F22">
      <w:pPr>
        <w:pStyle w:val="Kazalovsebine3"/>
        <w:rPr>
          <w:rFonts w:asciiTheme="minorHAnsi" w:eastAsiaTheme="minorEastAsia" w:hAnsiTheme="minorHAnsi" w:cstheme="minorBidi"/>
          <w:b w:val="0"/>
          <w:noProof/>
          <w:szCs w:val="22"/>
          <w:lang w:val="sl-SI"/>
        </w:rPr>
      </w:pPr>
      <w:hyperlink w:anchor="_Toc131161740" w:history="1">
        <w:r w:rsidRPr="00062C01">
          <w:rPr>
            <w:rStyle w:val="Hiperpovezava"/>
            <w:noProof/>
          </w:rPr>
          <w:t>3.2.2</w:t>
        </w:r>
        <w:r>
          <w:rPr>
            <w:rFonts w:asciiTheme="minorHAnsi" w:eastAsiaTheme="minorEastAsia" w:hAnsiTheme="minorHAnsi" w:cstheme="minorBidi"/>
            <w:b w:val="0"/>
            <w:noProof/>
            <w:szCs w:val="22"/>
            <w:lang w:val="sl-SI"/>
          </w:rPr>
          <w:tab/>
        </w:r>
        <w:r w:rsidRPr="00062C01">
          <w:rPr>
            <w:rStyle w:val="Hiperpovezava"/>
            <w:noProof/>
          </w:rPr>
          <w:t>Transfers to the JTF as complementary support</w:t>
        </w:r>
        <w:r>
          <w:rPr>
            <w:noProof/>
            <w:webHidden/>
          </w:rPr>
          <w:tab/>
        </w:r>
        <w:r>
          <w:rPr>
            <w:noProof/>
            <w:webHidden/>
          </w:rPr>
          <w:fldChar w:fldCharType="begin"/>
        </w:r>
        <w:r>
          <w:rPr>
            <w:noProof/>
            <w:webHidden/>
          </w:rPr>
          <w:instrText xml:space="preserve"> PAGEREF _Toc131161740 \h </w:instrText>
        </w:r>
        <w:r>
          <w:rPr>
            <w:noProof/>
            <w:webHidden/>
          </w:rPr>
        </w:r>
        <w:r>
          <w:rPr>
            <w:noProof/>
            <w:webHidden/>
          </w:rPr>
          <w:fldChar w:fldCharType="separate"/>
        </w:r>
        <w:r>
          <w:rPr>
            <w:noProof/>
            <w:webHidden/>
          </w:rPr>
          <w:t>250</w:t>
        </w:r>
        <w:r>
          <w:rPr>
            <w:noProof/>
            <w:webHidden/>
          </w:rPr>
          <w:fldChar w:fldCharType="end"/>
        </w:r>
      </w:hyperlink>
    </w:p>
    <w:p w14:paraId="2E98DEEC" w14:textId="77F15B5D"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41" w:history="1">
        <w:r w:rsidRPr="00062C01">
          <w:rPr>
            <w:rStyle w:val="Hiperpovezava"/>
            <w:noProof/>
            <w14:scene3d>
              <w14:camera w14:prst="orthographicFront"/>
              <w14:lightRig w14:rig="threePt" w14:dir="t">
                <w14:rot w14:lat="0" w14:lon="0" w14:rev="0"/>
              </w14:lightRig>
            </w14:scene3d>
          </w:rPr>
          <w:t>3.3</w:t>
        </w:r>
        <w:r>
          <w:rPr>
            <w:rFonts w:asciiTheme="minorHAnsi" w:eastAsiaTheme="minorEastAsia" w:hAnsiTheme="minorHAnsi" w:cstheme="minorBidi"/>
            <w:b w:val="0"/>
            <w:noProof/>
            <w:sz w:val="22"/>
            <w:szCs w:val="22"/>
            <w:lang w:val="sl-SI"/>
          </w:rPr>
          <w:tab/>
        </w:r>
        <w:r w:rsidRPr="00062C01">
          <w:rPr>
            <w:rStyle w:val="Hiperpovezava"/>
            <w:noProof/>
          </w:rPr>
          <w:t>Transfers between categories of region resulting from the mid-term review</w:t>
        </w:r>
        <w:r>
          <w:rPr>
            <w:noProof/>
            <w:webHidden/>
          </w:rPr>
          <w:tab/>
        </w:r>
        <w:r>
          <w:rPr>
            <w:noProof/>
            <w:webHidden/>
          </w:rPr>
          <w:fldChar w:fldCharType="begin"/>
        </w:r>
        <w:r>
          <w:rPr>
            <w:noProof/>
            <w:webHidden/>
          </w:rPr>
          <w:instrText xml:space="preserve"> PAGEREF _Toc131161741 \h </w:instrText>
        </w:r>
        <w:r>
          <w:rPr>
            <w:noProof/>
            <w:webHidden/>
          </w:rPr>
        </w:r>
        <w:r>
          <w:rPr>
            <w:noProof/>
            <w:webHidden/>
          </w:rPr>
          <w:fldChar w:fldCharType="separate"/>
        </w:r>
        <w:r>
          <w:rPr>
            <w:noProof/>
            <w:webHidden/>
          </w:rPr>
          <w:t>250</w:t>
        </w:r>
        <w:r>
          <w:rPr>
            <w:noProof/>
            <w:webHidden/>
          </w:rPr>
          <w:fldChar w:fldCharType="end"/>
        </w:r>
      </w:hyperlink>
    </w:p>
    <w:p w14:paraId="39ACDC60" w14:textId="764BD2A2"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42" w:history="1">
        <w:r w:rsidRPr="00062C01">
          <w:rPr>
            <w:rStyle w:val="Hiperpovezava"/>
            <w:noProof/>
            <w14:scene3d>
              <w14:camera w14:prst="orthographicFront"/>
              <w14:lightRig w14:rig="threePt" w14:dir="t">
                <w14:rot w14:lat="0" w14:lon="0" w14:rev="0"/>
              </w14:lightRig>
            </w14:scene3d>
          </w:rPr>
          <w:t>3.4</w:t>
        </w:r>
        <w:r>
          <w:rPr>
            <w:rFonts w:asciiTheme="minorHAnsi" w:eastAsiaTheme="minorEastAsia" w:hAnsiTheme="minorHAnsi" w:cstheme="minorBidi"/>
            <w:b w:val="0"/>
            <w:noProof/>
            <w:sz w:val="22"/>
            <w:szCs w:val="22"/>
            <w:lang w:val="sl-SI"/>
          </w:rPr>
          <w:tab/>
        </w:r>
        <w:r w:rsidRPr="00062C01">
          <w:rPr>
            <w:rStyle w:val="Hiperpovezava"/>
            <w:noProof/>
          </w:rPr>
          <w:t>Transfers back</w:t>
        </w:r>
        <w:r>
          <w:rPr>
            <w:noProof/>
            <w:webHidden/>
          </w:rPr>
          <w:tab/>
        </w:r>
        <w:r>
          <w:rPr>
            <w:noProof/>
            <w:webHidden/>
          </w:rPr>
          <w:fldChar w:fldCharType="begin"/>
        </w:r>
        <w:r>
          <w:rPr>
            <w:noProof/>
            <w:webHidden/>
          </w:rPr>
          <w:instrText xml:space="preserve"> PAGEREF _Toc131161742 \h </w:instrText>
        </w:r>
        <w:r>
          <w:rPr>
            <w:noProof/>
            <w:webHidden/>
          </w:rPr>
        </w:r>
        <w:r>
          <w:rPr>
            <w:noProof/>
            <w:webHidden/>
          </w:rPr>
          <w:fldChar w:fldCharType="separate"/>
        </w:r>
        <w:r>
          <w:rPr>
            <w:noProof/>
            <w:webHidden/>
          </w:rPr>
          <w:t>250</w:t>
        </w:r>
        <w:r>
          <w:rPr>
            <w:noProof/>
            <w:webHidden/>
          </w:rPr>
          <w:fldChar w:fldCharType="end"/>
        </w:r>
      </w:hyperlink>
    </w:p>
    <w:p w14:paraId="378F2425" w14:textId="6B8F9D5F"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43" w:history="1">
        <w:r w:rsidRPr="00062C01">
          <w:rPr>
            <w:rStyle w:val="Hiperpovezava"/>
            <w:noProof/>
            <w14:scene3d>
              <w14:camera w14:prst="orthographicFront"/>
              <w14:lightRig w14:rig="threePt" w14:dir="t">
                <w14:rot w14:lat="0" w14:lon="0" w14:rev="0"/>
              </w14:lightRig>
            </w14:scene3d>
          </w:rPr>
          <w:t>3.5</w:t>
        </w:r>
        <w:r>
          <w:rPr>
            <w:rFonts w:asciiTheme="minorHAnsi" w:eastAsiaTheme="minorEastAsia" w:hAnsiTheme="minorHAnsi" w:cstheme="minorBidi"/>
            <w:b w:val="0"/>
            <w:noProof/>
            <w:sz w:val="22"/>
            <w:szCs w:val="22"/>
            <w:lang w:val="sl-SI"/>
          </w:rPr>
          <w:tab/>
        </w:r>
        <w:r w:rsidRPr="00062C01">
          <w:rPr>
            <w:rStyle w:val="Hiperpovezava"/>
            <w:noProof/>
          </w:rPr>
          <w:t>Financial appropriations by year</w:t>
        </w:r>
        <w:r>
          <w:rPr>
            <w:noProof/>
            <w:webHidden/>
          </w:rPr>
          <w:tab/>
        </w:r>
        <w:r>
          <w:rPr>
            <w:noProof/>
            <w:webHidden/>
          </w:rPr>
          <w:fldChar w:fldCharType="begin"/>
        </w:r>
        <w:r>
          <w:rPr>
            <w:noProof/>
            <w:webHidden/>
          </w:rPr>
          <w:instrText xml:space="preserve"> PAGEREF _Toc131161743 \h </w:instrText>
        </w:r>
        <w:r>
          <w:rPr>
            <w:noProof/>
            <w:webHidden/>
          </w:rPr>
        </w:r>
        <w:r>
          <w:rPr>
            <w:noProof/>
            <w:webHidden/>
          </w:rPr>
          <w:fldChar w:fldCharType="separate"/>
        </w:r>
        <w:r>
          <w:rPr>
            <w:noProof/>
            <w:webHidden/>
          </w:rPr>
          <w:t>251</w:t>
        </w:r>
        <w:r>
          <w:rPr>
            <w:noProof/>
            <w:webHidden/>
          </w:rPr>
          <w:fldChar w:fldCharType="end"/>
        </w:r>
      </w:hyperlink>
    </w:p>
    <w:p w14:paraId="096A6E0B" w14:textId="643BCCAF" w:rsidR="00425F22" w:rsidRDefault="00425F22">
      <w:pPr>
        <w:pStyle w:val="Kazalovsebine2"/>
        <w:tabs>
          <w:tab w:val="left" w:pos="880"/>
          <w:tab w:val="right" w:leader="dot" w:pos="9062"/>
        </w:tabs>
        <w:rPr>
          <w:rFonts w:asciiTheme="minorHAnsi" w:eastAsiaTheme="minorEastAsia" w:hAnsiTheme="minorHAnsi" w:cstheme="minorBidi"/>
          <w:b w:val="0"/>
          <w:noProof/>
          <w:sz w:val="22"/>
          <w:szCs w:val="22"/>
          <w:lang w:val="sl-SI"/>
        </w:rPr>
      </w:pPr>
      <w:hyperlink w:anchor="_Toc131161744" w:history="1">
        <w:r w:rsidRPr="00062C01">
          <w:rPr>
            <w:rStyle w:val="Hiperpovezava"/>
            <w:noProof/>
            <w14:scene3d>
              <w14:camera w14:prst="orthographicFront"/>
              <w14:lightRig w14:rig="threePt" w14:dir="t">
                <w14:rot w14:lat="0" w14:lon="0" w14:rev="0"/>
              </w14:lightRig>
            </w14:scene3d>
          </w:rPr>
          <w:t>3.6</w:t>
        </w:r>
        <w:r>
          <w:rPr>
            <w:rFonts w:asciiTheme="minorHAnsi" w:eastAsiaTheme="minorEastAsia" w:hAnsiTheme="minorHAnsi" w:cstheme="minorBidi"/>
            <w:b w:val="0"/>
            <w:noProof/>
            <w:sz w:val="22"/>
            <w:szCs w:val="22"/>
            <w:lang w:val="sl-SI"/>
          </w:rPr>
          <w:tab/>
        </w:r>
        <w:r w:rsidRPr="00062C01">
          <w:rPr>
            <w:rStyle w:val="Hiperpovezava"/>
            <w:noProof/>
          </w:rPr>
          <w:t>Total financial appropriations by fund and national co-financing</w:t>
        </w:r>
        <w:r>
          <w:rPr>
            <w:noProof/>
            <w:webHidden/>
          </w:rPr>
          <w:tab/>
        </w:r>
        <w:r>
          <w:rPr>
            <w:noProof/>
            <w:webHidden/>
          </w:rPr>
          <w:fldChar w:fldCharType="begin"/>
        </w:r>
        <w:r>
          <w:rPr>
            <w:noProof/>
            <w:webHidden/>
          </w:rPr>
          <w:instrText xml:space="preserve"> PAGEREF _Toc131161744 \h </w:instrText>
        </w:r>
        <w:r>
          <w:rPr>
            <w:noProof/>
            <w:webHidden/>
          </w:rPr>
        </w:r>
        <w:r>
          <w:rPr>
            <w:noProof/>
            <w:webHidden/>
          </w:rPr>
          <w:fldChar w:fldCharType="separate"/>
        </w:r>
        <w:r>
          <w:rPr>
            <w:noProof/>
            <w:webHidden/>
          </w:rPr>
          <w:t>252</w:t>
        </w:r>
        <w:r>
          <w:rPr>
            <w:noProof/>
            <w:webHidden/>
          </w:rPr>
          <w:fldChar w:fldCharType="end"/>
        </w:r>
      </w:hyperlink>
    </w:p>
    <w:p w14:paraId="530C643A" w14:textId="7A884D01" w:rsidR="00425F22" w:rsidRDefault="00425F22">
      <w:pPr>
        <w:pStyle w:val="Kazalovsebine1"/>
        <w:rPr>
          <w:rFonts w:asciiTheme="minorHAnsi" w:hAnsiTheme="minorHAnsi" w:cstheme="minorBidi"/>
          <w:b w:val="0"/>
          <w:noProof/>
          <w:sz w:val="22"/>
          <w:szCs w:val="22"/>
          <w:lang w:val="sl-SI"/>
        </w:rPr>
      </w:pPr>
      <w:hyperlink w:anchor="_Toc131161745" w:history="1">
        <w:r w:rsidRPr="00062C01">
          <w:rPr>
            <w:rStyle w:val="Hiperpovezava"/>
            <w:noProof/>
          </w:rPr>
          <w:t>4</w:t>
        </w:r>
        <w:r>
          <w:rPr>
            <w:rFonts w:asciiTheme="minorHAnsi" w:hAnsiTheme="minorHAnsi" w:cstheme="minorBidi"/>
            <w:b w:val="0"/>
            <w:noProof/>
            <w:sz w:val="22"/>
            <w:szCs w:val="22"/>
            <w:lang w:val="sl-SI"/>
          </w:rPr>
          <w:tab/>
        </w:r>
        <w:r w:rsidRPr="00062C01">
          <w:rPr>
            <w:rStyle w:val="Hiperpovezava"/>
            <w:noProof/>
          </w:rPr>
          <w:t>Enabling conditions</w:t>
        </w:r>
        <w:r>
          <w:rPr>
            <w:noProof/>
            <w:webHidden/>
          </w:rPr>
          <w:tab/>
        </w:r>
        <w:r>
          <w:rPr>
            <w:noProof/>
            <w:webHidden/>
          </w:rPr>
          <w:fldChar w:fldCharType="begin"/>
        </w:r>
        <w:r>
          <w:rPr>
            <w:noProof/>
            <w:webHidden/>
          </w:rPr>
          <w:instrText xml:space="preserve"> PAGEREF _Toc131161745 \h </w:instrText>
        </w:r>
        <w:r>
          <w:rPr>
            <w:noProof/>
            <w:webHidden/>
          </w:rPr>
        </w:r>
        <w:r>
          <w:rPr>
            <w:noProof/>
            <w:webHidden/>
          </w:rPr>
          <w:fldChar w:fldCharType="separate"/>
        </w:r>
        <w:r>
          <w:rPr>
            <w:noProof/>
            <w:webHidden/>
          </w:rPr>
          <w:t>254</w:t>
        </w:r>
        <w:r>
          <w:rPr>
            <w:noProof/>
            <w:webHidden/>
          </w:rPr>
          <w:fldChar w:fldCharType="end"/>
        </w:r>
      </w:hyperlink>
    </w:p>
    <w:p w14:paraId="1D6DE2CF" w14:textId="68E6DBAF" w:rsidR="00425F22" w:rsidRDefault="00425F22">
      <w:pPr>
        <w:pStyle w:val="Kazalovsebine1"/>
        <w:rPr>
          <w:rFonts w:asciiTheme="minorHAnsi" w:hAnsiTheme="minorHAnsi" w:cstheme="minorBidi"/>
          <w:b w:val="0"/>
          <w:noProof/>
          <w:sz w:val="22"/>
          <w:szCs w:val="22"/>
          <w:lang w:val="sl-SI"/>
        </w:rPr>
      </w:pPr>
      <w:hyperlink w:anchor="_Toc131161746" w:history="1">
        <w:r w:rsidRPr="00062C01">
          <w:rPr>
            <w:rStyle w:val="Hiperpovezava"/>
            <w:noProof/>
          </w:rPr>
          <w:t>5</w:t>
        </w:r>
        <w:r>
          <w:rPr>
            <w:rFonts w:asciiTheme="minorHAnsi" w:hAnsiTheme="minorHAnsi" w:cstheme="minorBidi"/>
            <w:b w:val="0"/>
            <w:noProof/>
            <w:sz w:val="22"/>
            <w:szCs w:val="22"/>
            <w:lang w:val="sl-SI"/>
          </w:rPr>
          <w:tab/>
        </w:r>
        <w:r w:rsidRPr="00062C01">
          <w:rPr>
            <w:rStyle w:val="Hiperpovezava"/>
            <w:noProof/>
          </w:rPr>
          <w:t>Programme authorities</w:t>
        </w:r>
        <w:r>
          <w:rPr>
            <w:noProof/>
            <w:webHidden/>
          </w:rPr>
          <w:tab/>
        </w:r>
        <w:r>
          <w:rPr>
            <w:noProof/>
            <w:webHidden/>
          </w:rPr>
          <w:fldChar w:fldCharType="begin"/>
        </w:r>
        <w:r>
          <w:rPr>
            <w:noProof/>
            <w:webHidden/>
          </w:rPr>
          <w:instrText xml:space="preserve"> PAGEREF _Toc131161746 \h </w:instrText>
        </w:r>
        <w:r>
          <w:rPr>
            <w:noProof/>
            <w:webHidden/>
          </w:rPr>
        </w:r>
        <w:r>
          <w:rPr>
            <w:noProof/>
            <w:webHidden/>
          </w:rPr>
          <w:fldChar w:fldCharType="separate"/>
        </w:r>
        <w:r>
          <w:rPr>
            <w:noProof/>
            <w:webHidden/>
          </w:rPr>
          <w:t>322</w:t>
        </w:r>
        <w:r>
          <w:rPr>
            <w:noProof/>
            <w:webHidden/>
          </w:rPr>
          <w:fldChar w:fldCharType="end"/>
        </w:r>
      </w:hyperlink>
    </w:p>
    <w:p w14:paraId="1BA2DB98" w14:textId="5F76D7C8" w:rsidR="00425F22" w:rsidRDefault="00425F22">
      <w:pPr>
        <w:pStyle w:val="Kazalovsebine1"/>
        <w:rPr>
          <w:rFonts w:asciiTheme="minorHAnsi" w:hAnsiTheme="minorHAnsi" w:cstheme="minorBidi"/>
          <w:b w:val="0"/>
          <w:noProof/>
          <w:sz w:val="22"/>
          <w:szCs w:val="22"/>
          <w:lang w:val="sl-SI"/>
        </w:rPr>
      </w:pPr>
      <w:hyperlink w:anchor="_Toc131161747" w:history="1">
        <w:r w:rsidRPr="00062C01">
          <w:rPr>
            <w:rStyle w:val="Hiperpovezava"/>
            <w:noProof/>
          </w:rPr>
          <w:t>6</w:t>
        </w:r>
        <w:r>
          <w:rPr>
            <w:rFonts w:asciiTheme="minorHAnsi" w:hAnsiTheme="minorHAnsi" w:cstheme="minorBidi"/>
            <w:b w:val="0"/>
            <w:noProof/>
            <w:sz w:val="22"/>
            <w:szCs w:val="22"/>
            <w:lang w:val="sl-SI"/>
          </w:rPr>
          <w:tab/>
        </w:r>
        <w:r w:rsidRPr="00062C01">
          <w:rPr>
            <w:rStyle w:val="Hiperpovezava"/>
            <w:noProof/>
          </w:rPr>
          <w:t>Partnership</w:t>
        </w:r>
        <w:r>
          <w:rPr>
            <w:noProof/>
            <w:webHidden/>
          </w:rPr>
          <w:tab/>
        </w:r>
        <w:r>
          <w:rPr>
            <w:noProof/>
            <w:webHidden/>
          </w:rPr>
          <w:fldChar w:fldCharType="begin"/>
        </w:r>
        <w:r>
          <w:rPr>
            <w:noProof/>
            <w:webHidden/>
          </w:rPr>
          <w:instrText xml:space="preserve"> PAGEREF _Toc131161747 \h </w:instrText>
        </w:r>
        <w:r>
          <w:rPr>
            <w:noProof/>
            <w:webHidden/>
          </w:rPr>
        </w:r>
        <w:r>
          <w:rPr>
            <w:noProof/>
            <w:webHidden/>
          </w:rPr>
          <w:fldChar w:fldCharType="separate"/>
        </w:r>
        <w:r>
          <w:rPr>
            <w:noProof/>
            <w:webHidden/>
          </w:rPr>
          <w:t>324</w:t>
        </w:r>
        <w:r>
          <w:rPr>
            <w:noProof/>
            <w:webHidden/>
          </w:rPr>
          <w:fldChar w:fldCharType="end"/>
        </w:r>
      </w:hyperlink>
    </w:p>
    <w:p w14:paraId="51CF1921" w14:textId="01637705" w:rsidR="00425F22" w:rsidRDefault="00425F22">
      <w:pPr>
        <w:pStyle w:val="Kazalovsebine1"/>
        <w:rPr>
          <w:rFonts w:asciiTheme="minorHAnsi" w:hAnsiTheme="minorHAnsi" w:cstheme="minorBidi"/>
          <w:b w:val="0"/>
          <w:noProof/>
          <w:sz w:val="22"/>
          <w:szCs w:val="22"/>
          <w:lang w:val="sl-SI"/>
        </w:rPr>
      </w:pPr>
      <w:hyperlink w:anchor="_Toc131161748" w:history="1">
        <w:r w:rsidRPr="00062C01">
          <w:rPr>
            <w:rStyle w:val="Hiperpovezava"/>
            <w:noProof/>
          </w:rPr>
          <w:t>7</w:t>
        </w:r>
        <w:r>
          <w:rPr>
            <w:rFonts w:asciiTheme="minorHAnsi" w:hAnsiTheme="minorHAnsi" w:cstheme="minorBidi"/>
            <w:b w:val="0"/>
            <w:noProof/>
            <w:sz w:val="22"/>
            <w:szCs w:val="22"/>
            <w:lang w:val="sl-SI"/>
          </w:rPr>
          <w:tab/>
        </w:r>
        <w:r w:rsidRPr="00062C01">
          <w:rPr>
            <w:rStyle w:val="Hiperpovezava"/>
            <w:noProof/>
          </w:rPr>
          <w:t>Communication and visibility</w:t>
        </w:r>
        <w:r>
          <w:rPr>
            <w:noProof/>
            <w:webHidden/>
          </w:rPr>
          <w:tab/>
        </w:r>
        <w:r>
          <w:rPr>
            <w:noProof/>
            <w:webHidden/>
          </w:rPr>
          <w:fldChar w:fldCharType="begin"/>
        </w:r>
        <w:r>
          <w:rPr>
            <w:noProof/>
            <w:webHidden/>
          </w:rPr>
          <w:instrText xml:space="preserve"> PAGEREF _Toc131161748 \h </w:instrText>
        </w:r>
        <w:r>
          <w:rPr>
            <w:noProof/>
            <w:webHidden/>
          </w:rPr>
        </w:r>
        <w:r>
          <w:rPr>
            <w:noProof/>
            <w:webHidden/>
          </w:rPr>
          <w:fldChar w:fldCharType="separate"/>
        </w:r>
        <w:r>
          <w:rPr>
            <w:noProof/>
            <w:webHidden/>
          </w:rPr>
          <w:t>326</w:t>
        </w:r>
        <w:r>
          <w:rPr>
            <w:noProof/>
            <w:webHidden/>
          </w:rPr>
          <w:fldChar w:fldCharType="end"/>
        </w:r>
      </w:hyperlink>
    </w:p>
    <w:p w14:paraId="1103E8B3" w14:textId="0F2969F0" w:rsidR="00425F22" w:rsidRDefault="00425F22">
      <w:pPr>
        <w:pStyle w:val="Kazalovsebine1"/>
        <w:rPr>
          <w:rFonts w:asciiTheme="minorHAnsi" w:hAnsiTheme="minorHAnsi" w:cstheme="minorBidi"/>
          <w:b w:val="0"/>
          <w:noProof/>
          <w:sz w:val="22"/>
          <w:szCs w:val="22"/>
          <w:lang w:val="sl-SI"/>
        </w:rPr>
      </w:pPr>
      <w:hyperlink w:anchor="_Toc131161749" w:history="1">
        <w:r w:rsidRPr="00062C01">
          <w:rPr>
            <w:rStyle w:val="Hiperpovezava"/>
            <w:noProof/>
          </w:rPr>
          <w:t>8</w:t>
        </w:r>
        <w:r>
          <w:rPr>
            <w:rFonts w:asciiTheme="minorHAnsi" w:hAnsiTheme="minorHAnsi" w:cstheme="minorBidi"/>
            <w:b w:val="0"/>
            <w:noProof/>
            <w:sz w:val="22"/>
            <w:szCs w:val="22"/>
            <w:lang w:val="sl-SI"/>
          </w:rPr>
          <w:tab/>
        </w:r>
        <w:r w:rsidRPr="00062C01">
          <w:rPr>
            <w:rStyle w:val="Hiperpovezava"/>
            <w:noProof/>
          </w:rPr>
          <w:t>Use of unit costs, lump sums, flat rates and financing not linked to costs</w:t>
        </w:r>
        <w:r>
          <w:rPr>
            <w:noProof/>
            <w:webHidden/>
          </w:rPr>
          <w:tab/>
        </w:r>
        <w:r>
          <w:rPr>
            <w:noProof/>
            <w:webHidden/>
          </w:rPr>
          <w:fldChar w:fldCharType="begin"/>
        </w:r>
        <w:r>
          <w:rPr>
            <w:noProof/>
            <w:webHidden/>
          </w:rPr>
          <w:instrText xml:space="preserve"> PAGEREF _Toc131161749 \h </w:instrText>
        </w:r>
        <w:r>
          <w:rPr>
            <w:noProof/>
            <w:webHidden/>
          </w:rPr>
        </w:r>
        <w:r>
          <w:rPr>
            <w:noProof/>
            <w:webHidden/>
          </w:rPr>
          <w:fldChar w:fldCharType="separate"/>
        </w:r>
        <w:r>
          <w:rPr>
            <w:noProof/>
            <w:webHidden/>
          </w:rPr>
          <w:t>328</w:t>
        </w:r>
        <w:r>
          <w:rPr>
            <w:noProof/>
            <w:webHidden/>
          </w:rPr>
          <w:fldChar w:fldCharType="end"/>
        </w:r>
      </w:hyperlink>
    </w:p>
    <w:p w14:paraId="5E02C91B" w14:textId="0B93016C" w:rsidR="00425F22" w:rsidRDefault="00425F22">
      <w:pPr>
        <w:pStyle w:val="Kazalovsebine1"/>
        <w:rPr>
          <w:rFonts w:asciiTheme="minorHAnsi" w:hAnsiTheme="minorHAnsi" w:cstheme="minorBidi"/>
          <w:b w:val="0"/>
          <w:noProof/>
          <w:sz w:val="22"/>
          <w:szCs w:val="22"/>
          <w:lang w:val="sl-SI"/>
        </w:rPr>
      </w:pPr>
      <w:hyperlink w:anchor="_Toc131161750" w:history="1">
        <w:r w:rsidRPr="00062C01">
          <w:rPr>
            <w:rStyle w:val="Hiperpovezava"/>
            <w:noProof/>
          </w:rPr>
          <w:t>List of planned operations of strategic importance with a timetable (Article 22(3) of CPR)</w:t>
        </w:r>
        <w:r>
          <w:rPr>
            <w:noProof/>
            <w:webHidden/>
          </w:rPr>
          <w:tab/>
        </w:r>
        <w:r>
          <w:rPr>
            <w:noProof/>
            <w:webHidden/>
          </w:rPr>
          <w:fldChar w:fldCharType="begin"/>
        </w:r>
        <w:r>
          <w:rPr>
            <w:noProof/>
            <w:webHidden/>
          </w:rPr>
          <w:instrText xml:space="preserve"> PAGEREF _Toc131161750 \h </w:instrText>
        </w:r>
        <w:r>
          <w:rPr>
            <w:noProof/>
            <w:webHidden/>
          </w:rPr>
        </w:r>
        <w:r>
          <w:rPr>
            <w:noProof/>
            <w:webHidden/>
          </w:rPr>
          <w:fldChar w:fldCharType="separate"/>
        </w:r>
        <w:r>
          <w:rPr>
            <w:noProof/>
            <w:webHidden/>
          </w:rPr>
          <w:t>330</w:t>
        </w:r>
        <w:r>
          <w:rPr>
            <w:noProof/>
            <w:webHidden/>
          </w:rPr>
          <w:fldChar w:fldCharType="end"/>
        </w:r>
      </w:hyperlink>
    </w:p>
    <w:p w14:paraId="77096C7B" w14:textId="7AF564C9" w:rsidR="0032633A" w:rsidRPr="00D14C15" w:rsidRDefault="0032633A" w:rsidP="0032633A">
      <w:pPr>
        <w:jc w:val="both"/>
        <w:rPr>
          <w:rFonts w:asciiTheme="minorHAnsi" w:hAnsiTheme="minorHAnsi" w:cs="Arial"/>
          <w:lang w:val="en-GB"/>
        </w:rPr>
      </w:pPr>
      <w:r w:rsidRPr="00D14C15">
        <w:rPr>
          <w:rFonts w:eastAsia="Calibri"/>
          <w:color w:val="2E74B5" w:themeColor="accent1" w:themeShade="BF"/>
          <w:sz w:val="26"/>
          <w:highlight w:val="yellow"/>
          <w:lang w:val="en-GB"/>
        </w:rPr>
        <w:fldChar w:fldCharType="end"/>
      </w:r>
    </w:p>
    <w:p w14:paraId="3F9395FB" w14:textId="77777777" w:rsidR="0032633A" w:rsidRPr="00D14C15" w:rsidRDefault="0032633A" w:rsidP="0032633A">
      <w:pPr>
        <w:rPr>
          <w:rFonts w:eastAsia="Calibri"/>
          <w:b/>
          <w:color w:val="2E74B5" w:themeColor="accent1" w:themeShade="BF"/>
          <w:sz w:val="24"/>
          <w:szCs w:val="24"/>
          <w:u w:val="single"/>
          <w:lang w:val="en-GB"/>
        </w:rPr>
      </w:pPr>
      <w:r w:rsidRPr="00D14C15">
        <w:rPr>
          <w:lang w:val="en-GB"/>
        </w:rPr>
        <w:br w:type="page"/>
      </w:r>
      <w:r w:rsidR="00F3538B">
        <w:rPr>
          <w:rFonts w:eastAsia="Calibri"/>
          <w:b/>
          <w:color w:val="2E74B5" w:themeColor="accent1" w:themeShade="BF"/>
          <w:sz w:val="24"/>
          <w:szCs w:val="24"/>
          <w:u w:val="single"/>
          <w:lang w:val="en-GB"/>
        </w:rPr>
        <w:lastRenderedPageBreak/>
        <w:t xml:space="preserve">LIST OF ABBREVIATIONS </w:t>
      </w:r>
    </w:p>
    <w:p w14:paraId="1BED9C39" w14:textId="77777777" w:rsidR="0032633A" w:rsidRPr="00D14C15" w:rsidRDefault="0032633A" w:rsidP="0032633A">
      <w:pPr>
        <w:widowControl/>
        <w:autoSpaceDE/>
        <w:autoSpaceDN/>
        <w:rPr>
          <w:rFonts w:eastAsia="Calibri"/>
          <w:b/>
          <w:u w:val="single"/>
          <w:lang w:val="en-GB"/>
        </w:rPr>
      </w:pPr>
    </w:p>
    <w:p w14:paraId="058EE89D" w14:textId="77777777" w:rsidR="00B56648" w:rsidRPr="00D14C15" w:rsidRDefault="00B56648" w:rsidP="00B56648">
      <w:pPr>
        <w:widowControl/>
        <w:autoSpaceDE/>
        <w:autoSpaceDN/>
        <w:jc w:val="both"/>
        <w:rPr>
          <w:rFonts w:eastAsia="Calibri"/>
          <w:lang w:val="en-GB"/>
        </w:rPr>
      </w:pPr>
      <w:r>
        <w:rPr>
          <w:rFonts w:eastAsia="Calibri"/>
          <w:lang w:val="en-GB"/>
        </w:rPr>
        <w:t>AI</w:t>
      </w:r>
      <w:r w:rsidRPr="00D14C15">
        <w:rPr>
          <w:rFonts w:eastAsia="Calibri"/>
          <w:lang w:val="en-GB"/>
        </w:rPr>
        <w:t xml:space="preserve"> – </w:t>
      </w:r>
      <w:r>
        <w:rPr>
          <w:rFonts w:eastAsia="Calibri"/>
          <w:lang w:val="en-GB"/>
        </w:rPr>
        <w:t xml:space="preserve">artificial intelligence </w:t>
      </w:r>
    </w:p>
    <w:p w14:paraId="567E8176" w14:textId="77777777" w:rsidR="00783107" w:rsidRPr="00D14C15" w:rsidRDefault="00783107" w:rsidP="00783107">
      <w:pPr>
        <w:widowControl/>
        <w:autoSpaceDE/>
        <w:autoSpaceDN/>
        <w:jc w:val="both"/>
        <w:rPr>
          <w:rFonts w:eastAsia="Calibri"/>
          <w:lang w:val="en-GB"/>
        </w:rPr>
      </w:pPr>
      <w:r w:rsidRPr="00D14C15">
        <w:rPr>
          <w:rFonts w:eastAsia="Calibri"/>
          <w:lang w:val="en-GB"/>
        </w:rPr>
        <w:t xml:space="preserve">AMIF – </w:t>
      </w:r>
      <w:r w:rsidRPr="007B1171">
        <w:rPr>
          <w:rFonts w:eastAsia="Calibri"/>
          <w:lang w:val="en-GB"/>
        </w:rPr>
        <w:t>Asylum, Migration and Integration Fund</w:t>
      </w:r>
    </w:p>
    <w:p w14:paraId="4E396F12" w14:textId="77777777" w:rsidR="0032633A" w:rsidRPr="00D14C15" w:rsidRDefault="0032633A" w:rsidP="0032633A">
      <w:pPr>
        <w:widowControl/>
        <w:tabs>
          <w:tab w:val="left" w:pos="5670"/>
        </w:tabs>
        <w:autoSpaceDE/>
        <w:autoSpaceDN/>
        <w:jc w:val="both"/>
        <w:rPr>
          <w:rFonts w:eastAsia="Calibri"/>
          <w:lang w:val="en-GB"/>
        </w:rPr>
      </w:pPr>
      <w:r w:rsidRPr="00D14C15">
        <w:rPr>
          <w:rFonts w:eastAsia="Calibri"/>
          <w:lang w:val="en-GB"/>
        </w:rPr>
        <w:t xml:space="preserve">API – </w:t>
      </w:r>
      <w:r w:rsidR="00BE02E7" w:rsidRPr="00BE02E7">
        <w:rPr>
          <w:rFonts w:eastAsia="Calibri"/>
          <w:lang w:val="en-GB"/>
        </w:rPr>
        <w:t>Action Programme for Persons with Disabilities</w:t>
      </w:r>
    </w:p>
    <w:p w14:paraId="0C66F243" w14:textId="77777777" w:rsidR="0032633A" w:rsidRDefault="0032633A" w:rsidP="0032633A">
      <w:pPr>
        <w:widowControl/>
        <w:autoSpaceDE/>
        <w:autoSpaceDN/>
        <w:jc w:val="both"/>
      </w:pPr>
      <w:r w:rsidRPr="00D14C15">
        <w:rPr>
          <w:rFonts w:eastAsia="Calibri"/>
          <w:lang w:val="en-GB"/>
        </w:rPr>
        <w:t xml:space="preserve">AVK – </w:t>
      </w:r>
      <w:r w:rsidR="007B1171">
        <w:t>Competition Protection Agency</w:t>
      </w:r>
    </w:p>
    <w:p w14:paraId="6468BD51" w14:textId="77777777" w:rsidR="00B56648" w:rsidRPr="00D14C15" w:rsidRDefault="00B56648" w:rsidP="0032633A">
      <w:pPr>
        <w:widowControl/>
        <w:autoSpaceDE/>
        <w:autoSpaceDN/>
        <w:jc w:val="both"/>
        <w:rPr>
          <w:rFonts w:eastAsia="Calibri"/>
          <w:lang w:val="en-GB"/>
        </w:rPr>
      </w:pPr>
      <w:r>
        <w:rPr>
          <w:rFonts w:eastAsia="Calibri"/>
          <w:lang w:val="en-GB"/>
        </w:rPr>
        <w:t>CEF</w:t>
      </w:r>
      <w:r w:rsidRPr="00D14C15">
        <w:rPr>
          <w:rFonts w:eastAsia="Calibri"/>
          <w:lang w:val="en-GB"/>
        </w:rPr>
        <w:t xml:space="preserve"> –</w:t>
      </w:r>
      <w:r>
        <w:rPr>
          <w:rFonts w:eastAsia="Calibri"/>
          <w:lang w:val="en-GB"/>
        </w:rPr>
        <w:t xml:space="preserve"> Connecting Europe Facility </w:t>
      </w:r>
    </w:p>
    <w:p w14:paraId="2133C97C" w14:textId="77777777" w:rsidR="001341E1" w:rsidRPr="00D14C15" w:rsidRDefault="001341E1" w:rsidP="001341E1">
      <w:pPr>
        <w:widowControl/>
        <w:autoSpaceDE/>
        <w:autoSpaceDN/>
        <w:jc w:val="both"/>
        <w:rPr>
          <w:rFonts w:eastAsia="Calibri"/>
          <w:lang w:val="en-GB"/>
        </w:rPr>
      </w:pPr>
      <w:r>
        <w:rPr>
          <w:rFonts w:eastAsia="Calibri"/>
          <w:lang w:val="en-GB"/>
        </w:rPr>
        <w:t>CF</w:t>
      </w:r>
      <w:r w:rsidRPr="00D14C15">
        <w:rPr>
          <w:rFonts w:eastAsia="Calibri"/>
          <w:lang w:val="en-GB"/>
        </w:rPr>
        <w:t xml:space="preserve"> – </w:t>
      </w:r>
      <w:r>
        <w:rPr>
          <w:rFonts w:eastAsia="Calibri"/>
          <w:lang w:val="en-GB"/>
        </w:rPr>
        <w:t>Cohesion Fund</w:t>
      </w:r>
    </w:p>
    <w:p w14:paraId="5AC55397" w14:textId="77777777" w:rsidR="00783107" w:rsidRDefault="00783107" w:rsidP="00783107">
      <w:pPr>
        <w:widowControl/>
        <w:autoSpaceDE/>
        <w:autoSpaceDN/>
        <w:jc w:val="both"/>
        <w:rPr>
          <w:rFonts w:eastAsia="Calibri"/>
          <w:lang w:val="en-GB"/>
        </w:rPr>
      </w:pPr>
      <w:r w:rsidRPr="00D14C15">
        <w:rPr>
          <w:rFonts w:eastAsia="Calibri"/>
          <w:lang w:val="en-GB"/>
        </w:rPr>
        <w:t xml:space="preserve">CLLD – </w:t>
      </w:r>
      <w:r>
        <w:rPr>
          <w:rFonts w:eastAsia="Calibri"/>
          <w:lang w:val="en-GB"/>
        </w:rPr>
        <w:t>community-led local development</w:t>
      </w:r>
    </w:p>
    <w:p w14:paraId="5F24B4E0" w14:textId="77777777" w:rsidR="00B56648" w:rsidRDefault="00B56648" w:rsidP="00B56648">
      <w:pPr>
        <w:widowControl/>
        <w:autoSpaceDE/>
        <w:autoSpaceDN/>
        <w:jc w:val="both"/>
        <w:rPr>
          <w:rFonts w:eastAsia="Calibri"/>
          <w:lang w:val="en-GB"/>
        </w:rPr>
      </w:pPr>
      <w:r w:rsidRPr="00E57573">
        <w:rPr>
          <w:rFonts w:eastAsia="Calibri"/>
          <w:lang w:val="en-GB"/>
        </w:rPr>
        <w:t xml:space="preserve">Coal Exit Strategy </w:t>
      </w:r>
      <w:r w:rsidRPr="00D14C15">
        <w:rPr>
          <w:rFonts w:eastAsia="Calibri"/>
          <w:lang w:val="en-GB"/>
        </w:rPr>
        <w:t xml:space="preserve">– </w:t>
      </w:r>
      <w:r w:rsidRPr="00E57573">
        <w:rPr>
          <w:rFonts w:eastAsia="Calibri"/>
          <w:lang w:val="en-GB"/>
        </w:rPr>
        <w:t>National Strategy for a Coal Exit and Restructuring of Coal Regions in line with Just Transition Principles</w:t>
      </w:r>
    </w:p>
    <w:p w14:paraId="1E3BDA3B" w14:textId="77777777" w:rsidR="0032633A" w:rsidRDefault="0032633A" w:rsidP="0032633A">
      <w:pPr>
        <w:widowControl/>
        <w:autoSpaceDE/>
        <w:autoSpaceDN/>
        <w:jc w:val="both"/>
        <w:rPr>
          <w:rFonts w:eastAsia="Calibri"/>
          <w:lang w:val="en-GB"/>
        </w:rPr>
      </w:pPr>
      <w:r w:rsidRPr="00D14C15">
        <w:rPr>
          <w:rFonts w:eastAsia="Calibri"/>
          <w:lang w:val="en-GB"/>
        </w:rPr>
        <w:t xml:space="preserve">CPI – </w:t>
      </w:r>
      <w:r w:rsidR="005E75B1" w:rsidRPr="005E75B1">
        <w:rPr>
          <w:rFonts w:eastAsia="Calibri"/>
          <w:lang w:val="en-GB"/>
        </w:rPr>
        <w:t>Institute of the Republic of Slovenia for Vocational Education and Training</w:t>
      </w:r>
    </w:p>
    <w:p w14:paraId="792FCFA3" w14:textId="77777777" w:rsidR="00B56648" w:rsidRPr="00D14C15" w:rsidRDefault="00B56648" w:rsidP="0032633A">
      <w:pPr>
        <w:widowControl/>
        <w:autoSpaceDE/>
        <w:autoSpaceDN/>
        <w:jc w:val="both"/>
        <w:rPr>
          <w:rFonts w:eastAsia="Calibri"/>
          <w:lang w:val="en-GB"/>
        </w:rPr>
      </w:pPr>
      <w:r w:rsidRPr="00D14C15">
        <w:rPr>
          <w:rFonts w:eastAsia="Calibri"/>
          <w:lang w:val="en-GB"/>
        </w:rPr>
        <w:t xml:space="preserve">DNSH – </w:t>
      </w:r>
      <w:r>
        <w:rPr>
          <w:rFonts w:eastAsia="Calibri"/>
          <w:lang w:val="en-GB"/>
        </w:rPr>
        <w:t xml:space="preserve">“do </w:t>
      </w:r>
      <w:r w:rsidRPr="00D14C15">
        <w:rPr>
          <w:rFonts w:eastAsia="Calibri"/>
          <w:lang w:val="en-GB"/>
        </w:rPr>
        <w:t>no significant harm</w:t>
      </w:r>
      <w:r>
        <w:rPr>
          <w:rFonts w:eastAsia="Calibri"/>
          <w:lang w:val="en-GB"/>
        </w:rPr>
        <w:t>”</w:t>
      </w:r>
      <w:r w:rsidRPr="0012623E">
        <w:rPr>
          <w:rFonts w:eastAsia="Calibri"/>
          <w:lang w:val="en-GB"/>
        </w:rPr>
        <w:t xml:space="preserve"> </w:t>
      </w:r>
      <w:r>
        <w:rPr>
          <w:rFonts w:eastAsia="Calibri"/>
          <w:lang w:val="en-GB"/>
        </w:rPr>
        <w:t>principle</w:t>
      </w:r>
    </w:p>
    <w:p w14:paraId="3A3DA7FC" w14:textId="77777777" w:rsidR="002D15CC" w:rsidRPr="00D14C15" w:rsidRDefault="002D15CC" w:rsidP="0032633A">
      <w:pPr>
        <w:widowControl/>
        <w:autoSpaceDE/>
        <w:autoSpaceDN/>
        <w:jc w:val="both"/>
        <w:rPr>
          <w:rFonts w:eastAsia="Calibri"/>
          <w:lang w:val="en-GB"/>
        </w:rPr>
      </w:pPr>
      <w:r>
        <w:rPr>
          <w:rFonts w:eastAsia="Calibri"/>
          <w:lang w:val="en-GB"/>
        </w:rPr>
        <w:t xml:space="preserve">DRR – agreement on the development of regions </w:t>
      </w:r>
    </w:p>
    <w:p w14:paraId="6A624D7B"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DSEPS – </w:t>
      </w:r>
      <w:r w:rsidR="00E6138C" w:rsidRPr="00E6138C">
        <w:rPr>
          <w:rFonts w:eastAsia="Calibri"/>
          <w:lang w:val="en-GB"/>
        </w:rPr>
        <w:t>Long-term Energy Renovation Strategy for 2050</w:t>
      </w:r>
    </w:p>
    <w:p w14:paraId="584346D7" w14:textId="77777777" w:rsidR="00A84886" w:rsidRPr="00D14C15" w:rsidRDefault="00A84886" w:rsidP="00A84886">
      <w:pPr>
        <w:widowControl/>
        <w:autoSpaceDE/>
        <w:autoSpaceDN/>
        <w:jc w:val="both"/>
        <w:rPr>
          <w:rFonts w:eastAsia="Calibri"/>
          <w:lang w:val="en-GB"/>
        </w:rPr>
      </w:pPr>
      <w:r>
        <w:rPr>
          <w:rFonts w:eastAsia="Calibri"/>
          <w:lang w:val="en-GB"/>
        </w:rPr>
        <w:t>EAFRD</w:t>
      </w:r>
      <w:r w:rsidRPr="00D14C15">
        <w:rPr>
          <w:rFonts w:eastAsia="Calibri"/>
          <w:lang w:val="en-GB"/>
        </w:rPr>
        <w:t xml:space="preserve"> – </w:t>
      </w:r>
      <w:r w:rsidRPr="00E35040">
        <w:rPr>
          <w:rFonts w:eastAsia="Calibri"/>
          <w:lang w:val="en-GB"/>
        </w:rPr>
        <w:t>European Agricultural Fund for Rural Development</w:t>
      </w:r>
    </w:p>
    <w:p w14:paraId="28019A2C" w14:textId="77777777" w:rsidR="00A84886" w:rsidRPr="00D14C15" w:rsidRDefault="00A84886" w:rsidP="00A84886">
      <w:pPr>
        <w:widowControl/>
        <w:autoSpaceDE/>
        <w:autoSpaceDN/>
        <w:jc w:val="both"/>
        <w:rPr>
          <w:rFonts w:eastAsia="Calibri"/>
          <w:lang w:val="en-GB"/>
        </w:rPr>
      </w:pPr>
      <w:r>
        <w:rPr>
          <w:rFonts w:eastAsia="Calibri"/>
          <w:lang w:val="en-GB"/>
        </w:rPr>
        <w:t>EC</w:t>
      </w:r>
      <w:r w:rsidRPr="00D14C15">
        <w:rPr>
          <w:rFonts w:eastAsia="Calibri"/>
          <w:lang w:val="en-GB"/>
        </w:rPr>
        <w:t xml:space="preserve"> – E</w:t>
      </w:r>
      <w:r>
        <w:rPr>
          <w:rFonts w:eastAsia="Calibri"/>
          <w:lang w:val="en-GB"/>
        </w:rPr>
        <w:t>uropean Commission</w:t>
      </w:r>
    </w:p>
    <w:p w14:paraId="60844B52" w14:textId="77777777" w:rsidR="00A84886" w:rsidRDefault="00A84886" w:rsidP="00A84886">
      <w:pPr>
        <w:widowControl/>
        <w:autoSpaceDE/>
        <w:autoSpaceDN/>
        <w:jc w:val="both"/>
        <w:rPr>
          <w:rFonts w:eastAsia="Calibri"/>
          <w:lang w:val="en-GB"/>
        </w:rPr>
      </w:pPr>
      <w:r>
        <w:rPr>
          <w:rFonts w:eastAsia="Calibri"/>
          <w:lang w:val="en-GB"/>
        </w:rPr>
        <w:t>EC</w:t>
      </w:r>
      <w:r w:rsidRPr="00D14C15">
        <w:rPr>
          <w:rFonts w:eastAsia="Calibri"/>
          <w:lang w:val="en-GB"/>
        </w:rPr>
        <w:t>P – E</w:t>
      </w:r>
      <w:r>
        <w:rPr>
          <w:rFonts w:eastAsia="Calibri"/>
          <w:lang w:val="en-GB"/>
        </w:rPr>
        <w:t>uropean Cohesion Policy</w:t>
      </w:r>
    </w:p>
    <w:p w14:paraId="4E4A719D" w14:textId="77777777" w:rsidR="00B56648" w:rsidRDefault="00B56648" w:rsidP="00A84886">
      <w:pPr>
        <w:widowControl/>
        <w:autoSpaceDE/>
        <w:autoSpaceDN/>
        <w:jc w:val="both"/>
        <w:rPr>
          <w:lang w:val="en-GB"/>
        </w:rPr>
      </w:pPr>
      <w:r w:rsidRPr="00D14C15">
        <w:rPr>
          <w:rFonts w:eastAsia="Calibri"/>
          <w:lang w:val="en-GB"/>
        </w:rPr>
        <w:t xml:space="preserve">EII – </w:t>
      </w:r>
      <w:r w:rsidRPr="00D14C15">
        <w:rPr>
          <w:lang w:val="en-GB"/>
        </w:rPr>
        <w:t>European Innovation Index</w:t>
      </w:r>
    </w:p>
    <w:p w14:paraId="18F5724C" w14:textId="77777777" w:rsidR="00B56648" w:rsidRDefault="00B56648" w:rsidP="00A84886">
      <w:pPr>
        <w:widowControl/>
        <w:autoSpaceDE/>
        <w:autoSpaceDN/>
        <w:jc w:val="both"/>
        <w:rPr>
          <w:rFonts w:eastAsia="Calibri"/>
          <w:lang w:val="en-GB"/>
        </w:rPr>
      </w:pPr>
      <w:r>
        <w:rPr>
          <w:rFonts w:eastAsia="Calibri"/>
          <w:lang w:val="en-GB"/>
        </w:rPr>
        <w:t>EMFAF</w:t>
      </w:r>
      <w:r w:rsidRPr="00D14C15">
        <w:rPr>
          <w:rFonts w:eastAsia="Calibri"/>
          <w:lang w:val="en-GB"/>
        </w:rPr>
        <w:t xml:space="preserve"> – </w:t>
      </w:r>
      <w:r w:rsidRPr="00E35040">
        <w:rPr>
          <w:rFonts w:eastAsia="Calibri"/>
          <w:lang w:val="en-GB"/>
        </w:rPr>
        <w:t>European Maritime, Fisheries and Aquaculture Fund</w:t>
      </w:r>
    </w:p>
    <w:p w14:paraId="1B2E946B" w14:textId="77777777" w:rsidR="00B56648" w:rsidRDefault="00B56648" w:rsidP="00A84886">
      <w:pPr>
        <w:widowControl/>
        <w:autoSpaceDE/>
        <w:autoSpaceDN/>
        <w:jc w:val="both"/>
        <w:rPr>
          <w:rFonts w:eastAsia="Calibri"/>
          <w:lang w:val="en-GB"/>
        </w:rPr>
      </w:pPr>
      <w:r w:rsidRPr="00D14C15">
        <w:rPr>
          <w:rFonts w:eastAsia="Calibri"/>
          <w:lang w:val="en-GB"/>
        </w:rPr>
        <w:t>E</w:t>
      </w:r>
      <w:r>
        <w:rPr>
          <w:rFonts w:eastAsia="Calibri"/>
          <w:lang w:val="en-GB"/>
        </w:rPr>
        <w:t>RDF</w:t>
      </w:r>
      <w:r w:rsidRPr="00D14C15">
        <w:rPr>
          <w:rFonts w:eastAsia="Calibri"/>
          <w:lang w:val="en-GB"/>
        </w:rPr>
        <w:t xml:space="preserve"> – E</w:t>
      </w:r>
      <w:r>
        <w:rPr>
          <w:rFonts w:eastAsia="Calibri"/>
          <w:lang w:val="en-GB"/>
        </w:rPr>
        <w:t xml:space="preserve">uropean Regional Development Fund </w:t>
      </w:r>
    </w:p>
    <w:p w14:paraId="6500994C" w14:textId="77777777" w:rsidR="00B56648" w:rsidRPr="00D14C15" w:rsidRDefault="00B56648" w:rsidP="00A84886">
      <w:pPr>
        <w:widowControl/>
        <w:autoSpaceDE/>
        <w:autoSpaceDN/>
        <w:jc w:val="both"/>
        <w:rPr>
          <w:rFonts w:eastAsia="Calibri"/>
          <w:lang w:val="en-GB"/>
        </w:rPr>
      </w:pPr>
      <w:r w:rsidRPr="00D14C15">
        <w:rPr>
          <w:rFonts w:eastAsia="Calibri"/>
          <w:lang w:val="en-GB"/>
        </w:rPr>
        <w:t xml:space="preserve">ESS+ – </w:t>
      </w:r>
      <w:r>
        <w:rPr>
          <w:rFonts w:eastAsia="Calibri"/>
          <w:lang w:val="en-GB"/>
        </w:rPr>
        <w:t>European Social Fund Plus</w:t>
      </w:r>
    </w:p>
    <w:p w14:paraId="6305DCF0" w14:textId="77777777" w:rsidR="00A84886" w:rsidRDefault="00A84886" w:rsidP="00A84886">
      <w:pPr>
        <w:widowControl/>
        <w:autoSpaceDE/>
        <w:autoSpaceDN/>
        <w:jc w:val="both"/>
        <w:rPr>
          <w:rFonts w:eastAsia="Calibri"/>
          <w:lang w:val="en-GB"/>
        </w:rPr>
      </w:pPr>
      <w:r w:rsidRPr="00D14C15">
        <w:rPr>
          <w:rFonts w:eastAsia="Calibri"/>
          <w:lang w:val="en-GB"/>
        </w:rPr>
        <w:t xml:space="preserve">EU – </w:t>
      </w:r>
      <w:r>
        <w:rPr>
          <w:rFonts w:eastAsia="Calibri"/>
          <w:lang w:val="en-GB"/>
        </w:rPr>
        <w:t>European Union</w:t>
      </w:r>
    </w:p>
    <w:p w14:paraId="72F9C557" w14:textId="77777777" w:rsidR="00B56648" w:rsidRPr="00D14C15" w:rsidRDefault="00B56648" w:rsidP="00B56648">
      <w:pPr>
        <w:rPr>
          <w:rFonts w:eastAsia="Calibri"/>
          <w:lang w:val="en-GB"/>
        </w:rPr>
      </w:pPr>
      <w:r w:rsidRPr="00D14C15">
        <w:rPr>
          <w:rFonts w:eastAsia="Calibri"/>
          <w:lang w:val="en-GB"/>
        </w:rPr>
        <w:t xml:space="preserve">EU </w:t>
      </w:r>
      <w:r>
        <w:rPr>
          <w:rFonts w:eastAsia="Calibri"/>
          <w:lang w:val="en-GB"/>
        </w:rPr>
        <w:t>Funds</w:t>
      </w:r>
      <w:r w:rsidRPr="00D14C15">
        <w:rPr>
          <w:rFonts w:eastAsia="Calibri"/>
          <w:lang w:val="en-GB"/>
        </w:rPr>
        <w:t xml:space="preserve"> –</w:t>
      </w:r>
      <w:r>
        <w:rPr>
          <w:rFonts w:eastAsia="Calibri"/>
          <w:lang w:val="en-GB"/>
        </w:rPr>
        <w:t xml:space="preserve"> in the Programme, the term is used for</w:t>
      </w:r>
      <w:r w:rsidRPr="00D14C15">
        <w:rPr>
          <w:rFonts w:eastAsia="Calibri"/>
          <w:lang w:val="en-GB"/>
        </w:rPr>
        <w:t xml:space="preserve"> </w:t>
      </w:r>
      <w:r>
        <w:rPr>
          <w:rFonts w:eastAsia="Calibri"/>
          <w:lang w:val="en-GB"/>
        </w:rPr>
        <w:t>ERDF</w:t>
      </w:r>
      <w:r w:rsidRPr="00D14C15">
        <w:rPr>
          <w:rFonts w:eastAsia="Calibri"/>
          <w:lang w:val="en-GB"/>
        </w:rPr>
        <w:t>, ES</w:t>
      </w:r>
      <w:r>
        <w:rPr>
          <w:rFonts w:eastAsia="Calibri"/>
          <w:lang w:val="en-GB"/>
        </w:rPr>
        <w:t>F</w:t>
      </w:r>
      <w:r w:rsidRPr="00D14C15">
        <w:rPr>
          <w:rFonts w:eastAsia="Calibri"/>
          <w:lang w:val="en-GB"/>
        </w:rPr>
        <w:t xml:space="preserve">+ </w:t>
      </w:r>
      <w:r>
        <w:rPr>
          <w:rFonts w:eastAsia="Calibri"/>
          <w:lang w:val="en-GB"/>
        </w:rPr>
        <w:t>and</w:t>
      </w:r>
      <w:r w:rsidRPr="00D14C15">
        <w:rPr>
          <w:rFonts w:eastAsia="Calibri"/>
          <w:lang w:val="en-GB"/>
        </w:rPr>
        <w:t xml:space="preserve"> </w:t>
      </w:r>
      <w:r>
        <w:rPr>
          <w:rFonts w:eastAsia="Calibri"/>
          <w:lang w:val="en-GB"/>
        </w:rPr>
        <w:t>CF</w:t>
      </w:r>
    </w:p>
    <w:p w14:paraId="731498DB" w14:textId="77777777" w:rsidR="00A84886" w:rsidRPr="00D14C15" w:rsidRDefault="00A84886" w:rsidP="00A84886">
      <w:pPr>
        <w:widowControl/>
        <w:autoSpaceDE/>
        <w:autoSpaceDN/>
        <w:jc w:val="both"/>
        <w:rPr>
          <w:rFonts w:eastAsia="Calibri"/>
          <w:lang w:val="en-GB"/>
        </w:rPr>
      </w:pPr>
      <w:r w:rsidRPr="00D14C15">
        <w:rPr>
          <w:rFonts w:eastAsia="Calibri"/>
          <w:lang w:val="en-GB"/>
        </w:rPr>
        <w:t xml:space="preserve">EUSAIR – </w:t>
      </w:r>
      <w:r w:rsidRPr="00E35040">
        <w:rPr>
          <w:rFonts w:eastAsia="Calibri"/>
          <w:lang w:val="en-GB"/>
        </w:rPr>
        <w:t>EU Strategy for the Adriatic-Ionian Region</w:t>
      </w:r>
    </w:p>
    <w:p w14:paraId="78390C4E" w14:textId="77777777" w:rsidR="00A84886" w:rsidRPr="00D14C15" w:rsidRDefault="00A84886" w:rsidP="00A84886">
      <w:pPr>
        <w:widowControl/>
        <w:autoSpaceDE/>
        <w:autoSpaceDN/>
        <w:jc w:val="both"/>
        <w:rPr>
          <w:rFonts w:eastAsia="Calibri"/>
          <w:lang w:val="en-GB"/>
        </w:rPr>
      </w:pPr>
      <w:r w:rsidRPr="00D14C15">
        <w:rPr>
          <w:rFonts w:eastAsia="Calibri"/>
          <w:lang w:val="en-GB"/>
        </w:rPr>
        <w:t xml:space="preserve">EUSALP – </w:t>
      </w:r>
      <w:r w:rsidRPr="00E35040">
        <w:rPr>
          <w:rFonts w:eastAsia="Calibri"/>
          <w:lang w:val="en-GB"/>
        </w:rPr>
        <w:t>EU Strategy for the Alpine Region</w:t>
      </w:r>
    </w:p>
    <w:p w14:paraId="3F9A0B31" w14:textId="77777777" w:rsidR="00A84886" w:rsidRPr="00D14C15" w:rsidRDefault="00A84886" w:rsidP="00A84886">
      <w:pPr>
        <w:widowControl/>
        <w:autoSpaceDE/>
        <w:autoSpaceDN/>
        <w:jc w:val="both"/>
        <w:rPr>
          <w:rFonts w:eastAsia="Calibri"/>
          <w:lang w:val="en-GB"/>
        </w:rPr>
      </w:pPr>
      <w:r w:rsidRPr="00D14C15">
        <w:rPr>
          <w:rFonts w:eastAsia="Calibri"/>
          <w:lang w:val="en-GB"/>
        </w:rPr>
        <w:t xml:space="preserve">EUSDR – </w:t>
      </w:r>
      <w:r w:rsidRPr="00E35040">
        <w:rPr>
          <w:rFonts w:eastAsia="Calibri"/>
          <w:lang w:val="en-GB"/>
        </w:rPr>
        <w:t>EU Strategy for the Danube Region</w:t>
      </w:r>
    </w:p>
    <w:p w14:paraId="13AC1E36" w14:textId="77777777" w:rsidR="0032633A" w:rsidRDefault="0032633A" w:rsidP="0032633A">
      <w:pPr>
        <w:widowControl/>
        <w:autoSpaceDE/>
        <w:autoSpaceDN/>
        <w:jc w:val="both"/>
        <w:rPr>
          <w:rFonts w:eastAsia="Calibri"/>
          <w:lang w:val="en-GB"/>
        </w:rPr>
      </w:pPr>
      <w:r w:rsidRPr="00D14C15">
        <w:rPr>
          <w:rFonts w:eastAsia="Calibri"/>
          <w:lang w:val="en-GB"/>
        </w:rPr>
        <w:t xml:space="preserve">FI – </w:t>
      </w:r>
      <w:r w:rsidR="0093371D">
        <w:rPr>
          <w:rFonts w:eastAsia="Calibri"/>
          <w:lang w:val="en-GB"/>
        </w:rPr>
        <w:t>financial instruments</w:t>
      </w:r>
    </w:p>
    <w:p w14:paraId="4D0FB510" w14:textId="77777777" w:rsidR="00B56648" w:rsidRDefault="00B56648" w:rsidP="0032633A">
      <w:pPr>
        <w:widowControl/>
        <w:autoSpaceDE/>
        <w:autoSpaceDN/>
        <w:jc w:val="both"/>
        <w:rPr>
          <w:rFonts w:eastAsia="Calibri"/>
          <w:lang w:val="en-GB"/>
        </w:rPr>
      </w:pPr>
      <w:r>
        <w:rPr>
          <w:rFonts w:eastAsia="Calibri"/>
          <w:lang w:val="en-GB"/>
        </w:rPr>
        <w:t>GDP</w:t>
      </w:r>
      <w:r w:rsidRPr="00D14C15">
        <w:rPr>
          <w:rFonts w:eastAsia="Calibri"/>
          <w:lang w:val="en-GB"/>
        </w:rPr>
        <w:t xml:space="preserve"> – </w:t>
      </w:r>
      <w:r>
        <w:rPr>
          <w:rFonts w:eastAsia="Calibri"/>
          <w:lang w:val="en-GB"/>
        </w:rPr>
        <w:t xml:space="preserve">gross domestic product </w:t>
      </w:r>
    </w:p>
    <w:p w14:paraId="6EA21089" w14:textId="77777777" w:rsidR="00B56648" w:rsidRPr="00D14C15" w:rsidRDefault="00B56648" w:rsidP="0032633A">
      <w:pPr>
        <w:widowControl/>
        <w:autoSpaceDE/>
        <w:autoSpaceDN/>
        <w:jc w:val="both"/>
        <w:rPr>
          <w:rFonts w:eastAsia="Calibri"/>
          <w:lang w:val="en-GB"/>
        </w:rPr>
      </w:pPr>
      <w:r w:rsidRPr="00D14C15">
        <w:rPr>
          <w:rFonts w:eastAsia="Calibri"/>
          <w:lang w:val="en-GB"/>
        </w:rPr>
        <w:t>G</w:t>
      </w:r>
      <w:r>
        <w:rPr>
          <w:rFonts w:eastAsia="Calibri"/>
          <w:lang w:val="en-GB"/>
        </w:rPr>
        <w:t>HG</w:t>
      </w:r>
      <w:r w:rsidRPr="00D14C15">
        <w:rPr>
          <w:rFonts w:eastAsia="Calibri"/>
          <w:lang w:val="en-GB"/>
        </w:rPr>
        <w:t xml:space="preserve"> – </w:t>
      </w:r>
      <w:r>
        <w:rPr>
          <w:rFonts w:eastAsia="Calibri"/>
          <w:lang w:val="en-GB"/>
        </w:rPr>
        <w:t xml:space="preserve">greenhouse gas </w:t>
      </w:r>
    </w:p>
    <w:p w14:paraId="5A613CEC"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HPC – High Performance Computing </w:t>
      </w:r>
    </w:p>
    <w:p w14:paraId="5F6B0BF7" w14:textId="77777777" w:rsidR="0032633A" w:rsidRPr="00D14C15" w:rsidRDefault="0093371D" w:rsidP="0032633A">
      <w:pPr>
        <w:widowControl/>
        <w:autoSpaceDE/>
        <w:autoSpaceDN/>
        <w:jc w:val="both"/>
        <w:rPr>
          <w:rFonts w:eastAsia="Calibri"/>
          <w:lang w:val="en-GB"/>
        </w:rPr>
      </w:pPr>
      <w:r>
        <w:rPr>
          <w:rFonts w:eastAsia="Calibri"/>
          <w:lang w:val="en-GB"/>
        </w:rPr>
        <w:t>IC</w:t>
      </w:r>
      <w:r w:rsidR="0032633A" w:rsidRPr="00D14C15">
        <w:rPr>
          <w:rFonts w:eastAsia="Calibri"/>
          <w:lang w:val="en-GB"/>
        </w:rPr>
        <w:t xml:space="preserve">T – </w:t>
      </w:r>
      <w:r>
        <w:rPr>
          <w:rFonts w:eastAsia="Calibri"/>
          <w:lang w:val="en-GB"/>
        </w:rPr>
        <w:t>information and communication technology</w:t>
      </w:r>
    </w:p>
    <w:p w14:paraId="28B6E197" w14:textId="77777777" w:rsidR="0032633A" w:rsidRDefault="0032633A" w:rsidP="0032633A">
      <w:pPr>
        <w:widowControl/>
        <w:autoSpaceDE/>
        <w:autoSpaceDN/>
        <w:jc w:val="both"/>
      </w:pPr>
      <w:r w:rsidRPr="00D14C15">
        <w:rPr>
          <w:rFonts w:eastAsia="Calibri"/>
          <w:lang w:val="en-GB"/>
        </w:rPr>
        <w:t xml:space="preserve">IRSSV – </w:t>
      </w:r>
      <w:r w:rsidR="00F20B92">
        <w:t>Social Protection Institute of the Republic of Slovenia</w:t>
      </w:r>
    </w:p>
    <w:p w14:paraId="0AF9360D" w14:textId="77777777" w:rsidR="00B56648" w:rsidRPr="00D14C15" w:rsidRDefault="00B56648" w:rsidP="0032633A">
      <w:pPr>
        <w:widowControl/>
        <w:autoSpaceDE/>
        <w:autoSpaceDN/>
        <w:jc w:val="both"/>
        <w:rPr>
          <w:rFonts w:eastAsia="Calibri"/>
          <w:lang w:val="en-GB"/>
        </w:rPr>
      </w:pPr>
      <w:r>
        <w:rPr>
          <w:rFonts w:eastAsia="Calibri"/>
          <w:lang w:val="en-GB"/>
        </w:rPr>
        <w:t>ITI</w:t>
      </w:r>
      <w:r w:rsidRPr="00D14C15">
        <w:rPr>
          <w:rFonts w:eastAsia="Calibri"/>
          <w:lang w:val="en-GB"/>
        </w:rPr>
        <w:t xml:space="preserve"> – </w:t>
      </w:r>
      <w:r>
        <w:rPr>
          <w:rFonts w:eastAsia="Calibri"/>
          <w:lang w:val="en-GB"/>
        </w:rPr>
        <w:t xml:space="preserve">Integrated Territorial Investment </w:t>
      </w:r>
    </w:p>
    <w:p w14:paraId="159B3C2F" w14:textId="77777777" w:rsidR="0032633A" w:rsidRDefault="0032633A" w:rsidP="0032633A">
      <w:pPr>
        <w:widowControl/>
        <w:autoSpaceDE/>
        <w:autoSpaceDN/>
        <w:jc w:val="both"/>
        <w:rPr>
          <w:rFonts w:eastAsia="Calibri"/>
          <w:lang w:val="en-GB"/>
        </w:rPr>
      </w:pPr>
      <w:r w:rsidRPr="00D14C15">
        <w:rPr>
          <w:rFonts w:eastAsia="Calibri"/>
          <w:lang w:val="en-GB"/>
        </w:rPr>
        <w:t xml:space="preserve">JŠRIPS – </w:t>
      </w:r>
      <w:r w:rsidR="0039130E" w:rsidRPr="0039130E">
        <w:rPr>
          <w:rFonts w:eastAsia="Calibri"/>
          <w:lang w:val="en-GB"/>
        </w:rPr>
        <w:t>Public Scholarship, Development, Disability and Maintenance Fund of the Republic of Slovenia</w:t>
      </w:r>
      <w:r w:rsidR="0039130E">
        <w:rPr>
          <w:rFonts w:eastAsia="Calibri"/>
          <w:lang w:val="en-GB"/>
        </w:rPr>
        <w:t xml:space="preserve"> </w:t>
      </w:r>
    </w:p>
    <w:p w14:paraId="7F609809" w14:textId="77777777" w:rsidR="00B56648" w:rsidRPr="00D14C15" w:rsidRDefault="00B56648" w:rsidP="0032633A">
      <w:pPr>
        <w:widowControl/>
        <w:autoSpaceDE/>
        <w:autoSpaceDN/>
        <w:jc w:val="both"/>
        <w:rPr>
          <w:rFonts w:eastAsia="Calibri"/>
          <w:lang w:val="en-GB"/>
        </w:rPr>
      </w:pPr>
      <w:r>
        <w:rPr>
          <w:rFonts w:eastAsia="Calibri"/>
          <w:lang w:val="en-GB"/>
        </w:rPr>
        <w:t>JTF</w:t>
      </w:r>
      <w:r w:rsidRPr="00D14C15">
        <w:rPr>
          <w:rFonts w:eastAsia="Calibri"/>
          <w:lang w:val="en-GB"/>
        </w:rPr>
        <w:t xml:space="preserve"> – </w:t>
      </w:r>
      <w:r w:rsidRPr="00FD7B1F">
        <w:rPr>
          <w:rFonts w:eastAsia="Calibri"/>
          <w:lang w:val="en-GB"/>
        </w:rPr>
        <w:t xml:space="preserve">Just Transition Fund </w:t>
      </w:r>
      <w:r w:rsidRPr="00D14C15">
        <w:rPr>
          <w:rFonts w:eastAsia="Calibri"/>
          <w:lang w:val="en-GB"/>
        </w:rPr>
        <w:t xml:space="preserve"> </w:t>
      </w:r>
    </w:p>
    <w:p w14:paraId="37B57D9E" w14:textId="77777777" w:rsidR="0032633A" w:rsidRPr="00D14C15" w:rsidRDefault="0032633A" w:rsidP="0032633A">
      <w:pPr>
        <w:widowControl/>
        <w:autoSpaceDE/>
        <w:autoSpaceDN/>
        <w:jc w:val="both"/>
        <w:rPr>
          <w:rFonts w:eastAsia="Calibri"/>
          <w:lang w:val="en-GB"/>
        </w:rPr>
      </w:pPr>
      <w:r w:rsidRPr="00D14C15">
        <w:rPr>
          <w:rFonts w:eastAsia="Calibri"/>
          <w:lang w:val="en-GB"/>
        </w:rPr>
        <w:t>KTO – Knowledge Transfer Office</w:t>
      </w:r>
    </w:p>
    <w:p w14:paraId="48A0E30D" w14:textId="77777777" w:rsidR="0032633A" w:rsidRDefault="0032633A" w:rsidP="0032633A">
      <w:pPr>
        <w:widowControl/>
        <w:autoSpaceDE/>
        <w:autoSpaceDN/>
        <w:jc w:val="both"/>
        <w:rPr>
          <w:rFonts w:eastAsia="Calibri"/>
          <w:lang w:val="en-GB"/>
        </w:rPr>
      </w:pPr>
      <w:r w:rsidRPr="00D14C15">
        <w:rPr>
          <w:rFonts w:eastAsia="Calibri"/>
          <w:lang w:val="en-GB"/>
        </w:rPr>
        <w:t>LA</w:t>
      </w:r>
      <w:r w:rsidR="0093371D">
        <w:rPr>
          <w:rFonts w:eastAsia="Calibri"/>
          <w:lang w:val="en-GB"/>
        </w:rPr>
        <w:t>G</w:t>
      </w:r>
      <w:r w:rsidRPr="00D14C15">
        <w:rPr>
          <w:rFonts w:eastAsia="Calibri"/>
          <w:lang w:val="en-GB"/>
        </w:rPr>
        <w:t xml:space="preserve"> – </w:t>
      </w:r>
      <w:r w:rsidR="0093371D">
        <w:rPr>
          <w:rFonts w:eastAsia="Calibri"/>
          <w:lang w:val="en-GB"/>
        </w:rPr>
        <w:t>local action groups</w:t>
      </w:r>
    </w:p>
    <w:p w14:paraId="5F333C97" w14:textId="77777777" w:rsidR="00B56648" w:rsidRDefault="00B56648" w:rsidP="0032633A">
      <w:pPr>
        <w:widowControl/>
        <w:autoSpaceDE/>
        <w:autoSpaceDN/>
        <w:jc w:val="both"/>
        <w:rPr>
          <w:rFonts w:eastAsia="Calibri"/>
          <w:lang w:val="en-GB"/>
        </w:rPr>
      </w:pPr>
      <w:r>
        <w:rPr>
          <w:rFonts w:eastAsia="Calibri"/>
          <w:lang w:val="en-GB"/>
        </w:rPr>
        <w:t>LDS</w:t>
      </w:r>
      <w:r w:rsidRPr="00D14C15">
        <w:rPr>
          <w:rFonts w:eastAsia="Calibri"/>
          <w:lang w:val="en-GB"/>
        </w:rPr>
        <w:t xml:space="preserve"> – </w:t>
      </w:r>
      <w:r>
        <w:rPr>
          <w:rFonts w:eastAsia="Calibri"/>
          <w:lang w:val="en-GB"/>
        </w:rPr>
        <w:t>local development strategy</w:t>
      </w:r>
    </w:p>
    <w:p w14:paraId="4BA86903" w14:textId="77777777" w:rsidR="00B56648" w:rsidRPr="00D14C15" w:rsidRDefault="00B56648" w:rsidP="0032633A">
      <w:pPr>
        <w:widowControl/>
        <w:autoSpaceDE/>
        <w:autoSpaceDN/>
        <w:jc w:val="both"/>
        <w:rPr>
          <w:rFonts w:eastAsia="Calibri"/>
          <w:lang w:val="en-GB"/>
        </w:rPr>
      </w:pPr>
      <w:r>
        <w:rPr>
          <w:rFonts w:eastAsia="Calibri"/>
          <w:lang w:val="en-GB"/>
        </w:rPr>
        <w:t>MA</w:t>
      </w:r>
      <w:r w:rsidRPr="00D14C15">
        <w:rPr>
          <w:rFonts w:eastAsia="Calibri"/>
          <w:lang w:val="en-GB"/>
        </w:rPr>
        <w:t xml:space="preserve"> – </w:t>
      </w:r>
      <w:r>
        <w:rPr>
          <w:rFonts w:eastAsia="Calibri"/>
          <w:lang w:val="en-GB"/>
        </w:rPr>
        <w:t xml:space="preserve">Managing Authority </w:t>
      </w:r>
    </w:p>
    <w:p w14:paraId="16D1711C" w14:textId="77777777" w:rsidR="0032633A" w:rsidRDefault="0032633A" w:rsidP="0032633A">
      <w:pPr>
        <w:widowControl/>
        <w:autoSpaceDE/>
        <w:autoSpaceDN/>
        <w:jc w:val="both"/>
        <w:rPr>
          <w:rFonts w:eastAsia="Calibri"/>
          <w:lang w:val="en-GB"/>
        </w:rPr>
      </w:pPr>
      <w:r w:rsidRPr="00D14C15">
        <w:rPr>
          <w:rFonts w:eastAsia="Calibri"/>
          <w:lang w:val="en-GB"/>
        </w:rPr>
        <w:t xml:space="preserve">MDDSZ – </w:t>
      </w:r>
      <w:r w:rsidR="0039130E" w:rsidRPr="0039130E">
        <w:rPr>
          <w:rFonts w:eastAsia="Calibri"/>
          <w:lang w:val="en-GB"/>
        </w:rPr>
        <w:t>Ministry of Labour, Family, Social Affairs and Equal Opportunities</w:t>
      </w:r>
    </w:p>
    <w:p w14:paraId="7BECEA8D" w14:textId="77777777" w:rsidR="00774C60" w:rsidRDefault="00774C60" w:rsidP="0032633A">
      <w:pPr>
        <w:widowControl/>
        <w:autoSpaceDE/>
        <w:autoSpaceDN/>
        <w:jc w:val="both"/>
        <w:rPr>
          <w:rFonts w:eastAsia="Calibri"/>
          <w:lang w:val="en-GB"/>
        </w:rPr>
      </w:pPr>
      <w:r>
        <w:rPr>
          <w:rFonts w:eastAsia="Calibri"/>
          <w:lang w:val="en-GB"/>
        </w:rPr>
        <w:t>MGRT – Ministry of Economic Development and Technology</w:t>
      </w:r>
    </w:p>
    <w:p w14:paraId="4AEF29F2" w14:textId="77777777" w:rsidR="00696743" w:rsidRDefault="007F4949" w:rsidP="0032633A">
      <w:pPr>
        <w:widowControl/>
        <w:autoSpaceDE/>
        <w:autoSpaceDN/>
        <w:jc w:val="both"/>
        <w:rPr>
          <w:rFonts w:eastAsia="Calibri"/>
          <w:lang w:val="en-GB"/>
        </w:rPr>
      </w:pPr>
      <w:r>
        <w:rPr>
          <w:rFonts w:eastAsia="Calibri"/>
          <w:lang w:val="en-GB"/>
        </w:rPr>
        <w:t xml:space="preserve">MIZŠ – </w:t>
      </w:r>
      <w:r w:rsidRPr="007F4949">
        <w:rPr>
          <w:rFonts w:eastAsia="Calibri"/>
          <w:lang w:val="en-GB"/>
        </w:rPr>
        <w:t>Ministry of Education, Science and Sport</w:t>
      </w:r>
    </w:p>
    <w:p w14:paraId="5428F32B" w14:textId="77777777" w:rsidR="00055588" w:rsidRDefault="00055588" w:rsidP="0032633A">
      <w:pPr>
        <w:widowControl/>
        <w:autoSpaceDE/>
        <w:autoSpaceDN/>
        <w:jc w:val="both"/>
        <w:rPr>
          <w:rFonts w:eastAsia="Calibri"/>
          <w:lang w:val="en-GB"/>
        </w:rPr>
      </w:pPr>
      <w:r>
        <w:rPr>
          <w:rFonts w:eastAsia="Calibri"/>
          <w:lang w:val="en-GB"/>
        </w:rPr>
        <w:t>MOP – Ministry of the Environment and Spatial Planning</w:t>
      </w:r>
    </w:p>
    <w:p w14:paraId="420592AF"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MZZ – </w:t>
      </w:r>
      <w:r w:rsidR="0039130E">
        <w:rPr>
          <w:rFonts w:eastAsia="Calibri"/>
          <w:lang w:val="en-GB"/>
        </w:rPr>
        <w:t xml:space="preserve">Ministry of Foreign Affairs </w:t>
      </w:r>
    </w:p>
    <w:p w14:paraId="6AD92A26" w14:textId="77777777" w:rsidR="0032633A" w:rsidRPr="00D14C15" w:rsidRDefault="00A43CD0" w:rsidP="0032633A">
      <w:pPr>
        <w:widowControl/>
        <w:autoSpaceDE/>
        <w:autoSpaceDN/>
        <w:jc w:val="both"/>
        <w:rPr>
          <w:rFonts w:eastAsia="Calibri"/>
          <w:lang w:val="en-GB"/>
        </w:rPr>
      </w:pPr>
      <w:r>
        <w:rPr>
          <w:rFonts w:eastAsia="Calibri"/>
          <w:lang w:val="en-GB"/>
        </w:rPr>
        <w:t>NECP</w:t>
      </w:r>
      <w:r w:rsidR="0032633A" w:rsidRPr="00D14C15">
        <w:rPr>
          <w:rFonts w:eastAsia="Calibri"/>
          <w:lang w:val="en-GB"/>
        </w:rPr>
        <w:t xml:space="preserve"> – </w:t>
      </w:r>
      <w:r w:rsidRPr="00A43CD0">
        <w:rPr>
          <w:rFonts w:eastAsia="Calibri"/>
          <w:lang w:val="en-GB"/>
        </w:rPr>
        <w:t>National Energy and Climate Plan 2030</w:t>
      </w:r>
    </w:p>
    <w:p w14:paraId="2832E732" w14:textId="77777777" w:rsidR="0032633A" w:rsidRDefault="0032633A" w:rsidP="0032633A">
      <w:pPr>
        <w:widowControl/>
        <w:autoSpaceDE/>
        <w:autoSpaceDN/>
        <w:jc w:val="both"/>
        <w:rPr>
          <w:rFonts w:eastAsia="Calibri"/>
          <w:lang w:val="en-GB"/>
        </w:rPr>
      </w:pPr>
      <w:r w:rsidRPr="00D14C15">
        <w:rPr>
          <w:rFonts w:eastAsia="Calibri"/>
          <w:lang w:val="en-GB"/>
        </w:rPr>
        <w:t>NEET – Not in Education, Employment, or Training</w:t>
      </w:r>
    </w:p>
    <w:p w14:paraId="43DC3883" w14:textId="77777777" w:rsidR="00B56648" w:rsidRDefault="00B56648" w:rsidP="0032633A">
      <w:pPr>
        <w:widowControl/>
        <w:autoSpaceDE/>
        <w:autoSpaceDN/>
        <w:jc w:val="both"/>
        <w:rPr>
          <w:rFonts w:eastAsia="Calibri"/>
          <w:lang w:val="en-GB"/>
        </w:rPr>
      </w:pPr>
      <w:r>
        <w:rPr>
          <w:rFonts w:eastAsia="Calibri"/>
          <w:lang w:val="en-GB"/>
        </w:rPr>
        <w:t>NG</w:t>
      </w:r>
      <w:r w:rsidRPr="00D14C15">
        <w:rPr>
          <w:rFonts w:eastAsia="Calibri"/>
          <w:lang w:val="en-GB"/>
        </w:rPr>
        <w:t xml:space="preserve">O – </w:t>
      </w:r>
      <w:r>
        <w:rPr>
          <w:rFonts w:eastAsia="Calibri"/>
          <w:lang w:val="en-GB"/>
        </w:rPr>
        <w:t xml:space="preserve">non-governmental organisations </w:t>
      </w:r>
    </w:p>
    <w:p w14:paraId="7270E123" w14:textId="77777777" w:rsidR="00B56648" w:rsidRDefault="00B56648" w:rsidP="0032633A">
      <w:pPr>
        <w:widowControl/>
        <w:autoSpaceDE/>
        <w:autoSpaceDN/>
        <w:jc w:val="both"/>
        <w:rPr>
          <w:rFonts w:eastAsia="Calibri"/>
          <w:lang w:val="en-GB"/>
        </w:rPr>
      </w:pPr>
      <w:r w:rsidRPr="00D14C15">
        <w:rPr>
          <w:rFonts w:eastAsia="Calibri"/>
          <w:lang w:val="en-GB"/>
        </w:rPr>
        <w:t xml:space="preserve">OECD – </w:t>
      </w:r>
      <w:r>
        <w:rPr>
          <w:rFonts w:eastAsia="Calibri"/>
          <w:lang w:val="en-GB"/>
        </w:rPr>
        <w:t>Organis</w:t>
      </w:r>
      <w:r w:rsidRPr="00D14C15">
        <w:rPr>
          <w:rFonts w:eastAsia="Calibri"/>
          <w:lang w:val="en-GB"/>
        </w:rPr>
        <w:t>ation for Economic Co-operation and Development</w:t>
      </w:r>
    </w:p>
    <w:p w14:paraId="6F79FCF7" w14:textId="77777777" w:rsidR="00B56648" w:rsidRDefault="00B56648" w:rsidP="0032633A">
      <w:pPr>
        <w:widowControl/>
        <w:autoSpaceDE/>
        <w:autoSpaceDN/>
        <w:jc w:val="both"/>
        <w:rPr>
          <w:rFonts w:eastAsia="Calibri"/>
          <w:lang w:val="en-GB"/>
        </w:rPr>
      </w:pPr>
      <w:r w:rsidRPr="00D14C15">
        <w:rPr>
          <w:rFonts w:eastAsia="Calibri"/>
          <w:lang w:val="en-GB"/>
        </w:rPr>
        <w:t>P</w:t>
      </w:r>
      <w:r>
        <w:rPr>
          <w:rFonts w:eastAsia="Calibri"/>
          <w:lang w:val="en-GB"/>
        </w:rPr>
        <w:t>O</w:t>
      </w:r>
      <w:r w:rsidRPr="00D14C15">
        <w:rPr>
          <w:rFonts w:eastAsia="Calibri"/>
          <w:lang w:val="en-GB"/>
        </w:rPr>
        <w:t xml:space="preserve"> – </w:t>
      </w:r>
      <w:r>
        <w:rPr>
          <w:rFonts w:eastAsia="Calibri"/>
          <w:lang w:val="en-GB"/>
        </w:rPr>
        <w:t>policy objective</w:t>
      </w:r>
    </w:p>
    <w:p w14:paraId="35EA764F" w14:textId="77777777" w:rsidR="00B56648" w:rsidRDefault="00B56648" w:rsidP="0032633A">
      <w:pPr>
        <w:widowControl/>
        <w:autoSpaceDE/>
        <w:autoSpaceDN/>
        <w:jc w:val="both"/>
        <w:rPr>
          <w:rFonts w:eastAsia="Calibri"/>
          <w:lang w:val="en-GB"/>
        </w:rPr>
      </w:pPr>
      <w:r>
        <w:rPr>
          <w:rFonts w:eastAsia="Calibri"/>
          <w:lang w:val="en-GB"/>
        </w:rPr>
        <w:t>P</w:t>
      </w:r>
      <w:r w:rsidRPr="00724754">
        <w:rPr>
          <w:rFonts w:eastAsia="Calibri"/>
          <w:lang w:val="en-GB"/>
        </w:rPr>
        <w:t>&amp;</w:t>
      </w:r>
      <w:r w:rsidRPr="00D14C15">
        <w:rPr>
          <w:rFonts w:eastAsia="Calibri"/>
          <w:lang w:val="en-GB"/>
        </w:rPr>
        <w:t>R – park and ride</w:t>
      </w:r>
    </w:p>
    <w:p w14:paraId="7EC981CC" w14:textId="77777777" w:rsidR="00B56648" w:rsidRPr="00D14C15" w:rsidRDefault="00B56648" w:rsidP="0032633A">
      <w:pPr>
        <w:widowControl/>
        <w:autoSpaceDE/>
        <w:autoSpaceDN/>
        <w:jc w:val="both"/>
        <w:rPr>
          <w:rFonts w:eastAsia="Calibri"/>
          <w:lang w:val="en-GB"/>
        </w:rPr>
      </w:pPr>
      <w:r>
        <w:rPr>
          <w:rFonts w:eastAsia="Calibri"/>
          <w:lang w:val="en-GB"/>
        </w:rPr>
        <w:t>Regulation</w:t>
      </w:r>
      <w:r w:rsidRPr="00D14C15">
        <w:rPr>
          <w:rFonts w:eastAsia="Calibri"/>
          <w:lang w:val="en-GB"/>
        </w:rPr>
        <w:t xml:space="preserve"> (EU) 2021/1060 – </w:t>
      </w:r>
      <w:r w:rsidRPr="00DA2C10">
        <w:rPr>
          <w:rFonts w:eastAsia="Calibri"/>
          <w:lang w:val="en-GB"/>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w:t>
      </w:r>
      <w:r w:rsidRPr="00DA2C10">
        <w:rPr>
          <w:rFonts w:eastAsia="Calibri"/>
          <w:lang w:val="en-GB"/>
        </w:rPr>
        <w:lastRenderedPageBreak/>
        <w:t>Fisheries and Aquaculture Fund and financial rules for those and for the Asylum, Migration and Integration Fund, the Internal Security Fund and the Instrument for Financial Support for Border Management and Visa Policy</w:t>
      </w:r>
      <w:r>
        <w:rPr>
          <w:rFonts w:eastAsia="Calibri"/>
          <w:lang w:val="en-GB"/>
        </w:rPr>
        <w:t xml:space="preserve"> </w:t>
      </w:r>
    </w:p>
    <w:p w14:paraId="13856BCB" w14:textId="77777777" w:rsidR="0032633A" w:rsidRDefault="0093371D" w:rsidP="0032633A">
      <w:pPr>
        <w:widowControl/>
        <w:autoSpaceDE/>
        <w:autoSpaceDN/>
        <w:jc w:val="both"/>
        <w:rPr>
          <w:rFonts w:eastAsia="Calibri"/>
          <w:lang w:val="en-GB"/>
        </w:rPr>
      </w:pPr>
      <w:r>
        <w:rPr>
          <w:rFonts w:eastAsia="Calibri"/>
          <w:lang w:val="en-GB"/>
        </w:rPr>
        <w:t>RES</w:t>
      </w:r>
      <w:r w:rsidR="0032633A" w:rsidRPr="00D14C15">
        <w:rPr>
          <w:rFonts w:eastAsia="Calibri"/>
          <w:lang w:val="en-GB"/>
        </w:rPr>
        <w:t xml:space="preserve"> – </w:t>
      </w:r>
      <w:r>
        <w:rPr>
          <w:rFonts w:eastAsia="Calibri"/>
          <w:lang w:val="en-GB"/>
        </w:rPr>
        <w:t>renewable energy sources</w:t>
      </w:r>
    </w:p>
    <w:p w14:paraId="008507D1" w14:textId="77777777" w:rsidR="00B56648" w:rsidRPr="00D14C15" w:rsidRDefault="00B56648" w:rsidP="0032633A">
      <w:pPr>
        <w:widowControl/>
        <w:autoSpaceDE/>
        <w:autoSpaceDN/>
        <w:jc w:val="both"/>
        <w:rPr>
          <w:rFonts w:eastAsia="Calibri"/>
          <w:lang w:val="en-GB"/>
        </w:rPr>
      </w:pPr>
      <w:r>
        <w:rPr>
          <w:rFonts w:eastAsia="Calibri"/>
          <w:lang w:val="en-GB"/>
        </w:rPr>
        <w:t>RRP</w:t>
      </w:r>
      <w:r w:rsidRPr="00D14C15">
        <w:rPr>
          <w:rFonts w:eastAsia="Calibri"/>
          <w:lang w:val="en-GB"/>
        </w:rPr>
        <w:t xml:space="preserve"> – </w:t>
      </w:r>
      <w:r>
        <w:rPr>
          <w:rFonts w:eastAsia="Calibri"/>
          <w:lang w:val="en-GB"/>
        </w:rPr>
        <w:t>Recovery and Resilience Plan</w:t>
      </w:r>
    </w:p>
    <w:p w14:paraId="0A8991D4" w14:textId="77777777" w:rsidR="0032633A" w:rsidRPr="00D14C15" w:rsidRDefault="00724754" w:rsidP="0032633A">
      <w:pPr>
        <w:widowControl/>
        <w:autoSpaceDE/>
        <w:autoSpaceDN/>
        <w:jc w:val="both"/>
        <w:rPr>
          <w:rFonts w:eastAsia="Calibri"/>
          <w:lang w:val="en-GB"/>
        </w:rPr>
      </w:pPr>
      <w:r>
        <w:rPr>
          <w:rFonts w:eastAsia="Calibri"/>
          <w:lang w:val="en-GB"/>
        </w:rPr>
        <w:t>RD</w:t>
      </w:r>
      <w:r w:rsidR="0032633A" w:rsidRPr="00D14C15">
        <w:rPr>
          <w:rFonts w:eastAsia="Calibri"/>
          <w:lang w:val="en-GB"/>
        </w:rPr>
        <w:t xml:space="preserve">I – </w:t>
      </w:r>
      <w:r>
        <w:rPr>
          <w:rFonts w:eastAsia="Calibri"/>
          <w:lang w:val="en-GB"/>
        </w:rPr>
        <w:t>research, development and innovation</w:t>
      </w:r>
    </w:p>
    <w:p w14:paraId="5AAC2EA2" w14:textId="77777777" w:rsidR="0032633A" w:rsidRPr="00D14C15" w:rsidRDefault="0032633A" w:rsidP="0032633A">
      <w:pPr>
        <w:widowControl/>
        <w:autoSpaceDE/>
        <w:autoSpaceDN/>
        <w:jc w:val="both"/>
        <w:rPr>
          <w:rFonts w:eastAsia="Calibri"/>
          <w:lang w:val="en-GB"/>
        </w:rPr>
      </w:pPr>
      <w:r w:rsidRPr="00B3317E">
        <w:rPr>
          <w:rFonts w:eastAsia="Calibri"/>
          <w:lang w:val="en-GB"/>
        </w:rPr>
        <w:t>R</w:t>
      </w:r>
      <w:r w:rsidR="00D5225E" w:rsidRPr="00B3317E">
        <w:rPr>
          <w:rFonts w:eastAsia="Calibri"/>
          <w:lang w:val="en-GB"/>
        </w:rPr>
        <w:t>D</w:t>
      </w:r>
      <w:r w:rsidRPr="00B3317E">
        <w:rPr>
          <w:rFonts w:eastAsia="Calibri"/>
          <w:lang w:val="en-GB"/>
        </w:rPr>
        <w:t xml:space="preserve">P – </w:t>
      </w:r>
      <w:r w:rsidR="00774C60">
        <w:rPr>
          <w:rFonts w:eastAsia="Calibri"/>
          <w:lang w:val="en-GB"/>
        </w:rPr>
        <w:t>regional development programme</w:t>
      </w:r>
      <w:r w:rsidR="00D5225E" w:rsidRPr="00B3317E">
        <w:rPr>
          <w:rFonts w:eastAsia="Calibri"/>
          <w:lang w:val="en-GB"/>
        </w:rPr>
        <w:t xml:space="preserve"> </w:t>
      </w:r>
    </w:p>
    <w:p w14:paraId="1A85E02C" w14:textId="77777777" w:rsidR="0032633A" w:rsidRDefault="0032633A" w:rsidP="0032633A">
      <w:pPr>
        <w:widowControl/>
        <w:autoSpaceDE/>
        <w:autoSpaceDN/>
        <w:jc w:val="both"/>
        <w:rPr>
          <w:rFonts w:eastAsia="Calibri"/>
          <w:lang w:val="en-GB"/>
        </w:rPr>
      </w:pPr>
      <w:r w:rsidRPr="00D14C15">
        <w:rPr>
          <w:rFonts w:eastAsia="Calibri"/>
          <w:lang w:val="en-GB"/>
        </w:rPr>
        <w:t xml:space="preserve">SAŠA </w:t>
      </w:r>
      <w:r w:rsidR="00724754">
        <w:rPr>
          <w:rFonts w:eastAsia="Calibri"/>
          <w:lang w:val="en-GB"/>
        </w:rPr>
        <w:t>region</w:t>
      </w:r>
      <w:r w:rsidRPr="00D14C15">
        <w:rPr>
          <w:rFonts w:eastAsia="Calibri"/>
          <w:lang w:val="en-GB"/>
        </w:rPr>
        <w:t xml:space="preserve"> – Savinjsko-šaleška </w:t>
      </w:r>
      <w:r w:rsidR="00724754">
        <w:rPr>
          <w:rFonts w:eastAsia="Calibri"/>
          <w:lang w:val="en-GB"/>
        </w:rPr>
        <w:t>region</w:t>
      </w:r>
    </w:p>
    <w:p w14:paraId="1CF5B594" w14:textId="77777777" w:rsidR="00092479" w:rsidRDefault="00092479" w:rsidP="0032633A">
      <w:pPr>
        <w:widowControl/>
        <w:autoSpaceDE/>
        <w:autoSpaceDN/>
        <w:jc w:val="both"/>
        <w:rPr>
          <w:rFonts w:eastAsia="Calibri"/>
          <w:lang w:val="en-GB"/>
        </w:rPr>
      </w:pPr>
      <w:r w:rsidRPr="00D14C15">
        <w:rPr>
          <w:rFonts w:eastAsia="Calibri"/>
          <w:lang w:val="en-GB"/>
        </w:rPr>
        <w:t>S</w:t>
      </w:r>
      <w:r>
        <w:rPr>
          <w:rFonts w:eastAsia="Calibri"/>
          <w:lang w:val="en-GB"/>
        </w:rPr>
        <w:t>D</w:t>
      </w:r>
      <w:r w:rsidRPr="00D14C15">
        <w:rPr>
          <w:rFonts w:eastAsia="Calibri"/>
          <w:lang w:val="en-GB"/>
        </w:rPr>
        <w:t xml:space="preserve">S 2030 – </w:t>
      </w:r>
      <w:r>
        <w:rPr>
          <w:rFonts w:eastAsia="Calibri"/>
          <w:lang w:val="en-GB"/>
        </w:rPr>
        <w:t>Slovenian Development Strategy</w:t>
      </w:r>
      <w:r w:rsidRPr="00D14C15">
        <w:rPr>
          <w:rFonts w:eastAsia="Calibri"/>
          <w:lang w:val="en-GB"/>
        </w:rPr>
        <w:t xml:space="preserve"> 2030</w:t>
      </w:r>
    </w:p>
    <w:p w14:paraId="1943AE15" w14:textId="77777777" w:rsidR="00092479" w:rsidRDefault="00092479" w:rsidP="0032633A">
      <w:pPr>
        <w:widowControl/>
        <w:autoSpaceDE/>
        <w:autoSpaceDN/>
        <w:jc w:val="both"/>
        <w:rPr>
          <w:rFonts w:eastAsia="Calibri"/>
          <w:lang w:val="en-GB"/>
        </w:rPr>
      </w:pPr>
      <w:r w:rsidRPr="00D402BA">
        <w:rPr>
          <w:rFonts w:eastAsia="Calibri"/>
          <w:lang w:val="en-GB"/>
        </w:rPr>
        <w:t xml:space="preserve">SFP – </w:t>
      </w:r>
      <w:r>
        <w:rPr>
          <w:rFonts w:eastAsia="Calibri"/>
          <w:lang w:val="en-GB"/>
        </w:rPr>
        <w:t>Skills Forecasting P</w:t>
      </w:r>
      <w:r w:rsidRPr="00D402BA">
        <w:rPr>
          <w:rFonts w:eastAsia="Calibri"/>
          <w:lang w:val="en-GB"/>
        </w:rPr>
        <w:t xml:space="preserve">latform </w:t>
      </w:r>
    </w:p>
    <w:p w14:paraId="547A21C3" w14:textId="77777777" w:rsidR="00B56648" w:rsidRPr="00B56648" w:rsidRDefault="00B56648" w:rsidP="0032633A">
      <w:pPr>
        <w:widowControl/>
        <w:autoSpaceDE/>
        <w:autoSpaceDN/>
        <w:jc w:val="both"/>
        <w:rPr>
          <w:lang w:val="en-GB"/>
        </w:rPr>
      </w:pPr>
      <w:r>
        <w:rPr>
          <w:lang w:val="en-GB"/>
        </w:rPr>
        <w:t xml:space="preserve">SME – </w:t>
      </w:r>
      <w:r w:rsidRPr="00D14C15">
        <w:rPr>
          <w:lang w:val="en-GB"/>
        </w:rPr>
        <w:t>small and medium-sized enterprises</w:t>
      </w:r>
      <w:r>
        <w:rPr>
          <w:rFonts w:eastAsia="Calibri"/>
          <w:lang w:val="en-GB"/>
        </w:rPr>
        <w:t xml:space="preserve"> </w:t>
      </w:r>
    </w:p>
    <w:p w14:paraId="6C6E1047" w14:textId="77777777" w:rsidR="0032633A" w:rsidRPr="00D14C15" w:rsidRDefault="000751CD" w:rsidP="0032633A">
      <w:pPr>
        <w:widowControl/>
        <w:autoSpaceDE/>
        <w:autoSpaceDN/>
        <w:jc w:val="both"/>
        <w:rPr>
          <w:rFonts w:eastAsia="Calibri"/>
          <w:lang w:val="en-GB"/>
        </w:rPr>
      </w:pPr>
      <w:r>
        <w:rPr>
          <w:rFonts w:eastAsia="Calibri"/>
          <w:lang w:val="en-GB"/>
        </w:rPr>
        <w:t>SO</w:t>
      </w:r>
      <w:r w:rsidR="0032633A" w:rsidRPr="00D14C15">
        <w:rPr>
          <w:rFonts w:eastAsia="Calibri"/>
          <w:lang w:val="en-GB"/>
        </w:rPr>
        <w:t xml:space="preserve"> – </w:t>
      </w:r>
      <w:r>
        <w:rPr>
          <w:rFonts w:eastAsia="Calibri"/>
          <w:lang w:val="en-GB"/>
        </w:rPr>
        <w:t xml:space="preserve">specific objective </w:t>
      </w:r>
    </w:p>
    <w:p w14:paraId="557356D9"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SPOT – </w:t>
      </w:r>
      <w:r w:rsidR="006E68AB">
        <w:rPr>
          <w:rFonts w:eastAsia="Calibri"/>
          <w:lang w:val="en-GB"/>
        </w:rPr>
        <w:t>Slovenian Business Point</w:t>
      </w:r>
    </w:p>
    <w:p w14:paraId="44D7A1C4"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SRIP – </w:t>
      </w:r>
      <w:r w:rsidR="00F94682">
        <w:rPr>
          <w:rFonts w:eastAsia="Calibri"/>
          <w:lang w:val="en-GB"/>
        </w:rPr>
        <w:t>S</w:t>
      </w:r>
      <w:r w:rsidR="005F627A">
        <w:rPr>
          <w:rFonts w:eastAsia="Calibri"/>
          <w:lang w:val="en-GB"/>
        </w:rPr>
        <w:t xml:space="preserve">trategic </w:t>
      </w:r>
      <w:r w:rsidR="00F94682">
        <w:rPr>
          <w:rFonts w:eastAsia="Calibri"/>
          <w:lang w:val="en-GB"/>
        </w:rPr>
        <w:t>R</w:t>
      </w:r>
      <w:r w:rsidR="005F627A">
        <w:rPr>
          <w:rFonts w:eastAsia="Calibri"/>
          <w:lang w:val="en-GB"/>
        </w:rPr>
        <w:t xml:space="preserve">esearch and </w:t>
      </w:r>
      <w:r w:rsidR="00F94682">
        <w:rPr>
          <w:rFonts w:eastAsia="Calibri"/>
          <w:lang w:val="en-GB"/>
        </w:rPr>
        <w:t>I</w:t>
      </w:r>
      <w:r w:rsidR="005F627A">
        <w:rPr>
          <w:rFonts w:eastAsia="Calibri"/>
          <w:lang w:val="en-GB"/>
        </w:rPr>
        <w:t xml:space="preserve">nnovation </w:t>
      </w:r>
      <w:r w:rsidR="00F94682">
        <w:rPr>
          <w:rFonts w:eastAsia="Calibri"/>
          <w:lang w:val="en-GB"/>
        </w:rPr>
        <w:t>P</w:t>
      </w:r>
      <w:r w:rsidR="005F627A">
        <w:rPr>
          <w:rFonts w:eastAsia="Calibri"/>
          <w:lang w:val="en-GB"/>
        </w:rPr>
        <w:t xml:space="preserve">artnership </w:t>
      </w:r>
    </w:p>
    <w:p w14:paraId="1F65BB5D"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SURS – </w:t>
      </w:r>
      <w:r w:rsidR="00BA7FBB" w:rsidRPr="00BA7FBB">
        <w:rPr>
          <w:rFonts w:eastAsia="Calibri"/>
          <w:lang w:val="en-GB"/>
        </w:rPr>
        <w:t>Statistical Office of the Republic of Slovenia</w:t>
      </w:r>
      <w:r w:rsidR="00BA7FBB">
        <w:rPr>
          <w:rFonts w:eastAsia="Calibri"/>
          <w:lang w:val="en-GB"/>
        </w:rPr>
        <w:t xml:space="preserve"> </w:t>
      </w:r>
    </w:p>
    <w:p w14:paraId="1CD1AC7D" w14:textId="77777777" w:rsidR="0032633A" w:rsidRDefault="0032633A" w:rsidP="0032633A">
      <w:pPr>
        <w:widowControl/>
        <w:autoSpaceDE/>
        <w:autoSpaceDN/>
        <w:jc w:val="both"/>
        <w:rPr>
          <w:rFonts w:eastAsia="Calibri"/>
          <w:lang w:val="en-GB"/>
        </w:rPr>
      </w:pPr>
      <w:r w:rsidRPr="00D14C15">
        <w:rPr>
          <w:rFonts w:eastAsia="Calibri"/>
          <w:lang w:val="en-GB"/>
        </w:rPr>
        <w:t xml:space="preserve">SVRK – </w:t>
      </w:r>
      <w:r w:rsidR="00D5225E">
        <w:rPr>
          <w:rFonts w:eastAsia="Calibri"/>
          <w:lang w:val="en-GB"/>
        </w:rPr>
        <w:t xml:space="preserve">Government Office for Development and European Cohesion Policy </w:t>
      </w:r>
    </w:p>
    <w:p w14:paraId="32D2F8C0" w14:textId="77777777" w:rsidR="00774C60" w:rsidRPr="00D14C15" w:rsidRDefault="00774C60" w:rsidP="0032633A">
      <w:pPr>
        <w:widowControl/>
        <w:autoSpaceDE/>
        <w:autoSpaceDN/>
        <w:jc w:val="both"/>
        <w:rPr>
          <w:rFonts w:eastAsia="Calibri"/>
          <w:lang w:val="en-GB"/>
        </w:rPr>
      </w:pPr>
      <w:r>
        <w:rPr>
          <w:rFonts w:eastAsia="Calibri"/>
          <w:lang w:val="en-GB"/>
        </w:rPr>
        <w:t>SUS</w:t>
      </w:r>
      <w:r w:rsidRPr="00D14C15">
        <w:rPr>
          <w:rFonts w:eastAsia="Calibri"/>
          <w:lang w:val="en-GB"/>
        </w:rPr>
        <w:t xml:space="preserve"> – </w:t>
      </w:r>
      <w:r>
        <w:rPr>
          <w:rFonts w:eastAsia="Calibri"/>
          <w:lang w:val="en-GB"/>
        </w:rPr>
        <w:t xml:space="preserve">sustainable urban strategies </w:t>
      </w:r>
    </w:p>
    <w:p w14:paraId="629DA036"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S4 – </w:t>
      </w:r>
      <w:r w:rsidR="00D5225E">
        <w:rPr>
          <w:rFonts w:eastAsia="Calibri"/>
          <w:lang w:val="en-GB"/>
        </w:rPr>
        <w:t xml:space="preserve">Slovenian Smart Specialisation Strategy </w:t>
      </w:r>
    </w:p>
    <w:p w14:paraId="541815E0"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S5 – </w:t>
      </w:r>
      <w:r w:rsidR="00D5225E">
        <w:rPr>
          <w:rFonts w:eastAsia="Calibri"/>
          <w:lang w:val="en-GB"/>
        </w:rPr>
        <w:t>Smart Specialisation Strategy</w:t>
      </w:r>
      <w:r w:rsidRPr="00D14C15">
        <w:rPr>
          <w:rFonts w:eastAsia="Calibri"/>
          <w:lang w:val="en-GB"/>
        </w:rPr>
        <w:t xml:space="preserve"> 2030</w:t>
      </w:r>
    </w:p>
    <w:p w14:paraId="3B0C1F8C" w14:textId="77777777" w:rsidR="00B56648" w:rsidRPr="00D14C15" w:rsidRDefault="00B56648" w:rsidP="0032633A">
      <w:pPr>
        <w:widowControl/>
        <w:autoSpaceDE/>
        <w:autoSpaceDN/>
        <w:jc w:val="both"/>
        <w:rPr>
          <w:rFonts w:eastAsia="Calibri"/>
          <w:lang w:val="en-GB"/>
        </w:rPr>
      </w:pPr>
      <w:r>
        <w:rPr>
          <w:rFonts w:eastAsia="Calibri"/>
          <w:lang w:val="en-GB"/>
        </w:rPr>
        <w:t xml:space="preserve">TRL – technology readiness level </w:t>
      </w:r>
    </w:p>
    <w:p w14:paraId="5B230A49"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UMAR – </w:t>
      </w:r>
      <w:r w:rsidR="00250E41" w:rsidRPr="00250E41">
        <w:rPr>
          <w:rFonts w:eastAsia="Calibri"/>
          <w:lang w:val="en-GB"/>
        </w:rPr>
        <w:t>Institute of Macroeconomic Analysis and Development of the Republic of Slovenia</w:t>
      </w:r>
      <w:r w:rsidR="00250E41">
        <w:rPr>
          <w:rFonts w:eastAsia="Calibri"/>
          <w:lang w:val="en-GB"/>
        </w:rPr>
        <w:t xml:space="preserve"> </w:t>
      </w:r>
    </w:p>
    <w:p w14:paraId="6A4E76D9"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URSIKS – </w:t>
      </w:r>
      <w:r w:rsidR="00D5225E">
        <w:rPr>
          <w:rFonts w:eastAsia="Calibri"/>
          <w:lang w:val="en-GB"/>
        </w:rPr>
        <w:t xml:space="preserve">Prison Administration of the Republic of Slovenia </w:t>
      </w:r>
    </w:p>
    <w:p w14:paraId="5F3244FD"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ZJN – </w:t>
      </w:r>
      <w:r w:rsidR="00D5225E">
        <w:rPr>
          <w:rFonts w:eastAsia="Calibri"/>
          <w:lang w:val="en-GB"/>
        </w:rPr>
        <w:t xml:space="preserve">Public Procurement Act </w:t>
      </w:r>
    </w:p>
    <w:p w14:paraId="268D75CE"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ZOFVI – </w:t>
      </w:r>
      <w:r w:rsidR="00D5225E" w:rsidRPr="00D5225E">
        <w:rPr>
          <w:rFonts w:eastAsia="Calibri"/>
          <w:lang w:val="en-GB"/>
        </w:rPr>
        <w:t>Organisation and Financing of Education Act</w:t>
      </w:r>
    </w:p>
    <w:p w14:paraId="1BED15C9"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ZPIZ – </w:t>
      </w:r>
      <w:r w:rsidR="00D5225E">
        <w:rPr>
          <w:rFonts w:eastAsia="Calibri"/>
          <w:lang w:val="en-GB"/>
        </w:rPr>
        <w:t xml:space="preserve">Pension and Disability Insurance institute of Slovenia </w:t>
      </w:r>
    </w:p>
    <w:p w14:paraId="71699177" w14:textId="77777777" w:rsidR="007B5C18" w:rsidRDefault="0032633A" w:rsidP="0032633A">
      <w:pPr>
        <w:widowControl/>
        <w:autoSpaceDE/>
        <w:autoSpaceDN/>
        <w:jc w:val="both"/>
        <w:rPr>
          <w:rFonts w:eastAsia="Calibri"/>
          <w:lang w:val="en-GB"/>
        </w:rPr>
      </w:pPr>
      <w:r w:rsidRPr="00D14C15">
        <w:rPr>
          <w:rFonts w:eastAsia="Calibri"/>
          <w:lang w:val="en-GB"/>
        </w:rPr>
        <w:t xml:space="preserve">ZRSZ – </w:t>
      </w:r>
      <w:r w:rsidR="007B5C18" w:rsidRPr="007B5C18">
        <w:rPr>
          <w:rFonts w:eastAsia="Calibri"/>
          <w:lang w:val="en-GB"/>
        </w:rPr>
        <w:t xml:space="preserve">Employment Service of Slovenia </w:t>
      </w:r>
      <w:r w:rsidR="007B5C18">
        <w:rPr>
          <w:rFonts w:eastAsia="Calibri"/>
          <w:lang w:val="en-GB"/>
        </w:rPr>
        <w:t xml:space="preserve"> </w:t>
      </w:r>
    </w:p>
    <w:p w14:paraId="79FE6D13" w14:textId="77777777" w:rsidR="0032633A" w:rsidRPr="00D14C15" w:rsidRDefault="0032633A" w:rsidP="0032633A">
      <w:pPr>
        <w:widowControl/>
        <w:autoSpaceDE/>
        <w:autoSpaceDN/>
        <w:jc w:val="both"/>
        <w:rPr>
          <w:rFonts w:eastAsia="Calibri"/>
          <w:lang w:val="en-GB"/>
        </w:rPr>
      </w:pPr>
      <w:r w:rsidRPr="00D14C15">
        <w:rPr>
          <w:rFonts w:eastAsia="Calibri"/>
          <w:lang w:val="en-GB"/>
        </w:rPr>
        <w:t xml:space="preserve">ZUTD – </w:t>
      </w:r>
      <w:r w:rsidR="00C34255" w:rsidRPr="00C34255">
        <w:rPr>
          <w:rFonts w:eastAsia="Calibri"/>
          <w:lang w:val="en-GB"/>
        </w:rPr>
        <w:t>Labour Market Regulation Act</w:t>
      </w:r>
    </w:p>
    <w:p w14:paraId="30AB7301" w14:textId="77777777" w:rsidR="007F4949" w:rsidRDefault="0032633A" w:rsidP="0039130E">
      <w:pPr>
        <w:widowControl/>
        <w:autoSpaceDE/>
        <w:autoSpaceDN/>
        <w:jc w:val="both"/>
        <w:rPr>
          <w:rFonts w:eastAsia="Calibri"/>
          <w:lang w:val="en-GB"/>
        </w:rPr>
      </w:pPr>
      <w:r w:rsidRPr="00D14C15">
        <w:rPr>
          <w:rFonts w:eastAsia="Calibri"/>
          <w:lang w:val="en-GB"/>
        </w:rPr>
        <w:t xml:space="preserve">ZViS – </w:t>
      </w:r>
      <w:r w:rsidR="00C34255">
        <w:rPr>
          <w:rFonts w:eastAsia="Calibri"/>
          <w:lang w:val="en-GB"/>
        </w:rPr>
        <w:t xml:space="preserve">Higher Education Act </w:t>
      </w:r>
    </w:p>
    <w:p w14:paraId="3C67C601" w14:textId="77777777" w:rsidR="007F4949" w:rsidRDefault="007F4949">
      <w:pPr>
        <w:widowControl/>
        <w:autoSpaceDE/>
        <w:autoSpaceDN/>
        <w:spacing w:after="160" w:line="259" w:lineRule="auto"/>
        <w:rPr>
          <w:b/>
          <w:color w:val="2E74B5" w:themeColor="accent1" w:themeShade="BF"/>
          <w:sz w:val="28"/>
          <w:lang w:val="en-GB"/>
        </w:rPr>
      </w:pPr>
      <w:r>
        <w:rPr>
          <w:lang w:val="en-GB"/>
        </w:rPr>
        <w:br w:type="page"/>
      </w:r>
    </w:p>
    <w:p w14:paraId="7423E9A1" w14:textId="77777777" w:rsidR="0032633A" w:rsidRPr="00D14C15" w:rsidRDefault="00B17889" w:rsidP="0032633A">
      <w:pPr>
        <w:pStyle w:val="Naslov1"/>
        <w:numPr>
          <w:ilvl w:val="0"/>
          <w:numId w:val="0"/>
        </w:numPr>
        <w:spacing w:before="0"/>
        <w:rPr>
          <w:lang w:val="en-GB"/>
        </w:rPr>
      </w:pPr>
      <w:bookmarkStart w:id="1" w:name="_Toc131161691"/>
      <w:r>
        <w:rPr>
          <w:lang w:val="en-GB"/>
        </w:rPr>
        <w:lastRenderedPageBreak/>
        <w:t>Information about the programme</w:t>
      </w:r>
      <w:bookmarkEnd w:id="1"/>
      <w:r>
        <w:rPr>
          <w:lang w:val="en-GB"/>
        </w:rPr>
        <w:t xml:space="preserve"> </w:t>
      </w:r>
    </w:p>
    <w:p w14:paraId="20C6BA74" w14:textId="77777777" w:rsidR="0032633A" w:rsidRPr="00D14C15" w:rsidRDefault="0032633A" w:rsidP="0032633A">
      <w:pPr>
        <w:rPr>
          <w:sz w:val="9"/>
          <w:lang w:val="en-GB"/>
        </w:rPr>
      </w:pPr>
    </w:p>
    <w:p w14:paraId="02EBBC73" w14:textId="77777777" w:rsidR="0032633A" w:rsidRPr="00D14C15" w:rsidRDefault="0032633A" w:rsidP="0032633A">
      <w:pPr>
        <w:rPr>
          <w:sz w:val="9"/>
          <w:lang w:val="en-GB"/>
        </w:rPr>
      </w:pPr>
    </w:p>
    <w:p w14:paraId="28A9461F" w14:textId="77777777" w:rsidR="0032633A" w:rsidRPr="00D14C15" w:rsidRDefault="0032633A" w:rsidP="0032633A">
      <w:pPr>
        <w:rPr>
          <w:sz w:val="9"/>
          <w:lang w:val="en-GB"/>
        </w:rPr>
      </w:pPr>
    </w:p>
    <w:tbl>
      <w:tblPr>
        <w:tblStyle w:val="NormalTable0"/>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7"/>
        <w:gridCol w:w="4641"/>
      </w:tblGrid>
      <w:tr w:rsidR="0032633A" w:rsidRPr="00D14C15" w14:paraId="1C051192" w14:textId="77777777" w:rsidTr="0032633A">
        <w:trPr>
          <w:trHeight w:val="353"/>
        </w:trPr>
        <w:tc>
          <w:tcPr>
            <w:tcW w:w="4327" w:type="dxa"/>
          </w:tcPr>
          <w:p w14:paraId="00F3CB8A" w14:textId="77777777" w:rsidR="0032633A" w:rsidRPr="00D14C15" w:rsidRDefault="0032633A" w:rsidP="0032633A">
            <w:pPr>
              <w:pStyle w:val="TableParagraph"/>
              <w:ind w:left="101"/>
              <w:rPr>
                <w:lang w:val="en-GB"/>
              </w:rPr>
            </w:pPr>
            <w:r w:rsidRPr="00D14C15">
              <w:rPr>
                <w:lang w:val="en-GB"/>
              </w:rPr>
              <w:t>CCI</w:t>
            </w:r>
          </w:p>
        </w:tc>
        <w:tc>
          <w:tcPr>
            <w:tcW w:w="4641" w:type="dxa"/>
          </w:tcPr>
          <w:p w14:paraId="23D4210F" w14:textId="77777777" w:rsidR="0032633A" w:rsidRPr="00D14C15" w:rsidRDefault="0032633A" w:rsidP="0032633A">
            <w:pPr>
              <w:pStyle w:val="TableParagraph"/>
              <w:ind w:left="63"/>
              <w:rPr>
                <w:lang w:val="en-GB"/>
              </w:rPr>
            </w:pPr>
            <w:r w:rsidRPr="00D14C15">
              <w:rPr>
                <w:lang w:val="en-GB"/>
              </w:rPr>
              <w:t xml:space="preserve"> 2021SI16FFPR001</w:t>
            </w:r>
          </w:p>
        </w:tc>
      </w:tr>
      <w:tr w:rsidR="0032633A" w:rsidRPr="00D14C15" w14:paraId="021F3C7E" w14:textId="77777777" w:rsidTr="0032633A">
        <w:trPr>
          <w:trHeight w:val="353"/>
        </w:trPr>
        <w:tc>
          <w:tcPr>
            <w:tcW w:w="4327" w:type="dxa"/>
            <w:vAlign w:val="center"/>
          </w:tcPr>
          <w:p w14:paraId="097FDA35" w14:textId="77777777" w:rsidR="0032633A" w:rsidRPr="00D14C15" w:rsidRDefault="00496E59" w:rsidP="0032633A">
            <w:pPr>
              <w:pStyle w:val="TableParagraph"/>
              <w:ind w:left="101"/>
              <w:rPr>
                <w:lang w:val="en-GB"/>
              </w:rPr>
            </w:pPr>
            <w:r>
              <w:rPr>
                <w:spacing w:val="-1"/>
                <w:lang w:val="en-GB"/>
              </w:rPr>
              <w:t>Title in</w:t>
            </w:r>
            <w:r w:rsidR="0032633A" w:rsidRPr="00D14C15">
              <w:rPr>
                <w:spacing w:val="-12"/>
                <w:lang w:val="en-GB"/>
              </w:rPr>
              <w:t xml:space="preserve"> </w:t>
            </w:r>
            <w:r w:rsidR="0032633A" w:rsidRPr="00D14C15">
              <w:rPr>
                <w:lang w:val="en-GB"/>
              </w:rPr>
              <w:t>EN</w:t>
            </w:r>
          </w:p>
        </w:tc>
        <w:tc>
          <w:tcPr>
            <w:tcW w:w="4641" w:type="dxa"/>
            <w:vAlign w:val="center"/>
          </w:tcPr>
          <w:p w14:paraId="08E2DC04" w14:textId="77777777" w:rsidR="0032633A" w:rsidRPr="00D14C15" w:rsidRDefault="0032633A" w:rsidP="0032633A">
            <w:pPr>
              <w:pStyle w:val="TableParagraph"/>
              <w:ind w:left="101"/>
              <w:rPr>
                <w:b/>
                <w:sz w:val="15"/>
                <w:lang w:val="en-GB"/>
              </w:rPr>
            </w:pPr>
            <w:r w:rsidRPr="00D14C15">
              <w:rPr>
                <w:lang w:val="en-GB"/>
              </w:rPr>
              <w:t>Slovenia’s EU Cohesion Policy Programme 2021-2027</w:t>
            </w:r>
          </w:p>
        </w:tc>
      </w:tr>
      <w:tr w:rsidR="0032633A" w:rsidRPr="00D14C15" w14:paraId="361640E0" w14:textId="77777777" w:rsidTr="0032633A">
        <w:trPr>
          <w:trHeight w:val="353"/>
        </w:trPr>
        <w:tc>
          <w:tcPr>
            <w:tcW w:w="4327" w:type="dxa"/>
            <w:vAlign w:val="center"/>
          </w:tcPr>
          <w:p w14:paraId="03605DFE" w14:textId="77777777" w:rsidR="0032633A" w:rsidRPr="00D14C15" w:rsidRDefault="00496E59" w:rsidP="0032633A">
            <w:pPr>
              <w:pStyle w:val="TableParagraph"/>
              <w:ind w:left="101"/>
              <w:rPr>
                <w:lang w:val="en-GB"/>
              </w:rPr>
            </w:pPr>
            <w:r>
              <w:rPr>
                <w:spacing w:val="-6"/>
                <w:lang w:val="en-GB"/>
              </w:rPr>
              <w:t>Title in national language(s)</w:t>
            </w:r>
          </w:p>
        </w:tc>
        <w:tc>
          <w:tcPr>
            <w:tcW w:w="4641" w:type="dxa"/>
            <w:vAlign w:val="center"/>
          </w:tcPr>
          <w:p w14:paraId="23029B8D" w14:textId="77777777" w:rsidR="0032633A" w:rsidRPr="00D14C15" w:rsidRDefault="0032633A" w:rsidP="0032633A">
            <w:pPr>
              <w:pStyle w:val="TableParagraph"/>
              <w:ind w:left="101"/>
              <w:rPr>
                <w:lang w:val="en-GB"/>
              </w:rPr>
            </w:pPr>
            <w:r w:rsidRPr="00D14C15">
              <w:rPr>
                <w:lang w:val="en-GB"/>
              </w:rPr>
              <w:t>Program evropske koh</w:t>
            </w:r>
            <w:r w:rsidR="001E19B0">
              <w:rPr>
                <w:lang w:val="en-GB"/>
              </w:rPr>
              <w:t>ezijske politike v obdobju 2021–</w:t>
            </w:r>
            <w:r w:rsidRPr="00D14C15">
              <w:rPr>
                <w:lang w:val="en-GB"/>
              </w:rPr>
              <w:t>2027 v Sloveniji</w:t>
            </w:r>
          </w:p>
        </w:tc>
      </w:tr>
      <w:tr w:rsidR="0032633A" w:rsidRPr="00D14C15" w14:paraId="0304104A" w14:textId="77777777" w:rsidTr="0032633A">
        <w:trPr>
          <w:trHeight w:val="353"/>
        </w:trPr>
        <w:tc>
          <w:tcPr>
            <w:tcW w:w="4327" w:type="dxa"/>
            <w:vAlign w:val="center"/>
          </w:tcPr>
          <w:p w14:paraId="0EC39D5B" w14:textId="77777777" w:rsidR="0032633A" w:rsidRPr="00D14C15" w:rsidRDefault="00496E59" w:rsidP="0032633A">
            <w:pPr>
              <w:pStyle w:val="TableParagraph"/>
              <w:ind w:left="101"/>
              <w:rPr>
                <w:lang w:val="en-GB"/>
              </w:rPr>
            </w:pPr>
            <w:r>
              <w:rPr>
                <w:lang w:val="en-GB"/>
              </w:rPr>
              <w:t>Version</w:t>
            </w:r>
          </w:p>
        </w:tc>
        <w:tc>
          <w:tcPr>
            <w:tcW w:w="4641" w:type="dxa"/>
            <w:vAlign w:val="center"/>
          </w:tcPr>
          <w:p w14:paraId="01786695" w14:textId="77777777" w:rsidR="0032633A" w:rsidRPr="00D14C15" w:rsidRDefault="0032633A" w:rsidP="0032633A">
            <w:pPr>
              <w:pStyle w:val="TableParagraph"/>
              <w:ind w:left="101"/>
              <w:rPr>
                <w:sz w:val="20"/>
                <w:lang w:val="en-GB"/>
              </w:rPr>
            </w:pPr>
            <w:r w:rsidRPr="00D14C15">
              <w:rPr>
                <w:lang w:val="en-GB"/>
              </w:rPr>
              <w:t>1.0</w:t>
            </w:r>
          </w:p>
        </w:tc>
      </w:tr>
      <w:tr w:rsidR="0032633A" w:rsidRPr="00D14C15" w14:paraId="4072A66A" w14:textId="77777777" w:rsidTr="0032633A">
        <w:trPr>
          <w:trHeight w:val="367"/>
        </w:trPr>
        <w:tc>
          <w:tcPr>
            <w:tcW w:w="4327" w:type="dxa"/>
            <w:vAlign w:val="center"/>
          </w:tcPr>
          <w:p w14:paraId="4DF1962A" w14:textId="77777777" w:rsidR="0032633A" w:rsidRPr="00D14C15" w:rsidRDefault="00496E59" w:rsidP="0032633A">
            <w:pPr>
              <w:pStyle w:val="TableParagraph"/>
              <w:ind w:left="101"/>
              <w:rPr>
                <w:lang w:val="en-GB"/>
              </w:rPr>
            </w:pPr>
            <w:r>
              <w:rPr>
                <w:spacing w:val="-1"/>
                <w:lang w:val="en-GB"/>
              </w:rPr>
              <w:t>First year</w:t>
            </w:r>
          </w:p>
        </w:tc>
        <w:tc>
          <w:tcPr>
            <w:tcW w:w="4641" w:type="dxa"/>
            <w:vAlign w:val="center"/>
          </w:tcPr>
          <w:p w14:paraId="481A9FD6" w14:textId="77777777" w:rsidR="0032633A" w:rsidRPr="00D14C15" w:rsidRDefault="0032633A" w:rsidP="0032633A">
            <w:pPr>
              <w:pStyle w:val="TableParagraph"/>
              <w:ind w:left="101"/>
              <w:rPr>
                <w:lang w:val="en-GB"/>
              </w:rPr>
            </w:pPr>
            <w:r w:rsidRPr="00D14C15">
              <w:rPr>
                <w:lang w:val="en-GB"/>
              </w:rPr>
              <w:t>2021</w:t>
            </w:r>
          </w:p>
        </w:tc>
      </w:tr>
      <w:tr w:rsidR="0032633A" w:rsidRPr="00D14C15" w14:paraId="2A1FE669" w14:textId="77777777" w:rsidTr="0032633A">
        <w:trPr>
          <w:trHeight w:val="353"/>
        </w:trPr>
        <w:tc>
          <w:tcPr>
            <w:tcW w:w="4327" w:type="dxa"/>
            <w:vAlign w:val="center"/>
          </w:tcPr>
          <w:p w14:paraId="096709E7" w14:textId="77777777" w:rsidR="0032633A" w:rsidRPr="00D14C15" w:rsidRDefault="00496E59" w:rsidP="0032633A">
            <w:pPr>
              <w:pStyle w:val="TableParagraph"/>
              <w:ind w:left="101"/>
              <w:rPr>
                <w:lang w:val="en-GB"/>
              </w:rPr>
            </w:pPr>
            <w:r>
              <w:rPr>
                <w:spacing w:val="-2"/>
                <w:lang w:val="en-GB"/>
              </w:rPr>
              <w:t>Last year</w:t>
            </w:r>
          </w:p>
        </w:tc>
        <w:tc>
          <w:tcPr>
            <w:tcW w:w="4641" w:type="dxa"/>
            <w:vAlign w:val="center"/>
          </w:tcPr>
          <w:p w14:paraId="50F38AC7" w14:textId="77777777" w:rsidR="0032633A" w:rsidRPr="00D14C15" w:rsidRDefault="0032633A" w:rsidP="0032633A">
            <w:pPr>
              <w:pStyle w:val="TableParagraph"/>
              <w:ind w:left="101"/>
              <w:rPr>
                <w:lang w:val="en-GB"/>
              </w:rPr>
            </w:pPr>
            <w:r w:rsidRPr="00D14C15">
              <w:rPr>
                <w:lang w:val="en-GB"/>
              </w:rPr>
              <w:t>2027</w:t>
            </w:r>
          </w:p>
        </w:tc>
      </w:tr>
      <w:tr w:rsidR="0032633A" w:rsidRPr="00D14C15" w14:paraId="2C7253F6" w14:textId="77777777" w:rsidTr="0032633A">
        <w:trPr>
          <w:trHeight w:val="353"/>
        </w:trPr>
        <w:tc>
          <w:tcPr>
            <w:tcW w:w="4327" w:type="dxa"/>
            <w:vAlign w:val="center"/>
          </w:tcPr>
          <w:p w14:paraId="24D71620" w14:textId="77777777" w:rsidR="0032633A" w:rsidRPr="00D14C15" w:rsidRDefault="00496E59" w:rsidP="0032633A">
            <w:pPr>
              <w:pStyle w:val="TableParagraph"/>
              <w:ind w:left="101"/>
              <w:rPr>
                <w:lang w:val="en-GB"/>
              </w:rPr>
            </w:pPr>
            <w:r>
              <w:rPr>
                <w:lang w:val="en-GB"/>
              </w:rPr>
              <w:t>Eligible from</w:t>
            </w:r>
          </w:p>
        </w:tc>
        <w:tc>
          <w:tcPr>
            <w:tcW w:w="4641" w:type="dxa"/>
            <w:vAlign w:val="center"/>
          </w:tcPr>
          <w:p w14:paraId="6A788424" w14:textId="77777777" w:rsidR="0032633A" w:rsidRPr="00D14C15" w:rsidRDefault="0032633A" w:rsidP="00496E59">
            <w:pPr>
              <w:pStyle w:val="TableParagraph"/>
              <w:rPr>
                <w:lang w:val="en-GB"/>
              </w:rPr>
            </w:pPr>
            <w:r w:rsidRPr="00D14C15">
              <w:rPr>
                <w:lang w:val="en-GB"/>
              </w:rPr>
              <w:t xml:space="preserve">  1</w:t>
            </w:r>
            <w:r w:rsidR="00496E59">
              <w:rPr>
                <w:lang w:val="en-GB"/>
              </w:rPr>
              <w:t xml:space="preserve"> January </w:t>
            </w:r>
            <w:r w:rsidRPr="00D14C15">
              <w:rPr>
                <w:lang w:val="en-GB"/>
              </w:rPr>
              <w:t>2021</w:t>
            </w:r>
          </w:p>
        </w:tc>
      </w:tr>
      <w:tr w:rsidR="0032633A" w:rsidRPr="00D14C15" w14:paraId="1656FB9D" w14:textId="77777777" w:rsidTr="0032633A">
        <w:trPr>
          <w:trHeight w:val="353"/>
        </w:trPr>
        <w:tc>
          <w:tcPr>
            <w:tcW w:w="4327" w:type="dxa"/>
            <w:vAlign w:val="center"/>
          </w:tcPr>
          <w:p w14:paraId="390BDA03" w14:textId="77777777" w:rsidR="0032633A" w:rsidRPr="00D14C15" w:rsidRDefault="00496E59" w:rsidP="0032633A">
            <w:pPr>
              <w:pStyle w:val="TableParagraph"/>
              <w:ind w:left="101"/>
              <w:rPr>
                <w:lang w:val="en-GB"/>
              </w:rPr>
            </w:pPr>
            <w:r>
              <w:rPr>
                <w:lang w:val="en-GB"/>
              </w:rPr>
              <w:t>Eligible until</w:t>
            </w:r>
          </w:p>
        </w:tc>
        <w:tc>
          <w:tcPr>
            <w:tcW w:w="4641" w:type="dxa"/>
            <w:vAlign w:val="center"/>
          </w:tcPr>
          <w:p w14:paraId="16B7702C" w14:textId="77777777" w:rsidR="0032633A" w:rsidRPr="00D14C15" w:rsidRDefault="0032633A" w:rsidP="00496E59">
            <w:pPr>
              <w:pStyle w:val="TableParagraph"/>
              <w:rPr>
                <w:lang w:val="en-GB"/>
              </w:rPr>
            </w:pPr>
            <w:r w:rsidRPr="00D14C15">
              <w:rPr>
                <w:lang w:val="en-GB"/>
              </w:rPr>
              <w:t xml:space="preserve">  31</w:t>
            </w:r>
            <w:r w:rsidR="00496E59">
              <w:rPr>
                <w:lang w:val="en-GB"/>
              </w:rPr>
              <w:t xml:space="preserve"> December </w:t>
            </w:r>
            <w:r w:rsidRPr="00D14C15">
              <w:rPr>
                <w:lang w:val="en-GB"/>
              </w:rPr>
              <w:t>2029</w:t>
            </w:r>
          </w:p>
        </w:tc>
      </w:tr>
      <w:tr w:rsidR="0032633A" w:rsidRPr="00D14C15" w14:paraId="0B2EF550" w14:textId="77777777" w:rsidTr="0032633A">
        <w:trPr>
          <w:trHeight w:val="353"/>
        </w:trPr>
        <w:tc>
          <w:tcPr>
            <w:tcW w:w="4327" w:type="dxa"/>
          </w:tcPr>
          <w:p w14:paraId="21FF6F48" w14:textId="77777777" w:rsidR="0032633A" w:rsidRPr="00D14C15" w:rsidRDefault="00496E59" w:rsidP="0032633A">
            <w:pPr>
              <w:pStyle w:val="TableParagraph"/>
              <w:ind w:left="101"/>
              <w:rPr>
                <w:lang w:val="en-GB"/>
              </w:rPr>
            </w:pPr>
            <w:r>
              <w:rPr>
                <w:spacing w:val="-6"/>
                <w:lang w:val="en-GB"/>
              </w:rPr>
              <w:t>Commission decision number</w:t>
            </w:r>
          </w:p>
        </w:tc>
        <w:tc>
          <w:tcPr>
            <w:tcW w:w="4641" w:type="dxa"/>
          </w:tcPr>
          <w:p w14:paraId="5F5CEE4D" w14:textId="77777777" w:rsidR="0032633A" w:rsidRPr="00D14C15" w:rsidRDefault="0032633A" w:rsidP="0032633A">
            <w:pPr>
              <w:pStyle w:val="TableParagraph"/>
              <w:rPr>
                <w:sz w:val="20"/>
                <w:lang w:val="en-GB"/>
              </w:rPr>
            </w:pPr>
          </w:p>
        </w:tc>
      </w:tr>
      <w:tr w:rsidR="0032633A" w:rsidRPr="00D14C15" w14:paraId="2918F714" w14:textId="77777777" w:rsidTr="0032633A">
        <w:trPr>
          <w:trHeight w:val="353"/>
        </w:trPr>
        <w:tc>
          <w:tcPr>
            <w:tcW w:w="4327" w:type="dxa"/>
          </w:tcPr>
          <w:p w14:paraId="2385C2C6" w14:textId="77777777" w:rsidR="0032633A" w:rsidRPr="00D14C15" w:rsidRDefault="00496E59" w:rsidP="0032633A">
            <w:pPr>
              <w:pStyle w:val="TableParagraph"/>
              <w:ind w:left="101"/>
              <w:rPr>
                <w:lang w:val="en-GB"/>
              </w:rPr>
            </w:pPr>
            <w:r>
              <w:rPr>
                <w:spacing w:val="-5"/>
                <w:lang w:val="en-GB"/>
              </w:rPr>
              <w:t>Commission decision date</w:t>
            </w:r>
          </w:p>
        </w:tc>
        <w:tc>
          <w:tcPr>
            <w:tcW w:w="4641" w:type="dxa"/>
          </w:tcPr>
          <w:p w14:paraId="5D8DEF0F" w14:textId="77777777" w:rsidR="0032633A" w:rsidRPr="00D14C15" w:rsidRDefault="0032633A" w:rsidP="0032633A">
            <w:pPr>
              <w:pStyle w:val="TableParagraph"/>
              <w:rPr>
                <w:sz w:val="20"/>
                <w:lang w:val="en-GB"/>
              </w:rPr>
            </w:pPr>
          </w:p>
        </w:tc>
      </w:tr>
      <w:tr w:rsidR="0032633A" w:rsidRPr="00D14C15" w14:paraId="302EC63F" w14:textId="77777777" w:rsidTr="0032633A">
        <w:trPr>
          <w:trHeight w:val="448"/>
        </w:trPr>
        <w:tc>
          <w:tcPr>
            <w:tcW w:w="4327" w:type="dxa"/>
          </w:tcPr>
          <w:p w14:paraId="3DCB91EF" w14:textId="77777777" w:rsidR="0032633A" w:rsidRPr="00D14C15" w:rsidRDefault="00036527" w:rsidP="0032633A">
            <w:pPr>
              <w:pStyle w:val="TableParagraph"/>
              <w:ind w:left="101" w:right="74"/>
              <w:rPr>
                <w:lang w:val="en-GB"/>
              </w:rPr>
            </w:pPr>
            <w:r>
              <w:rPr>
                <w:spacing w:val="-7"/>
                <w:lang w:val="en-GB"/>
              </w:rPr>
              <w:t xml:space="preserve">NUTS regions covered by the programme </w:t>
            </w:r>
          </w:p>
        </w:tc>
        <w:tc>
          <w:tcPr>
            <w:tcW w:w="4641" w:type="dxa"/>
          </w:tcPr>
          <w:p w14:paraId="45AA453B" w14:textId="77777777" w:rsidR="0032633A" w:rsidRPr="00D14C15" w:rsidRDefault="0032633A" w:rsidP="0032633A">
            <w:pPr>
              <w:pStyle w:val="TableParagraph"/>
              <w:rPr>
                <w:lang w:val="en-GB"/>
              </w:rPr>
            </w:pPr>
            <w:r w:rsidRPr="00D14C15">
              <w:rPr>
                <w:color w:val="000000"/>
                <w:lang w:val="en-GB"/>
              </w:rPr>
              <w:t>SI0 - Slovenija</w:t>
            </w:r>
            <w:r w:rsidRPr="00D14C15">
              <w:rPr>
                <w:color w:val="000000"/>
                <w:lang w:val="en-GB"/>
              </w:rPr>
              <w:br/>
              <w:t>SI03 - Vzhodna Slovenija</w:t>
            </w:r>
            <w:r w:rsidRPr="00D14C15">
              <w:rPr>
                <w:color w:val="000000"/>
                <w:lang w:val="en-GB"/>
              </w:rPr>
              <w:br/>
              <w:t>SI031 - Pomurska</w:t>
            </w:r>
            <w:r w:rsidRPr="00D14C15">
              <w:rPr>
                <w:color w:val="000000"/>
                <w:lang w:val="en-GB"/>
              </w:rPr>
              <w:br/>
              <w:t>SI032 - Podravska</w:t>
            </w:r>
            <w:r w:rsidRPr="00D14C15">
              <w:rPr>
                <w:color w:val="000000"/>
                <w:lang w:val="en-GB"/>
              </w:rPr>
              <w:br/>
              <w:t>SI033 - Koroška</w:t>
            </w:r>
            <w:r w:rsidRPr="00D14C15">
              <w:rPr>
                <w:color w:val="000000"/>
                <w:lang w:val="en-GB"/>
              </w:rPr>
              <w:br/>
              <w:t>SI034 - Savinjska</w:t>
            </w:r>
            <w:r w:rsidRPr="00D14C15">
              <w:rPr>
                <w:color w:val="000000"/>
                <w:lang w:val="en-GB"/>
              </w:rPr>
              <w:br/>
              <w:t>SI035 - Zasavska</w:t>
            </w:r>
            <w:r w:rsidRPr="00D14C15">
              <w:rPr>
                <w:color w:val="000000"/>
                <w:lang w:val="en-GB"/>
              </w:rPr>
              <w:br/>
              <w:t>SI036 - Posavska</w:t>
            </w:r>
            <w:r w:rsidRPr="00D14C15">
              <w:rPr>
                <w:color w:val="000000"/>
                <w:lang w:val="en-GB"/>
              </w:rPr>
              <w:br/>
              <w:t>SI037 - Jugovzhodna Slovenija</w:t>
            </w:r>
            <w:r w:rsidRPr="00D14C15">
              <w:rPr>
                <w:color w:val="000000"/>
                <w:lang w:val="en-GB"/>
              </w:rPr>
              <w:br/>
              <w:t>SI038 - Primorsko-notranjska</w:t>
            </w:r>
            <w:r w:rsidRPr="00D14C15">
              <w:rPr>
                <w:color w:val="000000"/>
                <w:lang w:val="en-GB"/>
              </w:rPr>
              <w:br/>
              <w:t>SI04 - Zahodna Slovenija</w:t>
            </w:r>
            <w:r w:rsidRPr="00D14C15">
              <w:rPr>
                <w:color w:val="000000"/>
                <w:lang w:val="en-GB"/>
              </w:rPr>
              <w:br/>
              <w:t>SI041 - Osrednjeslovenska</w:t>
            </w:r>
            <w:r w:rsidRPr="00D14C15">
              <w:rPr>
                <w:color w:val="000000"/>
                <w:lang w:val="en-GB"/>
              </w:rPr>
              <w:br/>
              <w:t>SI042 - Gorenjska</w:t>
            </w:r>
            <w:r w:rsidRPr="00D14C15">
              <w:rPr>
                <w:color w:val="000000"/>
                <w:lang w:val="en-GB"/>
              </w:rPr>
              <w:br/>
              <w:t>SI043 - Goriška</w:t>
            </w:r>
            <w:r w:rsidRPr="00D14C15">
              <w:rPr>
                <w:color w:val="000000"/>
                <w:lang w:val="en-GB"/>
              </w:rPr>
              <w:br/>
              <w:t>SI044 - Obalno-kraška</w:t>
            </w:r>
          </w:p>
        </w:tc>
      </w:tr>
      <w:tr w:rsidR="0032633A" w:rsidRPr="00D14C15" w14:paraId="655C51B6" w14:textId="77777777" w:rsidTr="0032633A">
        <w:trPr>
          <w:trHeight w:val="448"/>
        </w:trPr>
        <w:tc>
          <w:tcPr>
            <w:tcW w:w="4327" w:type="dxa"/>
            <w:vMerge w:val="restart"/>
          </w:tcPr>
          <w:p w14:paraId="0D782240" w14:textId="77777777" w:rsidR="0032633A" w:rsidRPr="00D14C15" w:rsidRDefault="00036527" w:rsidP="0032633A">
            <w:pPr>
              <w:pStyle w:val="TableParagraph"/>
              <w:ind w:left="101" w:right="74"/>
              <w:rPr>
                <w:spacing w:val="-7"/>
                <w:lang w:val="en-GB"/>
              </w:rPr>
            </w:pPr>
            <w:r>
              <w:rPr>
                <w:rFonts w:cstheme="minorHAnsi"/>
                <w:noProof/>
                <w:lang w:val="en-GB"/>
              </w:rPr>
              <w:t>Fund(s) concerned</w:t>
            </w:r>
          </w:p>
        </w:tc>
        <w:tc>
          <w:tcPr>
            <w:tcW w:w="4641" w:type="dxa"/>
          </w:tcPr>
          <w:p w14:paraId="54C6B00A" w14:textId="77777777" w:rsidR="0032633A" w:rsidRPr="00D14C15" w:rsidRDefault="0032633A" w:rsidP="0032633A">
            <w:pPr>
              <w:pStyle w:val="TableParagraph"/>
              <w:rPr>
                <w:sz w:val="20"/>
                <w:lang w:val="en-GB"/>
              </w:rPr>
            </w:pPr>
            <w:r w:rsidRPr="00D14C15">
              <w:rPr>
                <w:rFonts w:cstheme="minorHAnsi"/>
                <w:noProof/>
                <w:lang w:val="en-GB"/>
              </w:rPr>
              <w:fldChar w:fldCharType="begin">
                <w:ffData>
                  <w:name w:val="Check1"/>
                  <w:enabled/>
                  <w:calcOnExit w:val="0"/>
                  <w:checkBox>
                    <w:sizeAuto/>
                    <w:default w:val="1"/>
                  </w:checkBox>
                </w:ffData>
              </w:fldChar>
            </w:r>
            <w:bookmarkStart w:id="2" w:name="Check1"/>
            <w:r w:rsidRPr="00D14C15">
              <w:rPr>
                <w:rFonts w:cstheme="minorHAnsi"/>
                <w:noProof/>
                <w:lang w:val="en-GB"/>
              </w:rPr>
              <w:instrText xml:space="preserve"> FORMCHECKBOX </w:instrText>
            </w:r>
            <w:r w:rsidR="00425F22">
              <w:rPr>
                <w:rFonts w:cstheme="minorHAnsi"/>
                <w:noProof/>
                <w:lang w:val="en-GB"/>
              </w:rPr>
            </w:r>
            <w:r w:rsidR="00425F22">
              <w:rPr>
                <w:rFonts w:cstheme="minorHAnsi"/>
                <w:noProof/>
                <w:lang w:val="en-GB"/>
              </w:rPr>
              <w:fldChar w:fldCharType="separate"/>
            </w:r>
            <w:r w:rsidRPr="00D14C15">
              <w:rPr>
                <w:rFonts w:cstheme="minorHAnsi"/>
                <w:noProof/>
                <w:lang w:val="en-GB"/>
              </w:rPr>
              <w:fldChar w:fldCharType="end"/>
            </w:r>
            <w:bookmarkEnd w:id="2"/>
            <w:r w:rsidR="00036527">
              <w:rPr>
                <w:rFonts w:cstheme="minorHAnsi"/>
                <w:noProof/>
                <w:lang w:val="en-GB"/>
              </w:rPr>
              <w:t xml:space="preserve"> ERDF</w:t>
            </w:r>
          </w:p>
        </w:tc>
      </w:tr>
      <w:tr w:rsidR="0032633A" w:rsidRPr="00D14C15" w14:paraId="0FE6A945" w14:textId="77777777" w:rsidTr="0032633A">
        <w:trPr>
          <w:trHeight w:val="448"/>
        </w:trPr>
        <w:tc>
          <w:tcPr>
            <w:tcW w:w="4327" w:type="dxa"/>
            <w:vMerge/>
          </w:tcPr>
          <w:p w14:paraId="21B7AA68" w14:textId="77777777" w:rsidR="0032633A" w:rsidRPr="00D14C15" w:rsidRDefault="0032633A" w:rsidP="0032633A">
            <w:pPr>
              <w:pStyle w:val="TableParagraph"/>
              <w:ind w:left="101" w:right="74"/>
              <w:rPr>
                <w:spacing w:val="-7"/>
                <w:lang w:val="en-GB"/>
              </w:rPr>
            </w:pPr>
          </w:p>
        </w:tc>
        <w:tc>
          <w:tcPr>
            <w:tcW w:w="4641" w:type="dxa"/>
          </w:tcPr>
          <w:p w14:paraId="1E1111DA" w14:textId="77777777" w:rsidR="0032633A" w:rsidRPr="00D14C15" w:rsidRDefault="0032633A" w:rsidP="00036527">
            <w:pPr>
              <w:pStyle w:val="TableParagraph"/>
              <w:rPr>
                <w:sz w:val="20"/>
                <w:lang w:val="en-GB"/>
              </w:rPr>
            </w:pPr>
            <w:r w:rsidRPr="00D14C15">
              <w:rPr>
                <w:rFonts w:cstheme="minorHAnsi"/>
                <w:noProof/>
                <w:lang w:val="en-GB"/>
              </w:rPr>
              <w:fldChar w:fldCharType="begin">
                <w:ffData>
                  <w:name w:val=""/>
                  <w:enabled/>
                  <w:calcOnExit w:val="0"/>
                  <w:checkBox>
                    <w:sizeAuto/>
                    <w:default w:val="1"/>
                  </w:checkBox>
                </w:ffData>
              </w:fldChar>
            </w:r>
            <w:r w:rsidRPr="00D14C15">
              <w:rPr>
                <w:rFonts w:cstheme="minorHAnsi"/>
                <w:noProof/>
                <w:lang w:val="en-GB"/>
              </w:rPr>
              <w:instrText xml:space="preserve"> FORMCHECKBOX </w:instrText>
            </w:r>
            <w:r w:rsidR="00425F22">
              <w:rPr>
                <w:rFonts w:cstheme="minorHAnsi"/>
                <w:noProof/>
                <w:lang w:val="en-GB"/>
              </w:rPr>
            </w:r>
            <w:r w:rsidR="00425F22">
              <w:rPr>
                <w:rFonts w:cstheme="minorHAnsi"/>
                <w:noProof/>
                <w:lang w:val="en-GB"/>
              </w:rPr>
              <w:fldChar w:fldCharType="separate"/>
            </w:r>
            <w:r w:rsidRPr="00D14C15">
              <w:rPr>
                <w:rFonts w:cstheme="minorHAnsi"/>
                <w:noProof/>
                <w:lang w:val="en-GB"/>
              </w:rPr>
              <w:fldChar w:fldCharType="end"/>
            </w:r>
            <w:r w:rsidRPr="00D14C15">
              <w:rPr>
                <w:rFonts w:cstheme="minorHAnsi"/>
                <w:noProof/>
                <w:lang w:val="en-GB"/>
              </w:rPr>
              <w:t xml:space="preserve"> </w:t>
            </w:r>
            <w:r w:rsidR="00036527">
              <w:rPr>
                <w:rFonts w:cstheme="minorHAnsi"/>
                <w:noProof/>
                <w:lang w:val="en-GB"/>
              </w:rPr>
              <w:t>Cohesion Fund</w:t>
            </w:r>
          </w:p>
        </w:tc>
      </w:tr>
      <w:tr w:rsidR="0032633A" w:rsidRPr="00D14C15" w14:paraId="0850160E" w14:textId="77777777" w:rsidTr="0032633A">
        <w:trPr>
          <w:trHeight w:val="448"/>
        </w:trPr>
        <w:tc>
          <w:tcPr>
            <w:tcW w:w="4327" w:type="dxa"/>
            <w:vMerge/>
          </w:tcPr>
          <w:p w14:paraId="1EF88413" w14:textId="77777777" w:rsidR="0032633A" w:rsidRPr="00D14C15" w:rsidRDefault="0032633A" w:rsidP="0032633A">
            <w:pPr>
              <w:pStyle w:val="TableParagraph"/>
              <w:ind w:left="101" w:right="74"/>
              <w:rPr>
                <w:spacing w:val="-7"/>
                <w:lang w:val="en-GB"/>
              </w:rPr>
            </w:pPr>
          </w:p>
        </w:tc>
        <w:tc>
          <w:tcPr>
            <w:tcW w:w="4641" w:type="dxa"/>
          </w:tcPr>
          <w:p w14:paraId="3EEF95BC" w14:textId="77777777" w:rsidR="0032633A" w:rsidRPr="00D14C15" w:rsidRDefault="0032633A" w:rsidP="00036527">
            <w:pPr>
              <w:pStyle w:val="TableParagraph"/>
              <w:rPr>
                <w:sz w:val="20"/>
                <w:lang w:val="en-GB"/>
              </w:rPr>
            </w:pPr>
            <w:r w:rsidRPr="00D14C15">
              <w:rPr>
                <w:rFonts w:cstheme="minorHAnsi"/>
                <w:noProof/>
                <w:lang w:val="en-GB"/>
              </w:rPr>
              <w:fldChar w:fldCharType="begin">
                <w:ffData>
                  <w:name w:val=""/>
                  <w:enabled/>
                  <w:calcOnExit w:val="0"/>
                  <w:checkBox>
                    <w:sizeAuto/>
                    <w:default w:val="1"/>
                  </w:checkBox>
                </w:ffData>
              </w:fldChar>
            </w:r>
            <w:r w:rsidRPr="00D14C15">
              <w:rPr>
                <w:rFonts w:cstheme="minorHAnsi"/>
                <w:noProof/>
                <w:lang w:val="en-GB"/>
              </w:rPr>
              <w:instrText xml:space="preserve"> FORMCHECKBOX </w:instrText>
            </w:r>
            <w:r w:rsidR="00425F22">
              <w:rPr>
                <w:rFonts w:cstheme="minorHAnsi"/>
                <w:noProof/>
                <w:lang w:val="en-GB"/>
              </w:rPr>
            </w:r>
            <w:r w:rsidR="00425F22">
              <w:rPr>
                <w:rFonts w:cstheme="minorHAnsi"/>
                <w:noProof/>
                <w:lang w:val="en-GB"/>
              </w:rPr>
              <w:fldChar w:fldCharType="separate"/>
            </w:r>
            <w:r w:rsidRPr="00D14C15">
              <w:rPr>
                <w:rFonts w:cstheme="minorHAnsi"/>
                <w:noProof/>
                <w:lang w:val="en-GB"/>
              </w:rPr>
              <w:fldChar w:fldCharType="end"/>
            </w:r>
            <w:r w:rsidRPr="00D14C15">
              <w:rPr>
                <w:rFonts w:cstheme="minorHAnsi"/>
                <w:noProof/>
                <w:lang w:val="en-GB"/>
              </w:rPr>
              <w:t xml:space="preserve"> ES</w:t>
            </w:r>
            <w:r w:rsidR="00036527">
              <w:rPr>
                <w:rFonts w:cstheme="minorHAnsi"/>
                <w:noProof/>
                <w:lang w:val="en-GB"/>
              </w:rPr>
              <w:t>F</w:t>
            </w:r>
            <w:r w:rsidRPr="00D14C15">
              <w:rPr>
                <w:rFonts w:cstheme="minorHAnsi"/>
                <w:noProof/>
                <w:lang w:val="en-GB"/>
              </w:rPr>
              <w:t>+</w:t>
            </w:r>
          </w:p>
        </w:tc>
      </w:tr>
      <w:tr w:rsidR="0032633A" w:rsidRPr="00D14C15" w14:paraId="1432E90E" w14:textId="77777777" w:rsidTr="0032633A">
        <w:trPr>
          <w:trHeight w:val="448"/>
        </w:trPr>
        <w:tc>
          <w:tcPr>
            <w:tcW w:w="4327" w:type="dxa"/>
            <w:vMerge/>
          </w:tcPr>
          <w:p w14:paraId="036AD8E1" w14:textId="77777777" w:rsidR="0032633A" w:rsidRPr="00D14C15" w:rsidRDefault="0032633A" w:rsidP="0032633A">
            <w:pPr>
              <w:pStyle w:val="TableParagraph"/>
              <w:ind w:left="101" w:right="74"/>
              <w:rPr>
                <w:spacing w:val="-7"/>
                <w:lang w:val="en-GB"/>
              </w:rPr>
            </w:pPr>
          </w:p>
        </w:tc>
        <w:tc>
          <w:tcPr>
            <w:tcW w:w="4641" w:type="dxa"/>
          </w:tcPr>
          <w:p w14:paraId="350ECF49" w14:textId="77777777" w:rsidR="0032633A" w:rsidRPr="00D14C15" w:rsidRDefault="0032633A" w:rsidP="0032633A">
            <w:pPr>
              <w:pStyle w:val="TableParagraph"/>
              <w:rPr>
                <w:sz w:val="20"/>
                <w:lang w:val="en-GB"/>
              </w:rPr>
            </w:pPr>
            <w:r w:rsidRPr="00D14C15">
              <w:rPr>
                <w:rFonts w:cstheme="minorHAnsi"/>
                <w:noProof/>
                <w:lang w:val="en-GB"/>
              </w:rPr>
              <w:fldChar w:fldCharType="begin">
                <w:ffData>
                  <w:name w:val=""/>
                  <w:enabled/>
                  <w:calcOnExit w:val="0"/>
                  <w:checkBox>
                    <w:sizeAuto/>
                    <w:default w:val="1"/>
                  </w:checkBox>
                </w:ffData>
              </w:fldChar>
            </w:r>
            <w:r w:rsidRPr="00D14C15">
              <w:rPr>
                <w:rFonts w:cstheme="minorHAnsi"/>
                <w:noProof/>
                <w:lang w:val="en-GB"/>
              </w:rPr>
              <w:instrText xml:space="preserve"> FORMCHECKBOX </w:instrText>
            </w:r>
            <w:r w:rsidR="00425F22">
              <w:rPr>
                <w:rFonts w:cstheme="minorHAnsi"/>
                <w:noProof/>
                <w:lang w:val="en-GB"/>
              </w:rPr>
            </w:r>
            <w:r w:rsidR="00425F22">
              <w:rPr>
                <w:rFonts w:cstheme="minorHAnsi"/>
                <w:noProof/>
                <w:lang w:val="en-GB"/>
              </w:rPr>
              <w:fldChar w:fldCharType="separate"/>
            </w:r>
            <w:r w:rsidRPr="00D14C15">
              <w:rPr>
                <w:rFonts w:cstheme="minorHAnsi"/>
                <w:noProof/>
                <w:lang w:val="en-GB"/>
              </w:rPr>
              <w:fldChar w:fldCharType="end"/>
            </w:r>
            <w:r w:rsidR="00036527">
              <w:rPr>
                <w:rFonts w:cstheme="minorHAnsi"/>
                <w:noProof/>
                <w:lang w:val="en-GB"/>
              </w:rPr>
              <w:t xml:space="preserve"> JTF</w:t>
            </w:r>
          </w:p>
        </w:tc>
      </w:tr>
      <w:tr w:rsidR="0032633A" w:rsidRPr="00D14C15" w14:paraId="36272773" w14:textId="77777777" w:rsidTr="0032633A">
        <w:trPr>
          <w:trHeight w:val="448"/>
        </w:trPr>
        <w:tc>
          <w:tcPr>
            <w:tcW w:w="4327" w:type="dxa"/>
            <w:vMerge/>
          </w:tcPr>
          <w:p w14:paraId="00238725" w14:textId="77777777" w:rsidR="0032633A" w:rsidRPr="00D14C15" w:rsidRDefault="0032633A" w:rsidP="0032633A">
            <w:pPr>
              <w:pStyle w:val="TableParagraph"/>
              <w:ind w:left="101" w:right="74"/>
              <w:rPr>
                <w:spacing w:val="-7"/>
                <w:lang w:val="en-GB"/>
              </w:rPr>
            </w:pPr>
          </w:p>
        </w:tc>
        <w:tc>
          <w:tcPr>
            <w:tcW w:w="4641" w:type="dxa"/>
          </w:tcPr>
          <w:p w14:paraId="6E044DBC" w14:textId="77777777" w:rsidR="0032633A" w:rsidRPr="00D14C15" w:rsidRDefault="0032633A" w:rsidP="00036527">
            <w:pPr>
              <w:pStyle w:val="TableParagraph"/>
              <w:rPr>
                <w:sz w:val="20"/>
                <w:lang w:val="en-GB"/>
              </w:rPr>
            </w:pPr>
            <w:r w:rsidRPr="00D14C15">
              <w:rPr>
                <w:rFonts w:cstheme="minorHAnsi"/>
                <w:noProof/>
                <w:lang w:val="en-GB"/>
              </w:rPr>
              <w:fldChar w:fldCharType="begin" w:fldLock="1">
                <w:ffData>
                  <w:name w:val="Check1"/>
                  <w:enabled/>
                  <w:calcOnExit w:val="0"/>
                  <w:checkBox>
                    <w:sizeAuto/>
                    <w:default w:val="0"/>
                  </w:checkBox>
                </w:ffData>
              </w:fldChar>
            </w:r>
            <w:r w:rsidRPr="00D14C15">
              <w:rPr>
                <w:rFonts w:cstheme="minorHAnsi"/>
                <w:noProof/>
                <w:lang w:val="en-GB"/>
              </w:rPr>
              <w:instrText xml:space="preserve"> FORMCHECKBOX </w:instrText>
            </w:r>
            <w:r w:rsidR="00425F22">
              <w:rPr>
                <w:rFonts w:cstheme="minorHAnsi"/>
                <w:noProof/>
                <w:lang w:val="en-GB"/>
              </w:rPr>
            </w:r>
            <w:r w:rsidR="00425F22">
              <w:rPr>
                <w:rFonts w:cstheme="minorHAnsi"/>
                <w:noProof/>
                <w:lang w:val="en-GB"/>
              </w:rPr>
              <w:fldChar w:fldCharType="separate"/>
            </w:r>
            <w:r w:rsidRPr="00D14C15">
              <w:rPr>
                <w:rFonts w:cstheme="minorHAnsi"/>
                <w:noProof/>
                <w:lang w:val="en-GB"/>
              </w:rPr>
              <w:fldChar w:fldCharType="end"/>
            </w:r>
            <w:r w:rsidRPr="00D14C15">
              <w:rPr>
                <w:rFonts w:cstheme="minorHAnsi"/>
                <w:noProof/>
                <w:lang w:val="en-GB"/>
              </w:rPr>
              <w:t xml:space="preserve"> </w:t>
            </w:r>
            <w:r w:rsidR="00036527">
              <w:rPr>
                <w:rFonts w:cstheme="minorHAnsi"/>
                <w:noProof/>
                <w:lang w:val="en-GB"/>
              </w:rPr>
              <w:t>EMFAF</w:t>
            </w:r>
          </w:p>
        </w:tc>
      </w:tr>
      <w:tr w:rsidR="0032633A" w:rsidRPr="00D14C15" w14:paraId="5B92F145" w14:textId="77777777" w:rsidTr="0032633A">
        <w:trPr>
          <w:trHeight w:val="599"/>
        </w:trPr>
        <w:tc>
          <w:tcPr>
            <w:tcW w:w="4327" w:type="dxa"/>
          </w:tcPr>
          <w:p w14:paraId="17213C46" w14:textId="77777777" w:rsidR="0032633A" w:rsidRPr="00D14C15" w:rsidRDefault="0032633A" w:rsidP="0032633A">
            <w:pPr>
              <w:pStyle w:val="TableParagraph"/>
              <w:ind w:left="101"/>
              <w:rPr>
                <w:lang w:val="en-GB"/>
              </w:rPr>
            </w:pPr>
            <w:r w:rsidRPr="00D14C15">
              <w:rPr>
                <w:lang w:val="en-GB"/>
              </w:rPr>
              <w:t>Program</w:t>
            </w:r>
            <w:r w:rsidR="00036527">
              <w:rPr>
                <w:lang w:val="en-GB"/>
              </w:rPr>
              <w:t>me</w:t>
            </w:r>
          </w:p>
        </w:tc>
        <w:tc>
          <w:tcPr>
            <w:tcW w:w="4641" w:type="dxa"/>
          </w:tcPr>
          <w:p w14:paraId="71120692" w14:textId="77777777" w:rsidR="0032633A" w:rsidRPr="00D14C15" w:rsidRDefault="0032633A" w:rsidP="0032633A">
            <w:pPr>
              <w:pStyle w:val="TableParagraph"/>
              <w:ind w:left="101" w:right="136" w:firstLine="300"/>
              <w:rPr>
                <w:lang w:val="en-GB"/>
              </w:rPr>
            </w:pPr>
            <w:r w:rsidRPr="00D14C15">
              <w:rPr>
                <w:noProof/>
                <w:lang w:val="sl-SI"/>
              </w:rPr>
              <mc:AlternateContent>
                <mc:Choice Requires="wps">
                  <w:drawing>
                    <wp:anchor distT="0" distB="0" distL="114300" distR="114300" simplePos="0" relativeHeight="251659264" behindDoc="1" locked="0" layoutInCell="1" allowOverlap="1" wp14:anchorId="099013AA" wp14:editId="774F107C">
                      <wp:simplePos x="0" y="0"/>
                      <wp:positionH relativeFrom="page">
                        <wp:posOffset>74295</wp:posOffset>
                      </wp:positionH>
                      <wp:positionV relativeFrom="paragraph">
                        <wp:posOffset>41910</wp:posOffset>
                      </wp:positionV>
                      <wp:extent cx="121285" cy="121285"/>
                      <wp:effectExtent l="0" t="0" r="0" b="0"/>
                      <wp:wrapNone/>
                      <wp:docPr id="1586" name="Rectangl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noFill/>
                              <a:ln w="86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B0A0" id="Rectangle 1583" o:spid="_x0000_s1026" style="position:absolute;margin-left:5.85pt;margin-top:3.3pt;width:9.55pt;height: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" filled="f" strokeweight=".24058mm">
                      <w10:wrap anchorx="page"/>
                    </v:rect>
                  </w:pict>
                </mc:Fallback>
              </mc:AlternateContent>
            </w:r>
            <w:r w:rsidR="009716C0">
              <w:rPr>
                <w:spacing w:val="-7"/>
                <w:lang w:val="en-GB"/>
              </w:rPr>
              <w:t xml:space="preserve">under Investment for jobs and growth goal for the outermost regions only </w:t>
            </w:r>
            <w:r w:rsidR="001A2670">
              <w:rPr>
                <w:spacing w:val="-7"/>
                <w:lang w:val="en-GB"/>
              </w:rPr>
              <w:t xml:space="preserve"> </w:t>
            </w:r>
          </w:p>
        </w:tc>
      </w:tr>
    </w:tbl>
    <w:p w14:paraId="2F3EC300" w14:textId="77777777" w:rsidR="0032633A" w:rsidRPr="00D14C15" w:rsidRDefault="0032633A">
      <w:pPr>
        <w:rPr>
          <w:lang w:val="en-GB"/>
        </w:rPr>
      </w:pPr>
    </w:p>
    <w:p w14:paraId="15CBB629" w14:textId="77777777" w:rsidR="0032633A" w:rsidRPr="00D14C15" w:rsidRDefault="0032633A">
      <w:pPr>
        <w:rPr>
          <w:lang w:val="en-GB"/>
        </w:rPr>
      </w:pPr>
    </w:p>
    <w:p w14:paraId="43181098" w14:textId="77777777" w:rsidR="00362B57" w:rsidRDefault="00362B57">
      <w:pPr>
        <w:pStyle w:val="Naslov1"/>
        <w:spacing w:before="0"/>
        <w:rPr>
          <w:lang w:val="en-GB"/>
        </w:rPr>
        <w:sectPr w:rsidR="00362B57">
          <w:footerReference w:type="default" r:id="rId9"/>
          <w:footerReference w:type="first" r:id="rId10"/>
          <w:pgSz w:w="11906" w:h="16838"/>
          <w:pgMar w:top="1417" w:right="1417" w:bottom="1417" w:left="1417" w:header="708" w:footer="708" w:gutter="0"/>
          <w:cols w:space="708"/>
          <w:docGrid w:linePitch="360"/>
        </w:sectPr>
      </w:pPr>
    </w:p>
    <w:p w14:paraId="0D417EEC" w14:textId="77777777" w:rsidR="0076298E" w:rsidRPr="00D14C15" w:rsidRDefault="00D14C15">
      <w:pPr>
        <w:pStyle w:val="Naslov1"/>
        <w:spacing w:before="0"/>
        <w:rPr>
          <w:lang w:val="en-GB"/>
        </w:rPr>
      </w:pPr>
      <w:bookmarkStart w:id="3" w:name="_Toc131161692"/>
      <w:r>
        <w:rPr>
          <w:lang w:val="en-GB"/>
        </w:rPr>
        <w:lastRenderedPageBreak/>
        <w:t>Pr</w:t>
      </w:r>
      <w:r w:rsidR="0032633A" w:rsidRPr="00D14C15">
        <w:rPr>
          <w:lang w:val="en-GB"/>
        </w:rPr>
        <w:t>ogramme</w:t>
      </w:r>
      <w:r>
        <w:rPr>
          <w:lang w:val="en-GB"/>
        </w:rPr>
        <w:t xml:space="preserve"> strategy</w:t>
      </w:r>
      <w:r w:rsidR="0032633A" w:rsidRPr="00D14C15">
        <w:rPr>
          <w:lang w:val="en-GB"/>
        </w:rPr>
        <w:t>: main development challenges and policy responses</w:t>
      </w:r>
      <w:bookmarkEnd w:id="3"/>
    </w:p>
    <w:p w14:paraId="24AEE633" w14:textId="77777777" w:rsidR="0076298E" w:rsidRPr="00D14C15" w:rsidRDefault="0076298E">
      <w:pPr>
        <w:rPr>
          <w:sz w:val="20"/>
          <w:lang w:val="en-GB"/>
        </w:rPr>
      </w:pPr>
    </w:p>
    <w:tbl>
      <w:tblPr>
        <w:tblStyle w:val="Tabelamrea"/>
        <w:tblW w:w="0" w:type="auto"/>
        <w:tblInd w:w="-5" w:type="dxa"/>
        <w:tblLook w:val="04A0" w:firstRow="1" w:lastRow="0" w:firstColumn="1" w:lastColumn="0" w:noHBand="0" w:noVBand="1"/>
      </w:tblPr>
      <w:tblGrid>
        <w:gridCol w:w="15026"/>
      </w:tblGrid>
      <w:tr w:rsidR="0076298E" w:rsidRPr="00D14C15" w14:paraId="7A293770" w14:textId="77777777">
        <w:tc>
          <w:tcPr>
            <w:tcW w:w="15026" w:type="dxa"/>
          </w:tcPr>
          <w:p w14:paraId="64C1EA6C" w14:textId="77777777" w:rsidR="0076298E" w:rsidRPr="00D14C15" w:rsidRDefault="00414F40">
            <w:pPr>
              <w:pStyle w:val="P68B1DB1-Navaden1"/>
              <w:jc w:val="both"/>
              <w:rPr>
                <w:lang w:val="en-GB"/>
              </w:rPr>
            </w:pPr>
            <w:r>
              <w:rPr>
                <w:lang w:val="en-GB"/>
              </w:rPr>
              <w:t xml:space="preserve">Drafting of Slovenia’s </w:t>
            </w:r>
            <w:r w:rsidR="001A2670">
              <w:rPr>
                <w:lang w:val="en-GB"/>
              </w:rPr>
              <w:t xml:space="preserve">EU </w:t>
            </w:r>
            <w:r>
              <w:rPr>
                <w:lang w:val="en-GB"/>
              </w:rPr>
              <w:t>Cohesion</w:t>
            </w:r>
            <w:r w:rsidR="0032633A" w:rsidRPr="00D14C15">
              <w:rPr>
                <w:lang w:val="en-GB"/>
              </w:rPr>
              <w:t xml:space="preserve"> Policy</w:t>
            </w:r>
            <w:r>
              <w:rPr>
                <w:lang w:val="en-GB"/>
              </w:rPr>
              <w:t xml:space="preserve"> Programme</w:t>
            </w:r>
            <w:r w:rsidR="0032633A" w:rsidRPr="00D14C15">
              <w:rPr>
                <w:lang w:val="en-GB"/>
              </w:rPr>
              <w:t xml:space="preserve"> 2021-2027 (</w:t>
            </w:r>
            <w:r w:rsidR="00A82FD2">
              <w:rPr>
                <w:lang w:val="en-GB"/>
              </w:rPr>
              <w:t xml:space="preserve">hereinafter: </w:t>
            </w:r>
            <w:r w:rsidR="0032633A" w:rsidRPr="00D14C15">
              <w:rPr>
                <w:lang w:val="en-GB"/>
              </w:rPr>
              <w:t>Programme) w</w:t>
            </w:r>
            <w:r>
              <w:rPr>
                <w:lang w:val="en-GB"/>
              </w:rPr>
              <w:t>as</w:t>
            </w:r>
            <w:r w:rsidR="0032633A" w:rsidRPr="00D14C15">
              <w:rPr>
                <w:lang w:val="en-GB"/>
              </w:rPr>
              <w:t xml:space="preserve"> based on </w:t>
            </w:r>
            <w:r w:rsidR="0032633A" w:rsidRPr="00414F40">
              <w:rPr>
                <w:lang w:val="en-GB"/>
              </w:rPr>
              <w:t>the</w:t>
            </w:r>
            <w:r w:rsidR="0032633A" w:rsidRPr="00D14C15">
              <w:rPr>
                <w:b/>
                <w:lang w:val="en-GB"/>
              </w:rPr>
              <w:t xml:space="preserve"> Slovenian Development Strategy 2030</w:t>
            </w:r>
            <w:r w:rsidR="0032633A" w:rsidRPr="00D14C15">
              <w:rPr>
                <w:lang w:val="en-GB"/>
              </w:rPr>
              <w:t xml:space="preserve"> (</w:t>
            </w:r>
            <w:r w:rsidR="0032633A" w:rsidRPr="00CE280E">
              <w:rPr>
                <w:lang w:val="en-GB"/>
              </w:rPr>
              <w:t>S</w:t>
            </w:r>
            <w:r w:rsidR="00CE280E" w:rsidRPr="00CE280E">
              <w:rPr>
                <w:lang w:val="en-GB"/>
              </w:rPr>
              <w:t>DS</w:t>
            </w:r>
            <w:r w:rsidR="0032633A" w:rsidRPr="00CE280E">
              <w:rPr>
                <w:lang w:val="en-GB"/>
              </w:rPr>
              <w:t xml:space="preserve"> 2030</w:t>
            </w:r>
            <w:r w:rsidR="0032633A" w:rsidRPr="00D14C15">
              <w:rPr>
                <w:lang w:val="en-GB"/>
              </w:rPr>
              <w:t>). Progress in achieving the</w:t>
            </w:r>
            <w:r w:rsidR="00AF2397">
              <w:rPr>
                <w:lang w:val="en-GB"/>
              </w:rPr>
              <w:t xml:space="preserve"> set</w:t>
            </w:r>
            <w:r w:rsidR="0032633A" w:rsidRPr="00D14C15">
              <w:rPr>
                <w:lang w:val="en-GB"/>
              </w:rPr>
              <w:t xml:space="preserve"> objectives is monitored annually by the </w:t>
            </w:r>
            <w:r>
              <w:rPr>
                <w:lang w:val="en-GB"/>
              </w:rPr>
              <w:t>Institute</w:t>
            </w:r>
            <w:r w:rsidR="0032633A" w:rsidRPr="00D14C15">
              <w:rPr>
                <w:lang w:val="en-GB"/>
              </w:rPr>
              <w:t xml:space="preserve"> </w:t>
            </w:r>
            <w:r>
              <w:rPr>
                <w:lang w:val="en-GB"/>
              </w:rPr>
              <w:t>of</w:t>
            </w:r>
            <w:r w:rsidR="0032633A" w:rsidRPr="00D14C15">
              <w:rPr>
                <w:lang w:val="en-GB"/>
              </w:rPr>
              <w:t xml:space="preserve"> Macroeconomic Analysis and Development</w:t>
            </w:r>
            <w:r>
              <w:rPr>
                <w:lang w:val="en-GB"/>
              </w:rPr>
              <w:t xml:space="preserve"> of the Republic of Slovenia</w:t>
            </w:r>
            <w:r w:rsidR="0032633A" w:rsidRPr="00D14C15">
              <w:rPr>
                <w:lang w:val="en-GB"/>
              </w:rPr>
              <w:t xml:space="preserve"> (</w:t>
            </w:r>
            <w:r w:rsidR="00A82FD2">
              <w:rPr>
                <w:lang w:val="en-GB"/>
              </w:rPr>
              <w:t xml:space="preserve">hereinafter: </w:t>
            </w:r>
            <w:r w:rsidR="0032633A" w:rsidRPr="00BA7FBB">
              <w:rPr>
                <w:lang w:val="en-GB"/>
              </w:rPr>
              <w:t>UMAR</w:t>
            </w:r>
            <w:r w:rsidR="00AF2397">
              <w:rPr>
                <w:lang w:val="en-GB"/>
              </w:rPr>
              <w:t>) by issuing annual development r</w:t>
            </w:r>
            <w:r>
              <w:rPr>
                <w:lang w:val="en-GB"/>
              </w:rPr>
              <w:t>eport</w:t>
            </w:r>
            <w:r w:rsidR="00AF2397">
              <w:rPr>
                <w:lang w:val="en-GB"/>
              </w:rPr>
              <w:t>s</w:t>
            </w:r>
            <w:r w:rsidR="0032633A" w:rsidRPr="00D14C15">
              <w:rPr>
                <w:lang w:val="en-GB"/>
              </w:rPr>
              <w:t xml:space="preserve">. </w:t>
            </w:r>
            <w:r w:rsidRPr="00414F40">
              <w:rPr>
                <w:b/>
                <w:lang w:val="en-GB"/>
              </w:rPr>
              <w:t>Development Report</w:t>
            </w:r>
            <w:r>
              <w:rPr>
                <w:lang w:val="en-GB"/>
              </w:rPr>
              <w:t xml:space="preserve"> </w:t>
            </w:r>
            <w:r w:rsidR="0032633A" w:rsidRPr="00D14C15">
              <w:rPr>
                <w:b/>
                <w:lang w:val="en-GB"/>
              </w:rPr>
              <w:t>2021 and 2022</w:t>
            </w:r>
            <w:r w:rsidR="0032633A" w:rsidRPr="00414F40">
              <w:rPr>
                <w:vertAlign w:val="superscript"/>
                <w:lang w:val="en-GB"/>
              </w:rPr>
              <w:footnoteReference w:id="1"/>
            </w:r>
            <w:r>
              <w:rPr>
                <w:b/>
                <w:lang w:val="en-GB"/>
              </w:rPr>
              <w:t xml:space="preserve"> </w:t>
            </w:r>
            <w:r w:rsidRPr="00414F40">
              <w:rPr>
                <w:lang w:val="en-GB"/>
              </w:rPr>
              <w:t xml:space="preserve">establish </w:t>
            </w:r>
            <w:r w:rsidR="0032633A" w:rsidRPr="00D14C15">
              <w:rPr>
                <w:lang w:val="en-GB"/>
              </w:rPr>
              <w:t xml:space="preserve">that </w:t>
            </w:r>
            <w:r>
              <w:rPr>
                <w:lang w:val="en-GB"/>
              </w:rPr>
              <w:t>measures</w:t>
            </w:r>
            <w:r w:rsidR="0032633A" w:rsidRPr="00D14C15">
              <w:rPr>
                <w:lang w:val="en-GB"/>
              </w:rPr>
              <w:t xml:space="preserve"> to increase the resilience of the economy and society, </w:t>
            </w:r>
            <w:r>
              <w:rPr>
                <w:lang w:val="en-GB"/>
              </w:rPr>
              <w:t>ut</w:t>
            </w:r>
            <w:r w:rsidR="00057848">
              <w:rPr>
                <w:lang w:val="en-GB"/>
              </w:rPr>
              <w:t>ilise</w:t>
            </w:r>
            <w:r w:rsidR="0032633A" w:rsidRPr="00D14C15">
              <w:rPr>
                <w:lang w:val="en-GB"/>
              </w:rPr>
              <w:t xml:space="preserve"> new opportunities and accelerate the transition to a highly productive, low-carbon and circular economy are key. </w:t>
            </w:r>
          </w:p>
          <w:p w14:paraId="7E4B1E67" w14:textId="77777777" w:rsidR="0076298E" w:rsidRPr="00D14C15" w:rsidRDefault="0076298E">
            <w:pPr>
              <w:jc w:val="both"/>
              <w:rPr>
                <w:rFonts w:eastAsia="Calibri"/>
                <w:lang w:val="en-GB"/>
              </w:rPr>
            </w:pPr>
          </w:p>
          <w:p w14:paraId="22DA4836" w14:textId="77777777" w:rsidR="0076298E" w:rsidRPr="00D14C15" w:rsidRDefault="0032633A">
            <w:pPr>
              <w:pStyle w:val="P68B1DB1-Navaden1"/>
              <w:jc w:val="both"/>
              <w:rPr>
                <w:lang w:val="en-GB"/>
              </w:rPr>
            </w:pPr>
            <w:r w:rsidRPr="00D14C15">
              <w:rPr>
                <w:lang w:val="en-GB"/>
              </w:rPr>
              <w:t xml:space="preserve">In order to achieve the objectives </w:t>
            </w:r>
            <w:r w:rsidR="00057848">
              <w:rPr>
                <w:lang w:val="en-GB"/>
              </w:rPr>
              <w:t>set out in S</w:t>
            </w:r>
            <w:r w:rsidR="00CE280E">
              <w:rPr>
                <w:lang w:val="en-GB"/>
              </w:rPr>
              <w:t>D</w:t>
            </w:r>
            <w:r w:rsidR="00057848">
              <w:rPr>
                <w:lang w:val="en-GB"/>
              </w:rPr>
              <w:t>S</w:t>
            </w:r>
            <w:r w:rsidRPr="00D14C15">
              <w:rPr>
                <w:lang w:val="en-GB"/>
              </w:rPr>
              <w:t xml:space="preserve"> 2030, we need to prioritise </w:t>
            </w:r>
            <w:r w:rsidR="00057848">
              <w:rPr>
                <w:lang w:val="en-GB"/>
              </w:rPr>
              <w:t>measure</w:t>
            </w:r>
            <w:r w:rsidR="00AF2397">
              <w:rPr>
                <w:lang w:val="en-GB"/>
              </w:rPr>
              <w:t xml:space="preserve"> in areas where main</w:t>
            </w:r>
            <w:r w:rsidRPr="00D14C15">
              <w:rPr>
                <w:lang w:val="en-GB"/>
              </w:rPr>
              <w:t xml:space="preserve"> challenges</w:t>
            </w:r>
            <w:r w:rsidR="00AF2397">
              <w:rPr>
                <w:lang w:val="en-GB"/>
              </w:rPr>
              <w:t xml:space="preserve"> are identified</w:t>
            </w:r>
            <w:r w:rsidRPr="00D14C15">
              <w:rPr>
                <w:lang w:val="en-GB"/>
              </w:rPr>
              <w:t>:</w:t>
            </w:r>
          </w:p>
          <w:p w14:paraId="2B10FD96" w14:textId="77777777" w:rsidR="0076298E" w:rsidRPr="00D14C15" w:rsidRDefault="0032633A">
            <w:pPr>
              <w:pStyle w:val="P68B1DB1-Navaden1"/>
              <w:widowControl/>
              <w:numPr>
                <w:ilvl w:val="0"/>
                <w:numId w:val="2"/>
              </w:numPr>
              <w:autoSpaceDE/>
              <w:autoSpaceDN/>
              <w:contextualSpacing/>
              <w:jc w:val="both"/>
              <w:rPr>
                <w:lang w:val="en-GB"/>
              </w:rPr>
            </w:pPr>
            <w:r w:rsidRPr="00D14C15">
              <w:rPr>
                <w:b/>
                <w:lang w:val="en-GB"/>
              </w:rPr>
              <w:t xml:space="preserve">fostering productivity growth, including the development of relevant </w:t>
            </w:r>
            <w:r w:rsidR="00293282">
              <w:rPr>
                <w:b/>
                <w:lang w:val="en-GB"/>
              </w:rPr>
              <w:t>skills</w:t>
            </w:r>
            <w:r w:rsidRPr="00D14C15">
              <w:rPr>
                <w:lang w:val="en-GB"/>
              </w:rPr>
              <w:t xml:space="preserve">; </w:t>
            </w:r>
          </w:p>
          <w:p w14:paraId="45DD1F49" w14:textId="77777777" w:rsidR="0076298E" w:rsidRPr="00D14C15" w:rsidRDefault="0032633A">
            <w:pPr>
              <w:pStyle w:val="P68B1DB1-Navaden1"/>
              <w:widowControl/>
              <w:numPr>
                <w:ilvl w:val="0"/>
                <w:numId w:val="2"/>
              </w:numPr>
              <w:autoSpaceDE/>
              <w:autoSpaceDN/>
              <w:ind w:left="714" w:hanging="357"/>
              <w:contextualSpacing/>
              <w:jc w:val="both"/>
              <w:rPr>
                <w:lang w:val="en-GB"/>
              </w:rPr>
            </w:pPr>
            <w:r w:rsidRPr="00D14C15">
              <w:rPr>
                <w:b/>
                <w:lang w:val="en-GB"/>
              </w:rPr>
              <w:t>accelerating the transition to a low-carbon circular economy</w:t>
            </w:r>
            <w:r w:rsidRPr="00D14C15">
              <w:rPr>
                <w:lang w:val="en-GB"/>
              </w:rPr>
              <w:t>;</w:t>
            </w:r>
          </w:p>
          <w:p w14:paraId="4F060B69" w14:textId="77777777" w:rsidR="0076298E" w:rsidRPr="00D14C15" w:rsidRDefault="0032633A">
            <w:pPr>
              <w:widowControl/>
              <w:numPr>
                <w:ilvl w:val="0"/>
                <w:numId w:val="2"/>
              </w:numPr>
              <w:autoSpaceDE/>
              <w:autoSpaceDN/>
              <w:contextualSpacing/>
              <w:jc w:val="both"/>
              <w:rPr>
                <w:rFonts w:eastAsia="Calibri"/>
                <w:lang w:val="en-GB"/>
              </w:rPr>
            </w:pPr>
            <w:r w:rsidRPr="00D14C15">
              <w:rPr>
                <w:b/>
                <w:lang w:val="en-GB"/>
              </w:rPr>
              <w:t>strengthening the resilience of the health</w:t>
            </w:r>
            <w:r w:rsidR="00D77E81">
              <w:rPr>
                <w:b/>
                <w:lang w:val="en-GB"/>
              </w:rPr>
              <w:t>care</w:t>
            </w:r>
            <w:r w:rsidRPr="00D14C15">
              <w:rPr>
                <w:b/>
                <w:lang w:val="en-GB"/>
              </w:rPr>
              <w:t xml:space="preserve"> system and the financial sustainability of social security systems</w:t>
            </w:r>
            <w:r w:rsidRPr="00D14C15">
              <w:rPr>
                <w:lang w:val="en-GB"/>
              </w:rPr>
              <w:t>;</w:t>
            </w:r>
            <w:r w:rsidRPr="00D14C15">
              <w:rPr>
                <w:rFonts w:eastAsia="Calibri"/>
                <w:lang w:val="en-GB"/>
              </w:rPr>
              <w:t xml:space="preserve"> </w:t>
            </w:r>
          </w:p>
          <w:p w14:paraId="35F09775" w14:textId="77777777" w:rsidR="0076298E" w:rsidRPr="00D14C15" w:rsidRDefault="0032633A">
            <w:pPr>
              <w:pStyle w:val="P68B1DB1-Navaden1"/>
              <w:widowControl/>
              <w:numPr>
                <w:ilvl w:val="0"/>
                <w:numId w:val="2"/>
              </w:numPr>
              <w:autoSpaceDE/>
              <w:autoSpaceDN/>
              <w:jc w:val="both"/>
              <w:rPr>
                <w:lang w:val="en-GB"/>
              </w:rPr>
            </w:pPr>
            <w:r w:rsidRPr="00D14C15">
              <w:rPr>
                <w:b/>
                <w:lang w:val="en-GB"/>
              </w:rPr>
              <w:t>strengthening the development role of the state and its institutions</w:t>
            </w:r>
            <w:r w:rsidRPr="00D14C15">
              <w:rPr>
                <w:lang w:val="en-GB"/>
              </w:rPr>
              <w:t>: improving the efficiency of public sector governance and reducing regulatory burdens remains a challe</w:t>
            </w:r>
            <w:r w:rsidR="00D77E81">
              <w:rPr>
                <w:lang w:val="en-GB"/>
              </w:rPr>
              <w:t>nge that was mainly addressed by</w:t>
            </w:r>
            <w:r w:rsidRPr="00D14C15">
              <w:rPr>
                <w:lang w:val="en-GB"/>
              </w:rPr>
              <w:t xml:space="preserve"> the Recovery and Resilience Plan (</w:t>
            </w:r>
            <w:r w:rsidR="00A82FD2">
              <w:rPr>
                <w:lang w:val="en-GB"/>
              </w:rPr>
              <w:t xml:space="preserve">hereinafter: </w:t>
            </w:r>
            <w:r w:rsidR="00305559">
              <w:rPr>
                <w:lang w:val="en-GB"/>
              </w:rPr>
              <w:t>RRP</w:t>
            </w:r>
            <w:r w:rsidRPr="00D14C15">
              <w:rPr>
                <w:lang w:val="en-GB"/>
              </w:rPr>
              <w:t xml:space="preserve">) and is therefore not specifically </w:t>
            </w:r>
            <w:r w:rsidR="00D77E81">
              <w:rPr>
                <w:lang w:val="en-GB"/>
              </w:rPr>
              <w:t>addressed</w:t>
            </w:r>
            <w:r w:rsidRPr="00D14C15">
              <w:rPr>
                <w:lang w:val="en-GB"/>
              </w:rPr>
              <w:t xml:space="preserve"> </w:t>
            </w:r>
            <w:r w:rsidR="00D77E81">
              <w:rPr>
                <w:lang w:val="en-GB"/>
              </w:rPr>
              <w:t>by</w:t>
            </w:r>
            <w:r w:rsidRPr="00D14C15">
              <w:rPr>
                <w:lang w:val="en-GB"/>
              </w:rPr>
              <w:t xml:space="preserve"> the Programme. </w:t>
            </w:r>
          </w:p>
          <w:p w14:paraId="69EF34F3" w14:textId="77777777" w:rsidR="0076298E" w:rsidRPr="00D14C15" w:rsidRDefault="0076298E">
            <w:pPr>
              <w:jc w:val="both"/>
              <w:rPr>
                <w:rFonts w:eastAsia="Calibri"/>
                <w:lang w:val="en-GB"/>
              </w:rPr>
            </w:pPr>
          </w:p>
          <w:p w14:paraId="18CF3921" w14:textId="77777777" w:rsidR="0076298E" w:rsidRPr="00D14C15" w:rsidRDefault="0032633A">
            <w:pPr>
              <w:jc w:val="both"/>
              <w:rPr>
                <w:lang w:val="en-GB"/>
              </w:rPr>
            </w:pPr>
            <w:r w:rsidRPr="00D14C15">
              <w:rPr>
                <w:rFonts w:eastAsia="Calibri"/>
                <w:lang w:val="en-GB"/>
              </w:rPr>
              <w:t>Based on relevant documents, specific evaluations, reports, recommendations of the Council of the E</w:t>
            </w:r>
            <w:r w:rsidR="004F6313">
              <w:rPr>
                <w:rFonts w:eastAsia="Calibri"/>
                <w:lang w:val="en-GB"/>
              </w:rPr>
              <w:t xml:space="preserve">uropean Union </w:t>
            </w:r>
            <w:r w:rsidRPr="00D14C15">
              <w:rPr>
                <w:rFonts w:eastAsia="Calibri"/>
                <w:lang w:val="en-GB"/>
              </w:rPr>
              <w:t>in relation to Slovenia’s National Reform Programm</w:t>
            </w:r>
            <w:r w:rsidR="00184698">
              <w:rPr>
                <w:rFonts w:eastAsia="Calibri"/>
                <w:lang w:val="en-GB"/>
              </w:rPr>
              <w:t>e 2019, 2020 and 2022 (Council r</w:t>
            </w:r>
            <w:r w:rsidRPr="00D14C15">
              <w:rPr>
                <w:rFonts w:eastAsia="Calibri"/>
                <w:lang w:val="en-GB"/>
              </w:rPr>
              <w:t xml:space="preserve">ecommendations) and </w:t>
            </w:r>
            <w:r w:rsidR="00476A08">
              <w:rPr>
                <w:rFonts w:eastAsia="Calibri"/>
                <w:lang w:val="en-GB"/>
              </w:rPr>
              <w:t xml:space="preserve">European Commission’s </w:t>
            </w:r>
            <w:r w:rsidRPr="00D14C15">
              <w:rPr>
                <w:rFonts w:eastAsia="Calibri"/>
                <w:lang w:val="en-GB"/>
              </w:rPr>
              <w:t xml:space="preserve">strategic priorities, we have developed measures to effectively address the identified challenges. </w:t>
            </w:r>
            <w:r w:rsidR="00476A08">
              <w:rPr>
                <w:rFonts w:eastAsia="Calibri"/>
                <w:lang w:val="en-GB"/>
              </w:rPr>
              <w:t>As t</w:t>
            </w:r>
            <w:r w:rsidRPr="00D14C15">
              <w:rPr>
                <w:rFonts w:eastAsia="Calibri"/>
                <w:lang w:val="en-GB"/>
              </w:rPr>
              <w:t xml:space="preserve">he </w:t>
            </w:r>
            <w:r w:rsidR="00476A08">
              <w:rPr>
                <w:rFonts w:eastAsia="Calibri"/>
                <w:lang w:val="en-GB"/>
              </w:rPr>
              <w:t xml:space="preserve">measures </w:t>
            </w:r>
            <w:r w:rsidRPr="00D14C15">
              <w:rPr>
                <w:rFonts w:eastAsia="Calibri"/>
                <w:lang w:val="en-GB"/>
              </w:rPr>
              <w:t xml:space="preserve">are interdependent, </w:t>
            </w:r>
            <w:r w:rsidR="00476A08">
              <w:rPr>
                <w:rFonts w:eastAsia="Calibri"/>
                <w:lang w:val="en-GB"/>
              </w:rPr>
              <w:t>we</w:t>
            </w:r>
            <w:r w:rsidRPr="00D14C15">
              <w:rPr>
                <w:rFonts w:eastAsia="Calibri"/>
                <w:lang w:val="en-GB"/>
              </w:rPr>
              <w:t xml:space="preserve"> will ensure maximum substantive and implementation synergies and promote the </w:t>
            </w:r>
            <w:r w:rsidR="00476A08">
              <w:rPr>
                <w:rFonts w:eastAsia="Calibri"/>
                <w:lang w:val="en-GB"/>
              </w:rPr>
              <w:t>identification</w:t>
            </w:r>
            <w:r w:rsidRPr="00D14C15">
              <w:rPr>
                <w:rFonts w:eastAsia="Calibri"/>
                <w:lang w:val="en-GB"/>
              </w:rPr>
              <w:t xml:space="preserve"> </w:t>
            </w:r>
            <w:r w:rsidR="00AF2397">
              <w:rPr>
                <w:rFonts w:eastAsia="Calibri"/>
                <w:lang w:val="en-GB"/>
              </w:rPr>
              <w:t>of</w:t>
            </w:r>
            <w:r w:rsidRPr="00D14C15">
              <w:rPr>
                <w:rFonts w:eastAsia="Calibri"/>
                <w:lang w:val="en-GB"/>
              </w:rPr>
              <w:t xml:space="preserve"> systemic horizontal solutions.</w:t>
            </w:r>
            <w:r w:rsidRPr="00D14C15">
              <w:rPr>
                <w:lang w:val="en-GB"/>
              </w:rPr>
              <w:t xml:space="preserve"> </w:t>
            </w:r>
            <w:r w:rsidRPr="00D14C15">
              <w:rPr>
                <w:rFonts w:eastAsia="Calibri"/>
                <w:lang w:val="en-GB"/>
              </w:rPr>
              <w:t xml:space="preserve">The </w:t>
            </w:r>
            <w:r w:rsidR="00305559">
              <w:rPr>
                <w:lang w:val="en-GB"/>
              </w:rPr>
              <w:t>RRP</w:t>
            </w:r>
            <w:r w:rsidR="00305559">
              <w:rPr>
                <w:rFonts w:eastAsia="Calibri"/>
                <w:lang w:val="en-GB"/>
              </w:rPr>
              <w:t xml:space="preserve"> </w:t>
            </w:r>
            <w:r w:rsidR="00476A08">
              <w:rPr>
                <w:rFonts w:eastAsia="Calibri"/>
                <w:lang w:val="en-GB"/>
              </w:rPr>
              <w:t>puts a strong emphasis</w:t>
            </w:r>
            <w:r w:rsidRPr="00D14C15">
              <w:rPr>
                <w:rFonts w:eastAsia="Calibri"/>
                <w:lang w:val="en-GB"/>
              </w:rPr>
              <w:t xml:space="preserve"> on reforms that will </w:t>
            </w:r>
            <w:r w:rsidR="00476A08" w:rsidRPr="00D14C15">
              <w:rPr>
                <w:rFonts w:eastAsia="Calibri"/>
                <w:lang w:val="en-GB"/>
              </w:rPr>
              <w:t xml:space="preserve">contribute </w:t>
            </w:r>
            <w:r w:rsidR="00476A08">
              <w:rPr>
                <w:rFonts w:eastAsia="Calibri"/>
                <w:lang w:val="en-GB"/>
              </w:rPr>
              <w:t xml:space="preserve">to realising the </w:t>
            </w:r>
            <w:r w:rsidR="00AF2397" w:rsidRPr="00D14C15">
              <w:rPr>
                <w:rFonts w:eastAsia="Calibri"/>
                <w:lang w:val="en-GB"/>
              </w:rPr>
              <w:t xml:space="preserve">EU </w:t>
            </w:r>
            <w:r w:rsidR="00AF2397">
              <w:rPr>
                <w:rFonts w:eastAsia="Calibri"/>
                <w:lang w:val="en-GB"/>
              </w:rPr>
              <w:t xml:space="preserve">and </w:t>
            </w:r>
            <w:r w:rsidR="00AF2397" w:rsidRPr="00D14C15">
              <w:rPr>
                <w:rFonts w:eastAsia="Calibri"/>
                <w:lang w:val="en-GB"/>
              </w:rPr>
              <w:t xml:space="preserve">Programme </w:t>
            </w:r>
            <w:r w:rsidR="00476A08" w:rsidRPr="00D14C15">
              <w:rPr>
                <w:rFonts w:eastAsia="Calibri"/>
                <w:lang w:val="en-GB"/>
              </w:rPr>
              <w:t xml:space="preserve">policy objectives </w:t>
            </w:r>
            <w:r w:rsidRPr="00D14C15">
              <w:rPr>
                <w:rFonts w:eastAsia="Calibri"/>
                <w:lang w:val="en-GB"/>
              </w:rPr>
              <w:t>more quickly and effectively</w:t>
            </w:r>
            <w:r w:rsidR="00F7599D">
              <w:rPr>
                <w:rFonts w:eastAsia="Calibri"/>
                <w:lang w:val="en-GB"/>
              </w:rPr>
              <w:t xml:space="preserve">. With regard to </w:t>
            </w:r>
            <w:r w:rsidRPr="00D14C15">
              <w:rPr>
                <w:rFonts w:eastAsia="Calibri"/>
                <w:lang w:val="en-GB"/>
              </w:rPr>
              <w:t xml:space="preserve">measures </w:t>
            </w:r>
            <w:r w:rsidR="00F7599D">
              <w:rPr>
                <w:rFonts w:eastAsia="Calibri"/>
                <w:lang w:val="en-GB"/>
              </w:rPr>
              <w:t xml:space="preserve">under the </w:t>
            </w:r>
            <w:r w:rsidRPr="00D14C15">
              <w:rPr>
                <w:rFonts w:eastAsia="Calibri"/>
                <w:lang w:val="en-GB"/>
              </w:rPr>
              <w:t xml:space="preserve">investment </w:t>
            </w:r>
            <w:r w:rsidR="00F7599D">
              <w:rPr>
                <w:rFonts w:eastAsia="Calibri"/>
                <w:lang w:val="en-GB"/>
              </w:rPr>
              <w:t xml:space="preserve">segment of the </w:t>
            </w:r>
            <w:r w:rsidR="00305559">
              <w:rPr>
                <w:lang w:val="en-GB"/>
              </w:rPr>
              <w:t>RRP</w:t>
            </w:r>
            <w:r w:rsidR="00305559" w:rsidRPr="00D14C15">
              <w:rPr>
                <w:rFonts w:eastAsia="Calibri"/>
                <w:lang w:val="en-GB"/>
              </w:rPr>
              <w:t xml:space="preserve"> </w:t>
            </w:r>
            <w:r w:rsidRPr="00D14C15">
              <w:rPr>
                <w:rFonts w:eastAsia="Calibri"/>
                <w:lang w:val="en-GB"/>
              </w:rPr>
              <w:t xml:space="preserve">and this Programme, we will ensure a clear </w:t>
            </w:r>
            <w:r w:rsidR="00F7599D">
              <w:rPr>
                <w:rFonts w:eastAsia="Calibri"/>
                <w:lang w:val="en-GB"/>
              </w:rPr>
              <w:t>differentiation between</w:t>
            </w:r>
            <w:r w:rsidRPr="00D14C15">
              <w:rPr>
                <w:rFonts w:eastAsia="Calibri"/>
                <w:lang w:val="en-GB"/>
              </w:rPr>
              <w:t xml:space="preserve"> or complementarity of the areas and supported </w:t>
            </w:r>
            <w:r w:rsidR="00F7599D">
              <w:rPr>
                <w:rFonts w:eastAsia="Calibri"/>
                <w:lang w:val="en-GB"/>
              </w:rPr>
              <w:t>measures</w:t>
            </w:r>
            <w:r w:rsidRPr="00D14C15">
              <w:rPr>
                <w:rFonts w:eastAsia="Calibri"/>
                <w:lang w:val="en-GB"/>
              </w:rPr>
              <w:t xml:space="preserve">. </w:t>
            </w:r>
          </w:p>
          <w:p w14:paraId="60CF5B36" w14:textId="77777777" w:rsidR="0076298E" w:rsidRPr="00D14C15" w:rsidRDefault="0076298E">
            <w:pPr>
              <w:jc w:val="both"/>
              <w:rPr>
                <w:lang w:val="en-GB"/>
              </w:rPr>
            </w:pPr>
          </w:p>
          <w:p w14:paraId="0DEB179D" w14:textId="77777777" w:rsidR="0076298E" w:rsidRPr="00D14C15" w:rsidRDefault="0032633A">
            <w:pPr>
              <w:jc w:val="both"/>
              <w:rPr>
                <w:lang w:val="en-GB"/>
              </w:rPr>
            </w:pPr>
            <w:r w:rsidRPr="00D14C15">
              <w:rPr>
                <w:lang w:val="en-GB"/>
              </w:rPr>
              <w:t xml:space="preserve">Slovenia will take into account the mitigation measures set out in the </w:t>
            </w:r>
            <w:r w:rsidR="00AC6618" w:rsidRPr="00AC6618">
              <w:rPr>
                <w:lang w:val="en-GB"/>
              </w:rPr>
              <w:t>s</w:t>
            </w:r>
            <w:r w:rsidR="00F7599D" w:rsidRPr="00AC6618">
              <w:rPr>
                <w:lang w:val="en-GB"/>
              </w:rPr>
              <w:t>trategic</w:t>
            </w:r>
            <w:r w:rsidRPr="00AC6618">
              <w:rPr>
                <w:lang w:val="en-GB"/>
              </w:rPr>
              <w:t xml:space="preserve"> </w:t>
            </w:r>
            <w:r w:rsidR="00AC6618" w:rsidRPr="00AC6618">
              <w:rPr>
                <w:lang w:val="en-GB"/>
              </w:rPr>
              <w:t>e</w:t>
            </w:r>
            <w:r w:rsidRPr="00AC6618">
              <w:rPr>
                <w:lang w:val="en-GB"/>
              </w:rPr>
              <w:t xml:space="preserve">nvironmental </w:t>
            </w:r>
            <w:r w:rsidR="00AC6618" w:rsidRPr="00AC6618">
              <w:rPr>
                <w:lang w:val="en-GB"/>
              </w:rPr>
              <w:t>a</w:t>
            </w:r>
            <w:r w:rsidRPr="00AC6618">
              <w:rPr>
                <w:lang w:val="en-GB"/>
              </w:rPr>
              <w:t>ssessment</w:t>
            </w:r>
            <w:r w:rsidR="00AC6618">
              <w:rPr>
                <w:lang w:val="en-GB"/>
              </w:rPr>
              <w:t xml:space="preserve"> (a</w:t>
            </w:r>
            <w:r w:rsidRPr="00D14C15">
              <w:rPr>
                <w:lang w:val="en-GB"/>
              </w:rPr>
              <w:t>nnex</w:t>
            </w:r>
            <w:r w:rsidR="00AF2397">
              <w:rPr>
                <w:lang w:val="en-GB"/>
              </w:rPr>
              <w:t>:</w:t>
            </w:r>
            <w:r w:rsidRPr="00D14C15">
              <w:rPr>
                <w:lang w:val="en-GB"/>
              </w:rPr>
              <w:t xml:space="preserve"> Mitigation </w:t>
            </w:r>
            <w:r w:rsidR="00AC6618">
              <w:rPr>
                <w:lang w:val="en-GB"/>
              </w:rPr>
              <w:t>M</w:t>
            </w:r>
            <w:r w:rsidRPr="00D14C15">
              <w:rPr>
                <w:lang w:val="en-GB"/>
              </w:rPr>
              <w:t xml:space="preserve">easures and </w:t>
            </w:r>
            <w:r w:rsidR="00AC6618">
              <w:rPr>
                <w:lang w:val="en-GB"/>
              </w:rPr>
              <w:t>R</w:t>
            </w:r>
            <w:r w:rsidRPr="00D14C15">
              <w:rPr>
                <w:lang w:val="en-GB"/>
              </w:rPr>
              <w:t>ecommendations) and the ‘do n</w:t>
            </w:r>
            <w:r w:rsidR="00E468E3">
              <w:rPr>
                <w:lang w:val="en-GB"/>
              </w:rPr>
              <w:t>o significant harm’ principle (a</w:t>
            </w:r>
            <w:r w:rsidRPr="00D14C15">
              <w:rPr>
                <w:lang w:val="en-GB"/>
              </w:rPr>
              <w:t>nnex</w:t>
            </w:r>
            <w:r w:rsidR="00AF2397">
              <w:rPr>
                <w:lang w:val="en-GB"/>
              </w:rPr>
              <w:t>:</w:t>
            </w:r>
            <w:r w:rsidRPr="00D14C15">
              <w:rPr>
                <w:lang w:val="en-GB"/>
              </w:rPr>
              <w:t xml:space="preserve"> DNSH). The E</w:t>
            </w:r>
            <w:r w:rsidR="00F7599D">
              <w:rPr>
                <w:lang w:val="en-GB"/>
              </w:rPr>
              <w:t xml:space="preserve">uropean Cohesion Policy </w:t>
            </w:r>
            <w:r w:rsidRPr="00D14C15">
              <w:rPr>
                <w:lang w:val="en-GB"/>
              </w:rPr>
              <w:t xml:space="preserve">funds will </w:t>
            </w:r>
            <w:r w:rsidR="00F7599D">
              <w:rPr>
                <w:lang w:val="en-GB"/>
              </w:rPr>
              <w:t>be used to</w:t>
            </w:r>
            <w:r w:rsidRPr="00D14C15">
              <w:rPr>
                <w:lang w:val="en-GB"/>
              </w:rPr>
              <w:t xml:space="preserve"> support the most vulnerable and </w:t>
            </w:r>
            <w:r w:rsidR="00F7599D">
              <w:rPr>
                <w:lang w:val="en-GB"/>
              </w:rPr>
              <w:t xml:space="preserve">those most </w:t>
            </w:r>
            <w:r w:rsidRPr="00D14C15">
              <w:rPr>
                <w:lang w:val="en-GB"/>
              </w:rPr>
              <w:t>exposed to the social and economic consequences of green transition. Where relevant, the Programme will support investments that successfully integrate the principles of sustainability, aesthetics and inclusiveness in line with the New European Bauhaus initiative.</w:t>
            </w:r>
          </w:p>
          <w:p w14:paraId="0EF59238" w14:textId="77777777" w:rsidR="0076298E" w:rsidRPr="00D14C15" w:rsidRDefault="0076298E">
            <w:pPr>
              <w:jc w:val="both"/>
              <w:rPr>
                <w:lang w:val="en-GB"/>
              </w:rPr>
            </w:pPr>
          </w:p>
          <w:p w14:paraId="7DF719F3" w14:textId="77777777" w:rsidR="0076298E" w:rsidRPr="00D14C15" w:rsidRDefault="0032633A">
            <w:pPr>
              <w:jc w:val="both"/>
              <w:rPr>
                <w:rFonts w:eastAsia="Calibri"/>
                <w:lang w:val="en-GB"/>
              </w:rPr>
            </w:pPr>
            <w:r w:rsidRPr="00D14C15">
              <w:rPr>
                <w:rFonts w:eastAsia="Calibri"/>
                <w:lang w:val="en-GB"/>
              </w:rPr>
              <w:t xml:space="preserve">Slovenia is divided into two cohesion regions, with </w:t>
            </w:r>
            <w:r w:rsidR="006D642C">
              <w:rPr>
                <w:rFonts w:eastAsia="Calibri"/>
                <w:lang w:val="en-GB"/>
              </w:rPr>
              <w:t>the Western Slovenia cohesion region</w:t>
            </w:r>
            <w:r w:rsidRPr="00D14C15">
              <w:rPr>
                <w:rFonts w:eastAsia="Calibri"/>
                <w:lang w:val="en-GB"/>
              </w:rPr>
              <w:t xml:space="preserve"> </w:t>
            </w:r>
            <w:r w:rsidR="00BF1CE8">
              <w:rPr>
                <w:rFonts w:eastAsia="Calibri"/>
                <w:lang w:val="en-GB"/>
              </w:rPr>
              <w:t xml:space="preserve">being </w:t>
            </w:r>
            <w:r w:rsidRPr="00D14C15">
              <w:rPr>
                <w:rFonts w:eastAsia="Calibri"/>
                <w:lang w:val="en-GB"/>
              </w:rPr>
              <w:t xml:space="preserve">classified as </w:t>
            </w:r>
            <w:r w:rsidR="00BF1CE8">
              <w:rPr>
                <w:rFonts w:eastAsia="Calibri"/>
                <w:lang w:val="en-GB"/>
              </w:rPr>
              <w:t xml:space="preserve">a </w:t>
            </w:r>
            <w:r w:rsidRPr="00D14C15">
              <w:rPr>
                <w:rFonts w:eastAsia="Calibri"/>
                <w:lang w:val="en-GB"/>
              </w:rPr>
              <w:t>developed</w:t>
            </w:r>
            <w:r w:rsidR="00BF1CE8">
              <w:rPr>
                <w:rFonts w:eastAsia="Calibri"/>
                <w:lang w:val="en-GB"/>
              </w:rPr>
              <w:t xml:space="preserve"> region</w:t>
            </w:r>
            <w:r w:rsidR="004F6313">
              <w:rPr>
                <w:rFonts w:eastAsia="Calibri"/>
                <w:lang w:val="en-GB"/>
              </w:rPr>
              <w:t>, and</w:t>
            </w:r>
            <w:r w:rsidR="006D642C">
              <w:rPr>
                <w:rFonts w:eastAsia="Calibri"/>
                <w:lang w:val="en-GB"/>
              </w:rPr>
              <w:t xml:space="preserve"> the Eastern Slovenia cohesion region </w:t>
            </w:r>
            <w:r w:rsidR="00BF1CE8">
              <w:rPr>
                <w:rFonts w:eastAsia="Calibri"/>
                <w:lang w:val="en-GB"/>
              </w:rPr>
              <w:t>as</w:t>
            </w:r>
            <w:r w:rsidRPr="00D14C15">
              <w:rPr>
                <w:rFonts w:eastAsia="Calibri"/>
                <w:lang w:val="en-GB"/>
              </w:rPr>
              <w:t xml:space="preserve"> </w:t>
            </w:r>
            <w:r w:rsidR="00BF1CE8">
              <w:rPr>
                <w:rFonts w:eastAsia="Calibri"/>
                <w:lang w:val="en-GB"/>
              </w:rPr>
              <w:t>a</w:t>
            </w:r>
            <w:r w:rsidRPr="00D14C15">
              <w:rPr>
                <w:rFonts w:eastAsia="Calibri"/>
                <w:lang w:val="en-GB"/>
              </w:rPr>
              <w:t xml:space="preserve"> less developed</w:t>
            </w:r>
            <w:r w:rsidR="00BF1CE8">
              <w:rPr>
                <w:rFonts w:eastAsia="Calibri"/>
                <w:lang w:val="en-GB"/>
              </w:rPr>
              <w:t xml:space="preserve"> region</w:t>
            </w:r>
            <w:r w:rsidRPr="00D14C15">
              <w:rPr>
                <w:rFonts w:eastAsia="Calibri"/>
                <w:lang w:val="en-GB"/>
              </w:rPr>
              <w:t xml:space="preserve">. </w:t>
            </w:r>
            <w:r w:rsidR="00BF1CE8" w:rsidRPr="00D14C15">
              <w:rPr>
                <w:rFonts w:eastAsia="Calibri"/>
                <w:lang w:val="en-GB"/>
              </w:rPr>
              <w:t xml:space="preserve">KRVZ </w:t>
            </w:r>
            <w:r w:rsidR="00BF1CE8">
              <w:rPr>
                <w:rFonts w:eastAsia="Calibri"/>
                <w:lang w:val="en-GB"/>
              </w:rPr>
              <w:t>needs to catch up with the</w:t>
            </w:r>
            <w:r w:rsidRPr="00D14C15">
              <w:rPr>
                <w:rFonts w:eastAsia="Calibri"/>
                <w:lang w:val="en-GB"/>
              </w:rPr>
              <w:t xml:space="preserve"> E</w:t>
            </w:r>
            <w:r w:rsidR="00BF1CE8">
              <w:rPr>
                <w:rFonts w:eastAsia="Calibri"/>
                <w:lang w:val="en-GB"/>
              </w:rPr>
              <w:t>uropean Union (</w:t>
            </w:r>
            <w:r w:rsidR="00A82FD2">
              <w:rPr>
                <w:lang w:val="en-GB"/>
              </w:rPr>
              <w:t xml:space="preserve">hereinafter: </w:t>
            </w:r>
            <w:r w:rsidR="00BF1CE8">
              <w:rPr>
                <w:rFonts w:eastAsia="Calibri"/>
                <w:lang w:val="en-GB"/>
              </w:rPr>
              <w:t xml:space="preserve">EU) as well as </w:t>
            </w:r>
            <w:r w:rsidRPr="00D14C15">
              <w:rPr>
                <w:rFonts w:eastAsia="Calibri"/>
                <w:lang w:val="en-GB"/>
              </w:rPr>
              <w:t xml:space="preserve">the Slovenian average and </w:t>
            </w:r>
            <w:r w:rsidR="00BF1CE8">
              <w:rPr>
                <w:rFonts w:eastAsia="Calibri"/>
                <w:lang w:val="en-GB"/>
              </w:rPr>
              <w:t>the</w:t>
            </w:r>
            <w:r w:rsidRPr="00D14C15">
              <w:rPr>
                <w:rFonts w:eastAsia="Calibri"/>
                <w:lang w:val="en-GB"/>
              </w:rPr>
              <w:t xml:space="preserve"> more developed </w:t>
            </w:r>
            <w:r w:rsidR="006D642C">
              <w:rPr>
                <w:rFonts w:eastAsia="Calibri"/>
                <w:lang w:val="en-GB"/>
              </w:rPr>
              <w:t>the Western Slovenia cohesion region</w:t>
            </w:r>
            <w:r w:rsidRPr="00D14C15">
              <w:rPr>
                <w:rFonts w:eastAsia="Calibri"/>
                <w:lang w:val="en-GB"/>
              </w:rPr>
              <w:t xml:space="preserve">. Despite </w:t>
            </w:r>
            <w:r w:rsidR="00C23207">
              <w:rPr>
                <w:rFonts w:eastAsia="Calibri"/>
                <w:lang w:val="en-GB"/>
              </w:rPr>
              <w:t>being more developed</w:t>
            </w:r>
            <w:r w:rsidR="00BF1CE8">
              <w:rPr>
                <w:rFonts w:eastAsia="Calibri"/>
                <w:lang w:val="en-GB"/>
              </w:rPr>
              <w:t>,</w:t>
            </w:r>
            <w:r w:rsidRPr="00D14C15">
              <w:rPr>
                <w:rFonts w:eastAsia="Calibri"/>
                <w:lang w:val="en-GB"/>
              </w:rPr>
              <w:t xml:space="preserve"> </w:t>
            </w:r>
            <w:r w:rsidR="006D642C">
              <w:rPr>
                <w:rFonts w:eastAsia="Calibri"/>
                <w:lang w:val="en-GB"/>
              </w:rPr>
              <w:t xml:space="preserve">the Western Slovenia cohesion region </w:t>
            </w:r>
            <w:r w:rsidR="00BF1CE8">
              <w:rPr>
                <w:rFonts w:eastAsia="Calibri"/>
                <w:lang w:val="en-GB"/>
              </w:rPr>
              <w:t xml:space="preserve">is characterised by </w:t>
            </w:r>
            <w:r w:rsidRPr="00D14C15">
              <w:rPr>
                <w:rFonts w:eastAsia="Calibri"/>
                <w:lang w:val="en-GB"/>
              </w:rPr>
              <w:t xml:space="preserve">significant </w:t>
            </w:r>
            <w:r w:rsidR="00BF1CE8">
              <w:rPr>
                <w:rFonts w:eastAsia="Calibri"/>
                <w:lang w:val="en-GB"/>
              </w:rPr>
              <w:t xml:space="preserve">development </w:t>
            </w:r>
            <w:r w:rsidRPr="00D14C15">
              <w:rPr>
                <w:rFonts w:eastAsia="Calibri"/>
                <w:lang w:val="en-GB"/>
              </w:rPr>
              <w:t xml:space="preserve">disparities between and within the NUTS-3 regions, which increased again in 2020 due to the </w:t>
            </w:r>
            <w:r w:rsidR="00AD717F">
              <w:rPr>
                <w:rFonts w:eastAsia="Calibri"/>
                <w:lang w:val="en-GB"/>
              </w:rPr>
              <w:t>COVID</w:t>
            </w:r>
            <w:r w:rsidRPr="00D14C15">
              <w:rPr>
                <w:rFonts w:eastAsia="Calibri"/>
                <w:lang w:val="en-GB"/>
              </w:rPr>
              <w:t xml:space="preserve">-19 epidemic. </w:t>
            </w:r>
            <w:r w:rsidR="00BF1CE8">
              <w:rPr>
                <w:rFonts w:eastAsia="Calibri"/>
                <w:lang w:val="en-GB"/>
              </w:rPr>
              <w:t>T</w:t>
            </w:r>
            <w:r w:rsidR="00BF1CE8" w:rsidRPr="00D14C15">
              <w:rPr>
                <w:rFonts w:eastAsia="Calibri"/>
                <w:lang w:val="en-GB"/>
              </w:rPr>
              <w:t xml:space="preserve">he </w:t>
            </w:r>
            <w:r w:rsidR="00BF1CE8">
              <w:rPr>
                <w:rFonts w:eastAsia="Calibri"/>
                <w:lang w:val="en-GB"/>
              </w:rPr>
              <w:t xml:space="preserve">relevant </w:t>
            </w:r>
            <w:r w:rsidR="00BF1CE8" w:rsidRPr="00D14C15">
              <w:rPr>
                <w:rFonts w:eastAsia="Calibri"/>
                <w:lang w:val="en-GB"/>
              </w:rPr>
              <w:t xml:space="preserve">national contribution </w:t>
            </w:r>
            <w:r w:rsidR="00BF1CE8">
              <w:rPr>
                <w:rFonts w:eastAsia="Calibri"/>
                <w:lang w:val="en-GB"/>
              </w:rPr>
              <w:t xml:space="preserve">will be </w:t>
            </w:r>
            <w:r w:rsidR="00FC2A1C">
              <w:rPr>
                <w:rFonts w:eastAsia="Calibri"/>
                <w:lang w:val="en-GB"/>
              </w:rPr>
              <w:t>provided</w:t>
            </w:r>
            <w:r w:rsidR="00BF1CE8">
              <w:rPr>
                <w:rFonts w:eastAsia="Calibri"/>
                <w:lang w:val="en-GB"/>
              </w:rPr>
              <w:t xml:space="preserve"> in the frame of the </w:t>
            </w:r>
            <w:r w:rsidR="00C23207">
              <w:rPr>
                <w:rFonts w:eastAsia="Calibri"/>
                <w:lang w:val="en-GB"/>
              </w:rPr>
              <w:t>B</w:t>
            </w:r>
            <w:r w:rsidRPr="00D14C15">
              <w:rPr>
                <w:rFonts w:eastAsia="Calibri"/>
                <w:lang w:val="en-GB"/>
              </w:rPr>
              <w:t xml:space="preserve">udget of the Republic of Slovenia, which will </w:t>
            </w:r>
            <w:r w:rsidR="00FC2A1C">
              <w:rPr>
                <w:rFonts w:eastAsia="Calibri"/>
                <w:lang w:val="en-GB"/>
              </w:rPr>
              <w:t>ensure</w:t>
            </w:r>
            <w:r w:rsidRPr="00D14C15">
              <w:rPr>
                <w:rFonts w:eastAsia="Calibri"/>
                <w:lang w:val="en-GB"/>
              </w:rPr>
              <w:t xml:space="preserve"> </w:t>
            </w:r>
            <w:r w:rsidR="00FC2A1C">
              <w:rPr>
                <w:rFonts w:eastAsia="Calibri"/>
                <w:lang w:val="en-GB"/>
              </w:rPr>
              <w:t>p</w:t>
            </w:r>
            <w:r w:rsidRPr="00D14C15">
              <w:rPr>
                <w:rFonts w:eastAsia="Calibri"/>
                <w:lang w:val="en-GB"/>
              </w:rPr>
              <w:t>roper implementation of operations in both cohesion regions</w:t>
            </w:r>
            <w:r w:rsidRPr="00D14C15">
              <w:rPr>
                <w:rStyle w:val="Sprotnaopomba-sklic"/>
                <w:rFonts w:eastAsia="Calibri"/>
                <w:lang w:val="en-GB"/>
              </w:rPr>
              <w:footnoteReference w:id="2"/>
            </w:r>
            <w:r w:rsidRPr="00D14C15">
              <w:rPr>
                <w:rFonts w:eastAsia="Calibri"/>
                <w:lang w:val="en-GB"/>
              </w:rPr>
              <w:t xml:space="preserve">. Three territorial approaches will be </w:t>
            </w:r>
            <w:r w:rsidR="00C23207">
              <w:rPr>
                <w:rFonts w:eastAsia="Calibri"/>
                <w:lang w:val="en-GB"/>
              </w:rPr>
              <w:t xml:space="preserve">applied in </w:t>
            </w:r>
            <w:r w:rsidRPr="00D14C15">
              <w:rPr>
                <w:rFonts w:eastAsia="Calibri"/>
                <w:lang w:val="en-GB"/>
              </w:rPr>
              <w:lastRenderedPageBreak/>
              <w:t>promot</w:t>
            </w:r>
            <w:r w:rsidR="00C23207">
              <w:rPr>
                <w:rFonts w:eastAsia="Calibri"/>
                <w:lang w:val="en-GB"/>
              </w:rPr>
              <w:t>ing</w:t>
            </w:r>
            <w:r w:rsidRPr="00D14C15">
              <w:rPr>
                <w:rFonts w:eastAsia="Calibri"/>
                <w:lang w:val="en-GB"/>
              </w:rPr>
              <w:t xml:space="preserve"> the </w:t>
            </w:r>
            <w:r w:rsidR="00C23207" w:rsidRPr="007F4949">
              <w:rPr>
                <w:rFonts w:eastAsia="Calibri"/>
                <w:lang w:val="en-GB"/>
              </w:rPr>
              <w:t>cooperation</w:t>
            </w:r>
            <w:r w:rsidRPr="00D14C15">
              <w:rPr>
                <w:rFonts w:eastAsia="Calibri"/>
                <w:lang w:val="en-GB"/>
              </w:rPr>
              <w:t xml:space="preserve"> of urban and rural areas and </w:t>
            </w:r>
            <w:r w:rsidR="007F4949">
              <w:rPr>
                <w:rFonts w:eastAsia="Calibri"/>
                <w:lang w:val="en-GB"/>
              </w:rPr>
              <w:t xml:space="preserve">in </w:t>
            </w:r>
            <w:r w:rsidRPr="00D14C15">
              <w:rPr>
                <w:rFonts w:eastAsia="Calibri"/>
                <w:lang w:val="en-GB"/>
              </w:rPr>
              <w:t>reduc</w:t>
            </w:r>
            <w:r w:rsidR="00C23207">
              <w:rPr>
                <w:rFonts w:eastAsia="Calibri"/>
                <w:lang w:val="en-GB"/>
              </w:rPr>
              <w:t>ing</w:t>
            </w:r>
            <w:r w:rsidRPr="00D14C15">
              <w:rPr>
                <w:rFonts w:eastAsia="Calibri"/>
                <w:lang w:val="en-GB"/>
              </w:rPr>
              <w:t xml:space="preserve"> development disparities. Sustainable urban development will be supported by the Integrated Territor</w:t>
            </w:r>
            <w:r w:rsidR="00FC2A1C">
              <w:rPr>
                <w:rFonts w:eastAsia="Calibri"/>
                <w:lang w:val="en-GB"/>
              </w:rPr>
              <w:t>ial Investment (</w:t>
            </w:r>
            <w:r w:rsidR="00A82FD2">
              <w:rPr>
                <w:lang w:val="en-GB"/>
              </w:rPr>
              <w:t xml:space="preserve">hereinafter: </w:t>
            </w:r>
            <w:r w:rsidR="00FC2A1C" w:rsidRPr="000751CD">
              <w:rPr>
                <w:rFonts w:eastAsia="Calibri"/>
                <w:lang w:val="en-GB"/>
              </w:rPr>
              <w:t>ITI</w:t>
            </w:r>
            <w:r w:rsidR="00FC2A1C">
              <w:rPr>
                <w:rFonts w:eastAsia="Calibri"/>
                <w:lang w:val="en-GB"/>
              </w:rPr>
              <w:t>) approach within</w:t>
            </w:r>
            <w:r w:rsidRPr="00D14C15">
              <w:rPr>
                <w:rFonts w:eastAsia="Calibri"/>
                <w:lang w:val="en-GB"/>
              </w:rPr>
              <w:t xml:space="preserve"> three specific objectives (</w:t>
            </w:r>
            <w:r w:rsidR="00A82FD2">
              <w:rPr>
                <w:lang w:val="en-GB"/>
              </w:rPr>
              <w:t xml:space="preserve">hereinafter: </w:t>
            </w:r>
            <w:r w:rsidRPr="000751CD">
              <w:rPr>
                <w:rFonts w:eastAsia="Calibri"/>
                <w:lang w:val="en-GB"/>
              </w:rPr>
              <w:t>S</w:t>
            </w:r>
            <w:r w:rsidR="00C23207" w:rsidRPr="000751CD">
              <w:rPr>
                <w:rFonts w:eastAsia="Calibri"/>
                <w:lang w:val="en-GB"/>
              </w:rPr>
              <w:t>O</w:t>
            </w:r>
            <w:r w:rsidRPr="00D14C15">
              <w:rPr>
                <w:rFonts w:eastAsia="Calibri"/>
                <w:lang w:val="en-GB"/>
              </w:rPr>
              <w:t>) (</w:t>
            </w:r>
            <w:r w:rsidRPr="00C23207">
              <w:rPr>
                <w:rFonts w:eastAsia="Calibri"/>
                <w:lang w:val="en-GB"/>
              </w:rPr>
              <w:t>RSO</w:t>
            </w:r>
            <w:r w:rsidR="00FC2A1C">
              <w:rPr>
                <w:rFonts w:eastAsia="Calibri"/>
                <w:lang w:val="en-GB"/>
              </w:rPr>
              <w:t xml:space="preserve"> </w:t>
            </w:r>
            <w:r w:rsidRPr="00D14C15">
              <w:rPr>
                <w:rFonts w:eastAsia="Calibri"/>
                <w:lang w:val="en-GB"/>
              </w:rPr>
              <w:t>2.7, 2.8 and 5.1), communi</w:t>
            </w:r>
            <w:r w:rsidR="00FC2A1C">
              <w:rPr>
                <w:rFonts w:eastAsia="Calibri"/>
                <w:lang w:val="en-GB"/>
              </w:rPr>
              <w:t>ty-led local development (</w:t>
            </w:r>
            <w:r w:rsidR="00A82FD2">
              <w:rPr>
                <w:lang w:val="en-GB"/>
              </w:rPr>
              <w:t xml:space="preserve">hereinafter: </w:t>
            </w:r>
            <w:r w:rsidR="00FC2A1C" w:rsidRPr="00C23207">
              <w:rPr>
                <w:rFonts w:eastAsia="Calibri"/>
                <w:lang w:val="en-GB"/>
              </w:rPr>
              <w:t>CLLD</w:t>
            </w:r>
            <w:r w:rsidR="00FC2A1C">
              <w:rPr>
                <w:rFonts w:eastAsia="Calibri"/>
                <w:lang w:val="en-GB"/>
              </w:rPr>
              <w:t>) within</w:t>
            </w:r>
            <w:r w:rsidRPr="00D14C15">
              <w:rPr>
                <w:rFonts w:eastAsia="Calibri"/>
                <w:lang w:val="en-GB"/>
              </w:rPr>
              <w:t xml:space="preserve"> S</w:t>
            </w:r>
            <w:r w:rsidR="00FC2A1C">
              <w:rPr>
                <w:rFonts w:eastAsia="Calibri"/>
                <w:lang w:val="en-GB"/>
              </w:rPr>
              <w:t>O</w:t>
            </w:r>
            <w:r w:rsidRPr="00D14C15">
              <w:rPr>
                <w:rFonts w:eastAsia="Calibri"/>
                <w:lang w:val="en-GB"/>
              </w:rPr>
              <w:t xml:space="preserve"> RSO5.2, an</w:t>
            </w:r>
            <w:r w:rsidR="00FC2A1C">
              <w:rPr>
                <w:rFonts w:eastAsia="Calibri"/>
                <w:lang w:val="en-GB"/>
              </w:rPr>
              <w:t xml:space="preserve">d regional development through </w:t>
            </w:r>
            <w:r w:rsidR="00FC2A1C" w:rsidRPr="00D42568">
              <w:rPr>
                <w:rFonts w:eastAsia="Calibri"/>
                <w:lang w:val="en-GB"/>
              </w:rPr>
              <w:t xml:space="preserve">agreements on the </w:t>
            </w:r>
            <w:r w:rsidR="00D42568" w:rsidRPr="00D42568">
              <w:rPr>
                <w:rFonts w:eastAsia="Calibri"/>
                <w:lang w:val="en-GB"/>
              </w:rPr>
              <w:t>development</w:t>
            </w:r>
            <w:r w:rsidR="00FC2A1C" w:rsidRPr="00D42568">
              <w:rPr>
                <w:rFonts w:eastAsia="Calibri"/>
                <w:lang w:val="en-GB"/>
              </w:rPr>
              <w:t xml:space="preserve"> of regions</w:t>
            </w:r>
            <w:r w:rsidRPr="00D42568">
              <w:rPr>
                <w:rFonts w:eastAsia="Calibri"/>
                <w:lang w:val="en-GB"/>
              </w:rPr>
              <w:t xml:space="preserve"> </w:t>
            </w:r>
            <w:r w:rsidR="00FC2A1C" w:rsidRPr="00D42568">
              <w:rPr>
                <w:rFonts w:eastAsia="Calibri"/>
                <w:lang w:val="en-GB"/>
              </w:rPr>
              <w:t>(</w:t>
            </w:r>
            <w:r w:rsidR="00A82FD2">
              <w:rPr>
                <w:lang w:val="en-GB"/>
              </w:rPr>
              <w:t xml:space="preserve">hereinafter: </w:t>
            </w:r>
            <w:r w:rsidR="00FC2A1C" w:rsidRPr="00D42568">
              <w:rPr>
                <w:rFonts w:eastAsia="Calibri"/>
                <w:lang w:val="en-GB"/>
              </w:rPr>
              <w:t>DRR)</w:t>
            </w:r>
            <w:r w:rsidR="00FC2A1C">
              <w:rPr>
                <w:rFonts w:eastAsia="Calibri"/>
                <w:lang w:val="en-GB"/>
              </w:rPr>
              <w:t xml:space="preserve"> within</w:t>
            </w:r>
            <w:r w:rsidRPr="00D14C15">
              <w:rPr>
                <w:rFonts w:eastAsia="Calibri"/>
                <w:lang w:val="en-GB"/>
              </w:rPr>
              <w:t xml:space="preserve"> four S</w:t>
            </w:r>
            <w:r w:rsidR="00FC2A1C">
              <w:rPr>
                <w:rFonts w:eastAsia="Calibri"/>
                <w:lang w:val="en-GB"/>
              </w:rPr>
              <w:t>Os</w:t>
            </w:r>
            <w:r w:rsidRPr="00D14C15">
              <w:rPr>
                <w:rFonts w:eastAsia="Calibri"/>
                <w:lang w:val="en-GB"/>
              </w:rPr>
              <w:t xml:space="preserve"> (RSO1.3, 2.5, 2.7 and 3.2). </w:t>
            </w:r>
            <w:r w:rsidR="00C23207">
              <w:rPr>
                <w:rFonts w:eastAsia="Calibri"/>
                <w:lang w:val="en-GB"/>
              </w:rPr>
              <w:t>D</w:t>
            </w:r>
            <w:r w:rsidR="00C23207" w:rsidRPr="00D14C15">
              <w:rPr>
                <w:rFonts w:eastAsia="Calibri"/>
                <w:lang w:val="en-GB"/>
              </w:rPr>
              <w:t>ecision-makers and representatives of cities, LAGs and regions</w:t>
            </w:r>
            <w:r w:rsidR="00C23207">
              <w:rPr>
                <w:rFonts w:eastAsia="Calibri"/>
                <w:lang w:val="en-GB"/>
              </w:rPr>
              <w:t xml:space="preserve"> will participate in the</w:t>
            </w:r>
            <w:r w:rsidR="00C23207" w:rsidRPr="00D14C15">
              <w:rPr>
                <w:rFonts w:eastAsia="Calibri"/>
                <w:lang w:val="en-GB"/>
              </w:rPr>
              <w:t xml:space="preserve"> </w:t>
            </w:r>
            <w:r w:rsidR="00FC2A1C">
              <w:rPr>
                <w:rFonts w:eastAsia="Calibri"/>
                <w:lang w:val="en-GB"/>
              </w:rPr>
              <w:t>first phase of the selection procedure</w:t>
            </w:r>
            <w:r w:rsidRPr="00D14C15">
              <w:rPr>
                <w:rFonts w:eastAsia="Calibri"/>
                <w:lang w:val="en-GB"/>
              </w:rPr>
              <w:t xml:space="preserve">. </w:t>
            </w:r>
            <w:r w:rsidR="00D937C6">
              <w:rPr>
                <w:rFonts w:eastAsia="Calibri"/>
                <w:lang w:val="en-GB"/>
              </w:rPr>
              <w:t xml:space="preserve">A detailed explanation is </w:t>
            </w:r>
            <w:r w:rsidR="00C23207">
              <w:rPr>
                <w:rFonts w:eastAsia="Calibri"/>
                <w:lang w:val="en-GB"/>
              </w:rPr>
              <w:t>given</w:t>
            </w:r>
            <w:r w:rsidR="00D937C6">
              <w:rPr>
                <w:rFonts w:eastAsia="Calibri"/>
                <w:lang w:val="en-GB"/>
              </w:rPr>
              <w:t xml:space="preserve"> </w:t>
            </w:r>
            <w:r w:rsidR="00375CEF">
              <w:rPr>
                <w:rFonts w:eastAsia="Calibri"/>
                <w:lang w:val="en-GB"/>
              </w:rPr>
              <w:t>in C</w:t>
            </w:r>
            <w:r w:rsidRPr="00D14C15">
              <w:rPr>
                <w:rFonts w:eastAsia="Calibri"/>
                <w:lang w:val="en-GB"/>
              </w:rPr>
              <w:t>hapt</w:t>
            </w:r>
            <w:r w:rsidR="00D937C6">
              <w:rPr>
                <w:rFonts w:eastAsia="Calibri"/>
                <w:lang w:val="en-GB"/>
              </w:rPr>
              <w:t xml:space="preserve">er 1.1 and </w:t>
            </w:r>
            <w:r w:rsidR="00375CEF">
              <w:rPr>
                <w:rFonts w:eastAsia="Calibri"/>
                <w:lang w:val="en-GB"/>
              </w:rPr>
              <w:t xml:space="preserve">Chapter </w:t>
            </w:r>
            <w:r w:rsidR="00D937C6">
              <w:rPr>
                <w:rFonts w:eastAsia="Calibri"/>
                <w:lang w:val="en-GB"/>
              </w:rPr>
              <w:t>2 for individual SO</w:t>
            </w:r>
            <w:r w:rsidRPr="00D14C15">
              <w:rPr>
                <w:rFonts w:eastAsia="Calibri"/>
                <w:lang w:val="en-GB"/>
              </w:rPr>
              <w:t>.</w:t>
            </w:r>
          </w:p>
          <w:p w14:paraId="0BAB748B" w14:textId="77777777" w:rsidR="0076298E" w:rsidRPr="00D14C15" w:rsidRDefault="0076298E">
            <w:pPr>
              <w:jc w:val="both"/>
              <w:rPr>
                <w:rFonts w:eastAsia="Calibri"/>
                <w:lang w:val="en-GB"/>
              </w:rPr>
            </w:pPr>
          </w:p>
          <w:p w14:paraId="4BA2B650" w14:textId="77777777" w:rsidR="0076298E" w:rsidRPr="00D14C15" w:rsidRDefault="0032633A">
            <w:pPr>
              <w:jc w:val="both"/>
              <w:rPr>
                <w:lang w:val="en-GB"/>
              </w:rPr>
            </w:pPr>
            <w:r w:rsidRPr="00D14C15">
              <w:rPr>
                <w:lang w:val="en-GB"/>
              </w:rPr>
              <w:t xml:space="preserve">In the 2014-2020 period, </w:t>
            </w:r>
            <w:r w:rsidR="00C23207">
              <w:rPr>
                <w:lang w:val="en-GB"/>
              </w:rPr>
              <w:t xml:space="preserve">we have developed numerous </w:t>
            </w:r>
            <w:r w:rsidRPr="00D14C15">
              <w:rPr>
                <w:lang w:val="en-GB"/>
              </w:rPr>
              <w:t xml:space="preserve">good practices, </w:t>
            </w:r>
            <w:r w:rsidR="00D937C6">
              <w:rPr>
                <w:lang w:val="en-GB"/>
              </w:rPr>
              <w:t>in particular</w:t>
            </w:r>
            <w:r w:rsidRPr="00D14C15">
              <w:rPr>
                <w:lang w:val="en-GB"/>
              </w:rPr>
              <w:t xml:space="preserve"> </w:t>
            </w:r>
            <w:r w:rsidR="00C23207">
              <w:rPr>
                <w:lang w:val="en-GB"/>
              </w:rPr>
              <w:t xml:space="preserve">by establishing </w:t>
            </w:r>
            <w:r w:rsidRPr="00D14C15">
              <w:rPr>
                <w:lang w:val="en-GB"/>
              </w:rPr>
              <w:t xml:space="preserve">excellent cooperation of </w:t>
            </w:r>
            <w:r w:rsidR="00D937C6">
              <w:rPr>
                <w:lang w:val="en-GB"/>
              </w:rPr>
              <w:t>line ministries</w:t>
            </w:r>
            <w:r w:rsidRPr="00D14C15">
              <w:rPr>
                <w:lang w:val="en-GB"/>
              </w:rPr>
              <w:t xml:space="preserve"> in the planning of strategic documents </w:t>
            </w:r>
            <w:r w:rsidR="00C23207">
              <w:rPr>
                <w:lang w:val="en-GB"/>
              </w:rPr>
              <w:t xml:space="preserve">that served as the </w:t>
            </w:r>
            <w:r w:rsidRPr="00D14C15">
              <w:rPr>
                <w:lang w:val="en-GB"/>
              </w:rPr>
              <w:t>basis for develop</w:t>
            </w:r>
            <w:r w:rsidR="00D937C6">
              <w:rPr>
                <w:lang w:val="en-GB"/>
              </w:rPr>
              <w:t>ing programming documents (e.g.</w:t>
            </w:r>
            <w:r w:rsidRPr="00D14C15">
              <w:rPr>
                <w:lang w:val="en-GB"/>
              </w:rPr>
              <w:t xml:space="preserve"> Smart Specialisation Strategy 2030 (</w:t>
            </w:r>
            <w:r w:rsidR="00A82FD2">
              <w:rPr>
                <w:lang w:val="en-GB"/>
              </w:rPr>
              <w:t xml:space="preserve">hereinafter: </w:t>
            </w:r>
            <w:r w:rsidRPr="00D14C15">
              <w:rPr>
                <w:lang w:val="en-GB"/>
              </w:rPr>
              <w:t>S5)</w:t>
            </w:r>
            <w:r w:rsidR="00D937C6">
              <w:rPr>
                <w:lang w:val="en-GB"/>
              </w:rPr>
              <w:t>)</w:t>
            </w:r>
            <w:r w:rsidRPr="00D14C15">
              <w:rPr>
                <w:lang w:val="en-GB"/>
              </w:rPr>
              <w:t xml:space="preserve">. We have also translated </w:t>
            </w:r>
            <w:r w:rsidR="00D937C6">
              <w:rPr>
                <w:lang w:val="en-GB"/>
              </w:rPr>
              <w:t xml:space="preserve">the </w:t>
            </w:r>
            <w:r w:rsidRPr="00D14C15">
              <w:rPr>
                <w:lang w:val="en-GB"/>
              </w:rPr>
              <w:t xml:space="preserve">good cooperation from </w:t>
            </w:r>
            <w:r w:rsidR="00D937C6">
              <w:rPr>
                <w:lang w:val="en-GB"/>
              </w:rPr>
              <w:t xml:space="preserve">the </w:t>
            </w:r>
            <w:r w:rsidRPr="00D14C15">
              <w:rPr>
                <w:lang w:val="en-GB"/>
              </w:rPr>
              <w:t>2014-2020</w:t>
            </w:r>
            <w:r w:rsidR="00D937C6">
              <w:rPr>
                <w:lang w:val="en-GB"/>
              </w:rPr>
              <w:t xml:space="preserve"> period</w:t>
            </w:r>
            <w:r w:rsidRPr="00D14C15">
              <w:rPr>
                <w:lang w:val="en-GB"/>
              </w:rPr>
              <w:t xml:space="preserve"> into the programming of documents and </w:t>
            </w:r>
            <w:r w:rsidR="00D937C6">
              <w:rPr>
                <w:lang w:val="en-GB"/>
              </w:rPr>
              <w:t xml:space="preserve">measures for the </w:t>
            </w:r>
            <w:r w:rsidRPr="00D14C15">
              <w:rPr>
                <w:lang w:val="en-GB"/>
              </w:rPr>
              <w:t>2021-2027</w:t>
            </w:r>
            <w:r w:rsidR="00D937C6">
              <w:rPr>
                <w:lang w:val="en-GB"/>
              </w:rPr>
              <w:t xml:space="preserve"> period</w:t>
            </w:r>
            <w:r w:rsidRPr="00D14C15">
              <w:rPr>
                <w:lang w:val="en-GB"/>
              </w:rPr>
              <w:t>, which will f</w:t>
            </w:r>
            <w:r w:rsidR="00D937C6">
              <w:rPr>
                <w:lang w:val="en-GB"/>
              </w:rPr>
              <w:t xml:space="preserve">orm the basis for </w:t>
            </w:r>
            <w:r w:rsidR="00C23207">
              <w:rPr>
                <w:lang w:val="en-GB"/>
              </w:rPr>
              <w:t xml:space="preserve">the </w:t>
            </w:r>
            <w:r w:rsidR="00D937C6">
              <w:rPr>
                <w:lang w:val="en-GB"/>
              </w:rPr>
              <w:t xml:space="preserve">cooperation in </w:t>
            </w:r>
            <w:r w:rsidR="00375CEF">
              <w:rPr>
                <w:lang w:val="en-GB"/>
              </w:rPr>
              <w:t xml:space="preserve">their </w:t>
            </w:r>
            <w:r w:rsidRPr="00D14C15">
              <w:rPr>
                <w:lang w:val="en-GB"/>
              </w:rPr>
              <w:t>implementation</w:t>
            </w:r>
            <w:r w:rsidR="00D937C6">
              <w:rPr>
                <w:lang w:val="en-GB"/>
              </w:rPr>
              <w:t>. A</w:t>
            </w:r>
            <w:r w:rsidRPr="00D14C15">
              <w:rPr>
                <w:lang w:val="en-GB"/>
              </w:rPr>
              <w:t xml:space="preserve"> more concrete defin</w:t>
            </w:r>
            <w:r w:rsidR="00D937C6">
              <w:rPr>
                <w:lang w:val="en-GB"/>
              </w:rPr>
              <w:t xml:space="preserve">ition </w:t>
            </w:r>
            <w:r w:rsidR="00375CEF">
              <w:rPr>
                <w:lang w:val="en-GB"/>
              </w:rPr>
              <w:t xml:space="preserve">of </w:t>
            </w:r>
            <w:r w:rsidR="00D937C6">
              <w:rPr>
                <w:lang w:val="en-GB"/>
              </w:rPr>
              <w:t xml:space="preserve">the implementation </w:t>
            </w:r>
            <w:r w:rsidRPr="00D14C15">
              <w:rPr>
                <w:lang w:val="en-GB"/>
              </w:rPr>
              <w:t xml:space="preserve">at the level of </w:t>
            </w:r>
            <w:r w:rsidR="00375CEF">
              <w:rPr>
                <w:lang w:val="en-GB"/>
              </w:rPr>
              <w:t>measures in given in C</w:t>
            </w:r>
            <w:r w:rsidRPr="00D14C15">
              <w:rPr>
                <w:lang w:val="en-GB"/>
              </w:rPr>
              <w:t>hapter 2.</w:t>
            </w:r>
          </w:p>
          <w:p w14:paraId="3C38EF48" w14:textId="77777777" w:rsidR="0076298E" w:rsidRPr="00D14C15" w:rsidRDefault="0076298E">
            <w:pPr>
              <w:jc w:val="both"/>
              <w:rPr>
                <w:lang w:val="en-GB"/>
              </w:rPr>
            </w:pPr>
          </w:p>
          <w:p w14:paraId="6F407D49" w14:textId="77777777" w:rsidR="0076298E" w:rsidRPr="00D14C15" w:rsidRDefault="004D0898">
            <w:pPr>
              <w:jc w:val="both"/>
              <w:rPr>
                <w:lang w:val="en-GB"/>
              </w:rPr>
            </w:pPr>
            <w:r>
              <w:rPr>
                <w:lang w:val="en-GB"/>
              </w:rPr>
              <w:t>Slovenia’s k</w:t>
            </w:r>
            <w:r w:rsidR="0032633A" w:rsidRPr="00D14C15">
              <w:rPr>
                <w:lang w:val="en-GB"/>
              </w:rPr>
              <w:t xml:space="preserve">ey challenges and </w:t>
            </w:r>
            <w:r w:rsidR="0032633A" w:rsidRPr="00426A9E">
              <w:rPr>
                <w:lang w:val="en-GB"/>
              </w:rPr>
              <w:t xml:space="preserve">priority </w:t>
            </w:r>
            <w:r w:rsidRPr="00426A9E">
              <w:rPr>
                <w:lang w:val="en-GB"/>
              </w:rPr>
              <w:t>measures</w:t>
            </w:r>
            <w:r w:rsidR="0032633A" w:rsidRPr="00426A9E">
              <w:rPr>
                <w:lang w:val="en-GB"/>
              </w:rPr>
              <w:t>:</w:t>
            </w:r>
          </w:p>
          <w:p w14:paraId="18135B73" w14:textId="77777777" w:rsidR="0076298E" w:rsidRPr="00D14C15" w:rsidRDefault="0076298E">
            <w:pPr>
              <w:jc w:val="both"/>
              <w:rPr>
                <w:lang w:val="en-GB"/>
              </w:rPr>
            </w:pPr>
          </w:p>
          <w:p w14:paraId="39A7FD0E" w14:textId="77777777" w:rsidR="0076298E" w:rsidRPr="00D14C15" w:rsidRDefault="004D0898">
            <w:pPr>
              <w:pStyle w:val="P68B1DB1-Navaden2"/>
              <w:widowControl/>
              <w:numPr>
                <w:ilvl w:val="0"/>
                <w:numId w:val="14"/>
              </w:numPr>
              <w:autoSpaceDE/>
              <w:autoSpaceDN/>
              <w:contextualSpacing/>
              <w:jc w:val="both"/>
              <w:rPr>
                <w:lang w:val="en-GB"/>
              </w:rPr>
            </w:pPr>
            <w:r>
              <w:rPr>
                <w:lang w:val="en-GB"/>
              </w:rPr>
              <w:t>Fostering</w:t>
            </w:r>
            <w:r w:rsidR="0032633A" w:rsidRPr="00D14C15">
              <w:rPr>
                <w:lang w:val="en-GB"/>
              </w:rPr>
              <w:t xml:space="preserve"> productivity growth</w:t>
            </w:r>
          </w:p>
          <w:p w14:paraId="7CA3D75A" w14:textId="77777777" w:rsidR="0076298E" w:rsidRPr="00D14C15" w:rsidRDefault="0076298E">
            <w:pPr>
              <w:jc w:val="both"/>
              <w:rPr>
                <w:lang w:val="en-GB"/>
              </w:rPr>
            </w:pPr>
          </w:p>
          <w:p w14:paraId="34898CA9" w14:textId="77777777" w:rsidR="0076298E" w:rsidRPr="00D14C15" w:rsidRDefault="0032633A">
            <w:pPr>
              <w:jc w:val="both"/>
              <w:rPr>
                <w:lang w:val="en-GB"/>
              </w:rPr>
            </w:pPr>
            <w:r w:rsidRPr="00D14C15">
              <w:rPr>
                <w:b/>
                <w:lang w:val="en-GB"/>
              </w:rPr>
              <w:t>Productivity Report</w:t>
            </w:r>
            <w:r w:rsidRPr="00D14C15">
              <w:rPr>
                <w:lang w:val="en-GB"/>
              </w:rPr>
              <w:t xml:space="preserve"> </w:t>
            </w:r>
            <w:r w:rsidR="00B51D7A">
              <w:rPr>
                <w:b/>
                <w:lang w:val="en-GB"/>
              </w:rPr>
              <w:t>2021</w:t>
            </w:r>
            <w:r w:rsidRPr="00B51D7A">
              <w:rPr>
                <w:vertAlign w:val="superscript"/>
                <w:lang w:val="en-GB"/>
              </w:rPr>
              <w:footnoteReference w:id="3"/>
            </w:r>
            <w:r w:rsidRPr="00D14C15">
              <w:rPr>
                <w:lang w:val="en-GB"/>
              </w:rPr>
              <w:t xml:space="preserve"> underlines that the transition to a low-carbon circular economy is becoming an increasingly important factor in ensuring long-term productivity growth and resilience of the economy and society. </w:t>
            </w:r>
            <w:r w:rsidR="00E7373C">
              <w:rPr>
                <w:lang w:val="en-GB"/>
              </w:rPr>
              <w:t>T</w:t>
            </w:r>
            <w:r w:rsidR="00E7373C" w:rsidRPr="00D14C15">
              <w:rPr>
                <w:lang w:val="en-GB"/>
              </w:rPr>
              <w:t>he reformed S5</w:t>
            </w:r>
            <w:r w:rsidR="00E7373C">
              <w:rPr>
                <w:lang w:val="en-GB"/>
              </w:rPr>
              <w:t xml:space="preserve"> also takes this fact into account, namely</w:t>
            </w:r>
            <w:r w:rsidR="009D4311">
              <w:rPr>
                <w:lang w:val="en-GB"/>
              </w:rPr>
              <w:t xml:space="preserve"> in relation to</w:t>
            </w:r>
            <w:r w:rsidR="00E7373C">
              <w:rPr>
                <w:lang w:val="en-GB"/>
              </w:rPr>
              <w:t>: (i</w:t>
            </w:r>
            <w:r w:rsidRPr="00D14C15">
              <w:rPr>
                <w:lang w:val="en-GB"/>
              </w:rPr>
              <w:t>) the development of future human resources and skills, (ii) the role of public finances in promoting smart, digital</w:t>
            </w:r>
            <w:r w:rsidR="00E7373C">
              <w:rPr>
                <w:lang w:val="en-GB"/>
              </w:rPr>
              <w:t xml:space="preserve"> and </w:t>
            </w:r>
            <w:r w:rsidRPr="00D14C15">
              <w:rPr>
                <w:lang w:val="en-GB"/>
              </w:rPr>
              <w:t>innovation transformation, and (iii) a sustainable transformation towards a low-carbon and circular economy.</w:t>
            </w:r>
          </w:p>
          <w:p w14:paraId="1BE5F7B4" w14:textId="77777777" w:rsidR="0076298E" w:rsidRPr="00D14C15" w:rsidRDefault="0076298E">
            <w:pPr>
              <w:jc w:val="both"/>
              <w:rPr>
                <w:lang w:val="en-GB"/>
              </w:rPr>
            </w:pPr>
          </w:p>
          <w:p w14:paraId="605C72BB" w14:textId="77777777" w:rsidR="0076298E" w:rsidRPr="00D14C15" w:rsidRDefault="009D4311">
            <w:pPr>
              <w:jc w:val="both"/>
              <w:rPr>
                <w:lang w:val="en-GB"/>
              </w:rPr>
            </w:pPr>
            <w:r>
              <w:rPr>
                <w:lang w:val="en-GB"/>
              </w:rPr>
              <w:t>In the</w:t>
            </w:r>
            <w:r w:rsidR="0032633A" w:rsidRPr="00D14C15">
              <w:rPr>
                <w:lang w:val="en-GB"/>
              </w:rPr>
              <w:t xml:space="preserve"> period of economic growth </w:t>
            </w:r>
            <w:r w:rsidR="00E7373C">
              <w:rPr>
                <w:lang w:val="en-GB"/>
              </w:rPr>
              <w:t xml:space="preserve">between </w:t>
            </w:r>
            <w:r w:rsidR="0032633A" w:rsidRPr="00D14C15">
              <w:rPr>
                <w:lang w:val="en-GB"/>
              </w:rPr>
              <w:t>2014</w:t>
            </w:r>
            <w:r w:rsidR="00E7373C">
              <w:rPr>
                <w:lang w:val="en-GB"/>
              </w:rPr>
              <w:t xml:space="preserve"> and </w:t>
            </w:r>
            <w:r w:rsidR="0032633A" w:rsidRPr="00D14C15">
              <w:rPr>
                <w:lang w:val="en-GB"/>
              </w:rPr>
              <w:t xml:space="preserve">2019, Slovenia reduced </w:t>
            </w:r>
            <w:r w:rsidR="00E7373C">
              <w:rPr>
                <w:lang w:val="en-GB"/>
              </w:rPr>
              <w:t>its lagging behind</w:t>
            </w:r>
            <w:r w:rsidR="0032633A" w:rsidRPr="00D14C15">
              <w:rPr>
                <w:lang w:val="en-GB"/>
              </w:rPr>
              <w:t xml:space="preserve"> in economic development and reached 89% of the EU average in 2019. </w:t>
            </w:r>
            <w:r w:rsidR="00E7373C">
              <w:rPr>
                <w:lang w:val="en-GB"/>
              </w:rPr>
              <w:t xml:space="preserve">Not being able to catch up in terms of development </w:t>
            </w:r>
            <w:r>
              <w:rPr>
                <w:lang w:val="en-GB"/>
              </w:rPr>
              <w:t xml:space="preserve">resulted </w:t>
            </w:r>
            <w:r w:rsidR="0032633A" w:rsidRPr="00D14C15">
              <w:rPr>
                <w:lang w:val="en-GB"/>
              </w:rPr>
              <w:t xml:space="preserve">mainly </w:t>
            </w:r>
            <w:r>
              <w:rPr>
                <w:lang w:val="en-GB"/>
              </w:rPr>
              <w:t>from</w:t>
            </w:r>
            <w:r w:rsidR="00E7373C">
              <w:rPr>
                <w:lang w:val="en-GB"/>
              </w:rPr>
              <w:t xml:space="preserve"> poor productivity growth due to l</w:t>
            </w:r>
            <w:r w:rsidR="0032633A" w:rsidRPr="00D14C15">
              <w:rPr>
                <w:lang w:val="en-GB"/>
              </w:rPr>
              <w:t>ow investment, even during the period of econ</w:t>
            </w:r>
            <w:r w:rsidR="00A661DB">
              <w:rPr>
                <w:lang w:val="en-GB"/>
              </w:rPr>
              <w:t>omic expansion</w:t>
            </w:r>
            <w:r w:rsidR="00E10933">
              <w:rPr>
                <w:lang w:val="en-GB"/>
              </w:rPr>
              <w:t>. T</w:t>
            </w:r>
            <w:r w:rsidR="00A661DB">
              <w:rPr>
                <w:lang w:val="en-GB"/>
              </w:rPr>
              <w:t>he slow progress of</w:t>
            </w:r>
            <w:r w:rsidR="0032633A" w:rsidRPr="00D14C15">
              <w:rPr>
                <w:lang w:val="en-GB"/>
              </w:rPr>
              <w:t xml:space="preserve"> investing in various forms of intangible capital, which is a key factor in productivity growth in modern economies</w:t>
            </w:r>
            <w:r>
              <w:rPr>
                <w:lang w:val="en-GB"/>
              </w:rPr>
              <w:t>,</w:t>
            </w:r>
            <w:r w:rsidR="0032633A" w:rsidRPr="00D14C15">
              <w:rPr>
                <w:lang w:val="en-GB"/>
              </w:rPr>
              <w:t xml:space="preserve"> </w:t>
            </w:r>
            <w:r w:rsidR="00E10933">
              <w:rPr>
                <w:lang w:val="en-GB"/>
              </w:rPr>
              <w:t xml:space="preserve">was particularly </w:t>
            </w:r>
            <w:r>
              <w:rPr>
                <w:lang w:val="en-GB"/>
              </w:rPr>
              <w:t>pronounced</w:t>
            </w:r>
            <w:r w:rsidR="00E10933">
              <w:rPr>
                <w:lang w:val="en-GB"/>
              </w:rPr>
              <w:t xml:space="preserve">, </w:t>
            </w:r>
            <w:r w:rsidR="00A661DB">
              <w:rPr>
                <w:lang w:val="en-GB"/>
              </w:rPr>
              <w:t xml:space="preserve">with the </w:t>
            </w:r>
            <w:r w:rsidR="0032633A" w:rsidRPr="00D14C15">
              <w:rPr>
                <w:lang w:val="en-GB"/>
              </w:rPr>
              <w:t xml:space="preserve">epidemic </w:t>
            </w:r>
            <w:r w:rsidR="00A661DB">
              <w:rPr>
                <w:lang w:val="en-GB"/>
              </w:rPr>
              <w:t>f</w:t>
            </w:r>
            <w:r w:rsidR="0032633A" w:rsidRPr="00D14C15">
              <w:rPr>
                <w:lang w:val="en-GB"/>
              </w:rPr>
              <w:t>urther emphasis</w:t>
            </w:r>
            <w:r w:rsidR="00A661DB">
              <w:rPr>
                <w:lang w:val="en-GB"/>
              </w:rPr>
              <w:t>ing t</w:t>
            </w:r>
            <w:r w:rsidR="0032633A" w:rsidRPr="00D14C15">
              <w:rPr>
                <w:lang w:val="en-GB"/>
              </w:rPr>
              <w:t>he importance of such investments.</w:t>
            </w:r>
          </w:p>
          <w:p w14:paraId="55AA4E91" w14:textId="77777777" w:rsidR="0076298E" w:rsidRPr="00D14C15" w:rsidRDefault="0076298E">
            <w:pPr>
              <w:jc w:val="both"/>
              <w:rPr>
                <w:lang w:val="en-GB"/>
              </w:rPr>
            </w:pPr>
          </w:p>
          <w:p w14:paraId="0194FA54" w14:textId="77777777" w:rsidR="0076298E" w:rsidRPr="00D14C15" w:rsidRDefault="0032633A">
            <w:pPr>
              <w:pStyle w:val="P68B1DB1-Navaden1"/>
              <w:jc w:val="both"/>
              <w:rPr>
                <w:lang w:val="en-GB"/>
              </w:rPr>
            </w:pPr>
            <w:r w:rsidRPr="00D14C15">
              <w:rPr>
                <w:lang w:val="en-GB"/>
              </w:rPr>
              <w:t xml:space="preserve">In the context of this challenge, </w:t>
            </w:r>
            <w:r w:rsidR="00E10933">
              <w:rPr>
                <w:lang w:val="en-GB"/>
              </w:rPr>
              <w:t>Productivity Report</w:t>
            </w:r>
            <w:r w:rsidRPr="00D14C15">
              <w:rPr>
                <w:lang w:val="en-GB"/>
              </w:rPr>
              <w:t xml:space="preserve"> 2021 identifies </w:t>
            </w:r>
            <w:r w:rsidR="00E10933">
              <w:rPr>
                <w:lang w:val="en-GB"/>
              </w:rPr>
              <w:t xml:space="preserve">the following </w:t>
            </w:r>
            <w:r w:rsidRPr="00D14C15">
              <w:rPr>
                <w:lang w:val="en-GB"/>
              </w:rPr>
              <w:t xml:space="preserve">priority </w:t>
            </w:r>
            <w:r w:rsidR="00E10933">
              <w:rPr>
                <w:lang w:val="en-GB"/>
              </w:rPr>
              <w:t>measures</w:t>
            </w:r>
            <w:r w:rsidRPr="00D14C15">
              <w:rPr>
                <w:lang w:val="en-GB"/>
              </w:rPr>
              <w:t>:</w:t>
            </w:r>
          </w:p>
          <w:p w14:paraId="4B542056" w14:textId="77777777" w:rsidR="0076298E" w:rsidRPr="00D14C15" w:rsidRDefault="0076298E">
            <w:pPr>
              <w:jc w:val="both"/>
              <w:rPr>
                <w:rFonts w:eastAsia="Calibri"/>
                <w:lang w:val="en-GB"/>
              </w:rPr>
            </w:pPr>
          </w:p>
          <w:p w14:paraId="75696971" w14:textId="77777777" w:rsidR="0076298E" w:rsidRPr="00D14C15" w:rsidRDefault="0032633A">
            <w:pPr>
              <w:pStyle w:val="P68B1DB1-Navaden3"/>
              <w:widowControl/>
              <w:numPr>
                <w:ilvl w:val="0"/>
                <w:numId w:val="2"/>
              </w:numPr>
              <w:autoSpaceDE/>
              <w:autoSpaceDN/>
              <w:contextualSpacing/>
              <w:jc w:val="both"/>
              <w:rPr>
                <w:lang w:val="en-GB"/>
              </w:rPr>
            </w:pPr>
            <w:r w:rsidRPr="00D14C15">
              <w:rPr>
                <w:lang w:val="en-GB"/>
              </w:rPr>
              <w:t>increas</w:t>
            </w:r>
            <w:r w:rsidR="00E10933">
              <w:rPr>
                <w:lang w:val="en-GB"/>
              </w:rPr>
              <w:t>ing</w:t>
            </w:r>
            <w:r w:rsidRPr="00D14C15">
              <w:rPr>
                <w:lang w:val="en-GB"/>
              </w:rPr>
              <w:t xml:space="preserve"> government </w:t>
            </w:r>
            <w:r w:rsidR="00E10933">
              <w:rPr>
                <w:lang w:val="en-GB"/>
              </w:rPr>
              <w:t xml:space="preserve">sector </w:t>
            </w:r>
            <w:r w:rsidRPr="00D14C15">
              <w:rPr>
                <w:lang w:val="en-GB"/>
              </w:rPr>
              <w:t xml:space="preserve">investment </w:t>
            </w:r>
            <w:r w:rsidR="00E10933">
              <w:rPr>
                <w:lang w:val="en-GB"/>
              </w:rPr>
              <w:t>in</w:t>
            </w:r>
            <w:r w:rsidRPr="00D14C15">
              <w:rPr>
                <w:lang w:val="en-GB"/>
              </w:rPr>
              <w:t xml:space="preserve"> smart and sustainable transformation and ensur</w:t>
            </w:r>
            <w:r w:rsidR="00E10933">
              <w:rPr>
                <w:lang w:val="en-GB"/>
              </w:rPr>
              <w:t>ing</w:t>
            </w:r>
            <w:r w:rsidRPr="00D14C15">
              <w:rPr>
                <w:lang w:val="en-GB"/>
              </w:rPr>
              <w:t xml:space="preserve"> infrastructur</w:t>
            </w:r>
            <w:r w:rsidR="00E10933">
              <w:rPr>
                <w:lang w:val="en-GB"/>
              </w:rPr>
              <w:t>al</w:t>
            </w:r>
            <w:r w:rsidRPr="00D14C15">
              <w:rPr>
                <w:lang w:val="en-GB"/>
              </w:rPr>
              <w:t xml:space="preserve"> conditions</w:t>
            </w:r>
          </w:p>
          <w:p w14:paraId="67FF166D" w14:textId="77777777" w:rsidR="0076298E" w:rsidRPr="00D14C15" w:rsidRDefault="0076298E">
            <w:pPr>
              <w:jc w:val="both"/>
              <w:rPr>
                <w:rFonts w:eastAsia="Calibri"/>
                <w:lang w:val="en-GB"/>
              </w:rPr>
            </w:pPr>
          </w:p>
          <w:p w14:paraId="400C2F89" w14:textId="77777777" w:rsidR="0076298E" w:rsidRPr="00D14C15" w:rsidRDefault="00415A47">
            <w:pPr>
              <w:pStyle w:val="P68B1DB1-Navaden1"/>
              <w:jc w:val="both"/>
              <w:rPr>
                <w:lang w:val="en-GB"/>
              </w:rPr>
            </w:pPr>
            <w:r>
              <w:rPr>
                <w:lang w:val="en-GB"/>
              </w:rPr>
              <w:t xml:space="preserve">Government sector investment in </w:t>
            </w:r>
            <w:r w:rsidRPr="00D14C15">
              <w:rPr>
                <w:lang w:val="en-GB"/>
              </w:rPr>
              <w:t xml:space="preserve">digital and green transformation </w:t>
            </w:r>
            <w:r>
              <w:rPr>
                <w:lang w:val="en-GB"/>
              </w:rPr>
              <w:t>is essential</w:t>
            </w:r>
            <w:r w:rsidR="0032633A" w:rsidRPr="00D14C15">
              <w:rPr>
                <w:lang w:val="en-GB"/>
              </w:rPr>
              <w:t xml:space="preserve"> </w:t>
            </w:r>
            <w:r>
              <w:rPr>
                <w:lang w:val="en-GB"/>
              </w:rPr>
              <w:t xml:space="preserve">for </w:t>
            </w:r>
            <w:r w:rsidR="0032633A" w:rsidRPr="00D14C15">
              <w:rPr>
                <w:lang w:val="en-GB"/>
              </w:rPr>
              <w:t>productivity</w:t>
            </w:r>
            <w:r>
              <w:rPr>
                <w:lang w:val="en-GB"/>
              </w:rPr>
              <w:t xml:space="preserve"> growth. </w:t>
            </w:r>
            <w:r w:rsidR="0032633A" w:rsidRPr="00D14C15">
              <w:rPr>
                <w:lang w:val="en-GB"/>
              </w:rPr>
              <w:t xml:space="preserve">There is a need to strengthen the scientific research, innovation and digital ecosystem, </w:t>
            </w:r>
            <w:r>
              <w:rPr>
                <w:lang w:val="en-GB"/>
              </w:rPr>
              <w:t xml:space="preserve">which </w:t>
            </w:r>
            <w:r w:rsidR="0032633A" w:rsidRPr="00D14C15">
              <w:rPr>
                <w:lang w:val="en-GB"/>
              </w:rPr>
              <w:t xml:space="preserve">promote </w:t>
            </w:r>
            <w:r>
              <w:rPr>
                <w:lang w:val="en-GB"/>
              </w:rPr>
              <w:t>collaboration</w:t>
            </w:r>
            <w:r w:rsidR="0032633A" w:rsidRPr="00D14C15">
              <w:rPr>
                <w:lang w:val="en-GB"/>
              </w:rPr>
              <w:t xml:space="preserve"> and </w:t>
            </w:r>
            <w:r>
              <w:rPr>
                <w:lang w:val="en-GB"/>
              </w:rPr>
              <w:t xml:space="preserve">lead to </w:t>
            </w:r>
            <w:r w:rsidR="0032633A" w:rsidRPr="00D14C15">
              <w:rPr>
                <w:lang w:val="en-GB"/>
              </w:rPr>
              <w:t>joint investment, risk sharing and more intensive international cooperation</w:t>
            </w:r>
            <w:r>
              <w:rPr>
                <w:lang w:val="en-GB"/>
              </w:rPr>
              <w:t xml:space="preserve">, which in turn leads to </w:t>
            </w:r>
            <w:r w:rsidR="0032633A" w:rsidRPr="00D14C15">
              <w:rPr>
                <w:lang w:val="en-GB"/>
              </w:rPr>
              <w:t xml:space="preserve">breakthrough innovation and </w:t>
            </w:r>
            <w:r w:rsidR="00681901">
              <w:rPr>
                <w:lang w:val="en-GB"/>
              </w:rPr>
              <w:t>greater</w:t>
            </w:r>
            <w:r w:rsidR="0032633A" w:rsidRPr="00D14C15">
              <w:rPr>
                <w:lang w:val="en-GB"/>
              </w:rPr>
              <w:t xml:space="preserve"> productivity growth. </w:t>
            </w:r>
            <w:r>
              <w:rPr>
                <w:lang w:val="en-GB"/>
              </w:rPr>
              <w:t>The r</w:t>
            </w:r>
            <w:r w:rsidR="0032633A" w:rsidRPr="00D14C15">
              <w:rPr>
                <w:lang w:val="en-GB"/>
              </w:rPr>
              <w:t>eforms</w:t>
            </w:r>
            <w:r>
              <w:rPr>
                <w:lang w:val="en-GB"/>
              </w:rPr>
              <w:t xml:space="preserve"> identified in the Recovery and Resilience Plan will</w:t>
            </w:r>
            <w:r w:rsidR="0032633A" w:rsidRPr="00D14C15">
              <w:rPr>
                <w:lang w:val="en-GB"/>
              </w:rPr>
              <w:t xml:space="preserve"> also have an impact on increasing the efficiency of the ecosystem. There is a need to ensure (i) digital</w:t>
            </w:r>
            <w:r>
              <w:rPr>
                <w:lang w:val="en-GB"/>
              </w:rPr>
              <w:t xml:space="preserve"> infrastructure</w:t>
            </w:r>
            <w:r w:rsidR="0032633A" w:rsidRPr="00D14C15">
              <w:rPr>
                <w:lang w:val="en-GB"/>
              </w:rPr>
              <w:t xml:space="preserve"> (e.g. digital accessibility </w:t>
            </w:r>
            <w:r>
              <w:rPr>
                <w:lang w:val="en-GB"/>
              </w:rPr>
              <w:t>in</w:t>
            </w:r>
            <w:r w:rsidR="0032633A" w:rsidRPr="00D14C15">
              <w:rPr>
                <w:lang w:val="en-GB"/>
              </w:rPr>
              <w:t xml:space="preserve"> rural areas, ne</w:t>
            </w:r>
            <w:r>
              <w:rPr>
                <w:lang w:val="en-GB"/>
              </w:rPr>
              <w:t>xt</w:t>
            </w:r>
            <w:r w:rsidR="0032633A" w:rsidRPr="00D14C15">
              <w:rPr>
                <w:lang w:val="en-GB"/>
              </w:rPr>
              <w:t xml:space="preserve"> generation technologies), (ii) </w:t>
            </w:r>
            <w:r>
              <w:rPr>
                <w:lang w:val="en-GB"/>
              </w:rPr>
              <w:t xml:space="preserve">research and development </w:t>
            </w:r>
            <w:r>
              <w:rPr>
                <w:lang w:val="en-GB"/>
              </w:rPr>
              <w:lastRenderedPageBreak/>
              <w:t>infrastructure</w:t>
            </w:r>
            <w:r w:rsidR="0032633A" w:rsidRPr="00D14C15">
              <w:rPr>
                <w:lang w:val="en-GB"/>
              </w:rPr>
              <w:t xml:space="preserve"> and (iii) green</w:t>
            </w:r>
            <w:r w:rsidR="00DB215F">
              <w:rPr>
                <w:lang w:val="en-GB"/>
              </w:rPr>
              <w:t xml:space="preserve"> infrastructure</w:t>
            </w:r>
            <w:r w:rsidR="0032633A" w:rsidRPr="00D14C15">
              <w:rPr>
                <w:lang w:val="en-GB"/>
              </w:rPr>
              <w:t xml:space="preserve"> (e.g. measures to support renewable energy production, sustainable mobility, etc.), taking into account the principles of public procurement of innovative solutions, which has a strong medium-term impact on productivity. </w:t>
            </w:r>
          </w:p>
          <w:p w14:paraId="2E886FBD" w14:textId="77777777" w:rsidR="0076298E" w:rsidRPr="00D14C15" w:rsidRDefault="0076298E">
            <w:pPr>
              <w:jc w:val="both"/>
              <w:rPr>
                <w:rFonts w:eastAsia="Calibri"/>
                <w:lang w:val="en-GB"/>
              </w:rPr>
            </w:pPr>
          </w:p>
          <w:p w14:paraId="43337EC0" w14:textId="77777777" w:rsidR="0076298E" w:rsidRPr="00D14C15" w:rsidRDefault="00681901">
            <w:pPr>
              <w:jc w:val="both"/>
              <w:rPr>
                <w:rFonts w:eastAsia="Calibri"/>
                <w:lang w:val="en-GB"/>
              </w:rPr>
            </w:pPr>
            <w:r>
              <w:rPr>
                <w:rFonts w:eastAsia="Calibri"/>
                <w:lang w:val="en-GB"/>
              </w:rPr>
              <w:t>Di</w:t>
            </w:r>
            <w:r w:rsidR="0032633A" w:rsidRPr="00D14C15">
              <w:rPr>
                <w:rFonts w:eastAsia="Calibri"/>
                <w:lang w:val="en-GB"/>
              </w:rPr>
              <w:t>gital transformation and the transition to a digital society can significantly contribute to the achievement of al</w:t>
            </w:r>
            <w:r w:rsidR="00CE280E">
              <w:rPr>
                <w:rFonts w:eastAsia="Calibri"/>
                <w:lang w:val="en-GB"/>
              </w:rPr>
              <w:t>l the objectives set out in SD</w:t>
            </w:r>
            <w:r w:rsidR="00116C68">
              <w:rPr>
                <w:rFonts w:eastAsia="Calibri"/>
                <w:lang w:val="en-GB"/>
              </w:rPr>
              <w:t xml:space="preserve">S </w:t>
            </w:r>
            <w:r w:rsidR="0032633A" w:rsidRPr="00D14C15">
              <w:rPr>
                <w:rFonts w:eastAsia="Calibri"/>
                <w:lang w:val="en-GB"/>
              </w:rPr>
              <w:t>2030. According to the European Digital Economy and Society Index (</w:t>
            </w:r>
            <w:r w:rsidR="00A82FD2">
              <w:rPr>
                <w:lang w:val="en-GB"/>
              </w:rPr>
              <w:t xml:space="preserve">hereinafter: </w:t>
            </w:r>
            <w:r w:rsidR="0032633A" w:rsidRPr="00D14C15">
              <w:rPr>
                <w:rFonts w:eastAsia="Calibri"/>
                <w:lang w:val="en-GB"/>
              </w:rPr>
              <w:t>DESI), Slovenia has been above the EU average since 2016 (2021: 13</w:t>
            </w:r>
            <w:r w:rsidR="00116C68" w:rsidRPr="00116C68">
              <w:rPr>
                <w:rFonts w:eastAsia="Calibri"/>
                <w:vertAlign w:val="superscript"/>
                <w:lang w:val="en-GB"/>
              </w:rPr>
              <w:t>th</w:t>
            </w:r>
            <w:r w:rsidR="00116C68">
              <w:rPr>
                <w:rFonts w:eastAsia="Calibri"/>
                <w:lang w:val="en-GB"/>
              </w:rPr>
              <w:t xml:space="preserve"> </w:t>
            </w:r>
            <w:r w:rsidR="0032633A" w:rsidRPr="00D14C15">
              <w:rPr>
                <w:rFonts w:eastAsia="Calibri"/>
                <w:lang w:val="en-GB"/>
              </w:rPr>
              <w:t>place), with a trend</w:t>
            </w:r>
            <w:r w:rsidR="00116C68">
              <w:rPr>
                <w:rFonts w:eastAsia="Calibri"/>
                <w:lang w:val="en-GB"/>
              </w:rPr>
              <w:t xml:space="preserve"> of losing</w:t>
            </w:r>
            <w:r w:rsidR="0032633A" w:rsidRPr="00D14C15">
              <w:rPr>
                <w:rFonts w:eastAsia="Calibri"/>
                <w:lang w:val="en-GB"/>
              </w:rPr>
              <w:t xml:space="preserve"> competitivene</w:t>
            </w:r>
            <w:r>
              <w:rPr>
                <w:rFonts w:eastAsia="Calibri"/>
                <w:lang w:val="en-GB"/>
              </w:rPr>
              <w:t xml:space="preserve">ss in the field of connectivity, which is most pronounced </w:t>
            </w:r>
            <w:r w:rsidR="0032633A" w:rsidRPr="00D14C15">
              <w:rPr>
                <w:rFonts w:eastAsia="Calibri"/>
                <w:lang w:val="en-GB"/>
              </w:rPr>
              <w:t xml:space="preserve">in basic digital </w:t>
            </w:r>
            <w:r w:rsidR="00116C68">
              <w:rPr>
                <w:rFonts w:eastAsia="Calibri"/>
                <w:lang w:val="en-GB"/>
              </w:rPr>
              <w:t>skills</w:t>
            </w:r>
            <w:r w:rsidR="0032633A" w:rsidRPr="00D14C15">
              <w:rPr>
                <w:rFonts w:eastAsia="Calibri"/>
                <w:lang w:val="en-GB"/>
              </w:rPr>
              <w:t xml:space="preserve">. There is also a comparative decline in fixed broadband coverage, which is unfavourable for ensuring </w:t>
            </w:r>
            <w:r w:rsidR="00D22DD9">
              <w:rPr>
                <w:rFonts w:eastAsia="Calibri"/>
                <w:lang w:val="en-GB"/>
              </w:rPr>
              <w:t>high-</w:t>
            </w:r>
            <w:r w:rsidR="0032633A" w:rsidRPr="00D14C15">
              <w:rPr>
                <w:rFonts w:eastAsia="Calibri"/>
                <w:lang w:val="en-GB"/>
              </w:rPr>
              <w:t>quality digital accessibility for all, especially rural areas.</w:t>
            </w:r>
            <w:r w:rsidR="0032633A" w:rsidRPr="00D14C15">
              <w:rPr>
                <w:lang w:val="en-GB"/>
              </w:rPr>
              <w:t xml:space="preserve"> </w:t>
            </w:r>
          </w:p>
          <w:p w14:paraId="29926477" w14:textId="77777777" w:rsidR="0076298E" w:rsidRPr="00D14C15" w:rsidRDefault="0076298E">
            <w:pPr>
              <w:jc w:val="both"/>
              <w:rPr>
                <w:rFonts w:eastAsia="Calibri"/>
                <w:lang w:val="en-GB"/>
              </w:rPr>
            </w:pPr>
          </w:p>
          <w:p w14:paraId="70250577" w14:textId="77777777" w:rsidR="0076298E" w:rsidRPr="00D14C15" w:rsidRDefault="0032633A">
            <w:pPr>
              <w:jc w:val="both"/>
              <w:rPr>
                <w:lang w:val="en-GB"/>
              </w:rPr>
            </w:pPr>
            <w:r w:rsidRPr="00D14C15">
              <w:rPr>
                <w:lang w:val="en-GB"/>
              </w:rPr>
              <w:t>According to the European Innovation Index (</w:t>
            </w:r>
            <w:r w:rsidR="00A82FD2">
              <w:rPr>
                <w:lang w:val="en-GB"/>
              </w:rPr>
              <w:t xml:space="preserve">hereinafter: </w:t>
            </w:r>
            <w:r w:rsidRPr="00D14C15">
              <w:rPr>
                <w:lang w:val="en-GB"/>
              </w:rPr>
              <w:t xml:space="preserve">EII), Slovenia </w:t>
            </w:r>
            <w:r w:rsidR="00116C68">
              <w:rPr>
                <w:lang w:val="en-GB"/>
              </w:rPr>
              <w:t>has been classified</w:t>
            </w:r>
            <w:r w:rsidRPr="00D14C15">
              <w:rPr>
                <w:lang w:val="en-GB"/>
              </w:rPr>
              <w:t xml:space="preserve"> </w:t>
            </w:r>
            <w:r w:rsidR="00D22DD9">
              <w:rPr>
                <w:lang w:val="en-GB"/>
              </w:rPr>
              <w:t>as a</w:t>
            </w:r>
            <w:r w:rsidRPr="00D14C15">
              <w:rPr>
                <w:lang w:val="en-GB"/>
              </w:rPr>
              <w:t xml:space="preserve"> moderate innovators for </w:t>
            </w:r>
            <w:r w:rsidR="00116C68">
              <w:rPr>
                <w:lang w:val="en-GB"/>
              </w:rPr>
              <w:t>a</w:t>
            </w:r>
            <w:r w:rsidRPr="00D14C15">
              <w:rPr>
                <w:lang w:val="en-GB"/>
              </w:rPr>
              <w:t xml:space="preserve"> third </w:t>
            </w:r>
            <w:r w:rsidR="00116C68">
              <w:rPr>
                <w:lang w:val="en-GB"/>
              </w:rPr>
              <w:t>consecutive year</w:t>
            </w:r>
            <w:r w:rsidRPr="00D14C15">
              <w:rPr>
                <w:lang w:val="en-GB"/>
              </w:rPr>
              <w:t xml:space="preserve"> in 2021. </w:t>
            </w:r>
            <w:r w:rsidR="00CF28BB">
              <w:rPr>
                <w:lang w:val="en-GB"/>
              </w:rPr>
              <w:t>C</w:t>
            </w:r>
            <w:r w:rsidR="00CF28BB" w:rsidRPr="00D14C15">
              <w:rPr>
                <w:lang w:val="en-GB"/>
              </w:rPr>
              <w:t xml:space="preserve">ompared to the EU average </w:t>
            </w:r>
            <w:r w:rsidR="00CF28BB">
              <w:rPr>
                <w:lang w:val="en-GB"/>
              </w:rPr>
              <w:t xml:space="preserve">the </w:t>
            </w:r>
            <w:r w:rsidR="00CF28BB" w:rsidRPr="00D14C15">
              <w:rPr>
                <w:lang w:val="en-GB"/>
              </w:rPr>
              <w:t>EII</w:t>
            </w:r>
            <w:r w:rsidR="00CF28BB">
              <w:rPr>
                <w:lang w:val="en-GB"/>
              </w:rPr>
              <w:t xml:space="preserve"> component where Slovenia is lagging behind</w:t>
            </w:r>
            <w:r w:rsidR="003738EC">
              <w:rPr>
                <w:lang w:val="en-GB"/>
              </w:rPr>
              <w:t xml:space="preserve"> most</w:t>
            </w:r>
            <w:r w:rsidR="00CF28BB">
              <w:rPr>
                <w:lang w:val="en-GB"/>
              </w:rPr>
              <w:t xml:space="preserve">, is corporate investment. </w:t>
            </w:r>
            <w:r w:rsidRPr="00D14C15">
              <w:rPr>
                <w:lang w:val="en-GB"/>
              </w:rPr>
              <w:t xml:space="preserve">The already low level of funding and support for </w:t>
            </w:r>
            <w:r w:rsidR="00CF28BB">
              <w:rPr>
                <w:lang w:val="en-GB"/>
              </w:rPr>
              <w:t>venture</w:t>
            </w:r>
            <w:r w:rsidRPr="00D14C15">
              <w:rPr>
                <w:lang w:val="en-GB"/>
              </w:rPr>
              <w:t xml:space="preserve"> capital has </w:t>
            </w:r>
            <w:r w:rsidR="00CF28BB">
              <w:rPr>
                <w:lang w:val="en-GB"/>
              </w:rPr>
              <w:t>further</w:t>
            </w:r>
            <w:r w:rsidRPr="00D14C15">
              <w:rPr>
                <w:lang w:val="en-GB"/>
              </w:rPr>
              <w:t xml:space="preserve"> </w:t>
            </w:r>
            <w:r w:rsidR="00CF28BB">
              <w:rPr>
                <w:lang w:val="en-GB"/>
              </w:rPr>
              <w:t>decreased</w:t>
            </w:r>
            <w:r w:rsidRPr="00D14C15">
              <w:rPr>
                <w:lang w:val="en-GB"/>
              </w:rPr>
              <w:t xml:space="preserve">. </w:t>
            </w:r>
            <w:r w:rsidR="00D22DD9">
              <w:rPr>
                <w:lang w:val="en-GB"/>
              </w:rPr>
              <w:t>In i</w:t>
            </w:r>
            <w:r w:rsidRPr="00D14C15">
              <w:rPr>
                <w:lang w:val="en-GB"/>
              </w:rPr>
              <w:t>nvestment in RD</w:t>
            </w:r>
            <w:r w:rsidR="00CF28BB">
              <w:rPr>
                <w:lang w:val="en-GB"/>
              </w:rPr>
              <w:t>I</w:t>
            </w:r>
            <w:r w:rsidRPr="00D14C15">
              <w:rPr>
                <w:lang w:val="en-GB"/>
              </w:rPr>
              <w:t>, ICT and the total number of researchers</w:t>
            </w:r>
            <w:r w:rsidR="00D22DD9">
              <w:rPr>
                <w:lang w:val="en-GB"/>
              </w:rPr>
              <w:t>,</w:t>
            </w:r>
            <w:r w:rsidRPr="00D14C15">
              <w:rPr>
                <w:lang w:val="en-GB"/>
              </w:rPr>
              <w:t xml:space="preserve"> </w:t>
            </w:r>
            <w:r w:rsidR="00D22DD9">
              <w:rPr>
                <w:lang w:val="en-GB"/>
              </w:rPr>
              <w:t xml:space="preserve">Slovenia </w:t>
            </w:r>
            <w:r w:rsidRPr="00D14C15">
              <w:rPr>
                <w:lang w:val="en-GB"/>
              </w:rPr>
              <w:t xml:space="preserve">lags far behind the </w:t>
            </w:r>
            <w:r w:rsidR="00D22DD9">
              <w:rPr>
                <w:lang w:val="en-GB"/>
              </w:rPr>
              <w:t>most successful countries</w:t>
            </w:r>
            <w:r w:rsidRPr="00D14C15">
              <w:rPr>
                <w:lang w:val="en-GB"/>
              </w:rPr>
              <w:t>. We need to strengthen the research capacity of the public sector and invest in human resources to boost the innovation activity of the economy. The innovation activity of small and medium-sized enterprises (</w:t>
            </w:r>
            <w:r w:rsidR="00A82FD2">
              <w:rPr>
                <w:lang w:val="en-GB"/>
              </w:rPr>
              <w:t xml:space="preserve">hereinafter: </w:t>
            </w:r>
            <w:r w:rsidRPr="00D14C15">
              <w:rPr>
                <w:lang w:val="en-GB"/>
              </w:rPr>
              <w:t xml:space="preserve">SMEs) remains below the EU average. </w:t>
            </w:r>
          </w:p>
          <w:p w14:paraId="574F9712" w14:textId="77777777" w:rsidR="0076298E" w:rsidRPr="00D14C15" w:rsidRDefault="0076298E">
            <w:pPr>
              <w:jc w:val="both"/>
              <w:rPr>
                <w:rFonts w:eastAsia="Calibri"/>
                <w:lang w:val="en-GB"/>
              </w:rPr>
            </w:pPr>
          </w:p>
          <w:p w14:paraId="23637CA9" w14:textId="77777777" w:rsidR="0076298E" w:rsidRPr="00D14C15" w:rsidRDefault="00D22DD9">
            <w:pPr>
              <w:pStyle w:val="P68B1DB1-Navaden3"/>
              <w:widowControl/>
              <w:numPr>
                <w:ilvl w:val="0"/>
                <w:numId w:val="2"/>
              </w:numPr>
              <w:autoSpaceDE/>
              <w:autoSpaceDN/>
              <w:contextualSpacing/>
              <w:jc w:val="both"/>
              <w:rPr>
                <w:lang w:val="en-GB"/>
              </w:rPr>
            </w:pPr>
            <w:r>
              <w:rPr>
                <w:lang w:val="en-GB"/>
              </w:rPr>
              <w:t>i</w:t>
            </w:r>
            <w:r w:rsidR="0032633A" w:rsidRPr="00D14C15">
              <w:rPr>
                <w:lang w:val="en-GB"/>
              </w:rPr>
              <w:t xml:space="preserve">mproving the business and innovation environment and </w:t>
            </w:r>
            <w:r w:rsidR="00DB506D">
              <w:rPr>
                <w:lang w:val="en-GB"/>
              </w:rPr>
              <w:t>encouraging</w:t>
            </w:r>
            <w:r w:rsidR="0032633A" w:rsidRPr="00D14C15">
              <w:rPr>
                <w:lang w:val="en-GB"/>
              </w:rPr>
              <w:t xml:space="preserve"> the business sector to invest in digital, inno</w:t>
            </w:r>
            <w:r>
              <w:rPr>
                <w:lang w:val="en-GB"/>
              </w:rPr>
              <w:t>vation and green transformation</w:t>
            </w:r>
          </w:p>
          <w:p w14:paraId="3AB2212F" w14:textId="77777777" w:rsidR="0076298E" w:rsidRPr="00D14C15" w:rsidRDefault="0076298E">
            <w:pPr>
              <w:jc w:val="both"/>
              <w:rPr>
                <w:rFonts w:eastAsia="Calibri"/>
                <w:lang w:val="en-GB"/>
              </w:rPr>
            </w:pPr>
          </w:p>
          <w:p w14:paraId="5EAFCDFB" w14:textId="77777777" w:rsidR="0076298E" w:rsidRPr="00D14C15" w:rsidRDefault="0032633A">
            <w:pPr>
              <w:jc w:val="both"/>
              <w:rPr>
                <w:rFonts w:eastAsia="Calibri"/>
                <w:lang w:val="en-GB"/>
              </w:rPr>
            </w:pPr>
            <w:r w:rsidRPr="00D14C15">
              <w:rPr>
                <w:rFonts w:eastAsia="Calibri"/>
                <w:lang w:val="en-GB"/>
              </w:rPr>
              <w:t xml:space="preserve">Productivity is </w:t>
            </w:r>
            <w:r w:rsidR="00DB506D">
              <w:rPr>
                <w:rFonts w:eastAsia="Calibri"/>
                <w:lang w:val="en-GB"/>
              </w:rPr>
              <w:t>the</w:t>
            </w:r>
            <w:r w:rsidRPr="00D14C15">
              <w:rPr>
                <w:rFonts w:eastAsia="Calibri"/>
                <w:lang w:val="en-GB"/>
              </w:rPr>
              <w:t xml:space="preserve"> driving force </w:t>
            </w:r>
            <w:r w:rsidR="00D22DD9">
              <w:rPr>
                <w:rFonts w:eastAsia="Calibri"/>
                <w:lang w:val="en-GB"/>
              </w:rPr>
              <w:t>of</w:t>
            </w:r>
            <w:r w:rsidRPr="00D14C15">
              <w:rPr>
                <w:rFonts w:eastAsia="Calibri"/>
                <w:lang w:val="en-GB"/>
              </w:rPr>
              <w:t xml:space="preserve"> a thriving economy and higher economic develop</w:t>
            </w:r>
            <w:r w:rsidR="003738EC">
              <w:rPr>
                <w:rFonts w:eastAsia="Calibri"/>
                <w:lang w:val="en-GB"/>
              </w:rPr>
              <w:t xml:space="preserve">ment, with the key objective of ensuring </w:t>
            </w:r>
            <w:r w:rsidRPr="00D14C15">
              <w:rPr>
                <w:rFonts w:eastAsia="Calibri"/>
                <w:lang w:val="en-GB"/>
              </w:rPr>
              <w:t>welfare</w:t>
            </w:r>
            <w:r w:rsidR="003738EC">
              <w:rPr>
                <w:rFonts w:eastAsia="Calibri"/>
                <w:lang w:val="en-GB"/>
              </w:rPr>
              <w:t xml:space="preserve"> of the population</w:t>
            </w:r>
            <w:r w:rsidRPr="00D14C15">
              <w:rPr>
                <w:rFonts w:eastAsia="Calibri"/>
                <w:lang w:val="en-GB"/>
              </w:rPr>
              <w:t xml:space="preserve">. In this context, the transition to a low-carbon circular economy is an increasingly important factor, also due to the </w:t>
            </w:r>
            <w:r w:rsidR="00D22DD9">
              <w:rPr>
                <w:rFonts w:eastAsia="Calibri"/>
                <w:lang w:val="en-GB"/>
              </w:rPr>
              <w:t xml:space="preserve">rising prices of </w:t>
            </w:r>
            <w:r w:rsidRPr="00D14C15">
              <w:rPr>
                <w:rFonts w:eastAsia="Calibri"/>
                <w:lang w:val="en-GB"/>
              </w:rPr>
              <w:t xml:space="preserve">energy and raw materials. </w:t>
            </w:r>
            <w:r w:rsidR="00D22DD9">
              <w:rPr>
                <w:rFonts w:eastAsia="Calibri"/>
                <w:lang w:val="en-GB"/>
              </w:rPr>
              <w:t>Slovenia should thus introduce</w:t>
            </w:r>
            <w:r w:rsidRPr="00D14C15">
              <w:rPr>
                <w:lang w:val="en-GB"/>
              </w:rPr>
              <w:t xml:space="preserve"> more radical </w:t>
            </w:r>
            <w:r w:rsidR="00A90261">
              <w:rPr>
                <w:lang w:val="en-GB"/>
              </w:rPr>
              <w:t>systematic</w:t>
            </w:r>
            <w:r w:rsidRPr="00D14C15">
              <w:rPr>
                <w:lang w:val="en-GB"/>
              </w:rPr>
              <w:t xml:space="preserve"> </w:t>
            </w:r>
            <w:r w:rsidR="00D22DD9">
              <w:rPr>
                <w:lang w:val="en-GB"/>
              </w:rPr>
              <w:t>changes,</w:t>
            </w:r>
            <w:r w:rsidRPr="00D14C15">
              <w:rPr>
                <w:lang w:val="en-GB"/>
              </w:rPr>
              <w:t xml:space="preserve"> </w:t>
            </w:r>
            <w:r w:rsidR="00D22DD9">
              <w:rPr>
                <w:lang w:val="en-GB"/>
              </w:rPr>
              <w:t xml:space="preserve">which are </w:t>
            </w:r>
            <w:r w:rsidRPr="00D14C15">
              <w:rPr>
                <w:lang w:val="en-GB"/>
              </w:rPr>
              <w:t xml:space="preserve">based on new </w:t>
            </w:r>
            <w:r w:rsidR="00A90261">
              <w:rPr>
                <w:lang w:val="en-GB"/>
              </w:rPr>
              <w:t>skills</w:t>
            </w:r>
            <w:r w:rsidRPr="00D14C15">
              <w:rPr>
                <w:lang w:val="en-GB"/>
              </w:rPr>
              <w:t>, innovation and investment in clean technologies.</w:t>
            </w:r>
            <w:r w:rsidRPr="00A90261">
              <w:rPr>
                <w:vertAlign w:val="superscript"/>
                <w:lang w:val="en-GB"/>
              </w:rPr>
              <w:footnoteReference w:id="4"/>
            </w:r>
          </w:p>
          <w:p w14:paraId="197E0215" w14:textId="77777777" w:rsidR="0076298E" w:rsidRPr="00D14C15" w:rsidRDefault="0076298E">
            <w:pPr>
              <w:jc w:val="both"/>
              <w:rPr>
                <w:rFonts w:eastAsia="Calibri"/>
                <w:lang w:val="en-GB"/>
              </w:rPr>
            </w:pPr>
          </w:p>
          <w:p w14:paraId="1222A8B0" w14:textId="77777777" w:rsidR="0076298E" w:rsidRPr="00D14C15" w:rsidRDefault="0032633A">
            <w:pPr>
              <w:pStyle w:val="P68B1DB1-Navaden1"/>
              <w:jc w:val="both"/>
              <w:rPr>
                <w:lang w:val="en-GB"/>
              </w:rPr>
            </w:pPr>
            <w:r w:rsidRPr="00D14C15">
              <w:rPr>
                <w:lang w:val="en-GB"/>
              </w:rPr>
              <w:t>Industry is increasingly shifting from labour-intensive and low-tech</w:t>
            </w:r>
            <w:r w:rsidR="00E96C97">
              <w:rPr>
                <w:lang w:val="en-GB"/>
              </w:rPr>
              <w:t>nology products to high-</w:t>
            </w:r>
            <w:r w:rsidRPr="00D14C15">
              <w:rPr>
                <w:lang w:val="en-GB"/>
              </w:rPr>
              <w:t>technolog</w:t>
            </w:r>
            <w:r w:rsidR="00E96C97">
              <w:rPr>
                <w:lang w:val="en-GB"/>
              </w:rPr>
              <w:t>y</w:t>
            </w:r>
            <w:r w:rsidRPr="00D14C15">
              <w:rPr>
                <w:lang w:val="en-GB"/>
              </w:rPr>
              <w:t xml:space="preserve"> products</w:t>
            </w:r>
            <w:r w:rsidR="00E96C97">
              <w:rPr>
                <w:lang w:val="en-GB"/>
              </w:rPr>
              <w:t xml:space="preserve">, which is </w:t>
            </w:r>
            <w:r w:rsidR="00D22DD9">
              <w:rPr>
                <w:lang w:val="en-GB"/>
              </w:rPr>
              <w:t>demonstrated</w:t>
            </w:r>
            <w:r w:rsidR="00E96C97">
              <w:rPr>
                <w:lang w:val="en-GB"/>
              </w:rPr>
              <w:t xml:space="preserve"> </w:t>
            </w:r>
            <w:r w:rsidR="00D22DD9">
              <w:rPr>
                <w:lang w:val="en-GB"/>
              </w:rPr>
              <w:t>in the</w:t>
            </w:r>
            <w:r w:rsidRPr="00D14C15">
              <w:rPr>
                <w:lang w:val="en-GB"/>
              </w:rPr>
              <w:t xml:space="preserve"> </w:t>
            </w:r>
            <w:r w:rsidR="00E96C97">
              <w:rPr>
                <w:lang w:val="en-GB"/>
              </w:rPr>
              <w:t>increasing</w:t>
            </w:r>
            <w:r w:rsidRPr="00D14C15">
              <w:rPr>
                <w:lang w:val="en-GB"/>
              </w:rPr>
              <w:t xml:space="preserve"> market share </w:t>
            </w:r>
            <w:r w:rsidR="00D22DD9">
              <w:rPr>
                <w:lang w:val="en-GB"/>
              </w:rPr>
              <w:t>of high-</w:t>
            </w:r>
            <w:r w:rsidR="00D22DD9" w:rsidRPr="00D14C15">
              <w:rPr>
                <w:lang w:val="en-GB"/>
              </w:rPr>
              <w:t>technolog</w:t>
            </w:r>
            <w:r w:rsidR="00D22DD9">
              <w:rPr>
                <w:lang w:val="en-GB"/>
              </w:rPr>
              <w:t>y</w:t>
            </w:r>
            <w:r w:rsidR="00D22DD9" w:rsidRPr="00D14C15">
              <w:rPr>
                <w:lang w:val="en-GB"/>
              </w:rPr>
              <w:t xml:space="preserve"> products </w:t>
            </w:r>
            <w:r w:rsidRPr="00D14C15">
              <w:rPr>
                <w:lang w:val="en-GB"/>
              </w:rPr>
              <w:t xml:space="preserve">and </w:t>
            </w:r>
            <w:r w:rsidR="00E96C97">
              <w:rPr>
                <w:lang w:val="en-GB"/>
              </w:rPr>
              <w:t xml:space="preserve">a </w:t>
            </w:r>
            <w:r w:rsidRPr="00D14C15">
              <w:rPr>
                <w:lang w:val="en-GB"/>
              </w:rPr>
              <w:t xml:space="preserve">comparatively favourable </w:t>
            </w:r>
            <w:r w:rsidR="00E96C97">
              <w:rPr>
                <w:lang w:val="en-GB"/>
              </w:rPr>
              <w:t>development of</w:t>
            </w:r>
            <w:r w:rsidR="00E96C97" w:rsidRPr="00D14C15">
              <w:rPr>
                <w:lang w:val="en-GB"/>
              </w:rPr>
              <w:t xml:space="preserve"> </w:t>
            </w:r>
            <w:r w:rsidRPr="00D14C15">
              <w:rPr>
                <w:lang w:val="en-GB"/>
              </w:rPr>
              <w:t xml:space="preserve">productivity. </w:t>
            </w:r>
            <w:r w:rsidR="00E96C97">
              <w:rPr>
                <w:lang w:val="en-GB"/>
              </w:rPr>
              <w:t xml:space="preserve">Slovenia </w:t>
            </w:r>
            <w:r w:rsidR="00B17138">
              <w:rPr>
                <w:lang w:val="en-GB"/>
              </w:rPr>
              <w:t>is</w:t>
            </w:r>
            <w:r w:rsidR="00E96C97">
              <w:rPr>
                <w:lang w:val="en-GB"/>
              </w:rPr>
              <w:t xml:space="preserve"> l</w:t>
            </w:r>
            <w:r w:rsidR="00B17138">
              <w:rPr>
                <w:lang w:val="en-GB"/>
              </w:rPr>
              <w:t>ess</w:t>
            </w:r>
            <w:r w:rsidR="00E96C97">
              <w:rPr>
                <w:lang w:val="en-GB"/>
              </w:rPr>
              <w:t xml:space="preserve"> </w:t>
            </w:r>
            <w:r w:rsidRPr="00D14C15">
              <w:rPr>
                <w:lang w:val="en-GB"/>
              </w:rPr>
              <w:t>competitive in knowledge-based services, including ICT.</w:t>
            </w:r>
          </w:p>
          <w:p w14:paraId="56AE1F3C" w14:textId="77777777" w:rsidR="0076298E" w:rsidRPr="00D14C15" w:rsidRDefault="0076298E">
            <w:pPr>
              <w:jc w:val="both"/>
              <w:rPr>
                <w:rFonts w:eastAsia="Calibri"/>
                <w:lang w:val="en-GB"/>
              </w:rPr>
            </w:pPr>
          </w:p>
          <w:p w14:paraId="70F11C95" w14:textId="77777777" w:rsidR="0076298E" w:rsidRPr="00D14C15" w:rsidRDefault="0032633A">
            <w:pPr>
              <w:pStyle w:val="P68B1DB1-Navaden1"/>
              <w:jc w:val="both"/>
              <w:rPr>
                <w:lang w:val="en-GB"/>
              </w:rPr>
            </w:pPr>
            <w:r w:rsidRPr="00D14C15">
              <w:rPr>
                <w:lang w:val="en-GB"/>
              </w:rPr>
              <w:t xml:space="preserve">Slovenia </w:t>
            </w:r>
            <w:r w:rsidR="001F0410">
              <w:rPr>
                <w:lang w:val="en-GB"/>
              </w:rPr>
              <w:t>should encourage investing</w:t>
            </w:r>
            <w:r w:rsidRPr="00D14C15">
              <w:rPr>
                <w:lang w:val="en-GB"/>
              </w:rPr>
              <w:t xml:space="preserve"> in key enabling factors for the digital and innovation transformation of </w:t>
            </w:r>
            <w:r w:rsidR="001F0410">
              <w:rPr>
                <w:lang w:val="en-GB"/>
              </w:rPr>
              <w:t>the business sector</w:t>
            </w:r>
            <w:r w:rsidRPr="00D14C15">
              <w:rPr>
                <w:lang w:val="en-GB"/>
              </w:rPr>
              <w:t xml:space="preserve">, from data and analytics, systems and technologies, </w:t>
            </w:r>
            <w:r w:rsidR="001F0410">
              <w:rPr>
                <w:lang w:val="en-GB"/>
              </w:rPr>
              <w:t xml:space="preserve">to </w:t>
            </w:r>
            <w:r w:rsidRPr="00D14C15">
              <w:rPr>
                <w:lang w:val="en-GB"/>
              </w:rPr>
              <w:t xml:space="preserve">talent and organisational capital, which are key </w:t>
            </w:r>
            <w:r w:rsidR="00B17138">
              <w:rPr>
                <w:lang w:val="en-GB"/>
              </w:rPr>
              <w:t>for</w:t>
            </w:r>
            <w:r w:rsidRPr="00D14C15">
              <w:rPr>
                <w:lang w:val="en-GB"/>
              </w:rPr>
              <w:t xml:space="preserve"> advanced, smart, data-driven companies, </w:t>
            </w:r>
            <w:r w:rsidR="001F0410">
              <w:rPr>
                <w:lang w:val="en-GB"/>
              </w:rPr>
              <w:t xml:space="preserve">an area which is particularly challenging for </w:t>
            </w:r>
            <w:r w:rsidRPr="00D14C15">
              <w:rPr>
                <w:lang w:val="en-GB"/>
              </w:rPr>
              <w:t>SMEs</w:t>
            </w:r>
            <w:r w:rsidR="001F0410">
              <w:rPr>
                <w:lang w:val="en-GB"/>
              </w:rPr>
              <w:t xml:space="preserve">. </w:t>
            </w:r>
            <w:r w:rsidRPr="00D14C15">
              <w:rPr>
                <w:lang w:val="en-GB"/>
              </w:rPr>
              <w:t xml:space="preserve">As the transition to the fourth industrial revolution </w:t>
            </w:r>
            <w:r w:rsidR="001F0410">
              <w:rPr>
                <w:lang w:val="en-GB"/>
              </w:rPr>
              <w:t xml:space="preserve">is </w:t>
            </w:r>
            <w:r w:rsidRPr="00D14C15">
              <w:rPr>
                <w:lang w:val="en-GB"/>
              </w:rPr>
              <w:t>chang</w:t>
            </w:r>
            <w:r w:rsidR="001F0410">
              <w:rPr>
                <w:lang w:val="en-GB"/>
              </w:rPr>
              <w:t>ing</w:t>
            </w:r>
            <w:r w:rsidRPr="00D14C15">
              <w:rPr>
                <w:lang w:val="en-GB"/>
              </w:rPr>
              <w:t xml:space="preserve"> the nature of</w:t>
            </w:r>
            <w:r w:rsidR="001F0410">
              <w:rPr>
                <w:lang w:val="en-GB"/>
              </w:rPr>
              <w:t xml:space="preserve"> the</w:t>
            </w:r>
            <w:r w:rsidRPr="00D14C15">
              <w:rPr>
                <w:lang w:val="en-GB"/>
              </w:rPr>
              <w:t xml:space="preserve"> innovation</w:t>
            </w:r>
            <w:r w:rsidR="001F0410">
              <w:rPr>
                <w:lang w:val="en-GB"/>
              </w:rPr>
              <w:t xml:space="preserve"> process</w:t>
            </w:r>
            <w:r w:rsidRPr="00D14C15">
              <w:rPr>
                <w:lang w:val="en-GB"/>
              </w:rPr>
              <w:t xml:space="preserve">, we need to accelerate the introduction of new business models, breakthrough and disruptive innovations and </w:t>
            </w:r>
            <w:r w:rsidR="001F0410">
              <w:rPr>
                <w:lang w:val="en-GB"/>
              </w:rPr>
              <w:t>upgraded</w:t>
            </w:r>
            <w:r w:rsidRPr="00D14C15">
              <w:rPr>
                <w:lang w:val="en-GB"/>
              </w:rPr>
              <w:t xml:space="preserve"> business processes and organisation, including domestic and international </w:t>
            </w:r>
            <w:r w:rsidR="001F0410">
              <w:rPr>
                <w:lang w:val="en-GB"/>
              </w:rPr>
              <w:t>networking</w:t>
            </w:r>
            <w:r w:rsidRPr="00D14C15">
              <w:rPr>
                <w:lang w:val="en-GB"/>
              </w:rPr>
              <w:t xml:space="preserve">. The business and innovation environment will also need to be improved. </w:t>
            </w:r>
          </w:p>
          <w:p w14:paraId="6CE26D86" w14:textId="77777777" w:rsidR="0076298E" w:rsidRPr="00D14C15" w:rsidRDefault="0076298E">
            <w:pPr>
              <w:jc w:val="both"/>
              <w:rPr>
                <w:rFonts w:eastAsia="Calibri"/>
                <w:lang w:val="en-GB"/>
              </w:rPr>
            </w:pPr>
          </w:p>
          <w:p w14:paraId="45908F03" w14:textId="77777777" w:rsidR="0076298E" w:rsidRPr="00D14C15" w:rsidRDefault="00C76037">
            <w:pPr>
              <w:pStyle w:val="P68B1DB1-Navaden1"/>
              <w:jc w:val="both"/>
              <w:rPr>
                <w:lang w:val="en-GB"/>
              </w:rPr>
            </w:pPr>
            <w:r>
              <w:rPr>
                <w:lang w:val="en-GB"/>
              </w:rPr>
              <w:t>C</w:t>
            </w:r>
            <w:r w:rsidR="0032633A" w:rsidRPr="00D14C15">
              <w:rPr>
                <w:lang w:val="en-GB"/>
              </w:rPr>
              <w:t xml:space="preserve">omplementarity with </w:t>
            </w:r>
            <w:r>
              <w:rPr>
                <w:lang w:val="en-GB"/>
              </w:rPr>
              <w:t xml:space="preserve">Recovery and Resilience Plan </w:t>
            </w:r>
            <w:r w:rsidR="0032633A" w:rsidRPr="00D14C15">
              <w:rPr>
                <w:lang w:val="en-GB"/>
              </w:rPr>
              <w:t xml:space="preserve">is also </w:t>
            </w:r>
            <w:r w:rsidR="00B17138">
              <w:rPr>
                <w:lang w:val="en-GB"/>
              </w:rPr>
              <w:t>key</w:t>
            </w:r>
            <w:r w:rsidR="0032633A" w:rsidRPr="00D14C15">
              <w:rPr>
                <w:lang w:val="en-GB"/>
              </w:rPr>
              <w:t xml:space="preserve">. </w:t>
            </w:r>
          </w:p>
          <w:p w14:paraId="55CB3E21" w14:textId="77777777" w:rsidR="0076298E" w:rsidRPr="00D14C15" w:rsidRDefault="0076298E">
            <w:pPr>
              <w:jc w:val="both"/>
              <w:rPr>
                <w:rFonts w:eastAsia="Calibri"/>
                <w:lang w:val="en-GB"/>
              </w:rPr>
            </w:pPr>
          </w:p>
          <w:p w14:paraId="711B623C" w14:textId="77777777" w:rsidR="0076298E" w:rsidRPr="00D14C15" w:rsidRDefault="00B17138">
            <w:pPr>
              <w:pStyle w:val="P68B1DB1-Navaden3"/>
              <w:widowControl/>
              <w:numPr>
                <w:ilvl w:val="0"/>
                <w:numId w:val="2"/>
              </w:numPr>
              <w:autoSpaceDE/>
              <w:autoSpaceDN/>
              <w:contextualSpacing/>
              <w:jc w:val="both"/>
              <w:rPr>
                <w:lang w:val="en-GB"/>
              </w:rPr>
            </w:pPr>
            <w:r>
              <w:rPr>
                <w:lang w:val="en-GB"/>
              </w:rPr>
              <w:t>b</w:t>
            </w:r>
            <w:r w:rsidR="0017687D">
              <w:rPr>
                <w:lang w:val="en-GB"/>
              </w:rPr>
              <w:t>uilding</w:t>
            </w:r>
            <w:r w:rsidR="0032633A" w:rsidRPr="00D14C15">
              <w:rPr>
                <w:lang w:val="en-GB"/>
              </w:rPr>
              <w:t xml:space="preserve"> </w:t>
            </w:r>
            <w:r w:rsidR="0017687D">
              <w:rPr>
                <w:lang w:val="en-GB"/>
              </w:rPr>
              <w:t xml:space="preserve">knowledge and </w:t>
            </w:r>
            <w:r>
              <w:rPr>
                <w:lang w:val="en-GB"/>
              </w:rPr>
              <w:t>skills of the future</w:t>
            </w:r>
          </w:p>
          <w:p w14:paraId="4294875E" w14:textId="77777777" w:rsidR="0076298E" w:rsidRPr="00D14C15" w:rsidRDefault="0076298E">
            <w:pPr>
              <w:jc w:val="both"/>
              <w:rPr>
                <w:rFonts w:eastAsia="Calibri"/>
                <w:lang w:val="en-GB"/>
              </w:rPr>
            </w:pPr>
          </w:p>
          <w:p w14:paraId="5719E675" w14:textId="77777777" w:rsidR="0076298E" w:rsidRPr="00D14C15" w:rsidRDefault="0032633A">
            <w:pPr>
              <w:pStyle w:val="P68B1DB1-Navaden1"/>
              <w:jc w:val="both"/>
              <w:rPr>
                <w:lang w:val="en-GB"/>
              </w:rPr>
            </w:pPr>
            <w:r w:rsidRPr="00D14C15">
              <w:rPr>
                <w:lang w:val="en-GB"/>
              </w:rPr>
              <w:lastRenderedPageBreak/>
              <w:t xml:space="preserve">In Slovenia, the biggest risk is the </w:t>
            </w:r>
            <w:r w:rsidR="0017687D">
              <w:rPr>
                <w:lang w:val="en-GB"/>
              </w:rPr>
              <w:t xml:space="preserve">long-lasting </w:t>
            </w:r>
            <w:r w:rsidRPr="00D14C15">
              <w:rPr>
                <w:lang w:val="en-GB"/>
              </w:rPr>
              <w:t>decline in the participation of adults and</w:t>
            </w:r>
            <w:r w:rsidR="00B17138">
              <w:rPr>
                <w:lang w:val="en-GB"/>
              </w:rPr>
              <w:t xml:space="preserve"> employees in lifelong learning</w:t>
            </w:r>
            <w:r w:rsidRPr="00D14C15">
              <w:rPr>
                <w:lang w:val="en-GB"/>
              </w:rPr>
              <w:t xml:space="preserve">, which </w:t>
            </w:r>
            <w:r w:rsidR="00B17138">
              <w:rPr>
                <w:lang w:val="en-GB"/>
              </w:rPr>
              <w:t>impacts</w:t>
            </w:r>
            <w:r w:rsidRPr="00D14C15">
              <w:rPr>
                <w:lang w:val="en-GB"/>
              </w:rPr>
              <w:t xml:space="preserve"> develop</w:t>
            </w:r>
            <w:r w:rsidR="00B17138">
              <w:rPr>
                <w:lang w:val="en-GB"/>
              </w:rPr>
              <w:t>ing</w:t>
            </w:r>
            <w:r w:rsidRPr="00D14C15">
              <w:rPr>
                <w:lang w:val="en-GB"/>
              </w:rPr>
              <w:t xml:space="preserve"> adequate </w:t>
            </w:r>
            <w:r w:rsidR="00293282">
              <w:rPr>
                <w:lang w:val="en-GB"/>
              </w:rPr>
              <w:t>skills</w:t>
            </w:r>
            <w:r w:rsidRPr="00D14C15">
              <w:rPr>
                <w:lang w:val="en-GB"/>
              </w:rPr>
              <w:t xml:space="preserve"> of young people and adults. This </w:t>
            </w:r>
            <w:r w:rsidR="00293282">
              <w:rPr>
                <w:lang w:val="en-GB"/>
              </w:rPr>
              <w:t>calls for</w:t>
            </w:r>
            <w:r w:rsidRPr="00D14C15">
              <w:rPr>
                <w:lang w:val="en-GB"/>
              </w:rPr>
              <w:t xml:space="preserve"> </w:t>
            </w:r>
            <w:r w:rsidR="00293282">
              <w:rPr>
                <w:lang w:val="en-GB"/>
              </w:rPr>
              <w:t>accelerating</w:t>
            </w:r>
            <w:r w:rsidRPr="00D14C15">
              <w:rPr>
                <w:lang w:val="en-GB"/>
              </w:rPr>
              <w:t xml:space="preserve"> investment in human resources to cover current gaps and promoting adult participation in</w:t>
            </w:r>
            <w:r w:rsidR="00B17138">
              <w:rPr>
                <w:lang w:val="en-GB"/>
              </w:rPr>
              <w:t xml:space="preserve"> lifelong learning </w:t>
            </w:r>
            <w:r w:rsidR="00293282">
              <w:rPr>
                <w:lang w:val="en-GB"/>
              </w:rPr>
              <w:t xml:space="preserve">so that they are able to </w:t>
            </w:r>
            <w:r w:rsidRPr="00D14C15">
              <w:rPr>
                <w:lang w:val="en-GB"/>
              </w:rPr>
              <w:t xml:space="preserve">successfully </w:t>
            </w:r>
            <w:r w:rsidR="00293282">
              <w:rPr>
                <w:lang w:val="en-GB"/>
              </w:rPr>
              <w:t xml:space="preserve">meet future </w:t>
            </w:r>
            <w:r w:rsidRPr="00D14C15">
              <w:rPr>
                <w:lang w:val="en-GB"/>
              </w:rPr>
              <w:t xml:space="preserve">challenges (e.g. digital, circular), including </w:t>
            </w:r>
            <w:r w:rsidR="00293282">
              <w:rPr>
                <w:lang w:val="en-GB"/>
              </w:rPr>
              <w:t xml:space="preserve">workers whose jobs will be </w:t>
            </w:r>
            <w:r w:rsidRPr="00D14C15">
              <w:rPr>
                <w:lang w:val="en-GB"/>
              </w:rPr>
              <w:t xml:space="preserve">more exposed to automation and change. </w:t>
            </w:r>
          </w:p>
          <w:p w14:paraId="17AAF105" w14:textId="77777777" w:rsidR="0076298E" w:rsidRPr="00D14C15" w:rsidRDefault="0076298E">
            <w:pPr>
              <w:jc w:val="both"/>
              <w:rPr>
                <w:rFonts w:eastAsia="Calibri"/>
                <w:lang w:val="en-GB"/>
              </w:rPr>
            </w:pPr>
          </w:p>
          <w:p w14:paraId="13ED107B" w14:textId="77777777" w:rsidR="0076298E" w:rsidRPr="00D14C15" w:rsidRDefault="0032633A" w:rsidP="00293282">
            <w:pPr>
              <w:pStyle w:val="P68B1DB1-Navaden1"/>
              <w:jc w:val="both"/>
              <w:rPr>
                <w:lang w:val="en-GB"/>
              </w:rPr>
            </w:pPr>
            <w:r w:rsidRPr="00D14C15">
              <w:rPr>
                <w:lang w:val="en-GB"/>
              </w:rPr>
              <w:t xml:space="preserve">Modernised and </w:t>
            </w:r>
            <w:r w:rsidR="00293282">
              <w:rPr>
                <w:lang w:val="en-GB"/>
              </w:rPr>
              <w:t>future-oriented</w:t>
            </w:r>
            <w:r w:rsidRPr="00D14C15">
              <w:rPr>
                <w:lang w:val="en-GB"/>
              </w:rPr>
              <w:t xml:space="preserve"> education and training systems need to be more flexible</w:t>
            </w:r>
            <w:r w:rsidR="00B17138">
              <w:rPr>
                <w:lang w:val="en-GB"/>
              </w:rPr>
              <w:t>. I</w:t>
            </w:r>
            <w:r w:rsidRPr="00D14C15">
              <w:rPr>
                <w:lang w:val="en-GB"/>
              </w:rPr>
              <w:t xml:space="preserve">nterdisciplinary approaches and </w:t>
            </w:r>
            <w:r w:rsidR="00293282">
              <w:rPr>
                <w:lang w:val="en-GB"/>
              </w:rPr>
              <w:t>cross-cutting</w:t>
            </w:r>
            <w:r w:rsidRPr="00D14C15">
              <w:rPr>
                <w:lang w:val="en-GB"/>
              </w:rPr>
              <w:t xml:space="preserve"> </w:t>
            </w:r>
            <w:r w:rsidR="00293282">
              <w:rPr>
                <w:lang w:val="en-GB"/>
              </w:rPr>
              <w:t>skills</w:t>
            </w:r>
            <w:r w:rsidRPr="00D14C15">
              <w:rPr>
                <w:lang w:val="en-GB"/>
              </w:rPr>
              <w:t xml:space="preserve"> (entrepreneurship, innovation and creativity) </w:t>
            </w:r>
            <w:r w:rsidR="00293282">
              <w:rPr>
                <w:lang w:val="en-GB"/>
              </w:rPr>
              <w:t>are</w:t>
            </w:r>
            <w:r w:rsidRPr="00D14C15">
              <w:rPr>
                <w:lang w:val="en-GB"/>
              </w:rPr>
              <w:t xml:space="preserve"> be</w:t>
            </w:r>
            <w:r w:rsidR="00293282">
              <w:rPr>
                <w:lang w:val="en-GB"/>
              </w:rPr>
              <w:t>coming</w:t>
            </w:r>
            <w:r w:rsidRPr="00D14C15">
              <w:rPr>
                <w:lang w:val="en-GB"/>
              </w:rPr>
              <w:t xml:space="preserve"> increasingly important. </w:t>
            </w:r>
          </w:p>
          <w:p w14:paraId="089DF2FD" w14:textId="77777777" w:rsidR="0076298E" w:rsidRPr="00D14C15" w:rsidRDefault="0076298E">
            <w:pPr>
              <w:jc w:val="both"/>
              <w:rPr>
                <w:rFonts w:eastAsia="Calibri"/>
                <w:lang w:val="en-GB"/>
              </w:rPr>
            </w:pPr>
          </w:p>
          <w:p w14:paraId="2E7F7F25" w14:textId="77777777" w:rsidR="0076298E" w:rsidRPr="00D14C15" w:rsidRDefault="0032633A">
            <w:pPr>
              <w:widowControl/>
              <w:numPr>
                <w:ilvl w:val="0"/>
                <w:numId w:val="14"/>
              </w:numPr>
              <w:autoSpaceDE/>
              <w:autoSpaceDN/>
              <w:contextualSpacing/>
              <w:jc w:val="both"/>
              <w:rPr>
                <w:lang w:val="en-GB"/>
              </w:rPr>
            </w:pPr>
            <w:r w:rsidRPr="00D14C15">
              <w:rPr>
                <w:b/>
                <w:lang w:val="en-GB"/>
              </w:rPr>
              <w:t>Transition to a low-carbon circular economy</w:t>
            </w:r>
            <w:r w:rsidRPr="00D14C15">
              <w:rPr>
                <w:lang w:val="en-GB"/>
              </w:rPr>
              <w:t xml:space="preserve"> </w:t>
            </w:r>
          </w:p>
          <w:p w14:paraId="6C3D80DC" w14:textId="77777777" w:rsidR="0076298E" w:rsidRPr="00D14C15" w:rsidRDefault="0076298E">
            <w:pPr>
              <w:jc w:val="both"/>
              <w:rPr>
                <w:lang w:val="en-GB"/>
              </w:rPr>
            </w:pPr>
          </w:p>
          <w:p w14:paraId="0E8570A2" w14:textId="77777777" w:rsidR="0076298E" w:rsidRPr="00D14C15" w:rsidRDefault="0032633A">
            <w:pPr>
              <w:jc w:val="both"/>
              <w:rPr>
                <w:lang w:val="en-GB"/>
              </w:rPr>
            </w:pPr>
            <w:r w:rsidRPr="00D14C15">
              <w:rPr>
                <w:lang w:val="en-GB"/>
              </w:rPr>
              <w:t xml:space="preserve">The European Green Deal has set ambitious targets for the transformation of the EU economy and a framework for achieving a climate-neutral, circular economy by 2050. Regulation (EU) 2021/1119 </w:t>
            </w:r>
            <w:r w:rsidR="00FB78DC">
              <w:rPr>
                <w:lang w:val="en-GB"/>
              </w:rPr>
              <w:t xml:space="preserve">transposed </w:t>
            </w:r>
            <w:r w:rsidRPr="00D14C15">
              <w:rPr>
                <w:lang w:val="en-GB"/>
              </w:rPr>
              <w:t xml:space="preserve">those targets into the so-called European Climate Law, which, </w:t>
            </w:r>
            <w:r w:rsidRPr="00544F20">
              <w:rPr>
                <w:i/>
                <w:lang w:val="en-GB"/>
              </w:rPr>
              <w:t>inter alia</w:t>
            </w:r>
            <w:r w:rsidRPr="00D14C15">
              <w:rPr>
                <w:lang w:val="en-GB"/>
              </w:rPr>
              <w:t>, sets an interim target of reducing net greenhouse gas</w:t>
            </w:r>
            <w:r w:rsidR="00FB78DC">
              <w:rPr>
                <w:lang w:val="en-GB"/>
              </w:rPr>
              <w:t xml:space="preserve"> (</w:t>
            </w:r>
            <w:r w:rsidR="00A82FD2">
              <w:rPr>
                <w:lang w:val="en-GB"/>
              </w:rPr>
              <w:t xml:space="preserve">hereinafter: </w:t>
            </w:r>
            <w:r w:rsidR="00FB78DC" w:rsidRPr="00E46D70">
              <w:rPr>
                <w:lang w:val="en-GB"/>
              </w:rPr>
              <w:t>GHG</w:t>
            </w:r>
            <w:r w:rsidR="00FB78DC">
              <w:rPr>
                <w:lang w:val="en-GB"/>
              </w:rPr>
              <w:t>) emissions by at least 55</w:t>
            </w:r>
            <w:r w:rsidRPr="00D14C15">
              <w:rPr>
                <w:lang w:val="en-GB"/>
              </w:rPr>
              <w:t xml:space="preserve">% by 2030 compared to 1990. Slovenia </w:t>
            </w:r>
            <w:r w:rsidR="00D30289">
              <w:rPr>
                <w:lang w:val="en-GB"/>
              </w:rPr>
              <w:t>will</w:t>
            </w:r>
            <w:r w:rsidRPr="00D14C15">
              <w:rPr>
                <w:lang w:val="en-GB"/>
              </w:rPr>
              <w:t xml:space="preserve"> use </w:t>
            </w:r>
            <w:r w:rsidR="00D30289">
              <w:rPr>
                <w:lang w:val="en-GB"/>
              </w:rPr>
              <w:t xml:space="preserve">the available </w:t>
            </w:r>
            <w:r w:rsidRPr="00D14C15">
              <w:rPr>
                <w:lang w:val="en-GB"/>
              </w:rPr>
              <w:t>Programme</w:t>
            </w:r>
            <w:r w:rsidR="00FB78DC">
              <w:rPr>
                <w:lang w:val="en-GB"/>
              </w:rPr>
              <w:t xml:space="preserve"> funding</w:t>
            </w:r>
            <w:r w:rsidRPr="00D14C15">
              <w:rPr>
                <w:lang w:val="en-GB"/>
              </w:rPr>
              <w:t xml:space="preserve"> to </w:t>
            </w:r>
            <w:r w:rsidR="00D30289">
              <w:rPr>
                <w:lang w:val="en-GB"/>
              </w:rPr>
              <w:t>achieve a m</w:t>
            </w:r>
            <w:r w:rsidRPr="00D14C15">
              <w:rPr>
                <w:lang w:val="en-GB"/>
              </w:rPr>
              <w:t>aximum impact on</w:t>
            </w:r>
            <w:r w:rsidR="00FB78DC">
              <w:rPr>
                <w:lang w:val="en-GB"/>
              </w:rPr>
              <w:t xml:space="preserve"> the</w:t>
            </w:r>
            <w:r w:rsidRPr="00D14C15">
              <w:rPr>
                <w:lang w:val="en-GB"/>
              </w:rPr>
              <w:t xml:space="preserve"> supply of clean, accessible and secure energy</w:t>
            </w:r>
            <w:r w:rsidR="00D30289">
              <w:rPr>
                <w:lang w:val="en-GB"/>
              </w:rPr>
              <w:t>. We will also use the funding to</w:t>
            </w:r>
            <w:r w:rsidRPr="00D14C15">
              <w:rPr>
                <w:lang w:val="en-GB"/>
              </w:rPr>
              <w:t xml:space="preserve"> accelerat</w:t>
            </w:r>
            <w:r w:rsidR="00D30289">
              <w:rPr>
                <w:lang w:val="en-GB"/>
              </w:rPr>
              <w:t xml:space="preserve">e </w:t>
            </w:r>
            <w:r w:rsidRPr="00D14C15">
              <w:rPr>
                <w:lang w:val="en-GB"/>
              </w:rPr>
              <w:t>the transition to sustainable and smart mobility</w:t>
            </w:r>
            <w:r w:rsidR="00D30289">
              <w:rPr>
                <w:lang w:val="en-GB"/>
              </w:rPr>
              <w:t>,</w:t>
            </w:r>
            <w:r w:rsidRPr="00D14C15">
              <w:rPr>
                <w:lang w:val="en-GB"/>
              </w:rPr>
              <w:t xml:space="preserve"> mobilising industry for a clean and circular econ</w:t>
            </w:r>
            <w:r w:rsidR="00E05E41">
              <w:rPr>
                <w:lang w:val="en-GB"/>
              </w:rPr>
              <w:t>omy</w:t>
            </w:r>
            <w:r w:rsidR="00D30289">
              <w:rPr>
                <w:lang w:val="en-GB"/>
              </w:rPr>
              <w:t>,</w:t>
            </w:r>
            <w:r w:rsidR="00E05E41">
              <w:rPr>
                <w:lang w:val="en-GB"/>
              </w:rPr>
              <w:t xml:space="preserve"> the renovation initiative</w:t>
            </w:r>
            <w:r w:rsidR="00D30289">
              <w:rPr>
                <w:lang w:val="en-GB"/>
              </w:rPr>
              <w:t xml:space="preserve">, namely </w:t>
            </w:r>
            <w:r w:rsidRPr="00D14C15">
              <w:rPr>
                <w:lang w:val="en-GB"/>
              </w:rPr>
              <w:t>building and renovating in an energy</w:t>
            </w:r>
            <w:r w:rsidR="00E05E41">
              <w:rPr>
                <w:lang w:val="en-GB"/>
              </w:rPr>
              <w:t>-</w:t>
            </w:r>
            <w:r w:rsidRPr="00D14C15">
              <w:rPr>
                <w:lang w:val="en-GB"/>
              </w:rPr>
              <w:t xml:space="preserve"> and material</w:t>
            </w:r>
            <w:r w:rsidR="00E05E41">
              <w:rPr>
                <w:lang w:val="en-GB"/>
              </w:rPr>
              <w:t>-</w:t>
            </w:r>
            <w:r w:rsidRPr="00D14C15">
              <w:rPr>
                <w:lang w:val="en-GB"/>
              </w:rPr>
              <w:t xml:space="preserve">efficient </w:t>
            </w:r>
            <w:r w:rsidR="00E05E41">
              <w:rPr>
                <w:lang w:val="en-GB"/>
              </w:rPr>
              <w:t>manner</w:t>
            </w:r>
            <w:r w:rsidR="00D30289">
              <w:rPr>
                <w:lang w:val="en-GB"/>
              </w:rPr>
              <w:t>,</w:t>
            </w:r>
            <w:r w:rsidRPr="00D14C15">
              <w:rPr>
                <w:lang w:val="en-GB"/>
              </w:rPr>
              <w:t xml:space="preserve"> </w:t>
            </w:r>
            <w:r w:rsidR="00D30289">
              <w:rPr>
                <w:lang w:val="en-GB"/>
              </w:rPr>
              <w:t xml:space="preserve">for realising our </w:t>
            </w:r>
            <w:r w:rsidRPr="00D14C15">
              <w:rPr>
                <w:lang w:val="en-GB"/>
              </w:rPr>
              <w:t>ambition to achieve zero polluti</w:t>
            </w:r>
            <w:r w:rsidR="00D30289">
              <w:rPr>
                <w:lang w:val="en-GB"/>
              </w:rPr>
              <w:t>on for a toxic-free environment, for</w:t>
            </w:r>
            <w:r w:rsidRPr="00D14C15">
              <w:rPr>
                <w:lang w:val="en-GB"/>
              </w:rPr>
              <w:t xml:space="preserve"> preserving and restoring ecosystems and biodiversity and mitigating climate change</w:t>
            </w:r>
            <w:r w:rsidR="00D30289">
              <w:rPr>
                <w:lang w:val="en-GB"/>
              </w:rPr>
              <w:t>, as well as for</w:t>
            </w:r>
            <w:r w:rsidRPr="00D14C15">
              <w:rPr>
                <w:lang w:val="en-GB"/>
              </w:rPr>
              <w:t xml:space="preserve"> building regions and cities resilient to cl</w:t>
            </w:r>
            <w:r w:rsidR="00E05E41">
              <w:rPr>
                <w:lang w:val="en-GB"/>
              </w:rPr>
              <w:t>imate change</w:t>
            </w:r>
            <w:r w:rsidR="00D30289">
              <w:rPr>
                <w:lang w:val="en-GB"/>
              </w:rPr>
              <w:t xml:space="preserve">, and for </w:t>
            </w:r>
            <w:r w:rsidR="00E05E41">
              <w:rPr>
                <w:lang w:val="en-GB"/>
              </w:rPr>
              <w:t>other areas</w:t>
            </w:r>
            <w:r w:rsidRPr="00D14C15">
              <w:rPr>
                <w:lang w:val="en-GB"/>
              </w:rPr>
              <w:t xml:space="preserve"> in line with the specific initiatives of the European Green Deal</w:t>
            </w:r>
            <w:r w:rsidR="00E05E41">
              <w:rPr>
                <w:lang w:val="en-GB"/>
              </w:rPr>
              <w:t>. Slovenia</w:t>
            </w:r>
            <w:r w:rsidRPr="00D14C15">
              <w:rPr>
                <w:lang w:val="en-GB"/>
              </w:rPr>
              <w:t xml:space="preserve"> will </w:t>
            </w:r>
            <w:r w:rsidR="00E05E41">
              <w:rPr>
                <w:lang w:val="en-GB"/>
              </w:rPr>
              <w:t>also</w:t>
            </w:r>
            <w:r w:rsidRPr="00D14C15">
              <w:rPr>
                <w:lang w:val="en-GB"/>
              </w:rPr>
              <w:t xml:space="preserve"> </w:t>
            </w:r>
            <w:r w:rsidR="00E05E41">
              <w:rPr>
                <w:lang w:val="en-GB"/>
              </w:rPr>
              <w:t xml:space="preserve">use the available </w:t>
            </w:r>
            <w:r w:rsidRPr="00D14C15">
              <w:rPr>
                <w:lang w:val="en-GB"/>
              </w:rPr>
              <w:t>funds to mobilise and strengthen research in the field of sustainability. The reduct</w:t>
            </w:r>
            <w:r w:rsidR="00D30289">
              <w:rPr>
                <w:lang w:val="en-GB"/>
              </w:rPr>
              <w:t xml:space="preserve">ion of GHG emissions is related </w:t>
            </w:r>
            <w:r w:rsidRPr="00D14C15">
              <w:rPr>
                <w:lang w:val="en-GB"/>
              </w:rPr>
              <w:t xml:space="preserve">to decarbonisation and the rise in material efficiency in key sectors. In the context of this challenge, </w:t>
            </w:r>
            <w:r w:rsidRPr="00BA7FBB">
              <w:rPr>
                <w:lang w:val="en-GB"/>
              </w:rPr>
              <w:t>UMAR</w:t>
            </w:r>
            <w:r w:rsidRPr="00D14C15">
              <w:rPr>
                <w:lang w:val="en-GB"/>
              </w:rPr>
              <w:t xml:space="preserve"> identifies the following </w:t>
            </w:r>
            <w:r w:rsidRPr="00426A9E">
              <w:rPr>
                <w:lang w:val="en-GB"/>
              </w:rPr>
              <w:t xml:space="preserve">priority </w:t>
            </w:r>
            <w:r w:rsidR="00D30289" w:rsidRPr="00426A9E">
              <w:rPr>
                <w:lang w:val="en-GB"/>
              </w:rPr>
              <w:t>measures</w:t>
            </w:r>
            <w:r w:rsidRPr="00426A9E">
              <w:rPr>
                <w:lang w:val="en-GB"/>
              </w:rPr>
              <w:t>:</w:t>
            </w:r>
          </w:p>
          <w:p w14:paraId="303EC24E" w14:textId="77777777" w:rsidR="0076298E" w:rsidRPr="00D14C15" w:rsidRDefault="0076298E">
            <w:pPr>
              <w:jc w:val="both"/>
              <w:rPr>
                <w:lang w:val="en-GB"/>
              </w:rPr>
            </w:pPr>
          </w:p>
          <w:p w14:paraId="72B100CD" w14:textId="77777777" w:rsidR="0076298E" w:rsidRPr="00D14C15" w:rsidRDefault="0032633A">
            <w:pPr>
              <w:pStyle w:val="P68B1DB1-Navaden4"/>
              <w:widowControl/>
              <w:numPr>
                <w:ilvl w:val="0"/>
                <w:numId w:val="2"/>
              </w:numPr>
              <w:autoSpaceDE/>
              <w:autoSpaceDN/>
              <w:contextualSpacing/>
              <w:jc w:val="both"/>
              <w:rPr>
                <w:lang w:val="en-GB"/>
              </w:rPr>
            </w:pPr>
            <w:r w:rsidRPr="00D14C15">
              <w:rPr>
                <w:lang w:val="en-GB"/>
              </w:rPr>
              <w:t>adequate promotion of sustainable mobility and the extension and modernisation of its infrastructure, including through the use of modern technological solutions</w:t>
            </w:r>
          </w:p>
          <w:p w14:paraId="0B78A9D8" w14:textId="77777777" w:rsidR="0076298E" w:rsidRPr="00D14C15" w:rsidRDefault="0076298E">
            <w:pPr>
              <w:ind w:left="720"/>
              <w:contextualSpacing/>
              <w:jc w:val="both"/>
              <w:rPr>
                <w:lang w:val="en-GB"/>
              </w:rPr>
            </w:pPr>
          </w:p>
          <w:p w14:paraId="2F187034" w14:textId="77777777" w:rsidR="0076298E" w:rsidRPr="00D14C15" w:rsidRDefault="0032633A">
            <w:pPr>
              <w:jc w:val="both"/>
              <w:rPr>
                <w:lang w:val="en-GB"/>
              </w:rPr>
            </w:pPr>
            <w:r w:rsidRPr="00D14C15">
              <w:rPr>
                <w:lang w:val="en-GB"/>
              </w:rPr>
              <w:t xml:space="preserve">In 2020, transport emissions in Slovenia were the largest source of </w:t>
            </w:r>
            <w:r w:rsidRPr="00E46D70">
              <w:rPr>
                <w:lang w:val="en-GB"/>
              </w:rPr>
              <w:t>GHG</w:t>
            </w:r>
            <w:r w:rsidRPr="00D14C15">
              <w:rPr>
                <w:lang w:val="en-GB"/>
              </w:rPr>
              <w:t xml:space="preserve"> emissions in the non-ETS</w:t>
            </w:r>
            <w:r w:rsidR="00351D96" w:rsidRPr="00351D96">
              <w:rPr>
                <w:vertAlign w:val="superscript"/>
                <w:lang w:val="en-GB"/>
              </w:rPr>
              <w:footnoteReference w:id="5"/>
            </w:r>
            <w:r w:rsidRPr="00D14C15">
              <w:rPr>
                <w:lang w:val="en-GB"/>
              </w:rPr>
              <w:t xml:space="preserve"> sector (47 %; in 2005, only 38%</w:t>
            </w:r>
            <w:r w:rsidR="00351D96">
              <w:rPr>
                <w:lang w:val="en-GB"/>
              </w:rPr>
              <w:t>)</w:t>
            </w:r>
            <w:r w:rsidRPr="00351D96">
              <w:rPr>
                <w:vertAlign w:val="superscript"/>
                <w:lang w:val="en-GB"/>
              </w:rPr>
              <w:footnoteReference w:id="6"/>
            </w:r>
            <w:r w:rsidRPr="00D14C15">
              <w:rPr>
                <w:lang w:val="en-GB"/>
              </w:rPr>
              <w:t xml:space="preserve"> </w:t>
            </w:r>
            <w:r w:rsidR="00351D96">
              <w:rPr>
                <w:lang w:val="en-GB"/>
              </w:rPr>
              <w:t xml:space="preserve">as the majority </w:t>
            </w:r>
            <w:r w:rsidRPr="00D14C15">
              <w:rPr>
                <w:lang w:val="en-GB"/>
              </w:rPr>
              <w:t xml:space="preserve">of goods are transported by </w:t>
            </w:r>
            <w:r w:rsidR="004274CF">
              <w:rPr>
                <w:lang w:val="en-GB"/>
              </w:rPr>
              <w:t>trucks</w:t>
            </w:r>
            <w:r w:rsidRPr="00D14C15">
              <w:rPr>
                <w:lang w:val="en-GB"/>
              </w:rPr>
              <w:t xml:space="preserve"> and most passengers </w:t>
            </w:r>
            <w:r w:rsidR="004274CF">
              <w:rPr>
                <w:lang w:val="en-GB"/>
              </w:rPr>
              <w:t xml:space="preserve">travel </w:t>
            </w:r>
            <w:r w:rsidRPr="00D14C15">
              <w:rPr>
                <w:lang w:val="en-GB"/>
              </w:rPr>
              <w:t xml:space="preserve">by car. In passenger transport, the use of rail and other public means of transport is </w:t>
            </w:r>
            <w:r w:rsidR="004274CF">
              <w:rPr>
                <w:lang w:val="en-GB"/>
              </w:rPr>
              <w:t>low in</w:t>
            </w:r>
            <w:r w:rsidRPr="00D14C15">
              <w:rPr>
                <w:lang w:val="en-GB"/>
              </w:rPr>
              <w:t xml:space="preserve"> international comparison, partly due to the diversity of </w:t>
            </w:r>
            <w:r w:rsidR="004274CF">
              <w:rPr>
                <w:lang w:val="en-GB"/>
              </w:rPr>
              <w:t xml:space="preserve">the </w:t>
            </w:r>
            <w:r w:rsidRPr="00D14C15">
              <w:rPr>
                <w:lang w:val="en-GB"/>
              </w:rPr>
              <w:t xml:space="preserve">relief and dispersed settlement. A large proportion of the population in Slovenia </w:t>
            </w:r>
            <w:r w:rsidR="004274CF">
              <w:rPr>
                <w:lang w:val="en-GB"/>
              </w:rPr>
              <w:t xml:space="preserve">find it </w:t>
            </w:r>
            <w:r w:rsidRPr="00D14C15">
              <w:rPr>
                <w:lang w:val="en-GB"/>
              </w:rPr>
              <w:t>difficult</w:t>
            </w:r>
            <w:r w:rsidR="004274CF">
              <w:rPr>
                <w:lang w:val="en-GB"/>
              </w:rPr>
              <w:t xml:space="preserve"> to</w:t>
            </w:r>
            <w:r w:rsidRPr="00D14C15">
              <w:rPr>
                <w:lang w:val="en-GB"/>
              </w:rPr>
              <w:t xml:space="preserve"> access public passenger transport</w:t>
            </w:r>
            <w:r w:rsidR="00351D96">
              <w:rPr>
                <w:lang w:val="en-GB"/>
              </w:rPr>
              <w:t xml:space="preserve"> (2019: 40</w:t>
            </w:r>
            <w:r w:rsidRPr="00D14C15">
              <w:rPr>
                <w:lang w:val="en-GB"/>
              </w:rPr>
              <w:t>%</w:t>
            </w:r>
            <w:r w:rsidRPr="00351D96">
              <w:rPr>
                <w:vertAlign w:val="superscript"/>
                <w:lang w:val="en-GB"/>
              </w:rPr>
              <w:footnoteReference w:id="7"/>
            </w:r>
            <w:r w:rsidRPr="00D14C15">
              <w:rPr>
                <w:lang w:val="en-GB"/>
              </w:rPr>
              <w:t xml:space="preserve">). </w:t>
            </w:r>
            <w:r w:rsidR="00AD717F">
              <w:rPr>
                <w:rFonts w:eastAsia="Calibri"/>
                <w:lang w:val="en-GB"/>
              </w:rPr>
              <w:t>COVID</w:t>
            </w:r>
            <w:r w:rsidR="004274CF">
              <w:rPr>
                <w:lang w:val="en-GB"/>
              </w:rPr>
              <w:t xml:space="preserve">-19 epidemic measures caused further decrease in the </w:t>
            </w:r>
            <w:r w:rsidRPr="00D14C15">
              <w:rPr>
                <w:lang w:val="en-GB"/>
              </w:rPr>
              <w:t xml:space="preserve">share of the </w:t>
            </w:r>
            <w:r w:rsidR="004274CF">
              <w:rPr>
                <w:lang w:val="en-GB"/>
              </w:rPr>
              <w:t>public passenger transport</w:t>
            </w:r>
            <w:r w:rsidRPr="00D14C15">
              <w:rPr>
                <w:lang w:val="en-GB"/>
              </w:rPr>
              <w:t xml:space="preserve"> in total traffic</w:t>
            </w:r>
            <w:r w:rsidRPr="00D14C15">
              <w:rPr>
                <w:rStyle w:val="Sprotnaopomba-sklic"/>
                <w:lang w:val="en-GB"/>
              </w:rPr>
              <w:footnoteReference w:id="8"/>
            </w:r>
            <w:r w:rsidRPr="00D14C15">
              <w:rPr>
                <w:lang w:val="en-GB"/>
              </w:rPr>
              <w:t xml:space="preserve">. In view of the increasing GHG emissions from the transport sector, </w:t>
            </w:r>
            <w:r w:rsidR="00FD69DB">
              <w:rPr>
                <w:lang w:val="en-GB"/>
              </w:rPr>
              <w:t xml:space="preserve">introduction of </w:t>
            </w:r>
            <w:r w:rsidRPr="00D14C15">
              <w:rPr>
                <w:lang w:val="en-GB"/>
              </w:rPr>
              <w:t xml:space="preserve">long-term systemic shifts will need to be accelerated. </w:t>
            </w:r>
            <w:r w:rsidR="00FD69DB">
              <w:rPr>
                <w:lang w:val="en-GB"/>
              </w:rPr>
              <w:t>A</w:t>
            </w:r>
            <w:r w:rsidR="00FD69DB" w:rsidRPr="00D14C15">
              <w:rPr>
                <w:lang w:val="en-GB"/>
              </w:rPr>
              <w:t>longside passenger</w:t>
            </w:r>
            <w:r w:rsidR="00FD69DB">
              <w:rPr>
                <w:lang w:val="en-GB"/>
              </w:rPr>
              <w:t>-friendly</w:t>
            </w:r>
            <w:r w:rsidR="00FD69DB" w:rsidRPr="00D14C15">
              <w:rPr>
                <w:lang w:val="en-GB"/>
              </w:rPr>
              <w:t xml:space="preserve"> and greener rolling stock</w:t>
            </w:r>
            <w:r w:rsidR="00FD69DB">
              <w:rPr>
                <w:lang w:val="en-GB"/>
              </w:rPr>
              <w:t>, g</w:t>
            </w:r>
            <w:r w:rsidRPr="00D14C15">
              <w:rPr>
                <w:lang w:val="en-GB"/>
              </w:rPr>
              <w:t xml:space="preserve">reater diversification, frequency, alignment and adaptation of timetables will contribute to a more </w:t>
            </w:r>
            <w:r w:rsidR="00FD69DB">
              <w:rPr>
                <w:lang w:val="en-GB"/>
              </w:rPr>
              <w:t>integrated introduction of</w:t>
            </w:r>
            <w:r w:rsidRPr="00D14C15">
              <w:rPr>
                <w:lang w:val="en-GB"/>
              </w:rPr>
              <w:t xml:space="preserve"> sustainable mobility.</w:t>
            </w:r>
            <w:r w:rsidRPr="00FD69DB">
              <w:rPr>
                <w:vertAlign w:val="superscript"/>
                <w:lang w:val="en-GB"/>
              </w:rPr>
              <w:footnoteReference w:id="9"/>
            </w:r>
            <w:r w:rsidRPr="00D14C15">
              <w:rPr>
                <w:lang w:val="en-GB"/>
              </w:rPr>
              <w:t xml:space="preserve"> Despite a</w:t>
            </w:r>
            <w:r w:rsidR="00FD69DB">
              <w:rPr>
                <w:lang w:val="en-GB"/>
              </w:rPr>
              <w:t xml:space="preserve"> favourable share in 2020 (10.9</w:t>
            </w:r>
            <w:r w:rsidRPr="00D14C15">
              <w:rPr>
                <w:lang w:val="en-GB"/>
              </w:rPr>
              <w:t>%</w:t>
            </w:r>
            <w:r w:rsidRPr="00FD69DB">
              <w:rPr>
                <w:vertAlign w:val="superscript"/>
                <w:lang w:val="en-GB"/>
              </w:rPr>
              <w:footnoteReference w:id="10"/>
            </w:r>
            <w:r w:rsidRPr="00D14C15">
              <w:rPr>
                <w:lang w:val="en-GB"/>
              </w:rPr>
              <w:t xml:space="preserve">), </w:t>
            </w:r>
            <w:r w:rsidR="00FD69DB">
              <w:rPr>
                <w:lang w:val="en-GB"/>
              </w:rPr>
              <w:t>we need to</w:t>
            </w:r>
            <w:r w:rsidRPr="00D14C15">
              <w:rPr>
                <w:lang w:val="en-GB"/>
              </w:rPr>
              <w:t xml:space="preserve"> continue supporting the use of </w:t>
            </w:r>
            <w:r w:rsidR="00814745">
              <w:rPr>
                <w:lang w:val="en-GB"/>
              </w:rPr>
              <w:t>renewable energy sources (</w:t>
            </w:r>
            <w:r w:rsidRPr="00D14C15">
              <w:rPr>
                <w:lang w:val="en-GB"/>
              </w:rPr>
              <w:t>RES</w:t>
            </w:r>
            <w:r w:rsidR="00814745">
              <w:rPr>
                <w:lang w:val="en-GB"/>
              </w:rPr>
              <w:t>)</w:t>
            </w:r>
            <w:r w:rsidRPr="00D14C15">
              <w:rPr>
                <w:lang w:val="en-GB"/>
              </w:rPr>
              <w:t xml:space="preserve"> in transport to achieve the target </w:t>
            </w:r>
            <w:r w:rsidR="00814745">
              <w:rPr>
                <w:lang w:val="en-GB"/>
              </w:rPr>
              <w:t>set out in t</w:t>
            </w:r>
            <w:r w:rsidRPr="00D14C15">
              <w:rPr>
                <w:lang w:val="en-GB"/>
              </w:rPr>
              <w:t xml:space="preserve">he Integrated National Energy </w:t>
            </w:r>
            <w:r w:rsidRPr="00D14C15">
              <w:rPr>
                <w:lang w:val="en-GB"/>
              </w:rPr>
              <w:lastRenderedPageBreak/>
              <w:t>and Climate Plan 2030 (</w:t>
            </w:r>
            <w:r w:rsidR="00A82FD2">
              <w:rPr>
                <w:lang w:val="en-GB"/>
              </w:rPr>
              <w:t xml:space="preserve">hereinafter: </w:t>
            </w:r>
            <w:r w:rsidRPr="00677903">
              <w:rPr>
                <w:lang w:val="en-GB"/>
              </w:rPr>
              <w:t>NECP</w:t>
            </w:r>
            <w:r w:rsidRPr="00D14C15">
              <w:rPr>
                <w:lang w:val="en-GB"/>
              </w:rPr>
              <w:t xml:space="preserve">). </w:t>
            </w:r>
            <w:r w:rsidR="003610D2">
              <w:rPr>
                <w:lang w:val="en-GB"/>
              </w:rPr>
              <w:t>W</w:t>
            </w:r>
            <w:r w:rsidRPr="00D14C15">
              <w:rPr>
                <w:lang w:val="en-GB"/>
              </w:rPr>
              <w:t xml:space="preserve">e will address these challenges </w:t>
            </w:r>
            <w:r w:rsidR="003610D2">
              <w:rPr>
                <w:lang w:val="en-GB"/>
              </w:rPr>
              <w:t xml:space="preserve">also </w:t>
            </w:r>
            <w:r w:rsidRPr="00D14C15">
              <w:rPr>
                <w:lang w:val="en-GB"/>
              </w:rPr>
              <w:t>throug</w:t>
            </w:r>
            <w:r w:rsidR="00E61590">
              <w:rPr>
                <w:lang w:val="en-GB"/>
              </w:rPr>
              <w:t>h reforms and investments supported under the Recovery and Resilience Plan</w:t>
            </w:r>
            <w:r w:rsidRPr="00D14C15">
              <w:rPr>
                <w:lang w:val="en-GB"/>
              </w:rPr>
              <w:t xml:space="preserve">. </w:t>
            </w:r>
          </w:p>
          <w:p w14:paraId="57953F39" w14:textId="77777777" w:rsidR="0076298E" w:rsidRPr="00D14C15" w:rsidRDefault="0076298E">
            <w:pPr>
              <w:jc w:val="both"/>
              <w:rPr>
                <w:lang w:val="en-GB"/>
              </w:rPr>
            </w:pPr>
          </w:p>
          <w:p w14:paraId="13A760BA" w14:textId="77777777" w:rsidR="0076298E" w:rsidRPr="00D14C15" w:rsidRDefault="0032633A">
            <w:pPr>
              <w:jc w:val="both"/>
              <w:rPr>
                <w:lang w:val="en-GB"/>
              </w:rPr>
            </w:pPr>
            <w:r w:rsidRPr="00D14C15">
              <w:rPr>
                <w:lang w:val="en-GB"/>
              </w:rPr>
              <w:t>Forecasts of traffic flows, traffic safety, environmental impacts and social acceptability were the basis for the formulation of measures in the Transport Development Strategy</w:t>
            </w:r>
            <w:r w:rsidR="002C4466">
              <w:rPr>
                <w:lang w:val="en-GB"/>
              </w:rPr>
              <w:t xml:space="preserve"> of the Republic of Slovenia</w:t>
            </w:r>
            <w:r w:rsidRPr="00D14C15">
              <w:rPr>
                <w:lang w:val="en-GB"/>
              </w:rPr>
              <w:t xml:space="preserve"> u</w:t>
            </w:r>
            <w:r w:rsidR="002C4466">
              <w:rPr>
                <w:lang w:val="en-GB"/>
              </w:rPr>
              <w:t>ntil</w:t>
            </w:r>
            <w:r w:rsidRPr="00D14C15">
              <w:rPr>
                <w:lang w:val="en-GB"/>
              </w:rPr>
              <w:t xml:space="preserve"> 2030</w:t>
            </w:r>
            <w:r w:rsidRPr="002C4466">
              <w:rPr>
                <w:vertAlign w:val="superscript"/>
                <w:lang w:val="en-GB"/>
              </w:rPr>
              <w:footnoteReference w:id="11"/>
            </w:r>
            <w:r w:rsidRPr="00D14C15">
              <w:rPr>
                <w:lang w:val="en-GB"/>
              </w:rPr>
              <w:t xml:space="preserve">. Sustainable mobility at local level is promoted through systemic support </w:t>
            </w:r>
            <w:r w:rsidR="003610D2">
              <w:rPr>
                <w:lang w:val="en-GB"/>
              </w:rPr>
              <w:t>of</w:t>
            </w:r>
            <w:r w:rsidRPr="00D14C15">
              <w:rPr>
                <w:lang w:val="en-GB"/>
              </w:rPr>
              <w:t xml:space="preserve"> integrated transport strategies (</w:t>
            </w:r>
            <w:r w:rsidR="00A82FD2">
              <w:rPr>
                <w:lang w:val="en-GB"/>
              </w:rPr>
              <w:t xml:space="preserve">hereinafter: </w:t>
            </w:r>
            <w:r w:rsidRPr="00D14C15">
              <w:rPr>
                <w:lang w:val="en-GB"/>
              </w:rPr>
              <w:t>SUMPs</w:t>
            </w:r>
            <w:r w:rsidRPr="00D14C15">
              <w:rPr>
                <w:rStyle w:val="Sprotnaopomba-sklic"/>
                <w:lang w:val="en-GB"/>
              </w:rPr>
              <w:footnoteReference w:id="12"/>
            </w:r>
            <w:r w:rsidRPr="00D14C15">
              <w:rPr>
                <w:lang w:val="en-GB"/>
              </w:rPr>
              <w:t xml:space="preserve">), which have already been adopted by 83 cities, but will need to be </w:t>
            </w:r>
            <w:r w:rsidR="00027522">
              <w:rPr>
                <w:lang w:val="en-GB"/>
              </w:rPr>
              <w:t>updated</w:t>
            </w:r>
            <w:r w:rsidRPr="00D14C15">
              <w:rPr>
                <w:lang w:val="en-GB"/>
              </w:rPr>
              <w:t xml:space="preserve">. Such strategies </w:t>
            </w:r>
            <w:r w:rsidR="00027522">
              <w:rPr>
                <w:lang w:val="en-GB"/>
              </w:rPr>
              <w:t>also need to be developed for</w:t>
            </w:r>
            <w:r w:rsidRPr="00D14C15">
              <w:rPr>
                <w:lang w:val="en-GB"/>
              </w:rPr>
              <w:t xml:space="preserve"> the regional level. The </w:t>
            </w:r>
            <w:r w:rsidR="00027522">
              <w:rPr>
                <w:lang w:val="en-GB"/>
              </w:rPr>
              <w:t>measures</w:t>
            </w:r>
            <w:r w:rsidRPr="00D14C15">
              <w:rPr>
                <w:lang w:val="en-GB"/>
              </w:rPr>
              <w:t xml:space="preserve"> foreseen in the strategies will contribute to achieving the objectives set out in the Cities Mission</w:t>
            </w:r>
            <w:r w:rsidR="003610D2">
              <w:rPr>
                <w:lang w:val="en-GB"/>
              </w:rPr>
              <w:t xml:space="preserve"> initiative </w:t>
            </w:r>
            <w:r w:rsidR="00027522">
              <w:rPr>
                <w:lang w:val="en-GB"/>
              </w:rPr>
              <w:t xml:space="preserve">for </w:t>
            </w:r>
            <w:r w:rsidRPr="00D14C15">
              <w:rPr>
                <w:lang w:val="en-GB"/>
              </w:rPr>
              <w:t>climate</w:t>
            </w:r>
            <w:r w:rsidR="00027522">
              <w:rPr>
                <w:lang w:val="en-GB"/>
              </w:rPr>
              <w:t>-</w:t>
            </w:r>
            <w:r w:rsidRPr="00D14C15">
              <w:rPr>
                <w:lang w:val="en-GB"/>
              </w:rPr>
              <w:t>neutral cities.</w:t>
            </w:r>
          </w:p>
          <w:p w14:paraId="17366C15" w14:textId="77777777" w:rsidR="0076298E" w:rsidRPr="00D14C15" w:rsidRDefault="0076298E">
            <w:pPr>
              <w:ind w:left="720"/>
              <w:contextualSpacing/>
              <w:jc w:val="both"/>
              <w:rPr>
                <w:lang w:val="en-GB"/>
              </w:rPr>
            </w:pPr>
          </w:p>
          <w:p w14:paraId="1DDD1110" w14:textId="77777777" w:rsidR="0076298E" w:rsidRPr="00D14C15" w:rsidRDefault="0032633A">
            <w:pPr>
              <w:jc w:val="both"/>
              <w:rPr>
                <w:lang w:val="en-GB"/>
              </w:rPr>
            </w:pPr>
            <w:r w:rsidRPr="00D14C15">
              <w:rPr>
                <w:lang w:val="en-GB"/>
              </w:rPr>
              <w:t xml:space="preserve">Air quality is also </w:t>
            </w:r>
            <w:r w:rsidR="006F08DB">
              <w:rPr>
                <w:lang w:val="en-GB"/>
              </w:rPr>
              <w:t>related</w:t>
            </w:r>
            <w:r w:rsidRPr="00D14C15">
              <w:rPr>
                <w:lang w:val="en-GB"/>
              </w:rPr>
              <w:t xml:space="preserve"> to the issue of transport, especially in urban areas, where </w:t>
            </w:r>
            <w:r w:rsidR="006F08DB" w:rsidRPr="00D14C15">
              <w:rPr>
                <w:lang w:val="en-GB"/>
              </w:rPr>
              <w:t>expos</w:t>
            </w:r>
            <w:r w:rsidR="006F08DB">
              <w:rPr>
                <w:lang w:val="en-GB"/>
              </w:rPr>
              <w:t xml:space="preserve">ure </w:t>
            </w:r>
            <w:r w:rsidR="006F08DB" w:rsidRPr="00D14C15">
              <w:rPr>
                <w:lang w:val="en-GB"/>
              </w:rPr>
              <w:t xml:space="preserve">to </w:t>
            </w:r>
            <w:r w:rsidR="006F08DB">
              <w:rPr>
                <w:lang w:val="en-GB"/>
              </w:rPr>
              <w:t xml:space="preserve">particles is above the </w:t>
            </w:r>
            <w:r w:rsidRPr="00D14C15">
              <w:rPr>
                <w:lang w:val="en-GB"/>
              </w:rPr>
              <w:t>EU average</w:t>
            </w:r>
            <w:r w:rsidRPr="00264FB4">
              <w:rPr>
                <w:vertAlign w:val="superscript"/>
                <w:lang w:val="en-GB"/>
              </w:rPr>
              <w:footnoteReference w:id="13"/>
            </w:r>
            <w:r w:rsidRPr="00D14C15">
              <w:rPr>
                <w:lang w:val="en-GB"/>
              </w:rPr>
              <w:t xml:space="preserve">. </w:t>
            </w:r>
          </w:p>
          <w:p w14:paraId="44E44577" w14:textId="77777777" w:rsidR="0076298E" w:rsidRPr="00D14C15" w:rsidRDefault="0076298E">
            <w:pPr>
              <w:ind w:left="720"/>
              <w:contextualSpacing/>
              <w:jc w:val="both"/>
              <w:rPr>
                <w:lang w:val="en-GB"/>
              </w:rPr>
            </w:pPr>
          </w:p>
          <w:p w14:paraId="0449B7FB" w14:textId="77777777" w:rsidR="0076298E" w:rsidRPr="00D14C15" w:rsidRDefault="003610D2">
            <w:pPr>
              <w:widowControl/>
              <w:numPr>
                <w:ilvl w:val="0"/>
                <w:numId w:val="2"/>
              </w:numPr>
              <w:autoSpaceDE/>
              <w:autoSpaceDN/>
              <w:contextualSpacing/>
              <w:jc w:val="both"/>
              <w:rPr>
                <w:lang w:val="en-GB"/>
              </w:rPr>
            </w:pPr>
            <w:r>
              <w:rPr>
                <w:b/>
                <w:i/>
                <w:lang w:val="en-GB"/>
              </w:rPr>
              <w:t>i</w:t>
            </w:r>
            <w:r w:rsidR="0032633A" w:rsidRPr="00D14C15">
              <w:rPr>
                <w:b/>
                <w:i/>
                <w:lang w:val="en-GB"/>
              </w:rPr>
              <w:t>ntroduction of new low-carbon circular business models, including more efficient waste management</w:t>
            </w:r>
          </w:p>
          <w:p w14:paraId="1B23D22E" w14:textId="77777777" w:rsidR="0076298E" w:rsidRPr="00D14C15" w:rsidRDefault="0076298E">
            <w:pPr>
              <w:jc w:val="both"/>
              <w:rPr>
                <w:lang w:val="en-GB"/>
              </w:rPr>
            </w:pPr>
          </w:p>
          <w:p w14:paraId="4842F8D1" w14:textId="77777777" w:rsidR="0076298E" w:rsidRPr="00D14C15" w:rsidRDefault="0032633A">
            <w:pPr>
              <w:jc w:val="both"/>
              <w:rPr>
                <w:lang w:val="en-GB"/>
              </w:rPr>
            </w:pPr>
            <w:r w:rsidRPr="00D14C15">
              <w:rPr>
                <w:lang w:val="en-GB"/>
              </w:rPr>
              <w:t xml:space="preserve">The transition to a low-carbon circular economy </w:t>
            </w:r>
            <w:r w:rsidR="00A71A19">
              <w:rPr>
                <w:lang w:val="en-GB"/>
              </w:rPr>
              <w:t xml:space="preserve">should </w:t>
            </w:r>
            <w:r w:rsidRPr="00D14C15">
              <w:rPr>
                <w:lang w:val="en-GB"/>
              </w:rPr>
              <w:t xml:space="preserve">be </w:t>
            </w:r>
            <w:r w:rsidR="00A71A19">
              <w:rPr>
                <w:lang w:val="en-GB"/>
              </w:rPr>
              <w:t xml:space="preserve">interpreted </w:t>
            </w:r>
            <w:r w:rsidRPr="00D14C15">
              <w:rPr>
                <w:lang w:val="en-GB"/>
              </w:rPr>
              <w:t>in the broader co</w:t>
            </w:r>
            <w:r w:rsidR="00A71A19">
              <w:rPr>
                <w:lang w:val="en-GB"/>
              </w:rPr>
              <w:t>ntext of productivity growth, as</w:t>
            </w:r>
            <w:r w:rsidRPr="00D14C15">
              <w:rPr>
                <w:lang w:val="en-GB"/>
              </w:rPr>
              <w:t xml:space="preserve"> access to and prices of raw materials and energy products will </w:t>
            </w:r>
            <w:r w:rsidR="00C844E6">
              <w:rPr>
                <w:lang w:val="en-GB"/>
              </w:rPr>
              <w:t>continue to influence</w:t>
            </w:r>
            <w:r w:rsidRPr="00D14C15">
              <w:rPr>
                <w:lang w:val="en-GB"/>
              </w:rPr>
              <w:t xml:space="preserve"> the competitiveness of businesses and industry. Slovenia, which ranks below the EU average in terms of energy</w:t>
            </w:r>
            <w:r w:rsidR="00C844E6">
              <w:rPr>
                <w:lang w:val="en-GB"/>
              </w:rPr>
              <w:t>,</w:t>
            </w:r>
            <w:r w:rsidRPr="00D14C15">
              <w:rPr>
                <w:lang w:val="en-GB"/>
              </w:rPr>
              <w:t xml:space="preserve"> material and emission productivity, </w:t>
            </w:r>
            <w:r w:rsidR="00A71A19">
              <w:rPr>
                <w:lang w:val="en-GB"/>
              </w:rPr>
              <w:t>should address</w:t>
            </w:r>
            <w:r w:rsidR="00E468E3">
              <w:rPr>
                <w:lang w:val="en-GB"/>
              </w:rPr>
              <w:t xml:space="preserve"> this challenge </w:t>
            </w:r>
            <w:r w:rsidR="00C844E6">
              <w:rPr>
                <w:lang w:val="en-GB"/>
              </w:rPr>
              <w:t>systematically</w:t>
            </w:r>
            <w:r w:rsidRPr="00D14C15">
              <w:rPr>
                <w:lang w:val="en-GB"/>
              </w:rPr>
              <w:t xml:space="preserve">. </w:t>
            </w:r>
          </w:p>
          <w:p w14:paraId="4C50360D" w14:textId="77777777" w:rsidR="0076298E" w:rsidRPr="00D14C15" w:rsidRDefault="0076298E">
            <w:pPr>
              <w:jc w:val="both"/>
              <w:rPr>
                <w:lang w:val="en-GB"/>
              </w:rPr>
            </w:pPr>
          </w:p>
          <w:p w14:paraId="3C367F8B" w14:textId="77777777" w:rsidR="0076298E" w:rsidRPr="00D14C15" w:rsidRDefault="0032633A">
            <w:pPr>
              <w:jc w:val="both"/>
              <w:rPr>
                <w:lang w:val="en-GB"/>
              </w:rPr>
            </w:pPr>
            <w:r w:rsidRPr="00D14C15">
              <w:rPr>
                <w:lang w:val="en-GB"/>
              </w:rPr>
              <w:t>55% of Slovenian SMEs bel</w:t>
            </w:r>
            <w:r w:rsidR="00C844E6">
              <w:rPr>
                <w:lang w:val="en-GB"/>
              </w:rPr>
              <w:t>ieve that subsidies help them</w:t>
            </w:r>
            <w:r w:rsidRPr="00D14C15">
              <w:rPr>
                <w:lang w:val="en-GB"/>
              </w:rPr>
              <w:t xml:space="preserve"> manage resources more efficiently (EU: 36%)</w:t>
            </w:r>
            <w:r w:rsidRPr="00D14C15">
              <w:rPr>
                <w:rStyle w:val="Sprotnaopomba-sklic"/>
                <w:lang w:val="en-GB"/>
              </w:rPr>
              <w:footnoteReference w:id="14"/>
            </w:r>
            <w:r w:rsidRPr="00D14C15">
              <w:rPr>
                <w:lang w:val="en-GB"/>
              </w:rPr>
              <w:t xml:space="preserve">. </w:t>
            </w:r>
            <w:r w:rsidR="00F559CE">
              <w:rPr>
                <w:lang w:val="en-GB"/>
              </w:rPr>
              <w:t>C</w:t>
            </w:r>
            <w:r w:rsidR="00F559CE" w:rsidRPr="00D14C15">
              <w:rPr>
                <w:lang w:val="en-GB"/>
              </w:rPr>
              <w:t>ompared to 2017</w:t>
            </w:r>
            <w:r w:rsidR="00F559CE">
              <w:rPr>
                <w:lang w:val="en-GB"/>
              </w:rPr>
              <w:t>,</w:t>
            </w:r>
            <w:r w:rsidR="00F559CE" w:rsidRPr="00D14C15">
              <w:rPr>
                <w:lang w:val="en-GB"/>
              </w:rPr>
              <w:t xml:space="preserve"> </w:t>
            </w:r>
            <w:r w:rsidR="00F559CE">
              <w:rPr>
                <w:lang w:val="en-GB"/>
              </w:rPr>
              <w:t>the SMEs surveyed show</w:t>
            </w:r>
            <w:r w:rsidRPr="00D14C15">
              <w:rPr>
                <w:lang w:val="en-GB"/>
              </w:rPr>
              <w:t xml:space="preserve"> </w:t>
            </w:r>
            <w:r w:rsidR="00F559CE">
              <w:rPr>
                <w:lang w:val="en-GB"/>
              </w:rPr>
              <w:t>an increase in the offer</w:t>
            </w:r>
            <w:r w:rsidR="00C844E6">
              <w:rPr>
                <w:lang w:val="en-GB"/>
              </w:rPr>
              <w:t xml:space="preserve"> of</w:t>
            </w:r>
            <w:r w:rsidR="00F559CE">
              <w:rPr>
                <w:lang w:val="en-GB"/>
              </w:rPr>
              <w:t xml:space="preserve"> </w:t>
            </w:r>
            <w:r w:rsidRPr="00D14C15">
              <w:rPr>
                <w:lang w:val="en-GB"/>
              </w:rPr>
              <w:t xml:space="preserve">green products and services </w:t>
            </w:r>
            <w:r w:rsidR="00F559CE">
              <w:rPr>
                <w:lang w:val="en-GB"/>
              </w:rPr>
              <w:t>(the number of such SMEs rose by 14%</w:t>
            </w:r>
            <w:r w:rsidR="00F559CE" w:rsidRPr="00D14C15">
              <w:rPr>
                <w:lang w:val="en-GB"/>
              </w:rPr>
              <w:t xml:space="preserve">) </w:t>
            </w:r>
            <w:r w:rsidRPr="00D14C15">
              <w:rPr>
                <w:lang w:val="en-GB"/>
              </w:rPr>
              <w:t>and green jobs (</w:t>
            </w:r>
            <w:r w:rsidR="00F559CE">
              <w:rPr>
                <w:lang w:val="en-GB"/>
              </w:rPr>
              <w:t xml:space="preserve">the number of such SMEs rose </w:t>
            </w:r>
            <w:r w:rsidRPr="00D14C15">
              <w:rPr>
                <w:lang w:val="en-GB"/>
              </w:rPr>
              <w:t>by 17</w:t>
            </w:r>
            <w:r w:rsidR="00F559CE">
              <w:rPr>
                <w:lang w:val="en-GB"/>
              </w:rPr>
              <w:t>%</w:t>
            </w:r>
            <w:r w:rsidRPr="00D14C15">
              <w:rPr>
                <w:lang w:val="en-GB"/>
              </w:rPr>
              <w:t xml:space="preserve">). When developing new green products and services, companies also </w:t>
            </w:r>
            <w:r w:rsidR="005E6821">
              <w:rPr>
                <w:lang w:val="en-GB"/>
              </w:rPr>
              <w:t>need</w:t>
            </w:r>
            <w:r w:rsidRPr="00D14C15">
              <w:rPr>
                <w:lang w:val="en-GB"/>
              </w:rPr>
              <w:t xml:space="preserve"> support in the form of technical assistance and advice on how to identify potenti</w:t>
            </w:r>
            <w:r w:rsidR="005E6821">
              <w:rPr>
                <w:lang w:val="en-GB"/>
              </w:rPr>
              <w:t>al markets or customers, and in terms of</w:t>
            </w:r>
            <w:r w:rsidRPr="00D14C15">
              <w:rPr>
                <w:lang w:val="en-GB"/>
              </w:rPr>
              <w:t xml:space="preserve"> marketing and distribution.</w:t>
            </w:r>
            <w:r w:rsidRPr="005E6821">
              <w:rPr>
                <w:vertAlign w:val="superscript"/>
                <w:lang w:val="en-GB"/>
              </w:rPr>
              <w:footnoteReference w:id="15"/>
            </w:r>
            <w:r w:rsidRPr="00D14C15">
              <w:rPr>
                <w:lang w:val="en-GB"/>
              </w:rPr>
              <w:t xml:space="preserve"> We will partly support the transformation towards decarbonisation of the economy through reforms </w:t>
            </w:r>
            <w:r w:rsidR="005E6821">
              <w:rPr>
                <w:lang w:val="en-GB"/>
              </w:rPr>
              <w:t xml:space="preserve">and investments in the frame of the </w:t>
            </w:r>
            <w:r w:rsidR="00305559">
              <w:rPr>
                <w:lang w:val="en-GB"/>
              </w:rPr>
              <w:t>RRP</w:t>
            </w:r>
            <w:r w:rsidRPr="00D14C15">
              <w:rPr>
                <w:lang w:val="en-GB"/>
              </w:rPr>
              <w:t xml:space="preserve">. </w:t>
            </w:r>
            <w:r w:rsidR="005E6821">
              <w:rPr>
                <w:lang w:val="en-GB"/>
              </w:rPr>
              <w:t>However,</w:t>
            </w:r>
            <w:r w:rsidRPr="00D14C15">
              <w:rPr>
                <w:lang w:val="en-GB"/>
              </w:rPr>
              <w:t xml:space="preserve"> additional investment </w:t>
            </w:r>
            <w:r w:rsidR="005E6821">
              <w:rPr>
                <w:lang w:val="en-GB"/>
              </w:rPr>
              <w:t>are needed in the field of</w:t>
            </w:r>
            <w:r w:rsidRPr="00D14C15">
              <w:rPr>
                <w:lang w:val="en-GB"/>
              </w:rPr>
              <w:t xml:space="preserve"> RD</w:t>
            </w:r>
            <w:r w:rsidR="005E6821">
              <w:rPr>
                <w:lang w:val="en-GB"/>
              </w:rPr>
              <w:t>I</w:t>
            </w:r>
            <w:r w:rsidRPr="00D14C15">
              <w:rPr>
                <w:lang w:val="en-GB"/>
              </w:rPr>
              <w:t xml:space="preserve">, strengthening the supportive environment, supporting the reduction of process emissions, as well as </w:t>
            </w:r>
            <w:r w:rsidR="005E6821">
              <w:rPr>
                <w:lang w:val="en-GB"/>
              </w:rPr>
              <w:t xml:space="preserve">in </w:t>
            </w:r>
            <w:r w:rsidRPr="00D14C15">
              <w:rPr>
                <w:lang w:val="en-GB"/>
              </w:rPr>
              <w:t>develop</w:t>
            </w:r>
            <w:r w:rsidR="005E6821">
              <w:rPr>
                <w:lang w:val="en-GB"/>
              </w:rPr>
              <w:t>ing</w:t>
            </w:r>
            <w:r w:rsidRPr="00D14C15">
              <w:rPr>
                <w:lang w:val="en-GB"/>
              </w:rPr>
              <w:t xml:space="preserve"> new environmentally more acceptable products, services and business models. The creative sector and the improvement of such </w:t>
            </w:r>
            <w:r w:rsidR="005E6821">
              <w:rPr>
                <w:lang w:val="en-GB"/>
              </w:rPr>
              <w:t>skills</w:t>
            </w:r>
            <w:r w:rsidRPr="00D14C15">
              <w:rPr>
                <w:lang w:val="en-GB"/>
              </w:rPr>
              <w:t xml:space="preserve"> in the public sector </w:t>
            </w:r>
            <w:r w:rsidR="005E6821">
              <w:rPr>
                <w:lang w:val="en-GB"/>
              </w:rPr>
              <w:t>should</w:t>
            </w:r>
            <w:r w:rsidRPr="00D14C15">
              <w:rPr>
                <w:lang w:val="en-GB"/>
              </w:rPr>
              <w:t xml:space="preserve"> also play an important role in the transformation.</w:t>
            </w:r>
          </w:p>
          <w:p w14:paraId="11C7C3C7" w14:textId="77777777" w:rsidR="0076298E" w:rsidRPr="00D14C15" w:rsidRDefault="0076298E">
            <w:pPr>
              <w:ind w:left="720"/>
              <w:contextualSpacing/>
              <w:jc w:val="both"/>
              <w:rPr>
                <w:lang w:val="en-GB"/>
              </w:rPr>
            </w:pPr>
          </w:p>
          <w:p w14:paraId="37AE5953" w14:textId="77777777" w:rsidR="0076298E" w:rsidRPr="00D14C15" w:rsidRDefault="00C844E6">
            <w:pPr>
              <w:pStyle w:val="P68B1DB1-Navaden4"/>
              <w:widowControl/>
              <w:numPr>
                <w:ilvl w:val="0"/>
                <w:numId w:val="2"/>
              </w:numPr>
              <w:autoSpaceDE/>
              <w:autoSpaceDN/>
              <w:contextualSpacing/>
              <w:jc w:val="both"/>
              <w:rPr>
                <w:lang w:val="en-GB"/>
              </w:rPr>
            </w:pPr>
            <w:r>
              <w:rPr>
                <w:lang w:val="en-GB"/>
              </w:rPr>
              <w:t>p</w:t>
            </w:r>
            <w:r w:rsidR="005E6821">
              <w:rPr>
                <w:lang w:val="en-GB"/>
              </w:rPr>
              <w:t>romoting</w:t>
            </w:r>
            <w:r w:rsidR="0032633A" w:rsidRPr="00D14C15">
              <w:rPr>
                <w:lang w:val="en-GB"/>
              </w:rPr>
              <w:t xml:space="preserve"> </w:t>
            </w:r>
            <w:r w:rsidR="005E6821">
              <w:rPr>
                <w:lang w:val="en-GB"/>
              </w:rPr>
              <w:t>energy efficiency</w:t>
            </w:r>
            <w:r w:rsidR="0032633A" w:rsidRPr="00D14C15">
              <w:rPr>
                <w:lang w:val="en-GB"/>
              </w:rPr>
              <w:t xml:space="preserve"> and a significant capacity</w:t>
            </w:r>
            <w:r w:rsidR="005E6821">
              <w:rPr>
                <w:lang w:val="en-GB"/>
              </w:rPr>
              <w:t xml:space="preserve"> building </w:t>
            </w:r>
            <w:r w:rsidR="0032633A" w:rsidRPr="00D14C15">
              <w:rPr>
                <w:lang w:val="en-GB"/>
              </w:rPr>
              <w:t xml:space="preserve">to </w:t>
            </w:r>
            <w:r w:rsidR="005E6821">
              <w:rPr>
                <w:lang w:val="en-GB"/>
              </w:rPr>
              <w:t>enhance</w:t>
            </w:r>
            <w:r w:rsidR="0032633A" w:rsidRPr="00D14C15">
              <w:rPr>
                <w:lang w:val="en-GB"/>
              </w:rPr>
              <w:t xml:space="preserve"> the use of RES, in particular through more efficient </w:t>
            </w:r>
            <w:r w:rsidR="005E3C7E">
              <w:rPr>
                <w:lang w:val="en-GB"/>
              </w:rPr>
              <w:t>sit</w:t>
            </w:r>
            <w:r w:rsidR="005E6821" w:rsidRPr="00A60D94">
              <w:rPr>
                <w:lang w:val="en-GB"/>
              </w:rPr>
              <w:t>ing</w:t>
            </w:r>
            <w:r w:rsidR="0032633A" w:rsidRPr="00A60D94">
              <w:rPr>
                <w:lang w:val="en-GB"/>
              </w:rPr>
              <w:t xml:space="preserve"> of projects</w:t>
            </w:r>
          </w:p>
          <w:p w14:paraId="36A58930" w14:textId="77777777" w:rsidR="0076298E" w:rsidRPr="00D14C15" w:rsidRDefault="0076298E">
            <w:pPr>
              <w:jc w:val="both"/>
              <w:rPr>
                <w:lang w:val="en-GB"/>
              </w:rPr>
            </w:pPr>
          </w:p>
          <w:p w14:paraId="078CCD95" w14:textId="77777777" w:rsidR="0076298E" w:rsidRPr="00D14C15" w:rsidRDefault="0032633A">
            <w:pPr>
              <w:jc w:val="both"/>
              <w:rPr>
                <w:lang w:val="en-GB"/>
              </w:rPr>
            </w:pPr>
            <w:r w:rsidRPr="00D14C15">
              <w:rPr>
                <w:lang w:val="en-GB"/>
              </w:rPr>
              <w:t xml:space="preserve">Investing in energy efficiency is the </w:t>
            </w:r>
            <w:r w:rsidR="008D6CF9">
              <w:rPr>
                <w:lang w:val="en-GB"/>
              </w:rPr>
              <w:t>basis</w:t>
            </w:r>
            <w:r w:rsidRPr="00D14C15">
              <w:rPr>
                <w:lang w:val="en-GB"/>
              </w:rPr>
              <w:t xml:space="preserve"> of the transition towards climate neutrality. In households, final consumption of energy decreased due to occ</w:t>
            </w:r>
            <w:r w:rsidR="008D6CF9">
              <w:rPr>
                <w:lang w:val="en-GB"/>
              </w:rPr>
              <w:t>asionally higher temperatures during the heating season</w:t>
            </w:r>
            <w:r w:rsidRPr="00D14C15">
              <w:rPr>
                <w:lang w:val="en-GB"/>
              </w:rPr>
              <w:t xml:space="preserve">, </w:t>
            </w:r>
            <w:r w:rsidR="00CA04AB">
              <w:rPr>
                <w:lang w:val="en-GB"/>
              </w:rPr>
              <w:t xml:space="preserve">installation of </w:t>
            </w:r>
            <w:r w:rsidRPr="00D14C15">
              <w:rPr>
                <w:lang w:val="en-GB"/>
              </w:rPr>
              <w:t>heat</w:t>
            </w:r>
            <w:r w:rsidR="00CA04AB">
              <w:rPr>
                <w:lang w:val="en-GB"/>
              </w:rPr>
              <w:t xml:space="preserve"> cost</w:t>
            </w:r>
            <w:r w:rsidRPr="00D14C15">
              <w:rPr>
                <w:lang w:val="en-GB"/>
              </w:rPr>
              <w:t xml:space="preserve"> allocators, </w:t>
            </w:r>
            <w:r w:rsidR="00CA04AB">
              <w:rPr>
                <w:lang w:val="en-GB"/>
              </w:rPr>
              <w:t xml:space="preserve">more efficient </w:t>
            </w:r>
            <w:r w:rsidRPr="00D14C15">
              <w:rPr>
                <w:lang w:val="en-GB"/>
              </w:rPr>
              <w:t xml:space="preserve">heating </w:t>
            </w:r>
            <w:r w:rsidR="00CA04AB">
              <w:rPr>
                <w:lang w:val="en-GB"/>
              </w:rPr>
              <w:t>appliances</w:t>
            </w:r>
            <w:r w:rsidR="009B2119">
              <w:rPr>
                <w:lang w:val="en-GB"/>
              </w:rPr>
              <w:t>,</w:t>
            </w:r>
            <w:r w:rsidR="00CA04AB">
              <w:rPr>
                <w:lang w:val="en-GB"/>
              </w:rPr>
              <w:t xml:space="preserve"> </w:t>
            </w:r>
            <w:r w:rsidRPr="00D14C15">
              <w:rPr>
                <w:lang w:val="en-GB"/>
              </w:rPr>
              <w:t xml:space="preserve">and </w:t>
            </w:r>
            <w:r w:rsidR="00CA04AB">
              <w:rPr>
                <w:lang w:val="en-GB"/>
              </w:rPr>
              <w:t xml:space="preserve">the </w:t>
            </w:r>
            <w:r w:rsidRPr="00D14C15">
              <w:rPr>
                <w:lang w:val="en-GB"/>
              </w:rPr>
              <w:t>energy renovation of buildings.</w:t>
            </w:r>
            <w:r w:rsidRPr="008D6CF9">
              <w:rPr>
                <w:vertAlign w:val="superscript"/>
                <w:lang w:val="en-GB"/>
              </w:rPr>
              <w:footnoteReference w:id="16"/>
            </w:r>
            <w:r w:rsidRPr="00D14C15">
              <w:rPr>
                <w:lang w:val="en-GB"/>
              </w:rPr>
              <w:t xml:space="preserve"> According to </w:t>
            </w:r>
            <w:r w:rsidR="00CA04AB" w:rsidRPr="00677903">
              <w:rPr>
                <w:lang w:val="en-GB"/>
              </w:rPr>
              <w:t>NECP</w:t>
            </w:r>
            <w:r w:rsidR="00CA04AB">
              <w:rPr>
                <w:lang w:val="en-GB"/>
              </w:rPr>
              <w:t xml:space="preserve">, Slovenia should improve </w:t>
            </w:r>
            <w:r w:rsidRPr="00D14C15">
              <w:rPr>
                <w:lang w:val="en-GB"/>
              </w:rPr>
              <w:t xml:space="preserve">energy efficiency </w:t>
            </w:r>
            <w:r w:rsidR="00CA04AB">
              <w:rPr>
                <w:lang w:val="en-GB"/>
              </w:rPr>
              <w:t>by</w:t>
            </w:r>
            <w:r w:rsidR="00425393">
              <w:rPr>
                <w:lang w:val="en-GB"/>
              </w:rPr>
              <w:t xml:space="preserve"> at least 35</w:t>
            </w:r>
            <w:r w:rsidRPr="00D14C15">
              <w:rPr>
                <w:lang w:val="en-GB"/>
              </w:rPr>
              <w:t xml:space="preserve">% by 2030. The objectives will be achieved </w:t>
            </w:r>
            <w:r w:rsidR="00CA04AB">
              <w:rPr>
                <w:lang w:val="en-GB"/>
              </w:rPr>
              <w:t>by</w:t>
            </w:r>
            <w:r w:rsidRPr="00D14C15">
              <w:rPr>
                <w:lang w:val="en-GB"/>
              </w:rPr>
              <w:t xml:space="preserve"> combin</w:t>
            </w:r>
            <w:r w:rsidR="00CA04AB">
              <w:rPr>
                <w:lang w:val="en-GB"/>
              </w:rPr>
              <w:t>ing</w:t>
            </w:r>
            <w:r w:rsidRPr="00D14C15">
              <w:rPr>
                <w:lang w:val="en-GB"/>
              </w:rPr>
              <w:t xml:space="preserve"> resources (national, </w:t>
            </w:r>
            <w:r w:rsidR="00305559">
              <w:rPr>
                <w:lang w:val="en-GB"/>
              </w:rPr>
              <w:t>RRP</w:t>
            </w:r>
            <w:r w:rsidR="00305559" w:rsidRPr="00D14C15">
              <w:rPr>
                <w:lang w:val="en-GB"/>
              </w:rPr>
              <w:t xml:space="preserve"> </w:t>
            </w:r>
            <w:r w:rsidRPr="00D14C15">
              <w:rPr>
                <w:lang w:val="en-GB"/>
              </w:rPr>
              <w:t xml:space="preserve">and ECP). It is essential to invest in the energy renovation of public sector buildings, where cumulative final energy consumption in 2020 </w:t>
            </w:r>
            <w:r w:rsidR="00146CBB">
              <w:rPr>
                <w:lang w:val="en-GB"/>
              </w:rPr>
              <w:t xml:space="preserve">lagged </w:t>
            </w:r>
            <w:r w:rsidR="00425393">
              <w:rPr>
                <w:lang w:val="en-GB"/>
              </w:rPr>
              <w:t xml:space="preserve">behind the target values </w:t>
            </w:r>
            <w:r w:rsidR="00146CBB">
              <w:rPr>
                <w:lang w:val="en-GB"/>
              </w:rPr>
              <w:t>by</w:t>
            </w:r>
            <w:r w:rsidR="00CA04AB">
              <w:rPr>
                <w:lang w:val="en-GB"/>
              </w:rPr>
              <w:t xml:space="preserve"> 26</w:t>
            </w:r>
            <w:r w:rsidRPr="00D14C15">
              <w:rPr>
                <w:lang w:val="en-GB"/>
              </w:rPr>
              <w:t xml:space="preserve">% </w:t>
            </w:r>
            <w:r w:rsidR="00146CBB">
              <w:rPr>
                <w:lang w:val="en-GB"/>
              </w:rPr>
              <w:t>and</w:t>
            </w:r>
            <w:r w:rsidRPr="00D14C15">
              <w:rPr>
                <w:lang w:val="en-GB"/>
              </w:rPr>
              <w:t xml:space="preserve"> </w:t>
            </w:r>
            <w:r w:rsidRPr="00D14C15">
              <w:rPr>
                <w:lang w:val="en-GB"/>
              </w:rPr>
              <w:lastRenderedPageBreak/>
              <w:t>cumulative reduction of CO</w:t>
            </w:r>
            <w:r w:rsidRPr="00D14C15">
              <w:rPr>
                <w:vertAlign w:val="subscript"/>
                <w:lang w:val="en-GB"/>
              </w:rPr>
              <w:t>2</w:t>
            </w:r>
            <w:r w:rsidRPr="00D14C15">
              <w:rPr>
                <w:lang w:val="en-GB"/>
              </w:rPr>
              <w:t xml:space="preserve"> emis</w:t>
            </w:r>
            <w:r w:rsidR="00425393">
              <w:rPr>
                <w:lang w:val="en-GB"/>
              </w:rPr>
              <w:t>sions by 12</w:t>
            </w:r>
            <w:r w:rsidR="00146CBB">
              <w:rPr>
                <w:lang w:val="en-GB"/>
              </w:rPr>
              <w:t>%</w:t>
            </w:r>
            <w:r w:rsidRPr="00D14C15">
              <w:rPr>
                <w:lang w:val="en-GB"/>
              </w:rPr>
              <w:t xml:space="preserve">. </w:t>
            </w:r>
            <w:r w:rsidR="00146CBB">
              <w:rPr>
                <w:lang w:val="en-GB"/>
              </w:rPr>
              <w:t>T</w:t>
            </w:r>
            <w:r w:rsidRPr="00D14C15">
              <w:rPr>
                <w:lang w:val="en-GB"/>
              </w:rPr>
              <w:t xml:space="preserve">he tasks of the existing </w:t>
            </w:r>
            <w:r w:rsidR="00425393">
              <w:rPr>
                <w:lang w:val="en-GB"/>
              </w:rPr>
              <w:t>Task Force – Office for the Energy Renovation of Buildings</w:t>
            </w:r>
            <w:r w:rsidRPr="00D14C15">
              <w:rPr>
                <w:lang w:val="en-GB"/>
              </w:rPr>
              <w:t xml:space="preserve"> should be upgraded</w:t>
            </w:r>
            <w:r w:rsidR="00425393">
              <w:rPr>
                <w:lang w:val="en-GB"/>
              </w:rPr>
              <w:t xml:space="preserve"> and should also act as </w:t>
            </w:r>
            <w:r w:rsidRPr="00D14C15">
              <w:rPr>
                <w:lang w:val="en-GB"/>
              </w:rPr>
              <w:t>the system</w:t>
            </w:r>
            <w:r w:rsidR="00425393">
              <w:rPr>
                <w:lang w:val="en-GB"/>
              </w:rPr>
              <w:t>-level</w:t>
            </w:r>
            <w:r w:rsidRPr="00D14C15">
              <w:rPr>
                <w:lang w:val="en-GB"/>
              </w:rPr>
              <w:t xml:space="preserve"> accelerator of </w:t>
            </w:r>
            <w:r w:rsidR="00425393">
              <w:rPr>
                <w:lang w:val="en-GB"/>
              </w:rPr>
              <w:t xml:space="preserve">projects for </w:t>
            </w:r>
            <w:r w:rsidRPr="00D14C15">
              <w:rPr>
                <w:lang w:val="en-GB"/>
              </w:rPr>
              <w:t xml:space="preserve">energy renovation of public buildings. </w:t>
            </w:r>
            <w:r w:rsidR="00146CBB">
              <w:rPr>
                <w:lang w:val="en-GB"/>
              </w:rPr>
              <w:t xml:space="preserve">In light of </w:t>
            </w:r>
            <w:r w:rsidRPr="00D14C15">
              <w:rPr>
                <w:lang w:val="en-GB"/>
              </w:rPr>
              <w:t>the ambitio</w:t>
            </w:r>
            <w:r w:rsidR="00146CBB">
              <w:rPr>
                <w:lang w:val="en-GB"/>
              </w:rPr>
              <w:t>us</w:t>
            </w:r>
            <w:r w:rsidRPr="00D14C15">
              <w:rPr>
                <w:lang w:val="en-GB"/>
              </w:rPr>
              <w:t xml:space="preserve"> 2030 targets, </w:t>
            </w:r>
            <w:r w:rsidR="00425393">
              <w:rPr>
                <w:lang w:val="en-GB"/>
              </w:rPr>
              <w:t>we should</w:t>
            </w:r>
            <w:r w:rsidRPr="00D14C15">
              <w:rPr>
                <w:lang w:val="en-GB"/>
              </w:rPr>
              <w:t xml:space="preserve"> ensure adequate intensity of implementation of measures in households. Energy poverty is a particular challenge, as more than 40% of single residential buildings have high heating costs. In line with </w:t>
            </w:r>
            <w:r w:rsidRPr="00677903">
              <w:rPr>
                <w:lang w:val="en-GB"/>
              </w:rPr>
              <w:t>NECP</w:t>
            </w:r>
            <w:r w:rsidRPr="00D14C15">
              <w:rPr>
                <w:lang w:val="en-GB"/>
              </w:rPr>
              <w:t xml:space="preserve"> and the Long-term</w:t>
            </w:r>
            <w:r w:rsidR="00E6138C">
              <w:rPr>
                <w:lang w:val="en-GB"/>
              </w:rPr>
              <w:t xml:space="preserve"> Energy</w:t>
            </w:r>
            <w:r w:rsidRPr="00D14C15">
              <w:rPr>
                <w:lang w:val="en-GB"/>
              </w:rPr>
              <w:t xml:space="preserve"> Renovation Strategy for </w:t>
            </w:r>
            <w:r w:rsidR="00E6138C" w:rsidRPr="00D14C15">
              <w:rPr>
                <w:lang w:val="en-GB"/>
              </w:rPr>
              <w:t xml:space="preserve">2050 </w:t>
            </w:r>
            <w:r w:rsidRPr="00D14C15">
              <w:rPr>
                <w:lang w:val="en-GB"/>
              </w:rPr>
              <w:t>(</w:t>
            </w:r>
            <w:r w:rsidRPr="00E6138C">
              <w:rPr>
                <w:lang w:val="en-GB"/>
              </w:rPr>
              <w:t>DSEPS</w:t>
            </w:r>
            <w:r w:rsidRPr="00D14C15">
              <w:rPr>
                <w:lang w:val="en-GB"/>
              </w:rPr>
              <w:t xml:space="preserve"> 2050),</w:t>
            </w:r>
            <w:r w:rsidRPr="00D14C15">
              <w:rPr>
                <w:rStyle w:val="Sprotnaopomba-sklic"/>
                <w:lang w:val="en-GB"/>
              </w:rPr>
              <w:footnoteReference w:id="17"/>
            </w:r>
            <w:r w:rsidR="00146CBB" w:rsidRPr="00146CBB">
              <w:rPr>
                <w:vertAlign w:val="superscript"/>
                <w:lang w:val="en-GB"/>
              </w:rPr>
              <w:t>,</w:t>
            </w:r>
            <w:r w:rsidR="00425393">
              <w:rPr>
                <w:vertAlign w:val="superscript"/>
                <w:lang w:val="en-GB"/>
              </w:rPr>
              <w:t xml:space="preserve"> </w:t>
            </w:r>
            <w:r w:rsidRPr="00146CBB">
              <w:rPr>
                <w:vertAlign w:val="superscript"/>
                <w:lang w:val="en-GB"/>
              </w:rPr>
              <w:footnoteReference w:id="18"/>
            </w:r>
            <w:r w:rsidRPr="00146CBB">
              <w:rPr>
                <w:vertAlign w:val="superscript"/>
                <w:lang w:val="en-GB"/>
              </w:rPr>
              <w:t xml:space="preserve"> </w:t>
            </w:r>
            <w:r w:rsidR="002D2CB6">
              <w:rPr>
                <w:lang w:val="en-GB"/>
              </w:rPr>
              <w:t>Slovenia should</w:t>
            </w:r>
            <w:r w:rsidRPr="00D14C15">
              <w:rPr>
                <w:lang w:val="en-GB"/>
              </w:rPr>
              <w:t xml:space="preserve"> establish</w:t>
            </w:r>
            <w:r w:rsidR="002D2CB6">
              <w:rPr>
                <w:lang w:val="en-GB"/>
              </w:rPr>
              <w:t xml:space="preserve">, as soon as possible, an integrated </w:t>
            </w:r>
            <w:r w:rsidRPr="00D14C15">
              <w:rPr>
                <w:lang w:val="en-GB"/>
              </w:rPr>
              <w:t>approach to address th</w:t>
            </w:r>
            <w:r w:rsidR="00425393">
              <w:rPr>
                <w:lang w:val="en-GB"/>
              </w:rPr>
              <w:t>e</w:t>
            </w:r>
            <w:r w:rsidRPr="00D14C15">
              <w:rPr>
                <w:lang w:val="en-GB"/>
              </w:rPr>
              <w:t xml:space="preserve"> </w:t>
            </w:r>
            <w:r w:rsidR="002D2CB6">
              <w:rPr>
                <w:lang w:val="en-GB"/>
              </w:rPr>
              <w:t>issue</w:t>
            </w:r>
            <w:r w:rsidRPr="00D14C15">
              <w:rPr>
                <w:lang w:val="en-GB"/>
              </w:rPr>
              <w:t>.</w:t>
            </w:r>
          </w:p>
          <w:p w14:paraId="3FB78A1F" w14:textId="77777777" w:rsidR="0076298E" w:rsidRPr="00D14C15" w:rsidRDefault="0076298E">
            <w:pPr>
              <w:jc w:val="both"/>
              <w:rPr>
                <w:lang w:val="en-GB"/>
              </w:rPr>
            </w:pPr>
          </w:p>
          <w:p w14:paraId="7F3A9B8D" w14:textId="77777777" w:rsidR="0076298E" w:rsidRPr="00D14C15" w:rsidRDefault="0032633A">
            <w:pPr>
              <w:jc w:val="both"/>
              <w:rPr>
                <w:lang w:val="en-GB"/>
              </w:rPr>
            </w:pPr>
            <w:r w:rsidRPr="00D14C15">
              <w:rPr>
                <w:lang w:val="en-GB"/>
              </w:rPr>
              <w:t xml:space="preserve">The use of </w:t>
            </w:r>
            <w:r w:rsidR="0093371D">
              <w:rPr>
                <w:lang w:val="en-GB"/>
              </w:rPr>
              <w:t>renewable energy sources (</w:t>
            </w:r>
            <w:r w:rsidRPr="00D14C15">
              <w:rPr>
                <w:lang w:val="en-GB"/>
              </w:rPr>
              <w:t>RES</w:t>
            </w:r>
            <w:r w:rsidR="0093371D">
              <w:rPr>
                <w:lang w:val="en-GB"/>
              </w:rPr>
              <w:t>)</w:t>
            </w:r>
            <w:r w:rsidRPr="00D14C15">
              <w:rPr>
                <w:lang w:val="en-GB"/>
              </w:rPr>
              <w:t xml:space="preserve"> in final energy consumption </w:t>
            </w:r>
            <w:r w:rsidR="00425393">
              <w:rPr>
                <w:lang w:val="en-GB"/>
              </w:rPr>
              <w:t>in Slovenia rose the least</w:t>
            </w:r>
            <w:r w:rsidR="006D7086">
              <w:rPr>
                <w:lang w:val="en-GB"/>
              </w:rPr>
              <w:t xml:space="preserve"> among all EU Member States </w:t>
            </w:r>
            <w:r w:rsidRPr="00D14C15">
              <w:rPr>
                <w:rFonts w:eastAsia="Arial"/>
                <w:lang w:val="en-GB"/>
              </w:rPr>
              <w:t xml:space="preserve">in the period 2005-2020 </w:t>
            </w:r>
            <w:r w:rsidR="006D7086">
              <w:rPr>
                <w:rFonts w:eastAsia="Arial"/>
                <w:lang w:val="en-GB"/>
              </w:rPr>
              <w:t>(SI 6%, EU 92</w:t>
            </w:r>
            <w:r w:rsidRPr="00D14C15">
              <w:rPr>
                <w:rFonts w:eastAsia="Arial"/>
                <w:lang w:val="en-GB"/>
              </w:rPr>
              <w:t>%)</w:t>
            </w:r>
            <w:r w:rsidRPr="006D7086">
              <w:rPr>
                <w:rFonts w:eastAsia="Arial"/>
                <w:vertAlign w:val="superscript"/>
                <w:lang w:val="en-GB"/>
              </w:rPr>
              <w:footnoteReference w:id="19"/>
            </w:r>
            <w:r w:rsidRPr="00D14C15">
              <w:rPr>
                <w:rFonts w:eastAsia="Arial"/>
                <w:lang w:val="en-GB"/>
              </w:rPr>
              <w:t xml:space="preserve">. </w:t>
            </w:r>
            <w:r w:rsidRPr="00D14C15">
              <w:rPr>
                <w:lang w:val="en-GB"/>
              </w:rPr>
              <w:t xml:space="preserve">Slovenia thus used a mechanism for statistical transmission of </w:t>
            </w:r>
            <w:r w:rsidRPr="00D14C15">
              <w:rPr>
                <w:color w:val="333333"/>
                <w:sz w:val="21"/>
                <w:shd w:val="clear" w:color="auto" w:fill="FFFFFF"/>
                <w:lang w:val="en-GB"/>
              </w:rPr>
              <w:t xml:space="preserve">RES </w:t>
            </w:r>
            <w:r w:rsidRPr="00D14C15">
              <w:rPr>
                <w:lang w:val="en-GB"/>
              </w:rPr>
              <w:t>from another EU Member State to achieve its objective.</w:t>
            </w:r>
            <w:r w:rsidRPr="006D7086">
              <w:rPr>
                <w:vertAlign w:val="superscript"/>
                <w:lang w:val="en-GB"/>
              </w:rPr>
              <w:footnoteReference w:id="20"/>
            </w:r>
            <w:r w:rsidRPr="00D14C15">
              <w:rPr>
                <w:lang w:val="en-GB"/>
              </w:rPr>
              <w:t xml:space="preserve"> </w:t>
            </w:r>
            <w:r w:rsidR="006D7086">
              <w:rPr>
                <w:lang w:val="en-GB"/>
              </w:rPr>
              <w:t>W</w:t>
            </w:r>
            <w:r w:rsidRPr="00D14C15">
              <w:rPr>
                <w:lang w:val="en-GB"/>
              </w:rPr>
              <w:t xml:space="preserve">ith such </w:t>
            </w:r>
            <w:r w:rsidR="006D7086">
              <w:rPr>
                <w:lang w:val="en-GB"/>
              </w:rPr>
              <w:t xml:space="preserve">a </w:t>
            </w:r>
            <w:r w:rsidRPr="00D14C15">
              <w:rPr>
                <w:lang w:val="en-GB"/>
              </w:rPr>
              <w:t xml:space="preserve">dynamic, </w:t>
            </w:r>
            <w:r w:rsidR="006D7086">
              <w:rPr>
                <w:lang w:val="en-GB"/>
              </w:rPr>
              <w:t xml:space="preserve">reaching the </w:t>
            </w:r>
            <w:r w:rsidRPr="00D14C15">
              <w:rPr>
                <w:lang w:val="en-GB"/>
              </w:rPr>
              <w:t xml:space="preserve">targets </w:t>
            </w:r>
            <w:r w:rsidR="006D7086">
              <w:rPr>
                <w:lang w:val="en-GB"/>
              </w:rPr>
              <w:t xml:space="preserve">set </w:t>
            </w:r>
            <w:r w:rsidRPr="00D14C15">
              <w:rPr>
                <w:lang w:val="en-GB"/>
              </w:rPr>
              <w:t xml:space="preserve">for the </w:t>
            </w:r>
            <w:r w:rsidR="006D7086">
              <w:rPr>
                <w:lang w:val="en-GB"/>
              </w:rPr>
              <w:t>next</w:t>
            </w:r>
            <w:r w:rsidRPr="00D14C15">
              <w:rPr>
                <w:lang w:val="en-GB"/>
              </w:rPr>
              <w:t xml:space="preserve"> years </w:t>
            </w:r>
            <w:r w:rsidR="006D7086">
              <w:rPr>
                <w:lang w:val="en-GB"/>
              </w:rPr>
              <w:t>will also be very difficult.</w:t>
            </w:r>
            <w:r w:rsidRPr="006D7086">
              <w:rPr>
                <w:vertAlign w:val="superscript"/>
                <w:lang w:val="en-GB"/>
              </w:rPr>
              <w:footnoteReference w:id="21"/>
            </w:r>
            <w:r w:rsidRPr="00D14C15">
              <w:rPr>
                <w:rFonts w:eastAsia="Arial"/>
                <w:lang w:val="en-GB"/>
              </w:rPr>
              <w:t xml:space="preserve"> </w:t>
            </w:r>
            <w:r w:rsidR="00230266">
              <w:rPr>
                <w:lang w:val="en-GB"/>
              </w:rPr>
              <w:t xml:space="preserve">The </w:t>
            </w:r>
            <w:r w:rsidRPr="00D14C15">
              <w:rPr>
                <w:lang w:val="en-GB"/>
              </w:rPr>
              <w:t xml:space="preserve">capacity </w:t>
            </w:r>
            <w:r w:rsidR="00230266">
              <w:rPr>
                <w:lang w:val="en-GB"/>
              </w:rPr>
              <w:t xml:space="preserve">for RES use can </w:t>
            </w:r>
            <w:r w:rsidRPr="00D14C15">
              <w:rPr>
                <w:lang w:val="en-GB"/>
              </w:rPr>
              <w:t>also be increased by promoting self-</w:t>
            </w:r>
            <w:r w:rsidR="00230266">
              <w:rPr>
                <w:lang w:val="en-GB"/>
              </w:rPr>
              <w:t>sufficiency in energy of</w:t>
            </w:r>
            <w:r w:rsidRPr="00D14C15">
              <w:rPr>
                <w:lang w:val="en-GB"/>
              </w:rPr>
              <w:t xml:space="preserve"> household and </w:t>
            </w:r>
            <w:r w:rsidR="00230266">
              <w:rPr>
                <w:lang w:val="en-GB"/>
              </w:rPr>
              <w:t xml:space="preserve">at the </w:t>
            </w:r>
            <w:r w:rsidRPr="00D14C15">
              <w:rPr>
                <w:lang w:val="en-GB"/>
              </w:rPr>
              <w:t>community level.</w:t>
            </w:r>
            <w:r w:rsidR="00E578C2">
              <w:rPr>
                <w:lang w:val="en-GB"/>
              </w:rPr>
              <w:t xml:space="preserve"> W</w:t>
            </w:r>
            <w:r w:rsidRPr="00D14C15">
              <w:rPr>
                <w:lang w:val="en-GB"/>
              </w:rPr>
              <w:t xml:space="preserve">ith the current dynamics, </w:t>
            </w:r>
            <w:r w:rsidR="00230266">
              <w:rPr>
                <w:lang w:val="en-GB"/>
              </w:rPr>
              <w:t xml:space="preserve">we can </w:t>
            </w:r>
            <w:r w:rsidRPr="00D14C15">
              <w:rPr>
                <w:lang w:val="en-GB"/>
              </w:rPr>
              <w:t>expected that</w:t>
            </w:r>
            <w:r w:rsidR="00E578C2" w:rsidRPr="00D14C15">
              <w:rPr>
                <w:lang w:val="en-GB"/>
              </w:rPr>
              <w:t xml:space="preserve"> </w:t>
            </w:r>
            <w:r w:rsidR="00E578C2">
              <w:rPr>
                <w:lang w:val="en-GB"/>
              </w:rPr>
              <w:t>i</w:t>
            </w:r>
            <w:r w:rsidR="00E578C2" w:rsidRPr="00D14C15">
              <w:rPr>
                <w:lang w:val="en-GB"/>
              </w:rPr>
              <w:t>n 2023</w:t>
            </w:r>
            <w:r w:rsidRPr="00D14C15">
              <w:rPr>
                <w:lang w:val="en-GB"/>
              </w:rPr>
              <w:t xml:space="preserve"> more than 26,000 </w:t>
            </w:r>
            <w:r w:rsidR="00E578C2">
              <w:rPr>
                <w:lang w:val="en-GB"/>
              </w:rPr>
              <w:t xml:space="preserve">of </w:t>
            </w:r>
            <w:r w:rsidRPr="00D14C15">
              <w:rPr>
                <w:lang w:val="en-GB"/>
              </w:rPr>
              <w:t xml:space="preserve">customers will </w:t>
            </w:r>
            <w:r w:rsidR="00230266">
              <w:rPr>
                <w:lang w:val="en-GB"/>
              </w:rPr>
              <w:t>become self-sufficient in energy</w:t>
            </w:r>
            <w:r w:rsidRPr="00D14C15">
              <w:rPr>
                <w:lang w:val="en-GB"/>
              </w:rPr>
              <w:t>, with a total power of almost 337 MW.</w:t>
            </w:r>
            <w:r w:rsidRPr="00230266">
              <w:rPr>
                <w:vertAlign w:val="superscript"/>
                <w:lang w:val="en-GB"/>
              </w:rPr>
              <w:footnoteReference w:id="22"/>
            </w:r>
            <w:r w:rsidR="0055345F">
              <w:rPr>
                <w:lang w:val="en-GB"/>
              </w:rPr>
              <w:t xml:space="preserve"> T</w:t>
            </w:r>
            <w:r w:rsidRPr="00D14C15">
              <w:rPr>
                <w:lang w:val="en-GB"/>
              </w:rPr>
              <w:t xml:space="preserve">o increase the deployment of RES, </w:t>
            </w:r>
            <w:r w:rsidRPr="00677903">
              <w:rPr>
                <w:lang w:val="en-GB"/>
              </w:rPr>
              <w:t>NECP</w:t>
            </w:r>
            <w:r w:rsidRPr="00D14C15">
              <w:rPr>
                <w:lang w:val="en-GB"/>
              </w:rPr>
              <w:t xml:space="preserve"> also </w:t>
            </w:r>
            <w:r w:rsidR="00230266">
              <w:rPr>
                <w:lang w:val="en-GB"/>
              </w:rPr>
              <w:t>identifies</w:t>
            </w:r>
            <w:r w:rsidRPr="00D14C15">
              <w:rPr>
                <w:lang w:val="en-GB"/>
              </w:rPr>
              <w:t xml:space="preserve"> </w:t>
            </w:r>
            <w:r w:rsidR="00230266" w:rsidRPr="00D14C15">
              <w:rPr>
                <w:lang w:val="en-GB"/>
              </w:rPr>
              <w:t>accelerated development of the electricity distribution network</w:t>
            </w:r>
            <w:r w:rsidR="00230266">
              <w:rPr>
                <w:lang w:val="en-GB"/>
              </w:rPr>
              <w:t xml:space="preserve"> as one</w:t>
            </w:r>
            <w:r w:rsidR="0055345F">
              <w:rPr>
                <w:lang w:val="en-GB"/>
              </w:rPr>
              <w:t xml:space="preserve"> the key challenges that</w:t>
            </w:r>
            <w:r w:rsidRPr="00D14C15">
              <w:rPr>
                <w:lang w:val="en-GB"/>
              </w:rPr>
              <w:t xml:space="preserve"> will </w:t>
            </w:r>
            <w:r w:rsidR="00E578C2">
              <w:rPr>
                <w:lang w:val="en-GB"/>
              </w:rPr>
              <w:t>facilitate</w:t>
            </w:r>
            <w:r w:rsidRPr="00D14C15">
              <w:rPr>
                <w:lang w:val="en-GB"/>
              </w:rPr>
              <w:t xml:space="preserve"> </w:t>
            </w:r>
            <w:r w:rsidR="00230266">
              <w:rPr>
                <w:lang w:val="en-GB"/>
              </w:rPr>
              <w:t>taking advantage of t</w:t>
            </w:r>
            <w:r w:rsidRPr="00D14C15">
              <w:rPr>
                <w:lang w:val="en-GB"/>
              </w:rPr>
              <w:t>he flexibility of resources and loads, the integration of heat pumps, the fulfilment of the requirements related to the accelerated deployment of e-mobility</w:t>
            </w:r>
            <w:r w:rsidR="00297DF4">
              <w:rPr>
                <w:lang w:val="en-GB"/>
              </w:rPr>
              <w:t>,</w:t>
            </w:r>
            <w:r w:rsidRPr="00D14C15">
              <w:rPr>
                <w:lang w:val="en-GB"/>
              </w:rPr>
              <w:t xml:space="preserve"> and the accelerated integration of electricity generation equipment from RES.</w:t>
            </w:r>
            <w:r w:rsidRPr="00230266">
              <w:rPr>
                <w:vertAlign w:val="superscript"/>
                <w:lang w:val="en-GB"/>
              </w:rPr>
              <w:footnoteReference w:id="23"/>
            </w:r>
            <w:r w:rsidRPr="00D14C15">
              <w:rPr>
                <w:lang w:val="en-GB"/>
              </w:rPr>
              <w:t xml:space="preserve"> Energy storage capacities are also important for the successful integration of RES. </w:t>
            </w:r>
          </w:p>
          <w:p w14:paraId="066E7DB1" w14:textId="77777777" w:rsidR="0076298E" w:rsidRPr="00D14C15" w:rsidRDefault="0076298E">
            <w:pPr>
              <w:ind w:left="720"/>
              <w:contextualSpacing/>
              <w:jc w:val="both"/>
              <w:rPr>
                <w:lang w:val="en-GB"/>
              </w:rPr>
            </w:pPr>
          </w:p>
          <w:p w14:paraId="57D8A061" w14:textId="77777777" w:rsidR="0076298E" w:rsidRPr="00D14C15" w:rsidRDefault="0032633A">
            <w:pPr>
              <w:jc w:val="both"/>
              <w:rPr>
                <w:lang w:val="en-GB"/>
              </w:rPr>
            </w:pPr>
            <w:r w:rsidRPr="00D14C15">
              <w:rPr>
                <w:lang w:val="en-GB"/>
              </w:rPr>
              <w:t xml:space="preserve">Slovenia is also facing climate change, </w:t>
            </w:r>
            <w:r w:rsidR="005C5C7E">
              <w:rPr>
                <w:lang w:val="en-GB"/>
              </w:rPr>
              <w:t xml:space="preserve">the impacts of which </w:t>
            </w:r>
            <w:r w:rsidRPr="00D14C15">
              <w:rPr>
                <w:lang w:val="en-GB"/>
              </w:rPr>
              <w:t>are mainly so-c</w:t>
            </w:r>
            <w:r w:rsidR="005C5C7E">
              <w:rPr>
                <w:lang w:val="en-GB"/>
              </w:rPr>
              <w:t>alled climate-related disasters. A</w:t>
            </w:r>
            <w:r w:rsidRPr="00D14C15">
              <w:rPr>
                <w:lang w:val="en-GB"/>
              </w:rPr>
              <w:t xml:space="preserve">ccording to the 2018 </w:t>
            </w:r>
            <w:r w:rsidR="00230266" w:rsidRPr="00D14C15">
              <w:rPr>
                <w:lang w:val="en-GB"/>
              </w:rPr>
              <w:t xml:space="preserve">Disasters </w:t>
            </w:r>
            <w:r w:rsidRPr="00D14C15">
              <w:rPr>
                <w:lang w:val="en-GB"/>
              </w:rPr>
              <w:t>Risk Assessment</w:t>
            </w:r>
            <w:r w:rsidRPr="00230266">
              <w:rPr>
                <w:vertAlign w:val="superscript"/>
                <w:lang w:val="en-GB"/>
              </w:rPr>
              <w:footnoteReference w:id="24"/>
            </w:r>
            <w:r w:rsidRPr="00D14C15">
              <w:rPr>
                <w:lang w:val="en-GB"/>
              </w:rPr>
              <w:t xml:space="preserve"> and on the basis of an analysis of past disasters and </w:t>
            </w:r>
            <w:r w:rsidR="005C5C7E">
              <w:rPr>
                <w:lang w:val="en-GB"/>
              </w:rPr>
              <w:t>the</w:t>
            </w:r>
            <w:r w:rsidR="00230266">
              <w:rPr>
                <w:lang w:val="en-GB"/>
              </w:rPr>
              <w:t xml:space="preserve"> </w:t>
            </w:r>
            <w:r w:rsidRPr="00D14C15">
              <w:rPr>
                <w:lang w:val="en-GB"/>
              </w:rPr>
              <w:t>damage</w:t>
            </w:r>
            <w:r w:rsidR="005C5C7E">
              <w:rPr>
                <w:lang w:val="en-GB"/>
              </w:rPr>
              <w:t xml:space="preserve"> caused</w:t>
            </w:r>
            <w:r w:rsidR="00230266" w:rsidRPr="00230266">
              <w:rPr>
                <w:vertAlign w:val="superscript"/>
                <w:lang w:val="en-GB"/>
              </w:rPr>
              <w:footnoteReference w:id="25"/>
            </w:r>
            <w:r w:rsidRPr="00D14C15">
              <w:rPr>
                <w:lang w:val="en-GB"/>
              </w:rPr>
              <w:t>, the greatest risk is flood, glaz</w:t>
            </w:r>
            <w:r w:rsidR="00A77374">
              <w:rPr>
                <w:lang w:val="en-GB"/>
              </w:rPr>
              <w:t xml:space="preserve">ed ice and storms as well as </w:t>
            </w:r>
            <w:r w:rsidRPr="00D14C15">
              <w:rPr>
                <w:lang w:val="en-GB"/>
              </w:rPr>
              <w:t xml:space="preserve">large </w:t>
            </w:r>
            <w:r w:rsidR="00A77374">
              <w:rPr>
                <w:lang w:val="en-GB"/>
              </w:rPr>
              <w:t>wild</w:t>
            </w:r>
            <w:r w:rsidRPr="00D14C15">
              <w:rPr>
                <w:lang w:val="en-GB"/>
              </w:rPr>
              <w:t xml:space="preserve">fires. Wildfires are </w:t>
            </w:r>
            <w:r w:rsidR="005C5C7E">
              <w:rPr>
                <w:lang w:val="en-GB"/>
              </w:rPr>
              <w:t>becoming more and more</w:t>
            </w:r>
            <w:r w:rsidRPr="00D14C15">
              <w:rPr>
                <w:lang w:val="en-GB"/>
              </w:rPr>
              <w:t xml:space="preserve"> complex and large-scale, requiring a cross-sectoral response and, in the absence of adequate equipment and means </w:t>
            </w:r>
            <w:r w:rsidR="005C5C7E">
              <w:rPr>
                <w:lang w:val="en-GB"/>
              </w:rPr>
              <w:t>for</w:t>
            </w:r>
            <w:r w:rsidRPr="00D14C15">
              <w:rPr>
                <w:lang w:val="en-GB"/>
              </w:rPr>
              <w:t xml:space="preserve"> extinguishing them, the activation of foreign forces and </w:t>
            </w:r>
            <w:r w:rsidR="005C5C7E">
              <w:rPr>
                <w:lang w:val="en-GB"/>
              </w:rPr>
              <w:t>resources</w:t>
            </w:r>
            <w:r w:rsidRPr="00D14C15">
              <w:rPr>
                <w:rStyle w:val="Sprotnaopomba-sklic"/>
                <w:lang w:val="en-GB"/>
              </w:rPr>
              <w:footnoteReference w:id="26"/>
            </w:r>
            <w:r w:rsidRPr="00D14C15">
              <w:rPr>
                <w:lang w:val="en-GB"/>
              </w:rPr>
              <w:t>.</w:t>
            </w:r>
            <w:r w:rsidRPr="00D14C15">
              <w:rPr>
                <w:sz w:val="16"/>
                <w:lang w:val="en-GB"/>
              </w:rPr>
              <w:t xml:space="preserve"> </w:t>
            </w:r>
            <w:r w:rsidR="00F962D9">
              <w:rPr>
                <w:lang w:val="en-GB"/>
              </w:rPr>
              <w:t>Comprehensive approach to</w:t>
            </w:r>
            <w:r w:rsidRPr="00D14C15">
              <w:rPr>
                <w:lang w:val="en-GB"/>
              </w:rPr>
              <w:t xml:space="preserve"> investment</w:t>
            </w:r>
            <w:r w:rsidR="00F962D9">
              <w:rPr>
                <w:lang w:val="en-GB"/>
              </w:rPr>
              <w:t>s</w:t>
            </w:r>
            <w:r w:rsidRPr="00D14C15">
              <w:rPr>
                <w:lang w:val="en-GB"/>
              </w:rPr>
              <w:t xml:space="preserve"> in this area </w:t>
            </w:r>
            <w:r w:rsidR="00F962D9">
              <w:rPr>
                <w:lang w:val="en-GB"/>
              </w:rPr>
              <w:t>will be achieved also by</w:t>
            </w:r>
            <w:r w:rsidRPr="00D14C15">
              <w:rPr>
                <w:lang w:val="en-GB"/>
              </w:rPr>
              <w:t xml:space="preserve"> </w:t>
            </w:r>
            <w:r w:rsidR="00F962D9">
              <w:rPr>
                <w:lang w:val="en-GB"/>
              </w:rPr>
              <w:t xml:space="preserve">implementing </w:t>
            </w:r>
            <w:r w:rsidRPr="00D14C15">
              <w:rPr>
                <w:lang w:val="en-GB"/>
              </w:rPr>
              <w:t>reform</w:t>
            </w:r>
            <w:r w:rsidR="00A77374">
              <w:rPr>
                <w:lang w:val="en-GB"/>
              </w:rPr>
              <w:t>s</w:t>
            </w:r>
            <w:r w:rsidRPr="00D14C15">
              <w:rPr>
                <w:lang w:val="en-GB"/>
              </w:rPr>
              <w:t xml:space="preserve"> and investments </w:t>
            </w:r>
            <w:r w:rsidR="00F962D9">
              <w:rPr>
                <w:lang w:val="en-GB"/>
              </w:rPr>
              <w:t>supported under the Recovery and Resilience Plan.</w:t>
            </w:r>
            <w:r w:rsidRPr="00D14C15">
              <w:rPr>
                <w:lang w:val="en-GB"/>
              </w:rPr>
              <w:t xml:space="preserve"> </w:t>
            </w:r>
          </w:p>
          <w:p w14:paraId="2C8D821B" w14:textId="77777777" w:rsidR="0076298E" w:rsidRPr="00D14C15" w:rsidRDefault="0076298E">
            <w:pPr>
              <w:ind w:left="708"/>
              <w:jc w:val="both"/>
              <w:rPr>
                <w:lang w:val="en-GB"/>
              </w:rPr>
            </w:pPr>
          </w:p>
          <w:p w14:paraId="4BC5099E" w14:textId="77777777" w:rsidR="0076298E" w:rsidRPr="00D14C15" w:rsidRDefault="0032633A">
            <w:pPr>
              <w:jc w:val="both"/>
              <w:rPr>
                <w:lang w:val="en-GB"/>
              </w:rPr>
            </w:pPr>
            <w:r w:rsidRPr="00D14C15">
              <w:rPr>
                <w:lang w:val="en-GB"/>
              </w:rPr>
              <w:t>The fund</w:t>
            </w:r>
            <w:r w:rsidR="00F962D9">
              <w:rPr>
                <w:lang w:val="en-GB"/>
              </w:rPr>
              <w:t xml:space="preserve">ing Slovenia </w:t>
            </w:r>
            <w:r w:rsidRPr="00D14C15">
              <w:rPr>
                <w:lang w:val="en-GB"/>
              </w:rPr>
              <w:t xml:space="preserve">invested in the </w:t>
            </w:r>
            <w:r w:rsidR="007F3583">
              <w:rPr>
                <w:lang w:val="en-GB"/>
              </w:rPr>
              <w:t>waste</w:t>
            </w:r>
            <w:r w:rsidR="007F3583" w:rsidRPr="00D14C15">
              <w:rPr>
                <w:lang w:val="en-GB"/>
              </w:rPr>
              <w:t xml:space="preserve">water </w:t>
            </w:r>
            <w:r w:rsidR="007F3583">
              <w:rPr>
                <w:lang w:val="en-GB"/>
              </w:rPr>
              <w:t xml:space="preserve">collection and treatment </w:t>
            </w:r>
            <w:r w:rsidR="007F3583" w:rsidRPr="00D14C15">
              <w:rPr>
                <w:lang w:val="en-GB"/>
              </w:rPr>
              <w:t>system</w:t>
            </w:r>
            <w:r w:rsidRPr="00D14C15">
              <w:rPr>
                <w:lang w:val="en-GB"/>
              </w:rPr>
              <w:t xml:space="preserve"> </w:t>
            </w:r>
            <w:r w:rsidR="00F962D9">
              <w:rPr>
                <w:lang w:val="en-GB"/>
              </w:rPr>
              <w:t>is</w:t>
            </w:r>
            <w:r w:rsidR="007F3583">
              <w:rPr>
                <w:lang w:val="en-GB"/>
              </w:rPr>
              <w:t xml:space="preserve"> </w:t>
            </w:r>
            <w:r w:rsidRPr="00D14C15">
              <w:rPr>
                <w:lang w:val="en-GB"/>
              </w:rPr>
              <w:t xml:space="preserve">not </w:t>
            </w:r>
            <w:r w:rsidR="007F3583">
              <w:rPr>
                <w:lang w:val="en-GB"/>
              </w:rPr>
              <w:t xml:space="preserve">sufficient for Slovenia to meet </w:t>
            </w:r>
            <w:r w:rsidRPr="00D14C15">
              <w:rPr>
                <w:lang w:val="en-GB"/>
              </w:rPr>
              <w:t xml:space="preserve">the requirements </w:t>
            </w:r>
            <w:r w:rsidR="00F962D9">
              <w:rPr>
                <w:lang w:val="en-GB"/>
              </w:rPr>
              <w:t xml:space="preserve">set out in the </w:t>
            </w:r>
            <w:r w:rsidR="007F3583">
              <w:rPr>
                <w:lang w:val="en-GB"/>
              </w:rPr>
              <w:t>EU</w:t>
            </w:r>
            <w:r w:rsidRPr="00D14C15">
              <w:rPr>
                <w:lang w:val="en-GB"/>
              </w:rPr>
              <w:t xml:space="preserve"> Directive.</w:t>
            </w:r>
            <w:r w:rsidRPr="00D14C15">
              <w:rPr>
                <w:rStyle w:val="Sprotnaopomba-sklic"/>
                <w:lang w:val="en-GB"/>
              </w:rPr>
              <w:footnoteReference w:id="27"/>
            </w:r>
            <w:r w:rsidR="00272B6A">
              <w:rPr>
                <w:lang w:val="en-GB"/>
              </w:rPr>
              <w:t xml:space="preserve"> In Slovenia, almost 90</w:t>
            </w:r>
            <w:r w:rsidRPr="00D14C15">
              <w:rPr>
                <w:lang w:val="en-GB"/>
              </w:rPr>
              <w:t>% of the population is connected to public water supply, which ensures good quality of water, but some regions are still lagging behind. High losses in the water supply network</w:t>
            </w:r>
            <w:r w:rsidR="00272B6A">
              <w:rPr>
                <w:lang w:val="en-GB"/>
              </w:rPr>
              <w:t xml:space="preserve">, </w:t>
            </w:r>
            <w:r w:rsidRPr="00D14C15">
              <w:rPr>
                <w:lang w:val="en-GB"/>
              </w:rPr>
              <w:t>result</w:t>
            </w:r>
            <w:r w:rsidR="00272B6A">
              <w:rPr>
                <w:lang w:val="en-GB"/>
              </w:rPr>
              <w:t>ing</w:t>
            </w:r>
            <w:r w:rsidRPr="00D14C15">
              <w:rPr>
                <w:lang w:val="en-GB"/>
              </w:rPr>
              <w:t xml:space="preserve"> </w:t>
            </w:r>
            <w:r w:rsidR="00272B6A">
              <w:rPr>
                <w:lang w:val="en-GB"/>
              </w:rPr>
              <w:t xml:space="preserve">from old </w:t>
            </w:r>
            <w:r w:rsidRPr="00D14C15">
              <w:rPr>
                <w:lang w:val="en-GB"/>
              </w:rPr>
              <w:t>infrastructure</w:t>
            </w:r>
            <w:r w:rsidR="00272B6A">
              <w:rPr>
                <w:lang w:val="en-GB"/>
              </w:rPr>
              <w:t>,</w:t>
            </w:r>
            <w:r w:rsidRPr="00D14C15">
              <w:rPr>
                <w:lang w:val="en-GB"/>
              </w:rPr>
              <w:t xml:space="preserve"> are also </w:t>
            </w:r>
            <w:r w:rsidR="00F962D9">
              <w:rPr>
                <w:lang w:val="en-GB"/>
              </w:rPr>
              <w:t>a problem</w:t>
            </w:r>
            <w:r w:rsidRPr="00D14C15">
              <w:rPr>
                <w:lang w:val="en-GB"/>
              </w:rPr>
              <w:t xml:space="preserve">. The </w:t>
            </w:r>
            <w:r w:rsidR="00272B6A">
              <w:rPr>
                <w:lang w:val="en-GB"/>
              </w:rPr>
              <w:t xml:space="preserve">planned reform, foreseen in the </w:t>
            </w:r>
            <w:r w:rsidR="00305559">
              <w:rPr>
                <w:lang w:val="en-GB"/>
              </w:rPr>
              <w:t>RRP</w:t>
            </w:r>
            <w:r w:rsidR="00272B6A">
              <w:rPr>
                <w:lang w:val="en-GB"/>
              </w:rPr>
              <w:t xml:space="preserve">, </w:t>
            </w:r>
            <w:r w:rsidRPr="00D14C15">
              <w:rPr>
                <w:lang w:val="en-GB"/>
              </w:rPr>
              <w:t xml:space="preserve">in the field of </w:t>
            </w:r>
            <w:r w:rsidR="00272B6A" w:rsidRPr="00D14C15">
              <w:rPr>
                <w:lang w:val="en-GB"/>
              </w:rPr>
              <w:t xml:space="preserve">public services </w:t>
            </w:r>
            <w:r w:rsidR="00272B6A">
              <w:rPr>
                <w:lang w:val="en-GB"/>
              </w:rPr>
              <w:t xml:space="preserve">for </w:t>
            </w:r>
            <w:r w:rsidRPr="00D14C15">
              <w:rPr>
                <w:lang w:val="en-GB"/>
              </w:rPr>
              <w:t xml:space="preserve">environmental </w:t>
            </w:r>
            <w:r w:rsidRPr="00D14C15">
              <w:rPr>
                <w:lang w:val="en-GB"/>
              </w:rPr>
              <w:lastRenderedPageBreak/>
              <w:t>protection will contribute to investments in infrastructure that will provide long-term quality and cost-</w:t>
            </w:r>
            <w:r w:rsidR="00272B6A">
              <w:rPr>
                <w:lang w:val="en-GB"/>
              </w:rPr>
              <w:t xml:space="preserve">effectiveness of </w:t>
            </w:r>
            <w:r w:rsidRPr="00D14C15">
              <w:rPr>
                <w:lang w:val="en-GB"/>
              </w:rPr>
              <w:t>service to all residents of Slovenia.</w:t>
            </w:r>
          </w:p>
          <w:p w14:paraId="610EDAFF" w14:textId="77777777" w:rsidR="0076298E" w:rsidRPr="00D14C15" w:rsidRDefault="0076298E">
            <w:pPr>
              <w:ind w:left="720"/>
              <w:contextualSpacing/>
              <w:jc w:val="both"/>
              <w:rPr>
                <w:lang w:val="en-GB"/>
              </w:rPr>
            </w:pPr>
          </w:p>
          <w:p w14:paraId="11F4585C" w14:textId="77777777" w:rsidR="0076298E" w:rsidRPr="00D14C15" w:rsidRDefault="00272B6A">
            <w:pPr>
              <w:jc w:val="both"/>
              <w:rPr>
                <w:lang w:val="en-GB"/>
              </w:rPr>
            </w:pPr>
            <w:r>
              <w:rPr>
                <w:lang w:val="en-GB"/>
              </w:rPr>
              <w:t>B</w:t>
            </w:r>
            <w:r w:rsidR="0032633A" w:rsidRPr="00D14C15">
              <w:rPr>
                <w:lang w:val="en-GB"/>
              </w:rPr>
              <w:t>iodiversity is de</w:t>
            </w:r>
            <w:r>
              <w:rPr>
                <w:lang w:val="en-GB"/>
              </w:rPr>
              <w:t xml:space="preserve">creasing </w:t>
            </w:r>
            <w:r w:rsidR="0032633A" w:rsidRPr="00D14C15">
              <w:rPr>
                <w:lang w:val="en-GB"/>
              </w:rPr>
              <w:t xml:space="preserve">in Slovenia. </w:t>
            </w:r>
            <w:r w:rsidR="00F962D9">
              <w:rPr>
                <w:lang w:val="en-GB"/>
              </w:rPr>
              <w:t>P</w:t>
            </w:r>
            <w:r w:rsidR="0032633A" w:rsidRPr="00D14C15">
              <w:rPr>
                <w:lang w:val="en-GB"/>
              </w:rPr>
              <w:t>ressures and threat</w:t>
            </w:r>
            <w:r>
              <w:rPr>
                <w:lang w:val="en-GB"/>
              </w:rPr>
              <w:t>s to</w:t>
            </w:r>
            <w:r w:rsidR="0032633A" w:rsidRPr="00D14C15">
              <w:rPr>
                <w:lang w:val="en-GB"/>
              </w:rPr>
              <w:t xml:space="preserve"> species and habitat types</w:t>
            </w:r>
            <w:r>
              <w:rPr>
                <w:lang w:val="en-GB"/>
              </w:rPr>
              <w:t>, important for Europe,</w:t>
            </w:r>
            <w:r w:rsidR="0032633A" w:rsidRPr="00D14C15">
              <w:rPr>
                <w:lang w:val="en-GB"/>
              </w:rPr>
              <w:t xml:space="preserve"> </w:t>
            </w:r>
            <w:r w:rsidR="00F962D9">
              <w:rPr>
                <w:lang w:val="en-GB"/>
              </w:rPr>
              <w:t>identified in Slovenia</w:t>
            </w:r>
            <w:r w:rsidR="0032633A" w:rsidRPr="00D14C15">
              <w:rPr>
                <w:lang w:val="en-GB"/>
              </w:rPr>
              <w:t xml:space="preserve">, </w:t>
            </w:r>
            <w:r>
              <w:rPr>
                <w:lang w:val="en-GB"/>
              </w:rPr>
              <w:t>are land development</w:t>
            </w:r>
            <w:r w:rsidR="0032633A" w:rsidRPr="00D14C15">
              <w:rPr>
                <w:lang w:val="en-GB"/>
              </w:rPr>
              <w:t>, in particular through urbanisation, unregulated economic public infrastructure, industrialisation and tra</w:t>
            </w:r>
            <w:r>
              <w:rPr>
                <w:lang w:val="en-GB"/>
              </w:rPr>
              <w:t>ffic</w:t>
            </w:r>
            <w:r w:rsidR="0032633A" w:rsidRPr="00D14C15">
              <w:rPr>
                <w:lang w:val="en-GB"/>
              </w:rPr>
              <w:t xml:space="preserve">, </w:t>
            </w:r>
            <w:r>
              <w:rPr>
                <w:lang w:val="en-GB"/>
              </w:rPr>
              <w:t xml:space="preserve">poorly planned </w:t>
            </w:r>
            <w:r w:rsidR="0032633A" w:rsidRPr="00D14C15">
              <w:rPr>
                <w:lang w:val="en-GB"/>
              </w:rPr>
              <w:t>regulati</w:t>
            </w:r>
            <w:r>
              <w:rPr>
                <w:lang w:val="en-GB"/>
              </w:rPr>
              <w:t>on</w:t>
            </w:r>
            <w:r w:rsidR="0032633A" w:rsidRPr="00D14C15">
              <w:rPr>
                <w:lang w:val="en-GB"/>
              </w:rPr>
              <w:t xml:space="preserve"> </w:t>
            </w:r>
            <w:r>
              <w:rPr>
                <w:lang w:val="en-GB"/>
              </w:rPr>
              <w:t xml:space="preserve">of </w:t>
            </w:r>
            <w:r w:rsidR="00F962D9">
              <w:rPr>
                <w:lang w:val="en-GB"/>
              </w:rPr>
              <w:t xml:space="preserve">watercourses, also for </w:t>
            </w:r>
            <w:r w:rsidR="0032633A" w:rsidRPr="00D14C15">
              <w:rPr>
                <w:lang w:val="en-GB"/>
              </w:rPr>
              <w:t>ensur</w:t>
            </w:r>
            <w:r w:rsidR="00F962D9">
              <w:rPr>
                <w:lang w:val="en-GB"/>
              </w:rPr>
              <w:t>ing</w:t>
            </w:r>
            <w:r w:rsidR="0032633A" w:rsidRPr="00D14C15">
              <w:rPr>
                <w:lang w:val="en-GB"/>
              </w:rPr>
              <w:t xml:space="preserve"> flood protection and overgrowth of agricultural land</w:t>
            </w:r>
            <w:r>
              <w:rPr>
                <w:lang w:val="en-GB"/>
              </w:rPr>
              <w:t>,</w:t>
            </w:r>
            <w:r w:rsidR="0032633A" w:rsidRPr="00D14C15">
              <w:rPr>
                <w:lang w:val="en-GB"/>
              </w:rPr>
              <w:t xml:space="preserve"> and intensification of agriculture and forestry. This also has a negative impact on landscape diversity and ecosystem connectivity. The threat to biodiversity and natural values is </w:t>
            </w:r>
            <w:r>
              <w:rPr>
                <w:lang w:val="en-GB"/>
              </w:rPr>
              <w:t xml:space="preserve">on the rise also </w:t>
            </w:r>
            <w:r w:rsidR="007C47AA">
              <w:rPr>
                <w:lang w:val="en-GB"/>
              </w:rPr>
              <w:t>due to</w:t>
            </w:r>
            <w:r>
              <w:rPr>
                <w:lang w:val="en-GB"/>
              </w:rPr>
              <w:t xml:space="preserve"> land </w:t>
            </w:r>
            <w:r w:rsidR="0032633A" w:rsidRPr="00D14C15">
              <w:rPr>
                <w:lang w:val="en-GB"/>
              </w:rPr>
              <w:t xml:space="preserve">over-use </w:t>
            </w:r>
            <w:r>
              <w:rPr>
                <w:lang w:val="en-GB"/>
              </w:rPr>
              <w:t xml:space="preserve">due </w:t>
            </w:r>
            <w:r w:rsidR="0032633A" w:rsidRPr="00D14C15">
              <w:rPr>
                <w:lang w:val="en-GB"/>
              </w:rPr>
              <w:t xml:space="preserve">to recreation and tourist visits. Climate change and the spread of invasive </w:t>
            </w:r>
            <w:r>
              <w:rPr>
                <w:lang w:val="en-GB"/>
              </w:rPr>
              <w:t>non-native</w:t>
            </w:r>
            <w:r w:rsidR="0032633A" w:rsidRPr="00D14C15">
              <w:rPr>
                <w:lang w:val="en-GB"/>
              </w:rPr>
              <w:t xml:space="preserve"> species further </w:t>
            </w:r>
            <w:r w:rsidR="00F962D9">
              <w:rPr>
                <w:lang w:val="en-GB"/>
              </w:rPr>
              <w:t>add to the gravity of</w:t>
            </w:r>
            <w:r>
              <w:rPr>
                <w:lang w:val="en-GB"/>
              </w:rPr>
              <w:t xml:space="preserve"> the </w:t>
            </w:r>
            <w:r w:rsidR="0097270F">
              <w:rPr>
                <w:lang w:val="en-GB"/>
              </w:rPr>
              <w:t>situation</w:t>
            </w:r>
            <w:r>
              <w:rPr>
                <w:lang w:val="en-GB"/>
              </w:rPr>
              <w:t>.</w:t>
            </w:r>
          </w:p>
          <w:p w14:paraId="65EE6E3A" w14:textId="77777777" w:rsidR="0076298E" w:rsidRPr="00D14C15" w:rsidRDefault="0076298E">
            <w:pPr>
              <w:contextualSpacing/>
              <w:jc w:val="both"/>
              <w:rPr>
                <w:lang w:val="en-GB"/>
              </w:rPr>
            </w:pPr>
          </w:p>
          <w:p w14:paraId="070798BE" w14:textId="77777777" w:rsidR="0076298E" w:rsidRPr="00D14C15" w:rsidRDefault="0076298E">
            <w:pPr>
              <w:contextualSpacing/>
              <w:jc w:val="both"/>
              <w:rPr>
                <w:lang w:val="en-GB"/>
              </w:rPr>
            </w:pPr>
          </w:p>
          <w:p w14:paraId="497B5331" w14:textId="77777777" w:rsidR="0076298E" w:rsidRPr="00D14C15" w:rsidRDefault="0032633A">
            <w:pPr>
              <w:pStyle w:val="P68B1DB1-Navaden5"/>
              <w:widowControl/>
              <w:numPr>
                <w:ilvl w:val="0"/>
                <w:numId w:val="14"/>
              </w:numPr>
              <w:autoSpaceDE/>
              <w:autoSpaceDN/>
              <w:contextualSpacing/>
              <w:jc w:val="both"/>
              <w:rPr>
                <w:lang w:val="en-GB"/>
              </w:rPr>
            </w:pPr>
            <w:r w:rsidRPr="00D14C15">
              <w:rPr>
                <w:lang w:val="en-GB"/>
              </w:rPr>
              <w:t>Inclusive social development and intergenerational solidarity</w:t>
            </w:r>
          </w:p>
          <w:p w14:paraId="1B33520C" w14:textId="77777777" w:rsidR="0076298E" w:rsidRPr="00D14C15" w:rsidRDefault="0076298E">
            <w:pPr>
              <w:contextualSpacing/>
              <w:jc w:val="both"/>
              <w:rPr>
                <w:b/>
                <w:lang w:val="en-GB"/>
              </w:rPr>
            </w:pPr>
          </w:p>
          <w:p w14:paraId="1ADF68A2" w14:textId="77777777" w:rsidR="0076298E" w:rsidRPr="00D14C15" w:rsidRDefault="0032633A">
            <w:pPr>
              <w:jc w:val="both"/>
              <w:rPr>
                <w:lang w:val="en-GB"/>
              </w:rPr>
            </w:pPr>
            <w:r w:rsidRPr="00D14C15">
              <w:rPr>
                <w:lang w:val="en-GB"/>
              </w:rPr>
              <w:t xml:space="preserve">In addition to measures </w:t>
            </w:r>
            <w:r w:rsidR="00DE3E4E">
              <w:rPr>
                <w:lang w:val="en-GB"/>
              </w:rPr>
              <w:t>that</w:t>
            </w:r>
            <w:r w:rsidRPr="00D14C15">
              <w:rPr>
                <w:lang w:val="en-GB"/>
              </w:rPr>
              <w:t xml:space="preserve"> address the long-standing </w:t>
            </w:r>
            <w:r w:rsidR="007A7C78">
              <w:rPr>
                <w:lang w:val="en-GB"/>
              </w:rPr>
              <w:t>issues</w:t>
            </w:r>
            <w:r w:rsidRPr="00D14C15">
              <w:rPr>
                <w:lang w:val="en-GB"/>
              </w:rPr>
              <w:t xml:space="preserve"> that have </w:t>
            </w:r>
            <w:r w:rsidR="00DE3E4E">
              <w:rPr>
                <w:lang w:val="en-GB"/>
              </w:rPr>
              <w:t>increased</w:t>
            </w:r>
            <w:r w:rsidR="007A7C78">
              <w:rPr>
                <w:lang w:val="en-GB"/>
              </w:rPr>
              <w:t xml:space="preserve"> </w:t>
            </w:r>
            <w:r w:rsidR="00DE3E4E">
              <w:rPr>
                <w:lang w:val="en-GB"/>
              </w:rPr>
              <w:t xml:space="preserve">during </w:t>
            </w:r>
            <w:r w:rsidRPr="00D14C15">
              <w:rPr>
                <w:lang w:val="en-GB"/>
              </w:rPr>
              <w:t>the epidemic (health</w:t>
            </w:r>
            <w:r w:rsidR="007A7C78">
              <w:rPr>
                <w:lang w:val="en-GB"/>
              </w:rPr>
              <w:t>care</w:t>
            </w:r>
            <w:r w:rsidRPr="00D14C15">
              <w:rPr>
                <w:lang w:val="en-GB"/>
              </w:rPr>
              <w:t xml:space="preserve">, social care), </w:t>
            </w:r>
            <w:r w:rsidR="007A7C78">
              <w:rPr>
                <w:lang w:val="en-GB"/>
              </w:rPr>
              <w:t>we should</w:t>
            </w:r>
            <w:r w:rsidRPr="00D14C15">
              <w:rPr>
                <w:lang w:val="en-GB"/>
              </w:rPr>
              <w:t xml:space="preserve"> continue to improve access to employment, long-term care, quality learning environment and to strengthen people’s </w:t>
            </w:r>
            <w:r w:rsidR="007A7C78">
              <w:rPr>
                <w:lang w:val="en-GB"/>
              </w:rPr>
              <w:t>skills</w:t>
            </w:r>
            <w:r w:rsidRPr="00D14C15">
              <w:rPr>
                <w:lang w:val="en-GB"/>
              </w:rPr>
              <w:t xml:space="preserve">, which, also in line with past experience and evaluations of the measures, will be </w:t>
            </w:r>
            <w:r w:rsidR="007A7C78">
              <w:rPr>
                <w:lang w:val="en-GB"/>
              </w:rPr>
              <w:t>the focus of measures under</w:t>
            </w:r>
            <w:r w:rsidRPr="00D14C15">
              <w:rPr>
                <w:lang w:val="en-GB"/>
              </w:rPr>
              <w:t xml:space="preserve"> </w:t>
            </w:r>
            <w:r w:rsidR="007A7C78">
              <w:rPr>
                <w:lang w:val="en-GB"/>
              </w:rPr>
              <w:t>PO</w:t>
            </w:r>
            <w:r w:rsidRPr="00D14C15">
              <w:rPr>
                <w:lang w:val="en-GB"/>
              </w:rPr>
              <w:t xml:space="preserve"> 4. Programme </w:t>
            </w:r>
            <w:r w:rsidR="007A7C78">
              <w:rPr>
                <w:lang w:val="en-GB"/>
              </w:rPr>
              <w:t>measures</w:t>
            </w:r>
            <w:r w:rsidRPr="00D14C15">
              <w:rPr>
                <w:lang w:val="en-GB"/>
              </w:rPr>
              <w:t xml:space="preserve"> will complement the </w:t>
            </w:r>
            <w:r w:rsidR="007A7C78">
              <w:rPr>
                <w:lang w:val="en-GB"/>
              </w:rPr>
              <w:t>measures</w:t>
            </w:r>
            <w:r w:rsidRPr="00D14C15">
              <w:rPr>
                <w:lang w:val="en-GB"/>
              </w:rPr>
              <w:t xml:space="preserve"> of the </w:t>
            </w:r>
            <w:r w:rsidR="00305559">
              <w:rPr>
                <w:lang w:val="en-GB"/>
              </w:rPr>
              <w:t>RRP</w:t>
            </w:r>
            <w:r w:rsidR="00305559" w:rsidRPr="00D14C15">
              <w:rPr>
                <w:lang w:val="en-GB"/>
              </w:rPr>
              <w:t xml:space="preserve"> </w:t>
            </w:r>
            <w:r w:rsidRPr="00D14C15">
              <w:rPr>
                <w:lang w:val="en-GB"/>
              </w:rPr>
              <w:t xml:space="preserve">and the Programme for </w:t>
            </w:r>
            <w:r w:rsidR="007A7C78">
              <w:rPr>
                <w:lang w:val="en-GB"/>
              </w:rPr>
              <w:t>eliminati</w:t>
            </w:r>
            <w:r w:rsidR="00DE3E4E">
              <w:rPr>
                <w:lang w:val="en-GB"/>
              </w:rPr>
              <w:t>ng</w:t>
            </w:r>
            <w:r w:rsidR="007A7C78">
              <w:rPr>
                <w:lang w:val="en-GB"/>
              </w:rPr>
              <w:t xml:space="preserve"> </w:t>
            </w:r>
            <w:r w:rsidRPr="00D14C15">
              <w:rPr>
                <w:lang w:val="en-GB"/>
              </w:rPr>
              <w:t>material deprivation in Slovenia in the period 2021-2027.</w:t>
            </w:r>
          </w:p>
          <w:p w14:paraId="07BDD344" w14:textId="77777777" w:rsidR="0076298E" w:rsidRPr="00D14C15" w:rsidRDefault="0076298E">
            <w:pPr>
              <w:jc w:val="both"/>
              <w:rPr>
                <w:lang w:val="en-GB"/>
              </w:rPr>
            </w:pPr>
          </w:p>
          <w:p w14:paraId="185E84F6" w14:textId="77777777" w:rsidR="0076298E" w:rsidRPr="00D14C15" w:rsidRDefault="0032633A">
            <w:pPr>
              <w:pStyle w:val="P68B1DB1-Navaden1"/>
              <w:jc w:val="both"/>
              <w:rPr>
                <w:lang w:val="en-GB"/>
              </w:rPr>
            </w:pPr>
            <w:r w:rsidRPr="00D14C15">
              <w:rPr>
                <w:lang w:val="en-GB"/>
              </w:rPr>
              <w:t>In the context of th</w:t>
            </w:r>
            <w:r w:rsidR="007A7C78">
              <w:rPr>
                <w:lang w:val="en-GB"/>
              </w:rPr>
              <w:t>is challenge,</w:t>
            </w:r>
            <w:r w:rsidRPr="00D14C15">
              <w:rPr>
                <w:lang w:val="en-GB"/>
              </w:rPr>
              <w:t xml:space="preserve"> </w:t>
            </w:r>
            <w:r w:rsidR="007A7C78">
              <w:rPr>
                <w:lang w:val="en-GB"/>
              </w:rPr>
              <w:t>Development Report 2021 and Development Report 2022 identif</w:t>
            </w:r>
            <w:r w:rsidR="00EB06B3">
              <w:rPr>
                <w:lang w:val="en-GB"/>
              </w:rPr>
              <w:t>y</w:t>
            </w:r>
            <w:r w:rsidR="007A7C78">
              <w:rPr>
                <w:lang w:val="en-GB"/>
              </w:rPr>
              <w:t xml:space="preserve"> the following </w:t>
            </w:r>
            <w:r w:rsidR="007A7C78" w:rsidRPr="00426A9E">
              <w:rPr>
                <w:lang w:val="en-GB"/>
              </w:rPr>
              <w:t>priority measures</w:t>
            </w:r>
            <w:r w:rsidRPr="00426A9E">
              <w:rPr>
                <w:lang w:val="en-GB"/>
              </w:rPr>
              <w:t>:</w:t>
            </w:r>
          </w:p>
          <w:p w14:paraId="7D1FA01D" w14:textId="77777777" w:rsidR="0076298E" w:rsidRPr="00D14C15" w:rsidRDefault="0076298E">
            <w:pPr>
              <w:contextualSpacing/>
              <w:jc w:val="both"/>
              <w:rPr>
                <w:rFonts w:eastAsia="Arial"/>
                <w:lang w:val="en-GB"/>
              </w:rPr>
            </w:pPr>
          </w:p>
          <w:p w14:paraId="414E7511" w14:textId="77777777" w:rsidR="0076298E" w:rsidRPr="00D14C15" w:rsidRDefault="00EB06B3">
            <w:pPr>
              <w:pStyle w:val="P68B1DB1-Navaden4"/>
              <w:widowControl/>
              <w:numPr>
                <w:ilvl w:val="0"/>
                <w:numId w:val="2"/>
              </w:numPr>
              <w:autoSpaceDE/>
              <w:autoSpaceDN/>
              <w:contextualSpacing/>
              <w:jc w:val="both"/>
              <w:rPr>
                <w:rFonts w:eastAsia="Calibri"/>
                <w:lang w:val="en-GB"/>
              </w:rPr>
            </w:pPr>
            <w:r>
              <w:rPr>
                <w:rFonts w:eastAsia="Calibri"/>
                <w:lang w:val="en-GB"/>
              </w:rPr>
              <w:t>e</w:t>
            </w:r>
            <w:r w:rsidR="007A7C78">
              <w:rPr>
                <w:rFonts w:eastAsia="Calibri"/>
                <w:lang w:val="en-GB"/>
              </w:rPr>
              <w:t>stablishing appropriate systemic regulation of</w:t>
            </w:r>
            <w:r w:rsidR="0032633A" w:rsidRPr="00D14C15">
              <w:rPr>
                <w:rFonts w:eastAsia="Calibri"/>
                <w:lang w:val="en-GB"/>
              </w:rPr>
              <w:t xml:space="preserve"> financing and </w:t>
            </w:r>
            <w:r w:rsidR="007A7C78">
              <w:rPr>
                <w:rFonts w:eastAsia="Calibri"/>
                <w:lang w:val="en-GB"/>
              </w:rPr>
              <w:t xml:space="preserve">increasing </w:t>
            </w:r>
            <w:r w:rsidR="0032633A" w:rsidRPr="00D14C15">
              <w:rPr>
                <w:rFonts w:eastAsia="Calibri"/>
                <w:lang w:val="en-GB"/>
              </w:rPr>
              <w:t>the</w:t>
            </w:r>
            <w:r w:rsidR="007A7C78">
              <w:rPr>
                <w:rFonts w:eastAsia="Calibri"/>
                <w:lang w:val="en-GB"/>
              </w:rPr>
              <w:t xml:space="preserve"> </w:t>
            </w:r>
            <w:r w:rsidR="0032633A" w:rsidRPr="00D14C15">
              <w:rPr>
                <w:rFonts w:eastAsia="Calibri"/>
                <w:lang w:val="en-GB"/>
              </w:rPr>
              <w:t>capacity of the long-term care system (</w:t>
            </w:r>
            <w:r w:rsidR="007A7C78">
              <w:rPr>
                <w:rFonts w:eastAsia="Calibri"/>
                <w:lang w:val="en-GB"/>
              </w:rPr>
              <w:t>particularly care at home</w:t>
            </w:r>
            <w:r w:rsidR="0032633A" w:rsidRPr="00D14C15">
              <w:rPr>
                <w:rFonts w:eastAsia="Calibri"/>
                <w:lang w:val="en-GB"/>
              </w:rPr>
              <w:t>) and health care, including the promotion of</w:t>
            </w:r>
            <w:r w:rsidR="009C568E">
              <w:rPr>
                <w:rFonts w:eastAsia="Calibri"/>
                <w:lang w:val="en-GB"/>
              </w:rPr>
              <w:t xml:space="preserve"> </w:t>
            </w:r>
            <w:r w:rsidR="0032633A" w:rsidRPr="00D14C15">
              <w:rPr>
                <w:rFonts w:eastAsia="Calibri"/>
                <w:lang w:val="en-GB"/>
              </w:rPr>
              <w:t>healthy</w:t>
            </w:r>
            <w:r w:rsidR="009C568E">
              <w:rPr>
                <w:rFonts w:eastAsia="Calibri"/>
                <w:lang w:val="en-GB"/>
              </w:rPr>
              <w:t xml:space="preserve"> </w:t>
            </w:r>
            <w:r w:rsidR="0032633A" w:rsidRPr="00D14C15">
              <w:rPr>
                <w:rFonts w:eastAsia="Calibri"/>
                <w:lang w:val="en-GB"/>
              </w:rPr>
              <w:t>living and</w:t>
            </w:r>
            <w:r w:rsidR="009C568E">
              <w:rPr>
                <w:rFonts w:eastAsia="Calibri"/>
                <w:lang w:val="en-GB"/>
              </w:rPr>
              <w:t xml:space="preserve"> </w:t>
            </w:r>
            <w:r w:rsidR="0032633A" w:rsidRPr="00D14C15">
              <w:rPr>
                <w:rFonts w:eastAsia="Calibri"/>
                <w:lang w:val="en-GB"/>
              </w:rPr>
              <w:t xml:space="preserve">a comprehensive pension reform to ensure the fiscal sustainability of the pension system and </w:t>
            </w:r>
            <w:r w:rsidR="009C568E">
              <w:rPr>
                <w:rFonts w:eastAsia="Calibri"/>
                <w:lang w:val="en-GB"/>
              </w:rPr>
              <w:t>adequate</w:t>
            </w:r>
            <w:r>
              <w:rPr>
                <w:rFonts w:eastAsia="Calibri"/>
                <w:lang w:val="en-GB"/>
              </w:rPr>
              <w:t xml:space="preserve"> pensions</w:t>
            </w:r>
            <w:r w:rsidR="0032633A" w:rsidRPr="00D14C15">
              <w:rPr>
                <w:rFonts w:eastAsia="Calibri"/>
                <w:lang w:val="en-GB"/>
              </w:rPr>
              <w:t xml:space="preserve"> </w:t>
            </w:r>
          </w:p>
          <w:p w14:paraId="79EDE2D1" w14:textId="77777777" w:rsidR="0076298E" w:rsidRPr="00D14C15" w:rsidRDefault="0076298E">
            <w:pPr>
              <w:contextualSpacing/>
              <w:jc w:val="both"/>
              <w:rPr>
                <w:rFonts w:eastAsia="Arial"/>
                <w:lang w:val="en-GB"/>
              </w:rPr>
            </w:pPr>
          </w:p>
          <w:p w14:paraId="36235D5E" w14:textId="77777777" w:rsidR="0076298E" w:rsidRPr="00D14C15" w:rsidRDefault="0032633A">
            <w:pPr>
              <w:contextualSpacing/>
              <w:jc w:val="both"/>
              <w:rPr>
                <w:lang w:val="en-GB"/>
              </w:rPr>
            </w:pPr>
            <w:r w:rsidRPr="00D14C15">
              <w:rPr>
                <w:rFonts w:eastAsia="Arial"/>
                <w:lang w:val="en-GB"/>
              </w:rPr>
              <w:t xml:space="preserve">Improvements in population health, measured by key health indicators, have slowed down in the </w:t>
            </w:r>
            <w:r w:rsidR="0035650E">
              <w:rPr>
                <w:rFonts w:eastAsia="Arial"/>
                <w:lang w:val="en-GB"/>
              </w:rPr>
              <w:t>period</w:t>
            </w:r>
            <w:r w:rsidRPr="00D14C15">
              <w:rPr>
                <w:rFonts w:eastAsia="Arial"/>
                <w:lang w:val="en-GB"/>
              </w:rPr>
              <w:t xml:space="preserve"> preceding the </w:t>
            </w:r>
            <w:r w:rsidR="00AD717F">
              <w:rPr>
                <w:rFonts w:eastAsia="Calibri"/>
                <w:lang w:val="en-GB"/>
              </w:rPr>
              <w:t>COVID</w:t>
            </w:r>
            <w:r w:rsidRPr="00D14C15">
              <w:rPr>
                <w:rFonts w:eastAsia="Arial"/>
                <w:lang w:val="en-GB"/>
              </w:rPr>
              <w:t xml:space="preserve">-19 epidemic. </w:t>
            </w:r>
            <w:r w:rsidR="00A67116">
              <w:rPr>
                <w:rFonts w:eastAsia="Arial"/>
                <w:lang w:val="en-GB"/>
              </w:rPr>
              <w:t xml:space="preserve">With the epidemic, the situation regarding the </w:t>
            </w:r>
            <w:r w:rsidRPr="00D14C15">
              <w:rPr>
                <w:rFonts w:eastAsia="Arial"/>
                <w:lang w:val="en-GB"/>
              </w:rPr>
              <w:t xml:space="preserve">access to health and long-term care </w:t>
            </w:r>
            <w:r w:rsidR="00A67116">
              <w:rPr>
                <w:rFonts w:eastAsia="Arial"/>
                <w:lang w:val="en-GB"/>
              </w:rPr>
              <w:t>worsened</w:t>
            </w:r>
            <w:r w:rsidRPr="00D14C15">
              <w:rPr>
                <w:rFonts w:eastAsia="Arial"/>
                <w:lang w:val="en-GB"/>
              </w:rPr>
              <w:t xml:space="preserve">. The impact of the epidemic on the quality of life is already </w:t>
            </w:r>
            <w:r w:rsidR="0035650E">
              <w:rPr>
                <w:rFonts w:eastAsia="Arial"/>
                <w:lang w:val="en-GB"/>
              </w:rPr>
              <w:t>demonstrated in some indicators for 2020. A</w:t>
            </w:r>
            <w:r w:rsidR="0035650E" w:rsidRPr="00D14C15">
              <w:rPr>
                <w:rFonts w:eastAsia="Arial"/>
                <w:lang w:val="en-GB"/>
              </w:rPr>
              <w:t>ccording to the assessments and analyses of the EC</w:t>
            </w:r>
            <w:r w:rsidR="0035650E">
              <w:rPr>
                <w:rFonts w:eastAsia="Arial"/>
                <w:lang w:val="en-GB"/>
              </w:rPr>
              <w:t xml:space="preserve"> and</w:t>
            </w:r>
            <w:r w:rsidR="0035650E" w:rsidRPr="00D14C15">
              <w:rPr>
                <w:rFonts w:eastAsia="Arial"/>
                <w:lang w:val="en-GB"/>
              </w:rPr>
              <w:t xml:space="preserve"> OECD</w:t>
            </w:r>
            <w:r w:rsidR="0035650E">
              <w:rPr>
                <w:rFonts w:eastAsia="Arial"/>
                <w:lang w:val="en-GB"/>
              </w:rPr>
              <w:t>, a decline in indicators for</w:t>
            </w:r>
            <w:r w:rsidRPr="00D14C15">
              <w:rPr>
                <w:rFonts w:eastAsia="Arial"/>
                <w:lang w:val="en-GB"/>
              </w:rPr>
              <w:t xml:space="preserve"> 2021 </w:t>
            </w:r>
            <w:r w:rsidR="0035650E">
              <w:rPr>
                <w:rFonts w:eastAsia="Arial"/>
                <w:lang w:val="en-GB"/>
              </w:rPr>
              <w:t>is also expected</w:t>
            </w:r>
            <w:r w:rsidR="00A67116">
              <w:rPr>
                <w:rFonts w:eastAsia="Arial"/>
                <w:lang w:val="en-GB"/>
              </w:rPr>
              <w:t>. The</w:t>
            </w:r>
            <w:r w:rsidR="0035650E">
              <w:rPr>
                <w:rFonts w:eastAsia="Arial"/>
                <w:lang w:val="en-GB"/>
              </w:rPr>
              <w:t xml:space="preserve"> situation needs to be </w:t>
            </w:r>
            <w:r w:rsidR="00A67116">
              <w:rPr>
                <w:rFonts w:eastAsia="Arial"/>
                <w:lang w:val="en-GB"/>
              </w:rPr>
              <w:t xml:space="preserve">addressed </w:t>
            </w:r>
            <w:r w:rsidRPr="00D14C15">
              <w:rPr>
                <w:rFonts w:eastAsia="Arial"/>
                <w:lang w:val="en-GB"/>
              </w:rPr>
              <w:t xml:space="preserve">quickly, comprehensively and in a </w:t>
            </w:r>
            <w:r w:rsidR="00A67116">
              <w:rPr>
                <w:rFonts w:eastAsia="Arial"/>
                <w:lang w:val="en-GB"/>
              </w:rPr>
              <w:t>focused</w:t>
            </w:r>
            <w:r w:rsidRPr="00D14C15">
              <w:rPr>
                <w:rFonts w:eastAsia="Arial"/>
                <w:lang w:val="en-GB"/>
              </w:rPr>
              <w:t xml:space="preserve"> manner.</w:t>
            </w:r>
            <w:r w:rsidRPr="00D14C15">
              <w:rPr>
                <w:lang w:val="en-GB"/>
              </w:rPr>
              <w:t xml:space="preserve"> </w:t>
            </w:r>
          </w:p>
          <w:p w14:paraId="05C1B94B" w14:textId="77777777" w:rsidR="0076298E" w:rsidRPr="00D14C15" w:rsidRDefault="0076298E">
            <w:pPr>
              <w:contextualSpacing/>
              <w:jc w:val="both"/>
              <w:rPr>
                <w:lang w:val="en-GB"/>
              </w:rPr>
            </w:pPr>
          </w:p>
          <w:p w14:paraId="73EE1310" w14:textId="77777777" w:rsidR="0076298E" w:rsidRPr="00D14C15" w:rsidRDefault="000F3EC8">
            <w:pPr>
              <w:contextualSpacing/>
              <w:jc w:val="both"/>
              <w:rPr>
                <w:lang w:val="en-GB"/>
              </w:rPr>
            </w:pPr>
            <w:r>
              <w:rPr>
                <w:lang w:val="en-GB"/>
              </w:rPr>
              <w:t>We have already intensified our e</w:t>
            </w:r>
            <w:r w:rsidR="0032633A" w:rsidRPr="00D14C15">
              <w:rPr>
                <w:lang w:val="en-GB"/>
              </w:rPr>
              <w:t xml:space="preserve">fforts </w:t>
            </w:r>
            <w:r>
              <w:rPr>
                <w:lang w:val="en-GB"/>
              </w:rPr>
              <w:t>to</w:t>
            </w:r>
            <w:r w:rsidR="0032633A" w:rsidRPr="00D14C15">
              <w:rPr>
                <w:lang w:val="en-GB"/>
              </w:rPr>
              <w:t xml:space="preserve"> </w:t>
            </w:r>
            <w:r>
              <w:rPr>
                <w:lang w:val="en-GB"/>
              </w:rPr>
              <w:t>ensure</w:t>
            </w:r>
            <w:r w:rsidR="00A67116">
              <w:rPr>
                <w:lang w:val="en-GB"/>
              </w:rPr>
              <w:t xml:space="preserve"> </w:t>
            </w:r>
            <w:r w:rsidR="0032633A" w:rsidRPr="00D14C15">
              <w:rPr>
                <w:lang w:val="en-GB"/>
              </w:rPr>
              <w:t xml:space="preserve">sustainable and quality long-term care and deinstitutionalisation. </w:t>
            </w:r>
            <w:r w:rsidR="00A67116">
              <w:rPr>
                <w:lang w:val="en-GB"/>
              </w:rPr>
              <w:t xml:space="preserve">We </w:t>
            </w:r>
            <w:r>
              <w:rPr>
                <w:lang w:val="en-GB"/>
              </w:rPr>
              <w:t>will</w:t>
            </w:r>
            <w:r w:rsidR="00A67116">
              <w:rPr>
                <w:lang w:val="en-GB"/>
              </w:rPr>
              <w:t xml:space="preserve"> continue to</w:t>
            </w:r>
            <w:r w:rsidR="0032633A" w:rsidRPr="00D14C15">
              <w:rPr>
                <w:lang w:val="en-GB"/>
              </w:rPr>
              <w:t xml:space="preserve"> promote inclusion of people in need of long-term care, to work towards normalis</w:t>
            </w:r>
            <w:r w:rsidR="00A67116">
              <w:rPr>
                <w:lang w:val="en-GB"/>
              </w:rPr>
              <w:t>ing</w:t>
            </w:r>
            <w:r w:rsidR="0032633A" w:rsidRPr="00D14C15">
              <w:rPr>
                <w:lang w:val="en-GB"/>
              </w:rPr>
              <w:t xml:space="preserve"> their lives in accordance with their needs and </w:t>
            </w:r>
            <w:r w:rsidR="00A67116">
              <w:rPr>
                <w:lang w:val="en-GB"/>
              </w:rPr>
              <w:t>desires</w:t>
            </w:r>
            <w:r w:rsidR="0032633A" w:rsidRPr="00D14C15">
              <w:rPr>
                <w:lang w:val="en-GB"/>
              </w:rPr>
              <w:t xml:space="preserve">, to support them </w:t>
            </w:r>
            <w:r w:rsidR="00A67116">
              <w:rPr>
                <w:lang w:val="en-GB"/>
              </w:rPr>
              <w:t>in li</w:t>
            </w:r>
            <w:r w:rsidR="00A67116" w:rsidRPr="00D14C15">
              <w:rPr>
                <w:lang w:val="en-GB"/>
              </w:rPr>
              <w:t xml:space="preserve">ving </w:t>
            </w:r>
            <w:r w:rsidR="00A67116">
              <w:rPr>
                <w:lang w:val="en-GB"/>
              </w:rPr>
              <w:t xml:space="preserve">as </w:t>
            </w:r>
            <w:r w:rsidR="0032633A" w:rsidRPr="00D14C15">
              <w:rPr>
                <w:lang w:val="en-GB"/>
              </w:rPr>
              <w:t>independent</w:t>
            </w:r>
            <w:r w:rsidR="00A67116">
              <w:rPr>
                <w:lang w:val="en-GB"/>
              </w:rPr>
              <w:t>ly</w:t>
            </w:r>
            <w:r w:rsidR="0032633A" w:rsidRPr="00D14C15">
              <w:rPr>
                <w:lang w:val="en-GB"/>
              </w:rPr>
              <w:t xml:space="preserve"> as possible, and to invest in infrastructure adaptations or provision of living environments that </w:t>
            </w:r>
            <w:r w:rsidR="00A67116">
              <w:rPr>
                <w:lang w:val="en-GB"/>
              </w:rPr>
              <w:t>support</w:t>
            </w:r>
            <w:r w:rsidR="0032633A" w:rsidRPr="00D14C15">
              <w:rPr>
                <w:lang w:val="en-GB"/>
              </w:rPr>
              <w:t xml:space="preserve"> </w:t>
            </w:r>
            <w:r>
              <w:rPr>
                <w:lang w:val="en-GB"/>
              </w:rPr>
              <w:t>living independently</w:t>
            </w:r>
            <w:r w:rsidR="0032633A" w:rsidRPr="00D14C15">
              <w:rPr>
                <w:lang w:val="en-GB"/>
              </w:rPr>
              <w:t xml:space="preserve">. </w:t>
            </w:r>
          </w:p>
          <w:p w14:paraId="0F5E3C16" w14:textId="77777777" w:rsidR="0076298E" w:rsidRPr="00D14C15" w:rsidRDefault="0076298E">
            <w:pPr>
              <w:contextualSpacing/>
              <w:jc w:val="both"/>
              <w:rPr>
                <w:rFonts w:eastAsia="Arial"/>
                <w:lang w:val="en-GB"/>
              </w:rPr>
            </w:pPr>
          </w:p>
          <w:p w14:paraId="2D33C16E" w14:textId="77777777" w:rsidR="0076298E" w:rsidRPr="00D14C15" w:rsidRDefault="002D2E81">
            <w:pPr>
              <w:pStyle w:val="P68B1DB1-Navaden6"/>
              <w:contextualSpacing/>
              <w:jc w:val="both"/>
              <w:rPr>
                <w:lang w:val="en-GB"/>
              </w:rPr>
            </w:pPr>
            <w:r>
              <w:rPr>
                <w:lang w:val="en-GB"/>
              </w:rPr>
              <w:t xml:space="preserve">In the last decade, </w:t>
            </w:r>
            <w:r w:rsidR="0032633A" w:rsidRPr="00D14C15">
              <w:rPr>
                <w:lang w:val="en-GB"/>
              </w:rPr>
              <w:t>the biggest challenge in healthcare</w:t>
            </w:r>
            <w:r>
              <w:rPr>
                <w:lang w:val="en-GB"/>
              </w:rPr>
              <w:t>,</w:t>
            </w:r>
            <w:r w:rsidR="0032633A" w:rsidRPr="00D14C15">
              <w:rPr>
                <w:lang w:val="en-GB"/>
              </w:rPr>
              <w:t xml:space="preserve"> </w:t>
            </w:r>
            <w:r w:rsidRPr="00D14C15">
              <w:rPr>
                <w:lang w:val="en-GB"/>
              </w:rPr>
              <w:t>in terms of system capacity</w:t>
            </w:r>
            <w:r>
              <w:rPr>
                <w:lang w:val="en-GB"/>
              </w:rPr>
              <w:t>,</w:t>
            </w:r>
            <w:r w:rsidRPr="00D14C15">
              <w:rPr>
                <w:lang w:val="en-GB"/>
              </w:rPr>
              <w:t xml:space="preserve"> </w:t>
            </w:r>
            <w:r w:rsidR="0032633A" w:rsidRPr="00D14C15">
              <w:rPr>
                <w:lang w:val="en-GB"/>
              </w:rPr>
              <w:t xml:space="preserve">has been the growing number of patients with chronic degenerative diseases and the growing number of people over 80 with fragility problems, often </w:t>
            </w:r>
            <w:r w:rsidR="000F3EC8">
              <w:rPr>
                <w:lang w:val="en-GB"/>
              </w:rPr>
              <w:t>suffering also</w:t>
            </w:r>
            <w:r>
              <w:rPr>
                <w:lang w:val="en-GB"/>
              </w:rPr>
              <w:t xml:space="preserve"> </w:t>
            </w:r>
            <w:r w:rsidR="000F3EC8">
              <w:rPr>
                <w:lang w:val="en-GB"/>
              </w:rPr>
              <w:t xml:space="preserve">from </w:t>
            </w:r>
            <w:r w:rsidR="0032633A" w:rsidRPr="00D14C15">
              <w:rPr>
                <w:lang w:val="en-GB"/>
              </w:rPr>
              <w:t xml:space="preserve">multiple chronic diseases, </w:t>
            </w:r>
            <w:r>
              <w:rPr>
                <w:lang w:val="en-GB"/>
              </w:rPr>
              <w:t xml:space="preserve">who </w:t>
            </w:r>
            <w:r w:rsidR="0032633A" w:rsidRPr="00D14C15">
              <w:rPr>
                <w:lang w:val="en-GB"/>
              </w:rPr>
              <w:t>dependent on assist</w:t>
            </w:r>
            <w:r w:rsidR="000F3EC8">
              <w:rPr>
                <w:lang w:val="en-GB"/>
              </w:rPr>
              <w:t xml:space="preserve">ance from others and </w:t>
            </w:r>
            <w:r>
              <w:rPr>
                <w:lang w:val="en-GB"/>
              </w:rPr>
              <w:t xml:space="preserve">need </w:t>
            </w:r>
            <w:r w:rsidR="0032633A" w:rsidRPr="00D14C15">
              <w:rPr>
                <w:lang w:val="en-GB"/>
              </w:rPr>
              <w:t xml:space="preserve">long-term care. </w:t>
            </w:r>
            <w:r>
              <w:rPr>
                <w:lang w:val="en-GB"/>
              </w:rPr>
              <w:t>With n</w:t>
            </w:r>
            <w:r w:rsidR="0032633A" w:rsidRPr="00D14C15">
              <w:rPr>
                <w:lang w:val="en-GB"/>
              </w:rPr>
              <w:t>ew technologies and treatment</w:t>
            </w:r>
            <w:r>
              <w:rPr>
                <w:lang w:val="en-GB"/>
              </w:rPr>
              <w:t xml:space="preserve"> methods,</w:t>
            </w:r>
            <w:r w:rsidR="0032633A" w:rsidRPr="00D14C15">
              <w:rPr>
                <w:lang w:val="en-GB"/>
              </w:rPr>
              <w:t xml:space="preserve"> and the need </w:t>
            </w:r>
            <w:r w:rsidR="000F3EC8">
              <w:rPr>
                <w:lang w:val="en-GB"/>
              </w:rPr>
              <w:t>to increase</w:t>
            </w:r>
            <w:r w:rsidR="0032633A" w:rsidRPr="00D14C15">
              <w:rPr>
                <w:lang w:val="en-GB"/>
              </w:rPr>
              <w:t xml:space="preserve"> </w:t>
            </w:r>
            <w:r w:rsidR="000F3EC8">
              <w:rPr>
                <w:lang w:val="en-GB"/>
              </w:rPr>
              <w:t xml:space="preserve">the </w:t>
            </w:r>
            <w:r w:rsidR="0032633A" w:rsidRPr="00D14C15">
              <w:rPr>
                <w:lang w:val="en-GB"/>
              </w:rPr>
              <w:t xml:space="preserve">efficiency of the system, </w:t>
            </w:r>
            <w:r>
              <w:rPr>
                <w:lang w:val="en-GB"/>
              </w:rPr>
              <w:t xml:space="preserve">Slovenia </w:t>
            </w:r>
            <w:r w:rsidRPr="00D14C15">
              <w:rPr>
                <w:lang w:val="en-GB"/>
              </w:rPr>
              <w:t xml:space="preserve">successfully introduced </w:t>
            </w:r>
            <w:r w:rsidR="0032633A" w:rsidRPr="00D14C15">
              <w:rPr>
                <w:lang w:val="en-GB"/>
              </w:rPr>
              <w:t xml:space="preserve">new models of acute treatment at the primary and secondary levels. On the other hand, Slovenia did not </w:t>
            </w:r>
            <w:r>
              <w:rPr>
                <w:lang w:val="en-GB"/>
              </w:rPr>
              <w:t>address</w:t>
            </w:r>
            <w:r w:rsidR="0032633A" w:rsidRPr="00D14C15">
              <w:rPr>
                <w:lang w:val="en-GB"/>
              </w:rPr>
              <w:t xml:space="preserve"> the need </w:t>
            </w:r>
            <w:r>
              <w:rPr>
                <w:lang w:val="en-GB"/>
              </w:rPr>
              <w:t>for capacity building</w:t>
            </w:r>
            <w:r w:rsidR="0032633A" w:rsidRPr="00D14C15">
              <w:rPr>
                <w:lang w:val="en-GB"/>
              </w:rPr>
              <w:t xml:space="preserve"> </w:t>
            </w:r>
            <w:r>
              <w:rPr>
                <w:lang w:val="en-GB"/>
              </w:rPr>
              <w:t>to treat</w:t>
            </w:r>
            <w:r w:rsidR="0032633A" w:rsidRPr="00D14C15">
              <w:rPr>
                <w:lang w:val="en-GB"/>
              </w:rPr>
              <w:t xml:space="preserve"> older and multi-morbid patients, to </w:t>
            </w:r>
            <w:r w:rsidR="0032633A" w:rsidRPr="00D14C15">
              <w:rPr>
                <w:lang w:val="en-GB"/>
              </w:rPr>
              <w:lastRenderedPageBreak/>
              <w:t xml:space="preserve">introduce new capacities for non-acute treatment, extended hospital treatment, early rehabilitation, integrated </w:t>
            </w:r>
            <w:r>
              <w:rPr>
                <w:lang w:val="en-GB"/>
              </w:rPr>
              <w:t xml:space="preserve">long-term care and home care, so the Programme will also focus on </w:t>
            </w:r>
            <w:r w:rsidR="0032633A" w:rsidRPr="00D14C15">
              <w:rPr>
                <w:lang w:val="en-GB"/>
              </w:rPr>
              <w:t xml:space="preserve">these </w:t>
            </w:r>
            <w:r w:rsidR="000F3EC8">
              <w:rPr>
                <w:lang w:val="en-GB"/>
              </w:rPr>
              <w:t>issues</w:t>
            </w:r>
            <w:r w:rsidR="0032633A" w:rsidRPr="00D14C15">
              <w:rPr>
                <w:lang w:val="en-GB"/>
              </w:rPr>
              <w:t>. Health system reform, s</w:t>
            </w:r>
            <w:r>
              <w:rPr>
                <w:lang w:val="en-GB"/>
              </w:rPr>
              <w:t>ystemic reform of long-term care</w:t>
            </w:r>
            <w:r w:rsidR="0032633A" w:rsidRPr="00D14C15">
              <w:rPr>
                <w:lang w:val="en-GB"/>
              </w:rPr>
              <w:t xml:space="preserve"> and planned investments </w:t>
            </w:r>
            <w:r>
              <w:rPr>
                <w:lang w:val="en-GB"/>
              </w:rPr>
              <w:t xml:space="preserve">under the </w:t>
            </w:r>
            <w:r w:rsidR="00305559">
              <w:rPr>
                <w:lang w:val="en-GB"/>
              </w:rPr>
              <w:t xml:space="preserve">RRP </w:t>
            </w:r>
            <w:r>
              <w:rPr>
                <w:lang w:val="en-GB"/>
              </w:rPr>
              <w:t>will</w:t>
            </w:r>
            <w:r w:rsidR="0032633A" w:rsidRPr="00D14C15">
              <w:rPr>
                <w:lang w:val="en-GB"/>
              </w:rPr>
              <w:t xml:space="preserve"> also contribute to addressing these challenges. </w:t>
            </w:r>
          </w:p>
          <w:p w14:paraId="35905D99" w14:textId="77777777" w:rsidR="0076298E" w:rsidRPr="00D14C15" w:rsidRDefault="0076298E">
            <w:pPr>
              <w:contextualSpacing/>
              <w:jc w:val="both"/>
              <w:rPr>
                <w:rFonts w:eastAsia="Arial"/>
                <w:lang w:val="en-GB"/>
              </w:rPr>
            </w:pPr>
          </w:p>
          <w:p w14:paraId="7E6378BD" w14:textId="77777777" w:rsidR="0076298E" w:rsidRPr="00D14C15" w:rsidRDefault="000F3EC8">
            <w:pPr>
              <w:pStyle w:val="P68B1DB1-Navaden4"/>
              <w:widowControl/>
              <w:numPr>
                <w:ilvl w:val="0"/>
                <w:numId w:val="2"/>
              </w:numPr>
              <w:autoSpaceDE/>
              <w:autoSpaceDN/>
              <w:contextualSpacing/>
              <w:jc w:val="both"/>
              <w:rPr>
                <w:rFonts w:eastAsia="Calibri"/>
                <w:lang w:val="en-GB"/>
              </w:rPr>
            </w:pPr>
            <w:r>
              <w:rPr>
                <w:rFonts w:eastAsia="Calibri"/>
                <w:lang w:val="en-GB"/>
              </w:rPr>
              <w:t>e</w:t>
            </w:r>
            <w:r w:rsidR="0032633A" w:rsidRPr="00D14C15">
              <w:rPr>
                <w:rFonts w:eastAsia="Calibri"/>
                <w:lang w:val="en-GB"/>
              </w:rPr>
              <w:t xml:space="preserve">nsuring sufficient </w:t>
            </w:r>
            <w:r w:rsidR="002D2E81">
              <w:rPr>
                <w:rFonts w:eastAsia="Calibri"/>
                <w:lang w:val="en-GB"/>
              </w:rPr>
              <w:t>work</w:t>
            </w:r>
            <w:r w:rsidR="0032633A" w:rsidRPr="00D14C15">
              <w:rPr>
                <w:rFonts w:eastAsia="Calibri"/>
                <w:lang w:val="en-GB"/>
              </w:rPr>
              <w:t>force</w:t>
            </w:r>
            <w:r w:rsidR="00AE6AD9">
              <w:rPr>
                <w:rFonts w:eastAsia="Calibri"/>
                <w:lang w:val="en-GB"/>
              </w:rPr>
              <w:t>,</w:t>
            </w:r>
            <w:r w:rsidR="0032633A" w:rsidRPr="00D14C15">
              <w:rPr>
                <w:rFonts w:eastAsia="Calibri"/>
                <w:lang w:val="en-GB"/>
              </w:rPr>
              <w:t xml:space="preserve"> also </w:t>
            </w:r>
            <w:r w:rsidR="00AE6AD9">
              <w:rPr>
                <w:rFonts w:eastAsia="Calibri"/>
                <w:lang w:val="en-GB"/>
              </w:rPr>
              <w:t xml:space="preserve">with </w:t>
            </w:r>
            <w:r w:rsidR="0032633A" w:rsidRPr="00D14C15">
              <w:rPr>
                <w:rFonts w:eastAsia="Calibri"/>
                <w:lang w:val="en-GB"/>
              </w:rPr>
              <w:t>the</w:t>
            </w:r>
            <w:r w:rsidR="00AE6AD9">
              <w:rPr>
                <w:rFonts w:eastAsia="Calibri"/>
                <w:lang w:val="en-GB"/>
              </w:rPr>
              <w:t xml:space="preserve"> </w:t>
            </w:r>
            <w:r w:rsidR="0032633A" w:rsidRPr="00D14C15">
              <w:rPr>
                <w:rFonts w:eastAsia="Calibri"/>
                <w:lang w:val="en-GB"/>
              </w:rPr>
              <w:t>active</w:t>
            </w:r>
            <w:r w:rsidR="00AE6AD9">
              <w:rPr>
                <w:rFonts w:eastAsia="Calibri"/>
                <w:lang w:val="en-GB"/>
              </w:rPr>
              <w:t xml:space="preserve"> </w:t>
            </w:r>
            <w:r w:rsidR="0032633A" w:rsidRPr="00D14C15">
              <w:rPr>
                <w:rFonts w:eastAsia="Calibri"/>
                <w:lang w:val="en-GB"/>
              </w:rPr>
              <w:t>inclusion of immigrants in social</w:t>
            </w:r>
            <w:r w:rsidR="00AE6AD9">
              <w:rPr>
                <w:rFonts w:eastAsia="Calibri"/>
                <w:lang w:val="en-GB"/>
              </w:rPr>
              <w:t xml:space="preserve"> </w:t>
            </w:r>
            <w:r w:rsidR="0032633A" w:rsidRPr="00D14C15">
              <w:rPr>
                <w:rFonts w:eastAsia="Calibri"/>
                <w:lang w:val="en-GB"/>
              </w:rPr>
              <w:t>and soci</w:t>
            </w:r>
            <w:r w:rsidR="00AE6AD9">
              <w:rPr>
                <w:rFonts w:eastAsia="Calibri"/>
                <w:lang w:val="en-GB"/>
              </w:rPr>
              <w:t xml:space="preserve">etal </w:t>
            </w:r>
            <w:r>
              <w:rPr>
                <w:rFonts w:eastAsia="Calibri"/>
                <w:lang w:val="en-GB"/>
              </w:rPr>
              <w:t>life</w:t>
            </w:r>
          </w:p>
          <w:p w14:paraId="491BF9C6" w14:textId="77777777" w:rsidR="0076298E" w:rsidRPr="00D14C15" w:rsidRDefault="0076298E">
            <w:pPr>
              <w:contextualSpacing/>
              <w:jc w:val="both"/>
              <w:rPr>
                <w:rFonts w:eastAsia="Arial"/>
                <w:lang w:val="en-GB"/>
              </w:rPr>
            </w:pPr>
          </w:p>
          <w:p w14:paraId="5149F85F" w14:textId="77777777" w:rsidR="0076298E" w:rsidRPr="00D14C15" w:rsidRDefault="0032633A">
            <w:pPr>
              <w:pStyle w:val="P68B1DB1-Navaden6"/>
              <w:contextualSpacing/>
              <w:jc w:val="both"/>
              <w:rPr>
                <w:lang w:val="en-GB"/>
              </w:rPr>
            </w:pPr>
            <w:r w:rsidRPr="00D14C15">
              <w:rPr>
                <w:lang w:val="en-GB"/>
              </w:rPr>
              <w:t xml:space="preserve">Despite positive economic and social </w:t>
            </w:r>
            <w:r w:rsidR="00AE6AD9">
              <w:rPr>
                <w:lang w:val="en-GB"/>
              </w:rPr>
              <w:t>trends</w:t>
            </w:r>
            <w:r w:rsidRPr="00D14C15">
              <w:rPr>
                <w:lang w:val="en-GB"/>
              </w:rPr>
              <w:t xml:space="preserve">, </w:t>
            </w:r>
            <w:r w:rsidR="00AE6AD9">
              <w:rPr>
                <w:lang w:val="en-GB"/>
              </w:rPr>
              <w:t>certain</w:t>
            </w:r>
            <w:r w:rsidRPr="00D14C15">
              <w:rPr>
                <w:lang w:val="en-GB"/>
              </w:rPr>
              <w:t xml:space="preserve"> social groups continue to face various challenges: </w:t>
            </w:r>
          </w:p>
          <w:p w14:paraId="1DCA2D61" w14:textId="77777777" w:rsidR="0076298E" w:rsidRPr="00D14C15" w:rsidRDefault="0076298E">
            <w:pPr>
              <w:contextualSpacing/>
              <w:jc w:val="both"/>
              <w:rPr>
                <w:rFonts w:eastAsia="Arial"/>
                <w:lang w:val="en-GB"/>
              </w:rPr>
            </w:pPr>
          </w:p>
          <w:p w14:paraId="703BA60C" w14:textId="77777777" w:rsidR="0076298E" w:rsidRPr="00D14C15" w:rsidRDefault="0032633A">
            <w:pPr>
              <w:jc w:val="both"/>
              <w:rPr>
                <w:lang w:val="en-GB"/>
              </w:rPr>
            </w:pPr>
            <w:r w:rsidRPr="00D14C15">
              <w:rPr>
                <w:lang w:val="en-GB"/>
              </w:rPr>
              <w:t xml:space="preserve">At the end of April 2022, 58,081 unemployed persons were registered, </w:t>
            </w:r>
            <w:r w:rsidR="00AE6AD9">
              <w:rPr>
                <w:lang w:val="en-GB"/>
              </w:rPr>
              <w:t xml:space="preserve">which is </w:t>
            </w:r>
            <w:r w:rsidRPr="00D14C15">
              <w:rPr>
                <w:lang w:val="en-GB"/>
              </w:rPr>
              <w:t xml:space="preserve">26.7% </w:t>
            </w:r>
            <w:r w:rsidR="000F3EC8">
              <w:rPr>
                <w:lang w:val="en-GB"/>
              </w:rPr>
              <w:t>less</w:t>
            </w:r>
            <w:r w:rsidR="00AE6AD9">
              <w:rPr>
                <w:lang w:val="en-GB"/>
              </w:rPr>
              <w:t xml:space="preserve"> compared to </w:t>
            </w:r>
            <w:r w:rsidRPr="00D14C15">
              <w:rPr>
                <w:lang w:val="en-GB"/>
              </w:rPr>
              <w:t xml:space="preserve">April 2021 and </w:t>
            </w:r>
            <w:r w:rsidR="00AE6AD9">
              <w:rPr>
                <w:lang w:val="en-GB"/>
              </w:rPr>
              <w:t xml:space="preserve">is at the </w:t>
            </w:r>
            <w:r w:rsidRPr="00D14C15">
              <w:rPr>
                <w:lang w:val="en-GB"/>
              </w:rPr>
              <w:t xml:space="preserve">lowest </w:t>
            </w:r>
            <w:r w:rsidR="00AE6AD9">
              <w:rPr>
                <w:lang w:val="en-GB"/>
              </w:rPr>
              <w:t>level thus far</w:t>
            </w:r>
            <w:r w:rsidRPr="00D14C15">
              <w:rPr>
                <w:lang w:val="en-GB"/>
              </w:rPr>
              <w:t xml:space="preserve">. In the face of demographic change, strengthened economic activity has led to an </w:t>
            </w:r>
            <w:r w:rsidR="00AE6AD9">
              <w:rPr>
                <w:lang w:val="en-GB"/>
              </w:rPr>
              <w:t>above-average</w:t>
            </w:r>
            <w:r w:rsidRPr="00D14C15">
              <w:rPr>
                <w:lang w:val="en-GB"/>
              </w:rPr>
              <w:t xml:space="preserve"> demand for labour, which is </w:t>
            </w:r>
            <w:r w:rsidR="00AE6AD9">
              <w:rPr>
                <w:lang w:val="en-GB"/>
              </w:rPr>
              <w:t>still growing</w:t>
            </w:r>
            <w:r w:rsidRPr="00D14C15">
              <w:rPr>
                <w:lang w:val="en-GB"/>
              </w:rPr>
              <w:t xml:space="preserve">, which makes it difficult for employers to find the right workforce. </w:t>
            </w:r>
            <w:r w:rsidR="004C3A3C">
              <w:rPr>
                <w:lang w:val="en-GB"/>
              </w:rPr>
              <w:t>T</w:t>
            </w:r>
            <w:r w:rsidRPr="00D14C15">
              <w:rPr>
                <w:lang w:val="en-GB"/>
              </w:rPr>
              <w:t xml:space="preserve">he structural problems of unemployment </w:t>
            </w:r>
            <w:r w:rsidR="004C3A3C">
              <w:rPr>
                <w:lang w:val="en-GB"/>
              </w:rPr>
              <w:t xml:space="preserve">are on the rise with the growing </w:t>
            </w:r>
            <w:r w:rsidRPr="00D14C15">
              <w:rPr>
                <w:lang w:val="en-GB"/>
              </w:rPr>
              <w:t xml:space="preserve">share of </w:t>
            </w:r>
            <w:r w:rsidR="004C3A3C">
              <w:rPr>
                <w:lang w:val="en-GB"/>
              </w:rPr>
              <w:t>those who have been</w:t>
            </w:r>
            <w:r w:rsidRPr="00D14C15">
              <w:rPr>
                <w:lang w:val="en-GB"/>
              </w:rPr>
              <w:t xml:space="preserve"> unemployed</w:t>
            </w:r>
            <w:r w:rsidR="004C3A3C">
              <w:rPr>
                <w:lang w:val="en-GB"/>
              </w:rPr>
              <w:t xml:space="preserve"> for a long time and</w:t>
            </w:r>
            <w:r w:rsidRPr="00D14C15">
              <w:rPr>
                <w:lang w:val="en-GB"/>
              </w:rPr>
              <w:t xml:space="preserve"> who need additional and in-depth treatment to reintegrate into the labour market. </w:t>
            </w:r>
            <w:r w:rsidR="004C3A3C">
              <w:rPr>
                <w:lang w:val="en-GB"/>
              </w:rPr>
              <w:t xml:space="preserve">In its </w:t>
            </w:r>
            <w:r w:rsidRPr="00D14C15">
              <w:rPr>
                <w:lang w:val="en-GB"/>
              </w:rPr>
              <w:t>Spring Forecast</w:t>
            </w:r>
            <w:r w:rsidR="004C3A3C" w:rsidRPr="004C3A3C">
              <w:rPr>
                <w:vertAlign w:val="superscript"/>
                <w:lang w:val="en-GB"/>
              </w:rPr>
              <w:footnoteReference w:id="28"/>
            </w:r>
            <w:r w:rsidRPr="00D14C15">
              <w:rPr>
                <w:lang w:val="en-GB"/>
              </w:rPr>
              <w:t xml:space="preserve"> </w:t>
            </w:r>
            <w:r w:rsidR="004C3A3C" w:rsidRPr="00BA7FBB">
              <w:rPr>
                <w:lang w:val="en-GB"/>
              </w:rPr>
              <w:t>UMAR</w:t>
            </w:r>
            <w:r w:rsidR="004C3A3C">
              <w:rPr>
                <w:lang w:val="en-GB"/>
              </w:rPr>
              <w:t xml:space="preserve"> </w:t>
            </w:r>
            <w:r w:rsidRPr="00D14C15">
              <w:rPr>
                <w:lang w:val="en-GB"/>
              </w:rPr>
              <w:t xml:space="preserve">projects employment growth to continue, while demographic </w:t>
            </w:r>
            <w:r w:rsidR="004C3A3C">
              <w:rPr>
                <w:lang w:val="en-GB"/>
              </w:rPr>
              <w:t xml:space="preserve">trends will </w:t>
            </w:r>
            <w:r w:rsidRPr="00D14C15">
              <w:rPr>
                <w:lang w:val="en-GB"/>
              </w:rPr>
              <w:t>strengthen the impact of labour availability constraints.</w:t>
            </w:r>
          </w:p>
          <w:p w14:paraId="3B5E02F6" w14:textId="77777777" w:rsidR="0076298E" w:rsidRPr="00D14C15" w:rsidRDefault="0076298E">
            <w:pPr>
              <w:contextualSpacing/>
              <w:jc w:val="both"/>
              <w:rPr>
                <w:lang w:val="en-GB"/>
              </w:rPr>
            </w:pPr>
          </w:p>
          <w:p w14:paraId="20A460B9" w14:textId="77777777" w:rsidR="0076298E" w:rsidRPr="00D14C15" w:rsidRDefault="0032633A">
            <w:pPr>
              <w:contextualSpacing/>
              <w:jc w:val="both"/>
              <w:rPr>
                <w:lang w:val="en-GB"/>
              </w:rPr>
            </w:pPr>
            <w:r w:rsidRPr="00D14C15">
              <w:rPr>
                <w:rFonts w:eastAsia="Arial"/>
                <w:lang w:val="en-GB"/>
              </w:rPr>
              <w:t>The share of employees with fixed-term contracts and precarious contracts remains above the EU average</w:t>
            </w:r>
            <w:r w:rsidR="00CD2549">
              <w:rPr>
                <w:rFonts w:eastAsia="Arial"/>
                <w:lang w:val="en-GB"/>
              </w:rPr>
              <w:t xml:space="preserve">. Slovenia should thus </w:t>
            </w:r>
            <w:r w:rsidRPr="00D14C15">
              <w:rPr>
                <w:lang w:val="en-GB"/>
              </w:rPr>
              <w:t xml:space="preserve">provide </w:t>
            </w:r>
            <w:r w:rsidRPr="00D14C15">
              <w:rPr>
                <w:rFonts w:eastAsia="Arial"/>
                <w:lang w:val="en-GB"/>
              </w:rPr>
              <w:t xml:space="preserve">adequate information and training on workers’ rights. </w:t>
            </w:r>
            <w:r w:rsidR="004C3A3C">
              <w:rPr>
                <w:rFonts w:eastAsia="Arial"/>
                <w:lang w:val="en-GB"/>
              </w:rPr>
              <w:t>D</w:t>
            </w:r>
            <w:r w:rsidR="004C3A3C" w:rsidRPr="00D14C15">
              <w:rPr>
                <w:rFonts w:eastAsia="Arial"/>
                <w:lang w:val="en-GB"/>
              </w:rPr>
              <w:t xml:space="preserve">ue to ageing </w:t>
            </w:r>
            <w:r w:rsidR="00CD2549">
              <w:rPr>
                <w:rFonts w:eastAsia="Arial"/>
                <w:lang w:val="en-GB"/>
              </w:rPr>
              <w:t xml:space="preserve">of the </w:t>
            </w:r>
            <w:r w:rsidR="004C3A3C" w:rsidRPr="00D14C15">
              <w:rPr>
                <w:rFonts w:eastAsia="Arial"/>
                <w:lang w:val="en-GB"/>
              </w:rPr>
              <w:t>population</w:t>
            </w:r>
            <w:r w:rsidR="004C3A3C">
              <w:rPr>
                <w:rFonts w:eastAsia="Arial"/>
                <w:lang w:val="en-GB"/>
              </w:rPr>
              <w:t>,</w:t>
            </w:r>
            <w:r w:rsidR="004C3A3C" w:rsidRPr="00D14C15">
              <w:rPr>
                <w:rFonts w:eastAsia="Arial"/>
                <w:lang w:val="en-GB"/>
              </w:rPr>
              <w:t xml:space="preserve"> </w:t>
            </w:r>
            <w:r w:rsidR="004C3A3C">
              <w:rPr>
                <w:rFonts w:eastAsia="Arial"/>
                <w:lang w:val="en-GB"/>
              </w:rPr>
              <w:t>o</w:t>
            </w:r>
            <w:r w:rsidR="004C3A3C" w:rsidRPr="00D14C15">
              <w:rPr>
                <w:rFonts w:eastAsia="Arial"/>
                <w:lang w:val="en-GB"/>
              </w:rPr>
              <w:t xml:space="preserve">lder workers, and in particular low-skilled older workers </w:t>
            </w:r>
            <w:r w:rsidR="004C3A3C">
              <w:rPr>
                <w:rFonts w:eastAsia="Arial"/>
                <w:lang w:val="en-GB"/>
              </w:rPr>
              <w:t>face various challenges in l</w:t>
            </w:r>
            <w:r w:rsidRPr="00D14C15">
              <w:rPr>
                <w:rFonts w:eastAsia="Arial"/>
                <w:lang w:val="en-GB"/>
              </w:rPr>
              <w:t>abour market participation</w:t>
            </w:r>
            <w:r w:rsidR="004C3A3C">
              <w:rPr>
                <w:rFonts w:eastAsia="Arial"/>
                <w:lang w:val="en-GB"/>
              </w:rPr>
              <w:t xml:space="preserve"> </w:t>
            </w:r>
            <w:r w:rsidRPr="00D14C15">
              <w:rPr>
                <w:rFonts w:eastAsia="Arial"/>
                <w:lang w:val="en-GB"/>
              </w:rPr>
              <w:t>(employment rate</w:t>
            </w:r>
            <w:r w:rsidR="007B765B">
              <w:rPr>
                <w:rFonts w:eastAsia="Arial"/>
                <w:lang w:val="en-GB"/>
              </w:rPr>
              <w:t xml:space="preserve"> of older workers </w:t>
            </w:r>
            <w:r w:rsidRPr="00D14C15">
              <w:rPr>
                <w:rFonts w:eastAsia="Arial"/>
                <w:lang w:val="en-GB"/>
              </w:rPr>
              <w:t xml:space="preserve">in </w:t>
            </w:r>
            <w:r w:rsidR="004C3A3C">
              <w:rPr>
                <w:rFonts w:eastAsia="Arial"/>
                <w:lang w:val="en-GB"/>
              </w:rPr>
              <w:t>the third quarter of</w:t>
            </w:r>
            <w:r w:rsidRPr="00D14C15">
              <w:rPr>
                <w:rFonts w:eastAsia="Arial"/>
                <w:lang w:val="en-GB"/>
              </w:rPr>
              <w:t xml:space="preserve"> 2019 </w:t>
            </w:r>
            <w:r w:rsidR="00CD2549">
              <w:rPr>
                <w:rFonts w:eastAsia="Arial"/>
                <w:lang w:val="en-GB"/>
              </w:rPr>
              <w:t>stood</w:t>
            </w:r>
            <w:r w:rsidR="007B765B">
              <w:rPr>
                <w:rFonts w:eastAsia="Arial"/>
                <w:lang w:val="en-GB"/>
              </w:rPr>
              <w:t xml:space="preserve"> at</w:t>
            </w:r>
            <w:r w:rsidRPr="00D14C15">
              <w:rPr>
                <w:rFonts w:eastAsia="Arial"/>
                <w:lang w:val="en-GB"/>
              </w:rPr>
              <w:t xml:space="preserve"> 48.9% </w:t>
            </w:r>
            <w:r w:rsidR="007B765B">
              <w:rPr>
                <w:rFonts w:eastAsia="Arial"/>
                <w:lang w:val="en-GB"/>
              </w:rPr>
              <w:t>in Slovenia (EU</w:t>
            </w:r>
            <w:r w:rsidRPr="00D14C15">
              <w:rPr>
                <w:rFonts w:eastAsia="Arial"/>
                <w:lang w:val="en-GB"/>
              </w:rPr>
              <w:t>: 60.2%</w:t>
            </w:r>
            <w:r w:rsidR="007B765B">
              <w:rPr>
                <w:rFonts w:eastAsia="Arial"/>
                <w:lang w:val="en-GB"/>
              </w:rPr>
              <w:t>)</w:t>
            </w:r>
            <w:r w:rsidRPr="00D14C15">
              <w:rPr>
                <w:rFonts w:eastAsia="Arial"/>
                <w:lang w:val="en-GB"/>
              </w:rPr>
              <w:t xml:space="preserve"> and </w:t>
            </w:r>
            <w:r w:rsidR="007B765B">
              <w:rPr>
                <w:rFonts w:eastAsia="Arial"/>
                <w:lang w:val="en-GB"/>
              </w:rPr>
              <w:t xml:space="preserve">of low-skilled older workers at </w:t>
            </w:r>
            <w:r w:rsidRPr="00D14C15">
              <w:rPr>
                <w:rFonts w:eastAsia="Arial"/>
                <w:lang w:val="en-GB"/>
              </w:rPr>
              <w:t xml:space="preserve">27.5% </w:t>
            </w:r>
            <w:r w:rsidR="007B765B">
              <w:rPr>
                <w:rFonts w:eastAsia="Arial"/>
                <w:lang w:val="en-GB"/>
              </w:rPr>
              <w:t>in Slovenia (</w:t>
            </w:r>
            <w:r w:rsidR="00CD2549">
              <w:rPr>
                <w:rFonts w:eastAsia="Arial"/>
                <w:lang w:val="en-GB"/>
              </w:rPr>
              <w:t>EU: 45.3%</w:t>
            </w:r>
            <w:r w:rsidR="007B765B">
              <w:rPr>
                <w:rFonts w:eastAsia="Arial"/>
                <w:lang w:val="en-GB"/>
              </w:rPr>
              <w:t>)</w:t>
            </w:r>
            <w:r w:rsidRPr="00D14C15">
              <w:rPr>
                <w:rFonts w:eastAsia="Arial"/>
                <w:lang w:val="en-GB"/>
              </w:rPr>
              <w:t xml:space="preserve">. Long-term unemployment of older workers remains a major challenge and </w:t>
            </w:r>
            <w:r w:rsidR="007B765B" w:rsidRPr="00D14C15">
              <w:rPr>
                <w:rFonts w:eastAsia="Arial"/>
                <w:lang w:val="en-GB"/>
              </w:rPr>
              <w:t xml:space="preserve">active labour market policies </w:t>
            </w:r>
            <w:r w:rsidR="007B765B">
              <w:rPr>
                <w:rFonts w:eastAsia="Arial"/>
                <w:lang w:val="en-GB"/>
              </w:rPr>
              <w:t xml:space="preserve">are </w:t>
            </w:r>
            <w:r w:rsidRPr="00D14C15">
              <w:rPr>
                <w:rFonts w:eastAsia="Arial"/>
                <w:lang w:val="en-GB"/>
              </w:rPr>
              <w:t>still not effective enough.</w:t>
            </w:r>
            <w:r w:rsidRPr="00D14C15">
              <w:rPr>
                <w:lang w:val="en-GB"/>
              </w:rPr>
              <w:t xml:space="preserve"> The OECD project </w:t>
            </w:r>
            <w:r w:rsidR="007B765B">
              <w:rPr>
                <w:lang w:val="en-GB"/>
              </w:rPr>
              <w:t>for the inclusion of</w:t>
            </w:r>
            <w:r w:rsidRPr="00D14C15">
              <w:rPr>
                <w:lang w:val="en-GB"/>
              </w:rPr>
              <w:t xml:space="preserve"> long-term unemployed into the labour market and </w:t>
            </w:r>
            <w:r w:rsidR="007B765B">
              <w:rPr>
                <w:lang w:val="en-GB"/>
              </w:rPr>
              <w:t xml:space="preserve">NEET </w:t>
            </w:r>
            <w:r w:rsidRPr="00D14C15">
              <w:rPr>
                <w:lang w:val="en-GB"/>
              </w:rPr>
              <w:t xml:space="preserve">mapping </w:t>
            </w:r>
            <w:r w:rsidR="007B765B">
              <w:rPr>
                <w:lang w:val="en-GB"/>
              </w:rPr>
              <w:t>underline</w:t>
            </w:r>
            <w:r w:rsidRPr="00D14C15">
              <w:rPr>
                <w:lang w:val="en-GB"/>
              </w:rPr>
              <w:t xml:space="preserve"> the need to carry out individual qualifications assessments and inclusion in various forms of personalised training to address this challenge. </w:t>
            </w:r>
          </w:p>
          <w:p w14:paraId="5D1F6C60" w14:textId="77777777" w:rsidR="0076298E" w:rsidRPr="00D14C15" w:rsidRDefault="0076298E">
            <w:pPr>
              <w:contextualSpacing/>
              <w:jc w:val="both"/>
              <w:rPr>
                <w:rFonts w:eastAsia="Arial"/>
                <w:lang w:val="en-GB"/>
              </w:rPr>
            </w:pPr>
          </w:p>
          <w:p w14:paraId="198D908B" w14:textId="77777777" w:rsidR="0076298E" w:rsidRPr="00D14C15" w:rsidRDefault="0032633A">
            <w:pPr>
              <w:contextualSpacing/>
              <w:jc w:val="both"/>
              <w:rPr>
                <w:lang w:val="en-GB"/>
              </w:rPr>
            </w:pPr>
            <w:r w:rsidRPr="00D14C15">
              <w:rPr>
                <w:lang w:val="en-GB"/>
              </w:rPr>
              <w:t>According to the Gender Equality Index, Slovenia was slightly below the EU average in 2021 (</w:t>
            </w:r>
            <w:r w:rsidR="00CD2549">
              <w:rPr>
                <w:lang w:val="en-GB"/>
              </w:rPr>
              <w:t xml:space="preserve">and declining the most compared to </w:t>
            </w:r>
            <w:r w:rsidRPr="00D14C15">
              <w:rPr>
                <w:lang w:val="en-GB"/>
              </w:rPr>
              <w:t>all</w:t>
            </w:r>
            <w:r w:rsidR="00CD2549">
              <w:rPr>
                <w:lang w:val="en-GB"/>
              </w:rPr>
              <w:t xml:space="preserve"> other</w:t>
            </w:r>
            <w:r w:rsidRPr="00D14C15">
              <w:rPr>
                <w:lang w:val="en-GB"/>
              </w:rPr>
              <w:t xml:space="preserve"> Member States in 2021)</w:t>
            </w:r>
            <w:r w:rsidR="007B765B">
              <w:rPr>
                <w:lang w:val="en-GB"/>
              </w:rPr>
              <w:t>,</w:t>
            </w:r>
            <w:r w:rsidRPr="00D14C15">
              <w:rPr>
                <w:lang w:val="en-GB"/>
              </w:rPr>
              <w:t xml:space="preserve"> and lags significantly behind the </w:t>
            </w:r>
            <w:r w:rsidR="00CE280E">
              <w:rPr>
                <w:lang w:val="en-GB"/>
              </w:rPr>
              <w:t>SD</w:t>
            </w:r>
            <w:r w:rsidR="007B765B">
              <w:rPr>
                <w:lang w:val="en-GB"/>
              </w:rPr>
              <w:t>S</w:t>
            </w:r>
            <w:r w:rsidRPr="00D14C15">
              <w:rPr>
                <w:lang w:val="en-GB"/>
              </w:rPr>
              <w:t xml:space="preserve"> 2030 target. Gender inequalities were most pronounced in the areas of knowledge and power.</w:t>
            </w:r>
          </w:p>
          <w:p w14:paraId="66EEED06" w14:textId="77777777" w:rsidR="0076298E" w:rsidRPr="00D14C15" w:rsidRDefault="0076298E">
            <w:pPr>
              <w:contextualSpacing/>
              <w:jc w:val="both"/>
              <w:rPr>
                <w:lang w:val="en-GB"/>
              </w:rPr>
            </w:pPr>
          </w:p>
          <w:p w14:paraId="7707F8C9" w14:textId="77777777" w:rsidR="0076298E" w:rsidRPr="00D14C15" w:rsidRDefault="0032633A">
            <w:pPr>
              <w:contextualSpacing/>
              <w:jc w:val="both"/>
              <w:rPr>
                <w:rFonts w:eastAsia="Arial"/>
                <w:lang w:val="en-GB"/>
              </w:rPr>
            </w:pPr>
            <w:r w:rsidRPr="00D14C15">
              <w:rPr>
                <w:lang w:val="en-GB"/>
              </w:rPr>
              <w:t xml:space="preserve">The epidemic initially worsened the labour market situation for low-skilled, low-income </w:t>
            </w:r>
            <w:r w:rsidR="007B765B">
              <w:rPr>
                <w:lang w:val="en-GB"/>
              </w:rPr>
              <w:t xml:space="preserve">workers, young people and women. The greater </w:t>
            </w:r>
            <w:r w:rsidRPr="00D14C15">
              <w:rPr>
                <w:lang w:val="en-GB"/>
              </w:rPr>
              <w:t>impact on</w:t>
            </w:r>
            <w:r w:rsidR="00F809EA">
              <w:rPr>
                <w:lang w:val="en-GB"/>
              </w:rPr>
              <w:t xml:space="preserve"> low-skilled workers</w:t>
            </w:r>
            <w:r w:rsidRPr="00D14C15">
              <w:rPr>
                <w:lang w:val="en-GB"/>
              </w:rPr>
              <w:t xml:space="preserve"> and women was </w:t>
            </w:r>
            <w:r w:rsidR="00F809EA">
              <w:rPr>
                <w:lang w:val="en-GB"/>
              </w:rPr>
              <w:t xml:space="preserve">a result of </w:t>
            </w:r>
            <w:r w:rsidRPr="00D14C15">
              <w:rPr>
                <w:lang w:val="en-GB"/>
              </w:rPr>
              <w:t>the marked sectoral and occupational dimension of the epidemic, as the closure</w:t>
            </w:r>
            <w:r w:rsidR="00F809EA">
              <w:rPr>
                <w:lang w:val="en-GB"/>
              </w:rPr>
              <w:t xml:space="preserve"> measures</w:t>
            </w:r>
            <w:r w:rsidRPr="00D14C15">
              <w:rPr>
                <w:lang w:val="en-GB"/>
              </w:rPr>
              <w:t xml:space="preserve"> and </w:t>
            </w:r>
            <w:r w:rsidR="00F809EA">
              <w:rPr>
                <w:lang w:val="en-GB"/>
              </w:rPr>
              <w:t xml:space="preserve">the decreased </w:t>
            </w:r>
            <w:r w:rsidRPr="00D14C15">
              <w:rPr>
                <w:lang w:val="en-GB"/>
              </w:rPr>
              <w:t xml:space="preserve">activity </w:t>
            </w:r>
            <w:r w:rsidR="00F809EA">
              <w:rPr>
                <w:lang w:val="en-GB"/>
              </w:rPr>
              <w:t>mainly affected</w:t>
            </w:r>
            <w:r w:rsidRPr="00D14C15">
              <w:rPr>
                <w:lang w:val="en-GB"/>
              </w:rPr>
              <w:t xml:space="preserve"> activities and occupations </w:t>
            </w:r>
            <w:r w:rsidR="00F809EA">
              <w:rPr>
                <w:lang w:val="en-GB"/>
              </w:rPr>
              <w:t>where</w:t>
            </w:r>
            <w:r w:rsidRPr="00D14C15">
              <w:rPr>
                <w:lang w:val="en-GB"/>
              </w:rPr>
              <w:t xml:space="preserve"> women are over-represented and wages are below average. Young people were more exposed to temporary forms of work. With the reopening </w:t>
            </w:r>
            <w:r w:rsidR="00F809EA">
              <w:rPr>
                <w:lang w:val="en-GB"/>
              </w:rPr>
              <w:t xml:space="preserve">and new </w:t>
            </w:r>
            <w:r w:rsidRPr="00D14C15">
              <w:rPr>
                <w:lang w:val="en-GB"/>
              </w:rPr>
              <w:t xml:space="preserve">employment, labour market conditions gradually improved also for vulnerable groups. Labour shortages contributed to </w:t>
            </w:r>
            <w:r w:rsidR="00F809EA">
              <w:rPr>
                <w:lang w:val="en-GB"/>
              </w:rPr>
              <w:t>improved</w:t>
            </w:r>
            <w:r w:rsidRPr="00D14C15">
              <w:rPr>
                <w:lang w:val="en-GB"/>
              </w:rPr>
              <w:t xml:space="preserve"> employment opportunities for vulnerable groups, as was the case before the epidemic. Vulnerable target groups </w:t>
            </w:r>
            <w:r w:rsidR="00CD2549">
              <w:rPr>
                <w:lang w:val="en-GB"/>
              </w:rPr>
              <w:t xml:space="preserve">are characterised by numerous </w:t>
            </w:r>
            <w:r w:rsidRPr="00D14C15">
              <w:rPr>
                <w:lang w:val="en-GB"/>
              </w:rPr>
              <w:t xml:space="preserve">personal circumstances that make it difficult for them to enter the labour market, so prior activation is necessary, which involves the gradual organisation of time, tasks and gradual </w:t>
            </w:r>
            <w:r w:rsidR="00F809EA">
              <w:rPr>
                <w:lang w:val="en-GB"/>
              </w:rPr>
              <w:t xml:space="preserve">normalisation </w:t>
            </w:r>
            <w:r w:rsidRPr="00D14C15">
              <w:rPr>
                <w:lang w:val="en-GB"/>
              </w:rPr>
              <w:t xml:space="preserve">of personal circumstances. In this process, it is essential that </w:t>
            </w:r>
            <w:r w:rsidR="00F809EA">
              <w:rPr>
                <w:lang w:val="en-GB"/>
              </w:rPr>
              <w:t>various</w:t>
            </w:r>
            <w:r w:rsidRPr="00D14C15">
              <w:rPr>
                <w:lang w:val="en-GB"/>
              </w:rPr>
              <w:t xml:space="preserve"> institutions </w:t>
            </w:r>
            <w:r w:rsidR="00F809EA">
              <w:rPr>
                <w:lang w:val="en-GB"/>
              </w:rPr>
              <w:t xml:space="preserve">cooperate </w:t>
            </w:r>
            <w:r w:rsidRPr="00D14C15">
              <w:rPr>
                <w:lang w:val="en-GB"/>
              </w:rPr>
              <w:t>with the same individual and provide them with services related to the institution’s field of work. Modernisation of social services and integration with labour market services is essential.</w:t>
            </w:r>
          </w:p>
          <w:p w14:paraId="07E02FA8" w14:textId="77777777" w:rsidR="0076298E" w:rsidRPr="00D14C15" w:rsidRDefault="0076298E">
            <w:pPr>
              <w:contextualSpacing/>
              <w:jc w:val="both"/>
              <w:rPr>
                <w:rFonts w:eastAsia="Arial"/>
                <w:lang w:val="en-GB"/>
              </w:rPr>
            </w:pPr>
          </w:p>
          <w:p w14:paraId="3E910497" w14:textId="77777777" w:rsidR="0076298E" w:rsidRPr="00D14C15" w:rsidRDefault="0032633A">
            <w:pPr>
              <w:pStyle w:val="P68B1DB1-Navaden6"/>
              <w:contextualSpacing/>
              <w:jc w:val="both"/>
              <w:rPr>
                <w:lang w:val="en-GB"/>
              </w:rPr>
            </w:pPr>
            <w:r w:rsidRPr="00D14C15">
              <w:rPr>
                <w:lang w:val="en-GB"/>
              </w:rPr>
              <w:t xml:space="preserve">The </w:t>
            </w:r>
            <w:r w:rsidR="00AD717F">
              <w:rPr>
                <w:rFonts w:eastAsia="Calibri"/>
                <w:lang w:val="en-GB"/>
              </w:rPr>
              <w:t>COVID</w:t>
            </w:r>
            <w:r w:rsidRPr="00D14C15">
              <w:rPr>
                <w:lang w:val="en-GB"/>
              </w:rPr>
              <w:t>-19 epidemic als</w:t>
            </w:r>
            <w:r w:rsidR="00F809EA">
              <w:rPr>
                <w:lang w:val="en-GB"/>
              </w:rPr>
              <w:t xml:space="preserve">o highlighted the importance of occupational safety and health </w:t>
            </w:r>
            <w:r w:rsidRPr="00D14C15">
              <w:rPr>
                <w:lang w:val="en-GB"/>
              </w:rPr>
              <w:t>measures. During the epidemic</w:t>
            </w:r>
            <w:r w:rsidR="00F809EA">
              <w:rPr>
                <w:lang w:val="en-GB"/>
              </w:rPr>
              <w:t>,</w:t>
            </w:r>
            <w:r w:rsidRPr="00D14C15">
              <w:rPr>
                <w:lang w:val="en-GB"/>
              </w:rPr>
              <w:t xml:space="preserve"> </w:t>
            </w:r>
            <w:r w:rsidR="00F809EA" w:rsidRPr="00D14C15">
              <w:rPr>
                <w:lang w:val="en-GB"/>
              </w:rPr>
              <w:t xml:space="preserve">work at home </w:t>
            </w:r>
            <w:r w:rsidRPr="00D14C15">
              <w:rPr>
                <w:lang w:val="en-GB"/>
              </w:rPr>
              <w:t>increase</w:t>
            </w:r>
            <w:r w:rsidR="00F809EA">
              <w:rPr>
                <w:lang w:val="en-GB"/>
              </w:rPr>
              <w:t>d</w:t>
            </w:r>
            <w:r w:rsidRPr="00D14C15">
              <w:rPr>
                <w:lang w:val="en-GB"/>
              </w:rPr>
              <w:t xml:space="preserve"> </w:t>
            </w:r>
            <w:r w:rsidR="00F809EA">
              <w:rPr>
                <w:lang w:val="en-GB"/>
              </w:rPr>
              <w:t>substantively</w:t>
            </w:r>
            <w:r w:rsidRPr="00D14C15">
              <w:rPr>
                <w:lang w:val="en-GB"/>
              </w:rPr>
              <w:t xml:space="preserve">, which has positive effects on the use of time for the individual and the environment, but can also lead to increased risks of musculoskeletal disorders due to unregulated </w:t>
            </w:r>
            <w:r w:rsidRPr="00D14C15">
              <w:rPr>
                <w:lang w:val="en-GB"/>
              </w:rPr>
              <w:lastRenderedPageBreak/>
              <w:t xml:space="preserve">ergonomics of workplaces and over-intensive or frequent use of modern ICTs, which poses new challenges </w:t>
            </w:r>
            <w:r w:rsidR="00F809EA">
              <w:rPr>
                <w:lang w:val="en-GB"/>
              </w:rPr>
              <w:t>for</w:t>
            </w:r>
            <w:r w:rsidRPr="00D14C15">
              <w:rPr>
                <w:lang w:val="en-GB"/>
              </w:rPr>
              <w:t xml:space="preserve"> occupational safety and health.</w:t>
            </w:r>
          </w:p>
          <w:p w14:paraId="5C69F669" w14:textId="77777777" w:rsidR="0076298E" w:rsidRPr="00D14C15" w:rsidRDefault="0076298E">
            <w:pPr>
              <w:contextualSpacing/>
              <w:jc w:val="both"/>
              <w:rPr>
                <w:rFonts w:eastAsia="Arial"/>
                <w:lang w:val="en-GB"/>
              </w:rPr>
            </w:pPr>
          </w:p>
          <w:p w14:paraId="681F0703" w14:textId="77777777" w:rsidR="0076298E" w:rsidRPr="00D14C15" w:rsidRDefault="00CD2549">
            <w:pPr>
              <w:pStyle w:val="P68B1DB1-Navaden4"/>
              <w:widowControl/>
              <w:numPr>
                <w:ilvl w:val="0"/>
                <w:numId w:val="2"/>
              </w:numPr>
              <w:autoSpaceDE/>
              <w:autoSpaceDN/>
              <w:contextualSpacing/>
              <w:jc w:val="both"/>
              <w:rPr>
                <w:rFonts w:eastAsia="Calibri"/>
                <w:lang w:val="en-GB"/>
              </w:rPr>
            </w:pPr>
            <w:r>
              <w:rPr>
                <w:rFonts w:eastAsia="Calibri"/>
                <w:lang w:val="en-GB"/>
              </w:rPr>
              <w:t>s</w:t>
            </w:r>
            <w:r w:rsidR="0032633A" w:rsidRPr="00D14C15">
              <w:rPr>
                <w:rFonts w:eastAsia="Calibri"/>
                <w:lang w:val="en-GB"/>
              </w:rPr>
              <w:t>trengthening</w:t>
            </w:r>
            <w:r w:rsidR="00F809EA">
              <w:rPr>
                <w:rFonts w:eastAsia="Calibri"/>
                <w:lang w:val="en-GB"/>
              </w:rPr>
              <w:t xml:space="preserve"> </w:t>
            </w:r>
            <w:r w:rsidR="0032633A" w:rsidRPr="00D14C15">
              <w:rPr>
                <w:rFonts w:eastAsia="Calibri"/>
                <w:lang w:val="en-GB"/>
              </w:rPr>
              <w:t>life</w:t>
            </w:r>
            <w:r w:rsidR="00E1484B">
              <w:rPr>
                <w:rFonts w:eastAsia="Calibri"/>
                <w:lang w:val="en-GB"/>
              </w:rPr>
              <w:t xml:space="preserve">long learning and </w:t>
            </w:r>
            <w:r w:rsidR="0032633A" w:rsidRPr="00D14C15">
              <w:rPr>
                <w:rFonts w:eastAsia="Calibri"/>
                <w:lang w:val="en-GB"/>
              </w:rPr>
              <w:t>adapt</w:t>
            </w:r>
            <w:r w:rsidR="00E1484B">
              <w:rPr>
                <w:rFonts w:eastAsia="Calibri"/>
                <w:lang w:val="en-GB"/>
              </w:rPr>
              <w:t xml:space="preserve">ing </w:t>
            </w:r>
            <w:r w:rsidR="0032633A" w:rsidRPr="00D14C15">
              <w:rPr>
                <w:rFonts w:eastAsia="Calibri"/>
                <w:lang w:val="en-GB"/>
              </w:rPr>
              <w:t xml:space="preserve">workplaces for </w:t>
            </w:r>
            <w:r w:rsidR="00E1484B">
              <w:rPr>
                <w:rFonts w:eastAsia="Calibri"/>
                <w:lang w:val="en-GB"/>
              </w:rPr>
              <w:t xml:space="preserve">older people to remain active longer </w:t>
            </w:r>
            <w:r w:rsidR="0032633A" w:rsidRPr="00D14C15">
              <w:rPr>
                <w:rFonts w:eastAsia="Calibri"/>
                <w:lang w:val="en-GB"/>
              </w:rPr>
              <w:t xml:space="preserve">and </w:t>
            </w:r>
            <w:r w:rsidR="00E1484B">
              <w:rPr>
                <w:rFonts w:eastAsia="Calibri"/>
                <w:lang w:val="en-GB"/>
              </w:rPr>
              <w:t>better integrate into society</w:t>
            </w:r>
          </w:p>
          <w:p w14:paraId="095CFB60" w14:textId="77777777" w:rsidR="0076298E" w:rsidRPr="00D14C15" w:rsidRDefault="0076298E">
            <w:pPr>
              <w:contextualSpacing/>
              <w:jc w:val="both"/>
              <w:rPr>
                <w:rFonts w:eastAsia="Arial"/>
                <w:lang w:val="en-GB"/>
              </w:rPr>
            </w:pPr>
          </w:p>
          <w:p w14:paraId="4F2439F6" w14:textId="77777777" w:rsidR="0076298E" w:rsidRPr="00D14C15" w:rsidRDefault="00E1484B">
            <w:pPr>
              <w:jc w:val="both"/>
              <w:rPr>
                <w:lang w:val="en-GB"/>
              </w:rPr>
            </w:pPr>
            <w:r>
              <w:rPr>
                <w:rFonts w:eastAsia="Calibri"/>
                <w:lang w:val="en-GB"/>
              </w:rPr>
              <w:t>This measure i</w:t>
            </w:r>
            <w:r w:rsidR="0032633A" w:rsidRPr="00D14C15">
              <w:rPr>
                <w:rFonts w:eastAsia="Calibri"/>
                <w:lang w:val="en-GB"/>
              </w:rPr>
              <w:t xml:space="preserve">s complementary </w:t>
            </w:r>
            <w:r>
              <w:rPr>
                <w:rFonts w:eastAsia="Calibri"/>
                <w:lang w:val="en-GB"/>
              </w:rPr>
              <w:t xml:space="preserve">with the measure </w:t>
            </w:r>
            <w:r w:rsidRPr="00B3317E">
              <w:rPr>
                <w:rFonts w:eastAsia="Calibri"/>
                <w:i/>
                <w:lang w:val="en-GB"/>
              </w:rPr>
              <w:t xml:space="preserve">Building knowledge and skills </w:t>
            </w:r>
            <w:r w:rsidR="00B3317E" w:rsidRPr="00B3317E">
              <w:rPr>
                <w:rFonts w:eastAsia="Calibri"/>
                <w:i/>
                <w:lang w:val="en-GB"/>
              </w:rPr>
              <w:t>for</w:t>
            </w:r>
            <w:r w:rsidRPr="00B3317E">
              <w:rPr>
                <w:rFonts w:eastAsia="Calibri"/>
                <w:i/>
                <w:lang w:val="en-GB"/>
              </w:rPr>
              <w:t xml:space="preserve"> the future</w:t>
            </w:r>
            <w:r w:rsidRPr="00E1484B">
              <w:rPr>
                <w:rFonts w:eastAsia="Calibri"/>
                <w:lang w:val="en-GB"/>
              </w:rPr>
              <w:t xml:space="preserve"> </w:t>
            </w:r>
            <w:r>
              <w:rPr>
                <w:rFonts w:eastAsia="Calibri"/>
                <w:lang w:val="en-GB"/>
              </w:rPr>
              <w:t>under PO</w:t>
            </w:r>
            <w:r w:rsidR="0032633A" w:rsidRPr="00D14C15">
              <w:rPr>
                <w:lang w:val="en-GB"/>
              </w:rPr>
              <w:t>1. Slovenia’s populat</w:t>
            </w:r>
            <w:r w:rsidR="007978F5">
              <w:rPr>
                <w:lang w:val="en-GB"/>
              </w:rPr>
              <w:t>ion is relatively well educated.</w:t>
            </w:r>
            <w:r w:rsidR="0032633A" w:rsidRPr="00D14C15">
              <w:rPr>
                <w:lang w:val="en-GB"/>
              </w:rPr>
              <w:t xml:space="preserve"> </w:t>
            </w:r>
            <w:r w:rsidR="007978F5">
              <w:rPr>
                <w:lang w:val="en-GB"/>
              </w:rPr>
              <w:t>D</w:t>
            </w:r>
            <w:r w:rsidR="00F915A0" w:rsidRPr="00D14C15">
              <w:rPr>
                <w:lang w:val="en-GB"/>
              </w:rPr>
              <w:t xml:space="preserve">evelopment of adequate </w:t>
            </w:r>
            <w:r w:rsidR="00F915A0">
              <w:rPr>
                <w:lang w:val="en-GB"/>
              </w:rPr>
              <w:t xml:space="preserve">skills to </w:t>
            </w:r>
            <w:r w:rsidR="00F915A0" w:rsidRPr="00D14C15">
              <w:rPr>
                <w:lang w:val="en-GB"/>
              </w:rPr>
              <w:t xml:space="preserve">meet not only the current but </w:t>
            </w:r>
            <w:r w:rsidR="007978F5">
              <w:rPr>
                <w:lang w:val="en-GB"/>
              </w:rPr>
              <w:t xml:space="preserve">also </w:t>
            </w:r>
            <w:r w:rsidR="00F915A0" w:rsidRPr="00D14C15">
              <w:rPr>
                <w:lang w:val="en-GB"/>
              </w:rPr>
              <w:t>the future needs of society and the economy</w:t>
            </w:r>
            <w:r w:rsidR="007978F5">
              <w:rPr>
                <w:lang w:val="en-GB"/>
              </w:rPr>
              <w:t xml:space="preserve"> is </w:t>
            </w:r>
            <w:r w:rsidR="00F915A0">
              <w:rPr>
                <w:lang w:val="en-GB"/>
              </w:rPr>
              <w:t>a growing challenge. Slovenia should thus</w:t>
            </w:r>
            <w:r w:rsidR="0032633A" w:rsidRPr="00D14C15">
              <w:rPr>
                <w:lang w:val="en-GB"/>
              </w:rPr>
              <w:t xml:space="preserve"> </w:t>
            </w:r>
            <w:r w:rsidR="00395978">
              <w:rPr>
                <w:lang w:val="en-GB"/>
              </w:rPr>
              <w:t>enhance</w:t>
            </w:r>
            <w:r w:rsidR="0032633A" w:rsidRPr="00D14C15">
              <w:rPr>
                <w:lang w:val="en-GB"/>
              </w:rPr>
              <w:t xml:space="preserve"> investment </w:t>
            </w:r>
            <w:r w:rsidR="00395978">
              <w:rPr>
                <w:lang w:val="en-GB"/>
              </w:rPr>
              <w:t>in</w:t>
            </w:r>
            <w:r w:rsidR="0032633A" w:rsidRPr="00D14C15">
              <w:rPr>
                <w:lang w:val="en-GB"/>
              </w:rPr>
              <w:t xml:space="preserve"> effective adaptation of all types of education</w:t>
            </w:r>
            <w:r w:rsidR="0032633A" w:rsidRPr="00395978">
              <w:rPr>
                <w:vertAlign w:val="superscript"/>
                <w:lang w:val="en-GB"/>
              </w:rPr>
              <w:footnoteReference w:id="29"/>
            </w:r>
            <w:r w:rsidR="0032633A" w:rsidRPr="00D14C15">
              <w:rPr>
                <w:lang w:val="en-GB"/>
              </w:rPr>
              <w:t xml:space="preserve">. </w:t>
            </w:r>
            <w:r w:rsidR="00B977F4">
              <w:rPr>
                <w:lang w:val="en-GB"/>
              </w:rPr>
              <w:t>Slovenia should</w:t>
            </w:r>
            <w:r w:rsidR="0032633A" w:rsidRPr="00D14C15">
              <w:rPr>
                <w:lang w:val="en-GB"/>
              </w:rPr>
              <w:t xml:space="preserve"> establish a responsive partnership system for forecasting medium-term </w:t>
            </w:r>
            <w:r w:rsidR="000C10CD">
              <w:rPr>
                <w:lang w:val="en-GB"/>
              </w:rPr>
              <w:t>skills</w:t>
            </w:r>
            <w:r w:rsidR="0032633A" w:rsidRPr="00D14C15">
              <w:rPr>
                <w:lang w:val="en-GB"/>
              </w:rPr>
              <w:t xml:space="preserve"> needs</w:t>
            </w:r>
            <w:r w:rsidR="00B977F4">
              <w:rPr>
                <w:lang w:val="en-GB"/>
              </w:rPr>
              <w:t>, and for</w:t>
            </w:r>
            <w:r w:rsidR="0032633A" w:rsidRPr="00D14C15">
              <w:rPr>
                <w:lang w:val="en-GB"/>
              </w:rPr>
              <w:t xml:space="preserve"> increas</w:t>
            </w:r>
            <w:r w:rsidR="00B977F4">
              <w:rPr>
                <w:lang w:val="en-GB"/>
              </w:rPr>
              <w:t>ing</w:t>
            </w:r>
            <w:r w:rsidR="0032633A" w:rsidRPr="00D14C15">
              <w:rPr>
                <w:lang w:val="en-GB"/>
              </w:rPr>
              <w:t xml:space="preserve"> the participation of adults in the </w:t>
            </w:r>
            <w:r w:rsidR="00B977F4">
              <w:rPr>
                <w:lang w:val="en-GB"/>
              </w:rPr>
              <w:t>lifelong learning</w:t>
            </w:r>
            <w:r w:rsidR="0032633A" w:rsidRPr="00D14C15">
              <w:rPr>
                <w:lang w:val="en-GB"/>
              </w:rPr>
              <w:t xml:space="preserve">. A series of reforms and investments </w:t>
            </w:r>
            <w:r w:rsidR="00B977F4">
              <w:rPr>
                <w:lang w:val="en-GB"/>
              </w:rPr>
              <w:t xml:space="preserve">under the </w:t>
            </w:r>
            <w:r w:rsidR="00305559">
              <w:rPr>
                <w:lang w:val="en-GB"/>
              </w:rPr>
              <w:t xml:space="preserve">RRP </w:t>
            </w:r>
            <w:r w:rsidR="00B977F4">
              <w:rPr>
                <w:lang w:val="en-GB"/>
              </w:rPr>
              <w:t>w</w:t>
            </w:r>
            <w:r w:rsidR="0032633A" w:rsidRPr="00D14C15">
              <w:rPr>
                <w:lang w:val="en-GB"/>
              </w:rPr>
              <w:t xml:space="preserve">ill also help address skills mismatches in the labour market. </w:t>
            </w:r>
          </w:p>
          <w:p w14:paraId="3BD07306" w14:textId="77777777" w:rsidR="0076298E" w:rsidRPr="00D14C15" w:rsidRDefault="0076298E">
            <w:pPr>
              <w:contextualSpacing/>
              <w:jc w:val="both"/>
              <w:rPr>
                <w:rFonts w:eastAsia="Arial"/>
                <w:lang w:val="en-GB"/>
              </w:rPr>
            </w:pPr>
          </w:p>
          <w:p w14:paraId="46D99328" w14:textId="77777777" w:rsidR="0076298E" w:rsidRPr="00D14C15" w:rsidRDefault="0032633A">
            <w:pPr>
              <w:pStyle w:val="P68B1DB1-Navaden6"/>
              <w:contextualSpacing/>
              <w:jc w:val="both"/>
              <w:rPr>
                <w:lang w:val="en-GB"/>
              </w:rPr>
            </w:pPr>
            <w:r w:rsidRPr="00D14C15">
              <w:rPr>
                <w:lang w:val="en-GB"/>
              </w:rPr>
              <w:t xml:space="preserve">The trend of declining participation of adults and employees in </w:t>
            </w:r>
            <w:r w:rsidR="00B977F4">
              <w:rPr>
                <w:lang w:val="en-GB"/>
              </w:rPr>
              <w:t>lifelong learning</w:t>
            </w:r>
            <w:r w:rsidRPr="00D14C15">
              <w:rPr>
                <w:lang w:val="en-GB"/>
              </w:rPr>
              <w:t xml:space="preserve"> is </w:t>
            </w:r>
            <w:r w:rsidR="00B977F4">
              <w:rPr>
                <w:lang w:val="en-GB"/>
              </w:rPr>
              <w:t xml:space="preserve">a cause for </w:t>
            </w:r>
            <w:r w:rsidRPr="00D14C15">
              <w:rPr>
                <w:lang w:val="en-GB"/>
              </w:rPr>
              <w:t>worry. The participation of older workers, low-skilled and inactive people in education is below the EU average.</w:t>
            </w:r>
            <w:r w:rsidRPr="00D14C15">
              <w:rPr>
                <w:b/>
                <w:lang w:val="en-GB"/>
              </w:rPr>
              <w:t xml:space="preserve"> </w:t>
            </w:r>
            <w:r w:rsidRPr="00D14C15">
              <w:rPr>
                <w:lang w:val="en-GB"/>
              </w:rPr>
              <w:t xml:space="preserve">The OECD </w:t>
            </w:r>
            <w:r w:rsidR="00B977F4" w:rsidRPr="00D14C15">
              <w:rPr>
                <w:lang w:val="en-GB"/>
              </w:rPr>
              <w:t xml:space="preserve">Skills Strategy </w:t>
            </w:r>
            <w:r w:rsidRPr="00D14C15">
              <w:rPr>
                <w:lang w:val="en-GB"/>
              </w:rPr>
              <w:t xml:space="preserve">Implementation </w:t>
            </w:r>
            <w:r w:rsidR="00B977F4" w:rsidRPr="00D14C15">
              <w:rPr>
                <w:lang w:val="en-GB"/>
              </w:rPr>
              <w:t xml:space="preserve">Guidelines </w:t>
            </w:r>
            <w:r w:rsidRPr="00D14C15">
              <w:rPr>
                <w:lang w:val="en-GB"/>
              </w:rPr>
              <w:t xml:space="preserve">for Slovenia state that a well-coordinated adult learning system is </w:t>
            </w:r>
            <w:r w:rsidR="005B2438">
              <w:rPr>
                <w:lang w:val="en-GB"/>
              </w:rPr>
              <w:t xml:space="preserve">essential for </w:t>
            </w:r>
            <w:r w:rsidRPr="00D14C15">
              <w:rPr>
                <w:lang w:val="en-GB"/>
              </w:rPr>
              <w:t>achiev</w:t>
            </w:r>
            <w:r w:rsidR="005B2438">
              <w:rPr>
                <w:lang w:val="en-GB"/>
              </w:rPr>
              <w:t>ing</w:t>
            </w:r>
            <w:r w:rsidRPr="00D14C15">
              <w:rPr>
                <w:lang w:val="en-GB"/>
              </w:rPr>
              <w:t xml:space="preserve"> long-term objectives. </w:t>
            </w:r>
          </w:p>
          <w:p w14:paraId="23EF478A" w14:textId="77777777" w:rsidR="0076298E" w:rsidRPr="00D14C15" w:rsidRDefault="0076298E">
            <w:pPr>
              <w:contextualSpacing/>
              <w:jc w:val="both"/>
              <w:rPr>
                <w:rFonts w:eastAsia="Arial"/>
                <w:lang w:val="en-GB"/>
              </w:rPr>
            </w:pPr>
          </w:p>
          <w:p w14:paraId="2D984317" w14:textId="77777777" w:rsidR="0076298E" w:rsidRPr="00D14C15" w:rsidRDefault="0032633A">
            <w:pPr>
              <w:pStyle w:val="P68B1DB1-Navaden6"/>
              <w:contextualSpacing/>
              <w:jc w:val="both"/>
              <w:rPr>
                <w:lang w:val="en-GB"/>
              </w:rPr>
            </w:pPr>
            <w:r w:rsidRPr="00D14C15">
              <w:rPr>
                <w:lang w:val="en-GB"/>
              </w:rPr>
              <w:t>Young people’s maths and science literacy are at a high level (PISA 2018), but there are some differences between schoolchildren</w:t>
            </w:r>
            <w:r w:rsidR="005B2438">
              <w:rPr>
                <w:lang w:val="en-GB"/>
              </w:rPr>
              <w:t xml:space="preserve"> </w:t>
            </w:r>
            <w:r w:rsidR="00DB504E">
              <w:rPr>
                <w:lang w:val="en-GB"/>
              </w:rPr>
              <w:t>in terms of their</w:t>
            </w:r>
            <w:r w:rsidRPr="00D14C15">
              <w:rPr>
                <w:lang w:val="en-GB"/>
              </w:rPr>
              <w:t xml:space="preserve"> gender and migrant backgrounds. </w:t>
            </w:r>
            <w:r w:rsidR="005B2438">
              <w:rPr>
                <w:lang w:val="en-GB"/>
              </w:rPr>
              <w:t>Book reading is at a poor level</w:t>
            </w:r>
            <w:r w:rsidRPr="00D14C15">
              <w:rPr>
                <w:lang w:val="en-GB"/>
              </w:rPr>
              <w:t>, and the development of language resources and technologies for the promotion and development of Slovenian language has been too slow for many years. In order to establish the right to use and develop sign language and deafblind language</w:t>
            </w:r>
            <w:r w:rsidR="005B2438">
              <w:rPr>
                <w:lang w:val="en-GB"/>
              </w:rPr>
              <w:t xml:space="preserve">, safeguarded by </w:t>
            </w:r>
            <w:r w:rsidRPr="00D14C15">
              <w:rPr>
                <w:lang w:val="en-GB"/>
              </w:rPr>
              <w:t>the Constitution of the Republic of Slovenia, adjustments</w:t>
            </w:r>
            <w:r w:rsidRPr="005B2438">
              <w:rPr>
                <w:vertAlign w:val="superscript"/>
                <w:lang w:val="en-GB"/>
              </w:rPr>
              <w:footnoteReference w:id="30"/>
            </w:r>
            <w:r w:rsidRPr="00D14C15">
              <w:rPr>
                <w:lang w:val="en-GB"/>
              </w:rPr>
              <w:t xml:space="preserve"> are needed to improve the accessibility and quality of education. Certain knowledge gaps are the result of distance schooling during the epidemic, </w:t>
            </w:r>
            <w:r w:rsidR="00DB504E">
              <w:rPr>
                <w:lang w:val="en-GB"/>
              </w:rPr>
              <w:t>which are particularly characteristic for the</w:t>
            </w:r>
            <w:r w:rsidRPr="00D14C15">
              <w:rPr>
                <w:lang w:val="en-GB"/>
              </w:rPr>
              <w:t xml:space="preserve"> mor</w:t>
            </w:r>
            <w:r w:rsidR="00DB504E">
              <w:rPr>
                <w:lang w:val="en-GB"/>
              </w:rPr>
              <w:t>e vulnerable groups of children.</w:t>
            </w:r>
            <w:r w:rsidRPr="00D14C15">
              <w:rPr>
                <w:lang w:val="en-GB"/>
              </w:rPr>
              <w:t xml:space="preserve"> </w:t>
            </w:r>
            <w:r w:rsidR="00DB504E">
              <w:rPr>
                <w:lang w:val="en-GB"/>
              </w:rPr>
              <w:t>T</w:t>
            </w:r>
            <w:r w:rsidRPr="00D14C15">
              <w:rPr>
                <w:lang w:val="en-GB"/>
              </w:rPr>
              <w:t>herefore</w:t>
            </w:r>
            <w:r w:rsidR="00DB504E">
              <w:rPr>
                <w:lang w:val="en-GB"/>
              </w:rPr>
              <w:t>,</w:t>
            </w:r>
            <w:r w:rsidRPr="00D14C15">
              <w:rPr>
                <w:lang w:val="en-GB"/>
              </w:rPr>
              <w:t xml:space="preserve"> effective measures are needed to reduce the skills gap of children and to address other </w:t>
            </w:r>
            <w:r w:rsidR="00DB504E">
              <w:rPr>
                <w:lang w:val="en-GB"/>
              </w:rPr>
              <w:t>impacts</w:t>
            </w:r>
            <w:r w:rsidRPr="00D14C15">
              <w:rPr>
                <w:lang w:val="en-GB"/>
              </w:rPr>
              <w:t xml:space="preserve"> of the epidemic on education. </w:t>
            </w:r>
          </w:p>
          <w:p w14:paraId="4552878C" w14:textId="77777777" w:rsidR="0076298E" w:rsidRPr="00D14C15" w:rsidRDefault="0032633A">
            <w:pPr>
              <w:pStyle w:val="P68B1DB1-Navaden6"/>
              <w:contextualSpacing/>
              <w:jc w:val="both"/>
              <w:rPr>
                <w:rFonts w:eastAsia="Calibri"/>
                <w:lang w:val="en-GB"/>
              </w:rPr>
            </w:pPr>
            <w:r w:rsidRPr="00D14C15">
              <w:rPr>
                <w:lang w:val="en-GB"/>
              </w:rPr>
              <w:t xml:space="preserve">More than half of teachers are over 50 years old, a large proportion of them are already approaching retirement age, and shortages are already emerging in some areas. </w:t>
            </w:r>
          </w:p>
          <w:p w14:paraId="0A26D690" w14:textId="77777777" w:rsidR="0076298E" w:rsidRPr="00D14C15" w:rsidRDefault="0076298E">
            <w:pPr>
              <w:contextualSpacing/>
              <w:jc w:val="both"/>
              <w:rPr>
                <w:rFonts w:eastAsia="Arial"/>
                <w:lang w:val="en-GB"/>
              </w:rPr>
            </w:pPr>
          </w:p>
          <w:p w14:paraId="0F01F77B" w14:textId="77777777" w:rsidR="0076298E" w:rsidRPr="00D14C15" w:rsidRDefault="00DB504E">
            <w:pPr>
              <w:pStyle w:val="P68B1DB1-Navaden3"/>
              <w:numPr>
                <w:ilvl w:val="0"/>
                <w:numId w:val="2"/>
              </w:numPr>
              <w:contextualSpacing/>
              <w:jc w:val="both"/>
              <w:rPr>
                <w:lang w:val="en-GB"/>
              </w:rPr>
            </w:pPr>
            <w:r>
              <w:rPr>
                <w:lang w:val="en-GB"/>
              </w:rPr>
              <w:t>s</w:t>
            </w:r>
            <w:r w:rsidR="0032633A" w:rsidRPr="00D14C15">
              <w:rPr>
                <w:lang w:val="en-GB"/>
              </w:rPr>
              <w:t>trengthening the role of culture and tourism in ensuring quality of life</w:t>
            </w:r>
          </w:p>
          <w:p w14:paraId="597FE0C1" w14:textId="77777777" w:rsidR="0076298E" w:rsidRPr="00D14C15" w:rsidRDefault="0076298E">
            <w:pPr>
              <w:ind w:left="360"/>
              <w:contextualSpacing/>
              <w:jc w:val="both"/>
              <w:rPr>
                <w:rFonts w:eastAsia="Calibri"/>
                <w:b/>
                <w:i/>
                <w:lang w:val="en-GB"/>
              </w:rPr>
            </w:pPr>
          </w:p>
          <w:p w14:paraId="19DE395D" w14:textId="77777777" w:rsidR="0076298E" w:rsidRDefault="0032633A">
            <w:pPr>
              <w:contextualSpacing/>
              <w:jc w:val="both"/>
              <w:rPr>
                <w:rFonts w:eastAsia="Arial"/>
                <w:lang w:val="en-GB"/>
              </w:rPr>
            </w:pPr>
            <w:r w:rsidRPr="00D14C15">
              <w:rPr>
                <w:rFonts w:eastAsia="Calibri"/>
                <w:lang w:val="en-GB"/>
              </w:rPr>
              <w:t>The cultural and creative sector</w:t>
            </w:r>
            <w:r w:rsidR="008C0B32">
              <w:rPr>
                <w:rFonts w:eastAsia="Calibri"/>
                <w:lang w:val="en-GB"/>
              </w:rPr>
              <w:t>s</w:t>
            </w:r>
            <w:r w:rsidRPr="00D14C15">
              <w:rPr>
                <w:rFonts w:eastAsia="Calibri"/>
                <w:lang w:val="en-GB"/>
              </w:rPr>
              <w:t xml:space="preserve"> play an important r</w:t>
            </w:r>
            <w:r w:rsidR="006633FB">
              <w:rPr>
                <w:rFonts w:eastAsia="Calibri"/>
                <w:lang w:val="en-GB"/>
              </w:rPr>
              <w:t>ole in ensuring quality of life,</w:t>
            </w:r>
            <w:r w:rsidRPr="00D14C15">
              <w:rPr>
                <w:rFonts w:eastAsia="Calibri"/>
                <w:lang w:val="en-GB"/>
              </w:rPr>
              <w:t xml:space="preserve"> local development, revitalisation of rural and urban areas, tourism and economic developme</w:t>
            </w:r>
            <w:r w:rsidR="008C0B32">
              <w:rPr>
                <w:rFonts w:eastAsia="Calibri"/>
                <w:lang w:val="en-GB"/>
              </w:rPr>
              <w:t>nt. They</w:t>
            </w:r>
            <w:r w:rsidRPr="00D14C15">
              <w:rPr>
                <w:rFonts w:eastAsia="Calibri"/>
                <w:lang w:val="en-GB"/>
              </w:rPr>
              <w:t xml:space="preserve"> create new jobs</w:t>
            </w:r>
            <w:r w:rsidR="00DB504E">
              <w:rPr>
                <w:rFonts w:eastAsia="Calibri"/>
                <w:lang w:val="en-GB"/>
              </w:rPr>
              <w:t>,</w:t>
            </w:r>
            <w:r w:rsidRPr="00D14C15">
              <w:rPr>
                <w:rFonts w:eastAsia="Calibri"/>
                <w:lang w:val="en-GB"/>
              </w:rPr>
              <w:t xml:space="preserve"> revenues and value</w:t>
            </w:r>
            <w:r w:rsidR="00DB504E" w:rsidRPr="00D14C15">
              <w:rPr>
                <w:rFonts w:eastAsia="Calibri"/>
                <w:lang w:val="en-GB"/>
              </w:rPr>
              <w:t xml:space="preserve"> added</w:t>
            </w:r>
            <w:r w:rsidRPr="00D14C15">
              <w:rPr>
                <w:rFonts w:eastAsia="Calibri"/>
                <w:lang w:val="en-GB"/>
              </w:rPr>
              <w:t>.</w:t>
            </w:r>
            <w:r w:rsidRPr="00D14C15">
              <w:rPr>
                <w:rStyle w:val="Sprotnaopomba-sklic"/>
                <w:rFonts w:eastAsia="Calibri"/>
                <w:lang w:val="en-GB"/>
              </w:rPr>
              <w:footnoteReference w:id="31"/>
            </w:r>
            <w:r w:rsidRPr="00D14C15">
              <w:rPr>
                <w:rFonts w:eastAsia="Calibri"/>
                <w:lang w:val="en-GB"/>
              </w:rPr>
              <w:t xml:space="preserve"> The link between culture and the economy, in particular with the tourism sector, has many positive effects. The total GDP resulting from tourism consumption amounted to </w:t>
            </w:r>
            <w:r w:rsidR="008C0B32">
              <w:rPr>
                <w:rFonts w:eastAsia="Calibri"/>
                <w:lang w:val="en-GB"/>
              </w:rPr>
              <w:t xml:space="preserve">EUR </w:t>
            </w:r>
            <w:r w:rsidRPr="00D14C15">
              <w:rPr>
                <w:rFonts w:eastAsia="Calibri"/>
                <w:lang w:val="en-GB"/>
              </w:rPr>
              <w:t>4,127 million in 2019</w:t>
            </w:r>
            <w:r w:rsidR="008C0B32">
              <w:rPr>
                <w:rFonts w:eastAsia="Calibri"/>
                <w:lang w:val="en-GB"/>
              </w:rPr>
              <w:t xml:space="preserve"> and</w:t>
            </w:r>
            <w:r w:rsidRPr="00D14C15">
              <w:rPr>
                <w:rFonts w:eastAsia="Calibri"/>
                <w:lang w:val="en-GB"/>
              </w:rPr>
              <w:t xml:space="preserve"> EUR 2,485 million in 2020. In 2019, it represented 8.5% and </w:t>
            </w:r>
            <w:r w:rsidR="008C0B32" w:rsidRPr="00D14C15">
              <w:rPr>
                <w:rFonts w:eastAsia="Calibri"/>
                <w:lang w:val="en-GB"/>
              </w:rPr>
              <w:t>in 2020</w:t>
            </w:r>
            <w:r w:rsidR="008C0B32">
              <w:rPr>
                <w:rFonts w:eastAsia="Calibri"/>
                <w:lang w:val="en-GB"/>
              </w:rPr>
              <w:t xml:space="preserve">, </w:t>
            </w:r>
            <w:r w:rsidRPr="00D14C15">
              <w:rPr>
                <w:rFonts w:eastAsia="Calibri"/>
                <w:lang w:val="en-GB"/>
              </w:rPr>
              <w:t xml:space="preserve">5.3% of GDP. The total value added resulting from tourism consumption amounted to </w:t>
            </w:r>
            <w:r w:rsidR="008C0B32">
              <w:rPr>
                <w:rFonts w:eastAsia="Calibri"/>
                <w:lang w:val="en-GB"/>
              </w:rPr>
              <w:t xml:space="preserve">EUR </w:t>
            </w:r>
            <w:r w:rsidRPr="00D14C15">
              <w:rPr>
                <w:rFonts w:eastAsia="Calibri"/>
                <w:lang w:val="en-GB"/>
              </w:rPr>
              <w:t>2</w:t>
            </w:r>
            <w:r w:rsidR="008C0B32">
              <w:rPr>
                <w:rFonts w:eastAsia="Calibri"/>
                <w:lang w:val="en-GB"/>
              </w:rPr>
              <w:t>.997 million in 2019 and in 2020, EUR1,817 million</w:t>
            </w:r>
            <w:r w:rsidRPr="00D14C15">
              <w:rPr>
                <w:rFonts w:eastAsia="Calibri"/>
                <w:lang w:val="en-GB"/>
              </w:rPr>
              <w:t>, which represented 7.1% or 4.4% of total value added in the economy.</w:t>
            </w:r>
            <w:r w:rsidR="008C0B32">
              <w:rPr>
                <w:rFonts w:eastAsia="Calibri"/>
                <w:lang w:val="en-GB"/>
              </w:rPr>
              <w:t xml:space="preserve"> </w:t>
            </w:r>
            <w:r w:rsidRPr="00D14C15">
              <w:rPr>
                <w:rFonts w:eastAsia="Calibri"/>
                <w:lang w:val="en-GB"/>
              </w:rPr>
              <w:t xml:space="preserve">In addition to the values of nature, the </w:t>
            </w:r>
            <w:r w:rsidR="008C0B32">
              <w:rPr>
                <w:rFonts w:eastAsia="Calibri"/>
                <w:lang w:val="en-GB"/>
              </w:rPr>
              <w:t>Slovenian T</w:t>
            </w:r>
            <w:r w:rsidRPr="00D14C15">
              <w:rPr>
                <w:rFonts w:eastAsia="Calibri"/>
                <w:lang w:val="en-GB"/>
              </w:rPr>
              <w:t xml:space="preserve">ourism </w:t>
            </w:r>
            <w:r w:rsidR="008C0B32">
              <w:rPr>
                <w:rFonts w:eastAsia="Calibri"/>
                <w:lang w:val="en-GB"/>
              </w:rPr>
              <w:t xml:space="preserve">Strategy </w:t>
            </w:r>
            <w:r w:rsidRPr="00D14C15">
              <w:rPr>
                <w:rFonts w:eastAsia="Calibri"/>
                <w:lang w:val="en-GB"/>
              </w:rPr>
              <w:t>2022-2028</w:t>
            </w:r>
            <w:r w:rsidR="008C0B32" w:rsidRPr="00D14C15">
              <w:rPr>
                <w:rStyle w:val="Sprotnaopomba-sklic"/>
                <w:rFonts w:eastAsia="Calibri"/>
                <w:lang w:val="en-GB"/>
              </w:rPr>
              <w:footnoteReference w:id="32"/>
            </w:r>
            <w:r w:rsidRPr="00D14C15">
              <w:rPr>
                <w:rFonts w:eastAsia="Calibri"/>
                <w:lang w:val="en-GB"/>
              </w:rPr>
              <w:t xml:space="preserve"> strengthens the </w:t>
            </w:r>
            <w:r w:rsidR="00DB504E">
              <w:rPr>
                <w:rFonts w:eastAsia="Calibri"/>
                <w:lang w:val="en-GB"/>
              </w:rPr>
              <w:t>relevance</w:t>
            </w:r>
            <w:r w:rsidRPr="00D14C15">
              <w:rPr>
                <w:rFonts w:eastAsia="Calibri"/>
                <w:lang w:val="en-GB"/>
              </w:rPr>
              <w:t xml:space="preserve"> of culture, authenticity, health and quality of life. Slovenia is a green destination that offers diverse and easily accessible cultural experiences with a strong local </w:t>
            </w:r>
            <w:r w:rsidR="008C0B32">
              <w:rPr>
                <w:rFonts w:eastAsia="Calibri"/>
                <w:lang w:val="en-GB"/>
              </w:rPr>
              <w:t xml:space="preserve">authentic character. </w:t>
            </w:r>
            <w:r w:rsidR="008C0B32">
              <w:rPr>
                <w:rFonts w:eastAsia="Calibri"/>
                <w:lang w:val="en-GB"/>
              </w:rPr>
              <w:lastRenderedPageBreak/>
              <w:t>Key challenges are l</w:t>
            </w:r>
            <w:r w:rsidRPr="00D14C15">
              <w:rPr>
                <w:rFonts w:eastAsia="Calibri"/>
                <w:lang w:val="en-GB"/>
              </w:rPr>
              <w:t xml:space="preserve">ack of cultural elements in the tourism offer and the image of Slovenia as a green boutique destination, as well as a disrupted balance between tourism, the environment and the population. The regulation of natural and cultural heritage and its inclusion in the tourist offer is of strategic importance for the development of individual destinations and the tourist ambience of Slovenia and has an impact on </w:t>
            </w:r>
            <w:r w:rsidR="008C0B32">
              <w:rPr>
                <w:rFonts w:eastAsia="Calibri"/>
                <w:lang w:val="en-GB"/>
              </w:rPr>
              <w:t>improving the</w:t>
            </w:r>
            <w:r w:rsidRPr="00D14C15">
              <w:rPr>
                <w:rFonts w:eastAsia="Calibri"/>
                <w:lang w:val="en-GB"/>
              </w:rPr>
              <w:t xml:space="preserve"> quality of </w:t>
            </w:r>
            <w:r w:rsidR="008C0B32">
              <w:rPr>
                <w:rFonts w:eastAsia="Calibri"/>
                <w:lang w:val="en-GB"/>
              </w:rPr>
              <w:t>life</w:t>
            </w:r>
            <w:r w:rsidRPr="00D14C15">
              <w:rPr>
                <w:rFonts w:eastAsia="Calibri"/>
                <w:lang w:val="en-GB"/>
              </w:rPr>
              <w:t xml:space="preserve"> of the local population.</w:t>
            </w:r>
          </w:p>
          <w:p w14:paraId="7D4B51D0" w14:textId="77777777" w:rsidR="00DB504E" w:rsidRPr="00D14C15" w:rsidRDefault="00DB504E">
            <w:pPr>
              <w:contextualSpacing/>
              <w:jc w:val="both"/>
              <w:rPr>
                <w:rFonts w:eastAsia="Arial"/>
                <w:lang w:val="en-GB"/>
              </w:rPr>
            </w:pPr>
          </w:p>
          <w:p w14:paraId="4D8E9F22" w14:textId="77777777" w:rsidR="0076298E" w:rsidRPr="00D14C15" w:rsidRDefault="0076298E">
            <w:pPr>
              <w:contextualSpacing/>
              <w:jc w:val="both"/>
              <w:rPr>
                <w:rFonts w:eastAsia="Arial"/>
                <w:lang w:val="en-GB"/>
              </w:rPr>
            </w:pPr>
          </w:p>
          <w:p w14:paraId="737BBDE1" w14:textId="77777777" w:rsidR="0076298E" w:rsidRPr="00D14C15" w:rsidRDefault="000E7722">
            <w:pPr>
              <w:pStyle w:val="P68B1DB1-Navaden5"/>
              <w:widowControl/>
              <w:numPr>
                <w:ilvl w:val="0"/>
                <w:numId w:val="14"/>
              </w:numPr>
              <w:autoSpaceDE/>
              <w:autoSpaceDN/>
              <w:contextualSpacing/>
              <w:jc w:val="both"/>
              <w:rPr>
                <w:lang w:val="en-GB"/>
              </w:rPr>
            </w:pPr>
            <w:r>
              <w:rPr>
                <w:lang w:val="en-GB"/>
              </w:rPr>
              <w:t>J</w:t>
            </w:r>
            <w:r w:rsidR="0032633A" w:rsidRPr="00D14C15">
              <w:rPr>
                <w:lang w:val="en-GB"/>
              </w:rPr>
              <w:t>ust transition</w:t>
            </w:r>
          </w:p>
          <w:p w14:paraId="6D305B78" w14:textId="77777777" w:rsidR="0076298E" w:rsidRPr="00D14C15" w:rsidRDefault="0076298E">
            <w:pPr>
              <w:rPr>
                <w:b/>
                <w:lang w:val="en-GB"/>
              </w:rPr>
            </w:pPr>
          </w:p>
          <w:p w14:paraId="7331F8CF" w14:textId="77777777" w:rsidR="0076298E" w:rsidRPr="00D14C15" w:rsidRDefault="0032633A">
            <w:pPr>
              <w:jc w:val="both"/>
              <w:rPr>
                <w:lang w:val="en-GB"/>
              </w:rPr>
            </w:pPr>
            <w:r w:rsidRPr="00D14C15">
              <w:rPr>
                <w:lang w:val="en-GB"/>
              </w:rPr>
              <w:t>Just Transition Fund (</w:t>
            </w:r>
            <w:r w:rsidRPr="008D0149">
              <w:rPr>
                <w:lang w:val="en-GB"/>
              </w:rPr>
              <w:t>JTF</w:t>
            </w:r>
            <w:r w:rsidRPr="00D14C15">
              <w:rPr>
                <w:lang w:val="en-GB"/>
              </w:rPr>
              <w:t xml:space="preserve">) </w:t>
            </w:r>
            <w:r w:rsidR="006935DB" w:rsidRPr="00D14C15">
              <w:rPr>
                <w:lang w:val="en-GB"/>
              </w:rPr>
              <w:t>investments</w:t>
            </w:r>
            <w:r w:rsidR="006935DB">
              <w:rPr>
                <w:lang w:val="en-GB"/>
              </w:rPr>
              <w:t xml:space="preserve"> are based on </w:t>
            </w:r>
            <w:r w:rsidRPr="00D14C15">
              <w:rPr>
                <w:lang w:val="en-GB"/>
              </w:rPr>
              <w:t xml:space="preserve">Annex D of the Country Report </w:t>
            </w:r>
            <w:r w:rsidR="000E7722">
              <w:rPr>
                <w:lang w:val="en-GB"/>
              </w:rPr>
              <w:t>-</w:t>
            </w:r>
            <w:r w:rsidRPr="00D14C15">
              <w:rPr>
                <w:lang w:val="en-GB"/>
              </w:rPr>
              <w:t xml:space="preserve"> Slovenia 2020 and the National Strategy for </w:t>
            </w:r>
            <w:r w:rsidR="000E7722">
              <w:rPr>
                <w:lang w:val="en-GB"/>
              </w:rPr>
              <w:t>a Coal</w:t>
            </w:r>
            <w:r w:rsidRPr="00D14C15">
              <w:rPr>
                <w:lang w:val="en-GB"/>
              </w:rPr>
              <w:t xml:space="preserve"> Exit and Restructuring of Coal Regions in </w:t>
            </w:r>
            <w:r w:rsidR="000E7722">
              <w:rPr>
                <w:lang w:val="en-GB"/>
              </w:rPr>
              <w:t>line</w:t>
            </w:r>
            <w:r w:rsidRPr="00D14C15">
              <w:rPr>
                <w:lang w:val="en-GB"/>
              </w:rPr>
              <w:t xml:space="preserve"> with </w:t>
            </w:r>
            <w:r w:rsidR="000E7722" w:rsidRPr="00D14C15">
              <w:rPr>
                <w:lang w:val="en-GB"/>
              </w:rPr>
              <w:t xml:space="preserve">Just Transition </w:t>
            </w:r>
            <w:r w:rsidR="000E7722">
              <w:rPr>
                <w:lang w:val="en-GB"/>
              </w:rPr>
              <w:t>Principles</w:t>
            </w:r>
            <w:r w:rsidRPr="000E7722">
              <w:rPr>
                <w:vertAlign w:val="superscript"/>
                <w:lang w:val="en-GB"/>
              </w:rPr>
              <w:footnoteReference w:id="33"/>
            </w:r>
            <w:r w:rsidRPr="00D14C15">
              <w:rPr>
                <w:lang w:val="en-GB"/>
              </w:rPr>
              <w:t xml:space="preserve"> (Coal Exit Strategy). </w:t>
            </w:r>
            <w:r w:rsidR="000E7722">
              <w:rPr>
                <w:lang w:val="en-GB"/>
              </w:rPr>
              <w:t>T</w:t>
            </w:r>
            <w:r w:rsidRPr="00D14C15">
              <w:rPr>
                <w:lang w:val="en-GB"/>
              </w:rPr>
              <w:t xml:space="preserve">wo coal regions eligible </w:t>
            </w:r>
            <w:r w:rsidR="000E7722">
              <w:rPr>
                <w:lang w:val="en-GB"/>
              </w:rPr>
              <w:t>under the</w:t>
            </w:r>
            <w:r w:rsidRPr="00D14C15">
              <w:rPr>
                <w:lang w:val="en-GB"/>
              </w:rPr>
              <w:t xml:space="preserve"> </w:t>
            </w:r>
            <w:r w:rsidR="000E7722">
              <w:rPr>
                <w:lang w:val="en-GB"/>
              </w:rPr>
              <w:t>J</w:t>
            </w:r>
            <w:r w:rsidRPr="00D14C15">
              <w:rPr>
                <w:lang w:val="en-GB"/>
              </w:rPr>
              <w:t xml:space="preserve">ust </w:t>
            </w:r>
            <w:r w:rsidR="000E7722">
              <w:rPr>
                <w:lang w:val="en-GB"/>
              </w:rPr>
              <w:t>T</w:t>
            </w:r>
            <w:r w:rsidRPr="00D14C15">
              <w:rPr>
                <w:lang w:val="en-GB"/>
              </w:rPr>
              <w:t>ransition</w:t>
            </w:r>
            <w:r w:rsidR="000E7722">
              <w:rPr>
                <w:lang w:val="en-GB"/>
              </w:rPr>
              <w:t xml:space="preserve"> Fund have been identified</w:t>
            </w:r>
            <w:r w:rsidRPr="00D14C15">
              <w:rPr>
                <w:lang w:val="en-GB"/>
              </w:rPr>
              <w:t xml:space="preserve"> (</w:t>
            </w:r>
            <w:r w:rsidR="000E7722">
              <w:rPr>
                <w:lang w:val="en-GB"/>
              </w:rPr>
              <w:t xml:space="preserve">the </w:t>
            </w:r>
            <w:r w:rsidRPr="00D14C15">
              <w:rPr>
                <w:lang w:val="en-GB"/>
              </w:rPr>
              <w:t>Zasavje</w:t>
            </w:r>
            <w:r w:rsidR="000E7722">
              <w:rPr>
                <w:lang w:val="en-GB"/>
              </w:rPr>
              <w:t xml:space="preserve"> region</w:t>
            </w:r>
            <w:r w:rsidRPr="00D14C15">
              <w:rPr>
                <w:lang w:val="en-GB"/>
              </w:rPr>
              <w:t xml:space="preserve"> and </w:t>
            </w:r>
            <w:r w:rsidR="000E7722">
              <w:rPr>
                <w:lang w:val="en-GB"/>
              </w:rPr>
              <w:t xml:space="preserve">the </w:t>
            </w:r>
            <w:r w:rsidRPr="00D14C15">
              <w:rPr>
                <w:lang w:val="en-GB"/>
              </w:rPr>
              <w:t>Savinjsko</w:t>
            </w:r>
            <w:r w:rsidR="000E7722">
              <w:rPr>
                <w:lang w:val="en-GB"/>
              </w:rPr>
              <w:t>-š</w:t>
            </w:r>
            <w:r w:rsidRPr="00D14C15">
              <w:rPr>
                <w:lang w:val="en-GB"/>
              </w:rPr>
              <w:t>aleška</w:t>
            </w:r>
            <w:r w:rsidR="000E7722">
              <w:rPr>
                <w:lang w:val="en-GB"/>
              </w:rPr>
              <w:t xml:space="preserve"> region</w:t>
            </w:r>
            <w:r w:rsidRPr="00D14C15">
              <w:rPr>
                <w:lang w:val="en-GB"/>
              </w:rPr>
              <w:t xml:space="preserve"> (</w:t>
            </w:r>
            <w:r w:rsidR="00A82FD2">
              <w:rPr>
                <w:lang w:val="en-GB"/>
              </w:rPr>
              <w:t xml:space="preserve">hereinafter: </w:t>
            </w:r>
            <w:r w:rsidRPr="00D14C15">
              <w:rPr>
                <w:lang w:val="en-GB"/>
              </w:rPr>
              <w:t xml:space="preserve">SAŠA)). The </w:t>
            </w:r>
            <w:r w:rsidR="00A047F9">
              <w:rPr>
                <w:lang w:val="en-GB"/>
              </w:rPr>
              <w:t xml:space="preserve">two </w:t>
            </w:r>
            <w:r w:rsidRPr="00D14C15">
              <w:rPr>
                <w:lang w:val="en-GB"/>
              </w:rPr>
              <w:t>regions are at different stages of the transition, so the</w:t>
            </w:r>
            <w:r w:rsidR="00A047F9">
              <w:rPr>
                <w:lang w:val="en-GB"/>
              </w:rPr>
              <w:t>y will each have a different</w:t>
            </w:r>
            <w:r w:rsidRPr="00D14C15">
              <w:rPr>
                <w:lang w:val="en-GB"/>
              </w:rPr>
              <w:t xml:space="preserve"> investment strategy.  </w:t>
            </w:r>
          </w:p>
          <w:p w14:paraId="5F2324E5" w14:textId="77777777" w:rsidR="0076298E" w:rsidRPr="00D14C15" w:rsidRDefault="0076298E">
            <w:pPr>
              <w:jc w:val="both"/>
              <w:rPr>
                <w:lang w:val="en-GB"/>
              </w:rPr>
            </w:pPr>
          </w:p>
          <w:p w14:paraId="624B3D3B" w14:textId="77777777" w:rsidR="0076298E" w:rsidRPr="00D14C15" w:rsidRDefault="00EE13D4">
            <w:pPr>
              <w:jc w:val="both"/>
              <w:rPr>
                <w:lang w:val="en-GB"/>
              </w:rPr>
            </w:pPr>
            <w:r>
              <w:rPr>
                <w:lang w:val="en-GB"/>
              </w:rPr>
              <w:t xml:space="preserve">In </w:t>
            </w:r>
            <w:r w:rsidRPr="00D14C15">
              <w:rPr>
                <w:lang w:val="en-GB"/>
              </w:rPr>
              <w:t xml:space="preserve">Zasavje, where the mine </w:t>
            </w:r>
            <w:r>
              <w:rPr>
                <w:lang w:val="en-GB"/>
              </w:rPr>
              <w:t xml:space="preserve">is </w:t>
            </w:r>
            <w:r w:rsidRPr="00D14C15">
              <w:rPr>
                <w:lang w:val="en-GB"/>
              </w:rPr>
              <w:t xml:space="preserve">no longer </w:t>
            </w:r>
            <w:r>
              <w:rPr>
                <w:lang w:val="en-GB"/>
              </w:rPr>
              <w:t>used</w:t>
            </w:r>
            <w:r w:rsidR="00235E4C">
              <w:rPr>
                <w:lang w:val="en-GB"/>
              </w:rPr>
              <w:t>,</w:t>
            </w:r>
            <w:r w:rsidRPr="00D14C15">
              <w:rPr>
                <w:lang w:val="en-GB"/>
              </w:rPr>
              <w:t xml:space="preserve"> </w:t>
            </w:r>
            <w:r>
              <w:rPr>
                <w:lang w:val="en-GB"/>
              </w:rPr>
              <w:t xml:space="preserve">we </w:t>
            </w:r>
            <w:r w:rsidRPr="00D14C15">
              <w:rPr>
                <w:lang w:val="en-GB"/>
              </w:rPr>
              <w:t xml:space="preserve">need to primarily support socio-economic measures </w:t>
            </w:r>
            <w:r w:rsidR="0032633A" w:rsidRPr="00D14C15">
              <w:rPr>
                <w:lang w:val="en-GB"/>
              </w:rPr>
              <w:t xml:space="preserve">to complete the transition. The narrower area of influence </w:t>
            </w:r>
            <w:r>
              <w:rPr>
                <w:lang w:val="en-GB"/>
              </w:rPr>
              <w:t>includes</w:t>
            </w:r>
            <w:r w:rsidR="0032633A" w:rsidRPr="00D14C15">
              <w:rPr>
                <w:lang w:val="en-GB"/>
              </w:rPr>
              <w:t xml:space="preserve"> the municipalities of Trbovlje, Hrastnik and Zagorje ob Savi. The gap analysis of the Zasavje region</w:t>
            </w:r>
            <w:r w:rsidR="0032633A" w:rsidRPr="00EE13D4">
              <w:rPr>
                <w:vertAlign w:val="superscript"/>
                <w:lang w:val="en-GB"/>
              </w:rPr>
              <w:footnoteReference w:id="34"/>
            </w:r>
            <w:r w:rsidR="0032633A" w:rsidRPr="00D14C15">
              <w:rPr>
                <w:lang w:val="en-GB"/>
              </w:rPr>
              <w:t xml:space="preserve"> </w:t>
            </w:r>
            <w:r>
              <w:rPr>
                <w:lang w:val="en-GB"/>
              </w:rPr>
              <w:t>establishes</w:t>
            </w:r>
            <w:r w:rsidR="0032633A" w:rsidRPr="00D14C15">
              <w:rPr>
                <w:lang w:val="en-GB"/>
              </w:rPr>
              <w:t xml:space="preserve"> that the majority of coal-related jobs have not been replaced in the region since the closure of the mine. In 2020, the average labour migration index of coal municipalities </w:t>
            </w:r>
            <w:r>
              <w:rPr>
                <w:lang w:val="en-GB"/>
              </w:rPr>
              <w:t>stood at</w:t>
            </w:r>
            <w:r w:rsidR="0032633A" w:rsidRPr="00D14C15">
              <w:rPr>
                <w:lang w:val="en-GB"/>
              </w:rPr>
              <w:t xml:space="preserve"> 63.1</w:t>
            </w:r>
            <w:r w:rsidR="0032633A" w:rsidRPr="00EE13D4">
              <w:rPr>
                <w:vertAlign w:val="superscript"/>
                <w:lang w:val="en-GB"/>
              </w:rPr>
              <w:footnoteReference w:id="35"/>
            </w:r>
            <w:r w:rsidR="0032633A" w:rsidRPr="00EE13D4">
              <w:rPr>
                <w:lang w:val="en-GB"/>
              </w:rPr>
              <w:t>,</w:t>
            </w:r>
            <w:r w:rsidR="0032633A" w:rsidRPr="00D14C15">
              <w:rPr>
                <w:lang w:val="en-GB"/>
              </w:rPr>
              <w:t xml:space="preserve"> </w:t>
            </w:r>
            <w:r>
              <w:rPr>
                <w:lang w:val="en-GB"/>
              </w:rPr>
              <w:t>which is 23.3%</w:t>
            </w:r>
            <w:r w:rsidR="0032633A" w:rsidRPr="00D14C15">
              <w:rPr>
                <w:lang w:val="en-GB"/>
              </w:rPr>
              <w:t xml:space="preserve"> </w:t>
            </w:r>
            <w:r>
              <w:rPr>
                <w:lang w:val="en-GB"/>
              </w:rPr>
              <w:t>less</w:t>
            </w:r>
            <w:r w:rsidR="0032633A" w:rsidRPr="00D14C15">
              <w:rPr>
                <w:lang w:val="en-GB"/>
              </w:rPr>
              <w:t xml:space="preserve"> than in 2000. </w:t>
            </w:r>
            <w:r>
              <w:rPr>
                <w:lang w:val="en-GB"/>
              </w:rPr>
              <w:t>Depopulation has also been observed</w:t>
            </w:r>
            <w:r w:rsidR="0032633A" w:rsidRPr="00D14C15">
              <w:rPr>
                <w:lang w:val="en-GB"/>
              </w:rPr>
              <w:t xml:space="preserve"> (by 11% over the period </w:t>
            </w:r>
            <w:r>
              <w:rPr>
                <w:lang w:val="en-GB"/>
              </w:rPr>
              <w:t xml:space="preserve">from 2000 to </w:t>
            </w:r>
            <w:r w:rsidR="0032633A" w:rsidRPr="00D14C15">
              <w:rPr>
                <w:lang w:val="en-GB"/>
              </w:rPr>
              <w:t xml:space="preserve">2021). Unemployment </w:t>
            </w:r>
            <w:r>
              <w:rPr>
                <w:lang w:val="en-GB"/>
              </w:rPr>
              <w:t xml:space="preserve">rate </w:t>
            </w:r>
            <w:r w:rsidR="0032633A" w:rsidRPr="00D14C15">
              <w:rPr>
                <w:lang w:val="en-GB"/>
              </w:rPr>
              <w:t xml:space="preserve">in the region </w:t>
            </w:r>
            <w:r>
              <w:rPr>
                <w:lang w:val="en-GB"/>
              </w:rPr>
              <w:t>stands at</w:t>
            </w:r>
            <w:r w:rsidR="00235E4C">
              <w:rPr>
                <w:lang w:val="en-GB"/>
              </w:rPr>
              <w:t xml:space="preserve"> around 13.5% with</w:t>
            </w:r>
            <w:r w:rsidR="0032633A" w:rsidRPr="00D14C15">
              <w:rPr>
                <w:lang w:val="en-GB"/>
              </w:rPr>
              <w:t xml:space="preserve"> </w:t>
            </w:r>
            <w:r w:rsidR="00235E4C">
              <w:rPr>
                <w:lang w:val="en-GB"/>
              </w:rPr>
              <w:t>the municipality of</w:t>
            </w:r>
            <w:r w:rsidR="00235E4C" w:rsidRPr="00D14C15">
              <w:rPr>
                <w:lang w:val="en-GB"/>
              </w:rPr>
              <w:t xml:space="preserve"> Zagorje ob Savi </w:t>
            </w:r>
            <w:r w:rsidR="00235E4C">
              <w:rPr>
                <w:lang w:val="en-GB"/>
              </w:rPr>
              <w:t xml:space="preserve">having </w:t>
            </w:r>
            <w:r w:rsidR="0032633A" w:rsidRPr="00D14C15">
              <w:rPr>
                <w:lang w:val="en-GB"/>
              </w:rPr>
              <w:t xml:space="preserve">the lowest </w:t>
            </w:r>
            <w:r w:rsidR="00235E4C">
              <w:rPr>
                <w:lang w:val="en-GB"/>
              </w:rPr>
              <w:t>unemployment rate</w:t>
            </w:r>
            <w:r w:rsidR="0032633A" w:rsidRPr="00D14C15">
              <w:rPr>
                <w:lang w:val="en-GB"/>
              </w:rPr>
              <w:t xml:space="preserve">. The municipality of Trbovlje faces a high percentage of long-term unemployed and unemployed young people (15.1%). The labour market in the region is characterised by </w:t>
            </w:r>
            <w:r>
              <w:rPr>
                <w:lang w:val="en-GB"/>
              </w:rPr>
              <w:t>the</w:t>
            </w:r>
            <w:r w:rsidR="0032633A" w:rsidRPr="00D14C15">
              <w:rPr>
                <w:lang w:val="en-GB"/>
              </w:rPr>
              <w:t xml:space="preserve"> surplus of people who do not have the necessary </w:t>
            </w:r>
            <w:r>
              <w:rPr>
                <w:lang w:val="en-GB"/>
              </w:rPr>
              <w:t>skills</w:t>
            </w:r>
            <w:r w:rsidR="0032633A" w:rsidRPr="00D14C15">
              <w:rPr>
                <w:lang w:val="en-GB"/>
              </w:rPr>
              <w:t xml:space="preserve"> and who account for the largest share of those who are long-term unemployed. On the other hand, </w:t>
            </w:r>
            <w:r>
              <w:rPr>
                <w:lang w:val="en-GB"/>
              </w:rPr>
              <w:t>there is a shortage of skilled</w:t>
            </w:r>
            <w:r w:rsidR="0032633A" w:rsidRPr="00D14C15">
              <w:rPr>
                <w:lang w:val="en-GB"/>
              </w:rPr>
              <w:t xml:space="preserve"> workforce</w:t>
            </w:r>
            <w:r w:rsidR="00235E4C" w:rsidRPr="00D14C15">
              <w:rPr>
                <w:lang w:val="en-GB"/>
              </w:rPr>
              <w:t xml:space="preserve"> in </w:t>
            </w:r>
            <w:r w:rsidR="00235E4C">
              <w:rPr>
                <w:lang w:val="en-GB"/>
              </w:rPr>
              <w:t>certain</w:t>
            </w:r>
            <w:r w:rsidR="00235E4C" w:rsidRPr="00D14C15">
              <w:rPr>
                <w:lang w:val="en-GB"/>
              </w:rPr>
              <w:t xml:space="preserve"> se</w:t>
            </w:r>
            <w:r w:rsidR="00235E4C">
              <w:rPr>
                <w:lang w:val="en-GB"/>
              </w:rPr>
              <w:t>ctors</w:t>
            </w:r>
            <w:r w:rsidR="0032633A" w:rsidRPr="00D14C15">
              <w:rPr>
                <w:lang w:val="en-GB"/>
              </w:rPr>
              <w:t xml:space="preserve">. The majority of employees in the region are over 30 years old, </w:t>
            </w:r>
            <w:r w:rsidR="00A71D98">
              <w:rPr>
                <w:lang w:val="en-GB"/>
              </w:rPr>
              <w:t xml:space="preserve">the highest number of employees fall in the category of </w:t>
            </w:r>
            <w:r w:rsidR="0032633A" w:rsidRPr="00D14C15">
              <w:rPr>
                <w:lang w:val="en-GB"/>
              </w:rPr>
              <w:t>50-59 year</w:t>
            </w:r>
            <w:r w:rsidR="00A71D98">
              <w:rPr>
                <w:lang w:val="en-GB"/>
              </w:rPr>
              <w:t xml:space="preserve"> </w:t>
            </w:r>
            <w:r w:rsidR="0032633A" w:rsidRPr="00D14C15">
              <w:rPr>
                <w:lang w:val="en-GB"/>
              </w:rPr>
              <w:t>old</w:t>
            </w:r>
            <w:r w:rsidR="00A71D98">
              <w:rPr>
                <w:lang w:val="en-GB"/>
              </w:rPr>
              <w:t>s</w:t>
            </w:r>
            <w:r w:rsidR="0032633A" w:rsidRPr="00D14C15">
              <w:rPr>
                <w:lang w:val="en-GB"/>
              </w:rPr>
              <w:t xml:space="preserve">. There are currently no new opportunities in the region, </w:t>
            </w:r>
            <w:r w:rsidR="00A71D98">
              <w:rPr>
                <w:lang w:val="en-GB"/>
              </w:rPr>
              <w:t>neither in SMEs nor</w:t>
            </w:r>
            <w:r w:rsidR="0032633A" w:rsidRPr="00D14C15">
              <w:rPr>
                <w:lang w:val="en-GB"/>
              </w:rPr>
              <w:t xml:space="preserve"> </w:t>
            </w:r>
            <w:r w:rsidR="00A71D98">
              <w:rPr>
                <w:lang w:val="en-GB"/>
              </w:rPr>
              <w:t xml:space="preserve">in </w:t>
            </w:r>
            <w:r w:rsidR="0032633A" w:rsidRPr="00D14C15">
              <w:rPr>
                <w:lang w:val="en-GB"/>
              </w:rPr>
              <w:t xml:space="preserve">large enterprises, to </w:t>
            </w:r>
            <w:r w:rsidR="00A71D98">
              <w:rPr>
                <w:lang w:val="en-GB"/>
              </w:rPr>
              <w:t>provide jobs for the unemployed</w:t>
            </w:r>
            <w:r w:rsidR="0032633A" w:rsidRPr="00D14C15">
              <w:rPr>
                <w:lang w:val="en-GB"/>
              </w:rPr>
              <w:t xml:space="preserve">. It is therefore crucial to support </w:t>
            </w:r>
            <w:r w:rsidR="00A71D98">
              <w:rPr>
                <w:lang w:val="en-GB"/>
              </w:rPr>
              <w:t>t</w:t>
            </w:r>
            <w:r w:rsidR="0032633A" w:rsidRPr="00D14C15">
              <w:rPr>
                <w:lang w:val="en-GB"/>
              </w:rPr>
              <w:t xml:space="preserve">argeted measures to reduce the current labour market gap, to strengthen and upgrade RDI capacities in the region in S5 areas, to improve the quality of the socio-economic development in the region, to </w:t>
            </w:r>
            <w:r w:rsidR="00A71D98">
              <w:rPr>
                <w:lang w:val="en-GB"/>
              </w:rPr>
              <w:t xml:space="preserve">strengthen </w:t>
            </w:r>
            <w:r w:rsidR="0032633A" w:rsidRPr="00D14C15">
              <w:rPr>
                <w:lang w:val="en-GB"/>
              </w:rPr>
              <w:t xml:space="preserve">competences, to diversify the economy and to increase added value per employee, which will create new employment opportunities in SMEs and large enterprises. The wider area is represented by the whole of </w:t>
            </w:r>
            <w:r w:rsidR="00A71D98">
              <w:rPr>
                <w:lang w:val="en-GB"/>
              </w:rPr>
              <w:t xml:space="preserve">the </w:t>
            </w:r>
            <w:r w:rsidR="0032633A" w:rsidRPr="00D14C15">
              <w:rPr>
                <w:lang w:val="en-GB"/>
              </w:rPr>
              <w:t>Zasav</w:t>
            </w:r>
            <w:r w:rsidR="00A71D98">
              <w:rPr>
                <w:lang w:val="en-GB"/>
              </w:rPr>
              <w:t xml:space="preserve">je </w:t>
            </w:r>
            <w:r w:rsidR="0032633A" w:rsidRPr="00D14C15">
              <w:rPr>
                <w:lang w:val="en-GB"/>
              </w:rPr>
              <w:t xml:space="preserve">statistical region, which, </w:t>
            </w:r>
            <w:r w:rsidR="00A71D98">
              <w:rPr>
                <w:lang w:val="en-GB"/>
              </w:rPr>
              <w:t>in addition to</w:t>
            </w:r>
            <w:r w:rsidR="0032633A" w:rsidRPr="00D14C15">
              <w:rPr>
                <w:lang w:val="en-GB"/>
              </w:rPr>
              <w:t xml:space="preserve"> the three </w:t>
            </w:r>
            <w:r w:rsidR="00A71D98" w:rsidRPr="00D14C15">
              <w:rPr>
                <w:lang w:val="en-GB"/>
              </w:rPr>
              <w:t>above</w:t>
            </w:r>
            <w:r w:rsidR="00A71D98">
              <w:rPr>
                <w:lang w:val="en-GB"/>
              </w:rPr>
              <w:t>-</w:t>
            </w:r>
            <w:r w:rsidR="00A71D98" w:rsidRPr="00D14C15">
              <w:rPr>
                <w:lang w:val="en-GB"/>
              </w:rPr>
              <w:t xml:space="preserve">mentioned </w:t>
            </w:r>
            <w:r w:rsidR="0032633A" w:rsidRPr="00D14C15">
              <w:rPr>
                <w:lang w:val="en-GB"/>
              </w:rPr>
              <w:t xml:space="preserve">municipalities, also includes the municipality of Litija.  </w:t>
            </w:r>
          </w:p>
          <w:p w14:paraId="7B78EAAE" w14:textId="77777777" w:rsidR="0076298E" w:rsidRPr="00D14C15" w:rsidRDefault="0076298E">
            <w:pPr>
              <w:jc w:val="both"/>
              <w:rPr>
                <w:lang w:val="en-GB"/>
              </w:rPr>
            </w:pPr>
          </w:p>
          <w:p w14:paraId="68D004C7" w14:textId="77777777" w:rsidR="0076298E" w:rsidRDefault="0032633A" w:rsidP="007C07A4">
            <w:pPr>
              <w:jc w:val="both"/>
              <w:rPr>
                <w:rFonts w:eastAsia="Calibri"/>
                <w:color w:val="000000"/>
                <w:lang w:val="en-GB"/>
              </w:rPr>
            </w:pPr>
            <w:r w:rsidRPr="00D14C15">
              <w:rPr>
                <w:lang w:val="en-GB"/>
              </w:rPr>
              <w:t xml:space="preserve">The strategy for </w:t>
            </w:r>
            <w:r w:rsidR="00A71D98" w:rsidRPr="00D14C15">
              <w:rPr>
                <w:lang w:val="en-GB"/>
              </w:rPr>
              <w:t xml:space="preserve">coal </w:t>
            </w:r>
            <w:r w:rsidRPr="00D14C15">
              <w:rPr>
                <w:lang w:val="en-GB"/>
              </w:rPr>
              <w:t xml:space="preserve">exit </w:t>
            </w:r>
            <w:r w:rsidR="00A71D98">
              <w:rPr>
                <w:lang w:val="en-GB"/>
              </w:rPr>
              <w:t>of</w:t>
            </w:r>
            <w:r w:rsidRPr="00D14C15">
              <w:rPr>
                <w:lang w:val="en-GB"/>
              </w:rPr>
              <w:t xml:space="preserve"> the SAŠA region </w:t>
            </w:r>
            <w:r w:rsidR="00A71D98">
              <w:rPr>
                <w:lang w:val="en-GB"/>
              </w:rPr>
              <w:t>foresees</w:t>
            </w:r>
            <w:r w:rsidRPr="00D14C15">
              <w:rPr>
                <w:lang w:val="en-GB"/>
              </w:rPr>
              <w:t xml:space="preserve"> </w:t>
            </w:r>
            <w:r w:rsidR="00235E4C">
              <w:rPr>
                <w:lang w:val="en-GB"/>
              </w:rPr>
              <w:t xml:space="preserve">the </w:t>
            </w:r>
            <w:r w:rsidR="00A71D98">
              <w:rPr>
                <w:lang w:val="en-GB"/>
              </w:rPr>
              <w:t xml:space="preserve">closing </w:t>
            </w:r>
            <w:r w:rsidR="00235E4C">
              <w:rPr>
                <w:lang w:val="en-GB"/>
              </w:rPr>
              <w:t>of</w:t>
            </w:r>
            <w:r w:rsidRPr="00D14C15">
              <w:rPr>
                <w:lang w:val="en-GB"/>
              </w:rPr>
              <w:t xml:space="preserve"> </w:t>
            </w:r>
            <w:r w:rsidR="00703109">
              <w:rPr>
                <w:lang w:val="en-GB"/>
              </w:rPr>
              <w:t>Unit 6</w:t>
            </w:r>
            <w:r w:rsidRPr="00D14C15">
              <w:rPr>
                <w:lang w:val="en-GB"/>
              </w:rPr>
              <w:t xml:space="preserve"> of </w:t>
            </w:r>
            <w:r w:rsidR="00235E4C">
              <w:rPr>
                <w:lang w:val="en-GB"/>
              </w:rPr>
              <w:t xml:space="preserve">the </w:t>
            </w:r>
            <w:r w:rsidR="00703109" w:rsidRPr="00703109">
              <w:rPr>
                <w:lang w:val="en-GB"/>
              </w:rPr>
              <w:t>Šoštanj Thermal Power Plant</w:t>
            </w:r>
            <w:r w:rsidR="00703109">
              <w:rPr>
                <w:lang w:val="en-GB"/>
              </w:rPr>
              <w:t xml:space="preserve"> (TEŠ)</w:t>
            </w:r>
            <w:r w:rsidR="00703109" w:rsidRPr="00703109">
              <w:rPr>
                <w:lang w:val="en-GB"/>
              </w:rPr>
              <w:t xml:space="preserve"> </w:t>
            </w:r>
            <w:r w:rsidRPr="00D14C15">
              <w:rPr>
                <w:lang w:val="en-GB"/>
              </w:rPr>
              <w:t xml:space="preserve">and </w:t>
            </w:r>
            <w:r w:rsidR="00703109">
              <w:rPr>
                <w:lang w:val="en-GB"/>
              </w:rPr>
              <w:t xml:space="preserve">stopping </w:t>
            </w:r>
            <w:r w:rsidRPr="00D14C15">
              <w:rPr>
                <w:lang w:val="en-GB"/>
              </w:rPr>
              <w:t xml:space="preserve">lignite mining </w:t>
            </w:r>
            <w:r w:rsidR="00703109">
              <w:rPr>
                <w:lang w:val="en-GB"/>
              </w:rPr>
              <w:t>by</w:t>
            </w:r>
            <w:r w:rsidRPr="00D14C15">
              <w:rPr>
                <w:lang w:val="en-GB"/>
              </w:rPr>
              <w:t xml:space="preserve"> </w:t>
            </w:r>
            <w:r w:rsidR="00703109">
              <w:rPr>
                <w:lang w:val="en-GB"/>
              </w:rPr>
              <w:t xml:space="preserve">no later than </w:t>
            </w:r>
            <w:r w:rsidRPr="00D14C15">
              <w:rPr>
                <w:lang w:val="en-GB"/>
              </w:rPr>
              <w:t xml:space="preserve">2033. In this region, the wider area of influence comprises 10 municipalities and the narrower </w:t>
            </w:r>
            <w:r w:rsidR="00703109">
              <w:rPr>
                <w:lang w:val="en-GB"/>
              </w:rPr>
              <w:t>area</w:t>
            </w:r>
            <w:r w:rsidRPr="00D14C15">
              <w:rPr>
                <w:lang w:val="en-GB"/>
              </w:rPr>
              <w:t xml:space="preserve"> of influence three</w:t>
            </w:r>
            <w:r w:rsidR="00703109">
              <w:rPr>
                <w:lang w:val="en-GB"/>
              </w:rPr>
              <w:t xml:space="preserve">, namely the municipality of </w:t>
            </w:r>
            <w:r w:rsidRPr="00D14C15">
              <w:rPr>
                <w:lang w:val="en-GB"/>
              </w:rPr>
              <w:t xml:space="preserve">Velenje, Šoštanj and Šmartno </w:t>
            </w:r>
            <w:r w:rsidR="00703109">
              <w:rPr>
                <w:lang w:val="en-GB"/>
              </w:rPr>
              <w:t>ob Paki (78</w:t>
            </w:r>
            <w:r w:rsidRPr="00D14C15">
              <w:rPr>
                <w:lang w:val="en-GB"/>
              </w:rPr>
              <w:t xml:space="preserve">% of all direct employees in the local coal and energy industries or in TEŠ and the PV group). An analysis of the characteristics of employment in the coal-related activities of the region in the </w:t>
            </w:r>
            <w:r w:rsidR="00235E4C">
              <w:rPr>
                <w:lang w:val="en-GB"/>
              </w:rPr>
              <w:t>frame</w:t>
            </w:r>
            <w:r w:rsidRPr="00D14C15">
              <w:rPr>
                <w:lang w:val="en-GB"/>
              </w:rPr>
              <w:t xml:space="preserve"> of the gap analysis</w:t>
            </w:r>
            <w:r w:rsidRPr="00703109">
              <w:rPr>
                <w:vertAlign w:val="superscript"/>
                <w:lang w:val="en-GB"/>
              </w:rPr>
              <w:footnoteReference w:id="36"/>
            </w:r>
            <w:r w:rsidRPr="00D14C15">
              <w:rPr>
                <w:lang w:val="en-GB"/>
              </w:rPr>
              <w:t xml:space="preserve"> shows that the sector</w:t>
            </w:r>
            <w:r w:rsidR="00235E4C">
              <w:rPr>
                <w:lang w:val="en-GB"/>
              </w:rPr>
              <w:t xml:space="preserve"> </w:t>
            </w:r>
            <w:r w:rsidR="00703109">
              <w:rPr>
                <w:lang w:val="en-GB"/>
              </w:rPr>
              <w:t>predominately</w:t>
            </w:r>
            <w:r w:rsidR="00235E4C">
              <w:rPr>
                <w:lang w:val="en-GB"/>
              </w:rPr>
              <w:t xml:space="preserve"> employs </w:t>
            </w:r>
            <w:r w:rsidR="00703109">
              <w:rPr>
                <w:lang w:val="en-GB"/>
              </w:rPr>
              <w:t xml:space="preserve">older </w:t>
            </w:r>
            <w:r w:rsidR="00235E4C">
              <w:rPr>
                <w:lang w:val="en-GB"/>
              </w:rPr>
              <w:t>workers</w:t>
            </w:r>
            <w:r w:rsidR="00703109">
              <w:rPr>
                <w:lang w:val="en-GB"/>
              </w:rPr>
              <w:t xml:space="preserve"> (only</w:t>
            </w:r>
            <w:r w:rsidR="00235E4C">
              <w:rPr>
                <w:lang w:val="en-GB"/>
              </w:rPr>
              <w:t xml:space="preserve"> </w:t>
            </w:r>
            <w:r w:rsidRPr="00D14C15">
              <w:rPr>
                <w:lang w:val="en-GB"/>
              </w:rPr>
              <w:t xml:space="preserve">26 % </w:t>
            </w:r>
            <w:r w:rsidR="00703109">
              <w:rPr>
                <w:lang w:val="en-GB"/>
              </w:rPr>
              <w:t>of the employees are</w:t>
            </w:r>
            <w:r w:rsidRPr="00D14C15">
              <w:rPr>
                <w:lang w:val="en-GB"/>
              </w:rPr>
              <w:t xml:space="preserve"> under 35), indicating that the sector is not attractive for young people. The region is also characterised by low labour mobility. JTF measures should support diversification of energy companies, strengthening and upgrading RDI capacities in the areas of green transition and S5, measures to fill job vacancies more efficiently</w:t>
            </w:r>
            <w:r w:rsidR="007C07A4">
              <w:rPr>
                <w:lang w:val="en-GB"/>
              </w:rPr>
              <w:t xml:space="preserve"> and efficiently in sectors </w:t>
            </w:r>
            <w:r w:rsidRPr="00D14C15">
              <w:rPr>
                <w:lang w:val="en-GB"/>
              </w:rPr>
              <w:t xml:space="preserve">already facing labour shortages, </w:t>
            </w:r>
            <w:r w:rsidR="007C07A4">
              <w:rPr>
                <w:lang w:val="en-GB"/>
              </w:rPr>
              <w:t>enhancing skills</w:t>
            </w:r>
            <w:r w:rsidRPr="00D14C15">
              <w:rPr>
                <w:lang w:val="en-GB"/>
              </w:rPr>
              <w:t xml:space="preserve"> </w:t>
            </w:r>
            <w:r w:rsidR="007C07A4">
              <w:rPr>
                <w:lang w:val="en-GB"/>
              </w:rPr>
              <w:t xml:space="preserve">of various </w:t>
            </w:r>
            <w:r w:rsidRPr="00D14C15">
              <w:rPr>
                <w:lang w:val="en-GB"/>
              </w:rPr>
              <w:t>target groups.</w:t>
            </w:r>
            <w:r w:rsidR="007C07A4">
              <w:rPr>
                <w:lang w:val="en-GB"/>
              </w:rPr>
              <w:t xml:space="preserve"> B</w:t>
            </w:r>
            <w:r w:rsidRPr="00D14C15">
              <w:rPr>
                <w:lang w:val="en-GB"/>
              </w:rPr>
              <w:t xml:space="preserve">oth large and SMEs </w:t>
            </w:r>
            <w:r w:rsidR="007C07A4">
              <w:rPr>
                <w:lang w:val="en-GB"/>
              </w:rPr>
              <w:t>provide</w:t>
            </w:r>
            <w:r w:rsidRPr="00D14C15">
              <w:rPr>
                <w:lang w:val="en-GB"/>
              </w:rPr>
              <w:t xml:space="preserve"> </w:t>
            </w:r>
            <w:r w:rsidR="007C07A4">
              <w:rPr>
                <w:lang w:val="en-GB"/>
              </w:rPr>
              <w:t>major</w:t>
            </w:r>
            <w:r w:rsidRPr="00D14C15">
              <w:rPr>
                <w:lang w:val="en-GB"/>
              </w:rPr>
              <w:t xml:space="preserve"> employment opportunities</w:t>
            </w:r>
            <w:r w:rsidR="007C07A4">
              <w:rPr>
                <w:lang w:val="en-GB"/>
              </w:rPr>
              <w:t xml:space="preserve"> in the region</w:t>
            </w:r>
            <w:r w:rsidRPr="00D14C15">
              <w:rPr>
                <w:lang w:val="en-GB"/>
              </w:rPr>
              <w:t xml:space="preserve">. </w:t>
            </w:r>
            <w:r w:rsidR="007C07A4">
              <w:rPr>
                <w:lang w:val="en-GB"/>
              </w:rPr>
              <w:t xml:space="preserve">In the period </w:t>
            </w:r>
            <w:r w:rsidR="007C07A4" w:rsidRPr="00D14C15">
              <w:rPr>
                <w:lang w:val="en-GB"/>
              </w:rPr>
              <w:lastRenderedPageBreak/>
              <w:t>between 2011 and 2020</w:t>
            </w:r>
            <w:r w:rsidR="007C07A4">
              <w:rPr>
                <w:lang w:val="en-GB"/>
              </w:rPr>
              <w:t>,</w:t>
            </w:r>
            <w:r w:rsidRPr="00D14C15">
              <w:rPr>
                <w:lang w:val="en-GB"/>
              </w:rPr>
              <w:t xml:space="preserve"> the numb</w:t>
            </w:r>
            <w:r w:rsidR="007C07A4">
              <w:rPr>
                <w:lang w:val="en-GB"/>
              </w:rPr>
              <w:t>er of employees in SMEs increased by 12</w:t>
            </w:r>
            <w:r w:rsidRPr="00D14C15">
              <w:rPr>
                <w:lang w:val="en-GB"/>
              </w:rPr>
              <w:t xml:space="preserve">%. Measures to support economic activity will focus mainly on raising added value in existing enterprises and developing new propulsive </w:t>
            </w:r>
            <w:r w:rsidR="007C07A4">
              <w:rPr>
                <w:lang w:val="en-GB"/>
              </w:rPr>
              <w:t>companies. One of the key challenges of</w:t>
            </w:r>
            <w:r w:rsidRPr="00D14C15">
              <w:rPr>
                <w:lang w:val="en-GB"/>
              </w:rPr>
              <w:t xml:space="preserve"> the region is the provision of </w:t>
            </w:r>
            <w:r w:rsidRPr="00D14C15">
              <w:rPr>
                <w:rFonts w:eastAsia="Calibri"/>
                <w:color w:val="000000"/>
                <w:lang w:val="en-GB"/>
              </w:rPr>
              <w:t xml:space="preserve">an alternative heat source for the district heating system. </w:t>
            </w:r>
          </w:p>
          <w:p w14:paraId="0F5431F8" w14:textId="77777777" w:rsidR="00235E4C" w:rsidRPr="007C07A4" w:rsidRDefault="00235E4C" w:rsidP="007C07A4">
            <w:pPr>
              <w:jc w:val="both"/>
              <w:rPr>
                <w:lang w:val="en-GB"/>
              </w:rPr>
            </w:pPr>
          </w:p>
          <w:p w14:paraId="2C0DAB3F" w14:textId="77777777" w:rsidR="0076298E" w:rsidRPr="00D14C15" w:rsidRDefault="0076298E">
            <w:pPr>
              <w:rPr>
                <w:b/>
                <w:lang w:val="en-GB"/>
              </w:rPr>
            </w:pPr>
          </w:p>
          <w:p w14:paraId="236F538D" w14:textId="77777777" w:rsidR="0076298E" w:rsidRPr="00D14C15" w:rsidRDefault="0032633A">
            <w:pPr>
              <w:pStyle w:val="P68B1DB1-Navaden5"/>
              <w:widowControl/>
              <w:numPr>
                <w:ilvl w:val="0"/>
                <w:numId w:val="14"/>
              </w:numPr>
              <w:autoSpaceDE/>
              <w:autoSpaceDN/>
              <w:contextualSpacing/>
              <w:jc w:val="both"/>
              <w:rPr>
                <w:lang w:val="en-GB"/>
              </w:rPr>
            </w:pPr>
            <w:r w:rsidRPr="00D14C15">
              <w:rPr>
                <w:lang w:val="en-GB"/>
              </w:rPr>
              <w:t xml:space="preserve">Administrative </w:t>
            </w:r>
            <w:r w:rsidR="007C07A4">
              <w:rPr>
                <w:lang w:val="en-GB"/>
              </w:rPr>
              <w:t>capacity</w:t>
            </w:r>
          </w:p>
          <w:p w14:paraId="00E4FC87" w14:textId="77777777" w:rsidR="0076298E" w:rsidRPr="00D14C15" w:rsidRDefault="0076298E">
            <w:pPr>
              <w:rPr>
                <w:b/>
                <w:lang w:val="en-GB"/>
              </w:rPr>
            </w:pPr>
          </w:p>
          <w:p w14:paraId="6BB87246" w14:textId="77777777" w:rsidR="0076298E" w:rsidRPr="00D14C15" w:rsidRDefault="007A0456">
            <w:pPr>
              <w:jc w:val="both"/>
              <w:rPr>
                <w:rFonts w:eastAsia="Calibri"/>
                <w:lang w:val="en-GB"/>
              </w:rPr>
            </w:pPr>
            <w:r>
              <w:rPr>
                <w:rFonts w:eastAsia="Calibri"/>
                <w:lang w:val="en-GB"/>
              </w:rPr>
              <w:t>High-</w:t>
            </w:r>
            <w:r w:rsidR="0032633A" w:rsidRPr="00D14C15">
              <w:rPr>
                <w:rFonts w:eastAsia="Calibri"/>
                <w:lang w:val="en-GB"/>
              </w:rPr>
              <w:t xml:space="preserve">quality institutional and governance framework is important </w:t>
            </w:r>
            <w:r w:rsidR="00110A15">
              <w:rPr>
                <w:rFonts w:eastAsia="Calibri"/>
                <w:lang w:val="en-GB"/>
              </w:rPr>
              <w:t xml:space="preserve">for </w:t>
            </w:r>
            <w:r>
              <w:rPr>
                <w:rFonts w:eastAsia="Calibri"/>
                <w:lang w:val="en-GB"/>
              </w:rPr>
              <w:t>ensur</w:t>
            </w:r>
            <w:r w:rsidR="00110A15">
              <w:rPr>
                <w:rFonts w:eastAsia="Calibri"/>
                <w:lang w:val="en-GB"/>
              </w:rPr>
              <w:t>ing</w:t>
            </w:r>
            <w:r w:rsidR="0032633A" w:rsidRPr="00D14C15">
              <w:rPr>
                <w:rFonts w:eastAsia="Calibri"/>
                <w:lang w:val="en-GB"/>
              </w:rPr>
              <w:t xml:space="preserve"> effective</w:t>
            </w:r>
            <w:r w:rsidR="00110A15">
              <w:rPr>
                <w:rFonts w:eastAsia="Calibri"/>
                <w:lang w:val="en-GB"/>
              </w:rPr>
              <w:t xml:space="preserve"> implementation </w:t>
            </w:r>
            <w:r w:rsidR="0032633A" w:rsidRPr="00D14C15">
              <w:rPr>
                <w:rFonts w:eastAsia="Calibri"/>
                <w:lang w:val="en-GB"/>
              </w:rPr>
              <w:t>an</w:t>
            </w:r>
            <w:r>
              <w:rPr>
                <w:rFonts w:eastAsia="Calibri"/>
                <w:lang w:val="en-GB"/>
              </w:rPr>
              <w:t>d achievement of the Programme objectives</w:t>
            </w:r>
            <w:r w:rsidR="0032633A" w:rsidRPr="00D14C15">
              <w:rPr>
                <w:rFonts w:eastAsia="Calibri"/>
                <w:lang w:val="en-GB"/>
              </w:rPr>
              <w:t xml:space="preserve">. </w:t>
            </w:r>
            <w:r>
              <w:rPr>
                <w:rFonts w:eastAsia="Calibri"/>
                <w:lang w:val="en-GB"/>
              </w:rPr>
              <w:t>Slovenia</w:t>
            </w:r>
            <w:r w:rsidR="0032633A" w:rsidRPr="00D14C15">
              <w:rPr>
                <w:rFonts w:eastAsia="Calibri"/>
                <w:lang w:val="en-GB"/>
              </w:rPr>
              <w:t xml:space="preserve"> identified</w:t>
            </w:r>
            <w:r w:rsidR="0032633A" w:rsidRPr="00D14C15">
              <w:rPr>
                <w:rStyle w:val="Sprotnaopomba-sklic"/>
                <w:rFonts w:eastAsia="Calibri"/>
                <w:lang w:val="en-GB"/>
              </w:rPr>
              <w:footnoteReference w:id="37"/>
            </w:r>
            <w:r w:rsidR="0032633A" w:rsidRPr="00D14C15">
              <w:rPr>
                <w:rFonts w:eastAsia="Calibri"/>
                <w:lang w:val="en-GB"/>
              </w:rPr>
              <w:t xml:space="preserve"> </w:t>
            </w:r>
            <w:r>
              <w:rPr>
                <w:rFonts w:eastAsia="Calibri"/>
                <w:lang w:val="en-GB"/>
              </w:rPr>
              <w:t>certain</w:t>
            </w:r>
            <w:r w:rsidR="0032633A" w:rsidRPr="00D14C15">
              <w:rPr>
                <w:rFonts w:eastAsia="Calibri"/>
                <w:lang w:val="en-GB"/>
              </w:rPr>
              <w:t xml:space="preserve"> challenges in this area and prepared a detailed plan for strength</w:t>
            </w:r>
            <w:r>
              <w:rPr>
                <w:rFonts w:eastAsia="Calibri"/>
                <w:lang w:val="en-GB"/>
              </w:rPr>
              <w:t>ening administrative capacity for</w:t>
            </w:r>
            <w:r w:rsidR="0032633A" w:rsidRPr="00D14C15">
              <w:rPr>
                <w:rFonts w:eastAsia="Calibri"/>
                <w:lang w:val="en-GB"/>
              </w:rPr>
              <w:t xml:space="preserve"> </w:t>
            </w:r>
            <w:r w:rsidR="00110A15">
              <w:rPr>
                <w:rFonts w:eastAsia="Calibri"/>
                <w:lang w:val="en-GB"/>
              </w:rPr>
              <w:t>the implementation of the P</w:t>
            </w:r>
            <w:r>
              <w:rPr>
                <w:rFonts w:eastAsia="Calibri"/>
                <w:lang w:val="en-GB"/>
              </w:rPr>
              <w:t xml:space="preserve">rogramme </w:t>
            </w:r>
            <w:r w:rsidR="00110A15">
              <w:rPr>
                <w:rFonts w:eastAsia="Calibri"/>
                <w:lang w:val="en-GB"/>
              </w:rPr>
              <w:t>for the</w:t>
            </w:r>
            <w:r w:rsidR="0032633A" w:rsidRPr="00D14C15">
              <w:rPr>
                <w:rFonts w:eastAsia="Calibri"/>
                <w:lang w:val="en-GB"/>
              </w:rPr>
              <w:t xml:space="preserve"> </w:t>
            </w:r>
            <w:r w:rsidRPr="00D14C15">
              <w:rPr>
                <w:rFonts w:eastAsia="Calibri"/>
                <w:lang w:val="en-GB"/>
              </w:rPr>
              <w:t>2021-2027</w:t>
            </w:r>
            <w:r w:rsidR="00110A15">
              <w:rPr>
                <w:rFonts w:eastAsia="Calibri"/>
                <w:lang w:val="en-GB"/>
              </w:rPr>
              <w:t xml:space="preserve"> period</w:t>
            </w:r>
            <w:r w:rsidRPr="00D14C15">
              <w:rPr>
                <w:rFonts w:eastAsia="Calibri"/>
                <w:lang w:val="en-GB"/>
              </w:rPr>
              <w:t xml:space="preserve"> </w:t>
            </w:r>
            <w:r>
              <w:rPr>
                <w:rFonts w:eastAsia="Calibri"/>
                <w:lang w:val="en-GB"/>
              </w:rPr>
              <w:t>(P</w:t>
            </w:r>
            <w:r w:rsidR="0032633A" w:rsidRPr="00D14C15">
              <w:rPr>
                <w:rFonts w:eastAsia="Calibri"/>
                <w:lang w:val="en-GB"/>
              </w:rPr>
              <w:t>lan) in Annex 1 of the Programme, wh</w:t>
            </w:r>
            <w:r>
              <w:rPr>
                <w:rFonts w:eastAsia="Calibri"/>
                <w:lang w:val="en-GB"/>
              </w:rPr>
              <w:t>ere measure to address these challenges are divided into four groups</w:t>
            </w:r>
            <w:r w:rsidR="0032633A" w:rsidRPr="00D14C15">
              <w:rPr>
                <w:rFonts w:eastAsia="Calibri"/>
                <w:lang w:val="en-GB"/>
              </w:rPr>
              <w:t>:</w:t>
            </w:r>
          </w:p>
          <w:p w14:paraId="1E04E038" w14:textId="77777777" w:rsidR="0076298E" w:rsidRPr="00D14C15" w:rsidRDefault="0032633A">
            <w:pPr>
              <w:pStyle w:val="P68B1DB1-Odstavekseznama7"/>
              <w:widowControl/>
              <w:numPr>
                <w:ilvl w:val="0"/>
                <w:numId w:val="2"/>
              </w:numPr>
              <w:autoSpaceDE/>
              <w:autoSpaceDN/>
              <w:jc w:val="both"/>
              <w:rPr>
                <w:lang w:val="en-GB"/>
              </w:rPr>
            </w:pPr>
            <w:r w:rsidRPr="00D14C15">
              <w:rPr>
                <w:lang w:val="en-GB"/>
              </w:rPr>
              <w:t>Human</w:t>
            </w:r>
            <w:r w:rsidR="007A0456">
              <w:rPr>
                <w:lang w:val="en-GB"/>
              </w:rPr>
              <w:t xml:space="preserve"> resources management</w:t>
            </w:r>
            <w:r w:rsidRPr="00D14C15">
              <w:rPr>
                <w:lang w:val="en-GB"/>
              </w:rPr>
              <w:t xml:space="preserve"> and organisational management: the main focus is on training measures (new and existing professional and managerial staff).</w:t>
            </w:r>
          </w:p>
          <w:p w14:paraId="3C1A7BDE" w14:textId="77777777" w:rsidR="0076298E" w:rsidRPr="00D14C15" w:rsidRDefault="00CC2C70">
            <w:pPr>
              <w:pStyle w:val="P68B1DB1-Odstavekseznama7"/>
              <w:widowControl/>
              <w:numPr>
                <w:ilvl w:val="0"/>
                <w:numId w:val="2"/>
              </w:numPr>
              <w:autoSpaceDE/>
              <w:autoSpaceDN/>
              <w:jc w:val="both"/>
              <w:rPr>
                <w:lang w:val="en-GB"/>
              </w:rPr>
            </w:pPr>
            <w:r>
              <w:rPr>
                <w:lang w:val="en-GB"/>
              </w:rPr>
              <w:t>Measures</w:t>
            </w:r>
            <w:r w:rsidR="0032633A" w:rsidRPr="00D14C15">
              <w:rPr>
                <w:lang w:val="en-GB"/>
              </w:rPr>
              <w:t xml:space="preserve"> for the strategic implementation of the Programme: support for </w:t>
            </w:r>
            <w:r w:rsidR="000A306B">
              <w:rPr>
                <w:lang w:val="en-GB"/>
              </w:rPr>
              <w:t>enhancing</w:t>
            </w:r>
            <w:r w:rsidR="0032633A" w:rsidRPr="00D14C15">
              <w:rPr>
                <w:lang w:val="en-GB"/>
              </w:rPr>
              <w:t xml:space="preserve"> good governance and administrative capaci</w:t>
            </w:r>
            <w:r>
              <w:rPr>
                <w:lang w:val="en-GB"/>
              </w:rPr>
              <w:t>ty; more efficient management with</w:t>
            </w:r>
            <w:r w:rsidR="0032633A" w:rsidRPr="00D14C15">
              <w:rPr>
                <w:lang w:val="en-GB"/>
              </w:rPr>
              <w:t xml:space="preserve"> different information/data sources; cooperation between ministries and other stakeholders; capacity of intermedia</w:t>
            </w:r>
            <w:r>
              <w:rPr>
                <w:lang w:val="en-GB"/>
              </w:rPr>
              <w:t>te</w:t>
            </w:r>
            <w:r w:rsidR="0032633A" w:rsidRPr="00D14C15">
              <w:rPr>
                <w:lang w:val="en-GB"/>
              </w:rPr>
              <w:t xml:space="preserve"> bodies and end-users, etc.</w:t>
            </w:r>
          </w:p>
          <w:p w14:paraId="5F0EBDFA" w14:textId="77777777" w:rsidR="00CC2C70" w:rsidRDefault="0032633A" w:rsidP="00CC2C70">
            <w:pPr>
              <w:pStyle w:val="P68B1DB1-Odstavekseznama7"/>
              <w:widowControl/>
              <w:numPr>
                <w:ilvl w:val="0"/>
                <w:numId w:val="2"/>
              </w:numPr>
              <w:autoSpaceDE/>
              <w:autoSpaceDN/>
              <w:jc w:val="both"/>
              <w:rPr>
                <w:lang w:val="en-GB"/>
              </w:rPr>
            </w:pPr>
            <w:r w:rsidRPr="00D14C15">
              <w:rPr>
                <w:lang w:val="en-GB"/>
              </w:rPr>
              <w:t xml:space="preserve">Enabling framework conditions is a set of measures to improve cooperation with different stakeholders; </w:t>
            </w:r>
            <w:r w:rsidR="000A306B">
              <w:rPr>
                <w:lang w:val="en-GB"/>
              </w:rPr>
              <w:t>reduce</w:t>
            </w:r>
            <w:r w:rsidRPr="00D14C15">
              <w:rPr>
                <w:lang w:val="en-GB"/>
              </w:rPr>
              <w:t xml:space="preserve"> administrative burden; evaluation; </w:t>
            </w:r>
            <w:r w:rsidR="000A306B">
              <w:rPr>
                <w:lang w:val="en-GB"/>
              </w:rPr>
              <w:t>prevent</w:t>
            </w:r>
            <w:r w:rsidRPr="00D14C15">
              <w:rPr>
                <w:lang w:val="en-GB"/>
              </w:rPr>
              <w:t xml:space="preserve"> conflicts of interest and corruption; </w:t>
            </w:r>
            <w:r w:rsidR="00CC2C70">
              <w:rPr>
                <w:lang w:val="en-GB"/>
              </w:rPr>
              <w:t>enhance</w:t>
            </w:r>
            <w:r w:rsidRPr="00D14C15">
              <w:rPr>
                <w:lang w:val="en-GB"/>
              </w:rPr>
              <w:t xml:space="preserve"> efficiency of public procurement, etc.</w:t>
            </w:r>
          </w:p>
          <w:p w14:paraId="539B00DA" w14:textId="77777777" w:rsidR="0076298E" w:rsidRPr="00CC2C70" w:rsidRDefault="00CC2C70" w:rsidP="00CC2C70">
            <w:pPr>
              <w:pStyle w:val="P68B1DB1-Odstavekseznama7"/>
              <w:widowControl/>
              <w:numPr>
                <w:ilvl w:val="0"/>
                <w:numId w:val="2"/>
              </w:numPr>
              <w:autoSpaceDE/>
              <w:autoSpaceDN/>
              <w:jc w:val="both"/>
              <w:rPr>
                <w:lang w:val="en-GB"/>
              </w:rPr>
            </w:pPr>
            <w:r>
              <w:rPr>
                <w:lang w:val="en-GB"/>
              </w:rPr>
              <w:t>F</w:t>
            </w:r>
            <w:r w:rsidR="0032633A" w:rsidRPr="00CC2C70">
              <w:rPr>
                <w:lang w:val="en-GB"/>
              </w:rPr>
              <w:t xml:space="preserve">or beneficiaries and stakeholders, we will implement measures to strengthen the capacity of different stakeholder groups in different areas and thus ensure that the partnership principle is respected while improving the quality of </w:t>
            </w:r>
            <w:r w:rsidRPr="00CC2C70">
              <w:rPr>
                <w:lang w:val="en-GB"/>
              </w:rPr>
              <w:t xml:space="preserve">Programme </w:t>
            </w:r>
            <w:r w:rsidR="0032633A" w:rsidRPr="00CC2C70">
              <w:rPr>
                <w:lang w:val="en-GB"/>
              </w:rPr>
              <w:t>implementation.</w:t>
            </w:r>
          </w:p>
          <w:p w14:paraId="7C7C8DA6" w14:textId="77777777" w:rsidR="0076298E" w:rsidRPr="00D14C15" w:rsidRDefault="0076298E">
            <w:pPr>
              <w:jc w:val="both"/>
              <w:rPr>
                <w:rFonts w:eastAsia="Calibri"/>
                <w:lang w:val="en-GB"/>
              </w:rPr>
            </w:pPr>
          </w:p>
          <w:p w14:paraId="51530D11" w14:textId="77777777" w:rsidR="0076298E" w:rsidRPr="00D14C15" w:rsidRDefault="0032633A" w:rsidP="00CC2C70">
            <w:pPr>
              <w:pStyle w:val="P68B1DB1-Navaden1"/>
              <w:jc w:val="both"/>
              <w:rPr>
                <w:lang w:val="en-GB"/>
              </w:rPr>
            </w:pPr>
            <w:r w:rsidRPr="00D14C15">
              <w:rPr>
                <w:lang w:val="en-GB"/>
              </w:rPr>
              <w:t>The plan is a “living document”. Its implementation will be mon</w:t>
            </w:r>
            <w:r w:rsidR="00CC2C70">
              <w:rPr>
                <w:lang w:val="en-GB"/>
              </w:rPr>
              <w:t xml:space="preserve">itored and continuously updated with the </w:t>
            </w:r>
            <w:r w:rsidRPr="00D14C15">
              <w:rPr>
                <w:lang w:val="en-GB"/>
              </w:rPr>
              <w:t>Managing Authority and the Monitoring Committee play</w:t>
            </w:r>
            <w:r w:rsidR="00CC2C70">
              <w:rPr>
                <w:lang w:val="en-GB"/>
              </w:rPr>
              <w:t>ing</w:t>
            </w:r>
            <w:r w:rsidRPr="00D14C15">
              <w:rPr>
                <w:lang w:val="en-GB"/>
              </w:rPr>
              <w:t xml:space="preserve"> a key role. The </w:t>
            </w:r>
            <w:r w:rsidR="00CC2C70">
              <w:rPr>
                <w:lang w:val="en-GB"/>
              </w:rPr>
              <w:t>Monitoring Committee</w:t>
            </w:r>
            <w:r w:rsidRPr="00D14C15">
              <w:rPr>
                <w:lang w:val="en-GB"/>
              </w:rPr>
              <w:t xml:space="preserve"> will also communicate </w:t>
            </w:r>
            <w:r w:rsidR="00CC2C70">
              <w:rPr>
                <w:lang w:val="en-GB"/>
              </w:rPr>
              <w:t xml:space="preserve">on a </w:t>
            </w:r>
            <w:r w:rsidRPr="00D14C15">
              <w:rPr>
                <w:lang w:val="en-GB"/>
              </w:rPr>
              <w:t>regular</w:t>
            </w:r>
            <w:r w:rsidR="00CC2C70">
              <w:rPr>
                <w:lang w:val="en-GB"/>
              </w:rPr>
              <w:t xml:space="preserve"> basis</w:t>
            </w:r>
            <w:r w:rsidRPr="00D14C15">
              <w:rPr>
                <w:lang w:val="en-GB"/>
              </w:rPr>
              <w:t xml:space="preserve"> with interested stakeholders to support ownership of the Plan throughout the implementation period.</w:t>
            </w:r>
          </w:p>
        </w:tc>
      </w:tr>
    </w:tbl>
    <w:p w14:paraId="1A40C3F8" w14:textId="77777777" w:rsidR="0076298E" w:rsidRPr="00D14C15" w:rsidRDefault="0032633A">
      <w:pPr>
        <w:rPr>
          <w:rFonts w:eastAsia="Cambria" w:cs="Cambria"/>
          <w:b/>
          <w:color w:val="2E74B5" w:themeColor="accent1" w:themeShade="BF"/>
          <w:sz w:val="24"/>
          <w:lang w:val="en-GB"/>
        </w:rPr>
      </w:pPr>
      <w:bookmarkStart w:id="4" w:name="_Toc74545041"/>
      <w:bookmarkStart w:id="5" w:name="_Hlk94769318"/>
      <w:r w:rsidRPr="00D14C15">
        <w:rPr>
          <w:lang w:val="en-GB"/>
        </w:rPr>
        <w:lastRenderedPageBreak/>
        <w:br w:type="page"/>
      </w:r>
    </w:p>
    <w:p w14:paraId="41AAB35F" w14:textId="77777777" w:rsidR="0076298E" w:rsidRPr="00D14C15" w:rsidRDefault="0032633A">
      <w:pPr>
        <w:pStyle w:val="Naslov2"/>
        <w:rPr>
          <w:lang w:val="en-GB"/>
        </w:rPr>
      </w:pPr>
      <w:bookmarkStart w:id="6" w:name="_Toc131161693"/>
      <w:r w:rsidRPr="00D14C15">
        <w:rPr>
          <w:lang w:val="en-GB"/>
        </w:rPr>
        <w:lastRenderedPageBreak/>
        <w:t xml:space="preserve">Justification for </w:t>
      </w:r>
      <w:r w:rsidR="00540CB6">
        <w:rPr>
          <w:lang w:val="en-GB"/>
        </w:rPr>
        <w:t xml:space="preserve">the </w:t>
      </w:r>
      <w:r w:rsidRPr="00D14C15">
        <w:rPr>
          <w:lang w:val="en-GB"/>
        </w:rPr>
        <w:t xml:space="preserve">selected policy objectives, </w:t>
      </w:r>
      <w:r w:rsidR="00540CB6">
        <w:rPr>
          <w:lang w:val="en-GB"/>
        </w:rPr>
        <w:t>corresponding</w:t>
      </w:r>
      <w:r w:rsidRPr="00D14C15">
        <w:rPr>
          <w:lang w:val="en-GB"/>
        </w:rPr>
        <w:t xml:space="preserve"> priorities, specific objectives and forms of support</w:t>
      </w:r>
      <w:bookmarkEnd w:id="4"/>
      <w:bookmarkEnd w:id="6"/>
    </w:p>
    <w:bookmarkEnd w:id="5"/>
    <w:p w14:paraId="4CB018C8" w14:textId="77777777" w:rsidR="0076298E" w:rsidRPr="00D14C15" w:rsidRDefault="0076298E">
      <w:pPr>
        <w:rPr>
          <w:sz w:val="20"/>
          <w:lang w:val="en-GB"/>
        </w:rPr>
      </w:pPr>
    </w:p>
    <w:p w14:paraId="1AB37F42" w14:textId="77777777" w:rsidR="0076298E" w:rsidRPr="00D14C15" w:rsidRDefault="0076298E">
      <w:pPr>
        <w:rPr>
          <w:sz w:val="21"/>
          <w:lang w:val="en-GB"/>
        </w:rPr>
      </w:pPr>
    </w:p>
    <w:tbl>
      <w:tblPr>
        <w:tblStyle w:val="NormalTable0"/>
        <w:tblW w:w="1403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3119"/>
        <w:gridCol w:w="8647"/>
      </w:tblGrid>
      <w:tr w:rsidR="0076298E" w:rsidRPr="00D14C15" w14:paraId="3EC627E7" w14:textId="77777777" w:rsidTr="00E1518F">
        <w:trPr>
          <w:trHeight w:val="599"/>
        </w:trPr>
        <w:tc>
          <w:tcPr>
            <w:tcW w:w="2268" w:type="dxa"/>
            <w:vAlign w:val="center"/>
          </w:tcPr>
          <w:p w14:paraId="7325CF34" w14:textId="77777777" w:rsidR="0076298E" w:rsidRPr="00D14C15" w:rsidRDefault="0032633A">
            <w:pPr>
              <w:pStyle w:val="TableParagraph"/>
              <w:ind w:left="115" w:right="95"/>
              <w:jc w:val="center"/>
              <w:rPr>
                <w:lang w:val="en-GB"/>
              </w:rPr>
            </w:pPr>
            <w:r w:rsidRPr="00D14C15">
              <w:rPr>
                <w:lang w:val="en-GB"/>
              </w:rPr>
              <w:t>Policy objective or JTF specific objective</w:t>
            </w:r>
          </w:p>
        </w:tc>
        <w:tc>
          <w:tcPr>
            <w:tcW w:w="3119" w:type="dxa"/>
            <w:vAlign w:val="center"/>
          </w:tcPr>
          <w:p w14:paraId="0C8B01FE" w14:textId="77777777" w:rsidR="0076298E" w:rsidRPr="00D14C15" w:rsidRDefault="0032633A">
            <w:pPr>
              <w:pStyle w:val="TableParagraph"/>
              <w:ind w:left="37" w:right="264"/>
              <w:jc w:val="center"/>
              <w:rPr>
                <w:b/>
                <w:lang w:val="en-GB"/>
              </w:rPr>
            </w:pPr>
            <w:r w:rsidRPr="00D14C15">
              <w:rPr>
                <w:lang w:val="en-GB"/>
              </w:rPr>
              <w:t>Specific objective or dedicated priority</w:t>
            </w:r>
          </w:p>
        </w:tc>
        <w:tc>
          <w:tcPr>
            <w:tcW w:w="8647" w:type="dxa"/>
            <w:vAlign w:val="center"/>
          </w:tcPr>
          <w:p w14:paraId="4BD829BD" w14:textId="77777777" w:rsidR="0076298E" w:rsidRPr="00D14C15" w:rsidRDefault="00540CB6">
            <w:pPr>
              <w:pStyle w:val="TableParagraph"/>
              <w:ind w:left="280" w:right="67"/>
              <w:jc w:val="center"/>
              <w:rPr>
                <w:lang w:val="en-GB"/>
              </w:rPr>
            </w:pPr>
            <w:r>
              <w:rPr>
                <w:lang w:val="en-GB"/>
              </w:rPr>
              <w:t>Justification</w:t>
            </w:r>
            <w:r w:rsidR="0032633A" w:rsidRPr="00D14C15">
              <w:rPr>
                <w:lang w:val="en-GB"/>
              </w:rPr>
              <w:t xml:space="preserve"> (summary)</w:t>
            </w:r>
          </w:p>
        </w:tc>
      </w:tr>
      <w:tr w:rsidR="0076298E" w:rsidRPr="00D14C15" w14:paraId="245F2490" w14:textId="77777777" w:rsidTr="00E1518F">
        <w:trPr>
          <w:trHeight w:val="411"/>
        </w:trPr>
        <w:tc>
          <w:tcPr>
            <w:tcW w:w="2268" w:type="dxa"/>
            <w:vMerge w:val="restart"/>
          </w:tcPr>
          <w:p w14:paraId="52F5A681" w14:textId="77777777" w:rsidR="0076298E" w:rsidRPr="00D14C15" w:rsidRDefault="00DE64C4">
            <w:pPr>
              <w:pStyle w:val="TableParagraph"/>
              <w:ind w:left="115"/>
              <w:rPr>
                <w:lang w:val="en-GB"/>
              </w:rPr>
            </w:pPr>
            <w:r>
              <w:rPr>
                <w:lang w:val="en-GB"/>
              </w:rPr>
              <w:t>PO</w:t>
            </w:r>
            <w:r w:rsidR="0032633A" w:rsidRPr="00D14C15">
              <w:rPr>
                <w:lang w:val="en-GB"/>
              </w:rPr>
              <w:t xml:space="preserve"> 1: A more competitive and smarter Europe by promoting innovative and smart economic transformation and regional ICT connectivity</w:t>
            </w:r>
          </w:p>
        </w:tc>
        <w:tc>
          <w:tcPr>
            <w:tcW w:w="3119" w:type="dxa"/>
          </w:tcPr>
          <w:p w14:paraId="350177AF" w14:textId="77777777" w:rsidR="0076298E" w:rsidRPr="00D14C15" w:rsidRDefault="0032633A">
            <w:pPr>
              <w:pStyle w:val="P68B1DB1-Navaden1"/>
              <w:ind w:left="37"/>
              <w:rPr>
                <w:lang w:val="en-GB"/>
              </w:rPr>
            </w:pPr>
            <w:r w:rsidRPr="00D14C15">
              <w:rPr>
                <w:lang w:val="en-GB"/>
              </w:rPr>
              <w:t>P</w:t>
            </w:r>
            <w:r w:rsidR="002B47E4">
              <w:rPr>
                <w:lang w:val="en-GB"/>
              </w:rPr>
              <w:t>riority</w:t>
            </w:r>
            <w:r w:rsidRPr="00D14C15">
              <w:rPr>
                <w:lang w:val="en-GB"/>
              </w:rPr>
              <w:t xml:space="preserve"> 1: </w:t>
            </w:r>
            <w:r w:rsidR="00AD70D1" w:rsidRPr="00FC79FA">
              <w:rPr>
                <w:lang w:val="en-GB"/>
              </w:rPr>
              <w:t>Innovative knowledge-based society</w:t>
            </w:r>
            <w:r w:rsidR="00AD70D1">
              <w:rPr>
                <w:lang w:val="en-GB"/>
              </w:rPr>
              <w:t xml:space="preserve"> </w:t>
            </w:r>
            <w:r w:rsidRPr="00D14C15">
              <w:rPr>
                <w:lang w:val="en-GB"/>
              </w:rPr>
              <w:t xml:space="preserve"> </w:t>
            </w:r>
          </w:p>
          <w:p w14:paraId="14593FBB" w14:textId="77777777" w:rsidR="0076298E" w:rsidRPr="00D14C15" w:rsidRDefault="0076298E">
            <w:pPr>
              <w:ind w:left="37"/>
              <w:rPr>
                <w:lang w:val="en-GB"/>
              </w:rPr>
            </w:pPr>
          </w:p>
          <w:p w14:paraId="3EEEA387" w14:textId="77777777" w:rsidR="0076298E" w:rsidRPr="00D14C15" w:rsidRDefault="0032633A" w:rsidP="00DE64C4">
            <w:pPr>
              <w:ind w:left="37"/>
              <w:rPr>
                <w:lang w:val="en-GB"/>
              </w:rPr>
            </w:pPr>
            <w:r w:rsidRPr="00D14C15">
              <w:rPr>
                <w:lang w:val="en-GB"/>
              </w:rPr>
              <w:t>RSO1.1: Develop</w:t>
            </w:r>
            <w:r w:rsidR="00DE64C4">
              <w:rPr>
                <w:lang w:val="en-GB"/>
              </w:rPr>
              <w:t xml:space="preserve">ing </w:t>
            </w:r>
            <w:r w:rsidRPr="00D14C15">
              <w:rPr>
                <w:lang w:val="en-GB"/>
              </w:rPr>
              <w:t xml:space="preserve">and </w:t>
            </w:r>
            <w:r w:rsidR="00DE64C4">
              <w:rPr>
                <w:lang w:val="en-GB"/>
              </w:rPr>
              <w:t xml:space="preserve">enhancing </w:t>
            </w:r>
            <w:r w:rsidRPr="00D14C15">
              <w:rPr>
                <w:lang w:val="en-GB"/>
              </w:rPr>
              <w:t>research and innovation capacit</w:t>
            </w:r>
            <w:r w:rsidR="00DE64C4">
              <w:rPr>
                <w:lang w:val="en-GB"/>
              </w:rPr>
              <w:t>ies</w:t>
            </w:r>
            <w:r w:rsidRPr="00D14C15">
              <w:rPr>
                <w:lang w:val="en-GB"/>
              </w:rPr>
              <w:t xml:space="preserve"> and</w:t>
            </w:r>
            <w:r w:rsidR="00DE64C4">
              <w:rPr>
                <w:lang w:val="en-GB"/>
              </w:rPr>
              <w:t xml:space="preserve"> the uptake </w:t>
            </w:r>
            <w:r w:rsidRPr="00D14C15">
              <w:rPr>
                <w:lang w:val="en-GB"/>
              </w:rPr>
              <w:t>of advanced technologies</w:t>
            </w:r>
          </w:p>
        </w:tc>
        <w:tc>
          <w:tcPr>
            <w:tcW w:w="8647" w:type="dxa"/>
          </w:tcPr>
          <w:p w14:paraId="64044D87" w14:textId="77777777" w:rsidR="0076298E" w:rsidRPr="00D14C15" w:rsidRDefault="0032633A">
            <w:pPr>
              <w:pStyle w:val="TableParagraph"/>
              <w:ind w:left="104" w:right="67"/>
              <w:jc w:val="both"/>
              <w:rPr>
                <w:lang w:val="en-GB"/>
              </w:rPr>
            </w:pPr>
            <w:r w:rsidRPr="00D14C15">
              <w:rPr>
                <w:lang w:val="en-GB"/>
              </w:rPr>
              <w:t>While the intensity of private investment</w:t>
            </w:r>
            <w:r w:rsidR="00DB6B8F">
              <w:rPr>
                <w:lang w:val="en-GB"/>
              </w:rPr>
              <w:t xml:space="preserve"> in research and development</w:t>
            </w:r>
            <w:r w:rsidRPr="00D14C15">
              <w:rPr>
                <w:lang w:val="en-GB"/>
              </w:rPr>
              <w:t xml:space="preserve"> is the same as the EU average, modest public investment</w:t>
            </w:r>
            <w:r w:rsidR="00DB6B8F">
              <w:rPr>
                <w:lang w:val="en-GB"/>
              </w:rPr>
              <w:t xml:space="preserve"> in research and development</w:t>
            </w:r>
            <w:r w:rsidRPr="00D14C15">
              <w:rPr>
                <w:lang w:val="en-GB"/>
              </w:rPr>
              <w:t xml:space="preserve"> continues to </w:t>
            </w:r>
            <w:r w:rsidR="00DB6B8F">
              <w:rPr>
                <w:lang w:val="en-GB"/>
              </w:rPr>
              <w:t>hinder</w:t>
            </w:r>
            <w:r w:rsidRPr="00D14C15">
              <w:rPr>
                <w:lang w:val="en-GB"/>
              </w:rPr>
              <w:t xml:space="preserve"> </w:t>
            </w:r>
            <w:r w:rsidR="00DB6B8F">
              <w:rPr>
                <w:lang w:val="en-GB"/>
              </w:rPr>
              <w:t xml:space="preserve">the </w:t>
            </w:r>
            <w:r w:rsidRPr="00D14C15">
              <w:rPr>
                <w:lang w:val="en-GB"/>
              </w:rPr>
              <w:t xml:space="preserve">effectiveness of the </w:t>
            </w:r>
            <w:r w:rsidR="00DB6B8F">
              <w:rPr>
                <w:lang w:val="en-GB"/>
              </w:rPr>
              <w:t>research and development</w:t>
            </w:r>
            <w:r w:rsidRPr="00D14C15">
              <w:rPr>
                <w:lang w:val="en-GB"/>
              </w:rPr>
              <w:t xml:space="preserve"> system</w:t>
            </w:r>
            <w:r w:rsidRPr="00DB6B8F">
              <w:rPr>
                <w:vertAlign w:val="superscript"/>
                <w:lang w:val="en-GB"/>
              </w:rPr>
              <w:footnoteReference w:id="38"/>
            </w:r>
            <w:r w:rsidRPr="00D14C15">
              <w:rPr>
                <w:lang w:val="en-GB"/>
              </w:rPr>
              <w:t xml:space="preserve">. </w:t>
            </w:r>
            <w:r w:rsidR="00087599">
              <w:rPr>
                <w:lang w:val="en-GB"/>
              </w:rPr>
              <w:t xml:space="preserve">In terms of the </w:t>
            </w:r>
            <w:r w:rsidRPr="00D14C15">
              <w:rPr>
                <w:lang w:val="en-GB"/>
              </w:rPr>
              <w:t>EII index, Slovenia slipped from 12</w:t>
            </w:r>
            <w:r w:rsidR="00087599" w:rsidRPr="00087599">
              <w:rPr>
                <w:vertAlign w:val="superscript"/>
                <w:lang w:val="en-GB"/>
              </w:rPr>
              <w:t>th</w:t>
            </w:r>
            <w:r w:rsidR="00087599">
              <w:rPr>
                <w:lang w:val="en-GB"/>
              </w:rPr>
              <w:t xml:space="preserve"> </w:t>
            </w:r>
            <w:r w:rsidRPr="00D14C15">
              <w:rPr>
                <w:lang w:val="en-GB"/>
              </w:rPr>
              <w:t>to 15</w:t>
            </w:r>
            <w:r w:rsidR="00087599" w:rsidRPr="00087599">
              <w:rPr>
                <w:vertAlign w:val="superscript"/>
                <w:lang w:val="en-GB"/>
              </w:rPr>
              <w:t>th</w:t>
            </w:r>
            <w:r w:rsidR="00087599">
              <w:rPr>
                <w:lang w:val="en-GB"/>
              </w:rPr>
              <w:t xml:space="preserve"> </w:t>
            </w:r>
            <w:r w:rsidRPr="00D14C15">
              <w:rPr>
                <w:lang w:val="en-GB"/>
              </w:rPr>
              <w:t xml:space="preserve">place in 2019 </w:t>
            </w:r>
            <w:r w:rsidR="00087599">
              <w:rPr>
                <w:lang w:val="en-GB"/>
              </w:rPr>
              <w:t>becoming a moderate innovator</w:t>
            </w:r>
            <w:r w:rsidRPr="00D14C15">
              <w:rPr>
                <w:lang w:val="en-GB"/>
              </w:rPr>
              <w:t xml:space="preserve">, </w:t>
            </w:r>
            <w:r w:rsidR="00087599">
              <w:rPr>
                <w:lang w:val="en-GB"/>
              </w:rPr>
              <w:t xml:space="preserve">where it remains in </w:t>
            </w:r>
            <w:r w:rsidRPr="00D14C15">
              <w:rPr>
                <w:lang w:val="en-GB"/>
              </w:rPr>
              <w:t>2021</w:t>
            </w:r>
            <w:r w:rsidRPr="00087599">
              <w:rPr>
                <w:vertAlign w:val="superscript"/>
                <w:lang w:val="en-GB"/>
              </w:rPr>
              <w:footnoteReference w:id="39"/>
            </w:r>
            <w:r w:rsidRPr="00D14C15">
              <w:rPr>
                <w:lang w:val="en-GB"/>
              </w:rPr>
              <w:t xml:space="preserve">. The EU Council Recommendation stresses that limited </w:t>
            </w:r>
            <w:r w:rsidR="00087599">
              <w:rPr>
                <w:lang w:val="en-GB"/>
              </w:rPr>
              <w:t>investment</w:t>
            </w:r>
            <w:r w:rsidRPr="00D14C15">
              <w:rPr>
                <w:lang w:val="en-GB"/>
              </w:rPr>
              <w:t xml:space="preserve"> and poor cooperation between science and the economy in Slovenia </w:t>
            </w:r>
            <w:r w:rsidR="00087599">
              <w:rPr>
                <w:lang w:val="en-GB"/>
              </w:rPr>
              <w:t>slows down</w:t>
            </w:r>
            <w:r w:rsidRPr="00D14C15">
              <w:rPr>
                <w:lang w:val="en-GB"/>
              </w:rPr>
              <w:t xml:space="preserve"> </w:t>
            </w:r>
            <w:r w:rsidR="00087599">
              <w:rPr>
                <w:lang w:val="en-GB"/>
              </w:rPr>
              <w:t xml:space="preserve">the </w:t>
            </w:r>
            <w:r w:rsidRPr="00D14C15">
              <w:rPr>
                <w:lang w:val="en-GB"/>
              </w:rPr>
              <w:t xml:space="preserve">creation and growth of innovative enterprises. </w:t>
            </w:r>
          </w:p>
          <w:p w14:paraId="141F2BEE" w14:textId="77777777" w:rsidR="0076298E" w:rsidRPr="00D14C15" w:rsidRDefault="0076298E">
            <w:pPr>
              <w:pStyle w:val="TableParagraph"/>
              <w:ind w:left="104" w:right="67"/>
              <w:jc w:val="both"/>
              <w:rPr>
                <w:lang w:val="en-GB"/>
              </w:rPr>
            </w:pPr>
          </w:p>
          <w:p w14:paraId="0AE514EB" w14:textId="77777777" w:rsidR="0076298E" w:rsidRPr="00D14C15" w:rsidRDefault="00087599">
            <w:pPr>
              <w:pStyle w:val="TableParagraph"/>
              <w:ind w:left="104" w:right="67"/>
              <w:jc w:val="both"/>
              <w:rPr>
                <w:lang w:val="en-GB"/>
              </w:rPr>
            </w:pPr>
            <w:r>
              <w:rPr>
                <w:lang w:val="en-GB"/>
              </w:rPr>
              <w:t xml:space="preserve">For </w:t>
            </w:r>
            <w:r w:rsidR="0032633A" w:rsidRPr="00D14C15">
              <w:rPr>
                <w:lang w:val="en-GB"/>
              </w:rPr>
              <w:t>Slovenia to</w:t>
            </w:r>
            <w:r>
              <w:rPr>
                <w:lang w:val="en-GB"/>
              </w:rPr>
              <w:t xml:space="preserve"> become a</w:t>
            </w:r>
            <w:r w:rsidR="0032633A" w:rsidRPr="00D14C15">
              <w:rPr>
                <w:lang w:val="en-GB"/>
              </w:rPr>
              <w:t xml:space="preserve"> strong innovator</w:t>
            </w:r>
            <w:r w:rsidR="00C6140E">
              <w:rPr>
                <w:lang w:val="en-GB"/>
              </w:rPr>
              <w:t>,</w:t>
            </w:r>
            <w:r w:rsidR="00C918C4">
              <w:rPr>
                <w:lang w:val="en-GB"/>
              </w:rPr>
              <w:t xml:space="preserve"> the country</w:t>
            </w:r>
            <w:r>
              <w:rPr>
                <w:lang w:val="en-GB"/>
              </w:rPr>
              <w:t xml:space="preserve"> should </w:t>
            </w:r>
            <w:r w:rsidR="0032633A" w:rsidRPr="00D14C15">
              <w:rPr>
                <w:lang w:val="en-GB"/>
              </w:rPr>
              <w:t>improve the RD</w:t>
            </w:r>
            <w:r>
              <w:rPr>
                <w:lang w:val="en-GB"/>
              </w:rPr>
              <w:t>I</w:t>
            </w:r>
            <w:r w:rsidR="00C6140E">
              <w:rPr>
                <w:lang w:val="en-GB"/>
              </w:rPr>
              <w:t xml:space="preserve"> ecosystem and provide </w:t>
            </w:r>
            <w:r w:rsidR="0032633A" w:rsidRPr="00D14C15">
              <w:rPr>
                <w:lang w:val="en-GB"/>
              </w:rPr>
              <w:t xml:space="preserve">coordinated and stable incentives to invest in </w:t>
            </w:r>
            <w:r w:rsidR="00C6140E">
              <w:rPr>
                <w:lang w:val="en-GB"/>
              </w:rPr>
              <w:t>RDI</w:t>
            </w:r>
            <w:r w:rsidR="0032633A" w:rsidRPr="00D14C15">
              <w:rPr>
                <w:lang w:val="en-GB"/>
              </w:rPr>
              <w:t xml:space="preserve">. Public expenditure on RDI should increase to at least 1% of GDP, giving priority to public investment in technological and applied research, with a focus on strengthening science-economy cooperation, which is now largely confined to medium and high-tech sectors, and on the use of advanced technologies. By increasing RDI investments, we also need to improve scientific excellence (as measured by the share of publications among the 10% </w:t>
            </w:r>
            <w:r w:rsidR="00C6140E">
              <w:rPr>
                <w:lang w:val="en-GB"/>
              </w:rPr>
              <w:t xml:space="preserve">of the </w:t>
            </w:r>
            <w:r w:rsidR="0032633A" w:rsidRPr="00D14C15">
              <w:rPr>
                <w:lang w:val="en-GB"/>
              </w:rPr>
              <w:t>most frequently cited publications worldwide), where Slovenia lags behind the EU average (17</w:t>
            </w:r>
            <w:r w:rsidR="0032633A" w:rsidRPr="00C6140E">
              <w:rPr>
                <w:vertAlign w:val="superscript"/>
                <w:lang w:val="en-GB"/>
              </w:rPr>
              <w:t>th</w:t>
            </w:r>
            <w:r w:rsidR="0032633A" w:rsidRPr="00D14C15">
              <w:rPr>
                <w:lang w:val="en-GB"/>
              </w:rPr>
              <w:t xml:space="preserve"> place) in the attractiveness of the research system </w:t>
            </w:r>
            <w:r w:rsidR="00C918C4">
              <w:rPr>
                <w:lang w:val="en-GB"/>
              </w:rPr>
              <w:t xml:space="preserve">in terms of the </w:t>
            </w:r>
            <w:r w:rsidR="0032633A" w:rsidRPr="00D14C15">
              <w:rPr>
                <w:lang w:val="en-GB"/>
              </w:rPr>
              <w:t xml:space="preserve">EII for 2021. While the number of researchers has increased significantly over the last decade, especially as a result of more favourable developments in the private sector, with the highest number of researchers employed, we are still lagging behind the EU average. In the public sector, developments are largely unfavourable, mainly due to employment constraints. </w:t>
            </w:r>
          </w:p>
          <w:p w14:paraId="11602B7A" w14:textId="77777777" w:rsidR="0076298E" w:rsidRPr="00D14C15" w:rsidRDefault="0076298E">
            <w:pPr>
              <w:pStyle w:val="TableParagraph"/>
              <w:ind w:left="104" w:right="67"/>
              <w:jc w:val="both"/>
              <w:rPr>
                <w:lang w:val="en-GB"/>
              </w:rPr>
            </w:pPr>
          </w:p>
          <w:p w14:paraId="3170B253" w14:textId="77777777" w:rsidR="0076298E" w:rsidRPr="00D14C15" w:rsidRDefault="0032633A">
            <w:pPr>
              <w:pStyle w:val="TableParagraph"/>
              <w:ind w:left="104" w:right="67"/>
              <w:jc w:val="both"/>
              <w:rPr>
                <w:lang w:val="en-GB"/>
              </w:rPr>
            </w:pPr>
            <w:r w:rsidRPr="00D14C15">
              <w:rPr>
                <w:lang w:val="en-GB"/>
              </w:rPr>
              <w:t xml:space="preserve">Research infrastructure is </w:t>
            </w:r>
            <w:r w:rsidR="00C6140E">
              <w:rPr>
                <w:lang w:val="en-GB"/>
              </w:rPr>
              <w:t>decrepit</w:t>
            </w:r>
            <w:r w:rsidRPr="00D14C15">
              <w:rPr>
                <w:lang w:val="en-GB"/>
              </w:rPr>
              <w:t>, fail</w:t>
            </w:r>
            <w:r w:rsidR="00C6140E">
              <w:rPr>
                <w:lang w:val="en-GB"/>
              </w:rPr>
              <w:t>ing</w:t>
            </w:r>
            <w:r w:rsidRPr="00D14C15">
              <w:rPr>
                <w:lang w:val="en-GB"/>
              </w:rPr>
              <w:t xml:space="preserve"> to meet safety requirements (fire, earthquake, accessibility for physica</w:t>
            </w:r>
            <w:r w:rsidR="00C918C4">
              <w:rPr>
                <w:lang w:val="en-GB"/>
              </w:rPr>
              <w:t>lly handicapped, energy saving)</w:t>
            </w:r>
            <w:r w:rsidRPr="00D14C15">
              <w:rPr>
                <w:lang w:val="en-GB"/>
              </w:rPr>
              <w:t xml:space="preserve"> and spatially inadequate, which prevents development and limits the absorption capacity of research organisations as a key partner in research and innovation projects.</w:t>
            </w:r>
          </w:p>
          <w:p w14:paraId="4B75ED2C" w14:textId="77777777" w:rsidR="0076298E" w:rsidRPr="00D14C15" w:rsidRDefault="0076298E">
            <w:pPr>
              <w:pStyle w:val="TableParagraph"/>
              <w:ind w:left="104" w:right="67"/>
              <w:jc w:val="both"/>
              <w:rPr>
                <w:lang w:val="en-GB"/>
              </w:rPr>
            </w:pPr>
          </w:p>
          <w:p w14:paraId="061894B8" w14:textId="77777777" w:rsidR="00727073" w:rsidRDefault="0032633A">
            <w:pPr>
              <w:pStyle w:val="TableParagraph"/>
              <w:ind w:left="104" w:right="67"/>
              <w:jc w:val="both"/>
              <w:rPr>
                <w:lang w:val="en-GB"/>
              </w:rPr>
            </w:pPr>
            <w:r w:rsidRPr="00D14C15">
              <w:rPr>
                <w:lang w:val="en-GB"/>
              </w:rPr>
              <w:t xml:space="preserve">The differences in innovation performance between </w:t>
            </w:r>
            <w:r w:rsidR="006D642C">
              <w:rPr>
                <w:lang w:val="en-GB"/>
              </w:rPr>
              <w:t>the Eastern Slovenia cohesion region</w:t>
            </w:r>
            <w:r w:rsidRPr="00D14C15">
              <w:rPr>
                <w:lang w:val="en-GB"/>
              </w:rPr>
              <w:t xml:space="preserve"> and </w:t>
            </w:r>
            <w:r w:rsidR="006D642C">
              <w:rPr>
                <w:rFonts w:eastAsia="Calibri"/>
                <w:lang w:val="en-GB"/>
              </w:rPr>
              <w:t xml:space="preserve">the </w:t>
            </w:r>
            <w:r w:rsidR="006D642C">
              <w:rPr>
                <w:rFonts w:eastAsia="Calibri"/>
                <w:lang w:val="en-GB"/>
              </w:rPr>
              <w:lastRenderedPageBreak/>
              <w:t>Western Slovenia cohesion region</w:t>
            </w:r>
            <w:r w:rsidR="006D642C">
              <w:rPr>
                <w:lang w:val="en-GB"/>
              </w:rPr>
              <w:t xml:space="preserve"> </w:t>
            </w:r>
            <w:r w:rsidR="00C6140E">
              <w:rPr>
                <w:lang w:val="en-GB"/>
              </w:rPr>
              <w:t>hinder</w:t>
            </w:r>
            <w:r w:rsidRPr="00D14C15">
              <w:rPr>
                <w:lang w:val="en-GB"/>
              </w:rPr>
              <w:t xml:space="preserve"> cooperation and networking. </w:t>
            </w:r>
            <w:r w:rsidR="00C6140E">
              <w:rPr>
                <w:lang w:val="en-GB"/>
              </w:rPr>
              <w:t xml:space="preserve">In the period </w:t>
            </w:r>
            <w:r w:rsidR="00C6140E" w:rsidRPr="00D14C15">
              <w:rPr>
                <w:lang w:val="en-GB"/>
              </w:rPr>
              <w:t>between 2010 an</w:t>
            </w:r>
            <w:r w:rsidR="00C6140E">
              <w:rPr>
                <w:lang w:val="en-GB"/>
              </w:rPr>
              <w:t>d 2017, l</w:t>
            </w:r>
            <w:r w:rsidRPr="00D14C15">
              <w:rPr>
                <w:lang w:val="en-GB"/>
              </w:rPr>
              <w:t xml:space="preserve">abour productivity grew </w:t>
            </w:r>
            <w:r w:rsidR="00C918C4">
              <w:rPr>
                <w:lang w:val="en-GB"/>
              </w:rPr>
              <w:t>by</w:t>
            </w:r>
            <w:r w:rsidRPr="00D14C15">
              <w:rPr>
                <w:lang w:val="en-GB"/>
              </w:rPr>
              <w:t xml:space="preserve"> 1.4% </w:t>
            </w:r>
            <w:r w:rsidR="00C918C4">
              <w:rPr>
                <w:lang w:val="en-GB"/>
              </w:rPr>
              <w:t>annually</w:t>
            </w:r>
            <w:r w:rsidRPr="00D14C15">
              <w:rPr>
                <w:lang w:val="en-GB"/>
              </w:rPr>
              <w:t xml:space="preserve"> in </w:t>
            </w:r>
            <w:r w:rsidR="006D642C">
              <w:rPr>
                <w:lang w:val="en-GB"/>
              </w:rPr>
              <w:t>the Eastern Slovenia cohesion region</w:t>
            </w:r>
            <w:r w:rsidR="006D642C" w:rsidRPr="00D14C15">
              <w:rPr>
                <w:lang w:val="en-GB"/>
              </w:rPr>
              <w:t xml:space="preserve"> </w:t>
            </w:r>
            <w:r w:rsidR="00C6140E">
              <w:rPr>
                <w:lang w:val="en-GB"/>
              </w:rPr>
              <w:t xml:space="preserve">and 1% in </w:t>
            </w:r>
            <w:r w:rsidR="006D642C">
              <w:rPr>
                <w:rFonts w:eastAsia="Calibri"/>
                <w:lang w:val="en-GB"/>
              </w:rPr>
              <w:t>the Western Slovenia cohesion region</w:t>
            </w:r>
            <w:r w:rsidR="006D642C">
              <w:rPr>
                <w:lang w:val="en-GB"/>
              </w:rPr>
              <w:t xml:space="preserve"> </w:t>
            </w:r>
            <w:r w:rsidR="00C6140E">
              <w:rPr>
                <w:lang w:val="en-GB"/>
              </w:rPr>
              <w:t>(EU average 0.8</w:t>
            </w:r>
            <w:r w:rsidRPr="00D14C15">
              <w:rPr>
                <w:lang w:val="en-GB"/>
              </w:rPr>
              <w:t xml:space="preserve">%), but the gap remains </w:t>
            </w:r>
            <w:r w:rsidR="00C6140E">
              <w:rPr>
                <w:lang w:val="en-GB"/>
              </w:rPr>
              <w:t>too strong</w:t>
            </w:r>
            <w:r w:rsidRPr="00D14C15">
              <w:rPr>
                <w:lang w:val="en-GB"/>
              </w:rPr>
              <w:t xml:space="preserve"> to close </w:t>
            </w:r>
            <w:r w:rsidR="00FA55B5">
              <w:rPr>
                <w:lang w:val="en-GB"/>
              </w:rPr>
              <w:t>it</w:t>
            </w:r>
            <w:r w:rsidRPr="00D14C15">
              <w:rPr>
                <w:lang w:val="en-GB"/>
              </w:rPr>
              <w:t xml:space="preserve"> </w:t>
            </w:r>
            <w:r w:rsidR="00C6140E">
              <w:rPr>
                <w:lang w:val="en-GB"/>
              </w:rPr>
              <w:t>and reach</w:t>
            </w:r>
            <w:r w:rsidRPr="00D14C15">
              <w:rPr>
                <w:lang w:val="en-GB"/>
              </w:rPr>
              <w:t xml:space="preserve"> the EU average in a relatively short period of time</w:t>
            </w:r>
            <w:r w:rsidR="00727073">
              <w:rPr>
                <w:lang w:val="en-GB"/>
              </w:rPr>
              <w:t>.</w:t>
            </w:r>
          </w:p>
          <w:p w14:paraId="780E0140" w14:textId="77777777" w:rsidR="00727073" w:rsidRDefault="00727073">
            <w:pPr>
              <w:pStyle w:val="TableParagraph"/>
              <w:ind w:left="104" w:right="67"/>
              <w:jc w:val="both"/>
              <w:rPr>
                <w:lang w:val="en-GB"/>
              </w:rPr>
            </w:pPr>
          </w:p>
          <w:p w14:paraId="4C52ED1C" w14:textId="77777777" w:rsidR="0076298E" w:rsidRPr="00E721FA" w:rsidRDefault="00A82FD2" w:rsidP="00A82FD2">
            <w:pPr>
              <w:pStyle w:val="TableParagraph"/>
              <w:ind w:left="104" w:right="67"/>
              <w:jc w:val="both"/>
              <w:rPr>
                <w:lang w:val="en-GB"/>
              </w:rPr>
            </w:pPr>
            <w:r>
              <w:rPr>
                <w:lang w:val="en-GB"/>
              </w:rPr>
              <w:t>We will use g</w:t>
            </w:r>
            <w:r w:rsidR="008B3E7D">
              <w:rPr>
                <w:lang w:val="en-GB"/>
              </w:rPr>
              <w:t>rants and reimbursable funds. A</w:t>
            </w:r>
            <w:r w:rsidR="00E721FA">
              <w:rPr>
                <w:lang w:val="en-GB"/>
              </w:rPr>
              <w:t xml:space="preserve"> detailed justification is given in Chapter 2</w:t>
            </w:r>
            <w:r w:rsidR="0032633A" w:rsidRPr="00D14C15">
              <w:rPr>
                <w:lang w:val="en-GB"/>
              </w:rPr>
              <w:t>.</w:t>
            </w:r>
          </w:p>
        </w:tc>
      </w:tr>
      <w:tr w:rsidR="0076298E" w:rsidRPr="00D14C15" w14:paraId="7E784221" w14:textId="77777777" w:rsidTr="00E1518F">
        <w:trPr>
          <w:trHeight w:val="599"/>
        </w:trPr>
        <w:tc>
          <w:tcPr>
            <w:tcW w:w="2268" w:type="dxa"/>
            <w:vMerge/>
          </w:tcPr>
          <w:p w14:paraId="710A7689" w14:textId="77777777" w:rsidR="0076298E" w:rsidRPr="00D14C15" w:rsidRDefault="0076298E">
            <w:pPr>
              <w:pStyle w:val="TableParagraph"/>
              <w:ind w:left="115"/>
              <w:rPr>
                <w:lang w:val="en-GB"/>
              </w:rPr>
            </w:pPr>
          </w:p>
        </w:tc>
        <w:tc>
          <w:tcPr>
            <w:tcW w:w="3119" w:type="dxa"/>
          </w:tcPr>
          <w:p w14:paraId="397257E3" w14:textId="77777777" w:rsidR="0076298E" w:rsidRPr="00D14C15" w:rsidRDefault="00E60E6E">
            <w:pPr>
              <w:pStyle w:val="P68B1DB1-Navaden1"/>
              <w:ind w:left="37"/>
              <w:rPr>
                <w:lang w:val="en-GB"/>
              </w:rPr>
            </w:pPr>
            <w:r>
              <w:rPr>
                <w:lang w:val="en-GB"/>
              </w:rPr>
              <w:t>P</w:t>
            </w:r>
            <w:r w:rsidR="002B47E4">
              <w:rPr>
                <w:lang w:val="en-GB"/>
              </w:rPr>
              <w:t xml:space="preserve">riority </w:t>
            </w:r>
            <w:r w:rsidR="0032633A" w:rsidRPr="00D14C15">
              <w:rPr>
                <w:lang w:val="en-GB"/>
              </w:rPr>
              <w:t>1:</w:t>
            </w:r>
            <w:r w:rsidR="00FA55B5">
              <w:rPr>
                <w:lang w:val="en-GB"/>
              </w:rPr>
              <w:t xml:space="preserve"> Innovative knowledge-based society </w:t>
            </w:r>
            <w:r w:rsidR="0032633A" w:rsidRPr="00D14C15">
              <w:rPr>
                <w:lang w:val="en-GB"/>
              </w:rPr>
              <w:t xml:space="preserve"> </w:t>
            </w:r>
          </w:p>
          <w:p w14:paraId="72A26B84" w14:textId="77777777" w:rsidR="0076298E" w:rsidRPr="00D14C15" w:rsidRDefault="0076298E">
            <w:pPr>
              <w:ind w:left="37"/>
              <w:rPr>
                <w:lang w:val="en-GB"/>
              </w:rPr>
            </w:pPr>
          </w:p>
          <w:p w14:paraId="5C038ECD" w14:textId="77777777" w:rsidR="0076298E" w:rsidRPr="00D14C15" w:rsidRDefault="0032633A" w:rsidP="00C6140E">
            <w:pPr>
              <w:ind w:left="37"/>
              <w:rPr>
                <w:rFonts w:eastAsia="Calibri"/>
                <w:lang w:val="en-GB"/>
              </w:rPr>
            </w:pPr>
            <w:r w:rsidRPr="00D14C15">
              <w:rPr>
                <w:lang w:val="en-GB"/>
              </w:rPr>
              <w:t xml:space="preserve">RSO1.2: Reaping the benefits of digitalisation for citizens, </w:t>
            </w:r>
            <w:r w:rsidR="00C6140E">
              <w:rPr>
                <w:lang w:val="en-GB"/>
              </w:rPr>
              <w:t>companies</w:t>
            </w:r>
            <w:r w:rsidRPr="00D14C15">
              <w:rPr>
                <w:lang w:val="en-GB"/>
              </w:rPr>
              <w:t>, research organisations and public authorities</w:t>
            </w:r>
          </w:p>
        </w:tc>
        <w:tc>
          <w:tcPr>
            <w:tcW w:w="8647" w:type="dxa"/>
          </w:tcPr>
          <w:p w14:paraId="0F8A4563" w14:textId="77777777" w:rsidR="0076298E" w:rsidRPr="00D14C15" w:rsidRDefault="00C6140E">
            <w:pPr>
              <w:ind w:left="105" w:right="62"/>
              <w:jc w:val="both"/>
              <w:rPr>
                <w:lang w:val="en-GB"/>
              </w:rPr>
            </w:pPr>
            <w:r>
              <w:rPr>
                <w:lang w:val="en-GB"/>
              </w:rPr>
              <w:t xml:space="preserve">In 2021, </w:t>
            </w:r>
            <w:r w:rsidR="0032633A" w:rsidRPr="00D14C15">
              <w:rPr>
                <w:lang w:val="en-GB"/>
              </w:rPr>
              <w:t>Slovenia rank</w:t>
            </w:r>
            <w:r w:rsidR="0042514F">
              <w:rPr>
                <w:lang w:val="en-GB"/>
              </w:rPr>
              <w:t>ed</w:t>
            </w:r>
            <w:r w:rsidR="0032633A" w:rsidRPr="00D14C15">
              <w:rPr>
                <w:lang w:val="en-GB"/>
              </w:rPr>
              <w:t xml:space="preserve"> 13</w:t>
            </w:r>
            <w:r w:rsidRPr="00C6140E">
              <w:rPr>
                <w:vertAlign w:val="superscript"/>
                <w:lang w:val="en-GB"/>
              </w:rPr>
              <w:t>th</w:t>
            </w:r>
            <w:r>
              <w:rPr>
                <w:lang w:val="en-GB"/>
              </w:rPr>
              <w:t xml:space="preserve"> </w:t>
            </w:r>
            <w:r w:rsidR="0032633A" w:rsidRPr="00D14C15">
              <w:rPr>
                <w:lang w:val="en-GB"/>
              </w:rPr>
              <w:t xml:space="preserve">among the 27 EU Member States </w:t>
            </w:r>
            <w:r w:rsidR="00FA55B5">
              <w:rPr>
                <w:lang w:val="en-GB"/>
              </w:rPr>
              <w:t xml:space="preserve">in terms of the </w:t>
            </w:r>
            <w:r w:rsidR="0032633A" w:rsidRPr="00D14C15">
              <w:rPr>
                <w:lang w:val="en-GB"/>
              </w:rPr>
              <w:t>DESI index</w:t>
            </w:r>
            <w:r w:rsidR="0032633A" w:rsidRPr="00D14C15">
              <w:rPr>
                <w:rStyle w:val="Sprotnaopomba-sklic"/>
                <w:lang w:val="en-GB"/>
              </w:rPr>
              <w:footnoteReference w:id="40"/>
            </w:r>
            <w:r w:rsidR="0032633A" w:rsidRPr="00D14C15">
              <w:rPr>
                <w:lang w:val="en-GB"/>
              </w:rPr>
              <w:t xml:space="preserve">. In order to achieve the </w:t>
            </w:r>
            <w:r w:rsidR="0096638D">
              <w:rPr>
                <w:lang w:val="en-GB"/>
              </w:rPr>
              <w:t>S</w:t>
            </w:r>
            <w:r w:rsidR="00CE280E">
              <w:rPr>
                <w:lang w:val="en-GB"/>
              </w:rPr>
              <w:t>D</w:t>
            </w:r>
            <w:r w:rsidR="0096638D">
              <w:rPr>
                <w:lang w:val="en-GB"/>
              </w:rPr>
              <w:t>S</w:t>
            </w:r>
            <w:r w:rsidR="0032633A" w:rsidRPr="00D14C15">
              <w:rPr>
                <w:lang w:val="en-GB"/>
              </w:rPr>
              <w:t xml:space="preserve"> </w:t>
            </w:r>
            <w:r w:rsidR="00CE280E" w:rsidRPr="00D14C15">
              <w:rPr>
                <w:lang w:val="en-GB"/>
              </w:rPr>
              <w:t xml:space="preserve">2030 </w:t>
            </w:r>
            <w:r w:rsidR="0032633A" w:rsidRPr="00D14C15">
              <w:rPr>
                <w:lang w:val="en-GB"/>
              </w:rPr>
              <w:t xml:space="preserve">target, Slovenia </w:t>
            </w:r>
            <w:r w:rsidR="0096638D">
              <w:rPr>
                <w:lang w:val="en-GB"/>
              </w:rPr>
              <w:t>should</w:t>
            </w:r>
            <w:r w:rsidR="0032633A" w:rsidRPr="00D14C15">
              <w:rPr>
                <w:lang w:val="en-GB"/>
              </w:rPr>
              <w:t xml:space="preserve"> increase its investment in the most advanced digital technologies by more than 50% in line with the progress made in the last five years. In</w:t>
            </w:r>
            <w:r w:rsidR="00FA55B5">
              <w:rPr>
                <w:lang w:val="en-GB"/>
              </w:rPr>
              <w:t xml:space="preserve"> terms of </w:t>
            </w:r>
            <w:r w:rsidR="0032633A" w:rsidRPr="00D14C15">
              <w:rPr>
                <w:lang w:val="en-GB"/>
              </w:rPr>
              <w:t>human capital, Slovenia is gradually making progress, but still lags behind the EU av</w:t>
            </w:r>
            <w:r w:rsidR="0096638D">
              <w:rPr>
                <w:lang w:val="en-GB"/>
              </w:rPr>
              <w:t>erage in terms of I</w:t>
            </w:r>
            <w:r w:rsidR="0032633A" w:rsidRPr="00D14C15">
              <w:rPr>
                <w:lang w:val="en-GB"/>
              </w:rPr>
              <w:t xml:space="preserve">nternet use, the human capital dimension and the level of basic digital skills. Developments in digital public services have been somewhat encouraging in recent years, but </w:t>
            </w:r>
            <w:r w:rsidR="0096638D">
              <w:rPr>
                <w:lang w:val="en-GB"/>
              </w:rPr>
              <w:t xml:space="preserve">they </w:t>
            </w:r>
            <w:r w:rsidR="0032633A" w:rsidRPr="00D14C15">
              <w:rPr>
                <w:lang w:val="en-GB"/>
              </w:rPr>
              <w:t xml:space="preserve">mainly </w:t>
            </w:r>
            <w:r w:rsidR="0096638D">
              <w:rPr>
                <w:lang w:val="en-GB"/>
              </w:rPr>
              <w:t>relate to t</w:t>
            </w:r>
            <w:r w:rsidR="0032633A" w:rsidRPr="00D14C15">
              <w:rPr>
                <w:lang w:val="en-GB"/>
              </w:rPr>
              <w:t xml:space="preserve">he provision of digital public services (forms filled in in advance, </w:t>
            </w:r>
            <w:r w:rsidR="0096638D">
              <w:rPr>
                <w:lang w:val="en-GB"/>
              </w:rPr>
              <w:t>o</w:t>
            </w:r>
            <w:r w:rsidR="0032633A" w:rsidRPr="00D14C15">
              <w:rPr>
                <w:lang w:val="en-GB"/>
              </w:rPr>
              <w:t xml:space="preserve">nline provision of services, open data) </w:t>
            </w:r>
            <w:r w:rsidR="00FA55B5">
              <w:rPr>
                <w:lang w:val="en-GB"/>
              </w:rPr>
              <w:t xml:space="preserve">which are not used often by </w:t>
            </w:r>
            <w:r w:rsidR="0032633A" w:rsidRPr="00D14C15">
              <w:rPr>
                <w:lang w:val="en-GB"/>
              </w:rPr>
              <w:t xml:space="preserve">individuals and </w:t>
            </w:r>
            <w:r w:rsidR="0096638D">
              <w:rPr>
                <w:lang w:val="en-GB"/>
              </w:rPr>
              <w:t>companies.</w:t>
            </w:r>
            <w:r w:rsidR="0032633A" w:rsidRPr="00D14C15">
              <w:rPr>
                <w:rStyle w:val="Sprotnaopomba-sklic"/>
                <w:lang w:val="en-GB"/>
              </w:rPr>
              <w:footnoteReference w:id="41"/>
            </w:r>
            <w:r w:rsidR="0096638D">
              <w:rPr>
                <w:lang w:val="en-GB"/>
              </w:rPr>
              <w:t xml:space="preserve"> D</w:t>
            </w:r>
            <w:r w:rsidR="0032633A" w:rsidRPr="00D14C15">
              <w:rPr>
                <w:lang w:val="en-GB"/>
              </w:rPr>
              <w:t xml:space="preserve">igital public services for </w:t>
            </w:r>
            <w:r w:rsidR="0096638D">
              <w:rPr>
                <w:lang w:val="en-GB"/>
              </w:rPr>
              <w:t>companies</w:t>
            </w:r>
            <w:r w:rsidR="0032633A" w:rsidRPr="00D14C15">
              <w:rPr>
                <w:lang w:val="en-GB"/>
              </w:rPr>
              <w:t xml:space="preserve"> </w:t>
            </w:r>
            <w:r w:rsidR="0096638D">
              <w:rPr>
                <w:lang w:val="en-GB"/>
              </w:rPr>
              <w:t xml:space="preserve">remains a challenge to be addressed. </w:t>
            </w:r>
            <w:r w:rsidR="0032633A" w:rsidRPr="00D14C15">
              <w:rPr>
                <w:lang w:val="en-GB"/>
              </w:rPr>
              <w:t xml:space="preserve"> </w:t>
            </w:r>
          </w:p>
          <w:p w14:paraId="4694A48E" w14:textId="77777777" w:rsidR="0076298E" w:rsidRPr="00D14C15" w:rsidRDefault="0076298E">
            <w:pPr>
              <w:ind w:left="105" w:right="62"/>
              <w:jc w:val="both"/>
              <w:rPr>
                <w:lang w:val="en-GB"/>
              </w:rPr>
            </w:pPr>
          </w:p>
          <w:p w14:paraId="4F79C143" w14:textId="77777777" w:rsidR="0076298E" w:rsidRPr="00D14C15" w:rsidRDefault="0032633A">
            <w:pPr>
              <w:ind w:left="105" w:right="62"/>
              <w:jc w:val="both"/>
              <w:rPr>
                <w:lang w:val="en-GB"/>
              </w:rPr>
            </w:pPr>
            <w:r w:rsidRPr="00D14C15">
              <w:rPr>
                <w:lang w:val="en-GB"/>
              </w:rPr>
              <w:t>Slovenian companies take advantage of the opportunities offered by the electro</w:t>
            </w:r>
            <w:r w:rsidR="0096638D">
              <w:rPr>
                <w:lang w:val="en-GB"/>
              </w:rPr>
              <w:t>nic exchange of information (33% of companies use it; EU 34%) and social media (24</w:t>
            </w:r>
            <w:r w:rsidRPr="00D14C15">
              <w:rPr>
                <w:lang w:val="en-GB"/>
              </w:rPr>
              <w:t xml:space="preserve">% of </w:t>
            </w:r>
            <w:r w:rsidR="0096638D">
              <w:rPr>
                <w:lang w:val="en-GB"/>
              </w:rPr>
              <w:t>companies</w:t>
            </w:r>
            <w:r w:rsidR="00FA55B5">
              <w:rPr>
                <w:lang w:val="en-GB"/>
              </w:rPr>
              <w:t>; EU 25</w:t>
            </w:r>
            <w:r w:rsidRPr="00D14C15">
              <w:rPr>
                <w:lang w:val="en-GB"/>
              </w:rPr>
              <w:t>%</w:t>
            </w:r>
            <w:r w:rsidR="0096638D">
              <w:rPr>
                <w:lang w:val="en-GB"/>
              </w:rPr>
              <w:t>)</w:t>
            </w:r>
            <w:r w:rsidRPr="00D14C15">
              <w:rPr>
                <w:lang w:val="en-GB"/>
              </w:rPr>
              <w:t xml:space="preserve">. </w:t>
            </w:r>
            <w:r w:rsidR="0096638D">
              <w:rPr>
                <w:lang w:val="en-GB"/>
              </w:rPr>
              <w:t>In terms of using big data and</w:t>
            </w:r>
            <w:r w:rsidRPr="00D14C15">
              <w:rPr>
                <w:lang w:val="en-GB"/>
              </w:rPr>
              <w:t xml:space="preserve"> cloud services, SMEs selling online and e-commerce </w:t>
            </w:r>
            <w:r w:rsidR="0096638D">
              <w:rPr>
                <w:lang w:val="en-GB"/>
              </w:rPr>
              <w:t xml:space="preserve">is also </w:t>
            </w:r>
            <w:r w:rsidRPr="00D14C15">
              <w:rPr>
                <w:lang w:val="en-GB"/>
              </w:rPr>
              <w:t xml:space="preserve">close to the EU average. Slovenia has more than 40 years of </w:t>
            </w:r>
            <w:r w:rsidR="0096638D">
              <w:rPr>
                <w:lang w:val="en-GB"/>
              </w:rPr>
              <w:t xml:space="preserve">experience in </w:t>
            </w:r>
            <w:r w:rsidRPr="00D14C15">
              <w:rPr>
                <w:lang w:val="en-GB"/>
              </w:rPr>
              <w:t>developing a relatively good and successful research and educational environment and infrastructure in the field of artificial intelligence (hereinafter: AI) and</w:t>
            </w:r>
            <w:r w:rsidR="0096638D">
              <w:rPr>
                <w:lang w:val="en-GB"/>
              </w:rPr>
              <w:t xml:space="preserve"> h</w:t>
            </w:r>
            <w:r w:rsidRPr="00D14C15">
              <w:rPr>
                <w:lang w:val="en-GB"/>
              </w:rPr>
              <w:t xml:space="preserve">igh </w:t>
            </w:r>
            <w:r w:rsidR="0096638D">
              <w:rPr>
                <w:lang w:val="en-GB"/>
              </w:rPr>
              <w:t>performance c</w:t>
            </w:r>
            <w:r w:rsidRPr="00D14C15">
              <w:rPr>
                <w:lang w:val="en-GB"/>
              </w:rPr>
              <w:t xml:space="preserve">omputing and </w:t>
            </w:r>
            <w:r w:rsidR="0096638D">
              <w:rPr>
                <w:lang w:val="en-GB"/>
              </w:rPr>
              <w:t>big d</w:t>
            </w:r>
            <w:r w:rsidRPr="00D14C15">
              <w:rPr>
                <w:lang w:val="en-GB"/>
              </w:rPr>
              <w:t xml:space="preserve">ata. To remain at the top, </w:t>
            </w:r>
            <w:r w:rsidR="00B05E51">
              <w:rPr>
                <w:lang w:val="en-GB"/>
              </w:rPr>
              <w:t xml:space="preserve">the country </w:t>
            </w:r>
            <w:r w:rsidRPr="00D14C15">
              <w:rPr>
                <w:lang w:val="en-GB"/>
              </w:rPr>
              <w:t>need</w:t>
            </w:r>
            <w:r w:rsidR="00B05E51">
              <w:rPr>
                <w:lang w:val="en-GB"/>
              </w:rPr>
              <w:t>s</w:t>
            </w:r>
            <w:r w:rsidRPr="00D14C15">
              <w:rPr>
                <w:lang w:val="en-GB"/>
              </w:rPr>
              <w:t xml:space="preserve"> to </w:t>
            </w:r>
            <w:r w:rsidR="00B05E51">
              <w:rPr>
                <w:lang w:val="en-GB"/>
              </w:rPr>
              <w:t>allocate funding for</w:t>
            </w:r>
            <w:r w:rsidRPr="00D14C15">
              <w:rPr>
                <w:lang w:val="en-GB"/>
              </w:rPr>
              <w:t xml:space="preserve"> increasing investment for the development and deployment of advanced technologies (e.g. AI) and solutions </w:t>
            </w:r>
            <w:r w:rsidR="0096638D">
              <w:rPr>
                <w:lang w:val="en-GB"/>
              </w:rPr>
              <w:t>for</w:t>
            </w:r>
            <w:r w:rsidRPr="00D14C15">
              <w:rPr>
                <w:lang w:val="en-GB"/>
              </w:rPr>
              <w:t xml:space="preserve"> the economy and public administration. </w:t>
            </w:r>
          </w:p>
          <w:p w14:paraId="0CF813D7" w14:textId="77777777" w:rsidR="0076298E" w:rsidRPr="00D14C15" w:rsidRDefault="0076298E">
            <w:pPr>
              <w:ind w:left="105" w:right="62"/>
              <w:jc w:val="both"/>
              <w:rPr>
                <w:lang w:val="en-GB"/>
              </w:rPr>
            </w:pPr>
          </w:p>
          <w:p w14:paraId="241DD32F" w14:textId="77777777" w:rsidR="0076298E" w:rsidRPr="00D14C15" w:rsidRDefault="0032633A">
            <w:pPr>
              <w:ind w:left="105" w:right="62"/>
              <w:jc w:val="both"/>
              <w:rPr>
                <w:lang w:val="en-GB"/>
              </w:rPr>
            </w:pPr>
            <w:r w:rsidRPr="00D14C15">
              <w:rPr>
                <w:lang w:val="en-GB"/>
              </w:rPr>
              <w:t>In the first quarter of 2020</w:t>
            </w:r>
            <w:r w:rsidR="0096638D">
              <w:rPr>
                <w:lang w:val="en-GB"/>
              </w:rPr>
              <w:t>, 87</w:t>
            </w:r>
            <w:r w:rsidRPr="00D14C15">
              <w:rPr>
                <w:lang w:val="en-GB"/>
              </w:rPr>
              <w:t xml:space="preserve">% of people aged 16-74 used the </w:t>
            </w:r>
            <w:r w:rsidR="0096638D">
              <w:rPr>
                <w:lang w:val="en-GB"/>
              </w:rPr>
              <w:t>I</w:t>
            </w:r>
            <w:r w:rsidRPr="00D14C15">
              <w:rPr>
                <w:lang w:val="en-GB"/>
              </w:rPr>
              <w:t>nternet regularly.</w:t>
            </w:r>
            <w:r w:rsidR="0096638D">
              <w:rPr>
                <w:lang w:val="en-GB"/>
              </w:rPr>
              <w:t xml:space="preserve"> Despite the widespread use of I</w:t>
            </w:r>
            <w:r w:rsidRPr="00D14C15">
              <w:rPr>
                <w:lang w:val="en-GB"/>
              </w:rPr>
              <w:t>nternet services, we are facing a gap in digital services at community level and in narrower living environments. Local communities demonstrate digital needs mainly in the areas of infrastructure and energy efficiency (public lighting), effective land policy, efficient water use (water supply and treatment plants) in order to reduce water losses, in the field of tourism (in order to connect municipalities with common digital platforms), in the field of mobility and the circular economy.</w:t>
            </w:r>
          </w:p>
          <w:p w14:paraId="273B6EC5" w14:textId="77777777" w:rsidR="0076298E" w:rsidRPr="00D14C15" w:rsidRDefault="0076298E">
            <w:pPr>
              <w:ind w:left="105" w:right="62"/>
              <w:jc w:val="both"/>
              <w:rPr>
                <w:lang w:val="en-GB"/>
              </w:rPr>
            </w:pPr>
          </w:p>
          <w:p w14:paraId="2E1533FD" w14:textId="77777777" w:rsidR="0076298E" w:rsidRPr="00B05E51" w:rsidRDefault="00AC6618" w:rsidP="00B05E51">
            <w:pPr>
              <w:pStyle w:val="TableParagraph"/>
              <w:ind w:left="104" w:right="67"/>
              <w:jc w:val="both"/>
              <w:rPr>
                <w:highlight w:val="yellow"/>
                <w:lang w:val="en-GB"/>
              </w:rPr>
            </w:pPr>
            <w:r>
              <w:rPr>
                <w:lang w:val="en-GB"/>
              </w:rPr>
              <w:t>We will use grants</w:t>
            </w:r>
            <w:r w:rsidR="00B05E51">
              <w:rPr>
                <w:lang w:val="en-GB"/>
              </w:rPr>
              <w:t>. A detailed justification is given in Chapter 2.</w:t>
            </w:r>
          </w:p>
        </w:tc>
      </w:tr>
      <w:tr w:rsidR="0076298E" w:rsidRPr="00D14C15" w14:paraId="3B476918" w14:textId="77777777" w:rsidTr="00E1518F">
        <w:trPr>
          <w:trHeight w:val="599"/>
        </w:trPr>
        <w:tc>
          <w:tcPr>
            <w:tcW w:w="2268" w:type="dxa"/>
            <w:vMerge/>
          </w:tcPr>
          <w:p w14:paraId="668DE84B" w14:textId="77777777" w:rsidR="0076298E" w:rsidRPr="00D14C15" w:rsidRDefault="0076298E">
            <w:pPr>
              <w:pStyle w:val="TableParagraph"/>
              <w:ind w:left="115"/>
              <w:rPr>
                <w:lang w:val="en-GB"/>
              </w:rPr>
            </w:pPr>
          </w:p>
        </w:tc>
        <w:tc>
          <w:tcPr>
            <w:tcW w:w="3119" w:type="dxa"/>
          </w:tcPr>
          <w:p w14:paraId="6D156C45" w14:textId="77777777" w:rsidR="0076298E" w:rsidRPr="00D14C15" w:rsidRDefault="00E60E6E">
            <w:pPr>
              <w:pStyle w:val="P68B1DB1-Navaden1"/>
              <w:ind w:left="37"/>
              <w:rPr>
                <w:lang w:val="en-GB"/>
              </w:rPr>
            </w:pPr>
            <w:r>
              <w:rPr>
                <w:lang w:val="en-GB"/>
              </w:rPr>
              <w:t>P</w:t>
            </w:r>
            <w:r w:rsidR="002B47E4">
              <w:rPr>
                <w:lang w:val="en-GB"/>
              </w:rPr>
              <w:t xml:space="preserve">riority </w:t>
            </w:r>
            <w:r w:rsidR="0032633A" w:rsidRPr="00D14C15">
              <w:rPr>
                <w:lang w:val="en-GB"/>
              </w:rPr>
              <w:t xml:space="preserve">1: </w:t>
            </w:r>
            <w:r w:rsidR="00B3317E">
              <w:rPr>
                <w:lang w:val="en-GB"/>
              </w:rPr>
              <w:t>Innovative knowledge-based society</w:t>
            </w:r>
            <w:r w:rsidR="0032633A" w:rsidRPr="00D14C15">
              <w:rPr>
                <w:lang w:val="en-GB"/>
              </w:rPr>
              <w:t xml:space="preserve"> </w:t>
            </w:r>
          </w:p>
          <w:p w14:paraId="69E789E7" w14:textId="77777777" w:rsidR="0076298E" w:rsidRPr="00D14C15" w:rsidRDefault="0076298E">
            <w:pPr>
              <w:ind w:left="37"/>
              <w:rPr>
                <w:lang w:val="en-GB"/>
              </w:rPr>
            </w:pPr>
          </w:p>
          <w:p w14:paraId="72A2400D" w14:textId="77777777" w:rsidR="0076298E" w:rsidRPr="00D14C15" w:rsidRDefault="0032633A" w:rsidP="00D15D31">
            <w:pPr>
              <w:ind w:left="37"/>
              <w:rPr>
                <w:lang w:val="en-GB"/>
              </w:rPr>
            </w:pPr>
            <w:r w:rsidRPr="00D14C15">
              <w:rPr>
                <w:lang w:val="en-GB"/>
              </w:rPr>
              <w:t xml:space="preserve">RSO1.3: Enhancing sustainable growth and competitiveness of SMEs and job creation in SMEs, including </w:t>
            </w:r>
            <w:r w:rsidR="00D15D31">
              <w:rPr>
                <w:lang w:val="en-GB"/>
              </w:rPr>
              <w:t>by</w:t>
            </w:r>
            <w:r w:rsidRPr="00D14C15">
              <w:rPr>
                <w:lang w:val="en-GB"/>
              </w:rPr>
              <w:t xml:space="preserve"> productive investment</w:t>
            </w:r>
            <w:r w:rsidR="00D15D31">
              <w:rPr>
                <w:lang w:val="en-GB"/>
              </w:rPr>
              <w:t>s</w:t>
            </w:r>
          </w:p>
        </w:tc>
        <w:tc>
          <w:tcPr>
            <w:tcW w:w="8647" w:type="dxa"/>
          </w:tcPr>
          <w:p w14:paraId="55802A75" w14:textId="77777777" w:rsidR="0076298E" w:rsidRPr="00D14C15" w:rsidRDefault="008E655A">
            <w:pPr>
              <w:pStyle w:val="TableParagraph"/>
              <w:ind w:left="104" w:right="67"/>
              <w:jc w:val="both"/>
              <w:rPr>
                <w:lang w:val="en-GB"/>
              </w:rPr>
            </w:pPr>
            <w:r>
              <w:rPr>
                <w:lang w:val="en-GB"/>
              </w:rPr>
              <w:t>For several years now, e</w:t>
            </w:r>
            <w:r w:rsidRPr="00D14C15">
              <w:rPr>
                <w:lang w:val="en-GB"/>
              </w:rPr>
              <w:t xml:space="preserve">arly entrepreneurial activity </w:t>
            </w:r>
            <w:r>
              <w:rPr>
                <w:lang w:val="en-GB"/>
              </w:rPr>
              <w:t xml:space="preserve">has not been increasing </w:t>
            </w:r>
            <w:r w:rsidRPr="00D14C15">
              <w:rPr>
                <w:lang w:val="en-GB"/>
              </w:rPr>
              <w:t>in Slovenia</w:t>
            </w:r>
            <w:r>
              <w:rPr>
                <w:lang w:val="en-GB"/>
              </w:rPr>
              <w:t>.</w:t>
            </w:r>
            <w:r w:rsidR="0032633A" w:rsidRPr="00DF0666">
              <w:rPr>
                <w:vertAlign w:val="superscript"/>
                <w:lang w:val="en-GB"/>
              </w:rPr>
              <w:footnoteReference w:id="42"/>
            </w:r>
            <w:r w:rsidR="0032633A" w:rsidRPr="00D14C15">
              <w:rPr>
                <w:lang w:val="en-GB"/>
              </w:rPr>
              <w:t xml:space="preserve"> </w:t>
            </w:r>
            <w:r>
              <w:rPr>
                <w:lang w:val="en-GB"/>
              </w:rPr>
              <w:t xml:space="preserve">In </w:t>
            </w:r>
            <w:r w:rsidR="0032633A" w:rsidRPr="00D14C15">
              <w:rPr>
                <w:lang w:val="en-GB"/>
              </w:rPr>
              <w:t>2020</w:t>
            </w:r>
            <w:r>
              <w:rPr>
                <w:lang w:val="en-GB"/>
              </w:rPr>
              <w:t>,</w:t>
            </w:r>
            <w:r w:rsidR="0032633A" w:rsidRPr="00D14C15">
              <w:rPr>
                <w:lang w:val="en-GB"/>
              </w:rPr>
              <w:t xml:space="preserve"> </w:t>
            </w:r>
            <w:r w:rsidR="00DF0666">
              <w:rPr>
                <w:lang w:val="en-GB"/>
              </w:rPr>
              <w:t>Slovenia rank</w:t>
            </w:r>
            <w:r>
              <w:rPr>
                <w:lang w:val="en-GB"/>
              </w:rPr>
              <w:t>ed</w:t>
            </w:r>
            <w:r w:rsidR="00DF0666">
              <w:rPr>
                <w:lang w:val="en-GB"/>
              </w:rPr>
              <w:t xml:space="preserve"> in </w:t>
            </w:r>
            <w:r w:rsidR="0032633A" w:rsidRPr="00D14C15">
              <w:rPr>
                <w:lang w:val="en-GB"/>
              </w:rPr>
              <w:t xml:space="preserve">the </w:t>
            </w:r>
            <w:r>
              <w:rPr>
                <w:lang w:val="en-GB"/>
              </w:rPr>
              <w:t xml:space="preserve">final </w:t>
            </w:r>
            <w:r w:rsidR="0032633A" w:rsidRPr="00D14C15">
              <w:rPr>
                <w:lang w:val="en-GB"/>
              </w:rPr>
              <w:t>fifth</w:t>
            </w:r>
            <w:r w:rsidR="0032633A" w:rsidRPr="00DF0666">
              <w:rPr>
                <w:vertAlign w:val="superscript"/>
                <w:lang w:val="en-GB"/>
              </w:rPr>
              <w:footnoteReference w:id="43"/>
            </w:r>
            <w:r w:rsidR="0032633A" w:rsidRPr="00D14C15">
              <w:rPr>
                <w:lang w:val="en-GB"/>
              </w:rPr>
              <w:t xml:space="preserve">. Innovation activity </w:t>
            </w:r>
            <w:r w:rsidR="005F5EEA">
              <w:rPr>
                <w:lang w:val="en-GB"/>
              </w:rPr>
              <w:t>of companies</w:t>
            </w:r>
            <w:r w:rsidR="0032633A" w:rsidRPr="00D14C15">
              <w:rPr>
                <w:lang w:val="en-GB"/>
              </w:rPr>
              <w:t xml:space="preserve"> remains below the EU average due to the notable </w:t>
            </w:r>
            <w:r w:rsidR="005F5EEA">
              <w:rPr>
                <w:lang w:val="en-GB"/>
              </w:rPr>
              <w:t>lagging behind</w:t>
            </w:r>
            <w:r w:rsidR="0032633A" w:rsidRPr="00D14C15">
              <w:rPr>
                <w:lang w:val="en-GB"/>
              </w:rPr>
              <w:t xml:space="preserve"> of SMEs</w:t>
            </w:r>
            <w:r w:rsidR="0032633A" w:rsidRPr="005F5EEA">
              <w:rPr>
                <w:vertAlign w:val="superscript"/>
                <w:lang w:val="en-GB"/>
              </w:rPr>
              <w:footnoteReference w:id="44"/>
            </w:r>
            <w:r w:rsidR="0032633A" w:rsidRPr="00D14C15">
              <w:rPr>
                <w:lang w:val="en-GB"/>
              </w:rPr>
              <w:t>.</w:t>
            </w:r>
          </w:p>
          <w:p w14:paraId="30E9AE89" w14:textId="77777777" w:rsidR="0076298E" w:rsidRPr="00D14C15" w:rsidRDefault="0076298E">
            <w:pPr>
              <w:pStyle w:val="TableParagraph"/>
              <w:ind w:left="104" w:right="67"/>
              <w:jc w:val="both"/>
              <w:rPr>
                <w:lang w:val="en-GB"/>
              </w:rPr>
            </w:pPr>
          </w:p>
          <w:p w14:paraId="0FD9840E" w14:textId="77777777" w:rsidR="0076298E" w:rsidRPr="00D14C15" w:rsidRDefault="003B0886">
            <w:pPr>
              <w:pStyle w:val="TableParagraph"/>
              <w:ind w:left="104" w:right="67"/>
              <w:jc w:val="both"/>
              <w:rPr>
                <w:lang w:val="en-GB"/>
              </w:rPr>
            </w:pPr>
            <w:r>
              <w:rPr>
                <w:lang w:val="en-GB"/>
              </w:rPr>
              <w:t xml:space="preserve">The </w:t>
            </w:r>
            <w:r w:rsidR="0032633A" w:rsidRPr="00D14C15">
              <w:rPr>
                <w:lang w:val="en-GB"/>
              </w:rPr>
              <w:t>Start-up and Scale-up Initiative</w:t>
            </w:r>
            <w:r w:rsidR="0032633A" w:rsidRPr="003B0886">
              <w:rPr>
                <w:vertAlign w:val="superscript"/>
                <w:lang w:val="en-GB"/>
              </w:rPr>
              <w:footnoteReference w:id="45"/>
            </w:r>
            <w:r w:rsidR="0032633A" w:rsidRPr="00D14C15">
              <w:rPr>
                <w:lang w:val="en-GB"/>
              </w:rPr>
              <w:t xml:space="preserve"> highlights that too few start-ups survive the critical start-up phase (2-3 years) and even fewer start-ups grow into larger companies (scale</w:t>
            </w:r>
            <w:r>
              <w:rPr>
                <w:lang w:val="en-GB"/>
              </w:rPr>
              <w:t>-</w:t>
            </w:r>
            <w:r w:rsidR="0032633A" w:rsidRPr="00D14C15">
              <w:rPr>
                <w:lang w:val="en-GB"/>
              </w:rPr>
              <w:t>up). Both target groups need coordinated support using accelerators, incubators and regulatory sandboxes to develop the most advanced technologies.</w:t>
            </w:r>
          </w:p>
          <w:p w14:paraId="26ABCF1A" w14:textId="77777777" w:rsidR="0076298E" w:rsidRPr="00D14C15" w:rsidRDefault="0076298E">
            <w:pPr>
              <w:pStyle w:val="TableParagraph"/>
              <w:ind w:left="104" w:right="67"/>
              <w:jc w:val="both"/>
              <w:rPr>
                <w:lang w:val="en-GB"/>
              </w:rPr>
            </w:pPr>
          </w:p>
          <w:p w14:paraId="2834CCE6" w14:textId="77777777" w:rsidR="0076298E" w:rsidRPr="00D14C15" w:rsidRDefault="0032633A">
            <w:pPr>
              <w:pStyle w:val="TableParagraph"/>
              <w:ind w:left="104" w:right="67"/>
              <w:jc w:val="both"/>
              <w:rPr>
                <w:lang w:val="en-GB"/>
              </w:rPr>
            </w:pPr>
            <w:r w:rsidRPr="00D14C15">
              <w:rPr>
                <w:lang w:val="en-GB"/>
              </w:rPr>
              <w:t>Slovenia is an export</w:t>
            </w:r>
            <w:r w:rsidR="003B0886">
              <w:rPr>
                <w:lang w:val="en-GB"/>
              </w:rPr>
              <w:t>-</w:t>
            </w:r>
            <w:r w:rsidRPr="00D14C15">
              <w:rPr>
                <w:lang w:val="en-GB"/>
              </w:rPr>
              <w:t>oriented coun</w:t>
            </w:r>
            <w:r w:rsidR="008E655A">
              <w:rPr>
                <w:lang w:val="en-GB"/>
              </w:rPr>
              <w:t>try with a high share of export</w:t>
            </w:r>
            <w:r w:rsidRPr="00D14C15">
              <w:rPr>
                <w:lang w:val="en-GB"/>
              </w:rPr>
              <w:t xml:space="preserve"> of goods and, to a lesser extent, export of services. The export economy has proved to be the most resilient in times of crisis. As the world’s top 100 companies account for 56% of exports, there is </w:t>
            </w:r>
            <w:r w:rsidR="003B0886">
              <w:rPr>
                <w:lang w:val="en-GB"/>
              </w:rPr>
              <w:t>a potential</w:t>
            </w:r>
            <w:r w:rsidRPr="00D14C15">
              <w:rPr>
                <w:lang w:val="en-GB"/>
              </w:rPr>
              <w:t xml:space="preserve"> to increase the share of SMEs in exports. A large part of exports operate within global value chains, which face mega trends that SMEs can adapt to by </w:t>
            </w:r>
            <w:r w:rsidR="008E655A">
              <w:rPr>
                <w:lang w:val="en-GB"/>
              </w:rPr>
              <w:t>enhancing</w:t>
            </w:r>
            <w:r w:rsidRPr="00D14C15">
              <w:rPr>
                <w:lang w:val="en-GB"/>
              </w:rPr>
              <w:t xml:space="preserve"> their competitiveness, adaptability and mastering the most advanced techn</w:t>
            </w:r>
            <w:r w:rsidR="003B0886">
              <w:rPr>
                <w:lang w:val="en-GB"/>
              </w:rPr>
              <w:t>ologies, and thus list</w:t>
            </w:r>
            <w:r w:rsidRPr="00D14C15">
              <w:rPr>
                <w:lang w:val="en-GB"/>
              </w:rPr>
              <w:t xml:space="preserve"> upstream in the supply chain.  </w:t>
            </w:r>
          </w:p>
          <w:p w14:paraId="0CA54CBA" w14:textId="77777777" w:rsidR="0076298E" w:rsidRPr="00D14C15" w:rsidRDefault="0076298E">
            <w:pPr>
              <w:pStyle w:val="TableParagraph"/>
              <w:ind w:left="104" w:right="67"/>
              <w:jc w:val="both"/>
              <w:rPr>
                <w:lang w:val="en-GB"/>
              </w:rPr>
            </w:pPr>
          </w:p>
          <w:p w14:paraId="3C7D45C0" w14:textId="77777777" w:rsidR="0076298E" w:rsidRPr="00D14C15" w:rsidRDefault="0032633A">
            <w:pPr>
              <w:pStyle w:val="TableParagraph"/>
              <w:ind w:left="104" w:right="67"/>
              <w:jc w:val="both"/>
              <w:rPr>
                <w:lang w:val="en-GB"/>
              </w:rPr>
            </w:pPr>
            <w:r w:rsidRPr="00D14C15">
              <w:rPr>
                <w:lang w:val="en-GB"/>
              </w:rPr>
              <w:t xml:space="preserve">In November 2021, 269 social enterprises were registered (180 </w:t>
            </w:r>
            <w:r w:rsidR="003B0886">
              <w:rPr>
                <w:lang w:val="en-GB"/>
              </w:rPr>
              <w:t xml:space="preserve">in </w:t>
            </w:r>
            <w:r w:rsidR="006D642C">
              <w:rPr>
                <w:lang w:val="en-GB"/>
              </w:rPr>
              <w:t>the Eastern Slovenia cohesion region</w:t>
            </w:r>
            <w:r w:rsidRPr="00D14C15">
              <w:rPr>
                <w:lang w:val="en-GB"/>
              </w:rPr>
              <w:t xml:space="preserve">, 89 </w:t>
            </w:r>
            <w:r w:rsidR="003B0886">
              <w:rPr>
                <w:lang w:val="en-GB"/>
              </w:rPr>
              <w:t xml:space="preserve">in </w:t>
            </w:r>
            <w:r w:rsidR="006D642C">
              <w:rPr>
                <w:rFonts w:eastAsia="Calibri"/>
                <w:lang w:val="en-GB"/>
              </w:rPr>
              <w:t>the Western Slovenia cohesion region</w:t>
            </w:r>
            <w:r w:rsidRPr="00D14C15">
              <w:rPr>
                <w:lang w:val="en-GB"/>
              </w:rPr>
              <w:t xml:space="preserve">). At EU level, the social economy sector contributes </w:t>
            </w:r>
            <w:r w:rsidR="008E655A">
              <w:rPr>
                <w:lang w:val="en-GB"/>
              </w:rPr>
              <w:t>8</w:t>
            </w:r>
            <w:r w:rsidR="003B0886" w:rsidRPr="00D14C15">
              <w:rPr>
                <w:lang w:val="en-GB"/>
              </w:rPr>
              <w:t>%</w:t>
            </w:r>
            <w:r w:rsidR="003B0886">
              <w:rPr>
                <w:lang w:val="en-GB"/>
              </w:rPr>
              <w:t xml:space="preserve"> </w:t>
            </w:r>
            <w:r w:rsidRPr="00D14C15">
              <w:rPr>
                <w:lang w:val="en-GB"/>
              </w:rPr>
              <w:t xml:space="preserve">to </w:t>
            </w:r>
            <w:r w:rsidR="003B0886">
              <w:rPr>
                <w:lang w:val="en-GB"/>
              </w:rPr>
              <w:t xml:space="preserve">the </w:t>
            </w:r>
            <w:r w:rsidRPr="00D14C15">
              <w:rPr>
                <w:lang w:val="en-GB"/>
              </w:rPr>
              <w:t>GDP, in Slovenia only 0.268%</w:t>
            </w:r>
            <w:r w:rsidRPr="003B0886">
              <w:rPr>
                <w:vertAlign w:val="superscript"/>
                <w:lang w:val="en-GB"/>
              </w:rPr>
              <w:footnoteReference w:id="46"/>
            </w:r>
            <w:r w:rsidRPr="00D14C15">
              <w:rPr>
                <w:lang w:val="en-GB"/>
              </w:rPr>
              <w:t>, so incentives to reduce the development backlog are necessary, in particular by encouraging the development of social innovation.</w:t>
            </w:r>
            <w:r w:rsidRPr="003B0886">
              <w:rPr>
                <w:vertAlign w:val="superscript"/>
                <w:lang w:val="en-GB"/>
              </w:rPr>
              <w:footnoteReference w:id="47"/>
            </w:r>
            <w:r w:rsidRPr="00D14C15">
              <w:rPr>
                <w:lang w:val="en-GB"/>
              </w:rPr>
              <w:t xml:space="preserve"> </w:t>
            </w:r>
          </w:p>
          <w:p w14:paraId="2CE9A9D9" w14:textId="77777777" w:rsidR="0076298E" w:rsidRPr="00D14C15" w:rsidRDefault="0076298E">
            <w:pPr>
              <w:pStyle w:val="TableParagraph"/>
              <w:ind w:left="104" w:right="67"/>
              <w:jc w:val="both"/>
              <w:rPr>
                <w:lang w:val="en-GB"/>
              </w:rPr>
            </w:pPr>
          </w:p>
          <w:p w14:paraId="1B25AE2B" w14:textId="77777777" w:rsidR="0076298E" w:rsidRPr="00D14C15" w:rsidRDefault="008E655A">
            <w:pPr>
              <w:pStyle w:val="TableParagraph"/>
              <w:ind w:left="104" w:right="67"/>
              <w:jc w:val="both"/>
              <w:rPr>
                <w:lang w:val="en-GB"/>
              </w:rPr>
            </w:pPr>
            <w:r>
              <w:rPr>
                <w:lang w:val="en-GB"/>
              </w:rPr>
              <w:t xml:space="preserve">Slovenia should </w:t>
            </w:r>
            <w:r w:rsidR="0032633A" w:rsidRPr="00D14C15">
              <w:rPr>
                <w:lang w:val="en-GB"/>
              </w:rPr>
              <w:t>address the</w:t>
            </w:r>
            <w:r>
              <w:rPr>
                <w:lang w:val="en-GB"/>
              </w:rPr>
              <w:t xml:space="preserve"> issue of</w:t>
            </w:r>
            <w:r w:rsidR="0032633A" w:rsidRPr="00D14C15">
              <w:rPr>
                <w:lang w:val="en-GB"/>
              </w:rPr>
              <w:t xml:space="preserve"> silver economy</w:t>
            </w:r>
            <w:r>
              <w:rPr>
                <w:lang w:val="en-GB"/>
              </w:rPr>
              <w:t>.</w:t>
            </w:r>
            <w:r w:rsidR="0032633A" w:rsidRPr="00D14C15">
              <w:rPr>
                <w:lang w:val="en-GB"/>
              </w:rPr>
              <w:t xml:space="preserve"> </w:t>
            </w:r>
            <w:r>
              <w:rPr>
                <w:lang w:val="en-GB"/>
              </w:rPr>
              <w:t>I</w:t>
            </w:r>
            <w:r w:rsidR="000E50C2">
              <w:rPr>
                <w:lang w:val="en-GB"/>
              </w:rPr>
              <w:t>n 2018, Slovenia</w:t>
            </w:r>
            <w:r w:rsidR="0032633A" w:rsidRPr="00D14C15">
              <w:rPr>
                <w:lang w:val="en-GB"/>
              </w:rPr>
              <w:t xml:space="preserve"> </w:t>
            </w:r>
            <w:r w:rsidR="000E50C2">
              <w:rPr>
                <w:lang w:val="en-GB"/>
              </w:rPr>
              <w:t>f</w:t>
            </w:r>
            <w:r>
              <w:rPr>
                <w:lang w:val="en-GB"/>
              </w:rPr>
              <w:t>ell</w:t>
            </w:r>
            <w:r w:rsidR="000E50C2">
              <w:rPr>
                <w:lang w:val="en-GB"/>
              </w:rPr>
              <w:t xml:space="preserve"> </w:t>
            </w:r>
            <w:r w:rsidR="0032633A" w:rsidRPr="00D14C15">
              <w:rPr>
                <w:lang w:val="en-GB"/>
              </w:rPr>
              <w:t xml:space="preserve">below the EU average </w:t>
            </w:r>
            <w:r w:rsidR="000E50C2">
              <w:rPr>
                <w:lang w:val="en-GB"/>
              </w:rPr>
              <w:t>in terms of the Active Ageing Index. Slovenia should</w:t>
            </w:r>
            <w:r w:rsidR="0032633A" w:rsidRPr="00D14C15">
              <w:rPr>
                <w:lang w:val="en-GB"/>
              </w:rPr>
              <w:t xml:space="preserve"> increase support for SMEs aimed at addressing the challenges faced by older people, e.g. health services, digitalisation, mobility, etc. This will complement </w:t>
            </w:r>
            <w:r w:rsidR="000E50C2">
              <w:rPr>
                <w:lang w:val="en-GB"/>
              </w:rPr>
              <w:t xml:space="preserve">addressing </w:t>
            </w:r>
            <w:r w:rsidR="0032633A" w:rsidRPr="00D14C15">
              <w:rPr>
                <w:lang w:val="en-GB"/>
              </w:rPr>
              <w:t>the challenges of developing social innovation and increasing the resilience of an ageing society.</w:t>
            </w:r>
          </w:p>
          <w:p w14:paraId="0F977447" w14:textId="77777777" w:rsidR="0076298E" w:rsidRPr="00D14C15" w:rsidRDefault="0076298E">
            <w:pPr>
              <w:pStyle w:val="TableParagraph"/>
              <w:ind w:left="104" w:right="67"/>
              <w:jc w:val="both"/>
              <w:rPr>
                <w:lang w:val="en-GB"/>
              </w:rPr>
            </w:pPr>
          </w:p>
          <w:p w14:paraId="4054744D" w14:textId="77777777" w:rsidR="0076298E" w:rsidRPr="00D14C15" w:rsidRDefault="008E655A">
            <w:pPr>
              <w:pStyle w:val="P68B1DB1-TableParagraph8"/>
              <w:ind w:left="104" w:right="67"/>
              <w:jc w:val="both"/>
              <w:rPr>
                <w:lang w:val="en-GB"/>
              </w:rPr>
            </w:pPr>
            <w:r>
              <w:rPr>
                <w:lang w:val="en-GB"/>
              </w:rPr>
              <w:lastRenderedPageBreak/>
              <w:t>E</w:t>
            </w:r>
            <w:r w:rsidRPr="00D14C15">
              <w:rPr>
                <w:lang w:val="en-GB"/>
              </w:rPr>
              <w:t xml:space="preserve">ntrepreneurs from smaller, remote and less developed </w:t>
            </w:r>
            <w:r>
              <w:rPr>
                <w:lang w:val="en-GB"/>
              </w:rPr>
              <w:t>areas find it more difficult to access e</w:t>
            </w:r>
            <w:r w:rsidR="0032633A" w:rsidRPr="00D14C15">
              <w:rPr>
                <w:lang w:val="en-GB"/>
              </w:rPr>
              <w:t xml:space="preserve">ntrepreneurial </w:t>
            </w:r>
            <w:r>
              <w:rPr>
                <w:lang w:val="en-GB"/>
              </w:rPr>
              <w:t>training organised</w:t>
            </w:r>
            <w:r w:rsidR="0032633A" w:rsidRPr="00D14C15">
              <w:rPr>
                <w:lang w:val="en-GB"/>
              </w:rPr>
              <w:t xml:space="preserve"> in larger cities (</w:t>
            </w:r>
            <w:r w:rsidR="00DF0191">
              <w:rPr>
                <w:lang w:val="en-GB"/>
              </w:rPr>
              <w:t>greater</w:t>
            </w:r>
            <w:r w:rsidR="0032633A" w:rsidRPr="00D14C15">
              <w:rPr>
                <w:lang w:val="en-GB"/>
              </w:rPr>
              <w:t xml:space="preserve"> t</w:t>
            </w:r>
            <w:r>
              <w:rPr>
                <w:lang w:val="en-GB"/>
              </w:rPr>
              <w:t>ransport costs, time use, etc.). D</w:t>
            </w:r>
            <w:r w:rsidR="0032633A" w:rsidRPr="00D14C15">
              <w:rPr>
                <w:lang w:val="en-GB"/>
              </w:rPr>
              <w:t>ecentralised implementation of programmes for acquiring entrepreneurial skills and developing business ideas is essential. Entrepreneurs who, with the support of the relevant institutions, deve</w:t>
            </w:r>
            <w:r>
              <w:rPr>
                <w:lang w:val="en-GB"/>
              </w:rPr>
              <w:t>lop business ideas in their environment w</w:t>
            </w:r>
            <w:r w:rsidR="0032633A" w:rsidRPr="00D14C15">
              <w:rPr>
                <w:lang w:val="en-GB"/>
              </w:rPr>
              <w:t xml:space="preserve">ill start businesses there, thereby increasing local self-sufficiency and reducing regional disparities. </w:t>
            </w:r>
          </w:p>
          <w:p w14:paraId="02FE83C5" w14:textId="77777777" w:rsidR="0076298E" w:rsidRPr="00D14C15" w:rsidRDefault="0076298E">
            <w:pPr>
              <w:pStyle w:val="TableParagraph"/>
              <w:ind w:left="104" w:right="67"/>
              <w:jc w:val="both"/>
              <w:rPr>
                <w:lang w:val="en-GB"/>
              </w:rPr>
            </w:pPr>
          </w:p>
          <w:p w14:paraId="7911CF37" w14:textId="77777777" w:rsidR="0076298E" w:rsidRPr="00D14C15" w:rsidRDefault="00AC6618">
            <w:pPr>
              <w:pStyle w:val="TableParagraph"/>
              <w:ind w:left="104" w:right="67"/>
              <w:jc w:val="both"/>
              <w:rPr>
                <w:lang w:val="en-GB"/>
              </w:rPr>
            </w:pPr>
            <w:r>
              <w:rPr>
                <w:lang w:val="en-GB"/>
              </w:rPr>
              <w:t>We will use grants</w:t>
            </w:r>
            <w:r w:rsidR="008E655A" w:rsidRPr="008E655A">
              <w:rPr>
                <w:lang w:val="en-GB"/>
              </w:rPr>
              <w:t>. A detailed justification is given in Chapter 2.</w:t>
            </w:r>
          </w:p>
        </w:tc>
      </w:tr>
      <w:tr w:rsidR="0076298E" w:rsidRPr="00D14C15" w14:paraId="3F960DC2" w14:textId="77777777" w:rsidTr="00E1518F">
        <w:trPr>
          <w:trHeight w:val="599"/>
        </w:trPr>
        <w:tc>
          <w:tcPr>
            <w:tcW w:w="2268" w:type="dxa"/>
            <w:vMerge/>
          </w:tcPr>
          <w:p w14:paraId="3D978EB7" w14:textId="77777777" w:rsidR="0076298E" w:rsidRPr="00D14C15" w:rsidRDefault="0076298E">
            <w:pPr>
              <w:pStyle w:val="TableParagraph"/>
              <w:ind w:left="115"/>
              <w:rPr>
                <w:lang w:val="en-GB"/>
              </w:rPr>
            </w:pPr>
          </w:p>
        </w:tc>
        <w:tc>
          <w:tcPr>
            <w:tcW w:w="3119" w:type="dxa"/>
          </w:tcPr>
          <w:p w14:paraId="7A4AE9E1" w14:textId="77777777" w:rsidR="0076298E" w:rsidRPr="00D14C15" w:rsidRDefault="00DF0191">
            <w:pPr>
              <w:pStyle w:val="P68B1DB1-Navaden1"/>
              <w:ind w:left="37"/>
              <w:rPr>
                <w:lang w:val="en-GB"/>
              </w:rPr>
            </w:pPr>
            <w:r>
              <w:rPr>
                <w:lang w:val="en-GB"/>
              </w:rPr>
              <w:t>P</w:t>
            </w:r>
            <w:r w:rsidR="002B47E4">
              <w:rPr>
                <w:lang w:val="en-GB"/>
              </w:rPr>
              <w:t xml:space="preserve">riority </w:t>
            </w:r>
            <w:r w:rsidR="0032633A" w:rsidRPr="00D14C15">
              <w:rPr>
                <w:lang w:val="en-GB"/>
              </w:rPr>
              <w:t xml:space="preserve">1: </w:t>
            </w:r>
            <w:r w:rsidR="00B3317E">
              <w:rPr>
                <w:lang w:val="en-GB"/>
              </w:rPr>
              <w:t xml:space="preserve">Innovative knowledge-based society </w:t>
            </w:r>
            <w:r w:rsidR="0032633A" w:rsidRPr="00D14C15">
              <w:rPr>
                <w:lang w:val="en-GB"/>
              </w:rPr>
              <w:t xml:space="preserve"> </w:t>
            </w:r>
          </w:p>
          <w:p w14:paraId="26FB500E" w14:textId="77777777" w:rsidR="0076298E" w:rsidRPr="00D14C15" w:rsidRDefault="0076298E">
            <w:pPr>
              <w:ind w:left="37"/>
              <w:rPr>
                <w:lang w:val="en-GB"/>
              </w:rPr>
            </w:pPr>
          </w:p>
          <w:p w14:paraId="123AF18B" w14:textId="77777777" w:rsidR="0076298E" w:rsidRPr="00D14C15" w:rsidRDefault="0032633A" w:rsidP="004B3731">
            <w:pPr>
              <w:ind w:left="37"/>
              <w:rPr>
                <w:lang w:val="en-GB"/>
              </w:rPr>
            </w:pPr>
            <w:r w:rsidRPr="00D14C15">
              <w:rPr>
                <w:lang w:val="en-GB"/>
              </w:rPr>
              <w:t>RSO1.4:</w:t>
            </w:r>
            <w:r w:rsidR="004B3731">
              <w:rPr>
                <w:lang w:val="en-GB"/>
              </w:rPr>
              <w:t xml:space="preserve"> Developing</w:t>
            </w:r>
            <w:r w:rsidRPr="00D14C15">
              <w:rPr>
                <w:lang w:val="en-GB"/>
              </w:rPr>
              <w:t xml:space="preserve"> </w:t>
            </w:r>
            <w:r w:rsidR="004B3731">
              <w:rPr>
                <w:lang w:val="en-GB"/>
              </w:rPr>
              <w:t>s</w:t>
            </w:r>
            <w:r w:rsidRPr="00D14C15">
              <w:rPr>
                <w:lang w:val="en-GB"/>
              </w:rPr>
              <w:t>kills for smart specialisation, industrial transition and entrepreneurship</w:t>
            </w:r>
          </w:p>
        </w:tc>
        <w:tc>
          <w:tcPr>
            <w:tcW w:w="8647" w:type="dxa"/>
          </w:tcPr>
          <w:p w14:paraId="7A512DC5" w14:textId="77777777" w:rsidR="0076298E" w:rsidRPr="00D14C15" w:rsidRDefault="0032633A">
            <w:pPr>
              <w:widowControl/>
              <w:autoSpaceDE/>
              <w:autoSpaceDN/>
              <w:ind w:left="102" w:right="68"/>
              <w:jc w:val="both"/>
              <w:rPr>
                <w:rFonts w:eastAsia="Arial"/>
                <w:lang w:val="en-GB"/>
              </w:rPr>
            </w:pPr>
            <w:r w:rsidRPr="00D14C15">
              <w:rPr>
                <w:lang w:val="en-GB"/>
              </w:rPr>
              <w:t>Slovenia</w:t>
            </w:r>
            <w:r w:rsidR="004B3731">
              <w:rPr>
                <w:lang w:val="en-GB"/>
              </w:rPr>
              <w:t>’s</w:t>
            </w:r>
            <w:r w:rsidRPr="00D14C15">
              <w:rPr>
                <w:lang w:val="en-GB"/>
              </w:rPr>
              <w:t xml:space="preserve"> </w:t>
            </w:r>
            <w:r w:rsidR="004B3731" w:rsidRPr="00D14C15">
              <w:rPr>
                <w:lang w:val="en-GB"/>
              </w:rPr>
              <w:t xml:space="preserve">share </w:t>
            </w:r>
            <w:r w:rsidR="004B3731">
              <w:rPr>
                <w:lang w:val="en-GB"/>
              </w:rPr>
              <w:t>of</w:t>
            </w:r>
            <w:r w:rsidRPr="00D14C15">
              <w:rPr>
                <w:lang w:val="en-GB"/>
              </w:rPr>
              <w:t xml:space="preserve"> </w:t>
            </w:r>
            <w:r w:rsidR="004B3731" w:rsidRPr="00D14C15">
              <w:rPr>
                <w:lang w:val="en-GB"/>
              </w:rPr>
              <w:t xml:space="preserve">highly educated population </w:t>
            </w:r>
            <w:r w:rsidR="004B3731">
              <w:rPr>
                <w:lang w:val="en-GB"/>
              </w:rPr>
              <w:t xml:space="preserve">is above the EU </w:t>
            </w:r>
            <w:r w:rsidR="00F664FB">
              <w:rPr>
                <w:lang w:val="en-GB"/>
              </w:rPr>
              <w:t xml:space="preserve">average. However, due to </w:t>
            </w:r>
            <w:r w:rsidRPr="00D14C15">
              <w:rPr>
                <w:lang w:val="en-GB"/>
              </w:rPr>
              <w:t>demographic change and rapid technological progress, Slovenia faces growing mismatches between the supply of skills and the needs of society and the economy</w:t>
            </w:r>
            <w:r w:rsidRPr="004B3731">
              <w:rPr>
                <w:vertAlign w:val="superscript"/>
                <w:lang w:val="en-GB"/>
              </w:rPr>
              <w:footnoteReference w:id="48"/>
            </w:r>
            <w:r w:rsidRPr="00D14C15">
              <w:rPr>
                <w:lang w:val="en-GB"/>
              </w:rPr>
              <w:t xml:space="preserve">, as already </w:t>
            </w:r>
            <w:r w:rsidR="004B3731">
              <w:rPr>
                <w:lang w:val="en-GB"/>
              </w:rPr>
              <w:t>underlined by</w:t>
            </w:r>
            <w:r w:rsidRPr="00D14C15">
              <w:rPr>
                <w:lang w:val="en-GB"/>
              </w:rPr>
              <w:t xml:space="preserve"> </w:t>
            </w:r>
            <w:r w:rsidR="004B3731">
              <w:rPr>
                <w:lang w:val="en-GB"/>
              </w:rPr>
              <w:t>the 2019 Country Report, Annex D</w:t>
            </w:r>
            <w:r w:rsidR="00F664FB">
              <w:rPr>
                <w:lang w:val="en-GB"/>
              </w:rPr>
              <w:t>.</w:t>
            </w:r>
            <w:r w:rsidRPr="00D14C15">
              <w:rPr>
                <w:lang w:val="en-GB"/>
              </w:rPr>
              <w:t xml:space="preserve"> The challenge remains</w:t>
            </w:r>
            <w:r w:rsidR="004B3731">
              <w:rPr>
                <w:lang w:val="en-GB"/>
              </w:rPr>
              <w:t xml:space="preserve"> unaddressed</w:t>
            </w:r>
            <w:r w:rsidR="00F664FB">
              <w:rPr>
                <w:lang w:val="en-GB"/>
              </w:rPr>
              <w:t xml:space="preserve">. This is also </w:t>
            </w:r>
            <w:r w:rsidR="004B3731">
              <w:rPr>
                <w:lang w:val="en-GB"/>
              </w:rPr>
              <w:t xml:space="preserve">underlined in the </w:t>
            </w:r>
            <w:r w:rsidRPr="00D14C15">
              <w:rPr>
                <w:lang w:val="en-GB"/>
              </w:rPr>
              <w:t>Development Report 2022, which adds that</w:t>
            </w:r>
            <w:r w:rsidR="004B3731">
              <w:rPr>
                <w:lang w:val="en-GB"/>
              </w:rPr>
              <w:t xml:space="preserve"> in the medium term</w:t>
            </w:r>
            <w:r w:rsidRPr="00D14C15">
              <w:rPr>
                <w:lang w:val="en-GB"/>
              </w:rPr>
              <w:t xml:space="preserve"> the growing challenge </w:t>
            </w:r>
            <w:r w:rsidR="00F664FB">
              <w:rPr>
                <w:lang w:val="en-GB"/>
              </w:rPr>
              <w:t>pertains to</w:t>
            </w:r>
            <w:r w:rsidR="004B3731">
              <w:rPr>
                <w:lang w:val="en-GB"/>
              </w:rPr>
              <w:t xml:space="preserve"> </w:t>
            </w:r>
            <w:r w:rsidRPr="00D14C15">
              <w:rPr>
                <w:lang w:val="en-GB"/>
              </w:rPr>
              <w:t xml:space="preserve">providing young people and adults with skills for the digital and green transformation of the economy and facing the challenges of a long-lived society and technological development, which requires taking into account not only current but especially future needs. The latter was already pointed out by the OECD in 2018, </w:t>
            </w:r>
            <w:r w:rsidR="00F664FB">
              <w:rPr>
                <w:lang w:val="en-GB"/>
              </w:rPr>
              <w:t xml:space="preserve">stating that </w:t>
            </w:r>
            <w:r w:rsidRPr="00D14C15">
              <w:rPr>
                <w:lang w:val="en-GB"/>
              </w:rPr>
              <w:t>in Slovenia, in the face of increasingly smaller generations in the labour market and resulting labour shortages, 25% of jobs are highly exposed to</w:t>
            </w:r>
            <w:r w:rsidR="00890877">
              <w:rPr>
                <w:lang w:val="en-GB"/>
              </w:rPr>
              <w:t xml:space="preserve"> automation and 27</w:t>
            </w:r>
            <w:r w:rsidRPr="00D14C15">
              <w:rPr>
                <w:lang w:val="en-GB"/>
              </w:rPr>
              <w:t xml:space="preserve">% to marked changes due to </w:t>
            </w:r>
            <w:r w:rsidR="00890877">
              <w:rPr>
                <w:lang w:val="en-GB"/>
              </w:rPr>
              <w:t>automation</w:t>
            </w:r>
            <w:r w:rsidRPr="00D14C15">
              <w:rPr>
                <w:lang w:val="en-GB"/>
              </w:rPr>
              <w:t xml:space="preserve">, which is well above the </w:t>
            </w:r>
            <w:r w:rsidR="00F664FB" w:rsidRPr="00D14C15">
              <w:rPr>
                <w:lang w:val="en-GB"/>
              </w:rPr>
              <w:t xml:space="preserve">OECD </w:t>
            </w:r>
            <w:r w:rsidRPr="00D14C15">
              <w:rPr>
                <w:lang w:val="en-GB"/>
              </w:rPr>
              <w:t xml:space="preserve">average. Skills shortages occur in both secondary and </w:t>
            </w:r>
            <w:r w:rsidRPr="00D14C15">
              <w:rPr>
                <w:rFonts w:eastAsia="Arial"/>
                <w:color w:val="000000"/>
                <w:lang w:val="en-GB"/>
              </w:rPr>
              <w:t>tertiary</w:t>
            </w:r>
            <w:r w:rsidRPr="00D14C15">
              <w:rPr>
                <w:rFonts w:eastAsia="Arial"/>
                <w:lang w:val="en-GB"/>
              </w:rPr>
              <w:t xml:space="preserve"> education graduates as well as </w:t>
            </w:r>
            <w:r w:rsidR="00890877">
              <w:rPr>
                <w:rFonts w:eastAsia="Arial"/>
                <w:lang w:val="en-GB"/>
              </w:rPr>
              <w:t xml:space="preserve">the </w:t>
            </w:r>
            <w:r w:rsidRPr="00D14C15">
              <w:rPr>
                <w:rFonts w:eastAsia="Arial"/>
                <w:lang w:val="en-GB"/>
              </w:rPr>
              <w:t xml:space="preserve">already employed. Less than half of Slovenian companies face a lack of desired </w:t>
            </w:r>
            <w:r w:rsidR="00890877">
              <w:rPr>
                <w:rFonts w:eastAsia="Arial"/>
                <w:lang w:val="en-GB"/>
              </w:rPr>
              <w:t>skills</w:t>
            </w:r>
            <w:r w:rsidRPr="00D14C15">
              <w:rPr>
                <w:rFonts w:eastAsia="Arial"/>
                <w:lang w:val="en-GB"/>
              </w:rPr>
              <w:t xml:space="preserve"> in the labour market when recruiting new staff.</w:t>
            </w:r>
            <w:r w:rsidRPr="00890877">
              <w:rPr>
                <w:rFonts w:eastAsia="Arial"/>
                <w:vertAlign w:val="superscript"/>
                <w:lang w:val="en-GB"/>
              </w:rPr>
              <w:footnoteReference w:id="49"/>
            </w:r>
            <w:r w:rsidRPr="00D14C15">
              <w:rPr>
                <w:rFonts w:eastAsia="Arial"/>
                <w:lang w:val="en-GB"/>
              </w:rPr>
              <w:t xml:space="preserve"> </w:t>
            </w:r>
          </w:p>
          <w:p w14:paraId="1755DB53" w14:textId="77777777" w:rsidR="0076298E" w:rsidRPr="00D14C15" w:rsidRDefault="0076298E">
            <w:pPr>
              <w:widowControl/>
              <w:autoSpaceDE/>
              <w:autoSpaceDN/>
              <w:ind w:left="102" w:right="68"/>
              <w:jc w:val="both"/>
              <w:rPr>
                <w:rFonts w:eastAsia="Arial"/>
                <w:lang w:val="en-GB"/>
              </w:rPr>
            </w:pPr>
          </w:p>
          <w:p w14:paraId="53CBC343" w14:textId="77777777" w:rsidR="0076298E" w:rsidRPr="00D14C15" w:rsidRDefault="00F664FB">
            <w:pPr>
              <w:widowControl/>
              <w:autoSpaceDE/>
              <w:autoSpaceDN/>
              <w:ind w:left="102" w:right="68"/>
              <w:jc w:val="both"/>
              <w:rPr>
                <w:rFonts w:eastAsia="Arial"/>
                <w:lang w:val="en-GB"/>
              </w:rPr>
            </w:pPr>
            <w:r>
              <w:rPr>
                <w:lang w:val="en-GB"/>
              </w:rPr>
              <w:t>Decreasing</w:t>
            </w:r>
            <w:r w:rsidRPr="00D14C15">
              <w:rPr>
                <w:lang w:val="en-GB"/>
              </w:rPr>
              <w:t xml:space="preserve"> involvement of employees in lifelong learning </w:t>
            </w:r>
            <w:r>
              <w:rPr>
                <w:lang w:val="en-GB"/>
              </w:rPr>
              <w:t>additionally hinders</w:t>
            </w:r>
            <w:r w:rsidRPr="00D14C15">
              <w:rPr>
                <w:lang w:val="en-GB"/>
              </w:rPr>
              <w:t xml:space="preserve"> </w:t>
            </w:r>
            <w:r>
              <w:rPr>
                <w:lang w:val="en-GB"/>
              </w:rPr>
              <w:t>a</w:t>
            </w:r>
            <w:r w:rsidR="0032633A" w:rsidRPr="00D14C15">
              <w:rPr>
                <w:lang w:val="en-GB"/>
              </w:rPr>
              <w:t xml:space="preserve">daptation to changes </w:t>
            </w:r>
            <w:r>
              <w:rPr>
                <w:lang w:val="en-GB"/>
              </w:rPr>
              <w:t>at the workplace</w:t>
            </w:r>
            <w:r w:rsidR="0032633A" w:rsidRPr="00D14C15">
              <w:rPr>
                <w:lang w:val="en-GB"/>
              </w:rPr>
              <w:t xml:space="preserve"> caused by Industry 4.0</w:t>
            </w:r>
            <w:r w:rsidR="00890877">
              <w:rPr>
                <w:lang w:val="en-GB"/>
              </w:rPr>
              <w:t>.</w:t>
            </w:r>
            <w:r w:rsidR="0032633A" w:rsidRPr="00890877">
              <w:rPr>
                <w:vertAlign w:val="superscript"/>
                <w:lang w:val="en-GB"/>
              </w:rPr>
              <w:footnoteReference w:id="50"/>
            </w:r>
            <w:r w:rsidR="0032633A" w:rsidRPr="00D14C15">
              <w:rPr>
                <w:lang w:val="en-GB"/>
              </w:rPr>
              <w:t xml:space="preserve"> </w:t>
            </w:r>
            <w:r w:rsidR="003E6F55">
              <w:rPr>
                <w:lang w:val="en-GB"/>
              </w:rPr>
              <w:t>There are r</w:t>
            </w:r>
            <w:r w:rsidR="0032633A" w:rsidRPr="00D14C15">
              <w:rPr>
                <w:lang w:val="en-GB"/>
              </w:rPr>
              <w:t xml:space="preserve">egional differences in population education and inclusion in </w:t>
            </w:r>
            <w:r w:rsidR="003E6F55">
              <w:rPr>
                <w:lang w:val="en-GB"/>
              </w:rPr>
              <w:t>lifelong learning</w:t>
            </w:r>
            <w:r w:rsidR="0032633A" w:rsidRPr="00D14C15">
              <w:rPr>
                <w:lang w:val="en-GB"/>
              </w:rPr>
              <w:t xml:space="preserve">. </w:t>
            </w:r>
            <w:r w:rsidR="006D642C">
              <w:rPr>
                <w:lang w:val="en-GB"/>
              </w:rPr>
              <w:t>The Eastern Slovenia cohesion region</w:t>
            </w:r>
            <w:r w:rsidR="006D642C" w:rsidRPr="00D14C15">
              <w:rPr>
                <w:lang w:val="en-GB"/>
              </w:rPr>
              <w:t xml:space="preserve"> </w:t>
            </w:r>
            <w:r w:rsidR="003E6F55" w:rsidRPr="00D14C15">
              <w:rPr>
                <w:lang w:val="en-GB"/>
              </w:rPr>
              <w:t xml:space="preserve">lags behind </w:t>
            </w:r>
            <w:r w:rsidR="006D642C">
              <w:rPr>
                <w:rFonts w:eastAsia="Calibri"/>
                <w:lang w:val="en-GB"/>
              </w:rPr>
              <w:t>the Western Slovenia cohesion region</w:t>
            </w:r>
            <w:r w:rsidR="006D642C">
              <w:rPr>
                <w:lang w:val="en-GB"/>
              </w:rPr>
              <w:t xml:space="preserve"> </w:t>
            </w:r>
            <w:r w:rsidR="003E6F55">
              <w:rPr>
                <w:lang w:val="en-GB"/>
              </w:rPr>
              <w:t xml:space="preserve">in </w:t>
            </w:r>
            <w:r w:rsidR="0032633A" w:rsidRPr="00D14C15">
              <w:rPr>
                <w:lang w:val="en-GB"/>
              </w:rPr>
              <w:t xml:space="preserve">the share of the population with tertiary education, and the participation of employees in </w:t>
            </w:r>
            <w:r w:rsidR="003E6F55">
              <w:rPr>
                <w:lang w:val="en-GB"/>
              </w:rPr>
              <w:t>lifelong learning</w:t>
            </w:r>
            <w:r w:rsidR="0032633A" w:rsidRPr="00D14C15">
              <w:rPr>
                <w:lang w:val="en-GB"/>
              </w:rPr>
              <w:t xml:space="preserve">. However, both regions face a lack of adequate </w:t>
            </w:r>
            <w:r w:rsidR="00F52B78">
              <w:rPr>
                <w:lang w:val="en-GB"/>
              </w:rPr>
              <w:t xml:space="preserve">knowledge and </w:t>
            </w:r>
            <w:r w:rsidR="0032633A" w:rsidRPr="00D14C15">
              <w:rPr>
                <w:lang w:val="en-GB"/>
              </w:rPr>
              <w:t>skills</w:t>
            </w:r>
            <w:r w:rsidR="00592104">
              <w:rPr>
                <w:lang w:val="en-GB"/>
              </w:rPr>
              <w:t>.</w:t>
            </w:r>
            <w:r w:rsidR="0032633A" w:rsidRPr="00592104">
              <w:rPr>
                <w:vertAlign w:val="superscript"/>
                <w:lang w:val="en-GB"/>
              </w:rPr>
              <w:footnoteReference w:id="51"/>
            </w:r>
            <w:r w:rsidR="00592104" w:rsidRPr="00592104">
              <w:rPr>
                <w:vertAlign w:val="superscript"/>
                <w:lang w:val="en-GB"/>
              </w:rPr>
              <w:t>,</w:t>
            </w:r>
            <w:r w:rsidR="00592104">
              <w:rPr>
                <w:vertAlign w:val="superscript"/>
                <w:lang w:val="en-GB"/>
              </w:rPr>
              <w:t xml:space="preserve"> </w:t>
            </w:r>
            <w:r w:rsidR="0032633A" w:rsidRPr="00592104">
              <w:rPr>
                <w:vertAlign w:val="superscript"/>
                <w:lang w:val="en-GB"/>
              </w:rPr>
              <w:footnoteReference w:id="52"/>
            </w:r>
            <w:r w:rsidR="0032633A" w:rsidRPr="00D14C15">
              <w:rPr>
                <w:lang w:val="en-GB"/>
              </w:rPr>
              <w:t xml:space="preserve"> </w:t>
            </w:r>
          </w:p>
          <w:p w14:paraId="4B0EBF73" w14:textId="77777777" w:rsidR="0076298E" w:rsidRPr="00D14C15" w:rsidRDefault="0076298E">
            <w:pPr>
              <w:widowControl/>
              <w:autoSpaceDE/>
              <w:autoSpaceDN/>
              <w:ind w:left="102" w:right="68"/>
              <w:jc w:val="both"/>
              <w:rPr>
                <w:rFonts w:eastAsia="Arial"/>
                <w:lang w:val="en-GB"/>
              </w:rPr>
            </w:pPr>
          </w:p>
          <w:p w14:paraId="0FD37E04" w14:textId="77777777" w:rsidR="0076298E" w:rsidRPr="00D14C15" w:rsidRDefault="00F664FB">
            <w:pPr>
              <w:pStyle w:val="P68B1DB1-Navaden1"/>
              <w:widowControl/>
              <w:autoSpaceDE/>
              <w:autoSpaceDN/>
              <w:ind w:left="102" w:right="68"/>
              <w:jc w:val="both"/>
              <w:rPr>
                <w:lang w:val="en-GB"/>
              </w:rPr>
            </w:pPr>
            <w:r w:rsidRPr="00F664FB">
              <w:rPr>
                <w:lang w:val="en-GB"/>
              </w:rPr>
              <w:lastRenderedPageBreak/>
              <w:t>Grants will be used. A detailed justification is given in Chapter 2.</w:t>
            </w:r>
          </w:p>
        </w:tc>
      </w:tr>
      <w:tr w:rsidR="0076298E" w:rsidRPr="00D14C15" w14:paraId="24863B2B" w14:textId="77777777" w:rsidTr="00E1518F">
        <w:trPr>
          <w:trHeight w:val="599"/>
        </w:trPr>
        <w:tc>
          <w:tcPr>
            <w:tcW w:w="2268" w:type="dxa"/>
            <w:vMerge/>
          </w:tcPr>
          <w:p w14:paraId="7A9AAF0E" w14:textId="77777777" w:rsidR="0076298E" w:rsidRPr="00D14C15" w:rsidRDefault="0076298E">
            <w:pPr>
              <w:pStyle w:val="TableParagraph"/>
              <w:ind w:left="115"/>
              <w:rPr>
                <w:lang w:val="en-GB"/>
              </w:rPr>
            </w:pPr>
          </w:p>
        </w:tc>
        <w:tc>
          <w:tcPr>
            <w:tcW w:w="3119" w:type="dxa"/>
            <w:shd w:val="clear" w:color="auto" w:fill="auto"/>
          </w:tcPr>
          <w:p w14:paraId="1B3A954A" w14:textId="77777777" w:rsidR="0076298E" w:rsidRPr="00D14C15" w:rsidRDefault="00BB1897">
            <w:pPr>
              <w:pStyle w:val="TableParagraph"/>
              <w:ind w:left="37"/>
              <w:rPr>
                <w:lang w:val="en-GB"/>
              </w:rPr>
            </w:pPr>
            <w:r>
              <w:rPr>
                <w:lang w:val="en-GB"/>
              </w:rPr>
              <w:t>P</w:t>
            </w:r>
            <w:r w:rsidR="002B47E4">
              <w:rPr>
                <w:lang w:val="en-GB"/>
              </w:rPr>
              <w:t xml:space="preserve">riority </w:t>
            </w:r>
            <w:r w:rsidR="0032633A" w:rsidRPr="00D14C15">
              <w:rPr>
                <w:lang w:val="en-GB"/>
              </w:rPr>
              <w:t>2: Digital connectivity</w:t>
            </w:r>
          </w:p>
          <w:p w14:paraId="317DEC42" w14:textId="77777777" w:rsidR="0076298E" w:rsidRPr="00D14C15" w:rsidRDefault="0076298E">
            <w:pPr>
              <w:pStyle w:val="TableParagraph"/>
              <w:ind w:left="37"/>
              <w:rPr>
                <w:lang w:val="en-GB"/>
              </w:rPr>
            </w:pPr>
          </w:p>
          <w:p w14:paraId="46DD788B" w14:textId="77777777" w:rsidR="0076298E" w:rsidRPr="00D14C15" w:rsidRDefault="0076298E">
            <w:pPr>
              <w:pStyle w:val="TableParagraph"/>
              <w:ind w:left="37"/>
              <w:rPr>
                <w:lang w:val="en-GB"/>
              </w:rPr>
            </w:pPr>
          </w:p>
          <w:p w14:paraId="39663ACC" w14:textId="77777777" w:rsidR="0076298E" w:rsidRPr="00D14C15" w:rsidRDefault="0032633A" w:rsidP="00BB1897">
            <w:pPr>
              <w:pStyle w:val="TableParagraph"/>
              <w:ind w:left="37"/>
              <w:rPr>
                <w:lang w:val="en-GB"/>
              </w:rPr>
            </w:pPr>
            <w:r w:rsidRPr="00D14C15">
              <w:rPr>
                <w:lang w:val="en-GB"/>
              </w:rPr>
              <w:t xml:space="preserve">RSO1.5: </w:t>
            </w:r>
            <w:r w:rsidR="00BB1897">
              <w:rPr>
                <w:lang w:val="en-GB"/>
              </w:rPr>
              <w:t>Enhancing</w:t>
            </w:r>
            <w:r w:rsidRPr="00D14C15">
              <w:rPr>
                <w:lang w:val="en-GB"/>
              </w:rPr>
              <w:t xml:space="preserve"> digital connectivity</w:t>
            </w:r>
          </w:p>
        </w:tc>
        <w:tc>
          <w:tcPr>
            <w:tcW w:w="8647" w:type="dxa"/>
          </w:tcPr>
          <w:p w14:paraId="21EA76D5" w14:textId="77777777" w:rsidR="0076298E" w:rsidRPr="00D14C15" w:rsidRDefault="008B0C4C">
            <w:pPr>
              <w:ind w:left="104" w:right="67"/>
              <w:jc w:val="both"/>
              <w:rPr>
                <w:rFonts w:cstheme="minorBidi"/>
                <w:lang w:val="en-GB"/>
              </w:rPr>
            </w:pPr>
            <w:r>
              <w:rPr>
                <w:rFonts w:cstheme="minorBidi"/>
                <w:lang w:val="en-GB"/>
              </w:rPr>
              <w:t>European Gigabit Society</w:t>
            </w:r>
            <w:r w:rsidRPr="00D14C15">
              <w:rPr>
                <w:rStyle w:val="Sprotnaopomba-sklic"/>
                <w:rFonts w:cstheme="minorBidi"/>
                <w:lang w:val="en-GB"/>
              </w:rPr>
              <w:footnoteReference w:id="53"/>
            </w:r>
            <w:r>
              <w:rPr>
                <w:rFonts w:cstheme="minorBidi"/>
                <w:lang w:val="en-GB"/>
              </w:rPr>
              <w:t xml:space="preserve"> sets out</w:t>
            </w:r>
            <w:r w:rsidR="0032633A" w:rsidRPr="00D14C15">
              <w:rPr>
                <w:rFonts w:cstheme="minorBidi"/>
                <w:lang w:val="en-GB"/>
              </w:rPr>
              <w:t xml:space="preserve"> </w:t>
            </w:r>
            <w:r w:rsidR="008F3A9E">
              <w:rPr>
                <w:rFonts w:cstheme="minorBidi"/>
                <w:lang w:val="en-GB"/>
              </w:rPr>
              <w:t>three</w:t>
            </w:r>
            <w:r w:rsidR="0032633A" w:rsidRPr="00D14C15">
              <w:rPr>
                <w:rFonts w:cstheme="minorBidi"/>
                <w:lang w:val="en-GB"/>
              </w:rPr>
              <w:t xml:space="preserve"> key targets </w:t>
            </w:r>
            <w:r w:rsidR="00BE4AD6">
              <w:rPr>
                <w:rFonts w:cstheme="minorBidi"/>
                <w:lang w:val="en-GB"/>
              </w:rPr>
              <w:t xml:space="preserve">for 2025, namely that </w:t>
            </w:r>
            <w:r w:rsidR="0032633A" w:rsidRPr="00D14C15">
              <w:rPr>
                <w:rFonts w:cstheme="minorBidi"/>
                <w:lang w:val="en-GB"/>
              </w:rPr>
              <w:t xml:space="preserve">all households (urban and rural) </w:t>
            </w:r>
            <w:r w:rsidR="00BE4AD6">
              <w:rPr>
                <w:rFonts w:cstheme="minorBidi"/>
                <w:lang w:val="en-GB"/>
              </w:rPr>
              <w:t xml:space="preserve">have access </w:t>
            </w:r>
            <w:r w:rsidR="0032633A" w:rsidRPr="00D14C15">
              <w:rPr>
                <w:rFonts w:cstheme="minorBidi"/>
                <w:lang w:val="en-GB"/>
              </w:rPr>
              <w:t>to internet connectivity of at least 100</w:t>
            </w:r>
            <w:r w:rsidR="00BE4AD6">
              <w:rPr>
                <w:rFonts w:cstheme="minorBidi"/>
                <w:lang w:val="en-GB"/>
              </w:rPr>
              <w:t xml:space="preserve"> </w:t>
            </w:r>
            <w:r w:rsidR="0032633A" w:rsidRPr="00D14C15">
              <w:rPr>
                <w:rFonts w:cstheme="minorBidi"/>
                <w:lang w:val="en-GB"/>
              </w:rPr>
              <w:t xml:space="preserve">Mbps, 5G coverage in all urban areas and all major terrestrial transport </w:t>
            </w:r>
            <w:r w:rsidR="00BE4AD6">
              <w:rPr>
                <w:rFonts w:cstheme="minorBidi"/>
                <w:lang w:val="en-GB"/>
              </w:rPr>
              <w:t>paths</w:t>
            </w:r>
            <w:r w:rsidR="0032633A" w:rsidRPr="00D14C15">
              <w:rPr>
                <w:rFonts w:cstheme="minorBidi"/>
                <w:lang w:val="en-GB"/>
              </w:rPr>
              <w:t xml:space="preserve">, and Gigabit connectivity for all major socio-economic drivers (schools, digital-intensive businesses, universities, </w:t>
            </w:r>
            <w:r w:rsidR="00BE4AD6">
              <w:rPr>
                <w:rFonts w:cstheme="minorBidi"/>
                <w:lang w:val="en-GB"/>
              </w:rPr>
              <w:t>public research organisations</w:t>
            </w:r>
            <w:r w:rsidR="008F3A9E">
              <w:rPr>
                <w:rFonts w:cstheme="minorBidi"/>
                <w:lang w:val="en-GB"/>
              </w:rPr>
              <w:t>, hospitals, etc.). Digital Compass</w:t>
            </w:r>
            <w:r w:rsidR="00BE4AD6" w:rsidRPr="00BE4AD6">
              <w:rPr>
                <w:rFonts w:cstheme="minorBidi"/>
                <w:vertAlign w:val="superscript"/>
                <w:lang w:val="en-GB"/>
              </w:rPr>
              <w:footnoteReference w:id="54"/>
            </w:r>
            <w:r w:rsidR="0032633A" w:rsidRPr="00D14C15">
              <w:rPr>
                <w:rFonts w:cstheme="minorBidi"/>
                <w:lang w:val="en-GB"/>
              </w:rPr>
              <w:t xml:space="preserve"> envisages full coverage of the population by broadband networks and populated areas with 5G by the end of 2030. Slovenia’s strategic objectives for the development of Gigabit infrastructure are fully aligned with the EU’s digital connectivity objectives and are defined in the Gigabit Infrastructure Development Plan 2030</w:t>
            </w:r>
            <w:r w:rsidR="0032633A" w:rsidRPr="00D14C15">
              <w:rPr>
                <w:rStyle w:val="Sprotnaopomba-sklic"/>
                <w:rFonts w:cstheme="minorBidi"/>
                <w:lang w:val="en-GB"/>
              </w:rPr>
              <w:footnoteReference w:id="55"/>
            </w:r>
            <w:r w:rsidR="0032633A" w:rsidRPr="00D14C15">
              <w:rPr>
                <w:rFonts w:cstheme="minorBidi"/>
                <w:lang w:val="en-GB"/>
              </w:rPr>
              <w:t>.</w:t>
            </w:r>
          </w:p>
          <w:p w14:paraId="3ADD913C" w14:textId="77777777" w:rsidR="0076298E" w:rsidRPr="00D14C15" w:rsidRDefault="0076298E">
            <w:pPr>
              <w:ind w:left="104" w:right="67"/>
              <w:jc w:val="both"/>
              <w:rPr>
                <w:rFonts w:cstheme="minorBidi"/>
                <w:lang w:val="en-GB"/>
              </w:rPr>
            </w:pPr>
          </w:p>
          <w:p w14:paraId="61198C0D" w14:textId="77777777" w:rsidR="0076298E" w:rsidRPr="00D14C15" w:rsidRDefault="00BE4AD6">
            <w:pPr>
              <w:pStyle w:val="P68B1DB1-Navaden9"/>
              <w:ind w:left="104" w:right="67"/>
              <w:jc w:val="both"/>
              <w:rPr>
                <w:lang w:val="en-GB"/>
              </w:rPr>
            </w:pPr>
            <w:r>
              <w:rPr>
                <w:lang w:val="en-GB"/>
              </w:rPr>
              <w:t xml:space="preserve">In 2021, </w:t>
            </w:r>
            <w:r w:rsidR="0032633A" w:rsidRPr="00D14C15">
              <w:rPr>
                <w:lang w:val="en-GB"/>
              </w:rPr>
              <w:t>Slovenia ranks 9</w:t>
            </w:r>
            <w:r w:rsidR="0032633A" w:rsidRPr="00BE4AD6">
              <w:rPr>
                <w:vertAlign w:val="superscript"/>
                <w:lang w:val="en-GB"/>
              </w:rPr>
              <w:t>th</w:t>
            </w:r>
            <w:r w:rsidR="0032633A" w:rsidRPr="00D14C15">
              <w:rPr>
                <w:lang w:val="en-GB"/>
              </w:rPr>
              <w:t xml:space="preserve"> in the field of connectivity according to the DESI index</w:t>
            </w:r>
            <w:r>
              <w:rPr>
                <w:lang w:val="en-GB"/>
              </w:rPr>
              <w:t>. 98</w:t>
            </w:r>
            <w:r w:rsidR="0032633A" w:rsidRPr="00D14C15">
              <w:rPr>
                <w:lang w:val="en-GB"/>
              </w:rPr>
              <w:t xml:space="preserve">% of the 5G spectrum is allocated. </w:t>
            </w:r>
            <w:r>
              <w:rPr>
                <w:lang w:val="en-GB"/>
              </w:rPr>
              <w:t>Next-generation access (</w:t>
            </w:r>
            <w:r w:rsidR="00A82FD2">
              <w:rPr>
                <w:lang w:val="en-GB"/>
              </w:rPr>
              <w:t xml:space="preserve">hereinafter: </w:t>
            </w:r>
            <w:r w:rsidR="0032633A" w:rsidRPr="00D14C15">
              <w:rPr>
                <w:lang w:val="en-GB"/>
              </w:rPr>
              <w:t>NGA</w:t>
            </w:r>
            <w:r>
              <w:rPr>
                <w:lang w:val="en-GB"/>
              </w:rPr>
              <w:t>)</w:t>
            </w:r>
            <w:r w:rsidR="0032633A" w:rsidRPr="00D14C15">
              <w:rPr>
                <w:lang w:val="en-GB"/>
              </w:rPr>
              <w:t xml:space="preserve"> broadband covers 88% of households, </w:t>
            </w:r>
            <w:r w:rsidR="002E543D">
              <w:rPr>
                <w:lang w:val="en-GB"/>
              </w:rPr>
              <w:t xml:space="preserve">which is </w:t>
            </w:r>
            <w:r w:rsidR="0032633A" w:rsidRPr="00D14C15">
              <w:rPr>
                <w:lang w:val="en-GB"/>
              </w:rPr>
              <w:t>close to the EU average, but this percentage is significantly lower in rural areas, which still points to a gap between urban and rural areas.</w:t>
            </w:r>
            <w:r w:rsidR="0032633A" w:rsidRPr="002E543D">
              <w:rPr>
                <w:vertAlign w:val="superscript"/>
                <w:lang w:val="en-GB"/>
              </w:rPr>
              <w:footnoteReference w:id="56"/>
            </w:r>
            <w:r w:rsidR="0032633A" w:rsidRPr="00D14C15">
              <w:rPr>
                <w:lang w:val="en-GB"/>
              </w:rPr>
              <w:t xml:space="preserve"> </w:t>
            </w:r>
          </w:p>
          <w:p w14:paraId="2C1EC616" w14:textId="77777777" w:rsidR="0076298E" w:rsidRPr="00D14C15" w:rsidRDefault="0076298E">
            <w:pPr>
              <w:ind w:left="104" w:right="67"/>
              <w:jc w:val="both"/>
              <w:rPr>
                <w:rFonts w:cstheme="minorHAnsi"/>
                <w:lang w:val="en-GB"/>
              </w:rPr>
            </w:pPr>
          </w:p>
          <w:p w14:paraId="33A1FB08" w14:textId="77777777" w:rsidR="0076298E" w:rsidRPr="00D14C15" w:rsidRDefault="0032633A">
            <w:pPr>
              <w:pStyle w:val="P68B1DB1-Navaden9"/>
              <w:ind w:left="104" w:right="67"/>
              <w:jc w:val="both"/>
              <w:rPr>
                <w:rFonts w:cstheme="minorHAnsi"/>
                <w:lang w:val="en-GB"/>
              </w:rPr>
            </w:pPr>
            <w:r w:rsidRPr="00D14C15">
              <w:rPr>
                <w:lang w:val="en-GB"/>
              </w:rPr>
              <w:t xml:space="preserve">Slovenia </w:t>
            </w:r>
            <w:r w:rsidR="00D113EF">
              <w:rPr>
                <w:lang w:val="en-GB"/>
              </w:rPr>
              <w:t>is a significantly</w:t>
            </w:r>
            <w:r w:rsidRPr="00D14C15">
              <w:rPr>
                <w:lang w:val="en-GB"/>
              </w:rPr>
              <w:t xml:space="preserve"> rural </w:t>
            </w:r>
            <w:r w:rsidR="00D113EF">
              <w:rPr>
                <w:lang w:val="en-GB"/>
              </w:rPr>
              <w:t>e</w:t>
            </w:r>
            <w:r w:rsidRPr="00D14C15">
              <w:rPr>
                <w:lang w:val="en-GB"/>
              </w:rPr>
              <w:t>nvironment, with the vast majority of the population (almost 70%) living in settlements of less than 10,000 inhabitants</w:t>
            </w:r>
            <w:r w:rsidRPr="00D113EF">
              <w:rPr>
                <w:vertAlign w:val="superscript"/>
                <w:lang w:val="en-GB"/>
              </w:rPr>
              <w:footnoteReference w:id="57"/>
            </w:r>
            <w:r w:rsidRPr="00D14C15">
              <w:rPr>
                <w:lang w:val="en-GB"/>
              </w:rPr>
              <w:t xml:space="preserve">. The construction of broadband networks is slower and more expensive due to </w:t>
            </w:r>
            <w:r w:rsidR="007E74E4">
              <w:rPr>
                <w:lang w:val="en-GB"/>
              </w:rPr>
              <w:t>low population density of</w:t>
            </w:r>
            <w:r w:rsidRPr="00D14C15">
              <w:rPr>
                <w:lang w:val="en-GB"/>
              </w:rPr>
              <w:t xml:space="preserve"> rural areas and many hilly areas in Slovenia. With each covered white spot, construction is becoming even more expensive as </w:t>
            </w:r>
            <w:r w:rsidR="008F3A9E">
              <w:rPr>
                <w:lang w:val="en-GB"/>
              </w:rPr>
              <w:t>such areas</w:t>
            </w:r>
            <w:r w:rsidRPr="00D14C15">
              <w:rPr>
                <w:lang w:val="en-GB"/>
              </w:rPr>
              <w:t xml:space="preserve"> are </w:t>
            </w:r>
            <w:r w:rsidR="008F3A9E">
              <w:rPr>
                <w:lang w:val="en-GB"/>
              </w:rPr>
              <w:t>more and more</w:t>
            </w:r>
            <w:r w:rsidRPr="00D14C15">
              <w:rPr>
                <w:lang w:val="en-GB"/>
              </w:rPr>
              <w:t xml:space="preserve"> remote from the main high-capacity broadband networks. A combination of </w:t>
            </w:r>
            <w:r w:rsidR="007E74E4">
              <w:rPr>
                <w:lang w:val="en-GB"/>
              </w:rPr>
              <w:t>funding</w:t>
            </w:r>
            <w:r w:rsidRPr="00D14C15">
              <w:rPr>
                <w:lang w:val="en-GB"/>
              </w:rPr>
              <w:t xml:space="preserve"> from different sources is therefore necessary. </w:t>
            </w:r>
          </w:p>
          <w:p w14:paraId="68282EDB" w14:textId="77777777" w:rsidR="0076298E" w:rsidRPr="00D14C15" w:rsidRDefault="0076298E">
            <w:pPr>
              <w:ind w:left="104" w:right="67"/>
              <w:jc w:val="both"/>
              <w:rPr>
                <w:rFonts w:cstheme="minorHAnsi"/>
                <w:lang w:val="en-GB"/>
              </w:rPr>
            </w:pPr>
          </w:p>
          <w:p w14:paraId="689A764D" w14:textId="77777777" w:rsidR="0076298E" w:rsidRPr="00D14C15" w:rsidRDefault="0032633A">
            <w:pPr>
              <w:pStyle w:val="P68B1DB1-Navaden9"/>
              <w:ind w:left="104" w:right="67"/>
              <w:jc w:val="both"/>
              <w:rPr>
                <w:lang w:val="en-GB"/>
              </w:rPr>
            </w:pPr>
            <w:r w:rsidRPr="00D14C15">
              <w:rPr>
                <w:lang w:val="en-GB"/>
              </w:rPr>
              <w:t xml:space="preserve">The </w:t>
            </w:r>
            <w:r w:rsidR="00AD717F">
              <w:rPr>
                <w:rFonts w:eastAsia="Calibri"/>
                <w:lang w:val="en-GB"/>
              </w:rPr>
              <w:t>COVID</w:t>
            </w:r>
            <w:r w:rsidRPr="00D14C15">
              <w:rPr>
                <w:lang w:val="en-GB"/>
              </w:rPr>
              <w:t xml:space="preserve">-19 epidemic has further highlighted the problems in various areas that have demonstrated the need </w:t>
            </w:r>
            <w:r w:rsidR="007E74E4">
              <w:rPr>
                <w:lang w:val="en-GB"/>
              </w:rPr>
              <w:t>for</w:t>
            </w:r>
            <w:r w:rsidRPr="00D14C15">
              <w:rPr>
                <w:lang w:val="en-GB"/>
              </w:rPr>
              <w:t xml:space="preserve"> broadband. The provision of distance primary and secondary education has raised problems regarding the non-coverage of certain areas with fixed broadband infrastructure and disruptions in the functioning of online learning environments. The increased use of teleworking, which has many positive effects in the regions, </w:t>
            </w:r>
            <w:r w:rsidR="007E74E4">
              <w:rPr>
                <w:lang w:val="en-GB"/>
              </w:rPr>
              <w:t>was hindered</w:t>
            </w:r>
            <w:r w:rsidRPr="00D14C15">
              <w:rPr>
                <w:lang w:val="en-GB"/>
              </w:rPr>
              <w:t xml:space="preserve"> by the epidemic </w:t>
            </w:r>
            <w:r w:rsidR="007E74E4">
              <w:rPr>
                <w:lang w:val="en-GB"/>
              </w:rPr>
              <w:t xml:space="preserve">and </w:t>
            </w:r>
            <w:r w:rsidRPr="00D14C15">
              <w:rPr>
                <w:lang w:val="en-GB"/>
              </w:rPr>
              <w:t>in many cases</w:t>
            </w:r>
            <w:r w:rsidR="007E74E4">
              <w:rPr>
                <w:lang w:val="en-GB"/>
              </w:rPr>
              <w:t xml:space="preserve"> unrealisable</w:t>
            </w:r>
            <w:r w:rsidRPr="00D14C15">
              <w:rPr>
                <w:lang w:val="en-GB"/>
              </w:rPr>
              <w:t xml:space="preserve"> due to the lack of availability of high-performance broadband </w:t>
            </w:r>
            <w:r w:rsidRPr="00D14C15">
              <w:rPr>
                <w:lang w:val="en-GB"/>
              </w:rPr>
              <w:lastRenderedPageBreak/>
              <w:t>networks.</w:t>
            </w:r>
            <w:r w:rsidRPr="007E74E4">
              <w:rPr>
                <w:vertAlign w:val="superscript"/>
                <w:lang w:val="en-GB"/>
              </w:rPr>
              <w:footnoteReference w:id="58"/>
            </w:r>
          </w:p>
          <w:p w14:paraId="08B953A6" w14:textId="77777777" w:rsidR="0076298E" w:rsidRPr="00D14C15" w:rsidRDefault="0076298E">
            <w:pPr>
              <w:ind w:left="104" w:right="67"/>
              <w:jc w:val="both"/>
              <w:rPr>
                <w:rFonts w:cstheme="minorBidi"/>
                <w:lang w:val="en-GB"/>
              </w:rPr>
            </w:pPr>
          </w:p>
          <w:p w14:paraId="48CABB74" w14:textId="77777777" w:rsidR="0076298E" w:rsidRPr="00D14C15" w:rsidRDefault="00AC6618">
            <w:pPr>
              <w:pStyle w:val="P68B1DB1-Navaden1"/>
              <w:ind w:left="104" w:right="67"/>
              <w:jc w:val="both"/>
              <w:rPr>
                <w:lang w:val="en-GB"/>
              </w:rPr>
            </w:pPr>
            <w:r>
              <w:rPr>
                <w:lang w:val="en-GB"/>
              </w:rPr>
              <w:t>We will use grants</w:t>
            </w:r>
            <w:r w:rsidR="00600568" w:rsidRPr="00F664FB">
              <w:rPr>
                <w:lang w:val="en-GB"/>
              </w:rPr>
              <w:t>. A detailed justification is given in Chapter 2.</w:t>
            </w:r>
          </w:p>
        </w:tc>
      </w:tr>
      <w:tr w:rsidR="0076298E" w:rsidRPr="00D14C15" w14:paraId="366A8346" w14:textId="77777777" w:rsidTr="00E1518F">
        <w:trPr>
          <w:trHeight w:val="599"/>
        </w:trPr>
        <w:tc>
          <w:tcPr>
            <w:tcW w:w="2268" w:type="dxa"/>
            <w:vMerge w:val="restart"/>
          </w:tcPr>
          <w:p w14:paraId="4C9894EC" w14:textId="77777777" w:rsidR="0076298E" w:rsidRPr="00D14C15" w:rsidRDefault="007E74E4" w:rsidP="007E74E4">
            <w:pPr>
              <w:pStyle w:val="TableParagraph"/>
              <w:ind w:left="115"/>
              <w:rPr>
                <w:lang w:val="en-GB"/>
              </w:rPr>
            </w:pPr>
            <w:r>
              <w:rPr>
                <w:lang w:val="en-GB"/>
              </w:rPr>
              <w:lastRenderedPageBreak/>
              <w:t>PO</w:t>
            </w:r>
            <w:r w:rsidR="0032633A" w:rsidRPr="00D14C15">
              <w:rPr>
                <w:lang w:val="en-GB"/>
              </w:rPr>
              <w:t xml:space="preserve"> 2: A greener, low-carbon </w:t>
            </w:r>
            <w:r>
              <w:rPr>
                <w:lang w:val="en-GB"/>
              </w:rPr>
              <w:t xml:space="preserve">transitioning towards </w:t>
            </w:r>
            <w:r w:rsidR="0032633A" w:rsidRPr="00D14C15">
              <w:rPr>
                <w:lang w:val="en-GB"/>
              </w:rPr>
              <w:t xml:space="preserve">a </w:t>
            </w:r>
            <w:r>
              <w:rPr>
                <w:lang w:val="en-GB"/>
              </w:rPr>
              <w:t xml:space="preserve">net </w:t>
            </w:r>
            <w:r w:rsidR="0032633A" w:rsidRPr="00D14C15">
              <w:rPr>
                <w:lang w:val="en-GB"/>
              </w:rPr>
              <w:t>zero</w:t>
            </w:r>
            <w:r>
              <w:rPr>
                <w:lang w:val="en-GB"/>
              </w:rPr>
              <w:t xml:space="preserve"> </w:t>
            </w:r>
            <w:r w:rsidR="0032633A" w:rsidRPr="00D14C15">
              <w:rPr>
                <w:lang w:val="en-GB"/>
              </w:rPr>
              <w:t>carbon economy</w:t>
            </w:r>
            <w:r>
              <w:rPr>
                <w:lang w:val="en-GB"/>
              </w:rPr>
              <w:t xml:space="preserve"> and resilient Europe</w:t>
            </w:r>
            <w:r w:rsidR="0032633A" w:rsidRPr="00D14C15">
              <w:rPr>
                <w:lang w:val="en-GB"/>
              </w:rPr>
              <w:t xml:space="preserve"> by promoting c</w:t>
            </w:r>
            <w:r>
              <w:rPr>
                <w:lang w:val="en-GB"/>
              </w:rPr>
              <w:t>lean and fair energy transition</w:t>
            </w:r>
            <w:r w:rsidR="0032633A" w:rsidRPr="00D14C15">
              <w:rPr>
                <w:lang w:val="en-GB"/>
              </w:rPr>
              <w:t xml:space="preserve">, green and blue investment, </w:t>
            </w:r>
            <w:r>
              <w:rPr>
                <w:lang w:val="en-GB"/>
              </w:rPr>
              <w:t xml:space="preserve">the </w:t>
            </w:r>
            <w:r w:rsidR="0032633A" w:rsidRPr="00D14C15">
              <w:rPr>
                <w:lang w:val="en-GB"/>
              </w:rPr>
              <w:t>circular economy, climate change mitigation and adaptation, risk prevention and management and sustainable urban mobility</w:t>
            </w:r>
          </w:p>
        </w:tc>
        <w:tc>
          <w:tcPr>
            <w:tcW w:w="3119" w:type="dxa"/>
          </w:tcPr>
          <w:p w14:paraId="1495F356" w14:textId="77777777" w:rsidR="0076298E" w:rsidRPr="00D14C15" w:rsidRDefault="0032633A">
            <w:pPr>
              <w:pStyle w:val="P68B1DB1-Navaden1"/>
              <w:ind w:left="37"/>
              <w:rPr>
                <w:lang w:val="en-GB"/>
              </w:rPr>
            </w:pPr>
            <w:r w:rsidRPr="00D14C15">
              <w:rPr>
                <w:lang w:val="en-GB"/>
              </w:rPr>
              <w:t>P</w:t>
            </w:r>
            <w:r w:rsidR="002B47E4">
              <w:rPr>
                <w:lang w:val="en-GB"/>
              </w:rPr>
              <w:t xml:space="preserve">riority </w:t>
            </w:r>
            <w:r w:rsidRPr="00D14C15">
              <w:rPr>
                <w:lang w:val="en-GB"/>
              </w:rPr>
              <w:t xml:space="preserve">3: </w:t>
            </w:r>
            <w:r w:rsidR="009870E1" w:rsidRPr="009870E1">
              <w:rPr>
                <w:lang w:val="en-GB"/>
              </w:rPr>
              <w:t>Green t</w:t>
            </w:r>
            <w:r w:rsidRPr="009870E1">
              <w:rPr>
                <w:lang w:val="en-GB"/>
              </w:rPr>
              <w:t xml:space="preserve">ransformation for </w:t>
            </w:r>
            <w:r w:rsidR="009870E1" w:rsidRPr="009870E1">
              <w:rPr>
                <w:lang w:val="en-GB"/>
              </w:rPr>
              <w:t>c</w:t>
            </w:r>
            <w:r w:rsidRPr="009870E1">
              <w:rPr>
                <w:lang w:val="en-GB"/>
              </w:rPr>
              <w:t xml:space="preserve">limate </w:t>
            </w:r>
            <w:r w:rsidR="009870E1" w:rsidRPr="009870E1">
              <w:rPr>
                <w:lang w:val="en-GB"/>
              </w:rPr>
              <w:t>n</w:t>
            </w:r>
            <w:r w:rsidRPr="009870E1">
              <w:rPr>
                <w:lang w:val="en-GB"/>
              </w:rPr>
              <w:t>eutrality</w:t>
            </w:r>
            <w:r w:rsidRPr="00D14C15">
              <w:rPr>
                <w:lang w:val="en-GB"/>
              </w:rPr>
              <w:t xml:space="preserve"> </w:t>
            </w:r>
          </w:p>
          <w:p w14:paraId="57A4D64D" w14:textId="77777777" w:rsidR="0076298E" w:rsidRPr="00D14C15" w:rsidRDefault="0076298E">
            <w:pPr>
              <w:ind w:left="37"/>
              <w:rPr>
                <w:lang w:val="en-GB"/>
              </w:rPr>
            </w:pPr>
          </w:p>
          <w:p w14:paraId="69BE1A51" w14:textId="77777777" w:rsidR="0076298E" w:rsidRPr="00D14C15" w:rsidRDefault="0032633A">
            <w:pPr>
              <w:ind w:left="37"/>
              <w:rPr>
                <w:lang w:val="en-GB"/>
              </w:rPr>
            </w:pPr>
            <w:r w:rsidRPr="00D14C15">
              <w:rPr>
                <w:lang w:val="en-GB"/>
              </w:rPr>
              <w:t>RSO2.1: Promoting energy efficiency and reducing greenhouse gas emissions</w:t>
            </w:r>
          </w:p>
        </w:tc>
        <w:tc>
          <w:tcPr>
            <w:tcW w:w="8647" w:type="dxa"/>
          </w:tcPr>
          <w:p w14:paraId="3D04872B" w14:textId="77777777" w:rsidR="0076298E" w:rsidRPr="00D14C15" w:rsidRDefault="0004551D">
            <w:pPr>
              <w:pStyle w:val="P68B1DB1-Navaden10"/>
              <w:ind w:left="102" w:right="68"/>
              <w:jc w:val="both"/>
              <w:rPr>
                <w:lang w:val="en-GB"/>
              </w:rPr>
            </w:pPr>
            <w:r>
              <w:rPr>
                <w:lang w:val="en-GB"/>
              </w:rPr>
              <w:t>In the non-ETS sector,</w:t>
            </w:r>
            <w:r w:rsidRPr="00D14C15">
              <w:rPr>
                <w:lang w:val="en-GB"/>
              </w:rPr>
              <w:t xml:space="preserve"> </w:t>
            </w:r>
            <w:r w:rsidR="0032633A" w:rsidRPr="00D14C15">
              <w:rPr>
                <w:lang w:val="en-GB"/>
              </w:rPr>
              <w:t xml:space="preserve">GHG emissions were </w:t>
            </w:r>
            <w:r w:rsidR="00BD673A">
              <w:rPr>
                <w:lang w:val="en-GB"/>
              </w:rPr>
              <w:t>below</w:t>
            </w:r>
            <w:r w:rsidR="0032633A" w:rsidRPr="00D14C15">
              <w:rPr>
                <w:lang w:val="en-GB"/>
              </w:rPr>
              <w:t xml:space="preserve"> </w:t>
            </w:r>
            <w:r>
              <w:rPr>
                <w:lang w:val="en-GB"/>
              </w:rPr>
              <w:t>the</w:t>
            </w:r>
            <w:r w:rsidR="0032633A" w:rsidRPr="00D14C15">
              <w:rPr>
                <w:lang w:val="en-GB"/>
              </w:rPr>
              <w:t xml:space="preserve"> annual target </w:t>
            </w:r>
            <w:r>
              <w:rPr>
                <w:lang w:val="en-GB"/>
              </w:rPr>
              <w:t>by</w:t>
            </w:r>
            <w:r w:rsidR="0032633A" w:rsidRPr="00D14C15">
              <w:rPr>
                <w:lang w:val="en-GB"/>
              </w:rPr>
              <w:t xml:space="preserve"> 11.9%</w:t>
            </w:r>
            <w:r>
              <w:rPr>
                <w:lang w:val="en-GB"/>
              </w:rPr>
              <w:t xml:space="preserve"> in 2019</w:t>
            </w:r>
            <w:r w:rsidR="0032633A" w:rsidRPr="00D14C15">
              <w:rPr>
                <w:lang w:val="en-GB"/>
              </w:rPr>
              <w:t xml:space="preserve">, </w:t>
            </w:r>
            <w:r w:rsidR="00BD673A">
              <w:rPr>
                <w:lang w:val="en-GB"/>
              </w:rPr>
              <w:t xml:space="preserve">meaning that </w:t>
            </w:r>
            <w:r w:rsidR="0032633A" w:rsidRPr="00D14C15">
              <w:rPr>
                <w:lang w:val="en-GB"/>
              </w:rPr>
              <w:t>Slovenia</w:t>
            </w:r>
            <w:r w:rsidR="00BD673A">
              <w:rPr>
                <w:lang w:val="en-GB"/>
              </w:rPr>
              <w:t xml:space="preserve"> fulfilled the set</w:t>
            </w:r>
            <w:r w:rsidR="0032633A" w:rsidRPr="00D14C15">
              <w:rPr>
                <w:lang w:val="en-GB"/>
              </w:rPr>
              <w:t xml:space="preserve"> commitments and annual targets</w:t>
            </w:r>
            <w:r>
              <w:rPr>
                <w:lang w:val="en-GB"/>
              </w:rPr>
              <w:t>. T</w:t>
            </w:r>
            <w:r w:rsidR="0032633A" w:rsidRPr="00D14C15">
              <w:rPr>
                <w:lang w:val="en-GB"/>
              </w:rPr>
              <w:t>his does not</w:t>
            </w:r>
            <w:r>
              <w:rPr>
                <w:lang w:val="en-GB"/>
              </w:rPr>
              <w:t xml:space="preserve"> however mean that Slovenia is in control</w:t>
            </w:r>
            <w:r w:rsidR="0032633A" w:rsidRPr="00D14C15">
              <w:rPr>
                <w:lang w:val="en-GB"/>
              </w:rPr>
              <w:t xml:space="preserve"> </w:t>
            </w:r>
            <w:r>
              <w:rPr>
                <w:lang w:val="en-GB"/>
              </w:rPr>
              <w:t>of the GHG</w:t>
            </w:r>
            <w:r w:rsidR="0032633A" w:rsidRPr="00D14C15">
              <w:rPr>
                <w:lang w:val="en-GB"/>
              </w:rPr>
              <w:t xml:space="preserve"> in the long term.</w:t>
            </w:r>
          </w:p>
          <w:p w14:paraId="71C24C1E" w14:textId="77777777" w:rsidR="0076298E" w:rsidRPr="00D14C15" w:rsidRDefault="0076298E">
            <w:pPr>
              <w:ind w:left="102" w:right="68"/>
              <w:jc w:val="both"/>
              <w:rPr>
                <w:rFonts w:cstheme="minorHAnsi"/>
                <w:lang w:val="en-GB"/>
              </w:rPr>
            </w:pPr>
          </w:p>
          <w:p w14:paraId="45EF1063" w14:textId="77777777" w:rsidR="0076298E" w:rsidRPr="00D14C15" w:rsidRDefault="0032633A">
            <w:pPr>
              <w:pStyle w:val="TableParagraph"/>
              <w:ind w:left="102" w:right="68"/>
              <w:jc w:val="both"/>
              <w:rPr>
                <w:lang w:val="en-GB"/>
              </w:rPr>
            </w:pPr>
            <w:r w:rsidRPr="00D14C15">
              <w:rPr>
                <w:lang w:val="en-GB"/>
              </w:rPr>
              <w:t xml:space="preserve">Despite the reduction in the use of primary energy in the non-ETS sector for </w:t>
            </w:r>
            <w:r w:rsidR="00BD673A">
              <w:rPr>
                <w:lang w:val="en-GB"/>
              </w:rPr>
              <w:t>a</w:t>
            </w:r>
            <w:r w:rsidRPr="00D14C15">
              <w:rPr>
                <w:lang w:val="en-GB"/>
              </w:rPr>
              <w:t xml:space="preserve"> third year </w:t>
            </w:r>
            <w:r w:rsidR="0004551D">
              <w:rPr>
                <w:lang w:val="en-GB"/>
              </w:rPr>
              <w:t xml:space="preserve">in a row </w:t>
            </w:r>
            <w:r w:rsidRPr="00D14C15">
              <w:rPr>
                <w:lang w:val="en-GB"/>
              </w:rPr>
              <w:t xml:space="preserve">(by 2.62% compared to 2019) in 2020, achieving the 2030 targets will be crucial as progress is too slow. Slovenia achieved only 65% of EU emissions productivity in 2020. The link between economic development measures and measures to reduce GHG emissions will need to be further strengthened. Despite seemingly favourable trends in achieving the primary energy consumption target, current efforts to increase energy efficiency will not be sufficient to manage energy use and GHG emissions. This is also illustrated by the fact that </w:t>
            </w:r>
            <w:r w:rsidR="0004551D">
              <w:rPr>
                <w:lang w:val="en-GB"/>
              </w:rPr>
              <w:t xml:space="preserve">Slovenia is </w:t>
            </w:r>
            <w:r w:rsidRPr="00D14C15">
              <w:rPr>
                <w:lang w:val="en-GB"/>
              </w:rPr>
              <w:t xml:space="preserve">not meeting the </w:t>
            </w:r>
            <w:r w:rsidR="0004551D">
              <w:rPr>
                <w:lang w:val="en-GB"/>
              </w:rPr>
              <w:t xml:space="preserve">annual </w:t>
            </w:r>
            <w:r w:rsidRPr="00D14C15">
              <w:rPr>
                <w:lang w:val="en-GB"/>
              </w:rPr>
              <w:t>energy renovation target of 3% of the total floor area of buildings owned and occupied by the central government. Energy renovation of buildings (public, private service and multi-apartment), including the deployment of digital smart building technologies, is one of the measures to reduce energy use and GHG emissions</w:t>
            </w:r>
            <w:r w:rsidR="00BD673A">
              <w:rPr>
                <w:lang w:val="en-GB"/>
              </w:rPr>
              <w:t>. T</w:t>
            </w:r>
            <w:r w:rsidRPr="00D14C15">
              <w:rPr>
                <w:lang w:val="en-GB"/>
              </w:rPr>
              <w:t>herefore</w:t>
            </w:r>
            <w:r w:rsidR="00BD673A">
              <w:rPr>
                <w:lang w:val="en-GB"/>
              </w:rPr>
              <w:t>,</w:t>
            </w:r>
            <w:r w:rsidRPr="00D14C15">
              <w:rPr>
                <w:lang w:val="en-GB"/>
              </w:rPr>
              <w:t xml:space="preserve"> the implementation of instruments in this area needs to be strengthened and expanded in line with the planned </w:t>
            </w:r>
            <w:r w:rsidR="00BD673A">
              <w:rPr>
                <w:lang w:val="en-GB"/>
              </w:rPr>
              <w:t>measures</w:t>
            </w:r>
            <w:r w:rsidRPr="00D14C15">
              <w:rPr>
                <w:lang w:val="en-GB"/>
              </w:rPr>
              <w:t xml:space="preserve"> </w:t>
            </w:r>
            <w:r w:rsidR="00BD673A">
              <w:rPr>
                <w:lang w:val="en-GB"/>
              </w:rPr>
              <w:t>under</w:t>
            </w:r>
            <w:r w:rsidRPr="00D14C15">
              <w:rPr>
                <w:lang w:val="en-GB"/>
              </w:rPr>
              <w:t xml:space="preserve"> </w:t>
            </w:r>
            <w:r w:rsidRPr="00E6138C">
              <w:rPr>
                <w:lang w:val="en-GB"/>
              </w:rPr>
              <w:t>DSEPS</w:t>
            </w:r>
            <w:r w:rsidRPr="00D14C15">
              <w:rPr>
                <w:lang w:val="en-GB"/>
              </w:rPr>
              <w:t xml:space="preserve"> 2050. </w:t>
            </w:r>
          </w:p>
          <w:p w14:paraId="7F54789B" w14:textId="77777777" w:rsidR="0076298E" w:rsidRPr="00D14C15" w:rsidRDefault="0076298E">
            <w:pPr>
              <w:pStyle w:val="TableParagraph"/>
              <w:ind w:left="102" w:right="68"/>
              <w:jc w:val="both"/>
              <w:rPr>
                <w:lang w:val="en-GB"/>
              </w:rPr>
            </w:pPr>
          </w:p>
          <w:p w14:paraId="66A3DFEC" w14:textId="77777777" w:rsidR="0076298E" w:rsidRPr="00D14C15" w:rsidRDefault="0032633A">
            <w:pPr>
              <w:pStyle w:val="TableParagraph"/>
              <w:ind w:left="102" w:right="68"/>
              <w:jc w:val="both"/>
              <w:rPr>
                <w:lang w:val="en-GB"/>
              </w:rPr>
            </w:pPr>
            <w:r w:rsidRPr="00D14C15">
              <w:rPr>
                <w:lang w:val="en-GB"/>
              </w:rPr>
              <w:t xml:space="preserve">In the case of multi-apartment buildings, a number of </w:t>
            </w:r>
            <w:r w:rsidR="00F81ADE">
              <w:rPr>
                <w:lang w:val="en-GB"/>
              </w:rPr>
              <w:t>obstacles</w:t>
            </w:r>
            <w:r w:rsidRPr="00D14C15">
              <w:rPr>
                <w:lang w:val="en-GB"/>
              </w:rPr>
              <w:t xml:space="preserve"> and </w:t>
            </w:r>
            <w:r w:rsidR="00F81ADE">
              <w:rPr>
                <w:lang w:val="en-GB"/>
              </w:rPr>
              <w:t xml:space="preserve">limitations </w:t>
            </w:r>
            <w:r w:rsidRPr="00D14C15">
              <w:rPr>
                <w:lang w:val="en-GB"/>
              </w:rPr>
              <w:t>have been identified that make it difficult to decide spontaneously for energy renovation, e.g. diffuse ownership, demographic structure and unmotivation of owners, energy poverty, sharing incentives between owners and tenants</w:t>
            </w:r>
            <w:r w:rsidRPr="00D14C15">
              <w:rPr>
                <w:rStyle w:val="Sprotnaopomba-sklic"/>
                <w:lang w:val="en-GB"/>
              </w:rPr>
              <w:footnoteReference w:id="59"/>
            </w:r>
            <w:r w:rsidRPr="00D14C15">
              <w:rPr>
                <w:lang w:val="en-GB"/>
              </w:rPr>
              <w:t xml:space="preserve">. </w:t>
            </w:r>
            <w:r w:rsidR="00BD673A">
              <w:rPr>
                <w:lang w:val="en-GB"/>
              </w:rPr>
              <w:t xml:space="preserve">Such buildings </w:t>
            </w:r>
            <w:r w:rsidRPr="00D14C15">
              <w:rPr>
                <w:lang w:val="en-GB"/>
              </w:rPr>
              <w:t xml:space="preserve">need integrated renovations </w:t>
            </w:r>
            <w:r w:rsidR="00BD673A">
              <w:rPr>
                <w:lang w:val="en-GB"/>
              </w:rPr>
              <w:t xml:space="preserve">from </w:t>
            </w:r>
            <w:r w:rsidRPr="00D14C15">
              <w:rPr>
                <w:lang w:val="en-GB"/>
              </w:rPr>
              <w:t>other aspects (earthquake, fire,</w:t>
            </w:r>
            <w:r w:rsidR="00F81ADE">
              <w:rPr>
                <w:lang w:val="en-GB"/>
              </w:rPr>
              <w:t xml:space="preserve"> etc.</w:t>
            </w:r>
            <w:r w:rsidRPr="00D14C15">
              <w:rPr>
                <w:lang w:val="en-GB"/>
              </w:rPr>
              <w:t xml:space="preserve">). </w:t>
            </w:r>
          </w:p>
          <w:p w14:paraId="37D24643" w14:textId="77777777" w:rsidR="0076298E" w:rsidRPr="00D14C15" w:rsidRDefault="0076298E">
            <w:pPr>
              <w:pStyle w:val="TableParagraph"/>
              <w:ind w:left="104" w:right="67"/>
              <w:jc w:val="both"/>
              <w:rPr>
                <w:lang w:val="en-GB"/>
              </w:rPr>
            </w:pPr>
          </w:p>
          <w:p w14:paraId="18DE56E7" w14:textId="77777777" w:rsidR="0076298E" w:rsidRPr="00D14C15" w:rsidRDefault="00F81ADE">
            <w:pPr>
              <w:pStyle w:val="TableParagraph"/>
              <w:ind w:left="104" w:right="67"/>
              <w:jc w:val="both"/>
              <w:rPr>
                <w:lang w:val="en-GB"/>
              </w:rPr>
            </w:pPr>
            <w:r>
              <w:rPr>
                <w:lang w:val="en-GB"/>
              </w:rPr>
              <w:t>According to the 2020 Living</w:t>
            </w:r>
            <w:r w:rsidR="0032633A" w:rsidRPr="00D14C15">
              <w:rPr>
                <w:lang w:val="en-GB"/>
              </w:rPr>
              <w:t xml:space="preserve"> Conditions Survey (EU-SILC), the at-risk-of-poverty </w:t>
            </w:r>
            <w:r>
              <w:rPr>
                <w:lang w:val="en-GB"/>
              </w:rPr>
              <w:t xml:space="preserve">stood at </w:t>
            </w:r>
            <w:r w:rsidR="0032633A" w:rsidRPr="00D14C15">
              <w:rPr>
                <w:lang w:val="en-GB"/>
              </w:rPr>
              <w:t>12.4</w:t>
            </w:r>
            <w:r>
              <w:rPr>
                <w:lang w:val="en-GB"/>
              </w:rPr>
              <w:t>% (254,</w:t>
            </w:r>
            <w:r w:rsidR="0032633A" w:rsidRPr="00D14C15">
              <w:rPr>
                <w:lang w:val="en-GB"/>
              </w:rPr>
              <w:t xml:space="preserve">000 people), which also has an impact on </w:t>
            </w:r>
            <w:r>
              <w:rPr>
                <w:lang w:val="en-GB"/>
              </w:rPr>
              <w:t xml:space="preserve">the </w:t>
            </w:r>
            <w:r w:rsidR="0032633A" w:rsidRPr="00D14C15">
              <w:rPr>
                <w:lang w:val="en-GB"/>
              </w:rPr>
              <w:t>so-called energy poverty. The largest number</w:t>
            </w:r>
            <w:r>
              <w:rPr>
                <w:lang w:val="en-GB"/>
              </w:rPr>
              <w:t xml:space="preserve"> of these were retired people (38.2</w:t>
            </w:r>
            <w:r w:rsidR="0032633A" w:rsidRPr="00D14C15">
              <w:rPr>
                <w:lang w:val="en-GB"/>
              </w:rPr>
              <w:t>% a</w:t>
            </w:r>
            <w:r>
              <w:rPr>
                <w:lang w:val="en-GB"/>
              </w:rPr>
              <w:t>nd 19.5</w:t>
            </w:r>
            <w:r w:rsidR="0032633A" w:rsidRPr="00D14C15">
              <w:rPr>
                <w:lang w:val="en-GB"/>
              </w:rPr>
              <w:t xml:space="preserve">% of all </w:t>
            </w:r>
            <w:r>
              <w:rPr>
                <w:lang w:val="en-GB"/>
              </w:rPr>
              <w:t>retired people</w:t>
            </w:r>
            <w:r w:rsidR="0032633A" w:rsidRPr="00D14C15">
              <w:rPr>
                <w:lang w:val="en-GB"/>
              </w:rPr>
              <w:t>), followed by labour-active (5</w:t>
            </w:r>
            <w:r>
              <w:rPr>
                <w:lang w:val="en-GB"/>
              </w:rPr>
              <w:t xml:space="preserve">% of </w:t>
            </w:r>
            <w:r w:rsidR="00BD673A">
              <w:rPr>
                <w:lang w:val="en-GB"/>
              </w:rPr>
              <w:t>the entire</w:t>
            </w:r>
            <w:r>
              <w:rPr>
                <w:lang w:val="en-GB"/>
              </w:rPr>
              <w:t xml:space="preserve"> working</w:t>
            </w:r>
            <w:r w:rsidR="00BD673A">
              <w:rPr>
                <w:lang w:val="en-GB"/>
              </w:rPr>
              <w:t>-age population</w:t>
            </w:r>
            <w:r>
              <w:rPr>
                <w:lang w:val="en-GB"/>
              </w:rPr>
              <w:t>), minors (10.5</w:t>
            </w:r>
            <w:r w:rsidR="0032633A" w:rsidRPr="00D14C15">
              <w:rPr>
                <w:lang w:val="en-GB"/>
              </w:rPr>
              <w:t>% of all children), unemployed (43.4% of a</w:t>
            </w:r>
            <w:r>
              <w:rPr>
                <w:lang w:val="en-GB"/>
              </w:rPr>
              <w:t>ll unemployed) and others (19.6</w:t>
            </w:r>
            <w:r w:rsidR="0032633A" w:rsidRPr="00D14C15">
              <w:rPr>
                <w:lang w:val="en-GB"/>
              </w:rPr>
              <w:t xml:space="preserve">% of all incapacitated, </w:t>
            </w:r>
            <w:r>
              <w:rPr>
                <w:lang w:val="en-GB"/>
              </w:rPr>
              <w:t>housewives</w:t>
            </w:r>
            <w:r w:rsidR="0032633A" w:rsidRPr="00D14C15">
              <w:rPr>
                <w:lang w:val="en-GB"/>
              </w:rPr>
              <w:t>, students, other inactive and non-classified persons).</w:t>
            </w:r>
            <w:r>
              <w:rPr>
                <w:lang w:val="en-GB"/>
              </w:rPr>
              <w:t xml:space="preserve"> T</w:t>
            </w:r>
            <w:r w:rsidR="0032633A" w:rsidRPr="00D14C15">
              <w:rPr>
                <w:lang w:val="en-GB"/>
              </w:rPr>
              <w:t xml:space="preserve">he at-risk-of-poverty rate was higher in </w:t>
            </w:r>
            <w:r w:rsidR="006D642C">
              <w:rPr>
                <w:lang w:val="en-GB"/>
              </w:rPr>
              <w:t xml:space="preserve">the Eastern </w:t>
            </w:r>
            <w:r w:rsidR="006D642C">
              <w:rPr>
                <w:lang w:val="en-GB"/>
              </w:rPr>
              <w:lastRenderedPageBreak/>
              <w:t>Slovenia cohesion region</w:t>
            </w:r>
            <w:r w:rsidR="006D642C" w:rsidRPr="00D14C15">
              <w:rPr>
                <w:lang w:val="en-GB"/>
              </w:rPr>
              <w:t xml:space="preserve"> </w:t>
            </w:r>
            <w:r w:rsidR="0032633A" w:rsidRPr="00D14C15">
              <w:rPr>
                <w:lang w:val="en-GB"/>
              </w:rPr>
              <w:t xml:space="preserve">than in </w:t>
            </w:r>
            <w:r w:rsidR="006D642C">
              <w:rPr>
                <w:rFonts w:eastAsia="Calibri"/>
                <w:lang w:val="en-GB"/>
              </w:rPr>
              <w:t>the Western Slovenia cohesion region</w:t>
            </w:r>
            <w:r w:rsidR="0032633A" w:rsidRPr="00D14C15">
              <w:rPr>
                <w:lang w:val="en-GB"/>
              </w:rPr>
              <w:t xml:space="preserve">. </w:t>
            </w:r>
          </w:p>
          <w:p w14:paraId="24B8983D" w14:textId="77777777" w:rsidR="0076298E" w:rsidRPr="00D14C15" w:rsidRDefault="0076298E">
            <w:pPr>
              <w:pStyle w:val="TableParagraph"/>
              <w:ind w:left="104" w:right="67"/>
              <w:jc w:val="both"/>
              <w:rPr>
                <w:lang w:val="en-GB"/>
              </w:rPr>
            </w:pPr>
          </w:p>
          <w:p w14:paraId="58B5181A" w14:textId="77777777" w:rsidR="0076298E" w:rsidRPr="00D14C15" w:rsidRDefault="00AC6618" w:rsidP="00AC6618">
            <w:pPr>
              <w:pStyle w:val="TableParagraph"/>
              <w:ind w:left="104" w:right="67"/>
              <w:jc w:val="both"/>
              <w:rPr>
                <w:lang w:val="en-GB"/>
              </w:rPr>
            </w:pPr>
            <w:r>
              <w:rPr>
                <w:lang w:val="en-GB"/>
              </w:rPr>
              <w:t xml:space="preserve">We will use grants </w:t>
            </w:r>
            <w:r w:rsidR="00BD673A">
              <w:rPr>
                <w:lang w:val="en-GB"/>
              </w:rPr>
              <w:t>and reimbursable funds</w:t>
            </w:r>
            <w:r w:rsidR="00BD673A" w:rsidRPr="00F664FB">
              <w:rPr>
                <w:lang w:val="en-GB"/>
              </w:rPr>
              <w:t>. A detailed justification is given in Chapter 2.</w:t>
            </w:r>
          </w:p>
        </w:tc>
      </w:tr>
      <w:tr w:rsidR="0076298E" w:rsidRPr="00D14C15" w14:paraId="193B3769" w14:textId="77777777" w:rsidTr="00E1518F">
        <w:trPr>
          <w:trHeight w:val="264"/>
        </w:trPr>
        <w:tc>
          <w:tcPr>
            <w:tcW w:w="2268" w:type="dxa"/>
            <w:vMerge/>
          </w:tcPr>
          <w:p w14:paraId="2F3AE880" w14:textId="77777777" w:rsidR="0076298E" w:rsidRPr="00D14C15" w:rsidRDefault="0076298E">
            <w:pPr>
              <w:pStyle w:val="TableParagraph"/>
              <w:ind w:left="115"/>
              <w:rPr>
                <w:lang w:val="en-GB"/>
              </w:rPr>
            </w:pPr>
          </w:p>
        </w:tc>
        <w:tc>
          <w:tcPr>
            <w:tcW w:w="3119" w:type="dxa"/>
          </w:tcPr>
          <w:p w14:paraId="01F648B3" w14:textId="77777777" w:rsidR="0076298E" w:rsidRPr="00D14C15" w:rsidRDefault="008B2F73">
            <w:pPr>
              <w:pStyle w:val="P68B1DB1-Navaden1"/>
              <w:ind w:left="37"/>
              <w:rPr>
                <w:lang w:val="en-GB"/>
              </w:rPr>
            </w:pPr>
            <w:r>
              <w:rPr>
                <w:lang w:val="en-GB"/>
              </w:rPr>
              <w:t>P</w:t>
            </w:r>
            <w:r w:rsidR="002B47E4">
              <w:rPr>
                <w:lang w:val="en-GB"/>
              </w:rPr>
              <w:t xml:space="preserve">riority </w:t>
            </w:r>
            <w:r w:rsidR="0032633A" w:rsidRPr="00D14C15">
              <w:rPr>
                <w:lang w:val="en-GB"/>
              </w:rPr>
              <w:t xml:space="preserve">3: </w:t>
            </w:r>
            <w:r w:rsidR="009870E1">
              <w:rPr>
                <w:lang w:val="en-GB"/>
              </w:rPr>
              <w:t>Green t</w:t>
            </w:r>
            <w:r w:rsidR="0032633A" w:rsidRPr="009870E1">
              <w:rPr>
                <w:lang w:val="en-GB"/>
              </w:rPr>
              <w:t xml:space="preserve">ransformation for </w:t>
            </w:r>
            <w:r w:rsidR="009870E1">
              <w:rPr>
                <w:lang w:val="en-GB"/>
              </w:rPr>
              <w:t>c</w:t>
            </w:r>
            <w:r w:rsidR="0032633A" w:rsidRPr="009870E1">
              <w:rPr>
                <w:lang w:val="en-GB"/>
              </w:rPr>
              <w:t xml:space="preserve">limate </w:t>
            </w:r>
            <w:r w:rsidR="009870E1">
              <w:rPr>
                <w:lang w:val="en-GB"/>
              </w:rPr>
              <w:t>n</w:t>
            </w:r>
            <w:r w:rsidR="0032633A" w:rsidRPr="009870E1">
              <w:rPr>
                <w:lang w:val="en-GB"/>
              </w:rPr>
              <w:t>eutrality</w:t>
            </w:r>
            <w:r w:rsidR="0032633A" w:rsidRPr="00D14C15">
              <w:rPr>
                <w:lang w:val="en-GB"/>
              </w:rPr>
              <w:t xml:space="preserve"> </w:t>
            </w:r>
          </w:p>
          <w:p w14:paraId="604FB878" w14:textId="77777777" w:rsidR="0076298E" w:rsidRPr="00D14C15" w:rsidRDefault="0076298E">
            <w:pPr>
              <w:ind w:left="37"/>
              <w:rPr>
                <w:lang w:val="en-GB"/>
              </w:rPr>
            </w:pPr>
          </w:p>
          <w:p w14:paraId="6D64AB56" w14:textId="77777777" w:rsidR="0076298E" w:rsidRPr="00D14C15" w:rsidRDefault="0032633A" w:rsidP="008B2F73">
            <w:pPr>
              <w:ind w:left="37"/>
              <w:rPr>
                <w:lang w:val="en-GB"/>
              </w:rPr>
            </w:pPr>
            <w:r w:rsidRPr="00D14C15">
              <w:rPr>
                <w:lang w:val="en-GB"/>
              </w:rPr>
              <w:t xml:space="preserve">RSO2.2: </w:t>
            </w:r>
            <w:r w:rsidR="008B2F73">
              <w:rPr>
                <w:lang w:val="en-GB"/>
              </w:rPr>
              <w:t xml:space="preserve">Promoting renewable energy </w:t>
            </w:r>
            <w:r w:rsidRPr="00D14C15">
              <w:rPr>
                <w:lang w:val="en-GB"/>
              </w:rPr>
              <w:t xml:space="preserve">in accordance with </w:t>
            </w:r>
            <w:r w:rsidR="008B2F73">
              <w:rPr>
                <w:lang w:val="en-GB"/>
              </w:rPr>
              <w:t xml:space="preserve">Renewable Energy </w:t>
            </w:r>
            <w:r w:rsidRPr="00D14C15">
              <w:rPr>
                <w:lang w:val="en-GB"/>
              </w:rPr>
              <w:t xml:space="preserve">Directive (EU) 2018/200, including the sustainability criteria set out </w:t>
            </w:r>
            <w:r w:rsidR="008B2F73">
              <w:rPr>
                <w:lang w:val="en-GB"/>
              </w:rPr>
              <w:t>therein</w:t>
            </w:r>
          </w:p>
        </w:tc>
        <w:tc>
          <w:tcPr>
            <w:tcW w:w="8647" w:type="dxa"/>
          </w:tcPr>
          <w:p w14:paraId="4A0DE79F" w14:textId="77777777" w:rsidR="0076298E" w:rsidRPr="00D14C15" w:rsidRDefault="0032633A">
            <w:pPr>
              <w:ind w:left="104" w:right="67"/>
              <w:jc w:val="both"/>
              <w:rPr>
                <w:rFonts w:eastAsiaTheme="minorEastAsia" w:cstheme="minorBidi"/>
                <w:lang w:val="en-GB"/>
              </w:rPr>
            </w:pPr>
            <w:r w:rsidRPr="00D14C15">
              <w:rPr>
                <w:rFonts w:eastAsiaTheme="minorEastAsia" w:cstheme="minorBidi"/>
                <w:lang w:val="en-GB"/>
              </w:rPr>
              <w:t xml:space="preserve">In the period </w:t>
            </w:r>
            <w:r w:rsidR="009635B4">
              <w:rPr>
                <w:rFonts w:eastAsiaTheme="minorEastAsia" w:cstheme="minorBidi"/>
                <w:lang w:val="en-GB"/>
              </w:rPr>
              <w:t xml:space="preserve">between </w:t>
            </w:r>
            <w:r w:rsidRPr="00D14C15">
              <w:rPr>
                <w:rFonts w:eastAsiaTheme="minorEastAsia" w:cstheme="minorBidi"/>
                <w:lang w:val="en-GB"/>
              </w:rPr>
              <w:t>2005</w:t>
            </w:r>
            <w:r w:rsidR="009635B4">
              <w:rPr>
                <w:rFonts w:eastAsiaTheme="minorEastAsia" w:cstheme="minorBidi"/>
                <w:lang w:val="en-GB"/>
              </w:rPr>
              <w:t xml:space="preserve"> and </w:t>
            </w:r>
            <w:r w:rsidRPr="00D14C15">
              <w:rPr>
                <w:rFonts w:eastAsiaTheme="minorEastAsia" w:cstheme="minorBidi"/>
                <w:lang w:val="en-GB"/>
              </w:rPr>
              <w:t xml:space="preserve">2019, the </w:t>
            </w:r>
            <w:r w:rsidR="009D4C8E">
              <w:rPr>
                <w:rFonts w:eastAsiaTheme="minorEastAsia" w:cstheme="minorBidi"/>
                <w:lang w:val="en-GB"/>
              </w:rPr>
              <w:t xml:space="preserve">increase of the </w:t>
            </w:r>
            <w:r w:rsidRPr="00D14C15">
              <w:rPr>
                <w:rFonts w:eastAsiaTheme="minorEastAsia" w:cstheme="minorBidi"/>
                <w:lang w:val="en-GB"/>
              </w:rPr>
              <w:t xml:space="preserve">share of RES in Slovenia </w:t>
            </w:r>
            <w:r w:rsidR="00EB48FB">
              <w:rPr>
                <w:rFonts w:eastAsiaTheme="minorEastAsia" w:cstheme="minorBidi"/>
                <w:lang w:val="en-GB"/>
              </w:rPr>
              <w:t xml:space="preserve">was the lowest </w:t>
            </w:r>
            <w:r w:rsidR="009D4C8E">
              <w:rPr>
                <w:rFonts w:eastAsiaTheme="minorEastAsia" w:cstheme="minorBidi"/>
                <w:lang w:val="en-GB"/>
              </w:rPr>
              <w:t>compared to other M</w:t>
            </w:r>
            <w:r w:rsidRPr="00D14C15">
              <w:rPr>
                <w:rFonts w:eastAsiaTheme="minorEastAsia" w:cstheme="minorBidi"/>
                <w:lang w:val="en-GB"/>
              </w:rPr>
              <w:t>ember States; in terms of the use of resources such as wind, solar and geothermal energy, Slovenia is close to the bottom of the scale of the EU Member States</w:t>
            </w:r>
            <w:r w:rsidRPr="00D14C15">
              <w:rPr>
                <w:rStyle w:val="Sprotnaopomba-sklic"/>
                <w:rFonts w:eastAsiaTheme="minorEastAsia"/>
                <w:lang w:val="en-GB"/>
              </w:rPr>
              <w:footnoteReference w:id="60"/>
            </w:r>
            <w:r w:rsidRPr="00D14C15">
              <w:rPr>
                <w:rFonts w:eastAsiaTheme="minorEastAsia" w:cstheme="minorBidi"/>
                <w:lang w:val="en-GB"/>
              </w:rPr>
              <w:t xml:space="preserve">. In addition to not reaching the 2020 target, Slovenia is also quite far from </w:t>
            </w:r>
            <w:r w:rsidR="00FD4C40">
              <w:rPr>
                <w:rFonts w:eastAsiaTheme="minorEastAsia" w:cstheme="minorBidi"/>
                <w:lang w:val="en-GB"/>
              </w:rPr>
              <w:t xml:space="preserve">meeting the </w:t>
            </w:r>
            <w:r w:rsidR="00CE280E">
              <w:rPr>
                <w:rFonts w:eastAsiaTheme="minorEastAsia" w:cstheme="minorBidi"/>
                <w:lang w:val="en-GB"/>
              </w:rPr>
              <w:t>SD</w:t>
            </w:r>
            <w:r w:rsidRPr="00D14C15">
              <w:rPr>
                <w:rFonts w:eastAsiaTheme="minorEastAsia" w:cstheme="minorBidi"/>
                <w:lang w:val="en-GB"/>
              </w:rPr>
              <w:t xml:space="preserve">S 2030 and </w:t>
            </w:r>
            <w:r w:rsidRPr="00677903">
              <w:rPr>
                <w:rFonts w:eastAsiaTheme="minorEastAsia" w:cstheme="minorBidi"/>
                <w:lang w:val="en-GB"/>
              </w:rPr>
              <w:t>NECP</w:t>
            </w:r>
            <w:r w:rsidRPr="00D14C15">
              <w:rPr>
                <w:rFonts w:eastAsiaTheme="minorEastAsia" w:cstheme="minorBidi"/>
                <w:lang w:val="en-GB"/>
              </w:rPr>
              <w:t xml:space="preserve"> targets, i.e. 27% of RES in final energy consumption by 2030 (compa</w:t>
            </w:r>
            <w:r w:rsidR="00FD4C40">
              <w:rPr>
                <w:rFonts w:eastAsiaTheme="minorEastAsia" w:cstheme="minorBidi"/>
                <w:lang w:val="en-GB"/>
              </w:rPr>
              <w:t>red to the baseline value of 22</w:t>
            </w:r>
            <w:r w:rsidRPr="00D14C15">
              <w:rPr>
                <w:rFonts w:eastAsiaTheme="minorEastAsia" w:cstheme="minorBidi"/>
                <w:lang w:val="en-GB"/>
              </w:rPr>
              <w:t xml:space="preserve">% in 2015). </w:t>
            </w:r>
            <w:r w:rsidR="00FD4C40" w:rsidRPr="00D14C15">
              <w:rPr>
                <w:rFonts w:eastAsiaTheme="minorEastAsia" w:cstheme="minorBidi"/>
                <w:lang w:val="en-GB"/>
              </w:rPr>
              <w:t>Slovenia</w:t>
            </w:r>
            <w:r w:rsidR="00EB48FB">
              <w:rPr>
                <w:rFonts w:eastAsiaTheme="minorEastAsia" w:cstheme="minorBidi"/>
                <w:lang w:val="en-GB"/>
              </w:rPr>
              <w:t>’s</w:t>
            </w:r>
            <w:r w:rsidR="00FD4C40" w:rsidRPr="00D14C15">
              <w:rPr>
                <w:rFonts w:eastAsiaTheme="minorEastAsia" w:cstheme="minorBidi"/>
                <w:lang w:val="en-GB"/>
              </w:rPr>
              <w:t xml:space="preserve"> </w:t>
            </w:r>
            <w:r w:rsidR="00EB48FB" w:rsidRPr="00D14C15">
              <w:rPr>
                <w:rFonts w:eastAsiaTheme="minorEastAsia" w:cstheme="minorBidi"/>
                <w:lang w:val="en-GB"/>
              </w:rPr>
              <w:t>structure of RES</w:t>
            </w:r>
            <w:r w:rsidR="00EB48FB">
              <w:rPr>
                <w:rFonts w:eastAsiaTheme="minorEastAsia" w:cstheme="minorBidi"/>
                <w:lang w:val="en-GB"/>
              </w:rPr>
              <w:t xml:space="preserve"> is marked by </w:t>
            </w:r>
            <w:r w:rsidR="00FD4C40" w:rsidRPr="00D14C15">
              <w:rPr>
                <w:rFonts w:eastAsiaTheme="minorEastAsia" w:cstheme="minorBidi"/>
                <w:lang w:val="en-GB"/>
              </w:rPr>
              <w:t>a large share of conventional and smaller shares of other sources</w:t>
            </w:r>
            <w:r w:rsidRPr="00D14C15">
              <w:rPr>
                <w:rFonts w:eastAsiaTheme="minorEastAsia" w:cstheme="minorBidi"/>
                <w:lang w:val="en-GB"/>
              </w:rPr>
              <w:t xml:space="preserve">, and </w:t>
            </w:r>
            <w:r w:rsidR="00EB48FB">
              <w:rPr>
                <w:rFonts w:eastAsiaTheme="minorEastAsia" w:cstheme="minorBidi"/>
                <w:lang w:val="en-GB"/>
              </w:rPr>
              <w:t>the country is</w:t>
            </w:r>
            <w:r w:rsidRPr="00D14C15">
              <w:rPr>
                <w:rFonts w:eastAsiaTheme="minorEastAsia" w:cstheme="minorBidi"/>
                <w:lang w:val="en-GB"/>
              </w:rPr>
              <w:t xml:space="preserve"> particularly lagging behind in the field of the use of wind turbines and heat pumps.</w:t>
            </w:r>
            <w:r w:rsidRPr="00FD4C40">
              <w:rPr>
                <w:rFonts w:eastAsiaTheme="minorEastAsia" w:cstheme="minorBidi"/>
                <w:vertAlign w:val="superscript"/>
                <w:lang w:val="en-GB"/>
              </w:rPr>
              <w:footnoteReference w:id="61"/>
            </w:r>
            <w:r w:rsidRPr="00D14C15">
              <w:rPr>
                <w:rFonts w:eastAsiaTheme="minorEastAsia" w:cstheme="minorBidi"/>
                <w:lang w:val="en-GB"/>
              </w:rPr>
              <w:t xml:space="preserve"> Accelerating the use of RES </w:t>
            </w:r>
            <w:r w:rsidR="00214D8D">
              <w:rPr>
                <w:rFonts w:eastAsiaTheme="minorEastAsia" w:cstheme="minorBidi"/>
                <w:lang w:val="en-GB"/>
              </w:rPr>
              <w:t xml:space="preserve">to meet </w:t>
            </w:r>
            <w:r w:rsidRPr="00D14C15">
              <w:rPr>
                <w:rFonts w:eastAsiaTheme="minorEastAsia" w:cstheme="minorBidi"/>
                <w:lang w:val="en-GB"/>
              </w:rPr>
              <w:t xml:space="preserve">the </w:t>
            </w:r>
            <w:r w:rsidR="00CE280E">
              <w:rPr>
                <w:rFonts w:eastAsiaTheme="minorEastAsia" w:cstheme="minorBidi"/>
                <w:lang w:val="en-GB"/>
              </w:rPr>
              <w:t>SD</w:t>
            </w:r>
            <w:r w:rsidR="00214D8D">
              <w:rPr>
                <w:rFonts w:eastAsiaTheme="minorEastAsia" w:cstheme="minorBidi"/>
                <w:lang w:val="en-GB"/>
              </w:rPr>
              <w:t>S</w:t>
            </w:r>
            <w:r w:rsidRPr="00D14C15">
              <w:rPr>
                <w:rFonts w:eastAsiaTheme="minorEastAsia" w:cstheme="minorBidi"/>
                <w:lang w:val="en-GB"/>
              </w:rPr>
              <w:t xml:space="preserve"> </w:t>
            </w:r>
            <w:r w:rsidR="00CE280E" w:rsidRPr="00D14C15">
              <w:rPr>
                <w:rFonts w:eastAsiaTheme="minorEastAsia" w:cstheme="minorBidi"/>
                <w:lang w:val="en-GB"/>
              </w:rPr>
              <w:t>2030</w:t>
            </w:r>
            <w:r w:rsidR="00CE280E">
              <w:rPr>
                <w:rFonts w:eastAsiaTheme="minorEastAsia" w:cstheme="minorBidi"/>
                <w:lang w:val="en-GB"/>
              </w:rPr>
              <w:t xml:space="preserve"> </w:t>
            </w:r>
            <w:r w:rsidRPr="00D14C15">
              <w:rPr>
                <w:rFonts w:eastAsiaTheme="minorEastAsia" w:cstheme="minorBidi"/>
                <w:lang w:val="en-GB"/>
              </w:rPr>
              <w:t xml:space="preserve">and NECP targets will therefore require a faster shift towards green energy investments. </w:t>
            </w:r>
          </w:p>
          <w:p w14:paraId="127B8F76" w14:textId="77777777" w:rsidR="0076298E" w:rsidRPr="00D14C15" w:rsidRDefault="0076298E">
            <w:pPr>
              <w:ind w:left="104" w:right="67"/>
              <w:jc w:val="both"/>
              <w:rPr>
                <w:rFonts w:eastAsiaTheme="minorEastAsia" w:cstheme="minorBidi"/>
                <w:lang w:val="en-GB"/>
              </w:rPr>
            </w:pPr>
          </w:p>
          <w:p w14:paraId="293B6D66" w14:textId="77777777" w:rsidR="0076298E" w:rsidRDefault="00214D8D">
            <w:pPr>
              <w:ind w:left="104" w:right="67"/>
              <w:jc w:val="both"/>
              <w:rPr>
                <w:rFonts w:eastAsiaTheme="minorEastAsia" w:cstheme="minorBidi"/>
                <w:lang w:val="en-GB"/>
              </w:rPr>
            </w:pPr>
            <w:r>
              <w:rPr>
                <w:rFonts w:eastAsiaTheme="minorEastAsia" w:cstheme="minorBidi"/>
                <w:lang w:val="en-GB"/>
              </w:rPr>
              <w:t xml:space="preserve">To meet the set RES target, </w:t>
            </w:r>
            <w:r w:rsidR="00EB48FB">
              <w:rPr>
                <w:rFonts w:eastAsiaTheme="minorEastAsia" w:cstheme="minorBidi"/>
                <w:lang w:val="en-GB"/>
              </w:rPr>
              <w:t>Slovenia</w:t>
            </w:r>
            <w:r w:rsidR="0032633A" w:rsidRPr="00D14C15">
              <w:rPr>
                <w:rFonts w:eastAsiaTheme="minorEastAsia" w:cstheme="minorBidi"/>
                <w:lang w:val="en-GB"/>
              </w:rPr>
              <w:t xml:space="preserve"> will also </w:t>
            </w:r>
            <w:r w:rsidR="00EB48FB">
              <w:rPr>
                <w:rFonts w:eastAsiaTheme="minorEastAsia" w:cstheme="minorBidi"/>
                <w:lang w:val="en-GB"/>
              </w:rPr>
              <w:t xml:space="preserve">take into account </w:t>
            </w:r>
            <w:r w:rsidR="0032633A" w:rsidRPr="00D14C15">
              <w:rPr>
                <w:rFonts w:eastAsiaTheme="minorEastAsia" w:cstheme="minorBidi"/>
                <w:lang w:val="en-GB"/>
              </w:rPr>
              <w:t xml:space="preserve">the final report of the project “Facilitating Renewable Energy Deployment In Electricity Sector Of Slovenia” (Request For Service REFORM/SC2021/091), especially in the field of wind energy, </w:t>
            </w:r>
            <w:r w:rsidR="00EB48FB">
              <w:rPr>
                <w:rFonts w:eastAsiaTheme="minorEastAsia" w:cstheme="minorBidi"/>
                <w:lang w:val="en-GB"/>
              </w:rPr>
              <w:t>where</w:t>
            </w:r>
            <w:r w:rsidR="0032633A" w:rsidRPr="00D14C15">
              <w:rPr>
                <w:rFonts w:eastAsiaTheme="minorEastAsia" w:cstheme="minorBidi"/>
                <w:lang w:val="en-GB"/>
              </w:rPr>
              <w:t xml:space="preserve"> Slovenia has limited possibilities of exploitation.</w:t>
            </w:r>
            <w:r w:rsidR="0032633A" w:rsidRPr="00D14C15">
              <w:rPr>
                <w:lang w:val="en-GB"/>
              </w:rPr>
              <w:t xml:space="preserve"> </w:t>
            </w:r>
            <w:r w:rsidR="0032633A" w:rsidRPr="00D14C15">
              <w:rPr>
                <w:rFonts w:eastAsiaTheme="minorEastAsia" w:cstheme="minorBidi"/>
                <w:lang w:val="en-GB"/>
              </w:rPr>
              <w:t xml:space="preserve">Slovenia has no prospect of installing offshore wind farms. As a result, the possibilities for installing and using wind energy are to some extent limited and </w:t>
            </w:r>
            <w:r>
              <w:rPr>
                <w:rFonts w:eastAsiaTheme="minorEastAsia" w:cstheme="minorBidi"/>
                <w:lang w:val="en-GB"/>
              </w:rPr>
              <w:t>smaller</w:t>
            </w:r>
            <w:r w:rsidR="0032633A" w:rsidRPr="00D14C15">
              <w:rPr>
                <w:rFonts w:eastAsiaTheme="minorEastAsia" w:cstheme="minorBidi"/>
                <w:lang w:val="en-GB"/>
              </w:rPr>
              <w:t xml:space="preserve"> than in other EU countries. In addition, the potential for wind energy is reduced by highly dispersed settlements (limited number of locations with appropriate wind speed and requirem</w:t>
            </w:r>
            <w:r>
              <w:rPr>
                <w:rFonts w:eastAsiaTheme="minorEastAsia" w:cstheme="minorBidi"/>
                <w:lang w:val="en-GB"/>
              </w:rPr>
              <w:t>ents for the necessary distance</w:t>
            </w:r>
            <w:r w:rsidR="0032633A" w:rsidRPr="00D14C15">
              <w:rPr>
                <w:rFonts w:eastAsiaTheme="minorEastAsia" w:cstheme="minorBidi"/>
                <w:lang w:val="en-GB"/>
              </w:rPr>
              <w:t xml:space="preserve"> from settlements for noise protection purposes).</w:t>
            </w:r>
          </w:p>
          <w:p w14:paraId="67E09920" w14:textId="77777777" w:rsidR="00EB48FB" w:rsidRPr="00D14C15" w:rsidRDefault="00EB48FB">
            <w:pPr>
              <w:ind w:left="104" w:right="67"/>
              <w:jc w:val="both"/>
              <w:rPr>
                <w:rFonts w:eastAsiaTheme="minorEastAsia" w:cstheme="minorBidi"/>
                <w:lang w:val="en-GB"/>
              </w:rPr>
            </w:pPr>
          </w:p>
          <w:p w14:paraId="2E5F4DDF" w14:textId="77777777" w:rsidR="0076298E" w:rsidRPr="00D14C15" w:rsidRDefault="00AC6618">
            <w:pPr>
              <w:ind w:left="104" w:right="67"/>
              <w:jc w:val="both"/>
              <w:rPr>
                <w:rFonts w:eastAsiaTheme="minorEastAsia" w:cstheme="minorBidi"/>
                <w:lang w:val="en-GB"/>
              </w:rPr>
            </w:pPr>
            <w:r>
              <w:rPr>
                <w:lang w:val="en-GB"/>
              </w:rPr>
              <w:t>We will use grants</w:t>
            </w:r>
            <w:r w:rsidR="00EB48FB" w:rsidRPr="00F664FB">
              <w:rPr>
                <w:lang w:val="en-GB"/>
              </w:rPr>
              <w:t>. A detailed justification is given in Chapter 2.</w:t>
            </w:r>
          </w:p>
        </w:tc>
      </w:tr>
      <w:tr w:rsidR="0076298E" w:rsidRPr="00D14C15" w14:paraId="55D5B0B9" w14:textId="77777777" w:rsidTr="00E1518F">
        <w:trPr>
          <w:trHeight w:val="406"/>
        </w:trPr>
        <w:tc>
          <w:tcPr>
            <w:tcW w:w="2268" w:type="dxa"/>
            <w:vMerge/>
          </w:tcPr>
          <w:p w14:paraId="0FC970FE" w14:textId="77777777" w:rsidR="0076298E" w:rsidRPr="00D14C15" w:rsidRDefault="0076298E">
            <w:pPr>
              <w:pStyle w:val="TableParagraph"/>
              <w:ind w:left="115"/>
              <w:rPr>
                <w:lang w:val="en-GB"/>
              </w:rPr>
            </w:pPr>
          </w:p>
        </w:tc>
        <w:tc>
          <w:tcPr>
            <w:tcW w:w="3119" w:type="dxa"/>
          </w:tcPr>
          <w:p w14:paraId="3E007C71" w14:textId="77777777" w:rsidR="0076298E" w:rsidRPr="00D14C15" w:rsidRDefault="00214D8D">
            <w:pPr>
              <w:pStyle w:val="P68B1DB1-Navaden1"/>
              <w:ind w:left="37"/>
              <w:rPr>
                <w:lang w:val="en-GB"/>
              </w:rPr>
            </w:pPr>
            <w:r>
              <w:rPr>
                <w:lang w:val="en-GB"/>
              </w:rPr>
              <w:t>P</w:t>
            </w:r>
            <w:r w:rsidR="002B47E4">
              <w:rPr>
                <w:lang w:val="en-GB"/>
              </w:rPr>
              <w:t xml:space="preserve">riority </w:t>
            </w:r>
            <w:r w:rsidR="009870E1">
              <w:rPr>
                <w:lang w:val="en-GB"/>
              </w:rPr>
              <w:t>3: Green transformation for c</w:t>
            </w:r>
            <w:r w:rsidR="0032633A" w:rsidRPr="00D14C15">
              <w:rPr>
                <w:lang w:val="en-GB"/>
              </w:rPr>
              <w:t xml:space="preserve">limate </w:t>
            </w:r>
            <w:r w:rsidR="009870E1">
              <w:rPr>
                <w:lang w:val="en-GB"/>
              </w:rPr>
              <w:t>n</w:t>
            </w:r>
            <w:r w:rsidR="0032633A" w:rsidRPr="00D14C15">
              <w:rPr>
                <w:lang w:val="en-GB"/>
              </w:rPr>
              <w:t xml:space="preserve">eutrality </w:t>
            </w:r>
          </w:p>
          <w:p w14:paraId="33B2CF6C" w14:textId="77777777" w:rsidR="0076298E" w:rsidRPr="00D14C15" w:rsidRDefault="0076298E">
            <w:pPr>
              <w:ind w:left="37"/>
              <w:rPr>
                <w:lang w:val="en-GB"/>
              </w:rPr>
            </w:pPr>
          </w:p>
          <w:p w14:paraId="6DCC29F0" w14:textId="77777777" w:rsidR="0076298E" w:rsidRPr="00D14C15" w:rsidRDefault="0032633A" w:rsidP="00E26B8A">
            <w:pPr>
              <w:ind w:left="37"/>
              <w:rPr>
                <w:lang w:val="en-GB"/>
              </w:rPr>
            </w:pPr>
            <w:r w:rsidRPr="00D14C15">
              <w:rPr>
                <w:lang w:val="en-GB"/>
              </w:rPr>
              <w:t xml:space="preserve">RSO2.3: </w:t>
            </w:r>
            <w:r w:rsidR="00E26B8A">
              <w:rPr>
                <w:lang w:val="en-GB"/>
              </w:rPr>
              <w:t xml:space="preserve">Developing </w:t>
            </w:r>
            <w:r w:rsidRPr="00D14C15">
              <w:rPr>
                <w:lang w:val="en-GB"/>
              </w:rPr>
              <w:t xml:space="preserve">smart energy systems, </w:t>
            </w:r>
            <w:r w:rsidR="00E26B8A">
              <w:rPr>
                <w:lang w:val="en-GB"/>
              </w:rPr>
              <w:t>grids and storage outside the T</w:t>
            </w:r>
            <w:r w:rsidRPr="00D14C15">
              <w:rPr>
                <w:lang w:val="en-GB"/>
              </w:rPr>
              <w:t xml:space="preserve">rans-European </w:t>
            </w:r>
            <w:r w:rsidR="00E26B8A">
              <w:rPr>
                <w:lang w:val="en-GB"/>
              </w:rPr>
              <w:t>E</w:t>
            </w:r>
            <w:r w:rsidRPr="00D14C15">
              <w:rPr>
                <w:lang w:val="en-GB"/>
              </w:rPr>
              <w:t xml:space="preserve">nergy </w:t>
            </w:r>
            <w:r w:rsidR="00E26B8A">
              <w:rPr>
                <w:lang w:val="en-GB"/>
              </w:rPr>
              <w:t>N</w:t>
            </w:r>
            <w:r w:rsidRPr="00D14C15">
              <w:rPr>
                <w:lang w:val="en-GB"/>
              </w:rPr>
              <w:t>etwork (TEN-E)</w:t>
            </w:r>
          </w:p>
        </w:tc>
        <w:tc>
          <w:tcPr>
            <w:tcW w:w="8647" w:type="dxa"/>
          </w:tcPr>
          <w:p w14:paraId="4C71D5DF" w14:textId="77777777" w:rsidR="0076298E" w:rsidRPr="00D14C15" w:rsidRDefault="0032633A">
            <w:pPr>
              <w:pStyle w:val="P68B1DB1-Navaden11"/>
              <w:ind w:left="104" w:right="67"/>
              <w:jc w:val="both"/>
              <w:rPr>
                <w:lang w:val="en-GB"/>
              </w:rPr>
            </w:pPr>
            <w:r w:rsidRPr="00D14C15">
              <w:rPr>
                <w:lang w:val="en-GB"/>
              </w:rPr>
              <w:t>Slovenia did not meet its RES target in 2020 and will need to significantly increase its investment in RES in order to</w:t>
            </w:r>
            <w:r w:rsidR="00692139">
              <w:rPr>
                <w:lang w:val="en-GB"/>
              </w:rPr>
              <w:t xml:space="preserve"> reach the set target. </w:t>
            </w:r>
            <w:r w:rsidR="00821493">
              <w:rPr>
                <w:lang w:val="en-GB"/>
              </w:rPr>
              <w:t>Council R</w:t>
            </w:r>
            <w:r w:rsidRPr="00D14C15">
              <w:rPr>
                <w:lang w:val="en-GB"/>
              </w:rPr>
              <w:t>ecommendation</w:t>
            </w:r>
            <w:r w:rsidR="00692139">
              <w:rPr>
                <w:lang w:val="en-GB"/>
              </w:rPr>
              <w:t xml:space="preserve"> for 2019</w:t>
            </w:r>
            <w:r w:rsidRPr="00D14C15">
              <w:rPr>
                <w:lang w:val="en-GB"/>
              </w:rPr>
              <w:t xml:space="preserve"> state</w:t>
            </w:r>
            <w:r w:rsidR="00692139">
              <w:rPr>
                <w:lang w:val="en-GB"/>
              </w:rPr>
              <w:t>s</w:t>
            </w:r>
            <w:r w:rsidRPr="00D14C15">
              <w:rPr>
                <w:lang w:val="en-GB"/>
              </w:rPr>
              <w:t xml:space="preserve"> that the existing energy storage capacity in Slovenia is underdeveloped and therefore </w:t>
            </w:r>
            <w:r w:rsidR="00E26B8A">
              <w:rPr>
                <w:lang w:val="en-GB"/>
              </w:rPr>
              <w:t xml:space="preserve">Slovenia </w:t>
            </w:r>
            <w:r w:rsidRPr="00D14C15">
              <w:rPr>
                <w:lang w:val="en-GB"/>
              </w:rPr>
              <w:t xml:space="preserve">does not meet the needs arising from unrelated local RES production. With the Directive on the promotion of the use of RES, Slovenia has placed particular emphasis on local energy communities, which, by setting up their own </w:t>
            </w:r>
            <w:r w:rsidR="00E26B8A">
              <w:rPr>
                <w:lang w:val="en-GB"/>
              </w:rPr>
              <w:t>joint</w:t>
            </w:r>
            <w:r w:rsidRPr="00D14C15">
              <w:rPr>
                <w:lang w:val="en-GB"/>
              </w:rPr>
              <w:t xml:space="preserve"> installation for the production of electricity from RES, can cover a large proportion of their own electricity needs and thus contribute to decarbonisation and sustainable development. </w:t>
            </w:r>
          </w:p>
          <w:p w14:paraId="4626A540" w14:textId="77777777" w:rsidR="0076298E" w:rsidRPr="00D14C15" w:rsidRDefault="0076298E">
            <w:pPr>
              <w:pStyle w:val="TableParagraph"/>
              <w:ind w:left="104" w:right="67"/>
              <w:jc w:val="both"/>
              <w:rPr>
                <w:lang w:val="en-GB"/>
              </w:rPr>
            </w:pPr>
          </w:p>
          <w:p w14:paraId="539E6EE7" w14:textId="77777777" w:rsidR="0076298E" w:rsidRPr="00D14C15" w:rsidRDefault="0032633A">
            <w:pPr>
              <w:pStyle w:val="TableParagraph"/>
              <w:ind w:left="104" w:right="67"/>
              <w:jc w:val="both"/>
              <w:rPr>
                <w:lang w:val="en-GB"/>
              </w:rPr>
            </w:pPr>
            <w:r w:rsidRPr="00D14C15">
              <w:rPr>
                <w:lang w:val="en-GB"/>
              </w:rPr>
              <w:lastRenderedPageBreak/>
              <w:t>The common problem of technologies for the production of electricity from RES is their dependence on weather or external influences</w:t>
            </w:r>
            <w:r w:rsidR="00821493">
              <w:rPr>
                <w:lang w:val="en-GB"/>
              </w:rPr>
              <w:t>,</w:t>
            </w:r>
            <w:r w:rsidRPr="00D14C15">
              <w:rPr>
                <w:lang w:val="en-GB"/>
              </w:rPr>
              <w:t xml:space="preserve"> which we </w:t>
            </w:r>
            <w:r w:rsidR="00E26B8A">
              <w:rPr>
                <w:lang w:val="en-GB"/>
              </w:rPr>
              <w:t>cannot</w:t>
            </w:r>
            <w:r w:rsidRPr="00D14C15">
              <w:rPr>
                <w:lang w:val="en-GB"/>
              </w:rPr>
              <w:t xml:space="preserve"> </w:t>
            </w:r>
            <w:r w:rsidR="00E26B8A">
              <w:rPr>
                <w:lang w:val="en-GB"/>
              </w:rPr>
              <w:t>control</w:t>
            </w:r>
            <w:r w:rsidRPr="00D14C15">
              <w:rPr>
                <w:lang w:val="en-GB"/>
              </w:rPr>
              <w:t xml:space="preserve">. This </w:t>
            </w:r>
            <w:r w:rsidR="00821493">
              <w:rPr>
                <w:lang w:val="en-GB"/>
              </w:rPr>
              <w:t>results in</w:t>
            </w:r>
            <w:r w:rsidRPr="00D14C15">
              <w:rPr>
                <w:lang w:val="en-GB"/>
              </w:rPr>
              <w:t xml:space="preserve"> </w:t>
            </w:r>
            <w:r w:rsidR="00E26B8A">
              <w:rPr>
                <w:lang w:val="en-GB"/>
              </w:rPr>
              <w:t>unstable</w:t>
            </w:r>
            <w:r w:rsidRPr="00D14C15">
              <w:rPr>
                <w:lang w:val="en-GB"/>
              </w:rPr>
              <w:t xml:space="preserve"> electricity generation, which often does not meet the real energy needs of consumers. At the same time, there is a growing need for efficient and reliable storage of short-term peaks of electricity and its reuse in times of market scarcity. The integration of different energy sectors, in particular the integration of electricity, gas and district heating and cooling sectors, will therefore be crucial for the successful achievement of the energy and climate objectives. </w:t>
            </w:r>
          </w:p>
          <w:p w14:paraId="001167EB" w14:textId="77777777" w:rsidR="0076298E" w:rsidRPr="00D14C15" w:rsidRDefault="0076298E">
            <w:pPr>
              <w:pStyle w:val="TableParagraph"/>
              <w:ind w:left="104" w:right="67"/>
              <w:jc w:val="both"/>
              <w:rPr>
                <w:lang w:val="en-GB"/>
              </w:rPr>
            </w:pPr>
          </w:p>
          <w:p w14:paraId="36CC473D" w14:textId="77777777" w:rsidR="0076298E" w:rsidRPr="00D14C15" w:rsidRDefault="00AC6618">
            <w:pPr>
              <w:pStyle w:val="TableParagraph"/>
              <w:ind w:left="104" w:right="67"/>
              <w:jc w:val="both"/>
              <w:rPr>
                <w:lang w:val="en-GB"/>
              </w:rPr>
            </w:pPr>
            <w:r>
              <w:rPr>
                <w:lang w:val="en-GB"/>
              </w:rPr>
              <w:t>We will use grants</w:t>
            </w:r>
            <w:r w:rsidR="00821493" w:rsidRPr="00F664FB">
              <w:rPr>
                <w:lang w:val="en-GB"/>
              </w:rPr>
              <w:t>. A detailed justification is given in Chapter 2.</w:t>
            </w:r>
          </w:p>
        </w:tc>
      </w:tr>
      <w:tr w:rsidR="0076298E" w:rsidRPr="00D14C15" w14:paraId="53E84803" w14:textId="77777777" w:rsidTr="00E1518F">
        <w:trPr>
          <w:trHeight w:val="599"/>
        </w:trPr>
        <w:tc>
          <w:tcPr>
            <w:tcW w:w="2268" w:type="dxa"/>
            <w:vMerge/>
          </w:tcPr>
          <w:p w14:paraId="01E98E37" w14:textId="77777777" w:rsidR="0076298E" w:rsidRPr="00D14C15" w:rsidRDefault="0076298E">
            <w:pPr>
              <w:pStyle w:val="TableParagraph"/>
              <w:ind w:left="115"/>
              <w:rPr>
                <w:lang w:val="en-GB"/>
              </w:rPr>
            </w:pPr>
          </w:p>
        </w:tc>
        <w:tc>
          <w:tcPr>
            <w:tcW w:w="3119" w:type="dxa"/>
          </w:tcPr>
          <w:p w14:paraId="780181C2" w14:textId="77777777" w:rsidR="0076298E" w:rsidRPr="00D14C15" w:rsidRDefault="00466F9D">
            <w:pPr>
              <w:pStyle w:val="P68B1DB1-Navaden1"/>
              <w:ind w:left="37"/>
              <w:rPr>
                <w:lang w:val="en-GB"/>
              </w:rPr>
            </w:pPr>
            <w:r>
              <w:rPr>
                <w:lang w:val="en-GB"/>
              </w:rPr>
              <w:t>P</w:t>
            </w:r>
            <w:r w:rsidR="002B47E4">
              <w:rPr>
                <w:lang w:val="en-GB"/>
              </w:rPr>
              <w:t xml:space="preserve">riority </w:t>
            </w:r>
            <w:r w:rsidR="0032633A" w:rsidRPr="00D14C15">
              <w:rPr>
                <w:lang w:val="en-GB"/>
              </w:rPr>
              <w:t xml:space="preserve">3: </w:t>
            </w:r>
            <w:r w:rsidR="009870E1">
              <w:rPr>
                <w:lang w:val="en-GB"/>
              </w:rPr>
              <w:t>Green transformation for c</w:t>
            </w:r>
            <w:r w:rsidR="0032633A" w:rsidRPr="009870E1">
              <w:rPr>
                <w:lang w:val="en-GB"/>
              </w:rPr>
              <w:t xml:space="preserve">limate </w:t>
            </w:r>
            <w:r w:rsidR="009870E1">
              <w:rPr>
                <w:lang w:val="en-GB"/>
              </w:rPr>
              <w:t>n</w:t>
            </w:r>
            <w:r w:rsidR="0032633A" w:rsidRPr="009870E1">
              <w:rPr>
                <w:lang w:val="en-GB"/>
              </w:rPr>
              <w:t>eutrality</w:t>
            </w:r>
            <w:r w:rsidR="0032633A" w:rsidRPr="00D14C15">
              <w:rPr>
                <w:lang w:val="en-GB"/>
              </w:rPr>
              <w:t xml:space="preserve"> </w:t>
            </w:r>
          </w:p>
          <w:p w14:paraId="6CDBEF01" w14:textId="77777777" w:rsidR="0076298E" w:rsidRPr="00D14C15" w:rsidRDefault="0076298E">
            <w:pPr>
              <w:ind w:left="37"/>
              <w:rPr>
                <w:lang w:val="en-GB"/>
              </w:rPr>
            </w:pPr>
          </w:p>
          <w:p w14:paraId="4C6CF020" w14:textId="77777777" w:rsidR="0076298E" w:rsidRPr="00D14C15" w:rsidRDefault="0032633A" w:rsidP="00466F9D">
            <w:pPr>
              <w:ind w:left="37"/>
              <w:rPr>
                <w:lang w:val="en-GB"/>
              </w:rPr>
            </w:pPr>
            <w:r w:rsidRPr="00D14C15">
              <w:rPr>
                <w:lang w:val="en-GB"/>
              </w:rPr>
              <w:t>RSO2.4: Promoting climate change adaptation and disaster risk prevention and resilience, taking into account eco</w:t>
            </w:r>
            <w:r w:rsidR="00466F9D">
              <w:rPr>
                <w:lang w:val="en-GB"/>
              </w:rPr>
              <w:t>-</w:t>
            </w:r>
            <w:r w:rsidRPr="00D14C15">
              <w:rPr>
                <w:lang w:val="en-GB"/>
              </w:rPr>
              <w:t>system</w:t>
            </w:r>
            <w:r w:rsidR="00466F9D">
              <w:rPr>
                <w:lang w:val="en-GB"/>
              </w:rPr>
              <w:t xml:space="preserve"> </w:t>
            </w:r>
            <w:r w:rsidRPr="00D14C15">
              <w:rPr>
                <w:lang w:val="en-GB"/>
              </w:rPr>
              <w:t>based approaches</w:t>
            </w:r>
          </w:p>
        </w:tc>
        <w:tc>
          <w:tcPr>
            <w:tcW w:w="8647" w:type="dxa"/>
          </w:tcPr>
          <w:p w14:paraId="0A44D1B9" w14:textId="77777777" w:rsidR="0076298E" w:rsidRPr="00D14C15" w:rsidRDefault="0032633A">
            <w:pPr>
              <w:pStyle w:val="TableParagraph"/>
              <w:ind w:left="102" w:right="68"/>
              <w:jc w:val="both"/>
              <w:rPr>
                <w:lang w:val="en-GB"/>
              </w:rPr>
            </w:pPr>
            <w:r w:rsidRPr="00D14C15">
              <w:rPr>
                <w:lang w:val="en-GB"/>
              </w:rPr>
              <w:t>Due to climate change, Slovenia is facing increasingly frequent weather-related natural disasters.</w:t>
            </w:r>
          </w:p>
          <w:p w14:paraId="0D2E4E5F" w14:textId="77777777" w:rsidR="0076298E" w:rsidRPr="00D14C15" w:rsidRDefault="0076298E">
            <w:pPr>
              <w:pStyle w:val="TableParagraph"/>
              <w:ind w:left="102" w:right="68"/>
              <w:jc w:val="both"/>
              <w:rPr>
                <w:lang w:val="en-GB"/>
              </w:rPr>
            </w:pPr>
          </w:p>
          <w:p w14:paraId="448153C6" w14:textId="77777777" w:rsidR="0076298E" w:rsidRPr="00D14C15" w:rsidRDefault="00466F9D">
            <w:pPr>
              <w:pStyle w:val="TableParagraph"/>
              <w:ind w:left="102" w:right="68"/>
              <w:jc w:val="both"/>
              <w:rPr>
                <w:lang w:val="en-GB"/>
              </w:rPr>
            </w:pPr>
            <w:r>
              <w:rPr>
                <w:lang w:val="en-GB"/>
              </w:rPr>
              <w:t>I</w:t>
            </w:r>
            <w:r w:rsidRPr="00D14C15">
              <w:rPr>
                <w:lang w:val="en-GB"/>
              </w:rPr>
              <w:t>n 2019</w:t>
            </w:r>
            <w:r>
              <w:rPr>
                <w:lang w:val="en-GB"/>
              </w:rPr>
              <w:t xml:space="preserve">, </w:t>
            </w:r>
            <w:r w:rsidR="0032633A" w:rsidRPr="00D14C15">
              <w:rPr>
                <w:lang w:val="en-GB"/>
              </w:rPr>
              <w:t>floods caused damage of EUR 120.5 million</w:t>
            </w:r>
            <w:r w:rsidR="0032633A" w:rsidRPr="00D14C15">
              <w:rPr>
                <w:rStyle w:val="Sprotnaopomba-sklic"/>
                <w:lang w:val="en-GB"/>
              </w:rPr>
              <w:footnoteReference w:id="62"/>
            </w:r>
            <w:r w:rsidR="006D0921">
              <w:rPr>
                <w:lang w:val="en-GB"/>
              </w:rPr>
              <w:t xml:space="preserve"> and EUR 1.64 billion in the period between </w:t>
            </w:r>
            <w:r w:rsidR="0032633A" w:rsidRPr="00D14C15">
              <w:rPr>
                <w:lang w:val="en-GB"/>
              </w:rPr>
              <w:t>2010</w:t>
            </w:r>
            <w:r w:rsidR="006D0921">
              <w:rPr>
                <w:lang w:val="en-GB"/>
              </w:rPr>
              <w:t xml:space="preserve"> and</w:t>
            </w:r>
            <w:r w:rsidR="0032633A" w:rsidRPr="00D14C15">
              <w:rPr>
                <w:lang w:val="en-GB"/>
              </w:rPr>
              <w:t>2020</w:t>
            </w:r>
            <w:r w:rsidR="0032633A" w:rsidRPr="00D14C15">
              <w:rPr>
                <w:rStyle w:val="Sprotnaopomba-sklic"/>
                <w:lang w:val="en-GB"/>
              </w:rPr>
              <w:footnoteReference w:id="63"/>
            </w:r>
            <w:r w:rsidR="0032633A" w:rsidRPr="00D14C15">
              <w:rPr>
                <w:lang w:val="en-GB"/>
              </w:rPr>
              <w:t xml:space="preserve">. The preliminary flood risk assessment of the Republic of Slovenia identifies 86 areas of significant impact of floods, which, despite investments made so far in this area, are still not properly regulated. Flood risk management is an extremely important segment of water management, including the most advanced technologies that enable proper spatial planning and forecasting. </w:t>
            </w:r>
          </w:p>
          <w:p w14:paraId="3077B4CA" w14:textId="77777777" w:rsidR="0076298E" w:rsidRPr="00D14C15" w:rsidRDefault="0076298E">
            <w:pPr>
              <w:pStyle w:val="TableParagraph"/>
              <w:ind w:left="102" w:right="68"/>
              <w:jc w:val="both"/>
              <w:rPr>
                <w:lang w:val="en-GB"/>
              </w:rPr>
            </w:pPr>
          </w:p>
          <w:p w14:paraId="7B5F6566" w14:textId="77777777" w:rsidR="0076298E" w:rsidRPr="00D14C15" w:rsidRDefault="0032633A">
            <w:pPr>
              <w:pStyle w:val="TableParagraph"/>
              <w:ind w:left="102" w:right="68"/>
              <w:jc w:val="both"/>
              <w:rPr>
                <w:lang w:val="en-GB"/>
              </w:rPr>
            </w:pPr>
            <w:r w:rsidRPr="00D14C15">
              <w:rPr>
                <w:lang w:val="en-GB"/>
              </w:rPr>
              <w:t xml:space="preserve">Large wildfires also </w:t>
            </w:r>
            <w:r w:rsidR="000B19C4">
              <w:rPr>
                <w:lang w:val="en-GB"/>
              </w:rPr>
              <w:t xml:space="preserve">pose a threat and the </w:t>
            </w:r>
            <w:r w:rsidRPr="00D14C15">
              <w:rPr>
                <w:lang w:val="en-GB"/>
              </w:rPr>
              <w:t>complexity, number, scale and damage</w:t>
            </w:r>
            <w:r w:rsidR="006D0921">
              <w:rPr>
                <w:lang w:val="en-GB"/>
              </w:rPr>
              <w:t xml:space="preserve"> caused</w:t>
            </w:r>
            <w:r w:rsidRPr="00D14C15">
              <w:rPr>
                <w:lang w:val="en-GB"/>
              </w:rPr>
              <w:t xml:space="preserve"> (to eco</w:t>
            </w:r>
            <w:r w:rsidR="006D0921">
              <w:rPr>
                <w:lang w:val="en-GB"/>
              </w:rPr>
              <w:t>-</w:t>
            </w:r>
            <w:r w:rsidRPr="00D14C15">
              <w:rPr>
                <w:lang w:val="en-GB"/>
              </w:rPr>
              <w:t>systems, settlements, infrastructure) are increasi</w:t>
            </w:r>
            <w:r w:rsidR="000B19C4">
              <w:rPr>
                <w:lang w:val="en-GB"/>
              </w:rPr>
              <w:t xml:space="preserve">ng. Wildfires occurred also </w:t>
            </w:r>
            <w:r w:rsidRPr="00D14C15">
              <w:rPr>
                <w:lang w:val="en-GB"/>
              </w:rPr>
              <w:t>outside traditionally endangered areas and entail</w:t>
            </w:r>
            <w:r w:rsidR="000B19C4">
              <w:rPr>
                <w:lang w:val="en-GB"/>
              </w:rPr>
              <w:t xml:space="preserve"> h</w:t>
            </w:r>
            <w:r w:rsidRPr="00D14C15">
              <w:rPr>
                <w:lang w:val="en-GB"/>
              </w:rPr>
              <w:t xml:space="preserve">igh intervention costs (3 major fires EUR 0.25 million; fires in the Karst </w:t>
            </w:r>
            <w:r w:rsidR="000B19C4">
              <w:rPr>
                <w:lang w:val="en-GB"/>
              </w:rPr>
              <w:t xml:space="preserve">in </w:t>
            </w:r>
            <w:r w:rsidRPr="00D14C15">
              <w:rPr>
                <w:lang w:val="en-GB"/>
              </w:rPr>
              <w:t xml:space="preserve">2022 indicate extremely </w:t>
            </w:r>
            <w:r w:rsidR="006D0921">
              <w:rPr>
                <w:lang w:val="en-GB"/>
              </w:rPr>
              <w:t>severe</w:t>
            </w:r>
            <w:r w:rsidRPr="00D14C15">
              <w:rPr>
                <w:lang w:val="en-GB"/>
              </w:rPr>
              <w:t xml:space="preserve"> damage and intervention costs even before the end of the intervention)</w:t>
            </w:r>
            <w:r w:rsidRPr="000B19C4">
              <w:rPr>
                <w:vertAlign w:val="superscript"/>
                <w:lang w:val="en-GB"/>
              </w:rPr>
              <w:footnoteReference w:id="64"/>
            </w:r>
            <w:r w:rsidRPr="00D14C15">
              <w:rPr>
                <w:lang w:val="en-GB"/>
              </w:rPr>
              <w:t xml:space="preserve">. Units responding to such disasters do not have the necessary equipment (in case of fires in Karst, the necessary activation of forces and assets from seven foreign countries). </w:t>
            </w:r>
          </w:p>
          <w:p w14:paraId="15C1E6DA" w14:textId="77777777" w:rsidR="0076298E" w:rsidRPr="00D14C15" w:rsidRDefault="0076298E">
            <w:pPr>
              <w:pStyle w:val="TableParagraph"/>
              <w:ind w:left="102" w:right="68"/>
              <w:jc w:val="both"/>
              <w:rPr>
                <w:lang w:val="en-GB"/>
              </w:rPr>
            </w:pPr>
          </w:p>
          <w:p w14:paraId="4AC20925" w14:textId="77777777" w:rsidR="0076298E" w:rsidRPr="00D14C15" w:rsidRDefault="000B19C4">
            <w:pPr>
              <w:pStyle w:val="TableParagraph"/>
              <w:ind w:left="102" w:right="68"/>
              <w:jc w:val="both"/>
              <w:rPr>
                <w:lang w:val="en-GB"/>
              </w:rPr>
            </w:pPr>
            <w:r>
              <w:rPr>
                <w:lang w:val="en-GB"/>
              </w:rPr>
              <w:t>Glazed ice and storms pose a</w:t>
            </w:r>
            <w:r w:rsidR="0032633A" w:rsidRPr="00D14C15">
              <w:rPr>
                <w:lang w:val="en-GB"/>
              </w:rPr>
              <w:t xml:space="preserve"> risk with significant impacts on infrastructure</w:t>
            </w:r>
            <w:r w:rsidR="006D0921">
              <w:rPr>
                <w:lang w:val="en-GB"/>
              </w:rPr>
              <w:t xml:space="preserve"> and</w:t>
            </w:r>
            <w:r w:rsidR="0032633A" w:rsidRPr="00D14C15">
              <w:rPr>
                <w:lang w:val="en-GB"/>
              </w:rPr>
              <w:t xml:space="preserve"> forests, </w:t>
            </w:r>
            <w:r w:rsidR="006D0921">
              <w:rPr>
                <w:lang w:val="en-GB"/>
              </w:rPr>
              <w:t xml:space="preserve">and potentially causing </w:t>
            </w:r>
            <w:r w:rsidR="0032633A" w:rsidRPr="00D14C15">
              <w:rPr>
                <w:lang w:val="en-GB"/>
              </w:rPr>
              <w:t xml:space="preserve">chain events (e.g. floods, pest occurrences, etc.) (EUR 430 million in damage caused by </w:t>
            </w:r>
            <w:r>
              <w:rPr>
                <w:lang w:val="en-GB"/>
              </w:rPr>
              <w:t xml:space="preserve">glazed </w:t>
            </w:r>
            <w:r w:rsidR="0032633A" w:rsidRPr="00D14C15">
              <w:rPr>
                <w:lang w:val="en-GB"/>
              </w:rPr>
              <w:t>ice in 2014)</w:t>
            </w:r>
            <w:r w:rsidRPr="000B19C4">
              <w:rPr>
                <w:vertAlign w:val="superscript"/>
                <w:lang w:val="en-GB"/>
              </w:rPr>
              <w:footnoteReference w:id="65"/>
            </w:r>
            <w:r w:rsidR="0032633A" w:rsidRPr="00D14C15">
              <w:rPr>
                <w:lang w:val="en-GB"/>
              </w:rPr>
              <w:t>.</w:t>
            </w:r>
            <w:r>
              <w:rPr>
                <w:lang w:val="en-GB"/>
              </w:rPr>
              <w:t xml:space="preserve"> O</w:t>
            </w:r>
            <w:r w:rsidR="0032633A" w:rsidRPr="00D14C15">
              <w:rPr>
                <w:lang w:val="en-GB"/>
              </w:rPr>
              <w:t xml:space="preserve">ther weather events, </w:t>
            </w:r>
            <w:r>
              <w:rPr>
                <w:lang w:val="en-GB"/>
              </w:rPr>
              <w:t xml:space="preserve">which are </w:t>
            </w:r>
            <w:r w:rsidRPr="00D14C15">
              <w:rPr>
                <w:lang w:val="en-GB"/>
              </w:rPr>
              <w:t xml:space="preserve">quite common and </w:t>
            </w:r>
            <w:r>
              <w:rPr>
                <w:lang w:val="en-GB"/>
              </w:rPr>
              <w:t xml:space="preserve">cause significant damage, </w:t>
            </w:r>
            <w:r w:rsidRPr="00D14C15">
              <w:rPr>
                <w:lang w:val="en-GB"/>
              </w:rPr>
              <w:t>required a response of 1000 units at 700 sites (hails, winds, etc.)</w:t>
            </w:r>
            <w:r>
              <w:rPr>
                <w:lang w:val="en-GB"/>
              </w:rPr>
              <w:t xml:space="preserve"> </w:t>
            </w:r>
            <w:r w:rsidR="0032633A" w:rsidRPr="00D14C15">
              <w:rPr>
                <w:lang w:val="en-GB"/>
              </w:rPr>
              <w:t xml:space="preserve">in the first </w:t>
            </w:r>
            <w:r w:rsidR="0032633A" w:rsidRPr="00D14C15">
              <w:rPr>
                <w:lang w:val="en-GB"/>
              </w:rPr>
              <w:lastRenderedPageBreak/>
              <w:t xml:space="preserve">nine months of 2020.  These risks or </w:t>
            </w:r>
            <w:r>
              <w:rPr>
                <w:lang w:val="en-GB"/>
              </w:rPr>
              <w:t>disasters</w:t>
            </w:r>
            <w:r w:rsidR="0032633A" w:rsidRPr="00D14C15">
              <w:rPr>
                <w:lang w:val="en-GB"/>
              </w:rPr>
              <w:t xml:space="preserve"> have so far not been properly addressed in terms of the provision of equipment</w:t>
            </w:r>
            <w:r>
              <w:rPr>
                <w:lang w:val="en-GB"/>
              </w:rPr>
              <w:t>. S</w:t>
            </w:r>
            <w:r w:rsidR="0032633A" w:rsidRPr="00D14C15">
              <w:rPr>
                <w:lang w:val="en-GB"/>
              </w:rPr>
              <w:t xml:space="preserve">lovenia </w:t>
            </w:r>
            <w:r>
              <w:rPr>
                <w:lang w:val="en-GB"/>
              </w:rPr>
              <w:t xml:space="preserve">also </w:t>
            </w:r>
            <w:r w:rsidR="0032633A" w:rsidRPr="00D14C15">
              <w:rPr>
                <w:lang w:val="en-GB"/>
              </w:rPr>
              <w:t xml:space="preserve">does not have adequate infrastructure and training programmes, units do not have the appropriate equipment to </w:t>
            </w:r>
            <w:r>
              <w:rPr>
                <w:lang w:val="en-GB"/>
              </w:rPr>
              <w:t xml:space="preserve">ensure </w:t>
            </w:r>
            <w:r w:rsidR="0032633A" w:rsidRPr="00D14C15">
              <w:rPr>
                <w:lang w:val="en-GB"/>
              </w:rPr>
              <w:t>effective</w:t>
            </w:r>
            <w:r>
              <w:rPr>
                <w:lang w:val="en-GB"/>
              </w:rPr>
              <w:t xml:space="preserve"> </w:t>
            </w:r>
            <w:r w:rsidR="00C65962">
              <w:rPr>
                <w:lang w:val="en-GB"/>
              </w:rPr>
              <w:t xml:space="preserve">and safe </w:t>
            </w:r>
            <w:r>
              <w:rPr>
                <w:lang w:val="en-GB"/>
              </w:rPr>
              <w:t xml:space="preserve">response in </w:t>
            </w:r>
            <w:r w:rsidR="00C65962">
              <w:rPr>
                <w:lang w:val="en-GB"/>
              </w:rPr>
              <w:t>a timely</w:t>
            </w:r>
            <w:r>
              <w:rPr>
                <w:lang w:val="en-GB"/>
              </w:rPr>
              <w:t xml:space="preserve"> </w:t>
            </w:r>
            <w:r w:rsidR="00BA0347">
              <w:rPr>
                <w:lang w:val="en-GB"/>
              </w:rPr>
              <w:t>manner</w:t>
            </w:r>
            <w:r>
              <w:rPr>
                <w:lang w:val="en-GB"/>
              </w:rPr>
              <w:t xml:space="preserve">. </w:t>
            </w:r>
          </w:p>
          <w:p w14:paraId="10E5A304" w14:textId="77777777" w:rsidR="0076298E" w:rsidRPr="00D14C15" w:rsidRDefault="0076298E">
            <w:pPr>
              <w:pStyle w:val="TableParagraph"/>
              <w:ind w:left="102" w:right="68"/>
              <w:jc w:val="both"/>
              <w:rPr>
                <w:lang w:val="en-GB"/>
              </w:rPr>
            </w:pPr>
          </w:p>
          <w:p w14:paraId="54AB8A5F" w14:textId="77777777" w:rsidR="0076298E" w:rsidRPr="00D14C15" w:rsidRDefault="00AC6618">
            <w:pPr>
              <w:pStyle w:val="TableParagraph"/>
              <w:ind w:left="102" w:right="68"/>
              <w:jc w:val="both"/>
              <w:rPr>
                <w:lang w:val="en-GB"/>
              </w:rPr>
            </w:pPr>
            <w:r>
              <w:rPr>
                <w:lang w:val="en-GB"/>
              </w:rPr>
              <w:t>We will use grants</w:t>
            </w:r>
            <w:r w:rsidR="006D0921" w:rsidRPr="00F664FB">
              <w:rPr>
                <w:lang w:val="en-GB"/>
              </w:rPr>
              <w:t>. A detailed justification is given in Chapter 2.</w:t>
            </w:r>
          </w:p>
        </w:tc>
      </w:tr>
      <w:tr w:rsidR="0076298E" w:rsidRPr="00D14C15" w14:paraId="2FB76FAD" w14:textId="77777777" w:rsidTr="00E1518F">
        <w:trPr>
          <w:trHeight w:val="599"/>
        </w:trPr>
        <w:tc>
          <w:tcPr>
            <w:tcW w:w="2268" w:type="dxa"/>
            <w:vMerge/>
          </w:tcPr>
          <w:p w14:paraId="111F6B57" w14:textId="77777777" w:rsidR="0076298E" w:rsidRPr="00D14C15" w:rsidRDefault="0076298E">
            <w:pPr>
              <w:pStyle w:val="TableParagraph"/>
              <w:ind w:left="115"/>
              <w:rPr>
                <w:lang w:val="en-GB"/>
              </w:rPr>
            </w:pPr>
          </w:p>
        </w:tc>
        <w:tc>
          <w:tcPr>
            <w:tcW w:w="3119" w:type="dxa"/>
          </w:tcPr>
          <w:p w14:paraId="7D65B0AF" w14:textId="77777777" w:rsidR="0076298E" w:rsidRPr="00D14C15" w:rsidRDefault="0032633A">
            <w:pPr>
              <w:pStyle w:val="P68B1DB1-Navaden1"/>
              <w:ind w:left="37"/>
              <w:rPr>
                <w:lang w:val="en-GB"/>
              </w:rPr>
            </w:pPr>
            <w:r w:rsidRPr="00D14C15">
              <w:rPr>
                <w:lang w:val="en-GB"/>
              </w:rPr>
              <w:t>P</w:t>
            </w:r>
            <w:r w:rsidR="002B47E4">
              <w:rPr>
                <w:lang w:val="en-GB"/>
              </w:rPr>
              <w:t xml:space="preserve">riority </w:t>
            </w:r>
            <w:r w:rsidRPr="00D14C15">
              <w:rPr>
                <w:lang w:val="en-GB"/>
              </w:rPr>
              <w:t xml:space="preserve">3: </w:t>
            </w:r>
            <w:r w:rsidRPr="009870E1">
              <w:rPr>
                <w:lang w:val="en-GB"/>
              </w:rPr>
              <w:t xml:space="preserve">Green </w:t>
            </w:r>
            <w:r w:rsidR="009870E1">
              <w:rPr>
                <w:lang w:val="en-GB"/>
              </w:rPr>
              <w:t>t</w:t>
            </w:r>
            <w:r w:rsidRPr="009870E1">
              <w:rPr>
                <w:lang w:val="en-GB"/>
              </w:rPr>
              <w:t xml:space="preserve">ransformation for </w:t>
            </w:r>
            <w:r w:rsidR="009870E1">
              <w:rPr>
                <w:lang w:val="en-GB"/>
              </w:rPr>
              <w:t>c</w:t>
            </w:r>
            <w:r w:rsidRPr="009870E1">
              <w:rPr>
                <w:lang w:val="en-GB"/>
              </w:rPr>
              <w:t xml:space="preserve">limate </w:t>
            </w:r>
            <w:r w:rsidR="009870E1">
              <w:rPr>
                <w:lang w:val="en-GB"/>
              </w:rPr>
              <w:t>n</w:t>
            </w:r>
            <w:r w:rsidRPr="009870E1">
              <w:rPr>
                <w:lang w:val="en-GB"/>
              </w:rPr>
              <w:t>eutrality</w:t>
            </w:r>
            <w:r w:rsidRPr="00D14C15">
              <w:rPr>
                <w:lang w:val="en-GB"/>
              </w:rPr>
              <w:t xml:space="preserve"> </w:t>
            </w:r>
          </w:p>
          <w:p w14:paraId="41381FBD" w14:textId="77777777" w:rsidR="0076298E" w:rsidRPr="00D14C15" w:rsidRDefault="0076298E">
            <w:pPr>
              <w:ind w:left="37"/>
              <w:rPr>
                <w:lang w:val="en-GB"/>
              </w:rPr>
            </w:pPr>
          </w:p>
          <w:p w14:paraId="21265A5F" w14:textId="77777777" w:rsidR="0076298E" w:rsidRPr="00D14C15" w:rsidRDefault="0032633A" w:rsidP="00B5207C">
            <w:pPr>
              <w:ind w:left="37"/>
              <w:rPr>
                <w:lang w:val="en-GB"/>
              </w:rPr>
            </w:pPr>
            <w:r w:rsidRPr="00D14C15">
              <w:rPr>
                <w:lang w:val="en-GB"/>
              </w:rPr>
              <w:t xml:space="preserve">RSO2.5: Promoting access to water and sustainable </w:t>
            </w:r>
            <w:r w:rsidR="00B5207C" w:rsidRPr="00D14C15">
              <w:rPr>
                <w:lang w:val="en-GB"/>
              </w:rPr>
              <w:t xml:space="preserve">water </w:t>
            </w:r>
            <w:r w:rsidRPr="00D14C15">
              <w:rPr>
                <w:lang w:val="en-GB"/>
              </w:rPr>
              <w:t xml:space="preserve">management </w:t>
            </w:r>
          </w:p>
        </w:tc>
        <w:tc>
          <w:tcPr>
            <w:tcW w:w="8647" w:type="dxa"/>
          </w:tcPr>
          <w:p w14:paraId="5765B7A4" w14:textId="77777777" w:rsidR="0076298E" w:rsidRPr="00D14C15" w:rsidRDefault="002D5842">
            <w:pPr>
              <w:pStyle w:val="TableParagraph"/>
              <w:ind w:left="102" w:right="68"/>
              <w:jc w:val="both"/>
              <w:rPr>
                <w:lang w:val="en-GB"/>
              </w:rPr>
            </w:pPr>
            <w:r>
              <w:rPr>
                <w:lang w:val="en-GB"/>
              </w:rPr>
              <w:t>The a</w:t>
            </w:r>
            <w:r w:rsidR="0032633A" w:rsidRPr="00D14C15">
              <w:rPr>
                <w:lang w:val="en-GB"/>
              </w:rPr>
              <w:t xml:space="preserve">ssessment of equipment and </w:t>
            </w:r>
            <w:r>
              <w:rPr>
                <w:lang w:val="en-GB"/>
              </w:rPr>
              <w:t xml:space="preserve">the </w:t>
            </w:r>
            <w:r w:rsidR="00B5207C">
              <w:rPr>
                <w:lang w:val="en-GB"/>
              </w:rPr>
              <w:t>level</w:t>
            </w:r>
            <w:r w:rsidR="0032633A" w:rsidRPr="00D14C15">
              <w:rPr>
                <w:lang w:val="en-GB"/>
              </w:rPr>
              <w:t xml:space="preserve"> of connection of agglomerations to the r</w:t>
            </w:r>
            <w:r w:rsidR="00B5207C">
              <w:rPr>
                <w:lang w:val="en-GB"/>
              </w:rPr>
              <w:t xml:space="preserve">elevant infrastructure </w:t>
            </w:r>
            <w:r w:rsidR="009F7746">
              <w:rPr>
                <w:lang w:val="en-GB"/>
              </w:rPr>
              <w:t xml:space="preserve">(data for </w:t>
            </w:r>
            <w:r w:rsidR="00B5207C">
              <w:rPr>
                <w:lang w:val="en-GB"/>
              </w:rPr>
              <w:t>31 December</w:t>
            </w:r>
            <w:r w:rsidR="0032633A" w:rsidRPr="00D14C15">
              <w:rPr>
                <w:lang w:val="en-GB"/>
              </w:rPr>
              <w:t xml:space="preserve"> 2018</w:t>
            </w:r>
            <w:r w:rsidR="009F7746">
              <w:rPr>
                <w:lang w:val="en-GB"/>
              </w:rPr>
              <w:t>)</w:t>
            </w:r>
            <w:r w:rsidR="0032633A" w:rsidRPr="00D14C15">
              <w:rPr>
                <w:lang w:val="en-GB"/>
              </w:rPr>
              <w:t xml:space="preserve">, prepared </w:t>
            </w:r>
            <w:r>
              <w:rPr>
                <w:lang w:val="en-GB"/>
              </w:rPr>
              <w:t>in the frame</w:t>
            </w:r>
            <w:r w:rsidR="0032633A" w:rsidRPr="00D14C15">
              <w:rPr>
                <w:lang w:val="en-GB"/>
              </w:rPr>
              <w:t xml:space="preserve"> of the Operational Programme for </w:t>
            </w:r>
            <w:r w:rsidRPr="00D14C15">
              <w:rPr>
                <w:lang w:val="en-GB"/>
              </w:rPr>
              <w:t>Urban Waste</w:t>
            </w:r>
            <w:r>
              <w:rPr>
                <w:lang w:val="en-GB"/>
              </w:rPr>
              <w:t>w</w:t>
            </w:r>
            <w:r w:rsidRPr="00D14C15">
              <w:rPr>
                <w:lang w:val="en-GB"/>
              </w:rPr>
              <w:t xml:space="preserve">ater </w:t>
            </w:r>
            <w:r w:rsidR="0032633A" w:rsidRPr="00D14C15">
              <w:rPr>
                <w:lang w:val="en-GB"/>
              </w:rPr>
              <w:t xml:space="preserve">Treatment, adopted by the </w:t>
            </w:r>
            <w:r w:rsidR="0032633A" w:rsidRPr="00D14C15">
              <w:rPr>
                <w:rFonts w:eastAsia="Calibri"/>
                <w:lang w:val="en-GB"/>
              </w:rPr>
              <w:t>Government of</w:t>
            </w:r>
            <w:r>
              <w:rPr>
                <w:rFonts w:eastAsia="Calibri"/>
                <w:lang w:val="en-GB"/>
              </w:rPr>
              <w:t xml:space="preserve"> the Republic of Slovenia on 17 September</w:t>
            </w:r>
            <w:r w:rsidR="0032633A" w:rsidRPr="00D14C15">
              <w:rPr>
                <w:rFonts w:eastAsia="Calibri"/>
                <w:lang w:val="en-GB"/>
              </w:rPr>
              <w:t xml:space="preserve"> 2020</w:t>
            </w:r>
            <w:r w:rsidR="0032633A" w:rsidRPr="00D14C15">
              <w:rPr>
                <w:rStyle w:val="Sprotnaopomba-sklic"/>
                <w:rFonts w:eastAsia="Calibri"/>
                <w:lang w:val="en-GB"/>
              </w:rPr>
              <w:footnoteReference w:id="66"/>
            </w:r>
            <w:r w:rsidR="0032633A" w:rsidRPr="00D14C15">
              <w:rPr>
                <w:rFonts w:eastAsia="Calibri"/>
                <w:lang w:val="en-GB"/>
              </w:rPr>
              <w:t>,</w:t>
            </w:r>
            <w:r w:rsidR="0032633A" w:rsidRPr="00D14C15">
              <w:rPr>
                <w:lang w:val="en-GB"/>
              </w:rPr>
              <w:t xml:space="preserve"> </w:t>
            </w:r>
            <w:r>
              <w:rPr>
                <w:lang w:val="en-GB"/>
              </w:rPr>
              <w:t xml:space="preserve">analysed </w:t>
            </w:r>
            <w:r w:rsidR="0032633A" w:rsidRPr="00D14C15">
              <w:rPr>
                <w:lang w:val="en-GB"/>
              </w:rPr>
              <w:t>the actual state</w:t>
            </w:r>
            <w:r>
              <w:rPr>
                <w:lang w:val="en-GB"/>
              </w:rPr>
              <w:t xml:space="preserve"> of equipment of agglomerations</w:t>
            </w:r>
            <w:r w:rsidR="0032633A" w:rsidRPr="00D14C15">
              <w:rPr>
                <w:lang w:val="en-GB"/>
              </w:rPr>
              <w:t xml:space="preserve"> and </w:t>
            </w:r>
            <w:r>
              <w:rPr>
                <w:lang w:val="en-GB"/>
              </w:rPr>
              <w:t>updated the borders</w:t>
            </w:r>
            <w:r w:rsidR="0032633A" w:rsidRPr="00D14C15">
              <w:rPr>
                <w:lang w:val="en-GB"/>
              </w:rPr>
              <w:t xml:space="preserve"> of agglomerations</w:t>
            </w:r>
            <w:r>
              <w:rPr>
                <w:lang w:val="en-GB"/>
              </w:rPr>
              <w:t xml:space="preserve">. This assessment shows </w:t>
            </w:r>
            <w:r w:rsidR="0032633A" w:rsidRPr="00D14C15">
              <w:rPr>
                <w:lang w:val="en-GB"/>
              </w:rPr>
              <w:t xml:space="preserve">the actual </w:t>
            </w:r>
            <w:r>
              <w:rPr>
                <w:lang w:val="en-GB"/>
              </w:rPr>
              <w:t>settlement concentration and generation of urban waste</w:t>
            </w:r>
            <w:r w:rsidR="0032633A" w:rsidRPr="00D14C15">
              <w:rPr>
                <w:lang w:val="en-GB"/>
              </w:rPr>
              <w:t xml:space="preserve">water due to activities and consistency with basic spatial units. The </w:t>
            </w:r>
            <w:r>
              <w:rPr>
                <w:lang w:val="en-GB"/>
              </w:rPr>
              <w:t>updated</w:t>
            </w:r>
            <w:r w:rsidR="0032633A" w:rsidRPr="00D14C15">
              <w:rPr>
                <w:lang w:val="en-GB"/>
              </w:rPr>
              <w:t xml:space="preserve"> agglomerations entered into force </w:t>
            </w:r>
            <w:r>
              <w:rPr>
                <w:lang w:val="en-GB"/>
              </w:rPr>
              <w:t xml:space="preserve">on </w:t>
            </w:r>
            <w:r w:rsidR="0032633A" w:rsidRPr="00D14C15">
              <w:rPr>
                <w:lang w:val="en-GB"/>
              </w:rPr>
              <w:t>1</w:t>
            </w:r>
            <w:r>
              <w:rPr>
                <w:lang w:val="en-GB"/>
              </w:rPr>
              <w:t xml:space="preserve"> January</w:t>
            </w:r>
            <w:r w:rsidR="0032633A" w:rsidRPr="00D14C15">
              <w:rPr>
                <w:lang w:val="en-GB"/>
              </w:rPr>
              <w:t xml:space="preserve"> 2020 with amendments to the Decree on </w:t>
            </w:r>
            <w:r>
              <w:rPr>
                <w:lang w:val="en-GB"/>
              </w:rPr>
              <w:t xml:space="preserve">the </w:t>
            </w:r>
            <w:r w:rsidR="0032633A" w:rsidRPr="00D14C15">
              <w:rPr>
                <w:lang w:val="en-GB"/>
              </w:rPr>
              <w:t>discharge</w:t>
            </w:r>
            <w:r>
              <w:rPr>
                <w:lang w:val="en-GB"/>
              </w:rPr>
              <w:t xml:space="preserve"> and treatment of urban waste</w:t>
            </w:r>
            <w:r w:rsidR="0032633A" w:rsidRPr="00D14C15">
              <w:rPr>
                <w:lang w:val="en-GB"/>
              </w:rPr>
              <w:t>water</w:t>
            </w:r>
            <w:r w:rsidR="0032633A" w:rsidRPr="00D14C15">
              <w:rPr>
                <w:rStyle w:val="Sprotnaopomba-sklic"/>
                <w:lang w:val="en-GB"/>
              </w:rPr>
              <w:footnoteReference w:id="67"/>
            </w:r>
            <w:r w:rsidR="0032633A" w:rsidRPr="00D14C15">
              <w:rPr>
                <w:lang w:val="en-GB"/>
              </w:rPr>
              <w:t xml:space="preserve">. Despite the investments made so far in the field of urban wastewater discharge and treatment, Slovenia </w:t>
            </w:r>
            <w:r w:rsidR="009F7746">
              <w:rPr>
                <w:lang w:val="en-GB"/>
              </w:rPr>
              <w:t>has not yet met</w:t>
            </w:r>
            <w:r w:rsidR="0032633A" w:rsidRPr="00D14C15">
              <w:rPr>
                <w:lang w:val="en-GB"/>
              </w:rPr>
              <w:t xml:space="preserve"> the requirements of </w:t>
            </w:r>
            <w:r>
              <w:rPr>
                <w:lang w:val="en-GB"/>
              </w:rPr>
              <w:t xml:space="preserve">the </w:t>
            </w:r>
            <w:r w:rsidR="0032633A" w:rsidRPr="00D14C15">
              <w:rPr>
                <w:lang w:val="en-GB"/>
              </w:rPr>
              <w:t>Directive 91/271/EEC concerning</w:t>
            </w:r>
            <w:r>
              <w:rPr>
                <w:lang w:val="en-GB"/>
              </w:rPr>
              <w:t xml:space="preserve"> urban waste</w:t>
            </w:r>
            <w:r w:rsidR="0032633A" w:rsidRPr="00D14C15">
              <w:rPr>
                <w:lang w:val="en-GB"/>
              </w:rPr>
              <w:t>water treatment</w:t>
            </w:r>
            <w:r>
              <w:rPr>
                <w:lang w:val="en-GB"/>
              </w:rPr>
              <w:t>. According to the Directive and</w:t>
            </w:r>
            <w:r w:rsidRPr="00D14C15">
              <w:rPr>
                <w:lang w:val="en-GB"/>
              </w:rPr>
              <w:t xml:space="preserve"> in accordance with the Accession Treaty</w:t>
            </w:r>
            <w:r>
              <w:rPr>
                <w:lang w:val="en-GB"/>
              </w:rPr>
              <w:t>, Slovenia should b</w:t>
            </w:r>
            <w:r w:rsidR="0032633A" w:rsidRPr="00D14C15">
              <w:rPr>
                <w:lang w:val="en-GB"/>
              </w:rPr>
              <w:t>uild adequate infrastructure for the d</w:t>
            </w:r>
            <w:r w:rsidR="00B17E6E">
              <w:rPr>
                <w:lang w:val="en-GB"/>
              </w:rPr>
              <w:t>ischarge and treatment of waste</w:t>
            </w:r>
            <w:r w:rsidR="0032633A" w:rsidRPr="00D14C15">
              <w:rPr>
                <w:lang w:val="en-GB"/>
              </w:rPr>
              <w:t xml:space="preserve">water in agglomerations with a total load </w:t>
            </w:r>
            <w:r w:rsidR="00B17E6E">
              <w:rPr>
                <w:lang w:val="en-GB"/>
              </w:rPr>
              <w:t>of 2,000 PE or more</w:t>
            </w:r>
            <w:r w:rsidR="0032633A" w:rsidRPr="00D14C15">
              <w:rPr>
                <w:lang w:val="en-GB"/>
              </w:rPr>
              <w:t xml:space="preserve">. </w:t>
            </w:r>
            <w:r w:rsidR="00B17E6E">
              <w:rPr>
                <w:lang w:val="en-GB"/>
              </w:rPr>
              <w:t xml:space="preserve">Slovenia is not making the set </w:t>
            </w:r>
            <w:r w:rsidR="0032633A" w:rsidRPr="00D14C15">
              <w:rPr>
                <w:lang w:val="en-GB"/>
              </w:rPr>
              <w:t xml:space="preserve">progress in </w:t>
            </w:r>
            <w:r w:rsidR="00B17E6E">
              <w:rPr>
                <w:lang w:val="en-GB"/>
              </w:rPr>
              <w:t>terms of improving water quality</w:t>
            </w:r>
            <w:r w:rsidR="0032633A" w:rsidRPr="00D14C15">
              <w:rPr>
                <w:lang w:val="en-GB"/>
              </w:rPr>
              <w:t xml:space="preserve">. </w:t>
            </w:r>
          </w:p>
          <w:p w14:paraId="7442F334" w14:textId="77777777" w:rsidR="0076298E" w:rsidRPr="00D14C15" w:rsidRDefault="0076298E">
            <w:pPr>
              <w:pStyle w:val="TableParagraph"/>
              <w:ind w:left="104" w:right="67"/>
              <w:jc w:val="both"/>
              <w:rPr>
                <w:lang w:val="en-GB"/>
              </w:rPr>
            </w:pPr>
          </w:p>
          <w:p w14:paraId="47790FEB" w14:textId="77777777" w:rsidR="0076298E" w:rsidRPr="00D14C15" w:rsidRDefault="0032633A">
            <w:pPr>
              <w:pStyle w:val="TableParagraph"/>
              <w:ind w:left="102" w:right="68"/>
              <w:jc w:val="both"/>
              <w:rPr>
                <w:lang w:val="en-GB"/>
              </w:rPr>
            </w:pPr>
            <w:r w:rsidRPr="00D14C15">
              <w:rPr>
                <w:lang w:val="en-GB"/>
              </w:rPr>
              <w:t>The Operational Programme for Drinking Water Supply for the period 2022</w:t>
            </w:r>
            <w:r w:rsidR="00B17E6E">
              <w:rPr>
                <w:lang w:val="en-GB"/>
              </w:rPr>
              <w:t>-</w:t>
            </w:r>
            <w:r w:rsidRPr="00D14C15">
              <w:rPr>
                <w:lang w:val="en-GB"/>
              </w:rPr>
              <w:t>2027</w:t>
            </w:r>
            <w:r w:rsidRPr="00D14C15">
              <w:rPr>
                <w:rStyle w:val="Sprotnaopomba-sklic"/>
                <w:lang w:val="en-GB"/>
              </w:rPr>
              <w:footnoteReference w:id="68"/>
            </w:r>
            <w:r w:rsidR="00B17E6E">
              <w:rPr>
                <w:lang w:val="en-GB"/>
              </w:rPr>
              <w:t xml:space="preserve"> identifies </w:t>
            </w:r>
            <w:r w:rsidRPr="00D14C15">
              <w:rPr>
                <w:lang w:val="en-GB"/>
              </w:rPr>
              <w:t xml:space="preserve">poor provision of </w:t>
            </w:r>
            <w:r w:rsidR="009F2277" w:rsidRPr="00D14C15">
              <w:rPr>
                <w:lang w:val="en-GB"/>
              </w:rPr>
              <w:t xml:space="preserve">water </w:t>
            </w:r>
            <w:r w:rsidRPr="00D14C15">
              <w:rPr>
                <w:lang w:val="en-GB"/>
              </w:rPr>
              <w:t>reserve</w:t>
            </w:r>
            <w:r w:rsidR="009F2277">
              <w:rPr>
                <w:lang w:val="en-GB"/>
              </w:rPr>
              <w:t>s and high water losses in</w:t>
            </w:r>
            <w:r w:rsidRPr="00D14C15">
              <w:rPr>
                <w:lang w:val="en-GB"/>
              </w:rPr>
              <w:t xml:space="preserve"> </w:t>
            </w:r>
            <w:r w:rsidR="004E3475">
              <w:rPr>
                <w:lang w:val="en-GB"/>
              </w:rPr>
              <w:t>distribution</w:t>
            </w:r>
            <w:r w:rsidRPr="00D14C15">
              <w:rPr>
                <w:lang w:val="en-GB"/>
              </w:rPr>
              <w:t xml:space="preserve"> systems</w:t>
            </w:r>
            <w:r w:rsidR="004E3475">
              <w:rPr>
                <w:lang w:val="en-GB"/>
              </w:rPr>
              <w:t xml:space="preserve"> for public water supply</w:t>
            </w:r>
            <w:r w:rsidR="009F2277">
              <w:rPr>
                <w:lang w:val="en-GB"/>
              </w:rPr>
              <w:t xml:space="preserve"> as an issue be addressed in the field of </w:t>
            </w:r>
            <w:r w:rsidR="009F2277" w:rsidRPr="00D14C15">
              <w:rPr>
                <w:lang w:val="en-GB"/>
              </w:rPr>
              <w:t>drinking water supply in Slovenia</w:t>
            </w:r>
            <w:r w:rsidRPr="00D14C15">
              <w:rPr>
                <w:lang w:val="en-GB"/>
              </w:rPr>
              <w:t xml:space="preserve">. </w:t>
            </w:r>
            <w:r w:rsidR="009F2277">
              <w:rPr>
                <w:lang w:val="en-GB"/>
              </w:rPr>
              <w:t xml:space="preserve">Water reserves are </w:t>
            </w:r>
            <w:r w:rsidRPr="00D14C15">
              <w:rPr>
                <w:lang w:val="en-GB"/>
              </w:rPr>
              <w:t>independent source</w:t>
            </w:r>
            <w:r w:rsidR="009F2277">
              <w:rPr>
                <w:lang w:val="en-GB"/>
              </w:rPr>
              <w:t>s</w:t>
            </w:r>
            <w:r w:rsidRPr="00D14C15">
              <w:rPr>
                <w:lang w:val="en-GB"/>
              </w:rPr>
              <w:t xml:space="preserve">, which provide the </w:t>
            </w:r>
            <w:r w:rsidR="009F2277">
              <w:rPr>
                <w:lang w:val="en-GB"/>
              </w:rPr>
              <w:t>required</w:t>
            </w:r>
            <w:r w:rsidRPr="00D14C15">
              <w:rPr>
                <w:lang w:val="en-GB"/>
              </w:rPr>
              <w:t xml:space="preserve"> amount of water </w:t>
            </w:r>
            <w:r w:rsidR="009F2277">
              <w:rPr>
                <w:lang w:val="en-GB"/>
              </w:rPr>
              <w:t xml:space="preserve">for </w:t>
            </w:r>
            <w:r w:rsidRPr="00D14C15">
              <w:rPr>
                <w:lang w:val="en-GB"/>
              </w:rPr>
              <w:t>drinking and basic hygiene of the population, as well as essential activities for work and living in the area of public water supply</w:t>
            </w:r>
            <w:r w:rsidR="009F2277">
              <w:rPr>
                <w:lang w:val="en-GB"/>
              </w:rPr>
              <w:t xml:space="preserve"> system</w:t>
            </w:r>
            <w:r w:rsidRPr="00D14C15">
              <w:rPr>
                <w:lang w:val="en-GB"/>
              </w:rPr>
              <w:t xml:space="preserve">. </w:t>
            </w:r>
            <w:r w:rsidR="009F2277">
              <w:rPr>
                <w:lang w:val="en-GB"/>
              </w:rPr>
              <w:t xml:space="preserve">The </w:t>
            </w:r>
            <w:r w:rsidRPr="00D14C15">
              <w:rPr>
                <w:lang w:val="en-GB"/>
              </w:rPr>
              <w:t xml:space="preserve">Operational Programme </w:t>
            </w:r>
            <w:r w:rsidR="009F2277">
              <w:rPr>
                <w:lang w:val="en-GB"/>
              </w:rPr>
              <w:t xml:space="preserve">finds that none of the </w:t>
            </w:r>
            <w:r w:rsidRPr="00D14C15">
              <w:rPr>
                <w:lang w:val="en-GB"/>
              </w:rPr>
              <w:t xml:space="preserve">6 public </w:t>
            </w:r>
            <w:r w:rsidR="009F2277">
              <w:rPr>
                <w:lang w:val="en-GB"/>
              </w:rPr>
              <w:t xml:space="preserve">water supply systems, </w:t>
            </w:r>
            <w:r w:rsidRPr="00D14C15">
              <w:rPr>
                <w:lang w:val="en-GB"/>
              </w:rPr>
              <w:t>which supply more than 50,000 inhabitants, do</w:t>
            </w:r>
            <w:r w:rsidR="009F2277">
              <w:rPr>
                <w:lang w:val="en-GB"/>
              </w:rPr>
              <w:t>es</w:t>
            </w:r>
            <w:r w:rsidRPr="00D14C15">
              <w:rPr>
                <w:lang w:val="en-GB"/>
              </w:rPr>
              <w:t xml:space="preserve"> not have a reserve supply of water that could provide adequate</w:t>
            </w:r>
            <w:r w:rsidR="009F2277">
              <w:rPr>
                <w:lang w:val="en-GB"/>
              </w:rPr>
              <w:t xml:space="preserve"> drinking water in </w:t>
            </w:r>
            <w:r w:rsidR="009F7746">
              <w:rPr>
                <w:lang w:val="en-GB"/>
              </w:rPr>
              <w:t>the case of an</w:t>
            </w:r>
            <w:r w:rsidR="009F2277">
              <w:rPr>
                <w:lang w:val="en-GB"/>
              </w:rPr>
              <w:t xml:space="preserve"> emergency. Water losses in</w:t>
            </w:r>
            <w:r w:rsidRPr="00D14C15">
              <w:rPr>
                <w:lang w:val="en-GB"/>
              </w:rPr>
              <w:t xml:space="preserve"> </w:t>
            </w:r>
            <w:r w:rsidR="004E3475">
              <w:rPr>
                <w:lang w:val="en-GB"/>
              </w:rPr>
              <w:t>distribution</w:t>
            </w:r>
            <w:r w:rsidR="004E3475" w:rsidRPr="00D14C15">
              <w:rPr>
                <w:lang w:val="en-GB"/>
              </w:rPr>
              <w:t xml:space="preserve"> systems</w:t>
            </w:r>
            <w:r w:rsidR="004E3475">
              <w:rPr>
                <w:lang w:val="en-GB"/>
              </w:rPr>
              <w:t xml:space="preserve"> for public water supply </w:t>
            </w:r>
            <w:r w:rsidRPr="00D14C15">
              <w:rPr>
                <w:lang w:val="en-GB"/>
              </w:rPr>
              <w:t>are estimated at 27%,</w:t>
            </w:r>
            <w:r w:rsidRPr="00D14C15">
              <w:rPr>
                <w:rStyle w:val="Sprotnaopomba-sklic"/>
                <w:lang w:val="en-GB"/>
              </w:rPr>
              <w:footnoteReference w:id="69"/>
            </w:r>
            <w:r w:rsidR="009F2277">
              <w:rPr>
                <w:lang w:val="en-GB"/>
              </w:rPr>
              <w:t xml:space="preserve"> and more than 25</w:t>
            </w:r>
            <w:r w:rsidRPr="00D14C15">
              <w:rPr>
                <w:lang w:val="en-GB"/>
              </w:rPr>
              <w:t xml:space="preserve">% of the public pipes need to be </w:t>
            </w:r>
            <w:r w:rsidR="009F2277">
              <w:rPr>
                <w:lang w:val="en-GB"/>
              </w:rPr>
              <w:t>upgraded</w:t>
            </w:r>
            <w:r w:rsidRPr="00D14C15">
              <w:rPr>
                <w:lang w:val="en-GB"/>
              </w:rPr>
              <w:t xml:space="preserve">. </w:t>
            </w:r>
          </w:p>
          <w:p w14:paraId="0A64984B" w14:textId="77777777" w:rsidR="0076298E" w:rsidRPr="00D14C15" w:rsidRDefault="0076298E">
            <w:pPr>
              <w:pStyle w:val="TableParagraph"/>
              <w:ind w:left="102" w:right="68"/>
              <w:jc w:val="both"/>
              <w:rPr>
                <w:lang w:val="en-GB"/>
              </w:rPr>
            </w:pPr>
          </w:p>
          <w:p w14:paraId="50333AA1" w14:textId="77777777" w:rsidR="0076298E" w:rsidRPr="00D14C15" w:rsidRDefault="0032633A">
            <w:pPr>
              <w:pStyle w:val="P68B1DB1-TableParagraph8"/>
              <w:ind w:left="104" w:right="67"/>
              <w:jc w:val="both"/>
              <w:rPr>
                <w:lang w:val="en-GB"/>
              </w:rPr>
            </w:pPr>
            <w:r w:rsidRPr="00D14C15">
              <w:rPr>
                <w:lang w:val="en-GB"/>
              </w:rPr>
              <w:t xml:space="preserve">The key challenges </w:t>
            </w:r>
            <w:r w:rsidR="009F2277">
              <w:rPr>
                <w:lang w:val="en-GB"/>
              </w:rPr>
              <w:t xml:space="preserve">regarding </w:t>
            </w:r>
            <w:r w:rsidRPr="00D14C15">
              <w:rPr>
                <w:lang w:val="en-GB"/>
              </w:rPr>
              <w:t>equipment</w:t>
            </w:r>
            <w:r w:rsidR="0057649A">
              <w:rPr>
                <w:lang w:val="en-GB"/>
              </w:rPr>
              <w:t xml:space="preserve">, the </w:t>
            </w:r>
            <w:r w:rsidR="009F2277">
              <w:rPr>
                <w:lang w:val="en-GB"/>
              </w:rPr>
              <w:t xml:space="preserve">level </w:t>
            </w:r>
            <w:r w:rsidR="0057649A">
              <w:rPr>
                <w:lang w:val="en-GB"/>
              </w:rPr>
              <w:t xml:space="preserve">of </w:t>
            </w:r>
            <w:r w:rsidR="009F2277">
              <w:rPr>
                <w:lang w:val="en-GB"/>
              </w:rPr>
              <w:t>connection</w:t>
            </w:r>
            <w:r w:rsidRPr="00D14C15">
              <w:rPr>
                <w:lang w:val="en-GB"/>
              </w:rPr>
              <w:t xml:space="preserve"> of agglomerations and </w:t>
            </w:r>
            <w:r w:rsidR="0057649A" w:rsidRPr="00D14C15">
              <w:rPr>
                <w:lang w:val="en-GB"/>
              </w:rPr>
              <w:t xml:space="preserve">drinking water </w:t>
            </w:r>
            <w:r w:rsidRPr="00D14C15">
              <w:rPr>
                <w:lang w:val="en-GB"/>
              </w:rPr>
              <w:t xml:space="preserve">supply are of wider regional importance and are defined in the </w:t>
            </w:r>
            <w:r w:rsidR="007C2EFE">
              <w:rPr>
                <w:lang w:val="en-GB"/>
              </w:rPr>
              <w:t>r</w:t>
            </w:r>
            <w:r w:rsidRPr="00D14C15">
              <w:rPr>
                <w:lang w:val="en-GB"/>
              </w:rPr>
              <w:t xml:space="preserve">egional </w:t>
            </w:r>
            <w:r w:rsidR="007C2EFE">
              <w:rPr>
                <w:lang w:val="en-GB"/>
              </w:rPr>
              <w:t>d</w:t>
            </w:r>
            <w:r w:rsidRPr="00D14C15">
              <w:rPr>
                <w:lang w:val="en-GB"/>
              </w:rPr>
              <w:t xml:space="preserve">evelopment </w:t>
            </w:r>
            <w:r w:rsidR="007C2EFE">
              <w:rPr>
                <w:lang w:val="en-GB"/>
              </w:rPr>
              <w:t>p</w:t>
            </w:r>
            <w:r w:rsidRPr="00D14C15">
              <w:rPr>
                <w:lang w:val="en-GB"/>
              </w:rPr>
              <w:t>rogrammes (</w:t>
            </w:r>
            <w:r w:rsidR="00A82FD2">
              <w:rPr>
                <w:lang w:val="en-GB"/>
              </w:rPr>
              <w:t xml:space="preserve">hereinafter: </w:t>
            </w:r>
            <w:r w:rsidRPr="007C2EFE">
              <w:rPr>
                <w:lang w:val="en-GB"/>
              </w:rPr>
              <w:t>RDPs</w:t>
            </w:r>
            <w:r w:rsidRPr="00D14C15">
              <w:rPr>
                <w:lang w:val="en-GB"/>
              </w:rPr>
              <w:t>)</w:t>
            </w:r>
            <w:r w:rsidR="0057649A">
              <w:rPr>
                <w:lang w:val="en-GB"/>
              </w:rPr>
              <w:t>. Thus,</w:t>
            </w:r>
            <w:r w:rsidRPr="00D14C15">
              <w:rPr>
                <w:lang w:val="en-GB"/>
              </w:rPr>
              <w:t xml:space="preserve"> regional development approach will be </w:t>
            </w:r>
            <w:r w:rsidR="0057649A">
              <w:rPr>
                <w:lang w:val="en-GB"/>
              </w:rPr>
              <w:t>applied</w:t>
            </w:r>
            <w:r w:rsidRPr="00D14C15">
              <w:rPr>
                <w:lang w:val="en-GB"/>
              </w:rPr>
              <w:t xml:space="preserve">, unless a central approach is necessary </w:t>
            </w:r>
            <w:r w:rsidR="0057649A">
              <w:rPr>
                <w:lang w:val="en-GB"/>
              </w:rPr>
              <w:t xml:space="preserve">in terms of </w:t>
            </w:r>
            <w:r w:rsidRPr="00D14C15">
              <w:rPr>
                <w:lang w:val="en-GB"/>
              </w:rPr>
              <w:t>implementation.</w:t>
            </w:r>
          </w:p>
          <w:p w14:paraId="585D13F8" w14:textId="77777777" w:rsidR="0076298E" w:rsidRPr="00D14C15" w:rsidRDefault="0076298E">
            <w:pPr>
              <w:pStyle w:val="TableParagraph"/>
              <w:ind w:left="102" w:right="68"/>
              <w:jc w:val="both"/>
              <w:rPr>
                <w:lang w:val="en-GB"/>
              </w:rPr>
            </w:pPr>
          </w:p>
          <w:p w14:paraId="05D3F700" w14:textId="77777777" w:rsidR="0076298E" w:rsidRPr="00D14C15" w:rsidRDefault="00AC6618">
            <w:pPr>
              <w:pStyle w:val="TableParagraph"/>
              <w:ind w:left="102" w:right="68"/>
              <w:jc w:val="both"/>
              <w:rPr>
                <w:lang w:val="en-GB"/>
              </w:rPr>
            </w:pPr>
            <w:r>
              <w:rPr>
                <w:lang w:val="en-GB"/>
              </w:rPr>
              <w:t>We will use grants</w:t>
            </w:r>
            <w:r w:rsidR="009F7746" w:rsidRPr="00F664FB">
              <w:rPr>
                <w:lang w:val="en-GB"/>
              </w:rPr>
              <w:t>. A detailed justification is given in Chapter 2.</w:t>
            </w:r>
          </w:p>
        </w:tc>
      </w:tr>
      <w:tr w:rsidR="0076298E" w:rsidRPr="00D14C15" w14:paraId="4E62F8F9" w14:textId="77777777" w:rsidTr="00E1518F">
        <w:trPr>
          <w:trHeight w:val="420"/>
        </w:trPr>
        <w:tc>
          <w:tcPr>
            <w:tcW w:w="2268" w:type="dxa"/>
            <w:vMerge w:val="restart"/>
          </w:tcPr>
          <w:p w14:paraId="2B440DED" w14:textId="77777777" w:rsidR="0076298E" w:rsidRPr="00D14C15" w:rsidRDefault="0076298E">
            <w:pPr>
              <w:pStyle w:val="TableParagraph"/>
              <w:ind w:left="115"/>
              <w:rPr>
                <w:lang w:val="en-GB"/>
              </w:rPr>
            </w:pPr>
          </w:p>
        </w:tc>
        <w:tc>
          <w:tcPr>
            <w:tcW w:w="3119" w:type="dxa"/>
          </w:tcPr>
          <w:p w14:paraId="6CD6FAE9" w14:textId="77777777" w:rsidR="0076298E" w:rsidRPr="00D14C15" w:rsidRDefault="004E3475">
            <w:pPr>
              <w:pStyle w:val="P68B1DB1-Navaden1"/>
              <w:ind w:left="37"/>
              <w:rPr>
                <w:lang w:val="en-GB"/>
              </w:rPr>
            </w:pPr>
            <w:r>
              <w:rPr>
                <w:lang w:val="en-GB"/>
              </w:rPr>
              <w:t>P</w:t>
            </w:r>
            <w:r w:rsidR="002B47E4">
              <w:rPr>
                <w:lang w:val="en-GB"/>
              </w:rPr>
              <w:t xml:space="preserve">riority </w:t>
            </w:r>
            <w:r w:rsidR="0032633A" w:rsidRPr="00D14C15">
              <w:rPr>
                <w:lang w:val="en-GB"/>
              </w:rPr>
              <w:t xml:space="preserve">3: </w:t>
            </w:r>
            <w:r w:rsidR="0032633A" w:rsidRPr="009870E1">
              <w:rPr>
                <w:lang w:val="en-GB"/>
              </w:rPr>
              <w:t xml:space="preserve">Green </w:t>
            </w:r>
            <w:r w:rsidR="009870E1">
              <w:rPr>
                <w:lang w:val="en-GB"/>
              </w:rPr>
              <w:t>t</w:t>
            </w:r>
            <w:r w:rsidR="0032633A" w:rsidRPr="009870E1">
              <w:rPr>
                <w:lang w:val="en-GB"/>
              </w:rPr>
              <w:t xml:space="preserve">ransformation for </w:t>
            </w:r>
            <w:r w:rsidR="009870E1">
              <w:rPr>
                <w:lang w:val="en-GB"/>
              </w:rPr>
              <w:t>c</w:t>
            </w:r>
            <w:r w:rsidR="0032633A" w:rsidRPr="009870E1">
              <w:rPr>
                <w:lang w:val="en-GB"/>
              </w:rPr>
              <w:t xml:space="preserve">limate </w:t>
            </w:r>
            <w:r w:rsidR="009870E1">
              <w:rPr>
                <w:lang w:val="en-GB"/>
              </w:rPr>
              <w:t>n</w:t>
            </w:r>
            <w:r w:rsidR="0032633A" w:rsidRPr="009870E1">
              <w:rPr>
                <w:lang w:val="en-GB"/>
              </w:rPr>
              <w:t>eutrality</w:t>
            </w:r>
            <w:r w:rsidR="0032633A" w:rsidRPr="00D14C15">
              <w:rPr>
                <w:lang w:val="en-GB"/>
              </w:rPr>
              <w:t xml:space="preserve"> </w:t>
            </w:r>
          </w:p>
          <w:p w14:paraId="0E64B73B" w14:textId="77777777" w:rsidR="0076298E" w:rsidRPr="00D14C15" w:rsidRDefault="0076298E">
            <w:pPr>
              <w:ind w:left="37"/>
              <w:rPr>
                <w:lang w:val="en-GB"/>
              </w:rPr>
            </w:pPr>
          </w:p>
          <w:p w14:paraId="48D60C34" w14:textId="77777777" w:rsidR="0076298E" w:rsidRPr="00D14C15" w:rsidRDefault="0032633A" w:rsidP="004E3475">
            <w:pPr>
              <w:ind w:left="37"/>
              <w:rPr>
                <w:lang w:val="en-GB"/>
              </w:rPr>
            </w:pPr>
            <w:r w:rsidRPr="00D14C15">
              <w:rPr>
                <w:lang w:val="en-GB"/>
              </w:rPr>
              <w:t xml:space="preserve">RSO2.6: Promoting the transition to a </w:t>
            </w:r>
            <w:r w:rsidR="004E3475" w:rsidRPr="00D14C15">
              <w:rPr>
                <w:lang w:val="en-GB"/>
              </w:rPr>
              <w:t>circular</w:t>
            </w:r>
            <w:r w:rsidR="004E3475">
              <w:rPr>
                <w:lang w:val="en-GB"/>
              </w:rPr>
              <w:t xml:space="preserve"> and</w:t>
            </w:r>
            <w:r w:rsidR="004E3475" w:rsidRPr="00D14C15">
              <w:rPr>
                <w:lang w:val="en-GB"/>
              </w:rPr>
              <w:t xml:space="preserve"> </w:t>
            </w:r>
            <w:r w:rsidR="004E3475">
              <w:rPr>
                <w:lang w:val="en-GB"/>
              </w:rPr>
              <w:t xml:space="preserve">resource </w:t>
            </w:r>
            <w:r w:rsidRPr="00D14C15">
              <w:rPr>
                <w:lang w:val="en-GB"/>
              </w:rPr>
              <w:t>efficient economy</w:t>
            </w:r>
          </w:p>
        </w:tc>
        <w:tc>
          <w:tcPr>
            <w:tcW w:w="8647" w:type="dxa"/>
          </w:tcPr>
          <w:p w14:paraId="569F0274" w14:textId="77777777" w:rsidR="0076298E" w:rsidRPr="00D14C15" w:rsidRDefault="0032633A">
            <w:pPr>
              <w:pStyle w:val="P68B1DB1-Odstavekseznama12"/>
              <w:ind w:left="104" w:right="67"/>
              <w:jc w:val="both"/>
              <w:rPr>
                <w:lang w:val="en-GB"/>
              </w:rPr>
            </w:pPr>
            <w:r w:rsidRPr="00D14C15">
              <w:rPr>
                <w:lang w:val="en-GB"/>
              </w:rPr>
              <w:t>Slovenia</w:t>
            </w:r>
            <w:r w:rsidR="0059410C">
              <w:rPr>
                <w:lang w:val="en-GB"/>
              </w:rPr>
              <w:t>’s</w:t>
            </w:r>
            <w:r w:rsidRPr="00D14C15">
              <w:rPr>
                <w:lang w:val="en-GB"/>
              </w:rPr>
              <w:t xml:space="preserve"> material productivity is still below the EU average. </w:t>
            </w:r>
            <w:r w:rsidR="0059410C">
              <w:rPr>
                <w:lang w:val="en-GB"/>
              </w:rPr>
              <w:t xml:space="preserve">According to </w:t>
            </w:r>
            <w:r w:rsidR="0059410C" w:rsidRPr="00BA7FBB">
              <w:rPr>
                <w:lang w:val="en-GB"/>
              </w:rPr>
              <w:t>UMAR</w:t>
            </w:r>
            <w:r w:rsidR="0059410C">
              <w:rPr>
                <w:lang w:val="en-GB"/>
              </w:rPr>
              <w:t xml:space="preserve"> recommendations,</w:t>
            </w:r>
            <w:r w:rsidR="0059410C" w:rsidRPr="00D14C15">
              <w:rPr>
                <w:lang w:val="en-GB"/>
              </w:rPr>
              <w:t xml:space="preserve"> </w:t>
            </w:r>
            <w:r w:rsidR="004E3475">
              <w:rPr>
                <w:lang w:val="en-GB"/>
              </w:rPr>
              <w:t xml:space="preserve">Slovenia should </w:t>
            </w:r>
            <w:r w:rsidRPr="00D14C15">
              <w:rPr>
                <w:lang w:val="en-GB"/>
              </w:rPr>
              <w:t xml:space="preserve">speed up </w:t>
            </w:r>
            <w:r w:rsidR="004E3475">
              <w:rPr>
                <w:lang w:val="en-GB"/>
              </w:rPr>
              <w:t xml:space="preserve">its </w:t>
            </w:r>
            <w:r w:rsidRPr="00D14C15">
              <w:rPr>
                <w:lang w:val="en-GB"/>
              </w:rPr>
              <w:t>transition to a low-carbon circular economy</w:t>
            </w:r>
            <w:r w:rsidR="0059410C">
              <w:rPr>
                <w:lang w:val="en-GB"/>
              </w:rPr>
              <w:t xml:space="preserve"> to</w:t>
            </w:r>
            <w:r w:rsidR="0059410C" w:rsidRPr="00D14C15">
              <w:rPr>
                <w:lang w:val="en-GB"/>
              </w:rPr>
              <w:t xml:space="preserve"> </w:t>
            </w:r>
            <w:r w:rsidR="0059410C">
              <w:rPr>
                <w:lang w:val="en-GB"/>
              </w:rPr>
              <w:t>reach the goal of</w:t>
            </w:r>
            <w:r w:rsidR="0059410C" w:rsidRPr="00D14C15">
              <w:rPr>
                <w:lang w:val="en-GB"/>
              </w:rPr>
              <w:t xml:space="preserve"> 3.5 PPS/kg (</w:t>
            </w:r>
            <w:r w:rsidR="00CE280E" w:rsidRPr="00CE280E">
              <w:rPr>
                <w:lang w:val="en-GB"/>
              </w:rPr>
              <w:t>SD</w:t>
            </w:r>
            <w:r w:rsidR="0059410C" w:rsidRPr="00CE280E">
              <w:rPr>
                <w:lang w:val="en-GB"/>
              </w:rPr>
              <w:t>S 2030</w:t>
            </w:r>
            <w:r w:rsidR="0059410C">
              <w:rPr>
                <w:lang w:val="en-GB"/>
              </w:rPr>
              <w:t>)</w:t>
            </w:r>
            <w:r w:rsidRPr="00D14C15">
              <w:rPr>
                <w:lang w:val="en-GB"/>
              </w:rPr>
              <w:t xml:space="preserve">. </w:t>
            </w:r>
          </w:p>
          <w:p w14:paraId="2D2DF4A2"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570EB22F" w14:textId="77777777" w:rsidR="0076298E" w:rsidRPr="00D14C15" w:rsidRDefault="0032633A">
            <w:pPr>
              <w:pStyle w:val="Odstavekseznama"/>
              <w:ind w:left="104" w:right="67"/>
              <w:jc w:val="both"/>
              <w:rPr>
                <w:rFonts w:ascii="Times New Roman" w:eastAsia="Times New Roman" w:hAnsi="Times New Roman" w:cs="Times New Roman"/>
                <w:lang w:val="en-GB"/>
              </w:rPr>
            </w:pPr>
            <w:r w:rsidRPr="00D14C15">
              <w:rPr>
                <w:rFonts w:ascii="Times New Roman" w:eastAsia="Times New Roman" w:hAnsi="Times New Roman" w:cs="Times New Roman"/>
                <w:lang w:val="en-GB"/>
              </w:rPr>
              <w:t xml:space="preserve">The Slovenian Enterprise Observatory 2017 </w:t>
            </w:r>
            <w:r w:rsidR="00430A03">
              <w:rPr>
                <w:rFonts w:ascii="Times New Roman" w:eastAsia="Times New Roman" w:hAnsi="Times New Roman" w:cs="Times New Roman"/>
                <w:lang w:val="en-GB"/>
              </w:rPr>
              <w:t>identified</w:t>
            </w:r>
            <w:r w:rsidRPr="00D14C15">
              <w:rPr>
                <w:rFonts w:ascii="Times New Roman" w:eastAsia="Times New Roman" w:hAnsi="Times New Roman" w:cs="Times New Roman"/>
                <w:lang w:val="en-GB"/>
              </w:rPr>
              <w:t xml:space="preserve"> the </w:t>
            </w:r>
            <w:r w:rsidR="00430A03">
              <w:rPr>
                <w:rFonts w:ascii="Times New Roman" w:eastAsia="Times New Roman" w:hAnsi="Times New Roman" w:cs="Times New Roman"/>
                <w:lang w:val="en-GB"/>
              </w:rPr>
              <w:t>key</w:t>
            </w:r>
            <w:r w:rsidRPr="00D14C15">
              <w:rPr>
                <w:rFonts w:ascii="Times New Roman" w:eastAsia="Times New Roman" w:hAnsi="Times New Roman" w:cs="Times New Roman"/>
                <w:lang w:val="en-GB"/>
              </w:rPr>
              <w:t xml:space="preserve"> obstacles </w:t>
            </w:r>
            <w:r w:rsidR="00430A03">
              <w:rPr>
                <w:rFonts w:ascii="Times New Roman" w:eastAsia="Times New Roman" w:hAnsi="Times New Roman" w:cs="Times New Roman"/>
                <w:lang w:val="en-GB"/>
              </w:rPr>
              <w:t xml:space="preserve">which </w:t>
            </w:r>
            <w:r w:rsidRPr="00D14C15">
              <w:rPr>
                <w:rFonts w:ascii="Times New Roman" w:eastAsia="Times New Roman" w:hAnsi="Times New Roman" w:cs="Times New Roman"/>
                <w:lang w:val="en-GB"/>
              </w:rPr>
              <w:t>prevent SMEs from adopting circular economy principles and concepts: lack of time, human capital, knowledge and access to information and fundin</w:t>
            </w:r>
            <w:r w:rsidR="00430A03">
              <w:rPr>
                <w:rFonts w:ascii="Times New Roman" w:eastAsia="Times New Roman" w:hAnsi="Times New Roman" w:cs="Times New Roman"/>
                <w:lang w:val="en-GB"/>
              </w:rPr>
              <w:t xml:space="preserve">g. This is also in line with </w:t>
            </w:r>
            <w:r w:rsidRPr="00D14C15">
              <w:rPr>
                <w:rFonts w:ascii="Times New Roman" w:eastAsia="Times New Roman" w:hAnsi="Times New Roman" w:cs="Times New Roman"/>
                <w:lang w:val="en-GB"/>
              </w:rPr>
              <w:t>Eurobaromet</w:t>
            </w:r>
            <w:r w:rsidR="00430A03">
              <w:rPr>
                <w:rFonts w:ascii="Times New Roman" w:eastAsia="Times New Roman" w:hAnsi="Times New Roman" w:cs="Times New Roman"/>
                <w:lang w:val="en-GB"/>
              </w:rPr>
              <w:t>er</w:t>
            </w:r>
            <w:r w:rsidR="00430A03" w:rsidRPr="00D14C15">
              <w:rPr>
                <w:rStyle w:val="Sprotnaopomba-sklic"/>
                <w:rFonts w:ascii="Times New Roman" w:eastAsia="Times New Roman" w:hAnsi="Times New Roman" w:cs="Times New Roman"/>
                <w:lang w:val="en-GB"/>
              </w:rPr>
              <w:footnoteReference w:id="70"/>
            </w:r>
            <w:r w:rsidR="00430A03">
              <w:rPr>
                <w:rFonts w:ascii="Times New Roman" w:eastAsia="Times New Roman" w:hAnsi="Times New Roman" w:cs="Times New Roman"/>
                <w:lang w:val="en-GB"/>
              </w:rPr>
              <w:t xml:space="preserve"> findings: 26</w:t>
            </w:r>
            <w:r w:rsidRPr="00D14C15">
              <w:rPr>
                <w:rFonts w:ascii="Times New Roman" w:eastAsia="Times New Roman" w:hAnsi="Times New Roman" w:cs="Times New Roman"/>
                <w:lang w:val="en-GB"/>
              </w:rPr>
              <w:t xml:space="preserve">% of </w:t>
            </w:r>
            <w:r w:rsidR="00430A03">
              <w:rPr>
                <w:rFonts w:ascii="Times New Roman" w:eastAsia="Times New Roman" w:hAnsi="Times New Roman" w:cs="Times New Roman"/>
                <w:lang w:val="en-GB"/>
              </w:rPr>
              <w:t xml:space="preserve">Slovenian </w:t>
            </w:r>
            <w:r w:rsidRPr="00D14C15">
              <w:rPr>
                <w:rFonts w:ascii="Times New Roman" w:eastAsia="Times New Roman" w:hAnsi="Times New Roman" w:cs="Times New Roman"/>
                <w:lang w:val="en-GB"/>
              </w:rPr>
              <w:t>SMEs surveyed</w:t>
            </w:r>
            <w:r w:rsidR="00430A03">
              <w:rPr>
                <w:rFonts w:ascii="Times New Roman" w:eastAsia="Times New Roman" w:hAnsi="Times New Roman" w:cs="Times New Roman"/>
                <w:lang w:val="en-GB"/>
              </w:rPr>
              <w:t xml:space="preserve"> (EU28: 23</w:t>
            </w:r>
            <w:r w:rsidRPr="00D14C15">
              <w:rPr>
                <w:rFonts w:ascii="Times New Roman" w:eastAsia="Times New Roman" w:hAnsi="Times New Roman" w:cs="Times New Roman"/>
                <w:lang w:val="en-GB"/>
              </w:rPr>
              <w:t>%</w:t>
            </w:r>
            <w:r w:rsidR="00430A03">
              <w:rPr>
                <w:rFonts w:ascii="Times New Roman" w:eastAsia="Times New Roman" w:hAnsi="Times New Roman" w:cs="Times New Roman"/>
                <w:lang w:val="en-GB"/>
              </w:rPr>
              <w:t>)</w:t>
            </w:r>
            <w:r w:rsidRPr="00D14C15">
              <w:rPr>
                <w:rFonts w:ascii="Times New Roman" w:eastAsia="Times New Roman" w:hAnsi="Times New Roman" w:cs="Times New Roman"/>
                <w:lang w:val="en-GB"/>
              </w:rPr>
              <w:t xml:space="preserve"> believe that </w:t>
            </w:r>
            <w:r w:rsidR="00430A03">
              <w:rPr>
                <w:rFonts w:ascii="Times New Roman" w:eastAsia="Times New Roman" w:hAnsi="Times New Roman" w:cs="Times New Roman"/>
                <w:lang w:val="en-GB"/>
              </w:rPr>
              <w:t>support</w:t>
            </w:r>
            <w:r w:rsidRPr="00D14C15">
              <w:rPr>
                <w:rFonts w:ascii="Times New Roman" w:eastAsia="Times New Roman" w:hAnsi="Times New Roman" w:cs="Times New Roman"/>
                <w:lang w:val="en-GB"/>
              </w:rPr>
              <w:t xml:space="preserve"> services would help them improve their material efficiency</w:t>
            </w:r>
            <w:r w:rsidR="00430A03">
              <w:rPr>
                <w:rFonts w:ascii="Times New Roman" w:eastAsia="Times New Roman" w:hAnsi="Times New Roman" w:cs="Times New Roman"/>
                <w:lang w:val="en-GB"/>
              </w:rPr>
              <w:t>,</w:t>
            </w:r>
            <w:r w:rsidRPr="00D14C15">
              <w:rPr>
                <w:rFonts w:ascii="Times New Roman" w:eastAsia="Times New Roman" w:hAnsi="Times New Roman" w:cs="Times New Roman"/>
                <w:lang w:val="en-GB"/>
              </w:rPr>
              <w:t xml:space="preserve"> </w:t>
            </w:r>
            <w:r w:rsidR="00430A03">
              <w:rPr>
                <w:rFonts w:ascii="Times New Roman" w:eastAsia="Times New Roman" w:hAnsi="Times New Roman" w:cs="Times New Roman"/>
                <w:lang w:val="en-GB"/>
              </w:rPr>
              <w:t xml:space="preserve">and </w:t>
            </w:r>
            <w:r w:rsidRPr="00D14C15">
              <w:rPr>
                <w:rFonts w:ascii="Times New Roman" w:eastAsia="Times New Roman" w:hAnsi="Times New Roman" w:cs="Times New Roman"/>
                <w:lang w:val="en-GB"/>
              </w:rPr>
              <w:t>29% believe that they would benefit from the demonstration of new technologies and processes in this field (EU28: 22</w:t>
            </w:r>
            <w:r w:rsidR="00430A03">
              <w:rPr>
                <w:rFonts w:ascii="Times New Roman" w:eastAsia="Times New Roman" w:hAnsi="Times New Roman" w:cs="Times New Roman"/>
                <w:lang w:val="en-GB"/>
              </w:rPr>
              <w:t>%).</w:t>
            </w:r>
            <w:r w:rsidRPr="00D14C15">
              <w:rPr>
                <w:rFonts w:ascii="Times New Roman" w:eastAsia="Times New Roman" w:hAnsi="Times New Roman" w:cs="Times New Roman"/>
                <w:lang w:val="en-GB"/>
              </w:rPr>
              <w:t xml:space="preserve"> 28% of </w:t>
            </w:r>
            <w:r w:rsidR="00430A03" w:rsidRPr="00D14C15">
              <w:rPr>
                <w:rFonts w:ascii="Times New Roman" w:eastAsia="Times New Roman" w:hAnsi="Times New Roman" w:cs="Times New Roman"/>
                <w:lang w:val="en-GB"/>
              </w:rPr>
              <w:t>SMEs surveyed</w:t>
            </w:r>
            <w:r w:rsidR="00430A03">
              <w:rPr>
                <w:rFonts w:ascii="Times New Roman" w:eastAsia="Times New Roman" w:hAnsi="Times New Roman" w:cs="Times New Roman"/>
                <w:lang w:val="en-GB"/>
              </w:rPr>
              <w:t xml:space="preserve"> </w:t>
            </w:r>
            <w:r w:rsidRPr="00D14C15">
              <w:rPr>
                <w:rFonts w:ascii="Times New Roman" w:eastAsia="Times New Roman" w:hAnsi="Times New Roman" w:cs="Times New Roman"/>
                <w:lang w:val="en-GB"/>
              </w:rPr>
              <w:t>would benefit from better cooperation between companies in different industries to develop new processes for the re</w:t>
            </w:r>
            <w:r w:rsidR="00430A03">
              <w:rPr>
                <w:rFonts w:ascii="Times New Roman" w:eastAsia="Times New Roman" w:hAnsi="Times New Roman" w:cs="Times New Roman"/>
                <w:lang w:val="en-GB"/>
              </w:rPr>
              <w:t>-</w:t>
            </w:r>
            <w:r w:rsidRPr="00D14C15">
              <w:rPr>
                <w:rFonts w:ascii="Times New Roman" w:eastAsia="Times New Roman" w:hAnsi="Times New Roman" w:cs="Times New Roman"/>
                <w:lang w:val="en-GB"/>
              </w:rPr>
              <w:t>use of waste and by-products (EU28: 20</w:t>
            </w:r>
            <w:r w:rsidR="00430A03">
              <w:rPr>
                <w:rFonts w:ascii="Times New Roman" w:eastAsia="Times New Roman" w:hAnsi="Times New Roman" w:cs="Times New Roman"/>
                <w:lang w:val="en-GB"/>
              </w:rPr>
              <w:t xml:space="preserve">%). </w:t>
            </w:r>
          </w:p>
          <w:p w14:paraId="69D68BEA"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66C27DDA" w14:textId="77777777" w:rsidR="0076298E" w:rsidRPr="00D14C15" w:rsidRDefault="00AC6618" w:rsidP="00AC6618">
            <w:pPr>
              <w:pStyle w:val="P68B1DB1-Odstavekseznama13"/>
              <w:ind w:left="104" w:right="67"/>
              <w:jc w:val="both"/>
              <w:rPr>
                <w:rFonts w:eastAsia="Times New Roman"/>
                <w:lang w:val="en-GB"/>
              </w:rPr>
            </w:pPr>
            <w:r>
              <w:rPr>
                <w:lang w:val="en-GB"/>
              </w:rPr>
              <w:t>We will use g</w:t>
            </w:r>
            <w:r w:rsidR="00164D04" w:rsidRPr="00F664FB">
              <w:rPr>
                <w:lang w:val="en-GB"/>
              </w:rPr>
              <w:t xml:space="preserve">rants </w:t>
            </w:r>
            <w:r w:rsidR="00164D04">
              <w:rPr>
                <w:lang w:val="en-GB"/>
              </w:rPr>
              <w:t>and reimbursable funds</w:t>
            </w:r>
            <w:r w:rsidR="00164D04" w:rsidRPr="00F664FB">
              <w:rPr>
                <w:lang w:val="en-GB"/>
              </w:rPr>
              <w:t>. A detailed justification is given in Chapter 2.</w:t>
            </w:r>
          </w:p>
        </w:tc>
      </w:tr>
      <w:tr w:rsidR="0076298E" w:rsidRPr="00D14C15" w14:paraId="6D0959A2" w14:textId="77777777" w:rsidTr="00E1518F">
        <w:trPr>
          <w:trHeight w:val="277"/>
        </w:trPr>
        <w:tc>
          <w:tcPr>
            <w:tcW w:w="2268" w:type="dxa"/>
            <w:vMerge/>
          </w:tcPr>
          <w:p w14:paraId="45F64E0F" w14:textId="77777777" w:rsidR="0076298E" w:rsidRPr="00D14C15" w:rsidRDefault="0076298E">
            <w:pPr>
              <w:pStyle w:val="TableParagraph"/>
              <w:ind w:left="115"/>
              <w:rPr>
                <w:lang w:val="en-GB"/>
              </w:rPr>
            </w:pPr>
          </w:p>
        </w:tc>
        <w:tc>
          <w:tcPr>
            <w:tcW w:w="3119" w:type="dxa"/>
          </w:tcPr>
          <w:p w14:paraId="151D7AFB" w14:textId="77777777" w:rsidR="0076298E" w:rsidRPr="00D14C15" w:rsidRDefault="00327B7B">
            <w:pPr>
              <w:pStyle w:val="P68B1DB1-Navaden1"/>
              <w:ind w:left="37"/>
              <w:rPr>
                <w:lang w:val="en-GB"/>
              </w:rPr>
            </w:pPr>
            <w:r>
              <w:rPr>
                <w:lang w:val="en-GB"/>
              </w:rPr>
              <w:t>P</w:t>
            </w:r>
            <w:r w:rsidR="002B47E4">
              <w:rPr>
                <w:lang w:val="en-GB"/>
              </w:rPr>
              <w:t xml:space="preserve">riority </w:t>
            </w:r>
            <w:r w:rsidR="0032633A" w:rsidRPr="00D14C15">
              <w:rPr>
                <w:lang w:val="en-GB"/>
              </w:rPr>
              <w:t xml:space="preserve">3: </w:t>
            </w:r>
            <w:r w:rsidR="007C7398">
              <w:rPr>
                <w:lang w:val="en-GB"/>
              </w:rPr>
              <w:t>Green t</w:t>
            </w:r>
            <w:r w:rsidR="0032633A" w:rsidRPr="007C7398">
              <w:rPr>
                <w:lang w:val="en-GB"/>
              </w:rPr>
              <w:t xml:space="preserve">ransformation for </w:t>
            </w:r>
            <w:r w:rsidR="007C7398">
              <w:rPr>
                <w:lang w:val="en-GB"/>
              </w:rPr>
              <w:t>c</w:t>
            </w:r>
            <w:r w:rsidR="0032633A" w:rsidRPr="007C7398">
              <w:rPr>
                <w:lang w:val="en-GB"/>
              </w:rPr>
              <w:t xml:space="preserve">limate </w:t>
            </w:r>
            <w:r w:rsidR="007C7398">
              <w:rPr>
                <w:lang w:val="en-GB"/>
              </w:rPr>
              <w:t>n</w:t>
            </w:r>
            <w:r w:rsidR="0032633A" w:rsidRPr="007C7398">
              <w:rPr>
                <w:lang w:val="en-GB"/>
              </w:rPr>
              <w:t>eutrality</w:t>
            </w:r>
            <w:r w:rsidR="0032633A" w:rsidRPr="00D14C15">
              <w:rPr>
                <w:lang w:val="en-GB"/>
              </w:rPr>
              <w:t xml:space="preserve"> </w:t>
            </w:r>
          </w:p>
          <w:p w14:paraId="2703A762" w14:textId="77777777" w:rsidR="0076298E" w:rsidRPr="00D14C15" w:rsidRDefault="0076298E">
            <w:pPr>
              <w:ind w:left="37"/>
              <w:rPr>
                <w:lang w:val="en-GB"/>
              </w:rPr>
            </w:pPr>
          </w:p>
          <w:p w14:paraId="523916EB" w14:textId="77777777" w:rsidR="0076298E" w:rsidRPr="00D14C15" w:rsidRDefault="0032633A" w:rsidP="00BE4F6C">
            <w:pPr>
              <w:ind w:left="37"/>
              <w:rPr>
                <w:lang w:val="en-GB"/>
              </w:rPr>
            </w:pPr>
            <w:r w:rsidRPr="00D14C15">
              <w:rPr>
                <w:lang w:val="en-GB"/>
              </w:rPr>
              <w:t xml:space="preserve">RSO2.7 </w:t>
            </w:r>
            <w:r w:rsidR="00327B7B">
              <w:rPr>
                <w:lang w:val="en-GB"/>
              </w:rPr>
              <w:t>Enhancing</w:t>
            </w:r>
            <w:r w:rsidRPr="00D14C15">
              <w:rPr>
                <w:lang w:val="en-GB"/>
              </w:rPr>
              <w:t xml:space="preserve"> protection and conservation of nature</w:t>
            </w:r>
            <w:r w:rsidR="00327B7B">
              <w:rPr>
                <w:lang w:val="en-GB"/>
              </w:rPr>
              <w:t>,</w:t>
            </w:r>
            <w:r w:rsidRPr="00D14C15">
              <w:rPr>
                <w:lang w:val="en-GB"/>
              </w:rPr>
              <w:t xml:space="preserve"> biodiversity and green infrastructure, including in urban </w:t>
            </w:r>
            <w:r w:rsidR="00327B7B">
              <w:rPr>
                <w:lang w:val="en-GB"/>
              </w:rPr>
              <w:t>areas</w:t>
            </w:r>
            <w:r w:rsidRPr="00D14C15">
              <w:rPr>
                <w:lang w:val="en-GB"/>
              </w:rPr>
              <w:t>, and reducing all forms of pollution</w:t>
            </w:r>
          </w:p>
        </w:tc>
        <w:tc>
          <w:tcPr>
            <w:tcW w:w="8647" w:type="dxa"/>
          </w:tcPr>
          <w:p w14:paraId="733117AD" w14:textId="77777777" w:rsidR="0076298E" w:rsidRPr="00D14C15" w:rsidRDefault="0032633A">
            <w:pPr>
              <w:pStyle w:val="Odstavekseznama"/>
              <w:ind w:left="104" w:right="67"/>
              <w:jc w:val="both"/>
              <w:rPr>
                <w:rFonts w:ascii="Times New Roman" w:eastAsia="Times New Roman" w:hAnsi="Times New Roman" w:cs="Times New Roman"/>
                <w:lang w:val="en-GB"/>
              </w:rPr>
            </w:pPr>
            <w:r w:rsidRPr="00D14C15">
              <w:rPr>
                <w:rFonts w:ascii="Times New Roman" w:eastAsia="Times New Roman" w:hAnsi="Times New Roman" w:cs="Times New Roman"/>
                <w:lang w:val="en-GB"/>
              </w:rPr>
              <w:t xml:space="preserve">Slovenia has the highest share of Natura 2000 </w:t>
            </w:r>
            <w:r w:rsidR="00962588">
              <w:rPr>
                <w:rFonts w:ascii="Times New Roman" w:eastAsia="Times New Roman" w:hAnsi="Times New Roman" w:cs="Times New Roman"/>
                <w:lang w:val="en-GB"/>
              </w:rPr>
              <w:t>sites</w:t>
            </w:r>
            <w:r w:rsidRPr="00D14C15">
              <w:rPr>
                <w:rFonts w:ascii="Times New Roman" w:eastAsia="Times New Roman" w:hAnsi="Times New Roman" w:cs="Times New Roman"/>
                <w:lang w:val="en-GB"/>
              </w:rPr>
              <w:t xml:space="preserve"> in the EU, i.e. 37.9%</w:t>
            </w:r>
            <w:r w:rsidR="00864DE3">
              <w:rPr>
                <w:rFonts w:ascii="Times New Roman" w:eastAsia="Times New Roman" w:hAnsi="Times New Roman" w:cs="Times New Roman"/>
                <w:lang w:val="en-GB"/>
              </w:rPr>
              <w:t>. However,</w:t>
            </w:r>
            <w:r w:rsidRPr="00D14C15">
              <w:rPr>
                <w:rFonts w:ascii="Times New Roman" w:eastAsia="Times New Roman" w:hAnsi="Times New Roman" w:cs="Times New Roman"/>
                <w:lang w:val="en-GB"/>
              </w:rPr>
              <w:t xml:space="preserve"> </w:t>
            </w:r>
            <w:r w:rsidR="00864DE3">
              <w:rPr>
                <w:rFonts w:ascii="Times New Roman" w:eastAsia="Times New Roman" w:hAnsi="Times New Roman" w:cs="Times New Roman"/>
                <w:lang w:val="en-GB"/>
              </w:rPr>
              <w:t xml:space="preserve">the </w:t>
            </w:r>
            <w:r w:rsidRPr="00D14C15">
              <w:rPr>
                <w:rFonts w:ascii="Times New Roman" w:eastAsia="Times New Roman" w:hAnsi="Times New Roman" w:cs="Times New Roman"/>
                <w:lang w:val="en-GB"/>
              </w:rPr>
              <w:t xml:space="preserve">conservation status of animal and plant species and their habitat is deteriorating. In the last decade, </w:t>
            </w:r>
            <w:r w:rsidR="00864DE3">
              <w:rPr>
                <w:rFonts w:ascii="Times New Roman" w:eastAsia="Times New Roman" w:hAnsi="Times New Roman" w:cs="Times New Roman"/>
                <w:lang w:val="en-GB"/>
              </w:rPr>
              <w:t>deterioration of the</w:t>
            </w:r>
            <w:r w:rsidR="00962588">
              <w:rPr>
                <w:rFonts w:ascii="Times New Roman" w:eastAsia="Times New Roman" w:hAnsi="Times New Roman" w:cs="Times New Roman"/>
                <w:lang w:val="en-GB"/>
              </w:rPr>
              <w:t xml:space="preserve"> conservation status has </w:t>
            </w:r>
            <w:r w:rsidR="00864DE3">
              <w:rPr>
                <w:rFonts w:ascii="Times New Roman" w:eastAsia="Times New Roman" w:hAnsi="Times New Roman" w:cs="Times New Roman"/>
                <w:lang w:val="en-GB"/>
              </w:rPr>
              <w:t>been observed in</w:t>
            </w:r>
            <w:r w:rsidR="00962588">
              <w:rPr>
                <w:rFonts w:ascii="Times New Roman" w:eastAsia="Times New Roman" w:hAnsi="Times New Roman" w:cs="Times New Roman"/>
                <w:lang w:val="en-GB"/>
              </w:rPr>
              <w:t xml:space="preserve"> </w:t>
            </w:r>
            <w:r w:rsidRPr="00D14C15">
              <w:rPr>
                <w:rFonts w:ascii="Times New Roman" w:eastAsia="Times New Roman" w:hAnsi="Times New Roman" w:cs="Times New Roman"/>
                <w:lang w:val="en-GB"/>
              </w:rPr>
              <w:t>34</w:t>
            </w:r>
            <w:r w:rsidR="00962588">
              <w:rPr>
                <w:rFonts w:ascii="Times New Roman" w:eastAsia="Times New Roman" w:hAnsi="Times New Roman" w:cs="Times New Roman"/>
                <w:lang w:val="en-GB"/>
              </w:rPr>
              <w:t xml:space="preserve">% </w:t>
            </w:r>
            <w:r w:rsidR="00864DE3">
              <w:rPr>
                <w:rFonts w:ascii="Times New Roman" w:eastAsia="Times New Roman" w:hAnsi="Times New Roman" w:cs="Times New Roman"/>
                <w:lang w:val="en-GB"/>
              </w:rPr>
              <w:t xml:space="preserve">of the </w:t>
            </w:r>
            <w:r w:rsidR="00962588">
              <w:rPr>
                <w:rFonts w:ascii="Times New Roman" w:eastAsia="Times New Roman" w:hAnsi="Times New Roman" w:cs="Times New Roman"/>
                <w:lang w:val="en-GB"/>
              </w:rPr>
              <w:t>habitat types and 24</w:t>
            </w:r>
            <w:r w:rsidRPr="00D14C15">
              <w:rPr>
                <w:rFonts w:ascii="Times New Roman" w:eastAsia="Times New Roman" w:hAnsi="Times New Roman" w:cs="Times New Roman"/>
                <w:lang w:val="en-GB"/>
              </w:rPr>
              <w:t xml:space="preserve">% </w:t>
            </w:r>
            <w:r w:rsidR="00864DE3">
              <w:rPr>
                <w:rFonts w:ascii="Times New Roman" w:eastAsia="Times New Roman" w:hAnsi="Times New Roman" w:cs="Times New Roman"/>
                <w:lang w:val="en-GB"/>
              </w:rPr>
              <w:t xml:space="preserve">of </w:t>
            </w:r>
            <w:r w:rsidRPr="00D14C15">
              <w:rPr>
                <w:rFonts w:ascii="Times New Roman" w:eastAsia="Times New Roman" w:hAnsi="Times New Roman" w:cs="Times New Roman"/>
                <w:lang w:val="en-GB"/>
              </w:rPr>
              <w:t xml:space="preserve">species. The European Environment Agency also </w:t>
            </w:r>
            <w:r w:rsidR="002E243C">
              <w:rPr>
                <w:rFonts w:ascii="Times New Roman" w:eastAsia="Times New Roman" w:hAnsi="Times New Roman" w:cs="Times New Roman"/>
                <w:lang w:val="en-GB"/>
              </w:rPr>
              <w:t>imposes on</w:t>
            </w:r>
            <w:r w:rsidRPr="00D14C15">
              <w:rPr>
                <w:rFonts w:ascii="Times New Roman" w:eastAsia="Times New Roman" w:hAnsi="Times New Roman" w:cs="Times New Roman"/>
                <w:lang w:val="en-GB"/>
              </w:rPr>
              <w:t xml:space="preserve"> Slovenia to improve the surface of the Natura 2000 </w:t>
            </w:r>
            <w:r w:rsidR="002E243C">
              <w:rPr>
                <w:rFonts w:ascii="Times New Roman" w:eastAsia="Times New Roman" w:hAnsi="Times New Roman" w:cs="Times New Roman"/>
                <w:lang w:val="en-GB"/>
              </w:rPr>
              <w:t>sites</w:t>
            </w:r>
            <w:r w:rsidRPr="00D14C15">
              <w:rPr>
                <w:rFonts w:ascii="Times New Roman" w:eastAsia="Times New Roman" w:hAnsi="Times New Roman" w:cs="Times New Roman"/>
                <w:lang w:val="en-GB"/>
              </w:rPr>
              <w:t xml:space="preserve"> (grass, forest and freshwater habitats), which are defined in the </w:t>
            </w:r>
            <w:r w:rsidR="002E243C">
              <w:rPr>
                <w:rFonts w:ascii="Times New Roman" w:eastAsia="Times New Roman" w:hAnsi="Times New Roman" w:cs="Times New Roman"/>
                <w:lang w:val="en-GB"/>
              </w:rPr>
              <w:t>national</w:t>
            </w:r>
            <w:r w:rsidRPr="00D14C15">
              <w:rPr>
                <w:rFonts w:ascii="Times New Roman" w:eastAsia="Times New Roman" w:hAnsi="Times New Roman" w:cs="Times New Roman"/>
                <w:lang w:val="en-GB"/>
              </w:rPr>
              <w:t xml:space="preserve"> Natura </w:t>
            </w:r>
            <w:r w:rsidR="00864DE3">
              <w:rPr>
                <w:rFonts w:ascii="Times New Roman" w:eastAsia="Times New Roman" w:hAnsi="Times New Roman" w:cs="Times New Roman"/>
                <w:lang w:val="en-GB"/>
              </w:rPr>
              <w:t xml:space="preserve">2000 </w:t>
            </w:r>
            <w:r w:rsidRPr="00D14C15">
              <w:rPr>
                <w:rFonts w:ascii="Times New Roman" w:eastAsia="Times New Roman" w:hAnsi="Times New Roman" w:cs="Times New Roman"/>
                <w:lang w:val="en-GB"/>
              </w:rPr>
              <w:t>Management Programme</w:t>
            </w:r>
            <w:r w:rsidRPr="00D14C15">
              <w:rPr>
                <w:rStyle w:val="Sprotnaopomba-sklic"/>
                <w:rFonts w:ascii="Times New Roman" w:eastAsia="Times New Roman" w:hAnsi="Times New Roman" w:cs="Times New Roman"/>
                <w:lang w:val="en-GB"/>
              </w:rPr>
              <w:footnoteReference w:id="71"/>
            </w:r>
            <w:r w:rsidRPr="00D14C15">
              <w:rPr>
                <w:lang w:val="en-GB"/>
              </w:rPr>
              <w:t xml:space="preserve"> </w:t>
            </w:r>
            <w:r w:rsidRPr="00D14C15">
              <w:rPr>
                <w:rFonts w:ascii="Times New Roman" w:eastAsia="Times New Roman" w:hAnsi="Times New Roman" w:cs="Times New Roman"/>
                <w:lang w:val="en-GB"/>
              </w:rPr>
              <w:t xml:space="preserve">and will </w:t>
            </w:r>
            <w:r w:rsidR="00864DE3">
              <w:rPr>
                <w:rFonts w:ascii="Times New Roman" w:eastAsia="Times New Roman" w:hAnsi="Times New Roman" w:cs="Times New Roman"/>
                <w:lang w:val="en-GB"/>
              </w:rPr>
              <w:t xml:space="preserve">also </w:t>
            </w:r>
            <w:r w:rsidRPr="00D14C15">
              <w:rPr>
                <w:rFonts w:ascii="Times New Roman" w:eastAsia="Times New Roman" w:hAnsi="Times New Roman" w:cs="Times New Roman"/>
                <w:lang w:val="en-GB"/>
              </w:rPr>
              <w:t>be defined in the Natura 2000 Management Programme for the period 2022-2028</w:t>
            </w:r>
            <w:r w:rsidRPr="00D14C15">
              <w:rPr>
                <w:rStyle w:val="Sprotnaopomba-sklic"/>
                <w:rFonts w:ascii="Times New Roman" w:eastAsia="Times New Roman" w:hAnsi="Times New Roman" w:cs="Times New Roman"/>
                <w:lang w:val="en-GB"/>
              </w:rPr>
              <w:footnoteReference w:id="72"/>
            </w:r>
            <w:r w:rsidRPr="00D14C15">
              <w:rPr>
                <w:rFonts w:ascii="Times New Roman" w:eastAsia="Times New Roman" w:hAnsi="Times New Roman" w:cs="Times New Roman"/>
                <w:lang w:val="en-GB"/>
              </w:rPr>
              <w:t xml:space="preserve">. </w:t>
            </w:r>
          </w:p>
          <w:p w14:paraId="3D662DAD"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13F319FF" w14:textId="77777777" w:rsidR="0076298E" w:rsidRPr="00D14C15" w:rsidRDefault="0032633A">
            <w:pPr>
              <w:pStyle w:val="Odstavekseznama"/>
              <w:ind w:left="104" w:right="67"/>
              <w:jc w:val="both"/>
              <w:rPr>
                <w:rFonts w:ascii="Times New Roman" w:eastAsia="Times New Roman" w:hAnsi="Times New Roman" w:cs="Times New Roman"/>
                <w:lang w:val="en-GB"/>
              </w:rPr>
            </w:pPr>
            <w:r w:rsidRPr="00D14C15">
              <w:rPr>
                <w:rFonts w:ascii="Times New Roman" w:eastAsia="Times New Roman" w:hAnsi="Times New Roman" w:cs="Times New Roman"/>
                <w:lang w:val="en-GB"/>
              </w:rPr>
              <w:t xml:space="preserve">Air quality in Slovenia is </w:t>
            </w:r>
            <w:r w:rsidR="002E243C">
              <w:rPr>
                <w:rFonts w:ascii="Times New Roman" w:eastAsia="Times New Roman" w:hAnsi="Times New Roman" w:cs="Times New Roman"/>
                <w:lang w:val="en-GB"/>
              </w:rPr>
              <w:t xml:space="preserve">decreased </w:t>
            </w:r>
            <w:r w:rsidRPr="00D14C15">
              <w:rPr>
                <w:rFonts w:ascii="Times New Roman" w:eastAsia="Times New Roman" w:hAnsi="Times New Roman" w:cs="Times New Roman"/>
                <w:lang w:val="en-GB"/>
              </w:rPr>
              <w:t xml:space="preserve">by high concentration of dust particles, which </w:t>
            </w:r>
            <w:r w:rsidR="00864DE3">
              <w:rPr>
                <w:rFonts w:ascii="Times New Roman" w:eastAsia="Times New Roman" w:hAnsi="Times New Roman" w:cs="Times New Roman"/>
                <w:lang w:val="en-GB"/>
              </w:rPr>
              <w:t>is</w:t>
            </w:r>
            <w:r w:rsidRPr="00D14C15">
              <w:rPr>
                <w:rFonts w:ascii="Times New Roman" w:eastAsia="Times New Roman" w:hAnsi="Times New Roman" w:cs="Times New Roman"/>
                <w:lang w:val="en-GB"/>
              </w:rPr>
              <w:t xml:space="preserve"> </w:t>
            </w:r>
            <w:r w:rsidR="002E243C">
              <w:rPr>
                <w:rFonts w:ascii="Times New Roman" w:eastAsia="Times New Roman" w:hAnsi="Times New Roman" w:cs="Times New Roman"/>
                <w:lang w:val="en-GB"/>
              </w:rPr>
              <w:t>higher</w:t>
            </w:r>
            <w:r w:rsidRPr="00D14C15">
              <w:rPr>
                <w:rFonts w:ascii="Times New Roman" w:eastAsia="Times New Roman" w:hAnsi="Times New Roman" w:cs="Times New Roman"/>
                <w:lang w:val="en-GB"/>
              </w:rPr>
              <w:t xml:space="preserve"> in the cold</w:t>
            </w:r>
            <w:r w:rsidR="002E243C">
              <w:rPr>
                <w:rFonts w:ascii="Times New Roman" w:eastAsia="Times New Roman" w:hAnsi="Times New Roman" w:cs="Times New Roman"/>
                <w:lang w:val="en-GB"/>
              </w:rPr>
              <w:t>er</w:t>
            </w:r>
            <w:r w:rsidRPr="00D14C15">
              <w:rPr>
                <w:rFonts w:ascii="Times New Roman" w:eastAsia="Times New Roman" w:hAnsi="Times New Roman" w:cs="Times New Roman"/>
                <w:lang w:val="en-GB"/>
              </w:rPr>
              <w:t xml:space="preserve"> </w:t>
            </w:r>
            <w:r w:rsidR="002E243C">
              <w:rPr>
                <w:rFonts w:ascii="Times New Roman" w:eastAsia="Times New Roman" w:hAnsi="Times New Roman" w:cs="Times New Roman"/>
                <w:lang w:val="en-GB"/>
              </w:rPr>
              <w:t>part</w:t>
            </w:r>
            <w:r w:rsidRPr="00D14C15">
              <w:rPr>
                <w:rFonts w:ascii="Times New Roman" w:eastAsia="Times New Roman" w:hAnsi="Times New Roman" w:cs="Times New Roman"/>
                <w:lang w:val="en-GB"/>
              </w:rPr>
              <w:t xml:space="preserve"> of the year. As a result of the </w:t>
            </w:r>
            <w:r w:rsidR="002E243C">
              <w:rPr>
                <w:rFonts w:ascii="Times New Roman" w:eastAsia="Times New Roman" w:hAnsi="Times New Roman" w:cs="Times New Roman"/>
                <w:lang w:val="en-GB"/>
              </w:rPr>
              <w:t>exceeded</w:t>
            </w:r>
            <w:r w:rsidRPr="00D14C15">
              <w:rPr>
                <w:rStyle w:val="Sprotnaopomba-sklic"/>
                <w:rFonts w:ascii="Times New Roman" w:eastAsia="Times New Roman" w:hAnsi="Times New Roman" w:cs="Times New Roman"/>
                <w:lang w:val="en-GB"/>
              </w:rPr>
              <w:footnoteReference w:id="73"/>
            </w:r>
            <w:r w:rsidRPr="00D14C15">
              <w:rPr>
                <w:rFonts w:ascii="Times New Roman" w:eastAsia="Times New Roman" w:hAnsi="Times New Roman" w:cs="Times New Roman"/>
                <w:lang w:val="en-GB"/>
              </w:rPr>
              <w:t xml:space="preserve"> permitted number in </w:t>
            </w:r>
            <w:r w:rsidR="00864DE3">
              <w:rPr>
                <w:rFonts w:ascii="Times New Roman" w:eastAsia="Times New Roman" w:hAnsi="Times New Roman" w:cs="Times New Roman"/>
                <w:lang w:val="en-GB"/>
              </w:rPr>
              <w:t>six</w:t>
            </w:r>
            <w:r w:rsidRPr="00D14C15">
              <w:rPr>
                <w:rFonts w:ascii="Times New Roman" w:eastAsia="Times New Roman" w:hAnsi="Times New Roman" w:cs="Times New Roman"/>
                <w:lang w:val="en-GB"/>
              </w:rPr>
              <w:t xml:space="preserve"> </w:t>
            </w:r>
            <w:r w:rsidR="002D1EB1">
              <w:rPr>
                <w:rFonts w:ascii="Times New Roman" w:eastAsia="Times New Roman" w:hAnsi="Times New Roman" w:cs="Times New Roman"/>
                <w:lang w:val="en-GB"/>
              </w:rPr>
              <w:t>areas</w:t>
            </w:r>
            <w:r w:rsidRPr="00D14C15">
              <w:rPr>
                <w:rFonts w:ascii="Times New Roman" w:eastAsia="Times New Roman" w:hAnsi="Times New Roman" w:cs="Times New Roman"/>
                <w:lang w:val="en-GB"/>
              </w:rPr>
              <w:t xml:space="preserve">, </w:t>
            </w:r>
            <w:r w:rsidR="00864DE3">
              <w:rPr>
                <w:rFonts w:ascii="Times New Roman" w:eastAsia="Times New Roman" w:hAnsi="Times New Roman" w:cs="Times New Roman"/>
                <w:lang w:val="en-GB"/>
              </w:rPr>
              <w:t>ordinances</w:t>
            </w:r>
            <w:r w:rsidRPr="00D14C15">
              <w:rPr>
                <w:rFonts w:ascii="Times New Roman" w:eastAsia="Times New Roman" w:hAnsi="Times New Roman" w:cs="Times New Roman"/>
                <w:lang w:val="en-GB"/>
              </w:rPr>
              <w:t xml:space="preserve"> </w:t>
            </w:r>
            <w:r w:rsidRPr="00D14C15">
              <w:rPr>
                <w:rFonts w:ascii="Times New Roman" w:eastAsia="Times New Roman" w:hAnsi="Times New Roman" w:cs="Times New Roman"/>
                <w:lang w:val="en-GB"/>
              </w:rPr>
              <w:lastRenderedPageBreak/>
              <w:t>on ambient air quality plans</w:t>
            </w:r>
            <w:r w:rsidR="002E243C">
              <w:rPr>
                <w:rFonts w:ascii="Times New Roman" w:eastAsia="Times New Roman" w:hAnsi="Times New Roman" w:cs="Times New Roman"/>
                <w:lang w:val="en-GB"/>
              </w:rPr>
              <w:t xml:space="preserve"> have been adopted. Slovenia has been upgrading </w:t>
            </w:r>
            <w:r w:rsidRPr="00D14C15">
              <w:rPr>
                <w:rFonts w:ascii="Times New Roman" w:eastAsia="Times New Roman" w:hAnsi="Times New Roman" w:cs="Times New Roman"/>
                <w:lang w:val="en-GB"/>
              </w:rPr>
              <w:t xml:space="preserve">the existing measuring </w:t>
            </w:r>
            <w:r w:rsidR="00864DE3">
              <w:rPr>
                <w:rFonts w:ascii="Times New Roman" w:eastAsia="Times New Roman" w:hAnsi="Times New Roman" w:cs="Times New Roman"/>
                <w:lang w:val="en-GB"/>
              </w:rPr>
              <w:t>network</w:t>
            </w:r>
            <w:r w:rsidRPr="00D14C15">
              <w:rPr>
                <w:rFonts w:ascii="Times New Roman" w:eastAsia="Times New Roman" w:hAnsi="Times New Roman" w:cs="Times New Roman"/>
                <w:lang w:val="en-GB"/>
              </w:rPr>
              <w:t xml:space="preserve">, but certain areas </w:t>
            </w:r>
            <w:r w:rsidR="00864DE3">
              <w:rPr>
                <w:rFonts w:ascii="Times New Roman" w:eastAsia="Times New Roman" w:hAnsi="Times New Roman" w:cs="Times New Roman"/>
                <w:lang w:val="en-GB"/>
              </w:rPr>
              <w:t xml:space="preserve">have not yet been </w:t>
            </w:r>
            <w:r w:rsidR="002E243C">
              <w:rPr>
                <w:rFonts w:ascii="Times New Roman" w:eastAsia="Times New Roman" w:hAnsi="Times New Roman" w:cs="Times New Roman"/>
                <w:lang w:val="en-GB"/>
              </w:rPr>
              <w:t xml:space="preserve">covered. In these areas, Slovenia </w:t>
            </w:r>
            <w:r w:rsidRPr="00D14C15">
              <w:rPr>
                <w:rFonts w:ascii="Times New Roman" w:eastAsia="Times New Roman" w:hAnsi="Times New Roman" w:cs="Times New Roman"/>
                <w:lang w:val="en-GB"/>
              </w:rPr>
              <w:t>cannot provide citizens with information on amb</w:t>
            </w:r>
            <w:r w:rsidR="002E243C">
              <w:rPr>
                <w:rFonts w:ascii="Times New Roman" w:eastAsia="Times New Roman" w:hAnsi="Times New Roman" w:cs="Times New Roman"/>
                <w:lang w:val="en-GB"/>
              </w:rPr>
              <w:t>ient air quality (PM10) and</w:t>
            </w:r>
            <w:r w:rsidRPr="00D14C15">
              <w:rPr>
                <w:rFonts w:ascii="Times New Roman" w:eastAsia="Times New Roman" w:hAnsi="Times New Roman" w:cs="Times New Roman"/>
                <w:lang w:val="en-GB"/>
              </w:rPr>
              <w:t xml:space="preserve"> adoption of measures to improve air quality</w:t>
            </w:r>
            <w:r w:rsidRPr="00D14C15">
              <w:rPr>
                <w:rStyle w:val="Sprotnaopomba-sklic"/>
                <w:rFonts w:ascii="Times New Roman" w:eastAsia="Times New Roman" w:hAnsi="Times New Roman" w:cs="Times New Roman"/>
                <w:lang w:val="en-GB"/>
              </w:rPr>
              <w:footnoteReference w:id="74"/>
            </w:r>
            <w:r w:rsidRPr="00D14C15">
              <w:rPr>
                <w:rFonts w:ascii="Times New Roman" w:eastAsia="Times New Roman" w:hAnsi="Times New Roman" w:cs="Times New Roman"/>
                <w:lang w:val="en-GB"/>
              </w:rPr>
              <w:t xml:space="preserve">. </w:t>
            </w:r>
          </w:p>
          <w:p w14:paraId="7038FE6F"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5585EE5F" w14:textId="77777777" w:rsidR="0076298E" w:rsidRPr="00D14C15" w:rsidRDefault="0032633A">
            <w:pPr>
              <w:ind w:left="104" w:right="67"/>
              <w:jc w:val="both"/>
              <w:rPr>
                <w:lang w:val="en-GB"/>
              </w:rPr>
            </w:pPr>
            <w:r w:rsidRPr="00D14C15">
              <w:rPr>
                <w:rFonts w:eastAsia="Cambria"/>
                <w:lang w:val="en-GB"/>
              </w:rPr>
              <w:t xml:space="preserve">In urban </w:t>
            </w:r>
            <w:r w:rsidR="002D1EB1">
              <w:rPr>
                <w:rFonts w:eastAsia="Cambria"/>
                <w:lang w:val="en-GB"/>
              </w:rPr>
              <w:t>areas</w:t>
            </w:r>
            <w:r w:rsidRPr="00D14C15">
              <w:rPr>
                <w:rFonts w:eastAsia="Cambria"/>
                <w:lang w:val="en-GB"/>
              </w:rPr>
              <w:t xml:space="preserve">, the increasing concentration and density of the population, the provision, quality and usability of urban green </w:t>
            </w:r>
            <w:r w:rsidR="002D1EB1">
              <w:rPr>
                <w:rFonts w:eastAsia="Cambria"/>
                <w:lang w:val="en-GB"/>
              </w:rPr>
              <w:t>areas</w:t>
            </w:r>
            <w:r w:rsidR="00864DE3">
              <w:rPr>
                <w:rFonts w:eastAsia="Cambria"/>
                <w:lang w:val="en-GB"/>
              </w:rPr>
              <w:t xml:space="preserve"> and the </w:t>
            </w:r>
            <w:r w:rsidR="00102192">
              <w:rPr>
                <w:rFonts w:eastAsia="Cambria"/>
                <w:lang w:val="en-GB"/>
              </w:rPr>
              <w:t>linking</w:t>
            </w:r>
            <w:r w:rsidR="00864DE3">
              <w:rPr>
                <w:rFonts w:eastAsia="Cambria"/>
                <w:lang w:val="en-GB"/>
              </w:rPr>
              <w:t xml:space="preserve"> thereof</w:t>
            </w:r>
            <w:r w:rsidRPr="00D14C15">
              <w:rPr>
                <w:rFonts w:eastAsia="Cambria"/>
                <w:lang w:val="en-GB"/>
              </w:rPr>
              <w:t xml:space="preserve"> </w:t>
            </w:r>
            <w:r w:rsidR="002D1EB1">
              <w:rPr>
                <w:rFonts w:eastAsia="Cambria"/>
                <w:lang w:val="en-GB"/>
              </w:rPr>
              <w:t xml:space="preserve">are a growing </w:t>
            </w:r>
            <w:r w:rsidRPr="00D14C15">
              <w:rPr>
                <w:rFonts w:eastAsia="Cambria"/>
                <w:lang w:val="en-GB"/>
              </w:rPr>
              <w:t>challenge</w:t>
            </w:r>
            <w:r w:rsidRPr="00D14C15">
              <w:rPr>
                <w:lang w:val="en-GB"/>
              </w:rPr>
              <w:t xml:space="preserve">. </w:t>
            </w:r>
            <w:r w:rsidR="00102192">
              <w:rPr>
                <w:lang w:val="en-GB"/>
              </w:rPr>
              <w:t>Linking would provide</w:t>
            </w:r>
            <w:r w:rsidRPr="00D14C15">
              <w:rPr>
                <w:rFonts w:eastAsia="Calibri"/>
                <w:lang w:val="en-GB"/>
              </w:rPr>
              <w:t xml:space="preserve"> ecosystem services by establishing so-called green and blue corridors, which is also a priority for the EC</w:t>
            </w:r>
            <w:r w:rsidRPr="002D1EB1">
              <w:rPr>
                <w:rFonts w:eastAsia="Calibri"/>
                <w:vertAlign w:val="superscript"/>
                <w:lang w:val="en-GB"/>
              </w:rPr>
              <w:footnoteReference w:id="75"/>
            </w:r>
            <w:r w:rsidRPr="00D14C15">
              <w:rPr>
                <w:rFonts w:eastAsia="Calibri"/>
                <w:lang w:val="en-GB"/>
              </w:rPr>
              <w:t xml:space="preserve">. </w:t>
            </w:r>
            <w:r w:rsidRPr="00D14C15">
              <w:rPr>
                <w:lang w:val="en-GB"/>
              </w:rPr>
              <w:t>Green infrastructure reduces pollution, increases the absorption of rainfall, cools, improves health and allows contact with nature. It create</w:t>
            </w:r>
            <w:r w:rsidR="002D1EB1">
              <w:rPr>
                <w:lang w:val="en-GB"/>
              </w:rPr>
              <w:t>s</w:t>
            </w:r>
            <w:r w:rsidRPr="00D14C15">
              <w:rPr>
                <w:lang w:val="en-GB"/>
              </w:rPr>
              <w:t xml:space="preserve"> jobs and promote</w:t>
            </w:r>
            <w:r w:rsidR="002D1EB1">
              <w:rPr>
                <w:lang w:val="en-GB"/>
              </w:rPr>
              <w:t>s</w:t>
            </w:r>
            <w:r w:rsidRPr="00D14C15">
              <w:rPr>
                <w:lang w:val="en-GB"/>
              </w:rPr>
              <w:t xml:space="preserve"> sustainable development</w:t>
            </w:r>
            <w:r w:rsidRPr="00D14C15">
              <w:rPr>
                <w:rStyle w:val="Sprotnaopomba-sklic"/>
                <w:lang w:val="en-GB"/>
              </w:rPr>
              <w:footnoteReference w:id="76"/>
            </w:r>
            <w:r w:rsidRPr="00D14C15">
              <w:rPr>
                <w:lang w:val="en-GB"/>
              </w:rPr>
              <w:t>. Accessible and attractive green and blue urban infrastructure shou</w:t>
            </w:r>
            <w:r w:rsidR="00F6244F">
              <w:rPr>
                <w:lang w:val="en-GB"/>
              </w:rPr>
              <w:t>ld be used as a tool to achieve</w:t>
            </w:r>
            <w:r w:rsidRPr="00D14C15">
              <w:rPr>
                <w:lang w:val="en-GB"/>
              </w:rPr>
              <w:t xml:space="preserve"> environmental, social and economic development objectives </w:t>
            </w:r>
            <w:r w:rsidR="00F6244F">
              <w:rPr>
                <w:lang w:val="en-GB"/>
              </w:rPr>
              <w:t>of urban areas</w:t>
            </w:r>
            <w:r w:rsidRPr="00D14C15">
              <w:rPr>
                <w:rStyle w:val="Sprotnaopomba-sklic"/>
                <w:lang w:val="en-GB"/>
              </w:rPr>
              <w:footnoteReference w:id="77"/>
            </w:r>
            <w:r w:rsidRPr="00D14C15">
              <w:rPr>
                <w:lang w:val="en-GB"/>
              </w:rPr>
              <w:t>.</w:t>
            </w:r>
          </w:p>
          <w:p w14:paraId="0E168AB5" w14:textId="77777777" w:rsidR="0076298E" w:rsidRPr="00D14C15" w:rsidRDefault="0076298E">
            <w:pPr>
              <w:ind w:left="104" w:right="67"/>
              <w:jc w:val="both"/>
              <w:rPr>
                <w:lang w:val="en-GB"/>
              </w:rPr>
            </w:pPr>
          </w:p>
          <w:p w14:paraId="11D3ED37" w14:textId="77777777" w:rsidR="0076298E" w:rsidRPr="00D14C15" w:rsidRDefault="0032633A">
            <w:pPr>
              <w:ind w:left="104" w:right="67"/>
              <w:jc w:val="both"/>
              <w:rPr>
                <w:lang w:val="en-GB"/>
              </w:rPr>
            </w:pPr>
            <w:r w:rsidRPr="00D14C15">
              <w:rPr>
                <w:lang w:val="en-GB"/>
              </w:rPr>
              <w:t>Internal urban development should also be promoted through better use of the already limited sp</w:t>
            </w:r>
            <w:r w:rsidR="00102192">
              <w:rPr>
                <w:lang w:val="en-GB"/>
              </w:rPr>
              <w:t xml:space="preserve">ace in cities, while ensuring good </w:t>
            </w:r>
            <w:r w:rsidRPr="00D14C15">
              <w:rPr>
                <w:lang w:val="en-GB"/>
              </w:rPr>
              <w:t>quality of life for residents and city visitors</w:t>
            </w:r>
            <w:r w:rsidRPr="00D14C15">
              <w:rPr>
                <w:rStyle w:val="Sprotnaopomba-sklic"/>
                <w:lang w:val="en-GB"/>
              </w:rPr>
              <w:footnoteReference w:id="78"/>
            </w:r>
            <w:r w:rsidRPr="00D14C15">
              <w:rPr>
                <w:lang w:val="en-GB"/>
              </w:rPr>
              <w:t xml:space="preserve">. </w:t>
            </w:r>
          </w:p>
          <w:p w14:paraId="0A4017F2" w14:textId="77777777" w:rsidR="0076298E" w:rsidRPr="00D14C15" w:rsidRDefault="0076298E">
            <w:pPr>
              <w:ind w:left="104" w:right="67"/>
              <w:jc w:val="both"/>
              <w:rPr>
                <w:lang w:val="en-GB"/>
              </w:rPr>
            </w:pPr>
          </w:p>
          <w:p w14:paraId="57E364E5" w14:textId="77777777" w:rsidR="0076298E" w:rsidRPr="00D14C15" w:rsidRDefault="00AA1181">
            <w:pPr>
              <w:pStyle w:val="P68B1DB1-Navaden10"/>
              <w:ind w:left="104" w:right="67"/>
              <w:jc w:val="both"/>
              <w:rPr>
                <w:lang w:val="en-GB"/>
              </w:rPr>
            </w:pPr>
            <w:r>
              <w:rPr>
                <w:lang w:val="en-GB"/>
              </w:rPr>
              <w:t>B</w:t>
            </w:r>
            <w:r w:rsidRPr="00D14C15">
              <w:rPr>
                <w:lang w:val="en-GB"/>
              </w:rPr>
              <w:t xml:space="preserve">oth </w:t>
            </w:r>
            <w:r w:rsidRPr="00CF69C8">
              <w:rPr>
                <w:lang w:val="en-GB"/>
              </w:rPr>
              <w:t>ITI</w:t>
            </w:r>
            <w:r w:rsidRPr="00D14C15">
              <w:rPr>
                <w:lang w:val="en-GB"/>
              </w:rPr>
              <w:t xml:space="preserve"> and </w:t>
            </w:r>
            <w:r w:rsidRPr="00D42568">
              <w:rPr>
                <w:lang w:val="en-GB"/>
              </w:rPr>
              <w:t>DRR</w:t>
            </w:r>
            <w:r w:rsidRPr="00D14C15">
              <w:rPr>
                <w:lang w:val="en-GB"/>
              </w:rPr>
              <w:t xml:space="preserve"> </w:t>
            </w:r>
            <w:r>
              <w:rPr>
                <w:lang w:val="en-GB"/>
              </w:rPr>
              <w:t xml:space="preserve">should be </w:t>
            </w:r>
            <w:r w:rsidR="00102192">
              <w:rPr>
                <w:lang w:val="en-GB"/>
              </w:rPr>
              <w:t>applied</w:t>
            </w:r>
            <w:r>
              <w:rPr>
                <w:lang w:val="en-GB"/>
              </w:rPr>
              <w:t xml:space="preserve"> for </w:t>
            </w:r>
            <w:r w:rsidR="0032633A" w:rsidRPr="00D14C15">
              <w:rPr>
                <w:lang w:val="en-GB"/>
              </w:rPr>
              <w:t>inve</w:t>
            </w:r>
            <w:r>
              <w:rPr>
                <w:lang w:val="en-GB"/>
              </w:rPr>
              <w:t>stments in green infrastructure to</w:t>
            </w:r>
            <w:r w:rsidR="0032633A" w:rsidRPr="00D14C15">
              <w:rPr>
                <w:lang w:val="en-GB"/>
              </w:rPr>
              <w:t xml:space="preserve"> support bottom-up initiatives, </w:t>
            </w:r>
            <w:r w:rsidRPr="00D42568">
              <w:rPr>
                <w:lang w:val="en-GB"/>
              </w:rPr>
              <w:t>DRR</w:t>
            </w:r>
            <w:r w:rsidRPr="00D14C15">
              <w:rPr>
                <w:lang w:val="en-GB"/>
              </w:rPr>
              <w:t xml:space="preserve"> </w:t>
            </w:r>
            <w:r w:rsidR="0032633A" w:rsidRPr="00D14C15">
              <w:rPr>
                <w:lang w:val="en-GB"/>
              </w:rPr>
              <w:t xml:space="preserve">focusing on integrated regional projects </w:t>
            </w:r>
            <w:r>
              <w:rPr>
                <w:lang w:val="en-GB"/>
              </w:rPr>
              <w:t>and ITI</w:t>
            </w:r>
            <w:r w:rsidR="0032633A" w:rsidRPr="00D14C15">
              <w:rPr>
                <w:lang w:val="en-GB"/>
              </w:rPr>
              <w:t xml:space="preserve"> </w:t>
            </w:r>
            <w:r>
              <w:rPr>
                <w:lang w:val="en-GB"/>
              </w:rPr>
              <w:t xml:space="preserve">focusing on </w:t>
            </w:r>
            <w:r w:rsidR="0032633A" w:rsidRPr="00D14C15">
              <w:rPr>
                <w:lang w:val="en-GB"/>
              </w:rPr>
              <w:t xml:space="preserve">areas within urban municipalities. </w:t>
            </w:r>
          </w:p>
          <w:p w14:paraId="49A2980E" w14:textId="77777777" w:rsidR="0076298E" w:rsidRPr="00D14C15" w:rsidRDefault="0076298E">
            <w:pPr>
              <w:ind w:left="104" w:right="67"/>
              <w:jc w:val="both"/>
              <w:rPr>
                <w:lang w:val="en-GB"/>
              </w:rPr>
            </w:pPr>
          </w:p>
          <w:p w14:paraId="7DB03C61" w14:textId="77777777" w:rsidR="0076298E" w:rsidRPr="00D14C15" w:rsidRDefault="00AC6618">
            <w:pPr>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5C62495E" w14:textId="77777777" w:rsidTr="00E1518F">
        <w:trPr>
          <w:trHeight w:val="269"/>
        </w:trPr>
        <w:tc>
          <w:tcPr>
            <w:tcW w:w="2268" w:type="dxa"/>
            <w:tcBorders>
              <w:top w:val="nil"/>
            </w:tcBorders>
          </w:tcPr>
          <w:p w14:paraId="1AC09A8F" w14:textId="77777777" w:rsidR="0076298E" w:rsidRPr="00D14C15" w:rsidRDefault="0076298E">
            <w:pPr>
              <w:pStyle w:val="TableParagraph"/>
              <w:ind w:left="115"/>
              <w:rPr>
                <w:lang w:val="en-GB"/>
              </w:rPr>
            </w:pPr>
          </w:p>
        </w:tc>
        <w:tc>
          <w:tcPr>
            <w:tcW w:w="3119" w:type="dxa"/>
          </w:tcPr>
          <w:p w14:paraId="69F6196B" w14:textId="77777777" w:rsidR="0076298E" w:rsidRPr="00D14C15" w:rsidRDefault="001E24B9">
            <w:pPr>
              <w:pStyle w:val="TableParagraph"/>
              <w:rPr>
                <w:lang w:val="en-GB"/>
              </w:rPr>
            </w:pPr>
            <w:r>
              <w:rPr>
                <w:lang w:val="en-GB"/>
              </w:rPr>
              <w:t>P</w:t>
            </w:r>
            <w:r w:rsidR="002B47E4">
              <w:rPr>
                <w:lang w:val="en-GB"/>
              </w:rPr>
              <w:t xml:space="preserve">riority </w:t>
            </w:r>
            <w:r w:rsidR="0032633A" w:rsidRPr="00D14C15">
              <w:rPr>
                <w:lang w:val="en-GB"/>
              </w:rPr>
              <w:t>4</w:t>
            </w:r>
            <w:r w:rsidR="0032633A" w:rsidRPr="007C7398">
              <w:rPr>
                <w:lang w:val="en-GB"/>
              </w:rPr>
              <w:t>: Sustainable urban mobility</w:t>
            </w:r>
            <w:r w:rsidR="0032633A" w:rsidRPr="00D14C15">
              <w:rPr>
                <w:lang w:val="en-GB"/>
              </w:rPr>
              <w:t xml:space="preserve"> </w:t>
            </w:r>
          </w:p>
          <w:p w14:paraId="213A03ED" w14:textId="77777777" w:rsidR="0076298E" w:rsidRPr="00D14C15" w:rsidRDefault="0076298E">
            <w:pPr>
              <w:pStyle w:val="TableParagraph"/>
              <w:ind w:left="37"/>
              <w:rPr>
                <w:lang w:val="en-GB"/>
              </w:rPr>
            </w:pPr>
          </w:p>
          <w:p w14:paraId="49B55DB5" w14:textId="77777777" w:rsidR="0076298E" w:rsidRPr="00D14C15" w:rsidRDefault="0032633A" w:rsidP="001E24B9">
            <w:pPr>
              <w:pStyle w:val="TableParagraph"/>
              <w:ind w:left="37"/>
              <w:rPr>
                <w:lang w:val="en-GB"/>
              </w:rPr>
            </w:pPr>
            <w:r w:rsidRPr="00D14C15">
              <w:rPr>
                <w:lang w:val="en-GB"/>
              </w:rPr>
              <w:t>RSO2.8: Promoting sustainable multimodal urban mobility</w:t>
            </w:r>
            <w:r w:rsidR="001E24B9">
              <w:rPr>
                <w:lang w:val="en-GB"/>
              </w:rPr>
              <w:t xml:space="preserve">, as part of </w:t>
            </w:r>
            <w:r w:rsidRPr="00D14C15">
              <w:rPr>
                <w:lang w:val="en-GB"/>
              </w:rPr>
              <w:t>transition to a net</w:t>
            </w:r>
            <w:r w:rsidR="001E24B9">
              <w:rPr>
                <w:lang w:val="en-GB"/>
              </w:rPr>
              <w:t xml:space="preserve"> </w:t>
            </w:r>
            <w:r w:rsidRPr="00D14C15">
              <w:rPr>
                <w:lang w:val="en-GB"/>
              </w:rPr>
              <w:t>zero carbon economy</w:t>
            </w:r>
          </w:p>
        </w:tc>
        <w:tc>
          <w:tcPr>
            <w:tcW w:w="8647" w:type="dxa"/>
          </w:tcPr>
          <w:p w14:paraId="4DD8D4F3" w14:textId="77777777" w:rsidR="0076298E" w:rsidRDefault="00BC49EB">
            <w:pPr>
              <w:pStyle w:val="P68B1DB1-Odstavekseznama12"/>
              <w:ind w:left="104" w:right="67"/>
              <w:jc w:val="both"/>
              <w:rPr>
                <w:lang w:val="en-GB"/>
              </w:rPr>
            </w:pPr>
            <w:r>
              <w:rPr>
                <w:lang w:val="en-GB"/>
              </w:rPr>
              <w:t>T</w:t>
            </w:r>
            <w:r w:rsidRPr="00D14C15">
              <w:rPr>
                <w:lang w:val="en-GB"/>
              </w:rPr>
              <w:t xml:space="preserve">he biggest challenge </w:t>
            </w:r>
            <w:r>
              <w:rPr>
                <w:lang w:val="en-GB"/>
              </w:rPr>
              <w:t xml:space="preserve">for Slovenian </w:t>
            </w:r>
            <w:r w:rsidRPr="00D14C15">
              <w:rPr>
                <w:lang w:val="en-GB"/>
              </w:rPr>
              <w:t xml:space="preserve">in reducing GHG emissions </w:t>
            </w:r>
            <w:r>
              <w:rPr>
                <w:lang w:val="en-GB"/>
              </w:rPr>
              <w:t>is</w:t>
            </w:r>
            <w:r w:rsidR="0032633A" w:rsidRPr="00D14C15">
              <w:rPr>
                <w:lang w:val="en-GB"/>
              </w:rPr>
              <w:t xml:space="preserve"> </w:t>
            </w:r>
            <w:r>
              <w:rPr>
                <w:lang w:val="en-GB"/>
              </w:rPr>
              <w:t xml:space="preserve">the </w:t>
            </w:r>
            <w:r w:rsidR="0032633A" w:rsidRPr="00D14C15">
              <w:rPr>
                <w:lang w:val="en-GB"/>
              </w:rPr>
              <w:t>transport sector, which is not covered by the EU trading scheme</w:t>
            </w:r>
            <w:r w:rsidR="00102192">
              <w:rPr>
                <w:lang w:val="en-GB"/>
              </w:rPr>
              <w:t>. I</w:t>
            </w:r>
            <w:r w:rsidR="00102192" w:rsidRPr="00D14C15">
              <w:rPr>
                <w:lang w:val="en-GB"/>
              </w:rPr>
              <w:t>n 2020</w:t>
            </w:r>
            <w:r w:rsidR="00102192">
              <w:rPr>
                <w:lang w:val="en-GB"/>
              </w:rPr>
              <w:t xml:space="preserve">, </w:t>
            </w:r>
            <w:r w:rsidR="00102192" w:rsidRPr="00D14C15">
              <w:rPr>
                <w:lang w:val="en-GB"/>
              </w:rPr>
              <w:t xml:space="preserve">GHG emissions </w:t>
            </w:r>
            <w:r w:rsidR="00102192">
              <w:rPr>
                <w:lang w:val="en-GB"/>
              </w:rPr>
              <w:t>is</w:t>
            </w:r>
            <w:r w:rsidR="00102192" w:rsidRPr="00D14C15">
              <w:rPr>
                <w:lang w:val="en-GB"/>
              </w:rPr>
              <w:t xml:space="preserve"> </w:t>
            </w:r>
            <w:r w:rsidR="00102192">
              <w:rPr>
                <w:lang w:val="en-GB"/>
              </w:rPr>
              <w:t xml:space="preserve">the </w:t>
            </w:r>
            <w:r w:rsidR="00102192" w:rsidRPr="00D14C15">
              <w:rPr>
                <w:lang w:val="en-GB"/>
              </w:rPr>
              <w:t>transport sector</w:t>
            </w:r>
            <w:r w:rsidR="00102192">
              <w:rPr>
                <w:lang w:val="en-GB"/>
              </w:rPr>
              <w:t xml:space="preserve"> </w:t>
            </w:r>
            <w:r>
              <w:rPr>
                <w:lang w:val="en-GB"/>
              </w:rPr>
              <w:t>stood at</w:t>
            </w:r>
            <w:r w:rsidR="0032633A" w:rsidRPr="00D14C15">
              <w:rPr>
                <w:lang w:val="en-GB"/>
              </w:rPr>
              <w:t xml:space="preserve"> 47%. </w:t>
            </w:r>
          </w:p>
          <w:p w14:paraId="126E5335" w14:textId="77777777" w:rsidR="00102192" w:rsidRPr="00D14C15" w:rsidRDefault="00102192">
            <w:pPr>
              <w:pStyle w:val="P68B1DB1-Odstavekseznama12"/>
              <w:ind w:left="104" w:right="67"/>
              <w:jc w:val="both"/>
              <w:rPr>
                <w:lang w:val="en-GB"/>
              </w:rPr>
            </w:pPr>
          </w:p>
          <w:p w14:paraId="2D7AE56E" w14:textId="77777777" w:rsidR="0076298E" w:rsidRPr="00D14C15" w:rsidRDefault="0032633A">
            <w:pPr>
              <w:pStyle w:val="P68B1DB1-Odstavekseznama14"/>
              <w:ind w:left="104" w:right="67"/>
              <w:jc w:val="both"/>
              <w:rPr>
                <w:rFonts w:eastAsia="Times New Roman" w:cs="Times New Roman"/>
                <w:lang w:val="en-GB"/>
              </w:rPr>
            </w:pPr>
            <w:r w:rsidRPr="00D14C15">
              <w:rPr>
                <w:lang w:val="en-GB"/>
              </w:rPr>
              <w:t xml:space="preserve">The </w:t>
            </w:r>
            <w:r w:rsidR="00996C08">
              <w:rPr>
                <w:lang w:val="en-GB"/>
              </w:rPr>
              <w:t xml:space="preserve">target regarding </w:t>
            </w:r>
            <w:r w:rsidRPr="00D14C15">
              <w:rPr>
                <w:lang w:val="en-GB"/>
              </w:rPr>
              <w:t>the number of passenger-kilometres in public passenger transport</w:t>
            </w:r>
            <w:r w:rsidR="00996C08">
              <w:rPr>
                <w:lang w:val="en-GB"/>
              </w:rPr>
              <w:t xml:space="preserve"> is far from being met</w:t>
            </w:r>
            <w:r w:rsidRPr="00D14C15">
              <w:rPr>
                <w:lang w:val="en-GB"/>
              </w:rPr>
              <w:t xml:space="preserve">. In Slovenia, </w:t>
            </w:r>
            <w:r w:rsidR="00996C08" w:rsidRPr="00D14C15">
              <w:rPr>
                <w:lang w:val="en-GB"/>
              </w:rPr>
              <w:t>public passenger transport</w:t>
            </w:r>
            <w:r w:rsidR="00996C08">
              <w:rPr>
                <w:lang w:val="en-GB"/>
              </w:rPr>
              <w:t xml:space="preserve"> </w:t>
            </w:r>
            <w:r w:rsidR="00102192">
              <w:rPr>
                <w:lang w:val="en-GB"/>
              </w:rPr>
              <w:t>options</w:t>
            </w:r>
            <w:r w:rsidR="00996C08">
              <w:rPr>
                <w:lang w:val="en-GB"/>
              </w:rPr>
              <w:t xml:space="preserve"> </w:t>
            </w:r>
            <w:r w:rsidR="00102192">
              <w:rPr>
                <w:lang w:val="en-GB"/>
              </w:rPr>
              <w:t xml:space="preserve">differ from </w:t>
            </w:r>
            <w:r w:rsidRPr="00D14C15">
              <w:rPr>
                <w:lang w:val="en-GB"/>
              </w:rPr>
              <w:t>region</w:t>
            </w:r>
            <w:r w:rsidR="00102192">
              <w:rPr>
                <w:lang w:val="en-GB"/>
              </w:rPr>
              <w:t xml:space="preserve"> to region</w:t>
            </w:r>
            <w:r w:rsidRPr="00D14C15">
              <w:rPr>
                <w:lang w:val="en-GB"/>
              </w:rPr>
              <w:t xml:space="preserve">, which </w:t>
            </w:r>
            <w:r w:rsidR="00DE67B9">
              <w:rPr>
                <w:lang w:val="en-GB"/>
              </w:rPr>
              <w:t xml:space="preserve">impacts </w:t>
            </w:r>
            <w:r w:rsidRPr="00D14C15">
              <w:rPr>
                <w:lang w:val="en-GB"/>
              </w:rPr>
              <w:t xml:space="preserve">the </w:t>
            </w:r>
            <w:r w:rsidR="00DE67B9">
              <w:rPr>
                <w:lang w:val="en-GB"/>
              </w:rPr>
              <w:t>share</w:t>
            </w:r>
            <w:r w:rsidRPr="00D14C15">
              <w:rPr>
                <w:lang w:val="en-GB"/>
              </w:rPr>
              <w:t xml:space="preserve"> of the population in </w:t>
            </w:r>
            <w:r w:rsidR="00DE67B9">
              <w:rPr>
                <w:lang w:val="en-GB"/>
              </w:rPr>
              <w:t xml:space="preserve">terms of </w:t>
            </w:r>
            <w:r w:rsidRPr="00D14C15">
              <w:rPr>
                <w:lang w:val="en-GB"/>
              </w:rPr>
              <w:t xml:space="preserve">the appropriate distance to stops with an adequate or at least satisfactory frequency of journeys. Thus, </w:t>
            </w:r>
            <w:r w:rsidR="00DE67B9" w:rsidRPr="00D14C15">
              <w:rPr>
                <w:lang w:val="en-GB"/>
              </w:rPr>
              <w:t>appropriate frequency</w:t>
            </w:r>
            <w:r w:rsidR="00DE67B9">
              <w:rPr>
                <w:lang w:val="en-GB"/>
              </w:rPr>
              <w:t xml:space="preserve"> is available to </w:t>
            </w:r>
            <w:r w:rsidRPr="00D14C15">
              <w:rPr>
                <w:lang w:val="en-GB"/>
              </w:rPr>
              <w:t>70</w:t>
            </w:r>
            <w:r w:rsidR="00102192">
              <w:rPr>
                <w:lang w:val="en-GB"/>
              </w:rPr>
              <w:t>-</w:t>
            </w:r>
            <w:r w:rsidRPr="00D14C15">
              <w:rPr>
                <w:lang w:val="en-GB"/>
              </w:rPr>
              <w:t>80% of the population in the Osrednjesloven</w:t>
            </w:r>
            <w:r w:rsidR="00DE67B9">
              <w:rPr>
                <w:lang w:val="en-GB"/>
              </w:rPr>
              <w:t xml:space="preserve">ska region and the </w:t>
            </w:r>
            <w:r w:rsidRPr="00D14C15">
              <w:rPr>
                <w:lang w:val="en-GB"/>
              </w:rPr>
              <w:t>Gorenjska</w:t>
            </w:r>
            <w:r w:rsidR="00102192">
              <w:rPr>
                <w:lang w:val="en-GB"/>
              </w:rPr>
              <w:t xml:space="preserve"> region</w:t>
            </w:r>
            <w:r w:rsidRPr="00D14C15">
              <w:rPr>
                <w:lang w:val="en-GB"/>
              </w:rPr>
              <w:t xml:space="preserve">, while </w:t>
            </w:r>
            <w:r w:rsidR="00DE67B9">
              <w:rPr>
                <w:lang w:val="en-GB"/>
              </w:rPr>
              <w:t xml:space="preserve">the availability </w:t>
            </w:r>
            <w:r w:rsidRPr="00D14C15">
              <w:rPr>
                <w:lang w:val="en-GB"/>
              </w:rPr>
              <w:lastRenderedPageBreak/>
              <w:t xml:space="preserve">in the </w:t>
            </w:r>
            <w:r w:rsidR="00DE67B9">
              <w:rPr>
                <w:lang w:val="en-GB"/>
              </w:rPr>
              <w:t>Goriška</w:t>
            </w:r>
            <w:r w:rsidRPr="00D14C15">
              <w:rPr>
                <w:lang w:val="en-GB"/>
              </w:rPr>
              <w:t xml:space="preserve"> region </w:t>
            </w:r>
            <w:r w:rsidR="00102192">
              <w:rPr>
                <w:lang w:val="en-GB"/>
              </w:rPr>
              <w:t xml:space="preserve">is </w:t>
            </w:r>
            <w:r w:rsidRPr="00D14C15">
              <w:rPr>
                <w:lang w:val="en-GB"/>
              </w:rPr>
              <w:t>significantly lower (</w:t>
            </w:r>
            <w:r w:rsidR="00102192">
              <w:rPr>
                <w:lang w:val="en-GB"/>
              </w:rPr>
              <w:t>30-</w:t>
            </w:r>
            <w:r w:rsidRPr="00D14C15">
              <w:rPr>
                <w:lang w:val="en-GB"/>
              </w:rPr>
              <w:t>40</w:t>
            </w:r>
            <w:r w:rsidR="00DE67B9">
              <w:rPr>
                <w:lang w:val="en-GB"/>
              </w:rPr>
              <w:t>% of the population). This results in</w:t>
            </w:r>
            <w:r w:rsidRPr="00D14C15">
              <w:rPr>
                <w:lang w:val="en-GB"/>
              </w:rPr>
              <w:t xml:space="preserve"> very frequent use of car</w:t>
            </w:r>
            <w:r w:rsidR="00DE67B9">
              <w:rPr>
                <w:lang w:val="en-GB"/>
              </w:rPr>
              <w:t>s</w:t>
            </w:r>
            <w:r w:rsidRPr="00D14C15">
              <w:rPr>
                <w:lang w:val="en-GB"/>
              </w:rPr>
              <w:t>, which, in terms of the number of passenger cars per capita, is the highest in regions with more dispersed settlements (</w:t>
            </w:r>
            <w:r w:rsidR="00DE67B9">
              <w:rPr>
                <w:lang w:val="en-GB"/>
              </w:rPr>
              <w:t>the Primorsko-</w:t>
            </w:r>
            <w:r w:rsidRPr="00D14C15">
              <w:rPr>
                <w:lang w:val="en-GB"/>
              </w:rPr>
              <w:t>notranjska</w:t>
            </w:r>
            <w:r w:rsidR="00DE67B9">
              <w:rPr>
                <w:lang w:val="en-GB"/>
              </w:rPr>
              <w:t xml:space="preserve"> region</w:t>
            </w:r>
            <w:r w:rsidRPr="00D14C15">
              <w:rPr>
                <w:lang w:val="en-GB"/>
              </w:rPr>
              <w:t xml:space="preserve">, </w:t>
            </w:r>
            <w:r w:rsidR="00DE67B9">
              <w:rPr>
                <w:lang w:val="en-GB"/>
              </w:rPr>
              <w:t>the Goriška region</w:t>
            </w:r>
            <w:r w:rsidRPr="00D14C15">
              <w:rPr>
                <w:lang w:val="en-GB"/>
              </w:rPr>
              <w:t xml:space="preserve">). </w:t>
            </w:r>
            <w:r w:rsidR="00102192">
              <w:rPr>
                <w:lang w:val="en-GB"/>
              </w:rPr>
              <w:t xml:space="preserve">It is difficult to switch </w:t>
            </w:r>
            <w:r w:rsidR="00102192" w:rsidRPr="00D14C15">
              <w:rPr>
                <w:lang w:val="en-GB"/>
              </w:rPr>
              <w:t xml:space="preserve">between different </w:t>
            </w:r>
            <w:r w:rsidR="00DE67B9">
              <w:rPr>
                <w:lang w:val="en-GB"/>
              </w:rPr>
              <w:t>p</w:t>
            </w:r>
            <w:r w:rsidR="00DE67B9" w:rsidRPr="00D14C15">
              <w:rPr>
                <w:lang w:val="en-GB"/>
              </w:rPr>
              <w:t>ublic passenger transport</w:t>
            </w:r>
            <w:r w:rsidR="00102192" w:rsidRPr="00D14C15">
              <w:rPr>
                <w:lang w:val="en-GB"/>
              </w:rPr>
              <w:t xml:space="preserve"> systems</w:t>
            </w:r>
            <w:r w:rsidR="00102192">
              <w:rPr>
                <w:lang w:val="en-GB"/>
              </w:rPr>
              <w:t xml:space="preserve"> </w:t>
            </w:r>
            <w:r w:rsidRPr="00D14C15">
              <w:rPr>
                <w:lang w:val="en-GB"/>
              </w:rPr>
              <w:t xml:space="preserve">as there are no transfer points or they are not comfortable enough. Some of the entry points </w:t>
            </w:r>
            <w:r w:rsidR="00DE67B9">
              <w:rPr>
                <w:lang w:val="en-GB"/>
              </w:rPr>
              <w:t xml:space="preserve">to </w:t>
            </w:r>
            <w:r w:rsidR="00DE67B9" w:rsidRPr="00D14C15">
              <w:rPr>
                <w:lang w:val="en-GB"/>
              </w:rPr>
              <w:t>public passenger transport</w:t>
            </w:r>
            <w:r w:rsidRPr="00D14C15">
              <w:rPr>
                <w:lang w:val="en-GB"/>
              </w:rPr>
              <w:t xml:space="preserve"> are also not adequately equipped with parking for bicycles and cars.</w:t>
            </w:r>
          </w:p>
          <w:p w14:paraId="5EC08A3F"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1B847233" w14:textId="77777777" w:rsidR="0076298E" w:rsidRDefault="00DE67B9">
            <w:pPr>
              <w:pStyle w:val="Odstavekseznama"/>
              <w:ind w:left="104" w:right="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Slovenia is </w:t>
            </w:r>
            <w:r w:rsidR="005C026F">
              <w:rPr>
                <w:rFonts w:ascii="Times New Roman" w:eastAsia="Times New Roman" w:hAnsi="Times New Roman" w:cs="Times New Roman"/>
                <w:lang w:val="en-GB"/>
              </w:rPr>
              <w:t xml:space="preserve">not meeting the set </w:t>
            </w:r>
            <w:r w:rsidR="0032633A" w:rsidRPr="00D14C15">
              <w:rPr>
                <w:rFonts w:ascii="Times New Roman" w:eastAsia="Times New Roman" w:hAnsi="Times New Roman" w:cs="Times New Roman"/>
                <w:lang w:val="en-GB"/>
              </w:rPr>
              <w:t>target for specific emissions of new vehicles</w:t>
            </w:r>
            <w:r w:rsidR="00E23BC4">
              <w:rPr>
                <w:rFonts w:ascii="Times New Roman" w:eastAsia="Times New Roman" w:hAnsi="Times New Roman" w:cs="Times New Roman"/>
                <w:lang w:val="en-GB"/>
              </w:rPr>
              <w:t xml:space="preserve">, which are </w:t>
            </w:r>
            <w:r w:rsidR="0032633A" w:rsidRPr="00D14C15">
              <w:rPr>
                <w:rFonts w:ascii="Times New Roman" w:eastAsia="Times New Roman" w:hAnsi="Times New Roman" w:cs="Times New Roman"/>
                <w:lang w:val="en-GB"/>
              </w:rPr>
              <w:t xml:space="preserve">increasing </w:t>
            </w:r>
            <w:r w:rsidR="00E23BC4">
              <w:rPr>
                <w:rFonts w:ascii="Times New Roman" w:eastAsia="Times New Roman" w:hAnsi="Times New Roman" w:cs="Times New Roman"/>
                <w:lang w:val="en-GB"/>
              </w:rPr>
              <w:t>instead of d</w:t>
            </w:r>
            <w:r w:rsidR="0032633A" w:rsidRPr="00D14C15">
              <w:rPr>
                <w:rFonts w:ascii="Times New Roman" w:eastAsia="Times New Roman" w:hAnsi="Times New Roman" w:cs="Times New Roman"/>
                <w:lang w:val="en-GB"/>
              </w:rPr>
              <w:t>ecreasing</w:t>
            </w:r>
            <w:r w:rsidR="00E23BC4">
              <w:rPr>
                <w:rFonts w:ascii="Times New Roman" w:eastAsia="Times New Roman" w:hAnsi="Times New Roman" w:cs="Times New Roman"/>
                <w:lang w:val="en-GB"/>
              </w:rPr>
              <w:t xml:space="preserve">. Slovenia is also failing to meet </w:t>
            </w:r>
            <w:r w:rsidR="0032633A" w:rsidRPr="00D14C15">
              <w:rPr>
                <w:rFonts w:ascii="Times New Roman" w:eastAsia="Times New Roman" w:hAnsi="Times New Roman" w:cs="Times New Roman"/>
                <w:lang w:val="en-GB"/>
              </w:rPr>
              <w:t xml:space="preserve">the </w:t>
            </w:r>
            <w:r w:rsidR="003F49D5">
              <w:rPr>
                <w:rFonts w:ascii="Times New Roman" w:eastAsia="Times New Roman" w:hAnsi="Times New Roman" w:cs="Times New Roman"/>
                <w:lang w:val="en-GB"/>
              </w:rPr>
              <w:t xml:space="preserve">set </w:t>
            </w:r>
            <w:r w:rsidR="0032633A" w:rsidRPr="00D14C15">
              <w:rPr>
                <w:rFonts w:ascii="Times New Roman" w:eastAsia="Times New Roman" w:hAnsi="Times New Roman" w:cs="Times New Roman"/>
                <w:lang w:val="en-GB"/>
              </w:rPr>
              <w:t>targets for the use of alternative fuels in transport</w:t>
            </w:r>
            <w:r w:rsidR="003F49D5">
              <w:rPr>
                <w:rFonts w:ascii="Times New Roman" w:eastAsia="Times New Roman" w:hAnsi="Times New Roman" w:cs="Times New Roman"/>
                <w:lang w:val="en-GB"/>
              </w:rPr>
              <w:t xml:space="preserve"> with not enough</w:t>
            </w:r>
            <w:r w:rsidR="0032633A" w:rsidRPr="00D14C15">
              <w:rPr>
                <w:rFonts w:ascii="Times New Roman" w:eastAsia="Times New Roman" w:hAnsi="Times New Roman" w:cs="Times New Roman"/>
                <w:lang w:val="en-GB"/>
              </w:rPr>
              <w:t xml:space="preserve"> publicly accessible recharging points for </w:t>
            </w:r>
            <w:r w:rsidR="003F49D5">
              <w:rPr>
                <w:rFonts w:ascii="Times New Roman" w:eastAsia="Times New Roman" w:hAnsi="Times New Roman" w:cs="Times New Roman"/>
                <w:lang w:val="en-GB"/>
              </w:rPr>
              <w:t>various</w:t>
            </w:r>
            <w:r w:rsidR="0032633A" w:rsidRPr="00D14C15">
              <w:rPr>
                <w:rFonts w:ascii="Times New Roman" w:eastAsia="Times New Roman" w:hAnsi="Times New Roman" w:cs="Times New Roman"/>
                <w:lang w:val="en-GB"/>
              </w:rPr>
              <w:t xml:space="preserve"> alternative fuel</w:t>
            </w:r>
            <w:r w:rsidR="003F49D5">
              <w:rPr>
                <w:rFonts w:ascii="Times New Roman" w:eastAsia="Times New Roman" w:hAnsi="Times New Roman" w:cs="Times New Roman"/>
                <w:lang w:val="en-GB"/>
              </w:rPr>
              <w:t>s</w:t>
            </w:r>
            <w:r w:rsidR="0032633A" w:rsidRPr="00D14C15">
              <w:rPr>
                <w:rFonts w:ascii="Times New Roman" w:eastAsia="Times New Roman" w:hAnsi="Times New Roman" w:cs="Times New Roman"/>
                <w:lang w:val="en-GB"/>
              </w:rPr>
              <w:t>.</w:t>
            </w:r>
            <w:r w:rsidR="0032633A" w:rsidRPr="00D14C15">
              <w:rPr>
                <w:lang w:val="en-GB"/>
              </w:rPr>
              <w:t xml:space="preserve"> </w:t>
            </w:r>
            <w:r w:rsidR="003F49D5">
              <w:rPr>
                <w:rFonts w:ascii="Times New Roman" w:eastAsia="Times New Roman" w:hAnsi="Times New Roman" w:cs="Times New Roman"/>
                <w:lang w:val="en-GB"/>
              </w:rPr>
              <w:t>53</w:t>
            </w:r>
            <w:r w:rsidR="0032633A" w:rsidRPr="00D14C15">
              <w:rPr>
                <w:rFonts w:ascii="Times New Roman" w:eastAsia="Times New Roman" w:hAnsi="Times New Roman" w:cs="Times New Roman"/>
                <w:lang w:val="en-GB"/>
              </w:rPr>
              <w:t xml:space="preserve">% of </w:t>
            </w:r>
            <w:r w:rsidR="003F49D5">
              <w:rPr>
                <w:rFonts w:ascii="Times New Roman" w:eastAsia="Times New Roman" w:hAnsi="Times New Roman" w:cs="Times New Roman"/>
                <w:lang w:val="en-GB"/>
              </w:rPr>
              <w:t xml:space="preserve">the vehicles run on </w:t>
            </w:r>
            <w:r w:rsidR="0032633A" w:rsidRPr="00D14C15">
              <w:rPr>
                <w:rFonts w:ascii="Times New Roman" w:eastAsia="Times New Roman" w:hAnsi="Times New Roman" w:cs="Times New Roman"/>
                <w:lang w:val="en-GB"/>
              </w:rPr>
              <w:t xml:space="preserve">petrol and 46% </w:t>
            </w:r>
            <w:r w:rsidR="003F49D5">
              <w:rPr>
                <w:rFonts w:ascii="Times New Roman" w:eastAsia="Times New Roman" w:hAnsi="Times New Roman" w:cs="Times New Roman"/>
                <w:lang w:val="en-GB"/>
              </w:rPr>
              <w:t xml:space="preserve">on </w:t>
            </w:r>
            <w:r w:rsidR="0032633A" w:rsidRPr="00D14C15">
              <w:rPr>
                <w:rFonts w:ascii="Times New Roman" w:eastAsia="Times New Roman" w:hAnsi="Times New Roman" w:cs="Times New Roman"/>
                <w:lang w:val="en-GB"/>
              </w:rPr>
              <w:t xml:space="preserve">diesel. Vehicles using alternative </w:t>
            </w:r>
            <w:r w:rsidR="003F49D5">
              <w:rPr>
                <w:rFonts w:ascii="Times New Roman" w:eastAsia="Times New Roman" w:hAnsi="Times New Roman" w:cs="Times New Roman"/>
                <w:lang w:val="en-GB"/>
              </w:rPr>
              <w:t>fuels</w:t>
            </w:r>
            <w:r w:rsidR="0032633A" w:rsidRPr="00D14C15">
              <w:rPr>
                <w:rFonts w:ascii="Times New Roman" w:eastAsia="Times New Roman" w:hAnsi="Times New Roman" w:cs="Times New Roman"/>
                <w:lang w:val="en-GB"/>
              </w:rPr>
              <w:t xml:space="preserve"> account for a small </w:t>
            </w:r>
            <w:r w:rsidR="003F49D5">
              <w:rPr>
                <w:rFonts w:ascii="Times New Roman" w:eastAsia="Times New Roman" w:hAnsi="Times New Roman" w:cs="Times New Roman"/>
                <w:lang w:val="en-GB"/>
              </w:rPr>
              <w:t>segment</w:t>
            </w:r>
            <w:r w:rsidR="0032633A" w:rsidRPr="00D14C15">
              <w:rPr>
                <w:rFonts w:ascii="Times New Roman" w:eastAsia="Times New Roman" w:hAnsi="Times New Roman" w:cs="Times New Roman"/>
                <w:lang w:val="en-GB"/>
              </w:rPr>
              <w:t xml:space="preserve">. In addition to measures </w:t>
            </w:r>
            <w:r w:rsidR="00E23BC4">
              <w:rPr>
                <w:rFonts w:ascii="Times New Roman" w:eastAsia="Times New Roman" w:hAnsi="Times New Roman" w:cs="Times New Roman"/>
                <w:lang w:val="en-GB"/>
              </w:rPr>
              <w:t>for</w:t>
            </w:r>
            <w:r w:rsidR="0032633A" w:rsidRPr="00D14C15">
              <w:rPr>
                <w:rFonts w:ascii="Times New Roman" w:eastAsia="Times New Roman" w:hAnsi="Times New Roman" w:cs="Times New Roman"/>
                <w:lang w:val="en-GB"/>
              </w:rPr>
              <w:t xml:space="preserve"> improv</w:t>
            </w:r>
            <w:r w:rsidR="00E23BC4">
              <w:rPr>
                <w:rFonts w:ascii="Times New Roman" w:eastAsia="Times New Roman" w:hAnsi="Times New Roman" w:cs="Times New Roman"/>
                <w:lang w:val="en-GB"/>
              </w:rPr>
              <w:t>ing</w:t>
            </w:r>
            <w:r w:rsidR="0032633A" w:rsidRPr="00D14C15">
              <w:rPr>
                <w:rFonts w:ascii="Times New Roman" w:eastAsia="Times New Roman" w:hAnsi="Times New Roman" w:cs="Times New Roman"/>
                <w:lang w:val="en-GB"/>
              </w:rPr>
              <w:t xml:space="preserve"> </w:t>
            </w:r>
            <w:r w:rsidR="003F49D5">
              <w:rPr>
                <w:rFonts w:ascii="Times New Roman" w:eastAsia="Times New Roman" w:hAnsi="Times New Roman" w:cs="Times New Roman"/>
                <w:lang w:val="en-GB"/>
              </w:rPr>
              <w:t>public passenger transport</w:t>
            </w:r>
            <w:r w:rsidR="0032633A" w:rsidRPr="00D14C15">
              <w:rPr>
                <w:rFonts w:ascii="Times New Roman" w:eastAsia="Times New Roman" w:hAnsi="Times New Roman" w:cs="Times New Roman"/>
                <w:lang w:val="en-GB"/>
              </w:rPr>
              <w:t xml:space="preserve">, </w:t>
            </w:r>
            <w:r w:rsidR="003F49D5">
              <w:rPr>
                <w:rFonts w:ascii="Times New Roman" w:eastAsia="Times New Roman" w:hAnsi="Times New Roman" w:cs="Times New Roman"/>
                <w:lang w:val="en-GB"/>
              </w:rPr>
              <w:t xml:space="preserve">Slovenia should ensure that </w:t>
            </w:r>
            <w:r w:rsidR="003F49D5" w:rsidRPr="00D14C15">
              <w:rPr>
                <w:rFonts w:ascii="Times New Roman" w:eastAsia="Times New Roman" w:hAnsi="Times New Roman" w:cs="Times New Roman"/>
                <w:lang w:val="en-GB"/>
              </w:rPr>
              <w:t xml:space="preserve">electric vehicles or plug-in hybrids </w:t>
            </w:r>
            <w:r w:rsidR="003F49D5">
              <w:rPr>
                <w:rFonts w:ascii="Times New Roman" w:eastAsia="Times New Roman" w:hAnsi="Times New Roman" w:cs="Times New Roman"/>
                <w:lang w:val="en-GB"/>
              </w:rPr>
              <w:t xml:space="preserve">represent </w:t>
            </w:r>
            <w:r w:rsidR="0032633A" w:rsidRPr="00D14C15">
              <w:rPr>
                <w:rFonts w:ascii="Times New Roman" w:eastAsia="Times New Roman" w:hAnsi="Times New Roman" w:cs="Times New Roman"/>
                <w:lang w:val="en-GB"/>
              </w:rPr>
              <w:t xml:space="preserve">at least 17% of </w:t>
            </w:r>
            <w:r w:rsidR="003F49D5">
              <w:rPr>
                <w:rFonts w:ascii="Times New Roman" w:eastAsia="Times New Roman" w:hAnsi="Times New Roman" w:cs="Times New Roman"/>
                <w:lang w:val="en-GB"/>
              </w:rPr>
              <w:t xml:space="preserve">the cars used </w:t>
            </w:r>
            <w:r w:rsidR="0032633A" w:rsidRPr="00D14C15">
              <w:rPr>
                <w:rFonts w:ascii="Times New Roman" w:eastAsia="Times New Roman" w:hAnsi="Times New Roman" w:cs="Times New Roman"/>
                <w:lang w:val="en-GB"/>
              </w:rPr>
              <w:t>(200,000 vehicles)</w:t>
            </w:r>
            <w:r w:rsidR="003F49D5">
              <w:rPr>
                <w:rFonts w:ascii="Times New Roman" w:eastAsia="Times New Roman" w:hAnsi="Times New Roman" w:cs="Times New Roman"/>
                <w:lang w:val="en-GB"/>
              </w:rPr>
              <w:t>,</w:t>
            </w:r>
            <w:r w:rsidR="0032633A" w:rsidRPr="00D14C15">
              <w:rPr>
                <w:rFonts w:ascii="Times New Roman" w:eastAsia="Times New Roman" w:hAnsi="Times New Roman" w:cs="Times New Roman"/>
                <w:lang w:val="en-GB"/>
              </w:rPr>
              <w:t xml:space="preserve"> and </w:t>
            </w:r>
            <w:r w:rsidR="003F49D5" w:rsidRPr="00D14C15">
              <w:rPr>
                <w:rFonts w:ascii="Times New Roman" w:eastAsia="Times New Roman" w:hAnsi="Times New Roman" w:cs="Times New Roman"/>
                <w:lang w:val="en-GB"/>
              </w:rPr>
              <w:t xml:space="preserve">electric light-duty vehicles </w:t>
            </w:r>
            <w:r w:rsidR="003F49D5">
              <w:rPr>
                <w:rFonts w:ascii="Times New Roman" w:eastAsia="Times New Roman" w:hAnsi="Times New Roman" w:cs="Times New Roman"/>
                <w:lang w:val="en-GB"/>
              </w:rPr>
              <w:t xml:space="preserve">at least </w:t>
            </w:r>
            <w:r w:rsidR="0032633A" w:rsidRPr="00D14C15">
              <w:rPr>
                <w:rFonts w:ascii="Times New Roman" w:eastAsia="Times New Roman" w:hAnsi="Times New Roman" w:cs="Times New Roman"/>
                <w:lang w:val="en-GB"/>
              </w:rPr>
              <w:t xml:space="preserve">12% (11,000 vehicles) </w:t>
            </w:r>
            <w:r w:rsidR="00E23BC4">
              <w:rPr>
                <w:rFonts w:ascii="Times New Roman" w:eastAsia="Times New Roman" w:hAnsi="Times New Roman" w:cs="Times New Roman"/>
                <w:lang w:val="en-GB"/>
              </w:rPr>
              <w:t xml:space="preserve">of the </w:t>
            </w:r>
            <w:r w:rsidR="0032633A" w:rsidRPr="00D14C15">
              <w:rPr>
                <w:rFonts w:ascii="Times New Roman" w:eastAsia="Times New Roman" w:hAnsi="Times New Roman" w:cs="Times New Roman"/>
                <w:lang w:val="en-GB"/>
              </w:rPr>
              <w:t>cars</w:t>
            </w:r>
            <w:r w:rsidR="00E23BC4">
              <w:rPr>
                <w:rFonts w:ascii="Times New Roman" w:eastAsia="Times New Roman" w:hAnsi="Times New Roman" w:cs="Times New Roman"/>
                <w:lang w:val="en-GB"/>
              </w:rPr>
              <w:t xml:space="preserve"> used</w:t>
            </w:r>
            <w:r w:rsidR="0032633A" w:rsidRPr="00D14C15">
              <w:rPr>
                <w:rFonts w:ascii="Times New Roman" w:eastAsia="Times New Roman" w:hAnsi="Times New Roman" w:cs="Times New Roman"/>
                <w:lang w:val="en-GB"/>
              </w:rPr>
              <w:t xml:space="preserve"> if </w:t>
            </w:r>
            <w:r w:rsidR="00E23BC4">
              <w:rPr>
                <w:rFonts w:ascii="Times New Roman" w:eastAsia="Times New Roman" w:hAnsi="Times New Roman" w:cs="Times New Roman"/>
                <w:lang w:val="en-GB"/>
              </w:rPr>
              <w:t>the country</w:t>
            </w:r>
            <w:r w:rsidR="0032633A" w:rsidRPr="00D14C15">
              <w:rPr>
                <w:rFonts w:ascii="Times New Roman" w:eastAsia="Times New Roman" w:hAnsi="Times New Roman" w:cs="Times New Roman"/>
                <w:lang w:val="en-GB"/>
              </w:rPr>
              <w:t xml:space="preserve"> </w:t>
            </w:r>
            <w:r w:rsidR="00E23BC4">
              <w:rPr>
                <w:rFonts w:ascii="Times New Roman" w:eastAsia="Times New Roman" w:hAnsi="Times New Roman" w:cs="Times New Roman"/>
                <w:lang w:val="en-GB"/>
              </w:rPr>
              <w:t>is</w:t>
            </w:r>
            <w:r w:rsidR="0032633A" w:rsidRPr="00D14C15">
              <w:rPr>
                <w:rFonts w:ascii="Times New Roman" w:eastAsia="Times New Roman" w:hAnsi="Times New Roman" w:cs="Times New Roman"/>
                <w:lang w:val="en-GB"/>
              </w:rPr>
              <w:t xml:space="preserve"> to meet the </w:t>
            </w:r>
            <w:r w:rsidR="003F49D5" w:rsidRPr="00D14C15">
              <w:rPr>
                <w:rFonts w:ascii="Times New Roman" w:eastAsia="Times New Roman" w:hAnsi="Times New Roman" w:cs="Times New Roman"/>
                <w:lang w:val="en-GB"/>
              </w:rPr>
              <w:t xml:space="preserve">alternative fuel </w:t>
            </w:r>
            <w:r w:rsidR="0032633A" w:rsidRPr="00D14C15">
              <w:rPr>
                <w:rFonts w:ascii="Times New Roman" w:eastAsia="Times New Roman" w:hAnsi="Times New Roman" w:cs="Times New Roman"/>
                <w:lang w:val="en-GB"/>
              </w:rPr>
              <w:t>targets by 2030</w:t>
            </w:r>
            <w:r w:rsidR="0032633A" w:rsidRPr="00D14C15">
              <w:rPr>
                <w:rStyle w:val="Sprotnaopomba-sklic"/>
                <w:rFonts w:ascii="Times New Roman" w:eastAsia="Times New Roman" w:hAnsi="Times New Roman" w:cs="Times New Roman"/>
                <w:lang w:val="en-GB"/>
              </w:rPr>
              <w:footnoteReference w:id="79"/>
            </w:r>
            <w:r w:rsidR="0032633A" w:rsidRPr="00D14C15">
              <w:rPr>
                <w:rFonts w:ascii="Times New Roman" w:eastAsia="Times New Roman" w:hAnsi="Times New Roman" w:cs="Times New Roman"/>
                <w:lang w:val="en-GB"/>
              </w:rPr>
              <w:t>.</w:t>
            </w:r>
          </w:p>
          <w:p w14:paraId="431DC3CD" w14:textId="77777777" w:rsidR="003F49D5" w:rsidRDefault="003F49D5" w:rsidP="003F49D5">
            <w:pPr>
              <w:pStyle w:val="P68B1DB1-Navaden10"/>
              <w:ind w:left="104" w:right="67"/>
              <w:jc w:val="both"/>
              <w:rPr>
                <w:lang w:val="en-GB"/>
              </w:rPr>
            </w:pPr>
          </w:p>
          <w:p w14:paraId="67ED6EEE" w14:textId="77777777" w:rsidR="0076298E" w:rsidRPr="00D14C15" w:rsidRDefault="0032633A">
            <w:pPr>
              <w:pStyle w:val="P68B1DB1-TableParagraph8"/>
              <w:ind w:left="104" w:right="67"/>
              <w:jc w:val="both"/>
              <w:rPr>
                <w:lang w:val="en-GB"/>
              </w:rPr>
            </w:pPr>
            <w:r w:rsidRPr="00D14C15">
              <w:rPr>
                <w:lang w:val="en-GB"/>
              </w:rPr>
              <w:t xml:space="preserve">In order to promote urban mobility, the </w:t>
            </w:r>
            <w:r w:rsidR="003F49D5">
              <w:rPr>
                <w:lang w:val="en-GB"/>
              </w:rPr>
              <w:t>ITI</w:t>
            </w:r>
            <w:r w:rsidRPr="00D14C15">
              <w:rPr>
                <w:lang w:val="en-GB"/>
              </w:rPr>
              <w:t xml:space="preserve"> approach </w:t>
            </w:r>
            <w:r w:rsidR="003F49D5">
              <w:rPr>
                <w:lang w:val="en-GB"/>
              </w:rPr>
              <w:t>should be applied to</w:t>
            </w:r>
            <w:r w:rsidRPr="00D14C15">
              <w:rPr>
                <w:lang w:val="en-GB"/>
              </w:rPr>
              <w:t xml:space="preserve"> support bottom-up initiatives based on</w:t>
            </w:r>
            <w:r w:rsidR="005E5481">
              <w:rPr>
                <w:lang w:val="en-GB"/>
              </w:rPr>
              <w:t xml:space="preserve"> sustainable urban strategies a</w:t>
            </w:r>
            <w:r w:rsidRPr="00D14C15">
              <w:rPr>
                <w:lang w:val="en-GB"/>
              </w:rPr>
              <w:t xml:space="preserve">nd </w:t>
            </w:r>
            <w:r w:rsidR="005E5481">
              <w:rPr>
                <w:lang w:val="en-GB"/>
              </w:rPr>
              <w:t xml:space="preserve">integrated transport </w:t>
            </w:r>
            <w:r w:rsidR="00CD44B6">
              <w:rPr>
                <w:lang w:val="en-GB"/>
              </w:rPr>
              <w:t>strategies</w:t>
            </w:r>
            <w:r w:rsidRPr="00D14C15">
              <w:rPr>
                <w:lang w:val="en-GB"/>
              </w:rPr>
              <w:t xml:space="preserve">, which are prepared and </w:t>
            </w:r>
            <w:r w:rsidR="005E5481">
              <w:rPr>
                <w:lang w:val="en-GB"/>
              </w:rPr>
              <w:t>approved</w:t>
            </w:r>
            <w:r w:rsidRPr="00D14C15">
              <w:rPr>
                <w:lang w:val="en-GB"/>
              </w:rPr>
              <w:t xml:space="preserve"> by urban municipalities</w:t>
            </w:r>
            <w:r w:rsidR="005E5481">
              <w:rPr>
                <w:lang w:val="en-GB"/>
              </w:rPr>
              <w:t xml:space="preserve"> </w:t>
            </w:r>
            <w:r w:rsidR="00E23BC4">
              <w:rPr>
                <w:lang w:val="en-GB"/>
              </w:rPr>
              <w:t>that</w:t>
            </w:r>
            <w:r w:rsidR="005E5481">
              <w:rPr>
                <w:lang w:val="en-GB"/>
              </w:rPr>
              <w:t xml:space="preserve"> are the drivers of urban development</w:t>
            </w:r>
            <w:r w:rsidRPr="00D14C15">
              <w:rPr>
                <w:lang w:val="en-GB"/>
              </w:rPr>
              <w:t xml:space="preserve">. </w:t>
            </w:r>
          </w:p>
          <w:p w14:paraId="1AC58A0A" w14:textId="77777777" w:rsidR="0076298E" w:rsidRPr="00D14C15" w:rsidRDefault="0076298E">
            <w:pPr>
              <w:pStyle w:val="Odstavekseznama"/>
              <w:ind w:left="104" w:right="67"/>
              <w:jc w:val="both"/>
              <w:rPr>
                <w:rFonts w:ascii="Times New Roman" w:eastAsia="Times New Roman" w:hAnsi="Times New Roman" w:cs="Times New Roman"/>
                <w:lang w:val="en-GB"/>
              </w:rPr>
            </w:pPr>
          </w:p>
          <w:p w14:paraId="274D527D" w14:textId="77777777" w:rsidR="0076298E" w:rsidRPr="00D14C15" w:rsidRDefault="00AC6618">
            <w:pPr>
              <w:pStyle w:val="P68B1DB1-Odstavekseznama13"/>
              <w:ind w:left="104" w:right="67"/>
              <w:jc w:val="both"/>
              <w:rPr>
                <w:rFonts w:eastAsia="Times New Roman"/>
                <w:lang w:val="en-GB"/>
              </w:rPr>
            </w:pPr>
            <w:r>
              <w:rPr>
                <w:lang w:val="en-GB"/>
              </w:rPr>
              <w:t>We will use grants</w:t>
            </w:r>
            <w:r w:rsidR="00164D04" w:rsidRPr="00F664FB">
              <w:rPr>
                <w:lang w:val="en-GB"/>
              </w:rPr>
              <w:t>. A detailed justification is given in Chapter 2.</w:t>
            </w:r>
          </w:p>
        </w:tc>
      </w:tr>
      <w:tr w:rsidR="0076298E" w:rsidRPr="00D14C15" w14:paraId="38D4964B" w14:textId="77777777" w:rsidTr="00E1518F">
        <w:trPr>
          <w:trHeight w:val="599"/>
        </w:trPr>
        <w:tc>
          <w:tcPr>
            <w:tcW w:w="2268" w:type="dxa"/>
            <w:vMerge w:val="restart"/>
          </w:tcPr>
          <w:p w14:paraId="41A591AF" w14:textId="77777777" w:rsidR="0076298E" w:rsidRPr="00D14C15" w:rsidRDefault="005E5481" w:rsidP="005E5481">
            <w:pPr>
              <w:pStyle w:val="TableParagraph"/>
              <w:ind w:left="115"/>
              <w:rPr>
                <w:lang w:val="en-GB"/>
              </w:rPr>
            </w:pPr>
            <w:r>
              <w:rPr>
                <w:lang w:val="en-GB"/>
              </w:rPr>
              <w:lastRenderedPageBreak/>
              <w:t>PO</w:t>
            </w:r>
            <w:r w:rsidR="0032633A" w:rsidRPr="00D14C15">
              <w:rPr>
                <w:lang w:val="en-GB"/>
              </w:rPr>
              <w:t xml:space="preserve"> 3: A more connected Europe by </w:t>
            </w:r>
            <w:r>
              <w:rPr>
                <w:lang w:val="en-GB"/>
              </w:rPr>
              <w:t>enhancing</w:t>
            </w:r>
            <w:r w:rsidR="0032633A" w:rsidRPr="00D14C15">
              <w:rPr>
                <w:lang w:val="en-GB"/>
              </w:rPr>
              <w:t xml:space="preserve"> mobility</w:t>
            </w:r>
          </w:p>
        </w:tc>
        <w:tc>
          <w:tcPr>
            <w:tcW w:w="3119" w:type="dxa"/>
          </w:tcPr>
          <w:p w14:paraId="07D2CE0E" w14:textId="77777777" w:rsidR="0076298E" w:rsidRPr="00D14C15" w:rsidRDefault="005E5481">
            <w:pPr>
              <w:ind w:left="37"/>
              <w:rPr>
                <w:lang w:val="en-GB"/>
              </w:rPr>
            </w:pPr>
            <w:r>
              <w:rPr>
                <w:lang w:val="en-GB"/>
              </w:rPr>
              <w:t>P</w:t>
            </w:r>
            <w:r w:rsidR="002B47E4">
              <w:rPr>
                <w:lang w:val="en-GB"/>
              </w:rPr>
              <w:t xml:space="preserve">riority </w:t>
            </w:r>
            <w:r w:rsidR="0032633A" w:rsidRPr="00D14C15">
              <w:rPr>
                <w:lang w:val="en-GB"/>
              </w:rPr>
              <w:t xml:space="preserve">5: </w:t>
            </w:r>
            <w:r w:rsidR="007C7398" w:rsidRPr="007C7398">
              <w:rPr>
                <w:lang w:val="en-GB"/>
              </w:rPr>
              <w:t>Sustainable cross-regional mobility and connectivity</w:t>
            </w:r>
            <w:r w:rsidR="0032633A" w:rsidRPr="00D14C15">
              <w:rPr>
                <w:lang w:val="en-GB"/>
              </w:rPr>
              <w:t xml:space="preserve"> </w:t>
            </w:r>
          </w:p>
          <w:p w14:paraId="3D379CA5" w14:textId="77777777" w:rsidR="0076298E" w:rsidRPr="00D14C15" w:rsidRDefault="0076298E">
            <w:pPr>
              <w:ind w:left="37"/>
              <w:rPr>
                <w:lang w:val="en-GB"/>
              </w:rPr>
            </w:pPr>
          </w:p>
          <w:p w14:paraId="19812A34" w14:textId="77777777" w:rsidR="0076298E" w:rsidRPr="00D14C15" w:rsidRDefault="0032633A" w:rsidP="005E5481">
            <w:pPr>
              <w:ind w:left="37"/>
              <w:rPr>
                <w:lang w:val="en-GB"/>
              </w:rPr>
            </w:pPr>
            <w:r w:rsidRPr="00D14C15">
              <w:rPr>
                <w:lang w:val="en-GB"/>
              </w:rPr>
              <w:t xml:space="preserve">RSO3.1: Developing a </w:t>
            </w:r>
            <w:r w:rsidR="005E5481">
              <w:rPr>
                <w:lang w:val="en-GB"/>
              </w:rPr>
              <w:t xml:space="preserve">sustainable </w:t>
            </w:r>
            <w:r w:rsidRPr="00D14C15">
              <w:rPr>
                <w:lang w:val="en-GB"/>
              </w:rPr>
              <w:t>climate</w:t>
            </w:r>
            <w:r w:rsidR="005E5481">
              <w:rPr>
                <w:lang w:val="en-GB"/>
              </w:rPr>
              <w:t xml:space="preserve"> </w:t>
            </w:r>
            <w:r w:rsidRPr="00D14C15">
              <w:rPr>
                <w:lang w:val="en-GB"/>
              </w:rPr>
              <w:t xml:space="preserve">resilient, </w:t>
            </w:r>
            <w:r w:rsidR="005E5481">
              <w:rPr>
                <w:lang w:val="en-GB"/>
              </w:rPr>
              <w:t>intelligent</w:t>
            </w:r>
            <w:r w:rsidRPr="00D14C15">
              <w:rPr>
                <w:lang w:val="en-GB"/>
              </w:rPr>
              <w:t xml:space="preserve">, </w:t>
            </w:r>
            <w:r w:rsidR="005E5481">
              <w:rPr>
                <w:lang w:val="en-GB"/>
              </w:rPr>
              <w:t>secure</w:t>
            </w:r>
            <w:r w:rsidRPr="00D14C15">
              <w:rPr>
                <w:lang w:val="en-GB"/>
              </w:rPr>
              <w:t xml:space="preserve">, sustainable and intermodal TEN-T </w:t>
            </w:r>
          </w:p>
        </w:tc>
        <w:tc>
          <w:tcPr>
            <w:tcW w:w="8647" w:type="dxa"/>
          </w:tcPr>
          <w:p w14:paraId="0B3CD294" w14:textId="77777777" w:rsidR="0076298E" w:rsidRPr="00D14C15" w:rsidRDefault="0032633A">
            <w:pPr>
              <w:pStyle w:val="TableParagraph"/>
              <w:ind w:left="104" w:right="67"/>
              <w:jc w:val="both"/>
              <w:rPr>
                <w:lang w:val="en-GB"/>
              </w:rPr>
            </w:pPr>
            <w:r w:rsidRPr="00D14C15">
              <w:rPr>
                <w:lang w:val="en-GB"/>
              </w:rPr>
              <w:t xml:space="preserve">One of the main </w:t>
            </w:r>
            <w:r w:rsidR="005E5481">
              <w:rPr>
                <w:lang w:val="en-GB"/>
              </w:rPr>
              <w:t>causes</w:t>
            </w:r>
            <w:r w:rsidRPr="00D14C15">
              <w:rPr>
                <w:lang w:val="en-GB"/>
              </w:rPr>
              <w:t xml:space="preserve"> of air pollution is the increas</w:t>
            </w:r>
            <w:r w:rsidR="005E5481">
              <w:rPr>
                <w:lang w:val="en-GB"/>
              </w:rPr>
              <w:t>ing</w:t>
            </w:r>
            <w:r w:rsidRPr="00D14C15">
              <w:rPr>
                <w:lang w:val="en-GB"/>
              </w:rPr>
              <w:t xml:space="preserve"> road</w:t>
            </w:r>
            <w:r w:rsidR="005E5481">
              <w:rPr>
                <w:lang w:val="en-GB"/>
              </w:rPr>
              <w:t xml:space="preserve"> transport,</w:t>
            </w:r>
            <w:r w:rsidR="005E5481" w:rsidRPr="00D14C15">
              <w:rPr>
                <w:rStyle w:val="Sprotnaopomba-sklic"/>
                <w:lang w:val="en-GB"/>
              </w:rPr>
              <w:footnoteReference w:id="80"/>
            </w:r>
            <w:r w:rsidR="005E5481">
              <w:rPr>
                <w:lang w:val="en-GB"/>
              </w:rPr>
              <w:t xml:space="preserve"> </w:t>
            </w:r>
            <w:r w:rsidRPr="00D14C15">
              <w:rPr>
                <w:lang w:val="en-GB"/>
              </w:rPr>
              <w:t>which contributes greatly to emissions of CO</w:t>
            </w:r>
            <w:r w:rsidRPr="005E5481">
              <w:rPr>
                <w:vertAlign w:val="subscript"/>
                <w:lang w:val="en-GB"/>
              </w:rPr>
              <w:t>2</w:t>
            </w:r>
            <w:r w:rsidRPr="00D14C15">
              <w:rPr>
                <w:lang w:val="en-GB"/>
              </w:rPr>
              <w:t xml:space="preserve"> and air pollutants. </w:t>
            </w:r>
            <w:r w:rsidR="005E5481">
              <w:rPr>
                <w:lang w:val="en-GB"/>
              </w:rPr>
              <w:t>If converted to</w:t>
            </w:r>
            <w:r w:rsidRPr="00D14C15">
              <w:rPr>
                <w:lang w:val="en-GB"/>
              </w:rPr>
              <w:t xml:space="preserve"> GDP, </w:t>
            </w:r>
            <w:r w:rsidR="00C7436C" w:rsidRPr="00D14C15">
              <w:rPr>
                <w:lang w:val="en-GB"/>
              </w:rPr>
              <w:t>road</w:t>
            </w:r>
            <w:r w:rsidR="00C7436C">
              <w:rPr>
                <w:lang w:val="en-GB"/>
              </w:rPr>
              <w:t xml:space="preserve"> transport</w:t>
            </w:r>
            <w:r w:rsidR="00C7436C" w:rsidRPr="00D14C15">
              <w:rPr>
                <w:lang w:val="en-GB"/>
              </w:rPr>
              <w:t xml:space="preserve"> </w:t>
            </w:r>
            <w:r w:rsidR="00C7436C">
              <w:rPr>
                <w:lang w:val="en-GB"/>
              </w:rPr>
              <w:t xml:space="preserve">has, </w:t>
            </w:r>
            <w:r w:rsidRPr="00D14C15">
              <w:rPr>
                <w:lang w:val="en-GB"/>
              </w:rPr>
              <w:t xml:space="preserve">in the period 2010-2018, </w:t>
            </w:r>
            <w:r w:rsidR="00C7436C">
              <w:rPr>
                <w:lang w:val="en-GB"/>
              </w:rPr>
              <w:t>increased by far the most in Slovenia (</w:t>
            </w:r>
            <w:r w:rsidRPr="00D14C15">
              <w:rPr>
                <w:lang w:val="en-GB"/>
              </w:rPr>
              <w:t>by 18%</w:t>
            </w:r>
            <w:r w:rsidR="00C7436C">
              <w:rPr>
                <w:lang w:val="en-GB"/>
              </w:rPr>
              <w:t>)</w:t>
            </w:r>
            <w:r w:rsidRPr="00D14C15">
              <w:rPr>
                <w:lang w:val="en-GB"/>
              </w:rPr>
              <w:t xml:space="preserve"> compared to other EU Member States</w:t>
            </w:r>
            <w:r w:rsidR="00C7436C">
              <w:rPr>
                <w:lang w:val="en-GB"/>
              </w:rPr>
              <w:t xml:space="preserve"> </w:t>
            </w:r>
            <w:r w:rsidR="00C7436C" w:rsidRPr="00D14C15">
              <w:rPr>
                <w:lang w:val="en-GB"/>
              </w:rPr>
              <w:t>(average</w:t>
            </w:r>
            <w:r w:rsidR="00C7436C">
              <w:rPr>
                <w:lang w:val="en-GB"/>
              </w:rPr>
              <w:t xml:space="preserve"> decrease by 3</w:t>
            </w:r>
            <w:r w:rsidR="00C7436C" w:rsidRPr="00D14C15">
              <w:rPr>
                <w:lang w:val="en-GB"/>
              </w:rPr>
              <w:t>%)</w:t>
            </w:r>
            <w:r w:rsidRPr="00D14C15">
              <w:rPr>
                <w:lang w:val="en-GB"/>
              </w:rPr>
              <w:t xml:space="preserve">. The reason is that most goods are transported by trucks and most passengers </w:t>
            </w:r>
            <w:r w:rsidR="00594B10">
              <w:rPr>
                <w:lang w:val="en-GB"/>
              </w:rPr>
              <w:t xml:space="preserve">use </w:t>
            </w:r>
            <w:r w:rsidRPr="00D14C15">
              <w:rPr>
                <w:lang w:val="en-GB"/>
              </w:rPr>
              <w:t>car</w:t>
            </w:r>
            <w:r w:rsidR="00594B10">
              <w:rPr>
                <w:lang w:val="en-GB"/>
              </w:rPr>
              <w:t>s</w:t>
            </w:r>
            <w:r w:rsidRPr="00D14C15">
              <w:rPr>
                <w:lang w:val="en-GB"/>
              </w:rPr>
              <w:t>. Thus, Slovenia is still lagging behind i</w:t>
            </w:r>
            <w:r w:rsidR="002A4AA4">
              <w:rPr>
                <w:lang w:val="en-GB"/>
              </w:rPr>
              <w:t xml:space="preserve">n the transition towards zero </w:t>
            </w:r>
            <w:r w:rsidRPr="00D14C15">
              <w:rPr>
                <w:lang w:val="en-GB"/>
              </w:rPr>
              <w:t xml:space="preserve">emission transport by 2050. </w:t>
            </w:r>
          </w:p>
          <w:p w14:paraId="37672865" w14:textId="77777777" w:rsidR="0076298E" w:rsidRPr="00D14C15" w:rsidRDefault="0076298E">
            <w:pPr>
              <w:pStyle w:val="TableParagraph"/>
              <w:ind w:left="104" w:right="67"/>
              <w:jc w:val="both"/>
              <w:rPr>
                <w:lang w:val="en-GB"/>
              </w:rPr>
            </w:pPr>
          </w:p>
          <w:p w14:paraId="0B85801D" w14:textId="77777777" w:rsidR="0076298E" w:rsidRPr="00D14C15" w:rsidRDefault="0032633A">
            <w:pPr>
              <w:pStyle w:val="TableParagraph"/>
              <w:ind w:left="104" w:right="67"/>
              <w:jc w:val="both"/>
              <w:rPr>
                <w:lang w:val="en-GB"/>
              </w:rPr>
            </w:pPr>
            <w:r w:rsidRPr="00D14C15">
              <w:rPr>
                <w:lang w:val="en-GB"/>
              </w:rPr>
              <w:t xml:space="preserve">The </w:t>
            </w:r>
            <w:r w:rsidR="002A4AA4">
              <w:rPr>
                <w:lang w:val="en-GB"/>
              </w:rPr>
              <w:t>2020 Slovenia Country Report says</w:t>
            </w:r>
            <w:r w:rsidRPr="00D14C15">
              <w:rPr>
                <w:lang w:val="en-GB"/>
              </w:rPr>
              <w:t xml:space="preserve"> that sustainable transport connections, especially railways, are not sufficiently developed to fully support the </w:t>
            </w:r>
            <w:r w:rsidR="002A4AA4">
              <w:rPr>
                <w:lang w:val="en-GB"/>
              </w:rPr>
              <w:t>transition</w:t>
            </w:r>
            <w:r w:rsidRPr="00D14C15">
              <w:rPr>
                <w:lang w:val="en-GB"/>
              </w:rPr>
              <w:t xml:space="preserve"> to other modes of transport</w:t>
            </w:r>
            <w:r w:rsidR="002A4AA4">
              <w:rPr>
                <w:lang w:val="en-GB"/>
              </w:rPr>
              <w:t>,</w:t>
            </w:r>
            <w:r w:rsidRPr="00D14C15">
              <w:rPr>
                <w:lang w:val="en-GB"/>
              </w:rPr>
              <w:t xml:space="preserve"> aimed at reducing CO</w:t>
            </w:r>
            <w:r w:rsidRPr="002A4AA4">
              <w:rPr>
                <w:vertAlign w:val="subscript"/>
                <w:lang w:val="en-GB"/>
              </w:rPr>
              <w:t>2</w:t>
            </w:r>
            <w:r w:rsidRPr="00D14C15">
              <w:rPr>
                <w:lang w:val="en-GB"/>
              </w:rPr>
              <w:t xml:space="preserve"> emissions</w:t>
            </w:r>
            <w:r w:rsidR="002A4AA4">
              <w:rPr>
                <w:lang w:val="en-GB"/>
              </w:rPr>
              <w:t>,</w:t>
            </w:r>
            <w:r w:rsidRPr="00D14C15">
              <w:rPr>
                <w:lang w:val="en-GB"/>
              </w:rPr>
              <w:t xml:space="preserve"> or the economic development of less developed regions. Public railway infrastructure, including within the TEN-T network, in some stations, stops and inter-</w:t>
            </w:r>
            <w:r w:rsidRPr="00D14C15">
              <w:rPr>
                <w:lang w:val="en-GB"/>
              </w:rPr>
              <w:lastRenderedPageBreak/>
              <w:t xml:space="preserve">post sections does not meet today’s transport requirements and </w:t>
            </w:r>
            <w:r w:rsidR="002A4AA4">
              <w:rPr>
                <w:lang w:val="en-GB"/>
              </w:rPr>
              <w:t xml:space="preserve">is a bottleneck </w:t>
            </w:r>
            <w:r w:rsidR="00594B10">
              <w:rPr>
                <w:lang w:val="en-GB"/>
              </w:rPr>
              <w:t>in</w:t>
            </w:r>
            <w:r w:rsidR="002A4AA4">
              <w:rPr>
                <w:lang w:val="en-GB"/>
              </w:rPr>
              <w:t xml:space="preserve"> the</w:t>
            </w:r>
            <w:r w:rsidRPr="00D14C15">
              <w:rPr>
                <w:lang w:val="en-GB"/>
              </w:rPr>
              <w:t xml:space="preserve"> public rail infrastructure, making the existing rail network of urban nodes </w:t>
            </w:r>
            <w:r w:rsidR="002A4AA4">
              <w:rPr>
                <w:lang w:val="en-GB"/>
              </w:rPr>
              <w:t>a cause for the public passenger transport being unattractive. T</w:t>
            </w:r>
            <w:r w:rsidRPr="00D14C15">
              <w:rPr>
                <w:lang w:val="en-GB"/>
              </w:rPr>
              <w:t xml:space="preserve">herefore, </w:t>
            </w:r>
            <w:r w:rsidR="002A4AA4" w:rsidRPr="00D14C15">
              <w:rPr>
                <w:lang w:val="en-GB"/>
              </w:rPr>
              <w:t xml:space="preserve">the main objectives </w:t>
            </w:r>
            <w:r w:rsidR="00730A15">
              <w:rPr>
                <w:lang w:val="en-GB"/>
              </w:rPr>
              <w:t xml:space="preserve">in the field of </w:t>
            </w:r>
            <w:r w:rsidR="002A4AA4">
              <w:rPr>
                <w:lang w:val="en-GB"/>
              </w:rPr>
              <w:t>TEN-T network and</w:t>
            </w:r>
            <w:r w:rsidRPr="00D14C15">
              <w:rPr>
                <w:lang w:val="en-GB"/>
              </w:rPr>
              <w:t xml:space="preserve"> regional lines of public railway infrastructure</w:t>
            </w:r>
            <w:r w:rsidR="002A4AA4">
              <w:rPr>
                <w:lang w:val="en-GB"/>
              </w:rPr>
              <w:t xml:space="preserve"> are</w:t>
            </w:r>
            <w:r w:rsidR="00730A15">
              <w:rPr>
                <w:lang w:val="en-GB"/>
              </w:rPr>
              <w:t>:</w:t>
            </w:r>
            <w:r w:rsidR="00594B10">
              <w:rPr>
                <w:lang w:val="en-GB"/>
              </w:rPr>
              <w:t xml:space="preserve"> increasing capacity and </w:t>
            </w:r>
            <w:r w:rsidRPr="00D14C15">
              <w:rPr>
                <w:lang w:val="en-GB"/>
              </w:rPr>
              <w:t>track speed and shortening travel times, improving scheduling stability, removing bottlenecks, increasing the level of traffic safety, more efficient traffic management, reducing operating costs, improving passenger train schedules</w:t>
            </w:r>
            <w:r w:rsidR="00594B10">
              <w:rPr>
                <w:lang w:val="en-GB"/>
              </w:rPr>
              <w:t>,</w:t>
            </w:r>
            <w:r w:rsidRPr="00D14C15">
              <w:rPr>
                <w:lang w:val="en-GB"/>
              </w:rPr>
              <w:t xml:space="preserve"> and other measures (</w:t>
            </w:r>
            <w:r w:rsidR="00730A15">
              <w:rPr>
                <w:lang w:val="en-GB"/>
              </w:rPr>
              <w:t>ICT</w:t>
            </w:r>
            <w:r w:rsidRPr="00D14C15">
              <w:rPr>
                <w:lang w:val="en-GB"/>
              </w:rPr>
              <w:t xml:space="preserve"> equipment and </w:t>
            </w:r>
            <w:r w:rsidR="00730A15">
              <w:rPr>
                <w:lang w:val="en-GB"/>
              </w:rPr>
              <w:t xml:space="preserve">related </w:t>
            </w:r>
            <w:r w:rsidRPr="00D14C15">
              <w:rPr>
                <w:lang w:val="en-GB"/>
              </w:rPr>
              <w:t xml:space="preserve">measures (parking </w:t>
            </w:r>
            <w:r w:rsidR="00730A15">
              <w:rPr>
                <w:lang w:val="en-GB"/>
              </w:rPr>
              <w:t>areas</w:t>
            </w:r>
            <w:r w:rsidRPr="00D14C15">
              <w:rPr>
                <w:lang w:val="en-GB"/>
              </w:rPr>
              <w:t xml:space="preserve">, </w:t>
            </w:r>
            <w:r w:rsidR="00730A15">
              <w:rPr>
                <w:lang w:val="en-GB"/>
              </w:rPr>
              <w:t xml:space="preserve">areas to store </w:t>
            </w:r>
            <w:r w:rsidRPr="00D14C15">
              <w:rPr>
                <w:lang w:val="en-GB"/>
              </w:rPr>
              <w:t xml:space="preserve">bicycles) at </w:t>
            </w:r>
            <w:r w:rsidR="00730A15" w:rsidRPr="00D14C15">
              <w:rPr>
                <w:lang w:val="en-GB"/>
              </w:rPr>
              <w:t xml:space="preserve">stations and stops </w:t>
            </w:r>
            <w:r w:rsidR="00730A15">
              <w:rPr>
                <w:lang w:val="en-GB"/>
              </w:rPr>
              <w:t xml:space="preserve">to provide </w:t>
            </w:r>
            <w:r w:rsidRPr="00D14C15">
              <w:rPr>
                <w:lang w:val="en-GB"/>
              </w:rPr>
              <w:t>passenger-friendly service</w:t>
            </w:r>
            <w:r w:rsidR="00730A15">
              <w:rPr>
                <w:lang w:val="en-GB"/>
              </w:rPr>
              <w:t>s</w:t>
            </w:r>
            <w:r w:rsidRPr="00D14C15">
              <w:rPr>
                <w:lang w:val="en-GB"/>
              </w:rPr>
              <w:t xml:space="preserve">). </w:t>
            </w:r>
            <w:r w:rsidR="00730A15">
              <w:rPr>
                <w:lang w:val="en-GB"/>
              </w:rPr>
              <w:t>Slovenia will</w:t>
            </w:r>
            <w:r w:rsidR="00594B10">
              <w:rPr>
                <w:lang w:val="en-GB"/>
              </w:rPr>
              <w:t>,</w:t>
            </w:r>
            <w:r w:rsidR="00730A15">
              <w:rPr>
                <w:lang w:val="en-GB"/>
              </w:rPr>
              <w:t xml:space="preserve"> thus</w:t>
            </w:r>
            <w:r w:rsidR="00594B10">
              <w:rPr>
                <w:lang w:val="en-GB"/>
              </w:rPr>
              <w:t>,</w:t>
            </w:r>
            <w:r w:rsidR="00730A15">
              <w:rPr>
                <w:lang w:val="en-GB"/>
              </w:rPr>
              <w:t xml:space="preserve"> </w:t>
            </w:r>
            <w:r w:rsidRPr="00D14C15">
              <w:rPr>
                <w:lang w:val="en-GB"/>
              </w:rPr>
              <w:t xml:space="preserve">increase the share of the use of sustainable modes of transport. </w:t>
            </w:r>
            <w:r w:rsidR="00730A15">
              <w:rPr>
                <w:lang w:val="en-GB"/>
              </w:rPr>
              <w:t>T</w:t>
            </w:r>
            <w:r w:rsidRPr="00D14C15">
              <w:rPr>
                <w:lang w:val="en-GB"/>
              </w:rPr>
              <w:t>ransport system</w:t>
            </w:r>
            <w:r w:rsidR="00730A15">
              <w:rPr>
                <w:lang w:val="en-GB"/>
              </w:rPr>
              <w:t xml:space="preserve"> should be integrated</w:t>
            </w:r>
            <w:r w:rsidRPr="00D14C15">
              <w:rPr>
                <w:lang w:val="en-GB"/>
              </w:rPr>
              <w:t>, focusing on increasing the attractiveness of</w:t>
            </w:r>
            <w:r w:rsidR="00730A15">
              <w:rPr>
                <w:lang w:val="en-GB"/>
              </w:rPr>
              <w:t xml:space="preserve"> public passenger transport to encourage </w:t>
            </w:r>
            <w:r w:rsidRPr="00D14C15">
              <w:rPr>
                <w:lang w:val="en-GB"/>
              </w:rPr>
              <w:t xml:space="preserve">passengers to </w:t>
            </w:r>
            <w:r w:rsidR="00730A15">
              <w:rPr>
                <w:lang w:val="en-GB"/>
              </w:rPr>
              <w:t>use it by ensuring h</w:t>
            </w:r>
            <w:r w:rsidRPr="00D14C15">
              <w:rPr>
                <w:lang w:val="en-GB"/>
              </w:rPr>
              <w:t xml:space="preserve">igh-quality of the entire transport system. </w:t>
            </w:r>
            <w:r w:rsidR="00730A15">
              <w:rPr>
                <w:lang w:val="en-GB"/>
              </w:rPr>
              <w:t>Slovenia should also improve the accessibility of</w:t>
            </w:r>
            <w:r w:rsidRPr="00D14C15">
              <w:rPr>
                <w:lang w:val="en-GB"/>
              </w:rPr>
              <w:t xml:space="preserve"> railway stations, which are often located outside settlements, or less accessible </w:t>
            </w:r>
            <w:r w:rsidR="00594B10">
              <w:rPr>
                <w:lang w:val="en-GB"/>
              </w:rPr>
              <w:t>on</w:t>
            </w:r>
            <w:r w:rsidRPr="00D14C15">
              <w:rPr>
                <w:lang w:val="en-GB"/>
              </w:rPr>
              <w:t xml:space="preserve"> foot or by bicycle. </w:t>
            </w:r>
            <w:r w:rsidR="00730A15">
              <w:rPr>
                <w:lang w:val="en-GB"/>
              </w:rPr>
              <w:t xml:space="preserve">Slovenia should also </w:t>
            </w:r>
            <w:r w:rsidRPr="00D14C15">
              <w:rPr>
                <w:lang w:val="en-GB"/>
              </w:rPr>
              <w:t>improv</w:t>
            </w:r>
            <w:r w:rsidR="00730A15">
              <w:rPr>
                <w:lang w:val="en-GB"/>
              </w:rPr>
              <w:t>e</w:t>
            </w:r>
            <w:r w:rsidRPr="00D14C15">
              <w:rPr>
                <w:lang w:val="en-GB"/>
              </w:rPr>
              <w:t xml:space="preserve"> the safety and fluidity of road</w:t>
            </w:r>
            <w:r w:rsidR="00730A15">
              <w:rPr>
                <w:lang w:val="en-GB"/>
              </w:rPr>
              <w:t xml:space="preserve"> TEN-T infrastructure and enhance</w:t>
            </w:r>
            <w:r w:rsidRPr="00D14C15">
              <w:rPr>
                <w:lang w:val="en-GB"/>
              </w:rPr>
              <w:t xml:space="preserve"> connectivity with neighbouring countries.</w:t>
            </w:r>
          </w:p>
          <w:p w14:paraId="1B908EB6" w14:textId="77777777" w:rsidR="0076298E" w:rsidRPr="00D14C15" w:rsidRDefault="0076298E">
            <w:pPr>
              <w:ind w:left="104" w:right="67"/>
              <w:jc w:val="both"/>
              <w:rPr>
                <w:lang w:val="en-GB"/>
              </w:rPr>
            </w:pPr>
          </w:p>
          <w:p w14:paraId="13BF9C1C" w14:textId="77777777" w:rsidR="0076298E" w:rsidRPr="00D14C15" w:rsidRDefault="00AC6618" w:rsidP="00AC6618">
            <w:pPr>
              <w:pStyle w:val="TableParagraph"/>
              <w:ind w:left="104" w:right="67"/>
              <w:jc w:val="both"/>
              <w:rPr>
                <w:lang w:val="en-GB"/>
              </w:rPr>
            </w:pPr>
            <w:r>
              <w:rPr>
                <w:lang w:val="en-GB"/>
              </w:rPr>
              <w:t xml:space="preserve">We will use grants </w:t>
            </w:r>
            <w:r w:rsidR="00164D04">
              <w:rPr>
                <w:lang w:val="en-GB"/>
              </w:rPr>
              <w:t>and reimbursable funds</w:t>
            </w:r>
            <w:r w:rsidR="00164D04" w:rsidRPr="00F664FB">
              <w:rPr>
                <w:lang w:val="en-GB"/>
              </w:rPr>
              <w:t>. A detailed justification is given in Chapter 2.</w:t>
            </w:r>
          </w:p>
        </w:tc>
      </w:tr>
      <w:tr w:rsidR="0076298E" w:rsidRPr="00D14C15" w14:paraId="03ACBE1C" w14:textId="77777777" w:rsidTr="00E1518F">
        <w:trPr>
          <w:trHeight w:val="599"/>
        </w:trPr>
        <w:tc>
          <w:tcPr>
            <w:tcW w:w="2268" w:type="dxa"/>
            <w:vMerge/>
          </w:tcPr>
          <w:p w14:paraId="4E9696F5" w14:textId="77777777" w:rsidR="0076298E" w:rsidRPr="00D14C15" w:rsidRDefault="0076298E">
            <w:pPr>
              <w:pStyle w:val="TableParagraph"/>
              <w:ind w:left="115"/>
              <w:rPr>
                <w:lang w:val="en-GB"/>
              </w:rPr>
            </w:pPr>
          </w:p>
        </w:tc>
        <w:tc>
          <w:tcPr>
            <w:tcW w:w="3119" w:type="dxa"/>
          </w:tcPr>
          <w:p w14:paraId="022A1B6F" w14:textId="77777777" w:rsidR="0076298E" w:rsidRPr="00D14C15" w:rsidRDefault="00730A15">
            <w:pPr>
              <w:ind w:left="37"/>
              <w:rPr>
                <w:lang w:val="en-GB"/>
              </w:rPr>
            </w:pPr>
            <w:r>
              <w:rPr>
                <w:lang w:val="en-GB"/>
              </w:rPr>
              <w:t>P</w:t>
            </w:r>
            <w:r w:rsidR="00FD3C17">
              <w:rPr>
                <w:lang w:val="en-GB"/>
              </w:rPr>
              <w:t xml:space="preserve">riority </w:t>
            </w:r>
            <w:r w:rsidR="0032633A" w:rsidRPr="00D14C15">
              <w:rPr>
                <w:lang w:val="en-GB"/>
              </w:rPr>
              <w:t xml:space="preserve">5: </w:t>
            </w:r>
            <w:r w:rsidR="007C7398" w:rsidRPr="007C7398">
              <w:rPr>
                <w:lang w:val="en-GB"/>
              </w:rPr>
              <w:t>Sustainable cross-regional mobility and connectivity</w:t>
            </w:r>
          </w:p>
          <w:p w14:paraId="246B306A" w14:textId="77777777" w:rsidR="0076298E" w:rsidRPr="00D14C15" w:rsidRDefault="0076298E">
            <w:pPr>
              <w:ind w:left="37"/>
              <w:rPr>
                <w:lang w:val="en-GB"/>
              </w:rPr>
            </w:pPr>
          </w:p>
          <w:p w14:paraId="3F2D2A1A" w14:textId="77777777" w:rsidR="0076298E" w:rsidRPr="00D14C15" w:rsidRDefault="0032633A" w:rsidP="00730A15">
            <w:pPr>
              <w:ind w:left="37"/>
              <w:rPr>
                <w:lang w:val="en-GB"/>
              </w:rPr>
            </w:pPr>
            <w:r w:rsidRPr="00D14C15">
              <w:rPr>
                <w:lang w:val="en-GB"/>
              </w:rPr>
              <w:t>RSO3.2: Developing and enhancing sustainable,</w:t>
            </w:r>
            <w:r w:rsidR="00730A15">
              <w:rPr>
                <w:lang w:val="en-GB"/>
              </w:rPr>
              <w:t xml:space="preserve"> climate resilient,</w:t>
            </w:r>
            <w:r w:rsidRPr="00D14C15">
              <w:rPr>
                <w:lang w:val="en-GB"/>
              </w:rPr>
              <w:t xml:space="preserve"> </w:t>
            </w:r>
            <w:r w:rsidR="00730A15">
              <w:rPr>
                <w:lang w:val="en-GB"/>
              </w:rPr>
              <w:t>intelligent</w:t>
            </w:r>
            <w:r w:rsidRPr="00D14C15">
              <w:rPr>
                <w:lang w:val="en-GB"/>
              </w:rPr>
              <w:t xml:space="preserve"> and intermodal national, regional and local mobility, including improved access to TEN-T and cross-border mobility</w:t>
            </w:r>
          </w:p>
        </w:tc>
        <w:tc>
          <w:tcPr>
            <w:tcW w:w="8647" w:type="dxa"/>
          </w:tcPr>
          <w:p w14:paraId="42B4FEE3" w14:textId="77777777" w:rsidR="0076298E" w:rsidRPr="00D14C15" w:rsidRDefault="0032633A">
            <w:pPr>
              <w:pStyle w:val="TableParagraph"/>
              <w:ind w:left="104" w:right="67"/>
              <w:jc w:val="both"/>
              <w:rPr>
                <w:lang w:val="en-GB"/>
              </w:rPr>
            </w:pPr>
            <w:r w:rsidRPr="00D14C15">
              <w:rPr>
                <w:lang w:val="en-GB"/>
              </w:rPr>
              <w:t xml:space="preserve">In addition to TEN-T, </w:t>
            </w:r>
            <w:r w:rsidR="008B3E30">
              <w:rPr>
                <w:lang w:val="en-GB"/>
              </w:rPr>
              <w:t xml:space="preserve">the role of public passenger transport and </w:t>
            </w:r>
            <w:r w:rsidR="00914465">
              <w:rPr>
                <w:lang w:val="en-GB"/>
              </w:rPr>
              <w:t xml:space="preserve">thus reduction </w:t>
            </w:r>
            <w:r w:rsidR="008B3E30">
              <w:rPr>
                <w:lang w:val="en-GB"/>
              </w:rPr>
              <w:t>of</w:t>
            </w:r>
            <w:r w:rsidR="008B3E30" w:rsidRPr="00D14C15">
              <w:rPr>
                <w:lang w:val="en-GB"/>
              </w:rPr>
              <w:t xml:space="preserve"> air pollution and CO</w:t>
            </w:r>
            <w:r w:rsidR="008B3E30" w:rsidRPr="008B3E30">
              <w:rPr>
                <w:vertAlign w:val="subscript"/>
                <w:lang w:val="en-GB"/>
              </w:rPr>
              <w:t>2</w:t>
            </w:r>
            <w:r w:rsidR="008B3E30" w:rsidRPr="00D14C15">
              <w:rPr>
                <w:lang w:val="en-GB"/>
              </w:rPr>
              <w:t xml:space="preserve"> emissions </w:t>
            </w:r>
            <w:r w:rsidR="008B3E30">
              <w:rPr>
                <w:lang w:val="en-GB"/>
              </w:rPr>
              <w:t xml:space="preserve">can be </w:t>
            </w:r>
            <w:r w:rsidRPr="00D14C15">
              <w:rPr>
                <w:lang w:val="en-GB"/>
              </w:rPr>
              <w:t>improv</w:t>
            </w:r>
            <w:r w:rsidR="008B3E30">
              <w:rPr>
                <w:lang w:val="en-GB"/>
              </w:rPr>
              <w:t xml:space="preserve">ed by enhancing </w:t>
            </w:r>
            <w:r w:rsidRPr="00D14C15">
              <w:rPr>
                <w:lang w:val="en-GB"/>
              </w:rPr>
              <w:t>regional rail network, which faces the same challenges as TEN-T and</w:t>
            </w:r>
            <w:r w:rsidR="00914465">
              <w:rPr>
                <w:lang w:val="en-GB"/>
              </w:rPr>
              <w:t>, therefore,</w:t>
            </w:r>
            <w:r w:rsidRPr="00D14C15">
              <w:rPr>
                <w:lang w:val="en-GB"/>
              </w:rPr>
              <w:t xml:space="preserve"> investment in this area is also crucial. The objective of </w:t>
            </w:r>
            <w:r w:rsidR="00594B10">
              <w:rPr>
                <w:lang w:val="en-GB"/>
              </w:rPr>
              <w:t xml:space="preserve">Priority </w:t>
            </w:r>
            <w:r w:rsidR="00914465">
              <w:rPr>
                <w:lang w:val="en-GB"/>
              </w:rPr>
              <w:t xml:space="preserve">5 is to connect the </w:t>
            </w:r>
            <w:r w:rsidRPr="00D14C15">
              <w:rPr>
                <w:lang w:val="en-GB"/>
              </w:rPr>
              <w:t>transport system.</w:t>
            </w:r>
          </w:p>
          <w:p w14:paraId="34A32355" w14:textId="77777777" w:rsidR="0076298E" w:rsidRPr="00D14C15" w:rsidRDefault="0076298E">
            <w:pPr>
              <w:pStyle w:val="TableParagraph"/>
              <w:ind w:left="104" w:right="67"/>
              <w:jc w:val="both"/>
              <w:rPr>
                <w:lang w:val="en-GB"/>
              </w:rPr>
            </w:pPr>
          </w:p>
          <w:p w14:paraId="718F37B0" w14:textId="77777777" w:rsidR="0076298E" w:rsidRPr="00D14C15" w:rsidRDefault="0032633A">
            <w:pPr>
              <w:pStyle w:val="TableParagraph"/>
              <w:ind w:left="104" w:right="67"/>
              <w:jc w:val="both"/>
              <w:rPr>
                <w:rFonts w:ascii="Calibri" w:eastAsia="Calibri" w:hAnsi="Calibri"/>
                <w:lang w:val="en-GB"/>
              </w:rPr>
            </w:pPr>
            <w:r w:rsidRPr="00D14C15">
              <w:rPr>
                <w:lang w:val="en-GB"/>
              </w:rPr>
              <w:t xml:space="preserve">Despite the modernisation of the rail system, a more competitive </w:t>
            </w:r>
            <w:r w:rsidR="00914465">
              <w:rPr>
                <w:lang w:val="en-GB"/>
              </w:rPr>
              <w:t>public passenger transport</w:t>
            </w:r>
            <w:r w:rsidRPr="00D14C15">
              <w:rPr>
                <w:lang w:val="en-GB"/>
              </w:rPr>
              <w:t xml:space="preserve"> and the implemen</w:t>
            </w:r>
            <w:r w:rsidR="00594B10">
              <w:rPr>
                <w:lang w:val="en-GB"/>
              </w:rPr>
              <w:t>tation of the P&amp;</w:t>
            </w:r>
            <w:r w:rsidRPr="00D14C15">
              <w:rPr>
                <w:lang w:val="en-GB"/>
              </w:rPr>
              <w:t xml:space="preserve">R system, the permeability of around 230 km of roads will be exceeded in 2030. Despite the implementation of a sustainable transport policy, less permeable sections on the road network will emerge, </w:t>
            </w:r>
            <w:r w:rsidR="00914465">
              <w:rPr>
                <w:lang w:val="en-GB"/>
              </w:rPr>
              <w:t>which will have</w:t>
            </w:r>
            <w:r w:rsidRPr="00D14C15">
              <w:rPr>
                <w:lang w:val="en-GB"/>
              </w:rPr>
              <w:t xml:space="preserve"> unf</w:t>
            </w:r>
            <w:r w:rsidR="004A446A">
              <w:rPr>
                <w:lang w:val="en-GB"/>
              </w:rPr>
              <w:t xml:space="preserve">avourable consequences. This </w:t>
            </w:r>
            <w:r w:rsidRPr="00D14C15">
              <w:rPr>
                <w:lang w:val="en-GB"/>
              </w:rPr>
              <w:t>limit</w:t>
            </w:r>
            <w:r w:rsidR="004A446A">
              <w:rPr>
                <w:lang w:val="en-GB"/>
              </w:rPr>
              <w:t>s Slovenia’s balanced</w:t>
            </w:r>
            <w:r w:rsidRPr="00D14C15">
              <w:rPr>
                <w:lang w:val="en-GB"/>
              </w:rPr>
              <w:t xml:space="preserve"> regional development </w:t>
            </w:r>
            <w:r w:rsidR="004A446A">
              <w:rPr>
                <w:lang w:val="en-GB"/>
              </w:rPr>
              <w:t>in</w:t>
            </w:r>
            <w:r w:rsidRPr="00D14C15">
              <w:rPr>
                <w:lang w:val="en-GB"/>
              </w:rPr>
              <w:t xml:space="preserve"> areas that </w:t>
            </w:r>
            <w:r w:rsidR="004A446A">
              <w:rPr>
                <w:lang w:val="en-GB"/>
              </w:rPr>
              <w:t>are not located</w:t>
            </w:r>
            <w:r w:rsidRPr="00D14C15">
              <w:rPr>
                <w:lang w:val="en-GB"/>
              </w:rPr>
              <w:t xml:space="preserve"> next to the </w:t>
            </w:r>
            <w:r w:rsidR="00CD44B6">
              <w:rPr>
                <w:lang w:val="en-GB"/>
              </w:rPr>
              <w:t>motorway network</w:t>
            </w:r>
            <w:r w:rsidRPr="00D14C15">
              <w:rPr>
                <w:lang w:val="en-GB"/>
              </w:rPr>
              <w:t xml:space="preserve">. Poor accessibility and higher transport costs make </w:t>
            </w:r>
            <w:r w:rsidR="00CD44B6">
              <w:rPr>
                <w:lang w:val="en-GB"/>
              </w:rPr>
              <w:t xml:space="preserve">such </w:t>
            </w:r>
            <w:r w:rsidRPr="00D14C15">
              <w:rPr>
                <w:lang w:val="en-GB"/>
              </w:rPr>
              <w:t xml:space="preserve">areas uncompetitive. </w:t>
            </w:r>
            <w:r w:rsidR="00CD44B6">
              <w:rPr>
                <w:lang w:val="en-GB"/>
              </w:rPr>
              <w:t>B</w:t>
            </w:r>
            <w:r w:rsidRPr="00D14C15">
              <w:rPr>
                <w:lang w:val="en-GB"/>
              </w:rPr>
              <w:t xml:space="preserve">ottlenecks and </w:t>
            </w:r>
            <w:r w:rsidR="00594B10">
              <w:rPr>
                <w:lang w:val="en-GB"/>
              </w:rPr>
              <w:t xml:space="preserve">road </w:t>
            </w:r>
            <w:r w:rsidRPr="00D14C15">
              <w:rPr>
                <w:lang w:val="en-GB"/>
              </w:rPr>
              <w:t>congestion</w:t>
            </w:r>
            <w:r w:rsidR="00594B10">
              <w:rPr>
                <w:lang w:val="en-GB"/>
              </w:rPr>
              <w:t>s</w:t>
            </w:r>
            <w:r w:rsidRPr="00D14C15">
              <w:rPr>
                <w:lang w:val="en-GB"/>
              </w:rPr>
              <w:t xml:space="preserve"> </w:t>
            </w:r>
            <w:r w:rsidR="00CD44B6">
              <w:rPr>
                <w:lang w:val="en-GB"/>
              </w:rPr>
              <w:t>need to be addressed</w:t>
            </w:r>
            <w:r w:rsidRPr="00D14C15">
              <w:rPr>
                <w:lang w:val="en-GB"/>
              </w:rPr>
              <w:t xml:space="preserve">, </w:t>
            </w:r>
            <w:r w:rsidR="00CD44B6">
              <w:rPr>
                <w:lang w:val="en-GB"/>
              </w:rPr>
              <w:t xml:space="preserve">as well as </w:t>
            </w:r>
            <w:r w:rsidRPr="00D14C15">
              <w:rPr>
                <w:lang w:val="en-GB"/>
              </w:rPr>
              <w:t>ensur</w:t>
            </w:r>
            <w:r w:rsidR="00CD44B6">
              <w:rPr>
                <w:lang w:val="en-GB"/>
              </w:rPr>
              <w:t>ing</w:t>
            </w:r>
            <w:r w:rsidRPr="00D14C15">
              <w:rPr>
                <w:lang w:val="en-GB"/>
              </w:rPr>
              <w:t xml:space="preserve"> greater safety, </w:t>
            </w:r>
            <w:r w:rsidR="00CD44B6">
              <w:rPr>
                <w:lang w:val="en-GB"/>
              </w:rPr>
              <w:t>r</w:t>
            </w:r>
            <w:r w:rsidRPr="00D14C15">
              <w:rPr>
                <w:lang w:val="en-GB"/>
              </w:rPr>
              <w:t>educ</w:t>
            </w:r>
            <w:r w:rsidR="00CD44B6">
              <w:rPr>
                <w:lang w:val="en-GB"/>
              </w:rPr>
              <w:t>ing</w:t>
            </w:r>
            <w:r w:rsidRPr="00D14C15">
              <w:rPr>
                <w:lang w:val="en-GB"/>
              </w:rPr>
              <w:t xml:space="preserve"> negative environmental impacts</w:t>
            </w:r>
            <w:r w:rsidR="00594B10">
              <w:rPr>
                <w:lang w:val="en-GB"/>
              </w:rPr>
              <w:t>,</w:t>
            </w:r>
            <w:r w:rsidRPr="00D14C15">
              <w:rPr>
                <w:lang w:val="en-GB"/>
              </w:rPr>
              <w:t xml:space="preserve"> </w:t>
            </w:r>
            <w:r w:rsidR="00CD44B6">
              <w:rPr>
                <w:lang w:val="en-GB"/>
              </w:rPr>
              <w:t>enhancing</w:t>
            </w:r>
            <w:r w:rsidRPr="00D14C15">
              <w:rPr>
                <w:lang w:val="en-GB"/>
              </w:rPr>
              <w:t xml:space="preserve"> accessibility, and </w:t>
            </w:r>
            <w:r w:rsidR="00CD44B6">
              <w:rPr>
                <w:lang w:val="en-GB"/>
              </w:rPr>
              <w:t>i</w:t>
            </w:r>
            <w:r w:rsidRPr="00D14C15">
              <w:rPr>
                <w:lang w:val="en-GB"/>
              </w:rPr>
              <w:t>mprov</w:t>
            </w:r>
            <w:r w:rsidR="00CD44B6">
              <w:rPr>
                <w:lang w:val="en-GB"/>
              </w:rPr>
              <w:t>ing public passenger transport</w:t>
            </w:r>
            <w:r w:rsidRPr="00D14C15">
              <w:rPr>
                <w:lang w:val="en-GB"/>
              </w:rPr>
              <w:t xml:space="preserve"> </w:t>
            </w:r>
            <w:r w:rsidR="00CD44B6">
              <w:rPr>
                <w:lang w:val="en-GB"/>
              </w:rPr>
              <w:t>due to</w:t>
            </w:r>
            <w:r w:rsidRPr="00D14C15">
              <w:rPr>
                <w:lang w:val="en-GB"/>
              </w:rPr>
              <w:t xml:space="preserve"> mobility poverty. In Slovenia, household </w:t>
            </w:r>
            <w:r w:rsidR="00CD44B6">
              <w:rPr>
                <w:lang w:val="en-GB"/>
              </w:rPr>
              <w:t>cost for</w:t>
            </w:r>
            <w:r w:rsidR="00CD44B6" w:rsidRPr="00D14C15">
              <w:rPr>
                <w:lang w:val="en-GB"/>
              </w:rPr>
              <w:t xml:space="preserve"> </w:t>
            </w:r>
            <w:r w:rsidRPr="00D14C15">
              <w:rPr>
                <w:lang w:val="en-GB"/>
              </w:rPr>
              <w:t xml:space="preserve">transport represent </w:t>
            </w:r>
            <w:r w:rsidR="00CD44B6">
              <w:rPr>
                <w:lang w:val="en-GB"/>
              </w:rPr>
              <w:t>are the</w:t>
            </w:r>
            <w:r w:rsidRPr="00D14C15">
              <w:rPr>
                <w:lang w:val="en-GB"/>
              </w:rPr>
              <w:t xml:space="preserve"> highest </w:t>
            </w:r>
            <w:r w:rsidR="00CD44B6">
              <w:rPr>
                <w:lang w:val="en-GB"/>
              </w:rPr>
              <w:t>compared to other</w:t>
            </w:r>
            <w:r w:rsidRPr="00D14C15">
              <w:rPr>
                <w:lang w:val="en-GB"/>
              </w:rPr>
              <w:t xml:space="preserve"> </w:t>
            </w:r>
            <w:r w:rsidR="00594B10">
              <w:rPr>
                <w:lang w:val="en-GB"/>
              </w:rPr>
              <w:t xml:space="preserve">EU </w:t>
            </w:r>
            <w:r w:rsidR="00CD44B6">
              <w:rPr>
                <w:lang w:val="en-GB"/>
              </w:rPr>
              <w:t>Member States</w:t>
            </w:r>
            <w:r w:rsidRPr="00CD44B6">
              <w:rPr>
                <w:vertAlign w:val="superscript"/>
                <w:lang w:val="en-GB"/>
              </w:rPr>
              <w:footnoteReference w:id="81"/>
            </w:r>
            <w:r w:rsidRPr="00D14C15">
              <w:rPr>
                <w:lang w:val="en-GB"/>
              </w:rPr>
              <w:t xml:space="preserve">, </w:t>
            </w:r>
            <w:r w:rsidR="00594B10">
              <w:rPr>
                <w:lang w:val="en-GB"/>
              </w:rPr>
              <w:t>and</w:t>
            </w:r>
            <w:r w:rsidRPr="00D14C15">
              <w:rPr>
                <w:lang w:val="en-GB"/>
              </w:rPr>
              <w:t xml:space="preserve"> </w:t>
            </w:r>
            <w:r w:rsidR="00CD44B6" w:rsidRPr="00D14C15">
              <w:rPr>
                <w:lang w:val="en-GB"/>
              </w:rPr>
              <w:t xml:space="preserve">is expected to continue to grow </w:t>
            </w:r>
            <w:r w:rsidRPr="00D14C15">
              <w:rPr>
                <w:lang w:val="en-GB"/>
              </w:rPr>
              <w:t>with the incr</w:t>
            </w:r>
            <w:r w:rsidR="00CD44B6">
              <w:rPr>
                <w:lang w:val="en-GB"/>
              </w:rPr>
              <w:t>ease in energy prices</w:t>
            </w:r>
            <w:r w:rsidRPr="00D14C15">
              <w:rPr>
                <w:lang w:val="en-GB"/>
              </w:rPr>
              <w:t>.</w:t>
            </w:r>
          </w:p>
          <w:p w14:paraId="1E58438A" w14:textId="77777777" w:rsidR="0076298E" w:rsidRPr="00D14C15" w:rsidRDefault="0076298E">
            <w:pPr>
              <w:pStyle w:val="TableParagraph"/>
              <w:ind w:left="104" w:right="67"/>
              <w:jc w:val="both"/>
              <w:rPr>
                <w:lang w:val="en-GB"/>
              </w:rPr>
            </w:pPr>
          </w:p>
          <w:p w14:paraId="3B23CE7D" w14:textId="77777777" w:rsidR="0076298E" w:rsidRPr="00D14C15" w:rsidRDefault="00CD44B6">
            <w:pPr>
              <w:pStyle w:val="TableParagraph"/>
              <w:ind w:left="104" w:right="67"/>
              <w:jc w:val="both"/>
              <w:rPr>
                <w:lang w:val="en-GB"/>
              </w:rPr>
            </w:pPr>
            <w:r>
              <w:rPr>
                <w:lang w:val="en-GB"/>
              </w:rPr>
              <w:lastRenderedPageBreak/>
              <w:t xml:space="preserve">Improving </w:t>
            </w:r>
            <w:r w:rsidRPr="00D14C15">
              <w:rPr>
                <w:lang w:val="en-GB"/>
              </w:rPr>
              <w:t>the national</w:t>
            </w:r>
            <w:r>
              <w:rPr>
                <w:lang w:val="en-GB"/>
              </w:rPr>
              <w:t xml:space="preserve"> </w:t>
            </w:r>
            <w:r w:rsidRPr="00D14C15">
              <w:rPr>
                <w:lang w:val="en-GB"/>
              </w:rPr>
              <w:t>cycling network</w:t>
            </w:r>
            <w:r w:rsidRPr="00D14C15">
              <w:rPr>
                <w:rStyle w:val="Sprotnaopomba-sklic"/>
                <w:lang w:val="en-GB"/>
              </w:rPr>
              <w:footnoteReference w:id="82"/>
            </w:r>
            <w:r w:rsidRPr="00D14C15">
              <w:rPr>
                <w:lang w:val="en-GB"/>
              </w:rPr>
              <w:t xml:space="preserve">, especially in wider urban areas, </w:t>
            </w:r>
            <w:r>
              <w:rPr>
                <w:lang w:val="en-GB"/>
              </w:rPr>
              <w:t xml:space="preserve">can add to enhancing </w:t>
            </w:r>
            <w:r w:rsidR="0032633A" w:rsidRPr="00D14C15">
              <w:rPr>
                <w:lang w:val="en-GB"/>
              </w:rPr>
              <w:t xml:space="preserve">sustainable </w:t>
            </w:r>
            <w:r>
              <w:rPr>
                <w:lang w:val="en-GB"/>
              </w:rPr>
              <w:t>mobility. The</w:t>
            </w:r>
            <w:r w:rsidR="0032633A" w:rsidRPr="00D14C15">
              <w:rPr>
                <w:lang w:val="en-GB"/>
              </w:rPr>
              <w:t xml:space="preserve"> needs in cities and regions are identified in the municipal </w:t>
            </w:r>
            <w:r>
              <w:rPr>
                <w:lang w:val="en-GB"/>
              </w:rPr>
              <w:t>integrated transport strategies</w:t>
            </w:r>
            <w:r w:rsidR="0032633A" w:rsidRPr="00D14C15">
              <w:rPr>
                <w:lang w:val="en-GB"/>
              </w:rPr>
              <w:t>.</w:t>
            </w:r>
            <w:r w:rsidR="0032633A" w:rsidRPr="00D14C15">
              <w:rPr>
                <w:rStyle w:val="Sprotnaopomba-sklic"/>
                <w:lang w:val="en-GB"/>
              </w:rPr>
              <w:footnoteReference w:id="83"/>
            </w:r>
            <w:r w:rsidR="0032633A" w:rsidRPr="00D14C15">
              <w:rPr>
                <w:lang w:val="en-GB"/>
              </w:rPr>
              <w:t xml:space="preserve"> In </w:t>
            </w:r>
            <w:r w:rsidR="0059056F" w:rsidRPr="00D14C15">
              <w:rPr>
                <w:lang w:val="en-GB"/>
              </w:rPr>
              <w:t>2017</w:t>
            </w:r>
            <w:r w:rsidR="0059056F">
              <w:rPr>
                <w:lang w:val="en-GB"/>
              </w:rPr>
              <w:t>, 5</w:t>
            </w:r>
            <w:r w:rsidR="0032633A" w:rsidRPr="00D14C15">
              <w:rPr>
                <w:lang w:val="en-GB"/>
              </w:rPr>
              <w:t xml:space="preserve">% of all journeys </w:t>
            </w:r>
            <w:r w:rsidR="0059056F">
              <w:rPr>
                <w:lang w:val="en-GB"/>
              </w:rPr>
              <w:t>during the</w:t>
            </w:r>
            <w:r w:rsidR="0032633A" w:rsidRPr="00D14C15">
              <w:rPr>
                <w:lang w:val="en-GB"/>
              </w:rPr>
              <w:t xml:space="preserve"> working day were made by bicycle, and for shorter routes (</w:t>
            </w:r>
            <w:r w:rsidR="0059056F">
              <w:rPr>
                <w:lang w:val="en-GB"/>
              </w:rPr>
              <w:t>from</w:t>
            </w:r>
            <w:r w:rsidR="0032633A" w:rsidRPr="00D14C15">
              <w:rPr>
                <w:lang w:val="en-GB"/>
              </w:rPr>
              <w:t xml:space="preserve"> 1 </w:t>
            </w:r>
            <w:r w:rsidR="0059056F">
              <w:rPr>
                <w:lang w:val="en-GB"/>
              </w:rPr>
              <w:t>to 2.5 km) 8</w:t>
            </w:r>
            <w:r w:rsidR="0032633A" w:rsidRPr="00D14C15">
              <w:rPr>
                <w:lang w:val="en-GB"/>
              </w:rPr>
              <w:t>%.</w:t>
            </w:r>
            <w:r w:rsidR="0032633A" w:rsidRPr="0059056F">
              <w:rPr>
                <w:vertAlign w:val="superscript"/>
                <w:lang w:val="en-GB"/>
              </w:rPr>
              <w:footnoteReference w:id="84"/>
            </w:r>
            <w:r w:rsidR="0048385D">
              <w:rPr>
                <w:lang w:val="en-GB"/>
              </w:rPr>
              <w:t xml:space="preserve"> Bicycles can be used for</w:t>
            </w:r>
            <w:r w:rsidR="0032633A" w:rsidRPr="00D14C15">
              <w:rPr>
                <w:lang w:val="en-GB"/>
              </w:rPr>
              <w:t xml:space="preserve"> shorter distances for commuting to work</w:t>
            </w:r>
            <w:r w:rsidR="00594B10">
              <w:rPr>
                <w:lang w:val="en-GB"/>
              </w:rPr>
              <w:t>places</w:t>
            </w:r>
            <w:r w:rsidR="0032633A" w:rsidRPr="00D14C15">
              <w:rPr>
                <w:lang w:val="en-GB"/>
              </w:rPr>
              <w:t xml:space="preserve">, school, shopping, and </w:t>
            </w:r>
            <w:r w:rsidR="0048385D">
              <w:rPr>
                <w:lang w:val="en-GB"/>
              </w:rPr>
              <w:t>for</w:t>
            </w:r>
            <w:r w:rsidR="0032633A" w:rsidRPr="00D14C15">
              <w:rPr>
                <w:lang w:val="en-GB"/>
              </w:rPr>
              <w:t xml:space="preserve"> longer distances as part of intermodal bike-</w:t>
            </w:r>
            <w:r w:rsidR="0048385D">
              <w:rPr>
                <w:lang w:val="en-GB"/>
              </w:rPr>
              <w:t>public passenger transport</w:t>
            </w:r>
            <w:r w:rsidR="0032633A" w:rsidRPr="00D14C15">
              <w:rPr>
                <w:lang w:val="en-GB"/>
              </w:rPr>
              <w:t xml:space="preserve">-bike routes. Accessibility to railway stations is crucial as rail can </w:t>
            </w:r>
            <w:r w:rsidR="0048385D">
              <w:rPr>
                <w:lang w:val="en-GB"/>
              </w:rPr>
              <w:t>be</w:t>
            </w:r>
            <w:r w:rsidR="0032633A" w:rsidRPr="00D14C15">
              <w:rPr>
                <w:lang w:val="en-GB"/>
              </w:rPr>
              <w:t xml:space="preserve"> </w:t>
            </w:r>
            <w:r w:rsidR="0048385D">
              <w:rPr>
                <w:lang w:val="en-GB"/>
              </w:rPr>
              <w:t>the</w:t>
            </w:r>
            <w:r w:rsidR="0032633A" w:rsidRPr="00D14C15">
              <w:rPr>
                <w:lang w:val="en-GB"/>
              </w:rPr>
              <w:t xml:space="preserve"> backbone transport network that will not reach passengers’ without a power grid. In Slovenia, cycling connections are not properly arranged, </w:t>
            </w:r>
            <w:r w:rsidR="00FB2891">
              <w:rPr>
                <w:lang w:val="en-GB"/>
              </w:rPr>
              <w:t>thus</w:t>
            </w:r>
            <w:r w:rsidR="001C6F39">
              <w:rPr>
                <w:lang w:val="en-GB"/>
              </w:rPr>
              <w:t>,</w:t>
            </w:r>
            <w:r w:rsidR="00FB2891">
              <w:rPr>
                <w:lang w:val="en-GB"/>
              </w:rPr>
              <w:t xml:space="preserve"> not </w:t>
            </w:r>
            <w:r w:rsidR="0032633A" w:rsidRPr="00D14C15">
              <w:rPr>
                <w:lang w:val="en-GB"/>
              </w:rPr>
              <w:t>guarantee</w:t>
            </w:r>
            <w:r w:rsidR="00FB2891">
              <w:rPr>
                <w:lang w:val="en-GB"/>
              </w:rPr>
              <w:t>ing</w:t>
            </w:r>
            <w:r w:rsidR="0032633A" w:rsidRPr="00D14C15">
              <w:rPr>
                <w:lang w:val="en-GB"/>
              </w:rPr>
              <w:t xml:space="preserve"> adequate safety and comfort for all road users.</w:t>
            </w:r>
          </w:p>
          <w:p w14:paraId="67B56494" w14:textId="77777777" w:rsidR="0076298E" w:rsidRPr="00D14C15" w:rsidRDefault="0076298E">
            <w:pPr>
              <w:pStyle w:val="TableParagraph"/>
              <w:ind w:left="104" w:right="67"/>
              <w:jc w:val="both"/>
              <w:rPr>
                <w:rFonts w:cstheme="minorHAnsi"/>
                <w:lang w:val="en-GB"/>
              </w:rPr>
            </w:pPr>
          </w:p>
          <w:p w14:paraId="34E0736F" w14:textId="77777777" w:rsidR="0076298E" w:rsidRPr="00D14C15" w:rsidRDefault="0032633A">
            <w:pPr>
              <w:pStyle w:val="P68B1DB1-TableParagraph8"/>
              <w:ind w:left="104" w:right="67"/>
              <w:jc w:val="both"/>
              <w:rPr>
                <w:lang w:val="en-GB"/>
              </w:rPr>
            </w:pPr>
            <w:r w:rsidRPr="00D14C15">
              <w:rPr>
                <w:lang w:val="en-GB"/>
              </w:rPr>
              <w:t>The problems of regions</w:t>
            </w:r>
            <w:r w:rsidR="001C6F39">
              <w:rPr>
                <w:lang w:val="en-GB"/>
              </w:rPr>
              <w:t xml:space="preserve">, which </w:t>
            </w:r>
            <w:r w:rsidRPr="00D14C15">
              <w:rPr>
                <w:lang w:val="en-GB"/>
              </w:rPr>
              <w:t>fac</w:t>
            </w:r>
            <w:r w:rsidR="001C6F39">
              <w:rPr>
                <w:lang w:val="en-GB"/>
              </w:rPr>
              <w:t>e</w:t>
            </w:r>
            <w:r w:rsidRPr="00D14C15">
              <w:rPr>
                <w:lang w:val="en-GB"/>
              </w:rPr>
              <w:t xml:space="preserve"> connectivity challenges</w:t>
            </w:r>
            <w:r w:rsidR="001C6F39">
              <w:rPr>
                <w:lang w:val="en-GB"/>
              </w:rPr>
              <w:t>,</w:t>
            </w:r>
            <w:r w:rsidRPr="00D14C15">
              <w:rPr>
                <w:lang w:val="en-GB"/>
              </w:rPr>
              <w:t xml:space="preserve"> can </w:t>
            </w:r>
            <w:r w:rsidR="001C6F39">
              <w:rPr>
                <w:lang w:val="en-GB"/>
              </w:rPr>
              <w:t xml:space="preserve">only be </w:t>
            </w:r>
            <w:r w:rsidR="00FB2891">
              <w:rPr>
                <w:lang w:val="en-GB"/>
              </w:rPr>
              <w:t xml:space="preserve">addressed </w:t>
            </w:r>
            <w:r w:rsidRPr="00D14C15">
              <w:rPr>
                <w:lang w:val="en-GB"/>
              </w:rPr>
              <w:t xml:space="preserve">by integrated transport planning and implementation of </w:t>
            </w:r>
            <w:r w:rsidR="00FB2891">
              <w:rPr>
                <w:lang w:val="en-GB"/>
              </w:rPr>
              <w:t xml:space="preserve">measures at regional level </w:t>
            </w:r>
            <w:r w:rsidRPr="00D14C15">
              <w:rPr>
                <w:lang w:val="en-GB"/>
              </w:rPr>
              <w:t>through a regional development approach.</w:t>
            </w:r>
          </w:p>
          <w:p w14:paraId="21B931DB" w14:textId="77777777" w:rsidR="0076298E" w:rsidRPr="00D14C15" w:rsidRDefault="0076298E">
            <w:pPr>
              <w:ind w:left="104" w:right="67"/>
              <w:jc w:val="both"/>
              <w:rPr>
                <w:lang w:val="en-GB"/>
              </w:rPr>
            </w:pPr>
          </w:p>
          <w:p w14:paraId="58BA71CE" w14:textId="77777777" w:rsidR="0076298E" w:rsidRPr="00D14C15" w:rsidRDefault="00AC6618">
            <w:pPr>
              <w:pStyle w:val="TableParagraph"/>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1D61E3E0" w14:textId="77777777" w:rsidTr="00E1518F">
        <w:trPr>
          <w:trHeight w:val="599"/>
        </w:trPr>
        <w:tc>
          <w:tcPr>
            <w:tcW w:w="2268" w:type="dxa"/>
            <w:vMerge w:val="restart"/>
          </w:tcPr>
          <w:p w14:paraId="1505FC96" w14:textId="77777777" w:rsidR="0076298E" w:rsidRPr="00D14C15" w:rsidRDefault="0032633A" w:rsidP="00FB2891">
            <w:pPr>
              <w:pStyle w:val="TableParagraph"/>
              <w:ind w:left="115"/>
              <w:rPr>
                <w:lang w:val="en-GB"/>
              </w:rPr>
            </w:pPr>
            <w:bookmarkStart w:id="7" w:name="_Hlk94786103"/>
            <w:r w:rsidRPr="00D14C15">
              <w:rPr>
                <w:lang w:val="en-GB"/>
              </w:rPr>
              <w:lastRenderedPageBreak/>
              <w:t>CP 4: A more social and inclusive Europe implement</w:t>
            </w:r>
            <w:r w:rsidR="00FB2891">
              <w:rPr>
                <w:lang w:val="en-GB"/>
              </w:rPr>
              <w:t>ing</w:t>
            </w:r>
            <w:r w:rsidRPr="00D14C15">
              <w:rPr>
                <w:lang w:val="en-GB"/>
              </w:rPr>
              <w:t xml:space="preserve"> the European Pillar of Social Rights</w:t>
            </w:r>
            <w:bookmarkEnd w:id="7"/>
          </w:p>
        </w:tc>
        <w:tc>
          <w:tcPr>
            <w:tcW w:w="3119" w:type="dxa"/>
          </w:tcPr>
          <w:p w14:paraId="21B7B3C0" w14:textId="77777777" w:rsidR="0076298E" w:rsidRPr="00D14C15" w:rsidRDefault="00FB2891">
            <w:pPr>
              <w:ind w:left="37"/>
              <w:rPr>
                <w:lang w:val="en-GB"/>
              </w:rPr>
            </w:pPr>
            <w:r>
              <w:rPr>
                <w:lang w:val="en-GB"/>
              </w:rPr>
              <w:t>P</w:t>
            </w:r>
            <w:r w:rsidR="00FD3C17">
              <w:rPr>
                <w:lang w:val="en-GB"/>
              </w:rPr>
              <w:t xml:space="preserve">riority </w:t>
            </w:r>
            <w:r>
              <w:rPr>
                <w:lang w:val="en-GB"/>
              </w:rPr>
              <w:t>6</w:t>
            </w:r>
            <w:r w:rsidR="0032633A" w:rsidRPr="00D14C15">
              <w:rPr>
                <w:lang w:val="en-GB"/>
              </w:rPr>
              <w:t xml:space="preserve">: </w:t>
            </w:r>
            <w:r w:rsidR="0032633A" w:rsidRPr="00545D4E">
              <w:rPr>
                <w:lang w:val="en-GB"/>
              </w:rPr>
              <w:t>Skills and responsive labour market</w:t>
            </w:r>
          </w:p>
          <w:p w14:paraId="1F779B80" w14:textId="77777777" w:rsidR="0076298E" w:rsidRPr="00D14C15" w:rsidRDefault="0076298E">
            <w:pPr>
              <w:ind w:left="37"/>
              <w:rPr>
                <w:lang w:val="en-GB"/>
              </w:rPr>
            </w:pPr>
          </w:p>
          <w:p w14:paraId="4A9553AB" w14:textId="77777777" w:rsidR="0076298E" w:rsidRPr="00D14C15" w:rsidRDefault="00FB2891" w:rsidP="00545D4E">
            <w:pPr>
              <w:ind w:left="37"/>
              <w:rPr>
                <w:lang w:val="en-GB"/>
              </w:rPr>
            </w:pPr>
            <w:r w:rsidRPr="00545D4E">
              <w:rPr>
                <w:lang w:val="en-GB"/>
              </w:rPr>
              <w:t>E</w:t>
            </w:r>
            <w:r w:rsidR="0032633A" w:rsidRPr="00545D4E">
              <w:rPr>
                <w:lang w:val="en-GB"/>
              </w:rPr>
              <w:t>SO4.1:</w:t>
            </w:r>
            <w:r w:rsidR="0032633A" w:rsidRPr="00D14C15">
              <w:rPr>
                <w:lang w:val="en-GB"/>
              </w:rPr>
              <w:t xml:space="preserve"> </w:t>
            </w:r>
            <w:r w:rsidR="00545D4E" w:rsidRPr="00545D4E">
              <w:rPr>
                <w:lang w:val="en-GB"/>
              </w:rPr>
              <w:t xml:space="preserve">Improving access to employment and activation measures for all jobseekers, in particular young people, especially through the implementation of the Youth Guarantee, for long-term unemployed and disadvantaged groups on the labour market, and for inactive people, as well as </w:t>
            </w:r>
            <w:r w:rsidR="00545D4E" w:rsidRPr="00545D4E">
              <w:rPr>
                <w:lang w:val="en-GB"/>
              </w:rPr>
              <w:lastRenderedPageBreak/>
              <w:t>through the promotion of self-employment and the social economy</w:t>
            </w:r>
          </w:p>
        </w:tc>
        <w:tc>
          <w:tcPr>
            <w:tcW w:w="8647" w:type="dxa"/>
          </w:tcPr>
          <w:p w14:paraId="5DB79C9D" w14:textId="77777777" w:rsidR="0076298E" w:rsidRPr="00D14C15" w:rsidRDefault="0032633A">
            <w:pPr>
              <w:pStyle w:val="TableParagraph"/>
              <w:ind w:left="104" w:right="67"/>
              <w:jc w:val="both"/>
              <w:rPr>
                <w:lang w:val="en-GB"/>
              </w:rPr>
            </w:pPr>
            <w:r w:rsidRPr="00D14C15">
              <w:rPr>
                <w:lang w:val="en-GB"/>
              </w:rPr>
              <w:lastRenderedPageBreak/>
              <w:t xml:space="preserve">The </w:t>
            </w:r>
            <w:r w:rsidR="00AD717F">
              <w:rPr>
                <w:rFonts w:eastAsia="Calibri"/>
                <w:lang w:val="en-GB"/>
              </w:rPr>
              <w:t>COVID</w:t>
            </w:r>
            <w:r w:rsidRPr="00D14C15">
              <w:rPr>
                <w:lang w:val="en-GB"/>
              </w:rPr>
              <w:t>-19 epidemic halted favourable labour market trends</w:t>
            </w:r>
            <w:r w:rsidR="001C6F39">
              <w:rPr>
                <w:lang w:val="en-GB"/>
              </w:rPr>
              <w:t>.</w:t>
            </w:r>
            <w:r w:rsidR="00977086" w:rsidRPr="00977086">
              <w:rPr>
                <w:vertAlign w:val="superscript"/>
                <w:lang w:val="en-GB"/>
              </w:rPr>
              <w:footnoteReference w:id="85"/>
            </w:r>
            <w:r w:rsidRPr="00D14C15">
              <w:rPr>
                <w:lang w:val="en-GB"/>
              </w:rPr>
              <w:t xml:space="preserve"> </w:t>
            </w:r>
            <w:r w:rsidR="001C6F39">
              <w:rPr>
                <w:lang w:val="en-GB"/>
              </w:rPr>
              <w:t>W</w:t>
            </w:r>
            <w:r w:rsidR="00977086">
              <w:rPr>
                <w:lang w:val="en-GB"/>
              </w:rPr>
              <w:t>e can expect</w:t>
            </w:r>
            <w:r w:rsidRPr="00D14C15">
              <w:rPr>
                <w:lang w:val="en-GB"/>
              </w:rPr>
              <w:t xml:space="preserve"> </w:t>
            </w:r>
            <w:r w:rsidR="00977086">
              <w:rPr>
                <w:lang w:val="en-GB"/>
              </w:rPr>
              <w:t>such trends to pick up and</w:t>
            </w:r>
            <w:r w:rsidRPr="00D14C15">
              <w:rPr>
                <w:lang w:val="en-GB"/>
              </w:rPr>
              <w:t xml:space="preserve"> continue in the future </w:t>
            </w:r>
            <w:r w:rsidR="00977086">
              <w:rPr>
                <w:lang w:val="en-GB"/>
              </w:rPr>
              <w:t xml:space="preserve">with </w:t>
            </w:r>
            <w:r w:rsidRPr="00D14C15">
              <w:rPr>
                <w:lang w:val="en-GB"/>
              </w:rPr>
              <w:t xml:space="preserve">demographic trends </w:t>
            </w:r>
            <w:r w:rsidR="00977086">
              <w:rPr>
                <w:lang w:val="en-GB"/>
              </w:rPr>
              <w:t>possibly</w:t>
            </w:r>
            <w:r w:rsidRPr="00D14C15">
              <w:rPr>
                <w:lang w:val="en-GB"/>
              </w:rPr>
              <w:t xml:space="preserve"> limit</w:t>
            </w:r>
            <w:r w:rsidR="00977086">
              <w:rPr>
                <w:lang w:val="en-GB"/>
              </w:rPr>
              <w:t>ing</w:t>
            </w:r>
            <w:r w:rsidRPr="00D14C15">
              <w:rPr>
                <w:lang w:val="en-GB"/>
              </w:rPr>
              <w:t xml:space="preserve"> labour availability</w:t>
            </w:r>
            <w:r w:rsidRPr="00D14C15">
              <w:rPr>
                <w:rStyle w:val="Sprotnaopomba-sklic"/>
                <w:lang w:val="en-GB"/>
              </w:rPr>
              <w:footnoteReference w:id="86"/>
            </w:r>
            <w:r w:rsidRPr="00D14C15">
              <w:rPr>
                <w:lang w:val="en-GB"/>
              </w:rPr>
              <w:t xml:space="preserve">. On the basis of regular reports on </w:t>
            </w:r>
            <w:r w:rsidR="00977086">
              <w:rPr>
                <w:lang w:val="en-GB"/>
              </w:rPr>
              <w:t>Slovenia’s implementation of</w:t>
            </w:r>
            <w:r w:rsidRPr="00D14C15">
              <w:rPr>
                <w:lang w:val="en-GB"/>
              </w:rPr>
              <w:t xml:space="preserve"> labour market measures</w:t>
            </w:r>
            <w:r w:rsidR="00977086" w:rsidRPr="00D14C15">
              <w:rPr>
                <w:rStyle w:val="Sprotnaopomba-sklic"/>
                <w:lang w:val="en-GB"/>
              </w:rPr>
              <w:footnoteReference w:id="87"/>
            </w:r>
            <w:r w:rsidRPr="00D14C15">
              <w:rPr>
                <w:lang w:val="en-GB"/>
              </w:rPr>
              <w:t>, the measures are being adjusted to ensure maximum eff</w:t>
            </w:r>
            <w:r w:rsidR="00977086">
              <w:rPr>
                <w:lang w:val="en-GB"/>
              </w:rPr>
              <w:t>ect</w:t>
            </w:r>
            <w:r w:rsidRPr="00D14C15">
              <w:rPr>
                <w:lang w:val="en-GB"/>
              </w:rPr>
              <w:t xml:space="preserve">. Active employment policy measures should focus on ensuring an inclusive and responsive labour market and </w:t>
            </w:r>
            <w:r w:rsidR="00977086">
              <w:rPr>
                <w:lang w:val="en-GB"/>
              </w:rPr>
              <w:t xml:space="preserve">should be </w:t>
            </w:r>
            <w:r w:rsidRPr="00D14C15">
              <w:rPr>
                <w:lang w:val="en-GB"/>
              </w:rPr>
              <w:t xml:space="preserve">targeted at mitigating the impact of crises and reducing structural disparities. </w:t>
            </w:r>
          </w:p>
          <w:p w14:paraId="6800168A" w14:textId="77777777" w:rsidR="0076298E" w:rsidRPr="00D14C15" w:rsidRDefault="0076298E">
            <w:pPr>
              <w:pStyle w:val="TableParagraph"/>
              <w:ind w:left="104" w:right="67"/>
              <w:jc w:val="both"/>
              <w:rPr>
                <w:lang w:val="en-GB"/>
              </w:rPr>
            </w:pPr>
          </w:p>
          <w:p w14:paraId="666D8E5D" w14:textId="77777777" w:rsidR="0076298E" w:rsidRPr="00D14C15" w:rsidRDefault="00360033">
            <w:pPr>
              <w:pStyle w:val="TableParagraph"/>
              <w:ind w:left="104" w:right="67"/>
              <w:jc w:val="both"/>
              <w:rPr>
                <w:lang w:val="en-GB"/>
              </w:rPr>
            </w:pPr>
            <w:r>
              <w:rPr>
                <w:lang w:val="en-GB"/>
              </w:rPr>
              <w:t xml:space="preserve">Data from </w:t>
            </w:r>
            <w:r w:rsidRPr="00D14C15">
              <w:rPr>
                <w:lang w:val="en-GB"/>
              </w:rPr>
              <w:t>March 2022</w:t>
            </w:r>
            <w:r>
              <w:rPr>
                <w:lang w:val="en-GB"/>
              </w:rPr>
              <w:t xml:space="preserve"> show that a</w:t>
            </w:r>
            <w:r w:rsidR="0032633A" w:rsidRPr="00D14C15">
              <w:rPr>
                <w:lang w:val="en-GB"/>
              </w:rPr>
              <w:t>mong the long-term unemployed</w:t>
            </w:r>
            <w:r>
              <w:rPr>
                <w:lang w:val="en-GB"/>
              </w:rPr>
              <w:t xml:space="preserve">, which is slightly higher </w:t>
            </w:r>
            <w:r w:rsidR="0032633A" w:rsidRPr="00D14C15">
              <w:rPr>
                <w:lang w:val="en-GB"/>
              </w:rPr>
              <w:t xml:space="preserve">in </w:t>
            </w:r>
            <w:r w:rsidR="006D642C">
              <w:rPr>
                <w:lang w:val="en-GB"/>
              </w:rPr>
              <w:t>the Eastern Slovenia cohesion region</w:t>
            </w:r>
            <w:r w:rsidR="006D642C" w:rsidRPr="00D14C15">
              <w:rPr>
                <w:lang w:val="en-GB"/>
              </w:rPr>
              <w:t xml:space="preserve"> </w:t>
            </w:r>
            <w:r w:rsidR="0032633A" w:rsidRPr="00D14C15">
              <w:rPr>
                <w:lang w:val="en-GB"/>
              </w:rPr>
              <w:t xml:space="preserve">(57.1%) than in the </w:t>
            </w:r>
            <w:r w:rsidR="006D642C">
              <w:rPr>
                <w:rFonts w:eastAsia="Calibri"/>
                <w:lang w:val="en-GB"/>
              </w:rPr>
              <w:t>Western Slovenia cohesion region</w:t>
            </w:r>
            <w:r w:rsidR="006D642C" w:rsidRPr="00D14C15">
              <w:rPr>
                <w:lang w:val="en-GB"/>
              </w:rPr>
              <w:t xml:space="preserve"> </w:t>
            </w:r>
            <w:r w:rsidR="0032633A" w:rsidRPr="00D14C15">
              <w:rPr>
                <w:lang w:val="en-GB"/>
              </w:rPr>
              <w:t xml:space="preserve">(42.6%), </w:t>
            </w:r>
            <w:r w:rsidRPr="00D14C15">
              <w:rPr>
                <w:lang w:val="en-GB"/>
              </w:rPr>
              <w:t>44.7%</w:t>
            </w:r>
            <w:r>
              <w:rPr>
                <w:lang w:val="en-GB"/>
              </w:rPr>
              <w:t xml:space="preserve"> are above 50 years old, 34.9%</w:t>
            </w:r>
            <w:r w:rsidR="0032633A" w:rsidRPr="00D14C15">
              <w:rPr>
                <w:lang w:val="en-GB"/>
              </w:rPr>
              <w:t xml:space="preserve"> </w:t>
            </w:r>
            <w:r>
              <w:rPr>
                <w:lang w:val="en-GB"/>
              </w:rPr>
              <w:t>are</w:t>
            </w:r>
            <w:r w:rsidR="0032633A" w:rsidRPr="00D14C15">
              <w:rPr>
                <w:lang w:val="en-GB"/>
              </w:rPr>
              <w:t xml:space="preserve"> peop</w:t>
            </w:r>
            <w:r>
              <w:rPr>
                <w:lang w:val="en-GB"/>
              </w:rPr>
              <w:t xml:space="preserve">le with primary education, 22.5% are people with disabilities, </w:t>
            </w:r>
            <w:r w:rsidR="0032633A" w:rsidRPr="00D14C15">
              <w:rPr>
                <w:lang w:val="en-GB"/>
              </w:rPr>
              <w:t xml:space="preserve">and </w:t>
            </w:r>
            <w:r>
              <w:rPr>
                <w:lang w:val="en-GB"/>
              </w:rPr>
              <w:t xml:space="preserve">12.3% are </w:t>
            </w:r>
            <w:r w:rsidR="0032633A" w:rsidRPr="00D14C15">
              <w:rPr>
                <w:lang w:val="en-GB"/>
              </w:rPr>
              <w:t xml:space="preserve">young people. </w:t>
            </w:r>
            <w:r>
              <w:rPr>
                <w:lang w:val="en-GB"/>
              </w:rPr>
              <w:t>Drawing from</w:t>
            </w:r>
            <w:r w:rsidR="0032633A" w:rsidRPr="00D14C15">
              <w:rPr>
                <w:lang w:val="en-GB"/>
              </w:rPr>
              <w:t xml:space="preserve"> </w:t>
            </w:r>
            <w:r w:rsidR="001C6F39">
              <w:rPr>
                <w:lang w:val="en-GB"/>
              </w:rPr>
              <w:t xml:space="preserve">past </w:t>
            </w:r>
            <w:r w:rsidR="0032633A" w:rsidRPr="00D14C15">
              <w:rPr>
                <w:lang w:val="en-GB"/>
              </w:rPr>
              <w:t xml:space="preserve">experience with the implementation of the measures, </w:t>
            </w:r>
            <w:r>
              <w:rPr>
                <w:lang w:val="en-GB"/>
              </w:rPr>
              <w:t>the long-term unemployed</w:t>
            </w:r>
            <w:r w:rsidR="0032633A" w:rsidRPr="00D14C15">
              <w:rPr>
                <w:lang w:val="en-GB"/>
              </w:rPr>
              <w:t xml:space="preserve"> need more support in training and </w:t>
            </w:r>
            <w:r w:rsidR="0032633A" w:rsidRPr="00D14C15">
              <w:rPr>
                <w:lang w:val="en-GB"/>
              </w:rPr>
              <w:lastRenderedPageBreak/>
              <w:t xml:space="preserve">education in order to acquire </w:t>
            </w:r>
            <w:r>
              <w:rPr>
                <w:lang w:val="en-GB"/>
              </w:rPr>
              <w:t>adequate skills</w:t>
            </w:r>
            <w:r w:rsidR="0032633A" w:rsidRPr="00D14C15">
              <w:rPr>
                <w:lang w:val="en-GB"/>
              </w:rPr>
              <w:t xml:space="preserve"> </w:t>
            </w:r>
            <w:r>
              <w:rPr>
                <w:lang w:val="en-GB"/>
              </w:rPr>
              <w:t>for meeting</w:t>
            </w:r>
            <w:r w:rsidR="0032633A" w:rsidRPr="00D14C15">
              <w:rPr>
                <w:lang w:val="en-GB"/>
              </w:rPr>
              <w:t xml:space="preserve"> the needs of </w:t>
            </w:r>
            <w:r>
              <w:rPr>
                <w:lang w:val="en-GB"/>
              </w:rPr>
              <w:t xml:space="preserve">local </w:t>
            </w:r>
            <w:r w:rsidR="0032633A" w:rsidRPr="00D14C15">
              <w:rPr>
                <w:lang w:val="en-GB"/>
              </w:rPr>
              <w:t>employers.</w:t>
            </w:r>
            <w:r w:rsidR="0032633A" w:rsidRPr="00D14C15">
              <w:rPr>
                <w:rStyle w:val="Sprotnaopomba-sklic"/>
                <w:lang w:val="en-GB"/>
              </w:rPr>
              <w:footnoteReference w:id="88"/>
            </w:r>
          </w:p>
          <w:p w14:paraId="13FB64A6" w14:textId="77777777" w:rsidR="0076298E" w:rsidRPr="00D14C15" w:rsidRDefault="0076298E">
            <w:pPr>
              <w:pStyle w:val="TableParagraph"/>
              <w:ind w:left="104" w:right="67"/>
              <w:jc w:val="both"/>
              <w:rPr>
                <w:lang w:val="en-GB"/>
              </w:rPr>
            </w:pPr>
          </w:p>
          <w:p w14:paraId="2E50E622" w14:textId="77777777" w:rsidR="0076298E" w:rsidRPr="00D14C15" w:rsidRDefault="0032633A">
            <w:pPr>
              <w:pStyle w:val="TableParagraph"/>
              <w:ind w:left="104" w:right="67"/>
              <w:jc w:val="both"/>
              <w:rPr>
                <w:lang w:val="en-GB"/>
              </w:rPr>
            </w:pPr>
            <w:r w:rsidRPr="00D14C15">
              <w:rPr>
                <w:lang w:val="en-GB"/>
              </w:rPr>
              <w:t xml:space="preserve">The </w:t>
            </w:r>
            <w:r w:rsidR="00C72CDB">
              <w:rPr>
                <w:lang w:val="en-GB"/>
              </w:rPr>
              <w:t>number</w:t>
            </w:r>
            <w:r w:rsidRPr="00D14C15">
              <w:rPr>
                <w:lang w:val="en-GB"/>
              </w:rPr>
              <w:t xml:space="preserve"> of people at risk of </w:t>
            </w:r>
            <w:r w:rsidR="00C72CDB">
              <w:rPr>
                <w:lang w:val="en-GB"/>
              </w:rPr>
              <w:t>losing their job</w:t>
            </w:r>
            <w:r w:rsidRPr="00D14C15">
              <w:rPr>
                <w:lang w:val="en-GB"/>
              </w:rPr>
              <w:t xml:space="preserve"> has been increasing</w:t>
            </w:r>
            <w:r w:rsidR="00C72CDB">
              <w:rPr>
                <w:lang w:val="en-GB"/>
              </w:rPr>
              <w:t>. At the end of 2018, 16.1</w:t>
            </w:r>
            <w:r w:rsidRPr="00D14C15">
              <w:rPr>
                <w:lang w:val="en-GB"/>
              </w:rPr>
              <w:t xml:space="preserve">% of </w:t>
            </w:r>
            <w:r w:rsidR="00C72CDB" w:rsidRPr="00D14C15">
              <w:rPr>
                <w:lang w:val="en-GB"/>
              </w:rPr>
              <w:t>register</w:t>
            </w:r>
            <w:r w:rsidR="001C6F39">
              <w:rPr>
                <w:lang w:val="en-GB"/>
              </w:rPr>
              <w:t>ed</w:t>
            </w:r>
            <w:r w:rsidR="00C72CDB" w:rsidRPr="00D14C15">
              <w:rPr>
                <w:lang w:val="en-GB"/>
              </w:rPr>
              <w:t xml:space="preserve"> </w:t>
            </w:r>
            <w:r w:rsidRPr="00D14C15">
              <w:rPr>
                <w:lang w:val="en-GB"/>
              </w:rPr>
              <w:t>jobseekers</w:t>
            </w:r>
            <w:r w:rsidR="00C72CDB">
              <w:rPr>
                <w:lang w:val="en-GB"/>
              </w:rPr>
              <w:t xml:space="preserve"> were employees at risk of losing their job</w:t>
            </w:r>
            <w:r w:rsidRPr="00D14C15">
              <w:rPr>
                <w:lang w:val="en-GB"/>
              </w:rPr>
              <w:t>,</w:t>
            </w:r>
            <w:r w:rsidR="00C72CDB">
              <w:rPr>
                <w:lang w:val="en-GB"/>
              </w:rPr>
              <w:t xml:space="preserve"> with the number rising to over</w:t>
            </w:r>
            <w:r w:rsidRPr="00D14C15">
              <w:rPr>
                <w:lang w:val="en-GB"/>
              </w:rPr>
              <w:t xml:space="preserve"> 20% at the end of 2019. Faster activation of redundant workers </w:t>
            </w:r>
            <w:r w:rsidR="001C6F39">
              <w:rPr>
                <w:lang w:val="en-GB"/>
              </w:rPr>
              <w:t xml:space="preserve">would help </w:t>
            </w:r>
            <w:r w:rsidRPr="00D14C15">
              <w:rPr>
                <w:lang w:val="en-GB"/>
              </w:rPr>
              <w:t xml:space="preserve">maintain work capacity and </w:t>
            </w:r>
            <w:r w:rsidR="00C72CDB" w:rsidRPr="00D14C15">
              <w:rPr>
                <w:lang w:val="en-GB"/>
              </w:rPr>
              <w:t xml:space="preserve">labour market </w:t>
            </w:r>
            <w:r w:rsidRPr="00D14C15">
              <w:rPr>
                <w:lang w:val="en-GB"/>
              </w:rPr>
              <w:t xml:space="preserve">competitiveness. </w:t>
            </w:r>
          </w:p>
          <w:p w14:paraId="7099782C" w14:textId="77777777" w:rsidR="0076298E" w:rsidRPr="00D14C15" w:rsidRDefault="0076298E">
            <w:pPr>
              <w:pStyle w:val="TableParagraph"/>
              <w:ind w:left="104" w:right="67"/>
              <w:jc w:val="both"/>
              <w:rPr>
                <w:lang w:val="en-GB"/>
              </w:rPr>
            </w:pPr>
          </w:p>
          <w:p w14:paraId="4AA4174F" w14:textId="77777777" w:rsidR="0076298E" w:rsidRPr="00D14C15" w:rsidRDefault="00C72CDB">
            <w:pPr>
              <w:pStyle w:val="TableParagraph"/>
              <w:ind w:left="104" w:right="67"/>
              <w:jc w:val="both"/>
              <w:rPr>
                <w:lang w:val="en-GB"/>
              </w:rPr>
            </w:pPr>
            <w:r>
              <w:rPr>
                <w:lang w:val="en-GB"/>
              </w:rPr>
              <w:t xml:space="preserve">In the last </w:t>
            </w:r>
            <w:r w:rsidRPr="00D14C15">
              <w:rPr>
                <w:lang w:val="en-GB"/>
              </w:rPr>
              <w:t xml:space="preserve">two years </w:t>
            </w:r>
            <w:r>
              <w:rPr>
                <w:lang w:val="en-GB"/>
              </w:rPr>
              <w:t>before</w:t>
            </w:r>
            <w:r w:rsidRPr="00D14C15">
              <w:rPr>
                <w:lang w:val="en-GB"/>
              </w:rPr>
              <w:t xml:space="preserve"> the </w:t>
            </w:r>
            <w:r w:rsidR="00AD717F">
              <w:rPr>
                <w:rFonts w:eastAsia="Calibri"/>
                <w:lang w:val="en-GB"/>
              </w:rPr>
              <w:t>COVID</w:t>
            </w:r>
            <w:r w:rsidRPr="00D14C15">
              <w:rPr>
                <w:lang w:val="en-GB"/>
              </w:rPr>
              <w:t>-19 epidemic</w:t>
            </w:r>
            <w:r>
              <w:rPr>
                <w:lang w:val="en-GB"/>
              </w:rPr>
              <w:t>,</w:t>
            </w:r>
            <w:r w:rsidRPr="00D14C15">
              <w:rPr>
                <w:lang w:val="en-GB"/>
              </w:rPr>
              <w:t xml:space="preserve"> </w:t>
            </w:r>
            <w:r>
              <w:rPr>
                <w:lang w:val="en-GB"/>
              </w:rPr>
              <w:t>l</w:t>
            </w:r>
            <w:r w:rsidR="0032633A" w:rsidRPr="00D14C15">
              <w:rPr>
                <w:lang w:val="en-GB"/>
              </w:rPr>
              <w:t xml:space="preserve">abour market segmentation </w:t>
            </w:r>
            <w:r>
              <w:rPr>
                <w:lang w:val="en-GB"/>
              </w:rPr>
              <w:t>decreased</w:t>
            </w:r>
            <w:r w:rsidR="0032633A" w:rsidRPr="00D14C15">
              <w:rPr>
                <w:lang w:val="en-GB"/>
              </w:rPr>
              <w:t xml:space="preserve"> slightly. However, young people remain highly exposed to temporary employment.</w:t>
            </w:r>
            <w:r w:rsidR="0032633A" w:rsidRPr="00C72CDB">
              <w:rPr>
                <w:vertAlign w:val="superscript"/>
                <w:lang w:val="en-GB"/>
              </w:rPr>
              <w:footnoteReference w:id="89"/>
            </w:r>
            <w:r w:rsidR="0032633A" w:rsidRPr="00D14C15">
              <w:rPr>
                <w:rStyle w:val="Pripombasklic"/>
                <w:rFonts w:asciiTheme="minorHAnsi" w:eastAsiaTheme="minorEastAsia" w:hAnsiTheme="minorHAnsi" w:cstheme="minorBidi"/>
                <w:lang w:val="en-GB"/>
              </w:rPr>
              <w:t xml:space="preserve"> </w:t>
            </w:r>
            <w:r w:rsidR="0032633A" w:rsidRPr="00D14C15">
              <w:rPr>
                <w:lang w:val="en-GB"/>
              </w:rPr>
              <w:t xml:space="preserve">They </w:t>
            </w:r>
            <w:r w:rsidR="001C6F39">
              <w:rPr>
                <w:lang w:val="en-GB"/>
              </w:rPr>
              <w:t>have difficulties</w:t>
            </w:r>
            <w:r w:rsidR="0032633A" w:rsidRPr="00D14C15">
              <w:rPr>
                <w:lang w:val="en-GB"/>
              </w:rPr>
              <w:t xml:space="preserve"> </w:t>
            </w:r>
            <w:r w:rsidR="001C6F39">
              <w:rPr>
                <w:lang w:val="en-GB"/>
              </w:rPr>
              <w:t>in</w:t>
            </w:r>
            <w:r w:rsidR="0032633A" w:rsidRPr="00D14C15">
              <w:rPr>
                <w:lang w:val="en-GB"/>
              </w:rPr>
              <w:t xml:space="preserve"> find</w:t>
            </w:r>
            <w:r w:rsidR="001C6F39">
              <w:rPr>
                <w:lang w:val="en-GB"/>
              </w:rPr>
              <w:t>ing</w:t>
            </w:r>
            <w:r w:rsidR="0032633A" w:rsidRPr="00D14C15">
              <w:rPr>
                <w:lang w:val="en-GB"/>
              </w:rPr>
              <w:t xml:space="preserve"> suitable employment when entering the labour market due to lack of experience and </w:t>
            </w:r>
            <w:r w:rsidR="0037294D">
              <w:rPr>
                <w:lang w:val="en-GB"/>
              </w:rPr>
              <w:t xml:space="preserve">the attained level of </w:t>
            </w:r>
            <w:r w:rsidR="0032633A" w:rsidRPr="00D14C15">
              <w:rPr>
                <w:lang w:val="en-GB"/>
              </w:rPr>
              <w:t xml:space="preserve">education, especially </w:t>
            </w:r>
            <w:r w:rsidR="0037294D">
              <w:rPr>
                <w:lang w:val="en-GB"/>
              </w:rPr>
              <w:t>first employment</w:t>
            </w:r>
            <w:r w:rsidR="0032633A" w:rsidRPr="00D14C15">
              <w:rPr>
                <w:lang w:val="en-GB"/>
              </w:rPr>
              <w:t xml:space="preserve">, which can lead to </w:t>
            </w:r>
            <w:r w:rsidR="0037294D">
              <w:rPr>
                <w:lang w:val="en-GB"/>
              </w:rPr>
              <w:t xml:space="preserve">taking </w:t>
            </w:r>
            <w:r w:rsidR="0032633A" w:rsidRPr="00D14C15">
              <w:rPr>
                <w:lang w:val="en-GB"/>
              </w:rPr>
              <w:t xml:space="preserve">various forms of precarious work. </w:t>
            </w:r>
            <w:r w:rsidR="0037294D">
              <w:rPr>
                <w:lang w:val="en-GB"/>
              </w:rPr>
              <w:t>There is a</w:t>
            </w:r>
            <w:r w:rsidR="0032633A" w:rsidRPr="00D14C15">
              <w:rPr>
                <w:lang w:val="en-GB"/>
              </w:rPr>
              <w:t xml:space="preserve"> marked decline in entrepreneurial activity </w:t>
            </w:r>
            <w:r w:rsidR="0037294D">
              <w:rPr>
                <w:lang w:val="en-GB"/>
              </w:rPr>
              <w:t xml:space="preserve">of young people </w:t>
            </w:r>
            <w:r w:rsidR="0032633A" w:rsidRPr="00D14C15">
              <w:rPr>
                <w:lang w:val="en-GB"/>
              </w:rPr>
              <w:t>aged 18-24, which has been declining for the third year in a row (2016: 17.49</w:t>
            </w:r>
            <w:r w:rsidR="0037294D">
              <w:rPr>
                <w:lang w:val="en-GB"/>
              </w:rPr>
              <w:t>%; 2018: 5.18</w:t>
            </w:r>
            <w:r w:rsidR="0032633A" w:rsidRPr="00D14C15">
              <w:rPr>
                <w:lang w:val="en-GB"/>
              </w:rPr>
              <w:t>%)</w:t>
            </w:r>
            <w:r w:rsidR="0032633A" w:rsidRPr="00D14C15">
              <w:rPr>
                <w:rStyle w:val="Sprotnaopomba-sklic"/>
                <w:lang w:val="en-GB"/>
              </w:rPr>
              <w:footnoteReference w:id="90"/>
            </w:r>
            <w:r w:rsidR="0032633A" w:rsidRPr="00D14C15">
              <w:rPr>
                <w:lang w:val="en-GB"/>
              </w:rPr>
              <w:t xml:space="preserve">. Slovenia </w:t>
            </w:r>
            <w:r w:rsidR="0037294D">
              <w:rPr>
                <w:lang w:val="en-GB"/>
              </w:rPr>
              <w:t xml:space="preserve">is falling behind also in the number </w:t>
            </w:r>
            <w:r w:rsidR="0032633A" w:rsidRPr="00D14C15">
              <w:rPr>
                <w:lang w:val="en-GB"/>
              </w:rPr>
              <w:t xml:space="preserve">of established young entrepreneurs. </w:t>
            </w:r>
          </w:p>
          <w:p w14:paraId="141F1E20" w14:textId="77777777" w:rsidR="0076298E" w:rsidRPr="00D14C15" w:rsidRDefault="0076298E">
            <w:pPr>
              <w:pStyle w:val="TableParagraph"/>
              <w:ind w:left="104" w:right="67"/>
              <w:jc w:val="both"/>
              <w:rPr>
                <w:lang w:val="en-GB"/>
              </w:rPr>
            </w:pPr>
          </w:p>
          <w:p w14:paraId="08D35EBC" w14:textId="77777777" w:rsidR="0076298E" w:rsidRPr="00D14C15" w:rsidRDefault="0032633A">
            <w:pPr>
              <w:pStyle w:val="TableParagraph"/>
              <w:ind w:left="104" w:right="67"/>
              <w:jc w:val="both"/>
              <w:rPr>
                <w:lang w:val="en-GB"/>
              </w:rPr>
            </w:pPr>
            <w:r w:rsidRPr="00D14C15">
              <w:rPr>
                <w:lang w:val="en-GB"/>
              </w:rPr>
              <w:t>Women’s involvement in entrepreneurship is growing, but GEM Slovenia 2020</w:t>
            </w:r>
            <w:r w:rsidRPr="00D14C15">
              <w:rPr>
                <w:rStyle w:val="Sprotnaopomba-sklic"/>
                <w:lang w:val="en-GB"/>
              </w:rPr>
              <w:footnoteReference w:id="91"/>
            </w:r>
            <w:r w:rsidRPr="00D14C15">
              <w:rPr>
                <w:lang w:val="en-GB"/>
              </w:rPr>
              <w:t xml:space="preserve"> </w:t>
            </w:r>
            <w:r w:rsidR="0037294D">
              <w:rPr>
                <w:lang w:val="en-GB"/>
              </w:rPr>
              <w:t xml:space="preserve">identifies a vast </w:t>
            </w:r>
            <w:r w:rsidRPr="00D14C15">
              <w:rPr>
                <w:lang w:val="en-GB"/>
              </w:rPr>
              <w:t xml:space="preserve">gender gap, especially in rural areas, </w:t>
            </w:r>
            <w:r w:rsidR="0037294D">
              <w:rPr>
                <w:lang w:val="en-GB"/>
              </w:rPr>
              <w:t>thus placing Slovenia i</w:t>
            </w:r>
            <w:r w:rsidRPr="00D14C15">
              <w:rPr>
                <w:lang w:val="en-GB"/>
              </w:rPr>
              <w:t>n the 30</w:t>
            </w:r>
            <w:r w:rsidR="0037294D" w:rsidRPr="0037294D">
              <w:rPr>
                <w:vertAlign w:val="superscript"/>
                <w:lang w:val="en-GB"/>
              </w:rPr>
              <w:t>th</w:t>
            </w:r>
            <w:r w:rsidR="0037294D">
              <w:rPr>
                <w:lang w:val="en-GB"/>
              </w:rPr>
              <w:t xml:space="preserve"> </w:t>
            </w:r>
            <w:r w:rsidRPr="00D14C15">
              <w:rPr>
                <w:lang w:val="en-GB"/>
              </w:rPr>
              <w:t xml:space="preserve">place (out of 43 countries surveyed). </w:t>
            </w:r>
            <w:r w:rsidR="0037294D">
              <w:rPr>
                <w:lang w:val="en-GB"/>
              </w:rPr>
              <w:t>Slovenia</w:t>
            </w:r>
            <w:r w:rsidRPr="00D14C15">
              <w:rPr>
                <w:lang w:val="en-GB"/>
              </w:rPr>
              <w:t xml:space="preserve"> </w:t>
            </w:r>
            <w:r w:rsidR="0037294D">
              <w:rPr>
                <w:lang w:val="en-GB"/>
              </w:rPr>
              <w:t>is</w:t>
            </w:r>
            <w:r w:rsidRPr="00D14C15">
              <w:rPr>
                <w:lang w:val="en-GB"/>
              </w:rPr>
              <w:t xml:space="preserve"> also below the EU average in the </w:t>
            </w:r>
            <w:r w:rsidR="0037294D">
              <w:rPr>
                <w:lang w:val="en-GB"/>
              </w:rPr>
              <w:t xml:space="preserve">field of </w:t>
            </w:r>
            <w:r w:rsidRPr="00D14C15">
              <w:rPr>
                <w:lang w:val="en-GB"/>
              </w:rPr>
              <w:t>social economy, where only 0.26% of the working</w:t>
            </w:r>
            <w:r w:rsidR="0037294D">
              <w:rPr>
                <w:lang w:val="en-GB"/>
              </w:rPr>
              <w:t>-age</w:t>
            </w:r>
            <w:r w:rsidRPr="00D14C15">
              <w:rPr>
                <w:lang w:val="en-GB"/>
              </w:rPr>
              <w:t xml:space="preserve"> population in Slovenia is employed (EU average: 6%).</w:t>
            </w:r>
          </w:p>
          <w:p w14:paraId="2FE6131C" w14:textId="77777777" w:rsidR="0076298E" w:rsidRPr="00D14C15" w:rsidRDefault="0076298E">
            <w:pPr>
              <w:pStyle w:val="TableParagraph"/>
              <w:ind w:left="104" w:right="67"/>
              <w:jc w:val="both"/>
              <w:rPr>
                <w:lang w:val="en-GB"/>
              </w:rPr>
            </w:pPr>
          </w:p>
          <w:p w14:paraId="2877F795" w14:textId="77777777" w:rsidR="0076298E" w:rsidRPr="00D14C15" w:rsidRDefault="00AC6618">
            <w:pPr>
              <w:pStyle w:val="TableParagraph"/>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286A1D9C" w14:textId="77777777" w:rsidTr="00E1518F">
        <w:trPr>
          <w:trHeight w:val="419"/>
        </w:trPr>
        <w:tc>
          <w:tcPr>
            <w:tcW w:w="2268" w:type="dxa"/>
            <w:vMerge/>
          </w:tcPr>
          <w:p w14:paraId="4F6FCC8F" w14:textId="77777777" w:rsidR="0076298E" w:rsidRPr="00D14C15" w:rsidRDefault="0076298E">
            <w:pPr>
              <w:pStyle w:val="TableParagraph"/>
              <w:ind w:left="115"/>
              <w:rPr>
                <w:lang w:val="en-GB"/>
              </w:rPr>
            </w:pPr>
          </w:p>
        </w:tc>
        <w:tc>
          <w:tcPr>
            <w:tcW w:w="3119" w:type="dxa"/>
          </w:tcPr>
          <w:p w14:paraId="0F076F08" w14:textId="77777777" w:rsidR="0076298E" w:rsidRPr="00D14C15" w:rsidRDefault="00844CB7">
            <w:pPr>
              <w:ind w:left="37"/>
              <w:rPr>
                <w:lang w:val="en-GB"/>
              </w:rPr>
            </w:pPr>
            <w:r>
              <w:rPr>
                <w:lang w:val="en-GB"/>
              </w:rPr>
              <w:t>P</w:t>
            </w:r>
            <w:r w:rsidR="00FD3C17">
              <w:rPr>
                <w:lang w:val="en-GB"/>
              </w:rPr>
              <w:t>riority 6</w:t>
            </w:r>
            <w:r w:rsidR="0032633A" w:rsidRPr="00D14C15">
              <w:rPr>
                <w:lang w:val="en-GB"/>
              </w:rPr>
              <w:t xml:space="preserve">: </w:t>
            </w:r>
            <w:r w:rsidR="0032633A" w:rsidRPr="00545D4E">
              <w:rPr>
                <w:lang w:val="en-GB"/>
              </w:rPr>
              <w:t>Skills and responsive labour market</w:t>
            </w:r>
          </w:p>
          <w:p w14:paraId="2B3B3AA8" w14:textId="77777777" w:rsidR="0076298E" w:rsidRPr="00D14C15" w:rsidRDefault="0076298E">
            <w:pPr>
              <w:ind w:left="37"/>
              <w:rPr>
                <w:lang w:val="en-GB"/>
              </w:rPr>
            </w:pPr>
          </w:p>
          <w:p w14:paraId="1A461414" w14:textId="77777777" w:rsidR="0076298E" w:rsidRPr="00D14C15" w:rsidRDefault="0032633A">
            <w:pPr>
              <w:ind w:left="37"/>
              <w:rPr>
                <w:lang w:val="en-GB"/>
              </w:rPr>
            </w:pPr>
            <w:r w:rsidRPr="001D7AEE">
              <w:rPr>
                <w:lang w:val="en-GB"/>
              </w:rPr>
              <w:t>ESO4.2:</w:t>
            </w:r>
            <w:r w:rsidRPr="00D14C15">
              <w:rPr>
                <w:lang w:val="en-GB"/>
              </w:rPr>
              <w:t xml:space="preserve"> </w:t>
            </w:r>
            <w:r w:rsidR="001D7AEE" w:rsidRPr="001D7AEE">
              <w:rPr>
                <w:lang w:val="en-GB"/>
              </w:rPr>
              <w:t xml:space="preserve">Modernising labour market institutions and services to assess and anticipate skills needs and ensure timely and tailormade assistance and support for labour market matching, transitions and </w:t>
            </w:r>
            <w:r w:rsidR="001D7AEE" w:rsidRPr="001D7AEE">
              <w:rPr>
                <w:lang w:val="en-GB"/>
              </w:rPr>
              <w:lastRenderedPageBreak/>
              <w:t>mobility</w:t>
            </w:r>
          </w:p>
        </w:tc>
        <w:tc>
          <w:tcPr>
            <w:tcW w:w="8647" w:type="dxa"/>
          </w:tcPr>
          <w:p w14:paraId="0D7CFCF7" w14:textId="77777777" w:rsidR="0076298E" w:rsidRPr="00D14C15" w:rsidRDefault="0032633A">
            <w:pPr>
              <w:pStyle w:val="TableParagraph"/>
              <w:ind w:left="104" w:right="67"/>
              <w:jc w:val="both"/>
              <w:rPr>
                <w:lang w:val="en-GB"/>
              </w:rPr>
            </w:pPr>
            <w:r w:rsidRPr="00D14C15">
              <w:rPr>
                <w:lang w:val="en-GB"/>
              </w:rPr>
              <w:lastRenderedPageBreak/>
              <w:t>Slovenia faces structural labour market</w:t>
            </w:r>
            <w:r w:rsidR="0021092D">
              <w:rPr>
                <w:lang w:val="en-GB"/>
              </w:rPr>
              <w:t xml:space="preserve"> problems</w:t>
            </w:r>
            <w:r w:rsidRPr="00D14C15">
              <w:rPr>
                <w:lang w:val="en-GB"/>
              </w:rPr>
              <w:t xml:space="preserve">, in particular the low employment rate of low-skilled and older workers and the mismatch between the </w:t>
            </w:r>
            <w:r w:rsidR="0021092D" w:rsidRPr="00D14C15">
              <w:rPr>
                <w:lang w:val="en-GB"/>
              </w:rPr>
              <w:t>employers</w:t>
            </w:r>
            <w:r w:rsidR="0021092D">
              <w:rPr>
                <w:lang w:val="en-GB"/>
              </w:rPr>
              <w:t>’</w:t>
            </w:r>
            <w:r w:rsidR="0021092D" w:rsidRPr="00D14C15">
              <w:rPr>
                <w:lang w:val="en-GB"/>
              </w:rPr>
              <w:t xml:space="preserve"> </w:t>
            </w:r>
            <w:r w:rsidRPr="00D14C15">
              <w:rPr>
                <w:lang w:val="en-GB"/>
              </w:rPr>
              <w:t xml:space="preserve">needs </w:t>
            </w:r>
            <w:r w:rsidR="0021092D">
              <w:rPr>
                <w:lang w:val="en-GB"/>
              </w:rPr>
              <w:t>and</w:t>
            </w:r>
            <w:r w:rsidRPr="00D14C15">
              <w:rPr>
                <w:lang w:val="en-GB"/>
              </w:rPr>
              <w:t xml:space="preserve"> the </w:t>
            </w:r>
            <w:r w:rsidR="0021092D">
              <w:rPr>
                <w:lang w:val="en-GB"/>
              </w:rPr>
              <w:t xml:space="preserve">job seekers’ </w:t>
            </w:r>
            <w:r w:rsidRPr="00D14C15">
              <w:rPr>
                <w:lang w:val="en-GB"/>
              </w:rPr>
              <w:t xml:space="preserve">skills. According to the Employment </w:t>
            </w:r>
            <w:r w:rsidR="0021092D">
              <w:rPr>
                <w:lang w:val="en-GB"/>
              </w:rPr>
              <w:t>Forecast</w:t>
            </w:r>
            <w:r w:rsidRPr="00D14C15">
              <w:rPr>
                <w:lang w:val="en-GB"/>
              </w:rPr>
              <w:t xml:space="preserve"> survey conducted in the second half of 2021</w:t>
            </w:r>
            <w:r w:rsidRPr="00D14C15">
              <w:rPr>
                <w:rStyle w:val="Sprotnaopomba-sklic"/>
                <w:lang w:val="en-GB"/>
              </w:rPr>
              <w:footnoteReference w:id="92"/>
            </w:r>
            <w:r w:rsidRPr="00D14C15">
              <w:rPr>
                <w:lang w:val="en-GB"/>
              </w:rPr>
              <w:t xml:space="preserve">, more than half of employers faced shortages of adequate staff (51.2%). As many as two-thirds of employers </w:t>
            </w:r>
            <w:r w:rsidR="00FF395F">
              <w:rPr>
                <w:lang w:val="en-GB"/>
              </w:rPr>
              <w:t>said</w:t>
            </w:r>
            <w:r w:rsidR="0021092D">
              <w:rPr>
                <w:lang w:val="en-GB"/>
              </w:rPr>
              <w:t xml:space="preserve"> there are no potential employees for </w:t>
            </w:r>
            <w:r w:rsidRPr="00D14C15">
              <w:rPr>
                <w:lang w:val="en-GB"/>
              </w:rPr>
              <w:t xml:space="preserve">job vacancies. </w:t>
            </w:r>
            <w:r w:rsidR="0021092D">
              <w:rPr>
                <w:lang w:val="en-GB"/>
              </w:rPr>
              <w:t>Slovenia should</w:t>
            </w:r>
            <w:r w:rsidR="00FF395F">
              <w:rPr>
                <w:lang w:val="en-GB"/>
              </w:rPr>
              <w:t>,</w:t>
            </w:r>
            <w:r w:rsidR="0021092D">
              <w:rPr>
                <w:lang w:val="en-GB"/>
              </w:rPr>
              <w:t xml:space="preserve"> thus</w:t>
            </w:r>
            <w:r w:rsidR="00FF395F">
              <w:rPr>
                <w:lang w:val="en-GB"/>
              </w:rPr>
              <w:t>,</w:t>
            </w:r>
            <w:r w:rsidRPr="00D14C15">
              <w:rPr>
                <w:lang w:val="en-GB"/>
              </w:rPr>
              <w:t xml:space="preserve"> establish a comprehensive system for </w:t>
            </w:r>
            <w:r w:rsidR="0021092D">
              <w:rPr>
                <w:lang w:val="en-GB"/>
              </w:rPr>
              <w:t>the medium and long-</w:t>
            </w:r>
            <w:r w:rsidR="0021092D" w:rsidRPr="00D14C15">
              <w:rPr>
                <w:lang w:val="en-GB"/>
              </w:rPr>
              <w:t xml:space="preserve">term </w:t>
            </w:r>
            <w:r w:rsidRPr="00D14C15">
              <w:rPr>
                <w:lang w:val="en-GB"/>
              </w:rPr>
              <w:t xml:space="preserve">forecasting </w:t>
            </w:r>
            <w:r w:rsidR="0021092D">
              <w:rPr>
                <w:lang w:val="en-GB"/>
              </w:rPr>
              <w:t xml:space="preserve">of </w:t>
            </w:r>
            <w:r w:rsidRPr="00D14C15">
              <w:rPr>
                <w:lang w:val="en-GB"/>
              </w:rPr>
              <w:t xml:space="preserve">skills </w:t>
            </w:r>
            <w:r w:rsidR="0021092D">
              <w:rPr>
                <w:lang w:val="en-GB"/>
              </w:rPr>
              <w:t>needs</w:t>
            </w:r>
            <w:r w:rsidRPr="00D14C15">
              <w:rPr>
                <w:lang w:val="en-GB"/>
              </w:rPr>
              <w:t xml:space="preserve"> and </w:t>
            </w:r>
            <w:r w:rsidR="0021092D">
              <w:rPr>
                <w:lang w:val="en-GB"/>
              </w:rPr>
              <w:t>for promoting</w:t>
            </w:r>
            <w:r w:rsidRPr="00D14C15">
              <w:rPr>
                <w:lang w:val="en-GB"/>
              </w:rPr>
              <w:t xml:space="preserve"> career development in all areas and at all stages of life. </w:t>
            </w:r>
            <w:r w:rsidR="00FB04F0">
              <w:rPr>
                <w:lang w:val="en-GB"/>
              </w:rPr>
              <w:t>The l</w:t>
            </w:r>
            <w:r w:rsidRPr="00D14C15">
              <w:rPr>
                <w:lang w:val="en-GB"/>
              </w:rPr>
              <w:t xml:space="preserve">abour </w:t>
            </w:r>
            <w:r w:rsidR="00FB04F0">
              <w:rPr>
                <w:lang w:val="en-GB"/>
              </w:rPr>
              <w:t>m</w:t>
            </w:r>
            <w:r w:rsidRPr="00D14C15">
              <w:rPr>
                <w:lang w:val="en-GB"/>
              </w:rPr>
              <w:t xml:space="preserve">arket </w:t>
            </w:r>
            <w:r w:rsidR="00FB04F0">
              <w:rPr>
                <w:lang w:val="en-GB"/>
              </w:rPr>
              <w:t>p</w:t>
            </w:r>
            <w:r w:rsidRPr="00D14C15">
              <w:rPr>
                <w:lang w:val="en-GB"/>
              </w:rPr>
              <w:t xml:space="preserve">latform for </w:t>
            </w:r>
            <w:r w:rsidR="00FB04F0">
              <w:rPr>
                <w:lang w:val="en-GB"/>
              </w:rPr>
              <w:t>l</w:t>
            </w:r>
            <w:r w:rsidRPr="00D14C15">
              <w:rPr>
                <w:lang w:val="en-GB"/>
              </w:rPr>
              <w:t>ong-</w:t>
            </w:r>
            <w:r w:rsidR="00FB04F0">
              <w:rPr>
                <w:lang w:val="en-GB"/>
              </w:rPr>
              <w:t>t</w:t>
            </w:r>
            <w:r w:rsidRPr="00D14C15">
              <w:rPr>
                <w:lang w:val="en-GB"/>
              </w:rPr>
              <w:t>erm</w:t>
            </w:r>
            <w:r w:rsidR="00FB04F0">
              <w:rPr>
                <w:lang w:val="en-GB"/>
              </w:rPr>
              <w:t xml:space="preserve"> forecasting of skills needs</w:t>
            </w:r>
            <w:r w:rsidR="00FF395F">
              <w:rPr>
                <w:lang w:val="en-GB"/>
              </w:rPr>
              <w:t xml:space="preserve"> will</w:t>
            </w:r>
            <w:r w:rsidRPr="00D14C15">
              <w:rPr>
                <w:lang w:val="en-GB"/>
              </w:rPr>
              <w:t xml:space="preserve"> </w:t>
            </w:r>
            <w:r w:rsidR="00FB04F0">
              <w:rPr>
                <w:lang w:val="en-GB"/>
              </w:rPr>
              <w:t xml:space="preserve">facilitate the </w:t>
            </w:r>
            <w:r w:rsidRPr="00D14C15">
              <w:rPr>
                <w:lang w:val="en-GB"/>
              </w:rPr>
              <w:t>develop</w:t>
            </w:r>
            <w:r w:rsidR="00FB04F0">
              <w:rPr>
                <w:lang w:val="en-GB"/>
              </w:rPr>
              <w:t>ment and orientation of</w:t>
            </w:r>
            <w:r w:rsidRPr="00D14C15">
              <w:rPr>
                <w:lang w:val="en-GB"/>
              </w:rPr>
              <w:t xml:space="preserve"> educational and scholarship policies and career orientation </w:t>
            </w:r>
            <w:r w:rsidR="00FB04F0">
              <w:rPr>
                <w:lang w:val="en-GB"/>
              </w:rPr>
              <w:t>to</w:t>
            </w:r>
            <w:r w:rsidRPr="00D14C15">
              <w:rPr>
                <w:lang w:val="en-GB"/>
              </w:rPr>
              <w:t xml:space="preserve"> support </w:t>
            </w:r>
            <w:r w:rsidR="00FB04F0">
              <w:rPr>
                <w:lang w:val="en-GB"/>
              </w:rPr>
              <w:t xml:space="preserve">the </w:t>
            </w:r>
            <w:r w:rsidRPr="00D14C15">
              <w:rPr>
                <w:lang w:val="en-GB"/>
              </w:rPr>
              <w:t xml:space="preserve">implementation of </w:t>
            </w:r>
            <w:r w:rsidR="00FB04F0">
              <w:rPr>
                <w:lang w:val="en-GB"/>
              </w:rPr>
              <w:t xml:space="preserve">PO1 </w:t>
            </w:r>
            <w:r w:rsidRPr="00D14C15">
              <w:rPr>
                <w:lang w:val="en-GB"/>
              </w:rPr>
              <w:lastRenderedPageBreak/>
              <w:t>measures.</w:t>
            </w:r>
          </w:p>
          <w:p w14:paraId="0F013DF7" w14:textId="77777777" w:rsidR="0076298E" w:rsidRPr="00D14C15" w:rsidRDefault="0076298E">
            <w:pPr>
              <w:pStyle w:val="TableParagraph"/>
              <w:ind w:left="104" w:right="67"/>
              <w:jc w:val="both"/>
              <w:rPr>
                <w:lang w:val="en-GB"/>
              </w:rPr>
            </w:pPr>
          </w:p>
          <w:p w14:paraId="3DB2E2FB" w14:textId="77777777" w:rsidR="0076298E" w:rsidRPr="00D14C15" w:rsidRDefault="0032633A">
            <w:pPr>
              <w:pStyle w:val="TableParagraph"/>
              <w:ind w:left="104" w:right="67"/>
              <w:jc w:val="both"/>
              <w:rPr>
                <w:lang w:val="en-GB"/>
              </w:rPr>
            </w:pPr>
            <w:r w:rsidRPr="00D14C15">
              <w:rPr>
                <w:lang w:val="en-GB"/>
              </w:rPr>
              <w:t xml:space="preserve">Changes in working </w:t>
            </w:r>
            <w:r w:rsidR="00383765">
              <w:rPr>
                <w:lang w:val="en-GB"/>
              </w:rPr>
              <w:t xml:space="preserve">modes </w:t>
            </w:r>
            <w:r w:rsidRPr="00D14C15">
              <w:rPr>
                <w:lang w:val="en-GB"/>
              </w:rPr>
              <w:t>and labour market conditions make it necessary to further digitise and streamline work processes, to strengthen synerg</w:t>
            </w:r>
            <w:r w:rsidR="00383765">
              <w:rPr>
                <w:lang w:val="en-GB"/>
              </w:rPr>
              <w:t>y</w:t>
            </w:r>
            <w:r w:rsidRPr="00D14C15">
              <w:rPr>
                <w:lang w:val="en-GB"/>
              </w:rPr>
              <w:t xml:space="preserve"> integration of all stakeholders at all levels (national, regional, local) and to </w:t>
            </w:r>
            <w:r w:rsidR="00383765">
              <w:rPr>
                <w:lang w:val="en-GB"/>
              </w:rPr>
              <w:t>equip</w:t>
            </w:r>
            <w:r w:rsidRPr="00D14C15">
              <w:rPr>
                <w:lang w:val="en-GB"/>
              </w:rPr>
              <w:t xml:space="preserve"> </w:t>
            </w:r>
            <w:r w:rsidR="00383765">
              <w:rPr>
                <w:lang w:val="en-GB"/>
              </w:rPr>
              <w:t>labour market institution</w:t>
            </w:r>
            <w:r w:rsidR="00383765" w:rsidRPr="00D14C15">
              <w:rPr>
                <w:lang w:val="en-GB"/>
              </w:rPr>
              <w:t xml:space="preserve"> </w:t>
            </w:r>
            <w:r w:rsidRPr="00D14C15">
              <w:rPr>
                <w:lang w:val="en-GB"/>
              </w:rPr>
              <w:t xml:space="preserve">employees with adequate </w:t>
            </w:r>
            <w:r w:rsidR="00383765">
              <w:rPr>
                <w:lang w:val="en-GB"/>
              </w:rPr>
              <w:t xml:space="preserve">knowledge and </w:t>
            </w:r>
            <w:r w:rsidRPr="00D14C15">
              <w:rPr>
                <w:lang w:val="en-GB"/>
              </w:rPr>
              <w:t>skills.</w:t>
            </w:r>
            <w:r w:rsidR="005C7B00" w:rsidRPr="00D14C15">
              <w:rPr>
                <w:lang w:val="en-GB"/>
              </w:rPr>
              <w:t xml:space="preserve"> </w:t>
            </w:r>
            <w:r w:rsidR="005C7B00">
              <w:rPr>
                <w:lang w:val="en-GB"/>
              </w:rPr>
              <w:t xml:space="preserve">The </w:t>
            </w:r>
            <w:r w:rsidR="005C7B00" w:rsidRPr="00D14C15">
              <w:rPr>
                <w:lang w:val="en-GB"/>
              </w:rPr>
              <w:t>OECD analysis</w:t>
            </w:r>
            <w:r w:rsidR="005C7B00" w:rsidRPr="00D14C15">
              <w:rPr>
                <w:rStyle w:val="Sprotnaopomba-sklic"/>
                <w:lang w:val="en-GB"/>
              </w:rPr>
              <w:footnoteReference w:id="93"/>
            </w:r>
            <w:r w:rsidR="005C7B00" w:rsidRPr="00D14C15">
              <w:rPr>
                <w:lang w:val="en-GB"/>
              </w:rPr>
              <w:t xml:space="preserve"> </w:t>
            </w:r>
            <w:r w:rsidR="005C7B00">
              <w:rPr>
                <w:lang w:val="en-GB"/>
              </w:rPr>
              <w:t xml:space="preserve">also underlines that the </w:t>
            </w:r>
            <w:r w:rsidR="005C7B00" w:rsidRPr="00D14C15">
              <w:rPr>
                <w:lang w:val="en-GB"/>
              </w:rPr>
              <w:t xml:space="preserve">Employment Service of the Republic of Slovenia (hereinafter: </w:t>
            </w:r>
            <w:r w:rsidR="005C7B00" w:rsidRPr="007B5C18">
              <w:rPr>
                <w:lang w:val="en-GB"/>
              </w:rPr>
              <w:t>ZRSZ</w:t>
            </w:r>
            <w:r w:rsidR="005C7B00" w:rsidRPr="00D14C15">
              <w:rPr>
                <w:lang w:val="en-GB"/>
              </w:rPr>
              <w:t xml:space="preserve">) </w:t>
            </w:r>
            <w:r w:rsidR="005C7B00">
              <w:rPr>
                <w:lang w:val="en-GB"/>
              </w:rPr>
              <w:t xml:space="preserve">should enhance the </w:t>
            </w:r>
            <w:r w:rsidRPr="00D14C15">
              <w:rPr>
                <w:lang w:val="en-GB"/>
              </w:rPr>
              <w:t xml:space="preserve">provision of remote services and </w:t>
            </w:r>
            <w:r w:rsidR="005C7B00">
              <w:rPr>
                <w:lang w:val="en-GB"/>
              </w:rPr>
              <w:t>improve its competence</w:t>
            </w:r>
            <w:r w:rsidRPr="00D14C15">
              <w:rPr>
                <w:lang w:val="en-GB"/>
              </w:rPr>
              <w:t xml:space="preserve">. This includes anticipating skills needs, providing timely and tailor-made assistance and support to match supply and demand and career transitions and </w:t>
            </w:r>
            <w:r w:rsidR="005C7B00" w:rsidRPr="00D14C15">
              <w:rPr>
                <w:lang w:val="en-GB"/>
              </w:rPr>
              <w:t xml:space="preserve">labour market </w:t>
            </w:r>
            <w:r w:rsidRPr="00D14C15">
              <w:rPr>
                <w:lang w:val="en-GB"/>
              </w:rPr>
              <w:t>mobility.</w:t>
            </w:r>
          </w:p>
          <w:p w14:paraId="12BA7E25" w14:textId="77777777" w:rsidR="0076298E" w:rsidRPr="00D14C15" w:rsidRDefault="0076298E">
            <w:pPr>
              <w:pStyle w:val="TableParagraph"/>
              <w:ind w:left="104" w:right="67"/>
              <w:jc w:val="both"/>
              <w:rPr>
                <w:lang w:val="en-GB"/>
              </w:rPr>
            </w:pPr>
          </w:p>
          <w:p w14:paraId="17860572" w14:textId="77777777" w:rsidR="0076298E" w:rsidRPr="00D14C15" w:rsidRDefault="0032633A" w:rsidP="000E569A">
            <w:pPr>
              <w:pStyle w:val="TableParagraph"/>
              <w:ind w:left="104" w:right="67"/>
              <w:jc w:val="both"/>
              <w:rPr>
                <w:lang w:val="en-GB"/>
              </w:rPr>
            </w:pPr>
            <w:r w:rsidRPr="00D14C15">
              <w:rPr>
                <w:lang w:val="en-GB"/>
              </w:rPr>
              <w:t xml:space="preserve">Labour market institutions </w:t>
            </w:r>
            <w:r w:rsidR="000E569A">
              <w:rPr>
                <w:lang w:val="en-GB"/>
              </w:rPr>
              <w:t xml:space="preserve">play an important role </w:t>
            </w:r>
            <w:r w:rsidRPr="00D14C15">
              <w:rPr>
                <w:lang w:val="en-GB"/>
              </w:rPr>
              <w:t xml:space="preserve">in </w:t>
            </w:r>
            <w:r w:rsidR="000E569A">
              <w:rPr>
                <w:lang w:val="en-GB"/>
              </w:rPr>
              <w:t>creating</w:t>
            </w:r>
            <w:r w:rsidRPr="00D14C15">
              <w:rPr>
                <w:lang w:val="en-GB"/>
              </w:rPr>
              <w:t xml:space="preserve"> employment opportunities for unemployed people abroad and in further strengthening links within the European network of public employment services EURES. </w:t>
            </w:r>
            <w:r w:rsidR="000E569A">
              <w:rPr>
                <w:lang w:val="en-GB"/>
              </w:rPr>
              <w:t>T</w:t>
            </w:r>
            <w:r w:rsidRPr="00D14C15">
              <w:rPr>
                <w:lang w:val="en-GB"/>
              </w:rPr>
              <w:t>his network</w:t>
            </w:r>
            <w:r w:rsidR="000E569A">
              <w:rPr>
                <w:lang w:val="en-GB"/>
              </w:rPr>
              <w:t xml:space="preserve"> will address the inclusion of the most vulnerable NEETs</w:t>
            </w:r>
            <w:r w:rsidRPr="00D14C15">
              <w:rPr>
                <w:lang w:val="en-GB"/>
              </w:rPr>
              <w:t>, thus addressing the employment</w:t>
            </w:r>
            <w:r w:rsidR="000E569A">
              <w:rPr>
                <w:lang w:val="en-GB"/>
              </w:rPr>
              <w:t xml:space="preserve"> issue </w:t>
            </w:r>
            <w:r w:rsidRPr="00D14C15">
              <w:rPr>
                <w:lang w:val="en-GB"/>
              </w:rPr>
              <w:t xml:space="preserve"> of young people aged 18-35, which is </w:t>
            </w:r>
            <w:r w:rsidR="00FF395F">
              <w:rPr>
                <w:lang w:val="en-GB"/>
              </w:rPr>
              <w:t>related</w:t>
            </w:r>
            <w:r w:rsidRPr="00D14C15">
              <w:rPr>
                <w:lang w:val="en-GB"/>
              </w:rPr>
              <w:t xml:space="preserve"> to long-term unemployment, </w:t>
            </w:r>
            <w:r w:rsidR="000E569A">
              <w:rPr>
                <w:lang w:val="en-GB"/>
              </w:rPr>
              <w:t>with the issue being identified in a</w:t>
            </w:r>
            <w:r w:rsidR="00E970FE">
              <w:rPr>
                <w:lang w:val="en-GB"/>
              </w:rPr>
              <w:t>ll statistical regions in</w:t>
            </w:r>
            <w:r w:rsidRPr="00D14C15">
              <w:rPr>
                <w:lang w:val="en-GB"/>
              </w:rPr>
              <w:t xml:space="preserve"> Slovenia.</w:t>
            </w:r>
          </w:p>
          <w:p w14:paraId="0B8B9C24" w14:textId="77777777" w:rsidR="0076298E" w:rsidRPr="00D14C15" w:rsidRDefault="0076298E">
            <w:pPr>
              <w:ind w:left="104" w:right="67"/>
              <w:jc w:val="both"/>
              <w:rPr>
                <w:lang w:val="en-GB"/>
              </w:rPr>
            </w:pPr>
          </w:p>
          <w:p w14:paraId="05F1CDA0" w14:textId="77777777" w:rsidR="0076298E" w:rsidRPr="00D14C15" w:rsidRDefault="00AC6618">
            <w:pPr>
              <w:pStyle w:val="TableParagraph"/>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21A2072E" w14:textId="77777777" w:rsidTr="00E1518F">
        <w:trPr>
          <w:trHeight w:val="844"/>
        </w:trPr>
        <w:tc>
          <w:tcPr>
            <w:tcW w:w="2268" w:type="dxa"/>
            <w:vMerge/>
          </w:tcPr>
          <w:p w14:paraId="09FEC324" w14:textId="77777777" w:rsidR="0076298E" w:rsidRPr="00D14C15" w:rsidRDefault="0076298E">
            <w:pPr>
              <w:pStyle w:val="TableParagraph"/>
              <w:ind w:left="115"/>
              <w:rPr>
                <w:lang w:val="en-GB"/>
              </w:rPr>
            </w:pPr>
          </w:p>
        </w:tc>
        <w:tc>
          <w:tcPr>
            <w:tcW w:w="3119" w:type="dxa"/>
          </w:tcPr>
          <w:p w14:paraId="0D90EAE9" w14:textId="77777777" w:rsidR="0076298E" w:rsidRPr="00D14C15" w:rsidRDefault="00FD3C17">
            <w:pPr>
              <w:ind w:left="37"/>
              <w:rPr>
                <w:lang w:val="en-GB"/>
              </w:rPr>
            </w:pPr>
            <w:r>
              <w:rPr>
                <w:lang w:val="en-GB"/>
              </w:rPr>
              <w:t xml:space="preserve">Priority </w:t>
            </w:r>
            <w:r w:rsidR="0032633A" w:rsidRPr="00D14C15">
              <w:rPr>
                <w:lang w:val="en-GB"/>
              </w:rPr>
              <w:t xml:space="preserve">6: </w:t>
            </w:r>
            <w:r w:rsidR="0032633A" w:rsidRPr="00545D4E">
              <w:rPr>
                <w:lang w:val="en-GB"/>
              </w:rPr>
              <w:t>Skills and responsive labour market</w:t>
            </w:r>
          </w:p>
          <w:p w14:paraId="0B90B448" w14:textId="77777777" w:rsidR="0076298E" w:rsidRPr="00D14C15" w:rsidRDefault="0076298E">
            <w:pPr>
              <w:ind w:left="37"/>
              <w:rPr>
                <w:lang w:val="en-GB"/>
              </w:rPr>
            </w:pPr>
          </w:p>
          <w:p w14:paraId="4960D425" w14:textId="77777777" w:rsidR="0076298E" w:rsidRPr="00D14C15" w:rsidRDefault="0032633A" w:rsidP="005203A4">
            <w:pPr>
              <w:ind w:left="37"/>
              <w:rPr>
                <w:lang w:val="en-GB"/>
              </w:rPr>
            </w:pPr>
            <w:r w:rsidRPr="005203A4">
              <w:rPr>
                <w:lang w:val="en-GB"/>
              </w:rPr>
              <w:t>ESO4.4</w:t>
            </w:r>
            <w:r w:rsidR="005203A4" w:rsidRPr="005203A4">
              <w:rPr>
                <w:lang w:val="en-GB"/>
              </w:rPr>
              <w:t>:</w:t>
            </w:r>
            <w:r w:rsidR="005203A4">
              <w:rPr>
                <w:lang w:val="en-GB"/>
              </w:rPr>
              <w:t xml:space="preserve"> </w:t>
            </w:r>
            <w:r w:rsidR="005203A4" w:rsidRPr="005203A4">
              <w:rPr>
                <w:lang w:val="en-GB"/>
              </w:rPr>
              <w:t>Promoting the adaptation of workers, enterprises and entrepreneurs to change, active and healthy ageing and a healthy and well-adapted working environment that addresses health risks</w:t>
            </w:r>
          </w:p>
        </w:tc>
        <w:tc>
          <w:tcPr>
            <w:tcW w:w="8647" w:type="dxa"/>
          </w:tcPr>
          <w:p w14:paraId="22B76CCE" w14:textId="77777777" w:rsidR="0076298E" w:rsidRPr="00D14C15" w:rsidRDefault="00407F84">
            <w:pPr>
              <w:pStyle w:val="TableParagraph"/>
              <w:ind w:left="104" w:right="67"/>
              <w:jc w:val="both"/>
              <w:rPr>
                <w:lang w:val="en-GB"/>
              </w:rPr>
            </w:pPr>
            <w:r>
              <w:rPr>
                <w:lang w:val="en-GB"/>
              </w:rPr>
              <w:t>A</w:t>
            </w:r>
            <w:r w:rsidRPr="00D14C15">
              <w:rPr>
                <w:lang w:val="en-GB"/>
              </w:rPr>
              <w:t>geing</w:t>
            </w:r>
            <w:r>
              <w:rPr>
                <w:lang w:val="en-GB"/>
              </w:rPr>
              <w:t xml:space="preserve"> of the population has resulted in </w:t>
            </w:r>
            <w:r w:rsidR="00FF395F">
              <w:rPr>
                <w:lang w:val="en-GB"/>
              </w:rPr>
              <w:t xml:space="preserve">Slovenia’s declining </w:t>
            </w:r>
            <w:r w:rsidR="0032633A" w:rsidRPr="00D14C15">
              <w:rPr>
                <w:lang w:val="en-GB"/>
              </w:rPr>
              <w:t>working-age population</w:t>
            </w:r>
            <w:r w:rsidR="00FF395F">
              <w:rPr>
                <w:lang w:val="en-GB"/>
              </w:rPr>
              <w:t xml:space="preserve"> ever</w:t>
            </w:r>
            <w:r>
              <w:rPr>
                <w:lang w:val="en-GB"/>
              </w:rPr>
              <w:t xml:space="preserve"> </w:t>
            </w:r>
            <w:r w:rsidR="0032633A" w:rsidRPr="00D14C15">
              <w:rPr>
                <w:lang w:val="en-GB"/>
              </w:rPr>
              <w:t>since 2021</w:t>
            </w:r>
            <w:r w:rsidR="00FF395F">
              <w:rPr>
                <w:lang w:val="en-GB"/>
              </w:rPr>
              <w:t>.</w:t>
            </w:r>
            <w:r w:rsidR="0032633A" w:rsidRPr="00D14C15">
              <w:rPr>
                <w:lang w:val="en-GB"/>
              </w:rPr>
              <w:t xml:space="preserve"> </w:t>
            </w:r>
            <w:r>
              <w:rPr>
                <w:lang w:val="en-GB"/>
              </w:rPr>
              <w:t>A</w:t>
            </w:r>
            <w:r w:rsidR="0032633A" w:rsidRPr="00D14C15">
              <w:rPr>
                <w:lang w:val="en-GB"/>
              </w:rPr>
              <w:t xml:space="preserve">ccording to </w:t>
            </w:r>
            <w:r>
              <w:rPr>
                <w:lang w:val="en-GB"/>
              </w:rPr>
              <w:t>population</w:t>
            </w:r>
            <w:r w:rsidR="0032633A" w:rsidRPr="00D14C15">
              <w:rPr>
                <w:lang w:val="en-GB"/>
              </w:rPr>
              <w:t xml:space="preserve"> projections, the decline will </w:t>
            </w:r>
            <w:r>
              <w:rPr>
                <w:lang w:val="en-GB"/>
              </w:rPr>
              <w:t xml:space="preserve">continue. </w:t>
            </w:r>
            <w:r w:rsidR="0032633A" w:rsidRPr="00D14C15">
              <w:rPr>
                <w:lang w:val="en-GB"/>
              </w:rPr>
              <w:t xml:space="preserve">In five years, one in four employees will be over 55 years old. </w:t>
            </w:r>
            <w:r>
              <w:rPr>
                <w:lang w:val="en-GB"/>
              </w:rPr>
              <w:t xml:space="preserve">Slovenia’s labour force participation rate of older population </w:t>
            </w:r>
            <w:r w:rsidR="0032633A" w:rsidRPr="00D14C15">
              <w:rPr>
                <w:lang w:val="en-GB"/>
              </w:rPr>
              <w:t>age</w:t>
            </w:r>
            <w:r>
              <w:rPr>
                <w:lang w:val="en-GB"/>
              </w:rPr>
              <w:t>d</w:t>
            </w:r>
            <w:r w:rsidR="0032633A" w:rsidRPr="00D14C15">
              <w:rPr>
                <w:lang w:val="en-GB"/>
              </w:rPr>
              <w:t xml:space="preserve"> </w:t>
            </w:r>
            <w:r>
              <w:rPr>
                <w:lang w:val="en-GB"/>
              </w:rPr>
              <w:t xml:space="preserve">55 to </w:t>
            </w:r>
            <w:r w:rsidR="0032633A" w:rsidRPr="00D14C15">
              <w:rPr>
                <w:lang w:val="en-GB"/>
              </w:rPr>
              <w:t xml:space="preserve">64 is among </w:t>
            </w:r>
            <w:r>
              <w:rPr>
                <w:lang w:val="en-GB"/>
              </w:rPr>
              <w:t xml:space="preserve">the lowest in the EU, namely </w:t>
            </w:r>
            <w:r w:rsidR="0032633A" w:rsidRPr="00D14C15">
              <w:rPr>
                <w:lang w:val="en-GB"/>
              </w:rPr>
              <w:t>52.3% (EU27 average: 60.8%,</w:t>
            </w:r>
            <w:r w:rsidR="0032633A" w:rsidRPr="00D14C15">
              <w:rPr>
                <w:rFonts w:cs="Arial"/>
                <w:lang w:val="en-GB"/>
              </w:rPr>
              <w:t xml:space="preserve"> OECD: 61.7%)</w:t>
            </w:r>
            <w:r w:rsidR="0032633A" w:rsidRPr="00D14C15">
              <w:rPr>
                <w:lang w:val="en-GB"/>
              </w:rPr>
              <w:t xml:space="preserve">. </w:t>
            </w:r>
            <w:r w:rsidR="00013AB7">
              <w:rPr>
                <w:lang w:val="en-GB"/>
              </w:rPr>
              <w:t>A</w:t>
            </w:r>
            <w:r w:rsidR="00013AB7" w:rsidRPr="00D14C15">
              <w:rPr>
                <w:lang w:val="en-GB"/>
              </w:rPr>
              <w:t>ccording to EUROSTAT data</w:t>
            </w:r>
            <w:r w:rsidR="00013AB7">
              <w:rPr>
                <w:lang w:val="en-GB"/>
              </w:rPr>
              <w:t>,</w:t>
            </w:r>
            <w:r w:rsidR="00013AB7" w:rsidRPr="00D14C15">
              <w:rPr>
                <w:lang w:val="en-GB"/>
              </w:rPr>
              <w:t xml:space="preserve"> </w:t>
            </w:r>
            <w:r w:rsidR="00013AB7">
              <w:rPr>
                <w:lang w:val="en-GB"/>
              </w:rPr>
              <w:t xml:space="preserve">Slovenia’s </w:t>
            </w:r>
            <w:r>
              <w:rPr>
                <w:lang w:val="en-GB"/>
              </w:rPr>
              <w:t xml:space="preserve">old age dependency ratio of older </w:t>
            </w:r>
            <w:r w:rsidR="0032633A" w:rsidRPr="00D14C15">
              <w:rPr>
                <w:lang w:val="en-GB"/>
              </w:rPr>
              <w:t xml:space="preserve">population </w:t>
            </w:r>
            <w:r w:rsidR="00013AB7">
              <w:rPr>
                <w:lang w:val="en-GB"/>
              </w:rPr>
              <w:t xml:space="preserve">will rise from </w:t>
            </w:r>
            <w:r w:rsidRPr="00D14C15">
              <w:rPr>
                <w:lang w:val="en-GB"/>
              </w:rPr>
              <w:t xml:space="preserve">30.5% in 2019 </w:t>
            </w:r>
            <w:r>
              <w:rPr>
                <w:lang w:val="en-GB"/>
              </w:rPr>
              <w:t xml:space="preserve">(EU27: </w:t>
            </w:r>
            <w:r w:rsidR="0032633A" w:rsidRPr="00D14C15">
              <w:rPr>
                <w:lang w:val="en-GB"/>
              </w:rPr>
              <w:t>31.4 %</w:t>
            </w:r>
            <w:r w:rsidR="00013AB7">
              <w:rPr>
                <w:lang w:val="en-GB"/>
              </w:rPr>
              <w:t>) to 54</w:t>
            </w:r>
            <w:r w:rsidR="0032633A" w:rsidRPr="00D14C15">
              <w:rPr>
                <w:lang w:val="en-GB"/>
              </w:rPr>
              <w:t xml:space="preserve">% by 2050 (EU27: 59.8%). Key challenges </w:t>
            </w:r>
            <w:r w:rsidR="00013AB7">
              <w:rPr>
                <w:lang w:val="en-GB"/>
              </w:rPr>
              <w:t>are</w:t>
            </w:r>
            <w:r w:rsidR="0032633A" w:rsidRPr="00D14C15">
              <w:rPr>
                <w:lang w:val="en-GB"/>
              </w:rPr>
              <w:t xml:space="preserve"> ensur</w:t>
            </w:r>
            <w:r w:rsidR="00013AB7">
              <w:rPr>
                <w:lang w:val="en-GB"/>
              </w:rPr>
              <w:t>ing</w:t>
            </w:r>
            <w:r w:rsidR="0032633A" w:rsidRPr="00D14C15">
              <w:rPr>
                <w:lang w:val="en-GB"/>
              </w:rPr>
              <w:t xml:space="preserve"> </w:t>
            </w:r>
            <w:r w:rsidR="00013AB7">
              <w:rPr>
                <w:lang w:val="en-GB"/>
              </w:rPr>
              <w:t>that</w:t>
            </w:r>
            <w:r w:rsidR="0032633A" w:rsidRPr="00D14C15">
              <w:rPr>
                <w:lang w:val="en-GB"/>
              </w:rPr>
              <w:t xml:space="preserve"> </w:t>
            </w:r>
            <w:r w:rsidR="00013AB7" w:rsidRPr="00D14C15">
              <w:rPr>
                <w:lang w:val="en-GB"/>
              </w:rPr>
              <w:t>older employees</w:t>
            </w:r>
            <w:r w:rsidR="00013AB7">
              <w:rPr>
                <w:lang w:val="en-GB"/>
              </w:rPr>
              <w:t xml:space="preserve"> have</w:t>
            </w:r>
            <w:r w:rsidR="00013AB7" w:rsidRPr="00D14C15">
              <w:rPr>
                <w:lang w:val="en-GB"/>
              </w:rPr>
              <w:t xml:space="preserve"> </w:t>
            </w:r>
            <w:r w:rsidR="0032633A" w:rsidRPr="00D14C15">
              <w:rPr>
                <w:lang w:val="en-GB"/>
              </w:rPr>
              <w:t xml:space="preserve">adequate skills </w:t>
            </w:r>
            <w:r w:rsidR="00013AB7">
              <w:rPr>
                <w:lang w:val="en-GB"/>
              </w:rPr>
              <w:t>also due the</w:t>
            </w:r>
            <w:r w:rsidR="0032633A" w:rsidRPr="00D14C15">
              <w:rPr>
                <w:lang w:val="en-GB"/>
              </w:rPr>
              <w:t xml:space="preserve"> low participation </w:t>
            </w:r>
            <w:r w:rsidR="00013AB7">
              <w:rPr>
                <w:lang w:val="en-GB"/>
              </w:rPr>
              <w:t>in</w:t>
            </w:r>
            <w:r w:rsidR="0032633A" w:rsidRPr="00D14C15">
              <w:rPr>
                <w:lang w:val="en-GB"/>
              </w:rPr>
              <w:t xml:space="preserve"> </w:t>
            </w:r>
            <w:r w:rsidR="00013AB7">
              <w:rPr>
                <w:lang w:val="en-GB"/>
              </w:rPr>
              <w:t xml:space="preserve">lifelong learning, </w:t>
            </w:r>
            <w:r w:rsidR="0032633A" w:rsidRPr="00D14C15">
              <w:rPr>
                <w:lang w:val="en-GB"/>
              </w:rPr>
              <w:t>and motivat</w:t>
            </w:r>
            <w:r w:rsidR="00013AB7">
              <w:rPr>
                <w:lang w:val="en-GB"/>
              </w:rPr>
              <w:t>ing</w:t>
            </w:r>
            <w:r w:rsidR="0032633A" w:rsidRPr="00D14C15">
              <w:rPr>
                <w:lang w:val="en-GB"/>
              </w:rPr>
              <w:t xml:space="preserve"> older people to </w:t>
            </w:r>
            <w:r w:rsidR="00013AB7">
              <w:rPr>
                <w:lang w:val="en-GB"/>
              </w:rPr>
              <w:t xml:space="preserve">stay employed </w:t>
            </w:r>
            <w:r w:rsidR="0032633A" w:rsidRPr="00D14C15">
              <w:rPr>
                <w:lang w:val="en-GB"/>
              </w:rPr>
              <w:t xml:space="preserve">longer. </w:t>
            </w:r>
            <w:r w:rsidR="0032633A" w:rsidRPr="00D14C15">
              <w:rPr>
                <w:rFonts w:cs="Arial"/>
                <w:lang w:val="en-GB"/>
              </w:rPr>
              <w:t xml:space="preserve">The latter </w:t>
            </w:r>
            <w:r w:rsidR="00111B9A">
              <w:rPr>
                <w:rFonts w:cs="Arial"/>
                <w:lang w:val="en-GB"/>
              </w:rPr>
              <w:t xml:space="preserve">is essential due to the </w:t>
            </w:r>
            <w:r w:rsidR="00FF395F">
              <w:rPr>
                <w:rFonts w:cs="Arial"/>
                <w:lang w:val="en-GB"/>
              </w:rPr>
              <w:t xml:space="preserve">risk of </w:t>
            </w:r>
            <w:r w:rsidR="0032633A" w:rsidRPr="00D14C15">
              <w:rPr>
                <w:rFonts w:cs="Arial"/>
                <w:lang w:val="en-GB"/>
              </w:rPr>
              <w:t xml:space="preserve">increase in pension expenditure (from 10.0% of GDP in 2019 to 15.7% of GDP in 2050) and low pensions (183,000 pensioners receive an old-age pension below the at-risk-of-poverty threshold </w:t>
            </w:r>
            <w:r w:rsidR="00111B9A">
              <w:rPr>
                <w:lang w:val="en-GB"/>
              </w:rPr>
              <w:t xml:space="preserve">(EUR </w:t>
            </w:r>
            <w:r w:rsidR="00111B9A">
              <w:rPr>
                <w:color w:val="333333"/>
                <w:shd w:val="clear" w:color="auto" w:fill="FFFFFF"/>
                <w:lang w:val="en-GB"/>
              </w:rPr>
              <w:t>739</w:t>
            </w:r>
            <w:r w:rsidR="0032633A" w:rsidRPr="00D14C15">
              <w:rPr>
                <w:color w:val="333333"/>
                <w:shd w:val="clear" w:color="auto" w:fill="FFFFFF"/>
                <w:lang w:val="en-GB"/>
              </w:rPr>
              <w:t xml:space="preserve">). </w:t>
            </w:r>
            <w:r w:rsidR="0032633A" w:rsidRPr="00D14C15">
              <w:rPr>
                <w:lang w:val="en-GB"/>
              </w:rPr>
              <w:t xml:space="preserve">The low employment rate of older people is certainly also </w:t>
            </w:r>
            <w:r w:rsidR="00111B9A">
              <w:rPr>
                <w:lang w:val="en-GB"/>
              </w:rPr>
              <w:t>related</w:t>
            </w:r>
            <w:r w:rsidR="0032633A" w:rsidRPr="00D14C15">
              <w:rPr>
                <w:lang w:val="en-GB"/>
              </w:rPr>
              <w:t xml:space="preserve"> to the indicator of healthy life years, which is below the EU average in Slovenia, and the self-assessment of health and disability is also well below the EU average. </w:t>
            </w:r>
            <w:r w:rsidR="00111B9A">
              <w:rPr>
                <w:lang w:val="en-GB"/>
              </w:rPr>
              <w:t xml:space="preserve">These issues should be </w:t>
            </w:r>
            <w:r w:rsidR="00111B9A">
              <w:rPr>
                <w:lang w:val="en-GB"/>
              </w:rPr>
              <w:lastRenderedPageBreak/>
              <w:t xml:space="preserve">addressed </w:t>
            </w:r>
            <w:r w:rsidR="0032633A" w:rsidRPr="00D14C15">
              <w:rPr>
                <w:lang w:val="en-GB"/>
              </w:rPr>
              <w:t>in a comprehensive manner.</w:t>
            </w:r>
          </w:p>
          <w:p w14:paraId="71D5DABF" w14:textId="77777777" w:rsidR="0076298E" w:rsidRPr="00D14C15" w:rsidRDefault="0076298E">
            <w:pPr>
              <w:pStyle w:val="TableParagraph"/>
              <w:ind w:right="67"/>
              <w:jc w:val="both"/>
              <w:rPr>
                <w:lang w:val="en-GB"/>
              </w:rPr>
            </w:pPr>
          </w:p>
          <w:p w14:paraId="3435CF44" w14:textId="77777777" w:rsidR="007C7490" w:rsidRDefault="00111B9A" w:rsidP="007C7490">
            <w:pPr>
              <w:pStyle w:val="TableParagraph"/>
              <w:ind w:left="104" w:right="67"/>
              <w:jc w:val="both"/>
              <w:rPr>
                <w:vertAlign w:val="superscript"/>
                <w:lang w:val="en-GB"/>
              </w:rPr>
            </w:pPr>
            <w:r>
              <w:rPr>
                <w:lang w:val="en-GB"/>
              </w:rPr>
              <w:t>In terms</w:t>
            </w:r>
            <w:r w:rsidR="0032633A" w:rsidRPr="00D14C15">
              <w:rPr>
                <w:lang w:val="en-GB"/>
              </w:rPr>
              <w:t xml:space="preserve"> of fair working conditions, precarious work </w:t>
            </w:r>
            <w:r>
              <w:rPr>
                <w:lang w:val="en-GB"/>
              </w:rPr>
              <w:t xml:space="preserve">is a </w:t>
            </w:r>
            <w:r w:rsidR="0032633A" w:rsidRPr="00D14C15">
              <w:rPr>
                <w:lang w:val="en-GB"/>
              </w:rPr>
              <w:t xml:space="preserve">common </w:t>
            </w:r>
            <w:r>
              <w:rPr>
                <w:lang w:val="en-GB"/>
              </w:rPr>
              <w:t>form of employment in</w:t>
            </w:r>
            <w:r w:rsidR="0032633A" w:rsidRPr="00D14C15">
              <w:rPr>
                <w:lang w:val="en-GB"/>
              </w:rPr>
              <w:t xml:space="preserve"> Slovenia, </w:t>
            </w:r>
            <w:r>
              <w:rPr>
                <w:lang w:val="en-GB"/>
              </w:rPr>
              <w:t xml:space="preserve">and </w:t>
            </w:r>
            <w:r w:rsidRPr="00D14C15">
              <w:rPr>
                <w:lang w:val="en-GB"/>
              </w:rPr>
              <w:t>worker</w:t>
            </w:r>
            <w:r>
              <w:rPr>
                <w:lang w:val="en-GB"/>
              </w:rPr>
              <w:t>s do not v</w:t>
            </w:r>
            <w:r w:rsidR="0032633A" w:rsidRPr="00D14C15">
              <w:rPr>
                <w:lang w:val="en-GB"/>
              </w:rPr>
              <w:t>oluntar</w:t>
            </w:r>
            <w:r>
              <w:rPr>
                <w:lang w:val="en-GB"/>
              </w:rPr>
              <w:t>ily decide for the uncertainty that such form of employment brings</w:t>
            </w:r>
            <w:r w:rsidR="0032633A" w:rsidRPr="00D14C15">
              <w:rPr>
                <w:lang w:val="en-GB"/>
              </w:rPr>
              <w:t xml:space="preserve">. The risk of </w:t>
            </w:r>
            <w:r w:rsidRPr="00D14C15">
              <w:rPr>
                <w:lang w:val="en-GB"/>
              </w:rPr>
              <w:t xml:space="preserve">precarious work </w:t>
            </w:r>
            <w:r>
              <w:rPr>
                <w:lang w:val="en-GB"/>
              </w:rPr>
              <w:t xml:space="preserve">is most </w:t>
            </w:r>
            <w:r w:rsidR="007C7490">
              <w:rPr>
                <w:lang w:val="en-GB"/>
              </w:rPr>
              <w:t>characteristic</w:t>
            </w:r>
            <w:r>
              <w:rPr>
                <w:lang w:val="en-GB"/>
              </w:rPr>
              <w:t xml:space="preserve"> for</w:t>
            </w:r>
            <w:r w:rsidR="0032633A" w:rsidRPr="00D14C15">
              <w:rPr>
                <w:lang w:val="en-GB"/>
              </w:rPr>
              <w:t xml:space="preserve"> student</w:t>
            </w:r>
            <w:r>
              <w:rPr>
                <w:lang w:val="en-GB"/>
              </w:rPr>
              <w:t>s</w:t>
            </w:r>
            <w:r w:rsidR="0032633A" w:rsidRPr="00D14C15">
              <w:rPr>
                <w:lang w:val="en-GB"/>
              </w:rPr>
              <w:t>, agency workers, economically dependent self-employed persons, platform workers and individuals working mainly through civil</w:t>
            </w:r>
            <w:r w:rsidR="007C7490">
              <w:rPr>
                <w:lang w:val="en-GB"/>
              </w:rPr>
              <w:t>-law</w:t>
            </w:r>
            <w:r w:rsidR="0032633A" w:rsidRPr="00D14C15">
              <w:rPr>
                <w:lang w:val="en-GB"/>
              </w:rPr>
              <w:t xml:space="preserve"> contracts, as well as employees with employment contracts </w:t>
            </w:r>
            <w:r w:rsidR="007C7490">
              <w:rPr>
                <w:lang w:val="en-GB"/>
              </w:rPr>
              <w:t xml:space="preserve">concluded for a period </w:t>
            </w:r>
            <w:r w:rsidR="0032633A" w:rsidRPr="00D14C15">
              <w:rPr>
                <w:lang w:val="en-GB"/>
              </w:rPr>
              <w:t>of less than three months</w:t>
            </w:r>
            <w:r w:rsidR="00057B17">
              <w:rPr>
                <w:lang w:val="en-GB"/>
              </w:rPr>
              <w:t>.</w:t>
            </w:r>
            <w:r w:rsidR="0032633A" w:rsidRPr="00D14C15">
              <w:rPr>
                <w:rStyle w:val="Sprotnaopomba-sklic"/>
                <w:lang w:val="en-GB"/>
              </w:rPr>
              <w:footnoteReference w:id="94"/>
            </w:r>
            <w:r w:rsidR="00057B17" w:rsidRPr="00057B17">
              <w:rPr>
                <w:vertAlign w:val="superscript"/>
                <w:lang w:val="en-GB"/>
              </w:rPr>
              <w:t xml:space="preserve">, </w:t>
            </w:r>
            <w:r w:rsidR="0032633A" w:rsidRPr="00057B17">
              <w:rPr>
                <w:vertAlign w:val="superscript"/>
                <w:lang w:val="en-GB"/>
              </w:rPr>
              <w:footnoteReference w:id="95"/>
            </w:r>
          </w:p>
          <w:p w14:paraId="0F5D438A" w14:textId="77777777" w:rsidR="007C7490" w:rsidRDefault="007C7490" w:rsidP="007C7490">
            <w:pPr>
              <w:pStyle w:val="TableParagraph"/>
              <w:ind w:left="104" w:right="67"/>
              <w:jc w:val="both"/>
              <w:rPr>
                <w:lang w:val="en-GB"/>
              </w:rPr>
            </w:pPr>
          </w:p>
          <w:p w14:paraId="07F4C4D3" w14:textId="77777777" w:rsidR="0076298E" w:rsidRPr="00D14C15" w:rsidRDefault="007C7490" w:rsidP="007C7490">
            <w:pPr>
              <w:pStyle w:val="TableParagraph"/>
              <w:ind w:left="104" w:right="67"/>
              <w:jc w:val="both"/>
              <w:rPr>
                <w:lang w:val="en-GB"/>
              </w:rPr>
            </w:pPr>
            <w:r>
              <w:rPr>
                <w:lang w:val="en-GB"/>
              </w:rPr>
              <w:t>Occupational safety and health</w:t>
            </w:r>
            <w:r w:rsidR="0032633A" w:rsidRPr="00D14C15">
              <w:rPr>
                <w:lang w:val="en-GB"/>
              </w:rPr>
              <w:t xml:space="preserve"> is not sufficiently aligned with </w:t>
            </w:r>
            <w:r w:rsidR="00611221">
              <w:rPr>
                <w:lang w:val="en-GB"/>
              </w:rPr>
              <w:t xml:space="preserve">the </w:t>
            </w:r>
            <w:r w:rsidR="0032633A" w:rsidRPr="00D14C15">
              <w:rPr>
                <w:lang w:val="en-GB"/>
              </w:rPr>
              <w:t>cha</w:t>
            </w:r>
            <w:r w:rsidR="00611221">
              <w:rPr>
                <w:lang w:val="en-GB"/>
              </w:rPr>
              <w:t>nging forms of work and the changed conditions, which ha</w:t>
            </w:r>
            <w:r>
              <w:rPr>
                <w:lang w:val="en-GB"/>
              </w:rPr>
              <w:t>ve</w:t>
            </w:r>
            <w:r w:rsidR="00611221">
              <w:rPr>
                <w:lang w:val="en-GB"/>
              </w:rPr>
              <w:t xml:space="preserve"> become even more pronounced </w:t>
            </w:r>
            <w:r w:rsidR="0032633A" w:rsidRPr="00D14C15">
              <w:rPr>
                <w:lang w:val="en-GB"/>
              </w:rPr>
              <w:t xml:space="preserve">by the </w:t>
            </w:r>
            <w:r w:rsidR="00AD717F">
              <w:rPr>
                <w:rFonts w:eastAsia="Calibri"/>
                <w:lang w:val="en-GB"/>
              </w:rPr>
              <w:t>COVID</w:t>
            </w:r>
            <w:r w:rsidR="0032633A" w:rsidRPr="00D14C15">
              <w:rPr>
                <w:lang w:val="en-GB"/>
              </w:rPr>
              <w:t xml:space="preserve">-19 epidemic (increasing teleworking and </w:t>
            </w:r>
            <w:r w:rsidRPr="00D14C15">
              <w:rPr>
                <w:lang w:val="en-GB"/>
              </w:rPr>
              <w:t xml:space="preserve">volume </w:t>
            </w:r>
            <w:r>
              <w:rPr>
                <w:lang w:val="en-GB"/>
              </w:rPr>
              <w:t xml:space="preserve">of </w:t>
            </w:r>
            <w:r w:rsidR="0032633A" w:rsidRPr="00D14C15">
              <w:rPr>
                <w:lang w:val="en-GB"/>
              </w:rPr>
              <w:t>work, etc.)</w:t>
            </w:r>
            <w:r w:rsidR="00611221">
              <w:rPr>
                <w:lang w:val="en-GB"/>
              </w:rPr>
              <w:t>,</w:t>
            </w:r>
            <w:r w:rsidR="0032633A" w:rsidRPr="00D14C15">
              <w:rPr>
                <w:lang w:val="en-GB"/>
              </w:rPr>
              <w:t xml:space="preserve"> and is not sufficiently adapted to the ageing of the population and the workforce and to the digital and green transitions.</w:t>
            </w:r>
            <w:r w:rsidR="0032633A" w:rsidRPr="00611221">
              <w:rPr>
                <w:vertAlign w:val="superscript"/>
                <w:lang w:val="en-GB"/>
              </w:rPr>
              <w:footnoteReference w:id="96"/>
            </w:r>
            <w:r w:rsidR="0032633A" w:rsidRPr="00D14C15">
              <w:rPr>
                <w:lang w:val="en-GB"/>
              </w:rPr>
              <w:t xml:space="preserve"> </w:t>
            </w:r>
          </w:p>
          <w:p w14:paraId="542F9543" w14:textId="77777777" w:rsidR="0076298E" w:rsidRPr="00D14C15" w:rsidRDefault="0076298E">
            <w:pPr>
              <w:pStyle w:val="TableParagraph"/>
              <w:ind w:left="104" w:right="67"/>
              <w:jc w:val="both"/>
              <w:rPr>
                <w:lang w:val="en-GB"/>
              </w:rPr>
            </w:pPr>
          </w:p>
          <w:p w14:paraId="407E1789" w14:textId="77777777" w:rsidR="0076298E" w:rsidRPr="00D14C15" w:rsidRDefault="0032633A">
            <w:pPr>
              <w:pStyle w:val="TableParagraph"/>
              <w:ind w:left="104" w:right="67"/>
              <w:jc w:val="both"/>
              <w:rPr>
                <w:lang w:val="en-GB"/>
              </w:rPr>
            </w:pPr>
            <w:r w:rsidRPr="00D14C15">
              <w:rPr>
                <w:lang w:val="en-GB"/>
              </w:rPr>
              <w:t xml:space="preserve">A pressing problem among employees in the prison system is occupational burnout, which </w:t>
            </w:r>
            <w:r w:rsidR="007C7490">
              <w:rPr>
                <w:lang w:val="en-GB"/>
              </w:rPr>
              <w:t xml:space="preserve">is the </w:t>
            </w:r>
            <w:r w:rsidR="00611221">
              <w:rPr>
                <w:lang w:val="en-GB"/>
              </w:rPr>
              <w:t>result</w:t>
            </w:r>
            <w:r w:rsidRPr="00D14C15">
              <w:rPr>
                <w:lang w:val="en-GB"/>
              </w:rPr>
              <w:t xml:space="preserve"> </w:t>
            </w:r>
            <w:r w:rsidR="007C7490">
              <w:rPr>
                <w:lang w:val="en-GB"/>
              </w:rPr>
              <w:t>of the</w:t>
            </w:r>
            <w:r w:rsidRPr="00D14C15">
              <w:rPr>
                <w:lang w:val="en-GB"/>
              </w:rPr>
              <w:t xml:space="preserve"> lack of knowledge and skills to cope with everyday stressful situations when working with incarcerated persons. </w:t>
            </w:r>
          </w:p>
          <w:p w14:paraId="4059C7B3" w14:textId="77777777" w:rsidR="0076298E" w:rsidRPr="00D14C15" w:rsidRDefault="0076298E">
            <w:pPr>
              <w:pStyle w:val="TableParagraph"/>
              <w:ind w:left="104" w:right="67"/>
              <w:jc w:val="both"/>
              <w:rPr>
                <w:lang w:val="en-GB"/>
              </w:rPr>
            </w:pPr>
          </w:p>
          <w:p w14:paraId="4F4EEB34" w14:textId="77777777" w:rsidR="0076298E" w:rsidRPr="00D14C15" w:rsidRDefault="00AC6618">
            <w:pPr>
              <w:pStyle w:val="TableParagraph"/>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77FEA495" w14:textId="77777777" w:rsidTr="00E1518F">
        <w:trPr>
          <w:trHeight w:val="599"/>
        </w:trPr>
        <w:tc>
          <w:tcPr>
            <w:tcW w:w="2268" w:type="dxa"/>
            <w:vMerge/>
          </w:tcPr>
          <w:p w14:paraId="5FFA28A8" w14:textId="77777777" w:rsidR="0076298E" w:rsidRPr="00D14C15" w:rsidRDefault="0076298E">
            <w:pPr>
              <w:pStyle w:val="TableParagraph"/>
              <w:ind w:left="115"/>
              <w:rPr>
                <w:lang w:val="en-GB"/>
              </w:rPr>
            </w:pPr>
          </w:p>
        </w:tc>
        <w:tc>
          <w:tcPr>
            <w:tcW w:w="3119" w:type="dxa"/>
          </w:tcPr>
          <w:p w14:paraId="1AF690AC" w14:textId="77777777" w:rsidR="0076298E" w:rsidRPr="00D14C15" w:rsidRDefault="0032633A">
            <w:pPr>
              <w:ind w:left="37"/>
              <w:rPr>
                <w:lang w:val="en-GB"/>
              </w:rPr>
            </w:pPr>
            <w:r w:rsidRPr="00D14C15">
              <w:rPr>
                <w:lang w:val="en-GB"/>
              </w:rPr>
              <w:t>P</w:t>
            </w:r>
            <w:r w:rsidR="00B27B8C">
              <w:rPr>
                <w:lang w:val="en-GB"/>
              </w:rPr>
              <w:t>riority</w:t>
            </w:r>
            <w:r w:rsidRPr="00D14C15">
              <w:rPr>
                <w:lang w:val="en-GB"/>
              </w:rPr>
              <w:t xml:space="preserve"> 6: </w:t>
            </w:r>
            <w:r w:rsidRPr="00545D4E">
              <w:rPr>
                <w:lang w:val="en-GB"/>
              </w:rPr>
              <w:t>Skills and responsive labour market</w:t>
            </w:r>
          </w:p>
          <w:p w14:paraId="0018CF95" w14:textId="77777777" w:rsidR="0076298E" w:rsidRPr="00D14C15" w:rsidRDefault="0076298E">
            <w:pPr>
              <w:ind w:left="37"/>
              <w:rPr>
                <w:lang w:val="en-GB"/>
              </w:rPr>
            </w:pPr>
          </w:p>
          <w:p w14:paraId="52E04A57" w14:textId="77777777" w:rsidR="0076298E" w:rsidRPr="00D14C15" w:rsidRDefault="0032633A">
            <w:pPr>
              <w:ind w:left="37"/>
              <w:rPr>
                <w:lang w:val="en-GB"/>
              </w:rPr>
            </w:pPr>
            <w:r w:rsidRPr="00CF4F34">
              <w:rPr>
                <w:lang w:val="en-GB"/>
              </w:rPr>
              <w:t>ESO4.5:</w:t>
            </w:r>
            <w:r w:rsidRPr="00D14C15">
              <w:rPr>
                <w:lang w:val="en-GB"/>
              </w:rPr>
              <w:t xml:space="preserve"> </w:t>
            </w:r>
            <w:r w:rsidR="00CF4F34" w:rsidRPr="00CF4F34">
              <w:rPr>
                <w:lang w:val="en-GB"/>
              </w:rPr>
              <w:t xml:space="preserve">Improving the quality, inclusiveness, effectiveness and labour market relevance of education and training systems including through validation of non-formal and informal learning, to support acquisition of key competences including entrepreneurial and digital skills, </w:t>
            </w:r>
            <w:r w:rsidR="00CF4F34" w:rsidRPr="00CF4F34">
              <w:rPr>
                <w:lang w:val="en-GB"/>
              </w:rPr>
              <w:lastRenderedPageBreak/>
              <w:t>and by promoting the introduction of dual-training systems and apprenticeships</w:t>
            </w:r>
          </w:p>
        </w:tc>
        <w:tc>
          <w:tcPr>
            <w:tcW w:w="8647" w:type="dxa"/>
          </w:tcPr>
          <w:p w14:paraId="0190C2D4" w14:textId="77777777" w:rsidR="0076298E" w:rsidRPr="00D14C15" w:rsidRDefault="00A9053B" w:rsidP="00A9053B">
            <w:pPr>
              <w:widowControl/>
              <w:autoSpaceDE/>
              <w:autoSpaceDN/>
              <w:ind w:left="104" w:right="67"/>
              <w:jc w:val="both"/>
              <w:rPr>
                <w:rFonts w:eastAsia="Calibri"/>
                <w:lang w:val="en-GB"/>
              </w:rPr>
            </w:pPr>
            <w:r w:rsidRPr="00A9053B">
              <w:rPr>
                <w:rFonts w:eastAsia="Calibri"/>
                <w:lang w:val="en-GB"/>
              </w:rPr>
              <w:lastRenderedPageBreak/>
              <w:t xml:space="preserve"> </w:t>
            </w:r>
            <w:r w:rsidR="007C7490">
              <w:rPr>
                <w:rFonts w:eastAsia="Calibri"/>
                <w:lang w:val="en-GB"/>
              </w:rPr>
              <w:t>I</w:t>
            </w:r>
            <w:r w:rsidR="007C7490" w:rsidRPr="00A9053B">
              <w:rPr>
                <w:rFonts w:eastAsia="Calibri"/>
                <w:lang w:val="en-GB"/>
              </w:rPr>
              <w:t>n recent years</w:t>
            </w:r>
            <w:r w:rsidR="007C7490">
              <w:rPr>
                <w:rFonts w:eastAsia="Calibri"/>
                <w:lang w:val="en-GB"/>
              </w:rPr>
              <w:t>, not</w:t>
            </w:r>
            <w:r w:rsidR="007C7490" w:rsidRPr="00A9053B">
              <w:rPr>
                <w:rFonts w:eastAsia="Calibri"/>
                <w:lang w:val="en-GB"/>
              </w:rPr>
              <w:t xml:space="preserve"> </w:t>
            </w:r>
            <w:r w:rsidRPr="00A9053B">
              <w:rPr>
                <w:rFonts w:eastAsia="Calibri"/>
                <w:lang w:val="en-GB"/>
              </w:rPr>
              <w:t>enough has been done to address knowledge and skills mismatches</w:t>
            </w:r>
            <w:r>
              <w:rPr>
                <w:rFonts w:eastAsia="Calibri"/>
                <w:lang w:val="en-GB"/>
              </w:rPr>
              <w:t xml:space="preserve"> </w:t>
            </w:r>
            <w:r w:rsidRPr="00A9053B">
              <w:rPr>
                <w:rFonts w:eastAsia="Calibri"/>
                <w:lang w:val="en-GB"/>
              </w:rPr>
              <w:t>on the labour market.</w:t>
            </w:r>
            <w:r>
              <w:rPr>
                <w:rFonts w:eastAsia="Calibri"/>
                <w:lang w:val="en-GB"/>
              </w:rPr>
              <w:t xml:space="preserve"> I</w:t>
            </w:r>
            <w:r w:rsidR="0032633A" w:rsidRPr="00D14C15">
              <w:rPr>
                <w:rFonts w:eastAsia="Calibri"/>
                <w:lang w:val="en-GB"/>
              </w:rPr>
              <w:t>nvestment in human resources and human resources development is</w:t>
            </w:r>
            <w:r>
              <w:rPr>
                <w:rFonts w:eastAsia="Calibri"/>
                <w:lang w:val="en-GB"/>
              </w:rPr>
              <w:t xml:space="preserve"> thus</w:t>
            </w:r>
            <w:r w:rsidR="0032633A" w:rsidRPr="00D14C15">
              <w:rPr>
                <w:rFonts w:eastAsia="Calibri"/>
                <w:lang w:val="en-GB"/>
              </w:rPr>
              <w:t xml:space="preserve"> essential</w:t>
            </w:r>
            <w:r w:rsidR="0032633A" w:rsidRPr="00A9053B">
              <w:rPr>
                <w:rFonts w:eastAsia="Calibri"/>
                <w:vertAlign w:val="superscript"/>
                <w:lang w:val="en-GB"/>
              </w:rPr>
              <w:footnoteReference w:id="97"/>
            </w:r>
            <w:r w:rsidR="0032633A" w:rsidRPr="00D14C15">
              <w:rPr>
                <w:rFonts w:eastAsia="Calibri"/>
                <w:lang w:val="en-GB"/>
              </w:rPr>
              <w:t>. Employer surveys show that the demand for 2</w:t>
            </w:r>
            <w:r>
              <w:rPr>
                <w:rFonts w:eastAsia="Calibri"/>
                <w:lang w:val="en-GB"/>
              </w:rPr>
              <w:t>1</w:t>
            </w:r>
            <w:r w:rsidRPr="00A9053B">
              <w:rPr>
                <w:rFonts w:eastAsia="Calibri"/>
                <w:vertAlign w:val="superscript"/>
                <w:lang w:val="en-GB"/>
              </w:rPr>
              <w:t>st</w:t>
            </w:r>
            <w:r>
              <w:rPr>
                <w:rFonts w:eastAsia="Calibri"/>
                <w:lang w:val="en-GB"/>
              </w:rPr>
              <w:t xml:space="preserve"> </w:t>
            </w:r>
            <w:r w:rsidR="0032633A" w:rsidRPr="00D14C15">
              <w:rPr>
                <w:rFonts w:eastAsia="Calibri"/>
                <w:lang w:val="en-GB"/>
              </w:rPr>
              <w:t xml:space="preserve">century skills (problem solving, critical thinking, innovation, etc.) is growing rapidly, </w:t>
            </w:r>
            <w:r>
              <w:rPr>
                <w:rFonts w:eastAsia="Calibri"/>
                <w:lang w:val="en-GB"/>
              </w:rPr>
              <w:t xml:space="preserve">which is also </w:t>
            </w:r>
            <w:r w:rsidR="00705185">
              <w:rPr>
                <w:rFonts w:eastAsia="Calibri"/>
                <w:lang w:val="en-GB"/>
              </w:rPr>
              <w:t>underlined in</w:t>
            </w:r>
            <w:r>
              <w:rPr>
                <w:rFonts w:eastAsia="Calibri"/>
                <w:lang w:val="en-GB"/>
              </w:rPr>
              <w:t xml:space="preserve"> the 2</w:t>
            </w:r>
            <w:r w:rsidR="0032633A" w:rsidRPr="00D14C15">
              <w:rPr>
                <w:rFonts w:eastAsia="Calibri"/>
                <w:lang w:val="en-GB"/>
              </w:rPr>
              <w:t xml:space="preserve">019 Skills Strategy. Young people lack digital, social and emotional </w:t>
            </w:r>
            <w:r>
              <w:rPr>
                <w:rFonts w:eastAsia="Calibri"/>
                <w:lang w:val="en-GB"/>
              </w:rPr>
              <w:t>skills</w:t>
            </w:r>
            <w:r w:rsidR="0032633A" w:rsidRPr="00D14C15">
              <w:rPr>
                <w:rFonts w:eastAsia="Calibri"/>
                <w:lang w:val="en-GB"/>
              </w:rPr>
              <w:t xml:space="preserve"> and all </w:t>
            </w:r>
            <w:r>
              <w:rPr>
                <w:rFonts w:eastAsia="Calibri"/>
                <w:lang w:val="en-GB"/>
              </w:rPr>
              <w:t xml:space="preserve">the </w:t>
            </w:r>
            <w:r w:rsidR="0032633A" w:rsidRPr="00D14C15">
              <w:rPr>
                <w:rFonts w:eastAsia="Calibri"/>
                <w:lang w:val="en-GB"/>
              </w:rPr>
              <w:t xml:space="preserve">key </w:t>
            </w:r>
            <w:r>
              <w:rPr>
                <w:rFonts w:eastAsia="Calibri"/>
                <w:lang w:val="en-GB"/>
              </w:rPr>
              <w:t>competences also</w:t>
            </w:r>
            <w:r w:rsidR="0032633A" w:rsidRPr="00D14C15">
              <w:rPr>
                <w:rFonts w:eastAsia="Calibri"/>
                <w:lang w:val="en-GB"/>
              </w:rPr>
              <w:t xml:space="preserve"> need to be developed</w:t>
            </w:r>
            <w:r w:rsidR="0032633A" w:rsidRPr="00D14C15">
              <w:rPr>
                <w:rStyle w:val="Sprotnaopomba-sklic"/>
                <w:rFonts w:eastAsia="Calibri"/>
                <w:lang w:val="en-GB"/>
              </w:rPr>
              <w:footnoteReference w:id="98"/>
            </w:r>
            <w:r w:rsidR="0032633A" w:rsidRPr="00D14C15">
              <w:rPr>
                <w:rFonts w:eastAsia="Calibri"/>
                <w:lang w:val="en-GB"/>
              </w:rPr>
              <w:t xml:space="preserve">. According to PISA 2018, a high </w:t>
            </w:r>
            <w:r w:rsidR="00705185">
              <w:rPr>
                <w:rFonts w:eastAsia="Calibri"/>
                <w:lang w:val="en-GB"/>
              </w:rPr>
              <w:t>number</w:t>
            </w:r>
            <w:r w:rsidR="0032633A" w:rsidRPr="00D14C15">
              <w:rPr>
                <w:rFonts w:eastAsia="Calibri"/>
                <w:lang w:val="en-GB"/>
              </w:rPr>
              <w:t xml:space="preserve"> of young people fall short of basic literacy levels. Factors influencing performance or educational pathways are mainly socio-economic status, migrant background and gender. In the 2014-2020 period, career centres proved to be an important factor in the quality of decision-making for young people’s career choices </w:t>
            </w:r>
            <w:r w:rsidR="00705185">
              <w:rPr>
                <w:rFonts w:eastAsia="Calibri"/>
                <w:lang w:val="en-GB"/>
              </w:rPr>
              <w:t>that are aligned</w:t>
            </w:r>
            <w:r w:rsidR="0032633A" w:rsidRPr="00D14C15">
              <w:rPr>
                <w:rFonts w:eastAsia="Calibri"/>
                <w:lang w:val="en-GB"/>
              </w:rPr>
              <w:t xml:space="preserve"> with labour market needs.</w:t>
            </w:r>
          </w:p>
          <w:p w14:paraId="298EEA40" w14:textId="77777777" w:rsidR="0076298E" w:rsidRPr="00D14C15" w:rsidRDefault="0076298E">
            <w:pPr>
              <w:widowControl/>
              <w:autoSpaceDE/>
              <w:autoSpaceDN/>
              <w:ind w:left="104" w:right="67"/>
              <w:jc w:val="both"/>
              <w:rPr>
                <w:rFonts w:eastAsia="Calibri"/>
                <w:lang w:val="en-GB"/>
              </w:rPr>
            </w:pPr>
          </w:p>
          <w:p w14:paraId="6ABD6BAC" w14:textId="77777777" w:rsidR="0076298E" w:rsidRPr="00D14C15" w:rsidRDefault="0032633A" w:rsidP="00C26DA9">
            <w:pPr>
              <w:widowControl/>
              <w:autoSpaceDE/>
              <w:autoSpaceDN/>
              <w:ind w:left="104" w:right="67"/>
              <w:jc w:val="both"/>
              <w:rPr>
                <w:rFonts w:eastAsia="Calibri"/>
                <w:lang w:val="en-GB"/>
              </w:rPr>
            </w:pPr>
            <w:r w:rsidRPr="00D14C15">
              <w:rPr>
                <w:rFonts w:eastAsia="Calibri"/>
                <w:lang w:val="en-GB"/>
              </w:rPr>
              <w:lastRenderedPageBreak/>
              <w:t xml:space="preserve">Due to the wider social </w:t>
            </w:r>
            <w:r w:rsidR="00705185">
              <w:rPr>
                <w:rFonts w:eastAsia="Calibri"/>
                <w:lang w:val="en-GB"/>
              </w:rPr>
              <w:t>circumstances</w:t>
            </w:r>
            <w:r w:rsidRPr="00D14C15">
              <w:rPr>
                <w:rFonts w:eastAsia="Calibri"/>
                <w:lang w:val="en-GB"/>
              </w:rPr>
              <w:t xml:space="preserve"> (economic and demographic trends, smaller generations of learners, etc.), which </w:t>
            </w:r>
            <w:r w:rsidR="00705185">
              <w:rPr>
                <w:rFonts w:eastAsia="Calibri"/>
                <w:lang w:val="en-GB"/>
              </w:rPr>
              <w:t xml:space="preserve">impact </w:t>
            </w:r>
            <w:r w:rsidRPr="00D14C15">
              <w:rPr>
                <w:rFonts w:eastAsia="Calibri"/>
                <w:lang w:val="en-GB"/>
              </w:rPr>
              <w:t xml:space="preserve">the perception of the attractiveness and social reputation of </w:t>
            </w:r>
            <w:r w:rsidR="00C26DA9">
              <w:rPr>
                <w:rFonts w:eastAsia="Calibri"/>
                <w:lang w:val="en-GB"/>
              </w:rPr>
              <w:t>professions in the field of education</w:t>
            </w:r>
            <w:r w:rsidRPr="00D14C15">
              <w:rPr>
                <w:rFonts w:eastAsia="Calibri"/>
                <w:lang w:val="en-GB"/>
              </w:rPr>
              <w:t xml:space="preserve"> and reduce the stability of working conditions, fewer pe</w:t>
            </w:r>
            <w:r w:rsidR="00C26DA9">
              <w:rPr>
                <w:rFonts w:eastAsia="Calibri"/>
                <w:lang w:val="en-GB"/>
              </w:rPr>
              <w:t xml:space="preserve">ople opt for this profession with rising </w:t>
            </w:r>
            <w:r w:rsidRPr="00D14C15">
              <w:rPr>
                <w:rFonts w:eastAsia="Calibri"/>
                <w:lang w:val="en-GB"/>
              </w:rPr>
              <w:t xml:space="preserve">exits from the profession. Half of </w:t>
            </w:r>
            <w:r w:rsidR="00C26DA9">
              <w:rPr>
                <w:rFonts w:eastAsia="Calibri"/>
                <w:lang w:val="en-GB"/>
              </w:rPr>
              <w:t xml:space="preserve">the </w:t>
            </w:r>
            <w:r w:rsidRPr="00D14C15">
              <w:rPr>
                <w:rFonts w:eastAsia="Calibri"/>
                <w:lang w:val="en-GB"/>
              </w:rPr>
              <w:t>teachers in tertiary and secondary education and more than one third in primary education are over 50 years old</w:t>
            </w:r>
            <w:r w:rsidRPr="00D14C15">
              <w:rPr>
                <w:rStyle w:val="Sprotnaopomba-sklic"/>
                <w:rFonts w:eastAsia="Calibri"/>
                <w:lang w:val="en-GB"/>
              </w:rPr>
              <w:footnoteReference w:id="99"/>
            </w:r>
            <w:r w:rsidRPr="00D14C15">
              <w:rPr>
                <w:rFonts w:eastAsia="Calibri"/>
                <w:lang w:val="en-GB"/>
              </w:rPr>
              <w:t>. There is also a shortage of specialists for the education of people with special needs</w:t>
            </w:r>
            <w:r w:rsidR="00705185">
              <w:rPr>
                <w:rFonts w:eastAsia="Calibri"/>
                <w:lang w:val="en-GB"/>
              </w:rPr>
              <w:t>;</w:t>
            </w:r>
            <w:r w:rsidRPr="00D14C15">
              <w:rPr>
                <w:rFonts w:eastAsia="Calibri"/>
                <w:lang w:val="en-GB"/>
              </w:rPr>
              <w:t xml:space="preserve"> in rural areas</w:t>
            </w:r>
            <w:r w:rsidR="00705185">
              <w:rPr>
                <w:rFonts w:eastAsia="Calibri"/>
                <w:lang w:val="en-GB"/>
              </w:rPr>
              <w:t xml:space="preserve"> there is also a shortage of</w:t>
            </w:r>
            <w:r w:rsidRPr="00D14C15">
              <w:rPr>
                <w:rFonts w:eastAsia="Calibri"/>
                <w:lang w:val="en-GB"/>
              </w:rPr>
              <w:t xml:space="preserve"> teachers of science, technology, engineering and mathematics</w:t>
            </w:r>
            <w:r w:rsidRPr="00C26DA9">
              <w:rPr>
                <w:rFonts w:eastAsia="Calibri"/>
                <w:vertAlign w:val="superscript"/>
                <w:lang w:val="en-GB"/>
              </w:rPr>
              <w:footnoteReference w:id="100"/>
            </w:r>
            <w:r w:rsidRPr="00D14C15">
              <w:rPr>
                <w:rFonts w:eastAsia="Calibri"/>
                <w:lang w:val="en-GB"/>
              </w:rPr>
              <w:t>.</w:t>
            </w:r>
            <w:r w:rsidRPr="00D14C15">
              <w:rPr>
                <w:lang w:val="en-GB"/>
              </w:rPr>
              <w:t xml:space="preserve"> </w:t>
            </w:r>
          </w:p>
          <w:p w14:paraId="7FD88354" w14:textId="77777777" w:rsidR="0076298E" w:rsidRPr="00D14C15" w:rsidRDefault="0076298E">
            <w:pPr>
              <w:widowControl/>
              <w:autoSpaceDE/>
              <w:autoSpaceDN/>
              <w:ind w:left="104" w:right="67"/>
              <w:jc w:val="both"/>
              <w:rPr>
                <w:rFonts w:eastAsia="Calibri"/>
                <w:lang w:val="en-GB"/>
              </w:rPr>
            </w:pPr>
          </w:p>
          <w:p w14:paraId="30332DF2" w14:textId="77777777" w:rsidR="0076298E" w:rsidRPr="00D14C15" w:rsidRDefault="000816FC">
            <w:pPr>
              <w:widowControl/>
              <w:autoSpaceDE/>
              <w:autoSpaceDN/>
              <w:ind w:left="104" w:right="67"/>
              <w:jc w:val="both"/>
              <w:rPr>
                <w:rFonts w:eastAsia="Calibri"/>
                <w:lang w:val="en-GB"/>
              </w:rPr>
            </w:pPr>
            <w:r>
              <w:rPr>
                <w:rFonts w:eastAsia="Calibri"/>
                <w:lang w:val="en-GB"/>
              </w:rPr>
              <w:t>25</w:t>
            </w:r>
            <w:r w:rsidR="0032633A" w:rsidRPr="00D14C15">
              <w:rPr>
                <w:rFonts w:eastAsia="Calibri"/>
                <w:lang w:val="en-GB"/>
              </w:rPr>
              <w:t xml:space="preserve">% of </w:t>
            </w:r>
            <w:r>
              <w:rPr>
                <w:rFonts w:eastAsia="Calibri"/>
                <w:lang w:val="en-GB"/>
              </w:rPr>
              <w:t>young people</w:t>
            </w:r>
            <w:r w:rsidR="0032633A" w:rsidRPr="00D14C15">
              <w:rPr>
                <w:rFonts w:eastAsia="Calibri"/>
                <w:lang w:val="en-GB"/>
              </w:rPr>
              <w:t xml:space="preserve"> aged 16 and 17 are enrolled in vocational schools. Employers </w:t>
            </w:r>
            <w:r w:rsidR="00536C2C">
              <w:rPr>
                <w:rFonts w:eastAsia="Calibri"/>
                <w:lang w:val="en-GB"/>
              </w:rPr>
              <w:t xml:space="preserve">are in </w:t>
            </w:r>
            <w:r>
              <w:rPr>
                <w:rFonts w:eastAsia="Calibri"/>
                <w:lang w:val="en-GB"/>
              </w:rPr>
              <w:t xml:space="preserve">need </w:t>
            </w:r>
            <w:r w:rsidR="00536C2C">
              <w:rPr>
                <w:rFonts w:eastAsia="Calibri"/>
                <w:lang w:val="en-GB"/>
              </w:rPr>
              <w:t xml:space="preserve">of </w:t>
            </w:r>
            <w:r>
              <w:rPr>
                <w:rFonts w:eastAsia="Calibri"/>
                <w:lang w:val="en-GB"/>
              </w:rPr>
              <w:t>w</w:t>
            </w:r>
            <w:r w:rsidR="00536C2C">
              <w:rPr>
                <w:rFonts w:eastAsia="Calibri"/>
                <w:lang w:val="en-GB"/>
              </w:rPr>
              <w:t xml:space="preserve">orkers with vocational training since </w:t>
            </w:r>
            <w:r w:rsidR="0032633A" w:rsidRPr="00D14C15">
              <w:rPr>
                <w:rFonts w:eastAsia="Calibri"/>
                <w:lang w:val="en-GB"/>
              </w:rPr>
              <w:t xml:space="preserve">older </w:t>
            </w:r>
            <w:r w:rsidR="00536C2C">
              <w:rPr>
                <w:rFonts w:eastAsia="Calibri"/>
                <w:lang w:val="en-GB"/>
              </w:rPr>
              <w:t>workers with proper skills are</w:t>
            </w:r>
            <w:r w:rsidR="0032633A" w:rsidRPr="00D14C15">
              <w:rPr>
                <w:rFonts w:eastAsia="Calibri"/>
                <w:lang w:val="en-GB"/>
              </w:rPr>
              <w:t xml:space="preserve"> leav</w:t>
            </w:r>
            <w:r>
              <w:rPr>
                <w:rFonts w:eastAsia="Calibri"/>
                <w:lang w:val="en-GB"/>
              </w:rPr>
              <w:t xml:space="preserve">ing </w:t>
            </w:r>
            <w:r w:rsidR="0032633A" w:rsidRPr="00D14C15">
              <w:rPr>
                <w:rFonts w:eastAsia="Calibri"/>
                <w:lang w:val="en-GB"/>
              </w:rPr>
              <w:t xml:space="preserve">the labour market. Labour market mismatches </w:t>
            </w:r>
            <w:r w:rsidR="00536C2C">
              <w:rPr>
                <w:rFonts w:eastAsia="Calibri"/>
                <w:lang w:val="en-GB"/>
              </w:rPr>
              <w:t>result</w:t>
            </w:r>
            <w:r w:rsidR="0032633A" w:rsidRPr="00D14C15">
              <w:rPr>
                <w:rFonts w:eastAsia="Calibri"/>
                <w:lang w:val="en-GB"/>
              </w:rPr>
              <w:t xml:space="preserve"> also </w:t>
            </w:r>
            <w:r w:rsidR="00536C2C">
              <w:rPr>
                <w:rFonts w:eastAsia="Calibri"/>
                <w:lang w:val="en-GB"/>
              </w:rPr>
              <w:t xml:space="preserve">from </w:t>
            </w:r>
            <w:r w:rsidR="0032633A" w:rsidRPr="00D14C15">
              <w:rPr>
                <w:rFonts w:eastAsia="Calibri"/>
                <w:lang w:val="en-GB"/>
              </w:rPr>
              <w:t>young people</w:t>
            </w:r>
            <w:r w:rsidR="00536C2C">
              <w:rPr>
                <w:rFonts w:eastAsia="Calibri"/>
                <w:lang w:val="en-GB"/>
              </w:rPr>
              <w:t xml:space="preserve"> not being interested </w:t>
            </w:r>
            <w:r w:rsidR="0032633A" w:rsidRPr="00D14C15">
              <w:rPr>
                <w:rFonts w:eastAsia="Calibri"/>
                <w:lang w:val="en-GB"/>
              </w:rPr>
              <w:t xml:space="preserve">in certain educational programmes, </w:t>
            </w:r>
            <w:r>
              <w:rPr>
                <w:rFonts w:eastAsia="Calibri"/>
                <w:lang w:val="en-GB"/>
              </w:rPr>
              <w:t xml:space="preserve">too few </w:t>
            </w:r>
            <w:r w:rsidR="00705185">
              <w:rPr>
                <w:rFonts w:eastAsia="Calibri"/>
                <w:lang w:val="en-GB"/>
              </w:rPr>
              <w:t>places</w:t>
            </w:r>
            <w:r>
              <w:rPr>
                <w:rFonts w:eastAsia="Calibri"/>
                <w:lang w:val="en-GB"/>
              </w:rPr>
              <w:t xml:space="preserve"> </w:t>
            </w:r>
            <w:r w:rsidR="00705185">
              <w:rPr>
                <w:rFonts w:eastAsia="Calibri"/>
                <w:lang w:val="en-GB"/>
              </w:rPr>
              <w:t xml:space="preserve">open </w:t>
            </w:r>
            <w:r>
              <w:rPr>
                <w:rFonts w:eastAsia="Calibri"/>
                <w:lang w:val="en-GB"/>
              </w:rPr>
              <w:t>for</w:t>
            </w:r>
            <w:r w:rsidR="0032633A" w:rsidRPr="00D14C15">
              <w:rPr>
                <w:rFonts w:eastAsia="Calibri"/>
                <w:lang w:val="en-GB"/>
              </w:rPr>
              <w:t xml:space="preserve"> enrolment, </w:t>
            </w:r>
            <w:r>
              <w:rPr>
                <w:rFonts w:eastAsia="Calibri"/>
                <w:lang w:val="en-GB"/>
              </w:rPr>
              <w:t>poor</w:t>
            </w:r>
            <w:r w:rsidR="0032633A" w:rsidRPr="00D14C15">
              <w:rPr>
                <w:rFonts w:eastAsia="Calibri"/>
                <w:lang w:val="en-GB"/>
              </w:rPr>
              <w:t xml:space="preserve"> attractiveness of occupations and the lack of cooperation of educational institutions with the econom</w:t>
            </w:r>
            <w:r w:rsidR="00705185">
              <w:rPr>
                <w:rFonts w:eastAsia="Calibri"/>
                <w:lang w:val="en-GB"/>
              </w:rPr>
              <w:t xml:space="preserve">ic sector. This shows that there is a </w:t>
            </w:r>
            <w:r w:rsidR="0032633A" w:rsidRPr="00D14C15">
              <w:rPr>
                <w:rFonts w:eastAsia="Calibri"/>
                <w:lang w:val="en-GB"/>
              </w:rPr>
              <w:t xml:space="preserve">need to further strengthen </w:t>
            </w:r>
            <w:r>
              <w:rPr>
                <w:rFonts w:eastAsia="Calibri"/>
                <w:lang w:val="en-GB"/>
              </w:rPr>
              <w:t>cooperation</w:t>
            </w:r>
            <w:r w:rsidR="0032633A" w:rsidRPr="00D14C15">
              <w:rPr>
                <w:rFonts w:eastAsia="Calibri"/>
                <w:lang w:val="en-GB"/>
              </w:rPr>
              <w:t xml:space="preserve"> between education and the</w:t>
            </w:r>
            <w:r w:rsidR="00536C2C">
              <w:rPr>
                <w:rFonts w:eastAsia="Calibri"/>
                <w:lang w:val="en-GB"/>
              </w:rPr>
              <w:t xml:space="preserve"> environment (by also promoting </w:t>
            </w:r>
            <w:r w:rsidR="0032633A" w:rsidRPr="00D14C15">
              <w:rPr>
                <w:rFonts w:eastAsia="Calibri"/>
                <w:lang w:val="en-GB"/>
              </w:rPr>
              <w:t>apprenticeships)</w:t>
            </w:r>
            <w:r w:rsidR="00536C2C">
              <w:rPr>
                <w:rFonts w:eastAsia="Calibri"/>
                <w:lang w:val="en-GB"/>
              </w:rPr>
              <w:t>,</w:t>
            </w:r>
            <w:r w:rsidR="0032633A" w:rsidRPr="00D14C15">
              <w:rPr>
                <w:rStyle w:val="Sprotnaopomba-sklic"/>
                <w:rFonts w:eastAsia="Calibri"/>
                <w:lang w:val="en-GB"/>
              </w:rPr>
              <w:footnoteReference w:id="101"/>
            </w:r>
            <w:r w:rsidR="0032633A" w:rsidRPr="00D14C15">
              <w:rPr>
                <w:rFonts w:eastAsia="Calibri"/>
                <w:lang w:val="en-GB"/>
              </w:rPr>
              <w:t xml:space="preserve"> and the career guidance of young people. </w:t>
            </w:r>
            <w:r w:rsidR="00536C2C">
              <w:rPr>
                <w:rFonts w:eastAsia="Calibri"/>
                <w:lang w:val="en-GB"/>
              </w:rPr>
              <w:t>Thus, s</w:t>
            </w:r>
            <w:r w:rsidR="0032633A" w:rsidRPr="00D14C15">
              <w:rPr>
                <w:rFonts w:eastAsia="Calibri"/>
                <w:lang w:val="en-GB"/>
              </w:rPr>
              <w:t xml:space="preserve">tudies </w:t>
            </w:r>
            <w:r w:rsidR="00536C2C">
              <w:rPr>
                <w:rFonts w:eastAsia="Calibri"/>
                <w:lang w:val="en-GB"/>
              </w:rPr>
              <w:t xml:space="preserve">should be completed </w:t>
            </w:r>
            <w:r w:rsidR="0032633A" w:rsidRPr="00D14C15">
              <w:rPr>
                <w:rFonts w:eastAsia="Calibri"/>
                <w:lang w:val="en-GB"/>
              </w:rPr>
              <w:t>within the</w:t>
            </w:r>
            <w:r w:rsidR="00536C2C">
              <w:rPr>
                <w:rFonts w:eastAsia="Calibri"/>
                <w:lang w:val="en-GB"/>
              </w:rPr>
              <w:t xml:space="preserve"> set</w:t>
            </w:r>
            <w:r w:rsidR="0032633A" w:rsidRPr="00D14C15">
              <w:rPr>
                <w:rFonts w:eastAsia="Calibri"/>
                <w:lang w:val="en-GB"/>
              </w:rPr>
              <w:t xml:space="preserve"> deadline, with Slovenia being at the </w:t>
            </w:r>
            <w:r w:rsidR="00536C2C">
              <w:rPr>
                <w:rFonts w:eastAsia="Calibri"/>
                <w:lang w:val="en-GB"/>
              </w:rPr>
              <w:t>bottom</w:t>
            </w:r>
            <w:r w:rsidR="0032633A" w:rsidRPr="00D14C15">
              <w:rPr>
                <w:rFonts w:eastAsia="Calibri"/>
                <w:lang w:val="en-GB"/>
              </w:rPr>
              <w:t xml:space="preserve"> of OECD </w:t>
            </w:r>
            <w:r w:rsidR="00705185">
              <w:rPr>
                <w:rFonts w:eastAsia="Calibri"/>
                <w:lang w:val="en-GB"/>
              </w:rPr>
              <w:t>countries</w:t>
            </w:r>
            <w:r w:rsidR="0032633A" w:rsidRPr="00D14C15">
              <w:rPr>
                <w:rFonts w:eastAsia="Calibri"/>
                <w:lang w:val="en-GB"/>
              </w:rPr>
              <w:t xml:space="preserve"> according to the share of first-cycle students</w:t>
            </w:r>
            <w:r w:rsidR="0032633A" w:rsidRPr="00D14C15">
              <w:rPr>
                <w:rStyle w:val="Sprotnaopomba-sklic"/>
                <w:rFonts w:eastAsia="Calibri"/>
                <w:lang w:val="en-GB"/>
              </w:rPr>
              <w:footnoteReference w:id="102"/>
            </w:r>
            <w:r w:rsidR="0032633A" w:rsidRPr="00D14C15">
              <w:rPr>
                <w:rFonts w:eastAsia="Calibri"/>
                <w:lang w:val="en-GB"/>
              </w:rPr>
              <w:t xml:space="preserve">. </w:t>
            </w:r>
          </w:p>
          <w:p w14:paraId="36765D47" w14:textId="77777777" w:rsidR="0076298E" w:rsidRPr="00D14C15" w:rsidRDefault="0076298E">
            <w:pPr>
              <w:ind w:left="104" w:right="67"/>
              <w:jc w:val="both"/>
              <w:rPr>
                <w:lang w:val="en-GB"/>
              </w:rPr>
            </w:pPr>
          </w:p>
          <w:p w14:paraId="75E547C1" w14:textId="77777777" w:rsidR="0076298E" w:rsidRPr="00D14C15" w:rsidRDefault="00AC6618">
            <w:pPr>
              <w:widowControl/>
              <w:autoSpaceDE/>
              <w:autoSpaceDN/>
              <w:ind w:left="104" w:right="67"/>
              <w:jc w:val="both"/>
              <w:rPr>
                <w:rFonts w:eastAsia="Calibri"/>
                <w:lang w:val="en-GB"/>
              </w:rPr>
            </w:pPr>
            <w:r>
              <w:rPr>
                <w:lang w:val="en-GB"/>
              </w:rPr>
              <w:t>We will use grants</w:t>
            </w:r>
            <w:r w:rsidR="00164D04" w:rsidRPr="00F664FB">
              <w:rPr>
                <w:lang w:val="en-GB"/>
              </w:rPr>
              <w:t>. A detailed justification is given in Chapter 2.</w:t>
            </w:r>
          </w:p>
        </w:tc>
      </w:tr>
      <w:tr w:rsidR="0076298E" w:rsidRPr="00D14C15" w14:paraId="5AA17AD8" w14:textId="77777777" w:rsidTr="00E1518F">
        <w:trPr>
          <w:trHeight w:val="599"/>
        </w:trPr>
        <w:tc>
          <w:tcPr>
            <w:tcW w:w="2268" w:type="dxa"/>
            <w:vMerge/>
          </w:tcPr>
          <w:p w14:paraId="7EFCD080" w14:textId="77777777" w:rsidR="0076298E" w:rsidRPr="00D14C15" w:rsidRDefault="0076298E">
            <w:pPr>
              <w:pStyle w:val="TableParagraph"/>
              <w:ind w:left="115"/>
              <w:rPr>
                <w:lang w:val="en-GB"/>
              </w:rPr>
            </w:pPr>
          </w:p>
        </w:tc>
        <w:tc>
          <w:tcPr>
            <w:tcW w:w="3119" w:type="dxa"/>
          </w:tcPr>
          <w:p w14:paraId="43D7BFC0" w14:textId="77777777" w:rsidR="0076298E" w:rsidRPr="00D14C15" w:rsidRDefault="0032633A">
            <w:pPr>
              <w:ind w:left="37"/>
              <w:rPr>
                <w:lang w:val="en-GB"/>
              </w:rPr>
            </w:pPr>
            <w:r w:rsidRPr="00D14C15">
              <w:rPr>
                <w:lang w:val="en-GB"/>
              </w:rPr>
              <w:t>P</w:t>
            </w:r>
            <w:r w:rsidR="00B27B8C">
              <w:rPr>
                <w:lang w:val="en-GB"/>
              </w:rPr>
              <w:t>riority</w:t>
            </w:r>
            <w:r w:rsidRPr="00D14C15">
              <w:rPr>
                <w:lang w:val="en-GB"/>
              </w:rPr>
              <w:t xml:space="preserve"> 6: </w:t>
            </w:r>
            <w:r w:rsidRPr="00545D4E">
              <w:rPr>
                <w:lang w:val="en-GB"/>
              </w:rPr>
              <w:t>Skills and responsive labour market</w:t>
            </w:r>
            <w:r w:rsidRPr="00D14C15">
              <w:rPr>
                <w:lang w:val="en-GB"/>
              </w:rPr>
              <w:t xml:space="preserve"> </w:t>
            </w:r>
          </w:p>
          <w:p w14:paraId="46E40F54" w14:textId="77777777" w:rsidR="0076298E" w:rsidRPr="00D14C15" w:rsidRDefault="0076298E">
            <w:pPr>
              <w:ind w:left="37"/>
              <w:rPr>
                <w:lang w:val="en-GB"/>
              </w:rPr>
            </w:pPr>
          </w:p>
          <w:p w14:paraId="362CD68B" w14:textId="77777777" w:rsidR="0076298E" w:rsidRPr="00D14C15" w:rsidRDefault="0032633A">
            <w:pPr>
              <w:rPr>
                <w:lang w:val="en-GB"/>
              </w:rPr>
            </w:pPr>
            <w:r w:rsidRPr="006B21A3">
              <w:rPr>
                <w:lang w:val="en-GB"/>
              </w:rPr>
              <w:t>ESO4.7:</w:t>
            </w:r>
            <w:r w:rsidRPr="00D14C15">
              <w:rPr>
                <w:lang w:val="en-GB"/>
              </w:rPr>
              <w:t xml:space="preserve"> </w:t>
            </w:r>
            <w:r w:rsidR="006B21A3" w:rsidRPr="006B21A3">
              <w:rPr>
                <w:lang w:val="en-GB"/>
              </w:rPr>
              <w:t xml:space="preserve">Promoting lifelong learning, in particular flexible upskilling and reskilling opportunities for all taking into account entrepreneurial and digital skills, better anticipating change </w:t>
            </w:r>
            <w:r w:rsidR="006B21A3" w:rsidRPr="006B21A3">
              <w:rPr>
                <w:lang w:val="en-GB"/>
              </w:rPr>
              <w:lastRenderedPageBreak/>
              <w:t>and new skills requirements based on labour market needs, facilitating career transitions and promoting professional mobility</w:t>
            </w:r>
          </w:p>
          <w:p w14:paraId="712F61D8" w14:textId="77777777" w:rsidR="0076298E" w:rsidRPr="00D14C15" w:rsidRDefault="0076298E">
            <w:pPr>
              <w:ind w:left="37"/>
              <w:rPr>
                <w:lang w:val="en-GB"/>
              </w:rPr>
            </w:pPr>
          </w:p>
        </w:tc>
        <w:tc>
          <w:tcPr>
            <w:tcW w:w="8647" w:type="dxa"/>
          </w:tcPr>
          <w:p w14:paraId="41C98305" w14:textId="77777777" w:rsidR="0076298E" w:rsidRPr="00D14C15" w:rsidRDefault="0032633A">
            <w:pPr>
              <w:ind w:left="104" w:right="67"/>
              <w:jc w:val="both"/>
              <w:rPr>
                <w:lang w:val="en-GB"/>
              </w:rPr>
            </w:pPr>
            <w:r w:rsidRPr="00D14C15">
              <w:rPr>
                <w:lang w:val="en-GB"/>
              </w:rPr>
              <w:lastRenderedPageBreak/>
              <w:t>In line with Counci</w:t>
            </w:r>
            <w:r w:rsidR="00692139">
              <w:rPr>
                <w:lang w:val="en-GB"/>
              </w:rPr>
              <w:t>l Recommendation for 2019</w:t>
            </w:r>
            <w:r w:rsidRPr="00D14C15">
              <w:rPr>
                <w:lang w:val="en-GB"/>
              </w:rPr>
              <w:t>, Slovenia</w:t>
            </w:r>
            <w:r w:rsidRPr="00D14C15">
              <w:rPr>
                <w:rStyle w:val="Sprotnaopomba-sklic"/>
                <w:lang w:val="en-GB"/>
              </w:rPr>
              <w:footnoteReference w:id="103"/>
            </w:r>
            <w:r w:rsidRPr="00D14C15">
              <w:rPr>
                <w:lang w:val="en-GB"/>
              </w:rPr>
              <w:t xml:space="preserve"> needs to improve the labour market relevance of education and training, as well as lifelong learning measures to</w:t>
            </w:r>
            <w:r w:rsidR="00F31419">
              <w:rPr>
                <w:lang w:val="en-GB"/>
              </w:rPr>
              <w:t xml:space="preserve"> increase employability</w:t>
            </w:r>
            <w:r w:rsidR="001279AF">
              <w:rPr>
                <w:lang w:val="en-GB"/>
              </w:rPr>
              <w:t>. T</w:t>
            </w:r>
            <w:r w:rsidRPr="00D14C15">
              <w:rPr>
                <w:lang w:val="en-GB"/>
              </w:rPr>
              <w:t>he period 2008-2019</w:t>
            </w:r>
            <w:r w:rsidR="001279AF">
              <w:rPr>
                <w:lang w:val="en-GB"/>
              </w:rPr>
              <w:t xml:space="preserve"> was marked by </w:t>
            </w:r>
            <w:r w:rsidRPr="00D14C15">
              <w:rPr>
                <w:lang w:val="en-GB"/>
              </w:rPr>
              <w:t xml:space="preserve">low participation of employees in </w:t>
            </w:r>
            <w:r w:rsidR="001279AF">
              <w:rPr>
                <w:lang w:val="en-GB"/>
              </w:rPr>
              <w:t xml:space="preserve">the occupations that </w:t>
            </w:r>
            <w:r w:rsidRPr="00D14C15">
              <w:rPr>
                <w:lang w:val="en-GB"/>
              </w:rPr>
              <w:t>are subject to digitalisation and automation</w:t>
            </w:r>
            <w:r w:rsidRPr="00D14C15">
              <w:rPr>
                <w:rStyle w:val="Sprotnaopomba-sklic"/>
                <w:lang w:val="en-GB"/>
              </w:rPr>
              <w:footnoteReference w:id="104"/>
            </w:r>
            <w:r w:rsidRPr="00D14C15">
              <w:rPr>
                <w:lang w:val="en-GB"/>
              </w:rPr>
              <w:t>,</w:t>
            </w:r>
            <w:r w:rsidR="001279AF">
              <w:rPr>
                <w:lang w:val="en-GB"/>
              </w:rPr>
              <w:t xml:space="preserve"> </w:t>
            </w:r>
            <w:r w:rsidR="001279AF" w:rsidRPr="00D14C15">
              <w:rPr>
                <w:lang w:val="en-GB"/>
              </w:rPr>
              <w:t>which negatively affects their employment opportunities</w:t>
            </w:r>
            <w:r w:rsidRPr="00D14C15">
              <w:rPr>
                <w:lang w:val="en-GB"/>
              </w:rPr>
              <w:t xml:space="preserve">. For many years </w:t>
            </w:r>
            <w:r w:rsidR="001279AF">
              <w:rPr>
                <w:lang w:val="en-GB"/>
              </w:rPr>
              <w:t xml:space="preserve">now, </w:t>
            </w:r>
            <w:r w:rsidRPr="00D14C15">
              <w:rPr>
                <w:lang w:val="en-GB"/>
              </w:rPr>
              <w:t xml:space="preserve">mathematical </w:t>
            </w:r>
            <w:r w:rsidR="001279AF">
              <w:rPr>
                <w:lang w:val="en-GB"/>
              </w:rPr>
              <w:t xml:space="preserve">understanding and reading skills </w:t>
            </w:r>
            <w:r w:rsidRPr="00D14C15">
              <w:rPr>
                <w:lang w:val="en-GB"/>
              </w:rPr>
              <w:t>of adults</w:t>
            </w:r>
            <w:r w:rsidR="001279AF">
              <w:rPr>
                <w:lang w:val="en-GB"/>
              </w:rPr>
              <w:t xml:space="preserve">, </w:t>
            </w:r>
            <w:r w:rsidR="001279AF" w:rsidRPr="00D14C15">
              <w:rPr>
                <w:lang w:val="en-GB"/>
              </w:rPr>
              <w:t xml:space="preserve">especially the </w:t>
            </w:r>
            <w:r w:rsidR="00F31419">
              <w:rPr>
                <w:lang w:val="en-GB"/>
              </w:rPr>
              <w:t xml:space="preserve">poorly </w:t>
            </w:r>
            <w:r w:rsidR="001279AF" w:rsidRPr="00D14C15">
              <w:rPr>
                <w:lang w:val="en-GB"/>
              </w:rPr>
              <w:t xml:space="preserve">educated and </w:t>
            </w:r>
            <w:r w:rsidR="001279AF">
              <w:rPr>
                <w:lang w:val="en-GB"/>
              </w:rPr>
              <w:t>older people, have been at a low level</w:t>
            </w:r>
            <w:r w:rsidRPr="001279AF">
              <w:rPr>
                <w:vertAlign w:val="superscript"/>
                <w:lang w:val="en-GB"/>
              </w:rPr>
              <w:footnoteReference w:id="105"/>
            </w:r>
            <w:r w:rsidR="001279AF">
              <w:rPr>
                <w:lang w:val="en-GB"/>
              </w:rPr>
              <w:t>. In 2020, p</w:t>
            </w:r>
            <w:r w:rsidRPr="00D14C15">
              <w:rPr>
                <w:lang w:val="en-GB"/>
              </w:rPr>
              <w:t>articipation</w:t>
            </w:r>
            <w:r w:rsidR="001279AF">
              <w:rPr>
                <w:lang w:val="en-GB"/>
              </w:rPr>
              <w:t xml:space="preserve"> in lifelong learning </w:t>
            </w:r>
            <w:r w:rsidR="00F31419">
              <w:rPr>
                <w:lang w:val="en-GB"/>
              </w:rPr>
              <w:t xml:space="preserve">stood at </w:t>
            </w:r>
            <w:r w:rsidRPr="00D14C15">
              <w:rPr>
                <w:lang w:val="en-GB"/>
              </w:rPr>
              <w:t>8.4% (EU: 9.2</w:t>
            </w:r>
            <w:r w:rsidR="001279AF">
              <w:rPr>
                <w:lang w:val="en-GB"/>
              </w:rPr>
              <w:t xml:space="preserve">%), of which 9.3% in </w:t>
            </w:r>
            <w:r w:rsidR="006D642C">
              <w:rPr>
                <w:rFonts w:eastAsia="Calibri"/>
                <w:lang w:val="en-GB"/>
              </w:rPr>
              <w:t>the Western Slovenia cohesion region</w:t>
            </w:r>
            <w:r w:rsidR="006D642C">
              <w:rPr>
                <w:lang w:val="en-GB"/>
              </w:rPr>
              <w:t xml:space="preserve"> </w:t>
            </w:r>
            <w:r w:rsidR="001279AF">
              <w:rPr>
                <w:lang w:val="en-GB"/>
              </w:rPr>
              <w:t>and 7.6</w:t>
            </w:r>
            <w:r w:rsidRPr="00D14C15">
              <w:rPr>
                <w:lang w:val="en-GB"/>
              </w:rPr>
              <w:t xml:space="preserve">% in </w:t>
            </w:r>
            <w:r w:rsidR="006D642C">
              <w:rPr>
                <w:lang w:val="en-GB"/>
              </w:rPr>
              <w:t>the Eastern Slovenia cohesion region</w:t>
            </w:r>
            <w:r w:rsidRPr="00D14C15">
              <w:rPr>
                <w:lang w:val="en-GB"/>
              </w:rPr>
              <w:t xml:space="preserve">. The proportion of adults with lower or no education enrolled in </w:t>
            </w:r>
            <w:r w:rsidR="001279AF">
              <w:rPr>
                <w:lang w:val="en-GB"/>
              </w:rPr>
              <w:t>lifelong learning</w:t>
            </w:r>
            <w:r w:rsidRPr="00D14C15">
              <w:rPr>
                <w:lang w:val="en-GB"/>
              </w:rPr>
              <w:t xml:space="preserve"> is five times lower than</w:t>
            </w:r>
            <w:r w:rsidR="001279AF">
              <w:rPr>
                <w:lang w:val="en-GB"/>
              </w:rPr>
              <w:t xml:space="preserve"> of </w:t>
            </w:r>
            <w:r w:rsidRPr="00D14C15">
              <w:rPr>
                <w:lang w:val="en-GB"/>
              </w:rPr>
              <w:t xml:space="preserve">those </w:t>
            </w:r>
            <w:r w:rsidRPr="00D14C15">
              <w:rPr>
                <w:lang w:val="en-GB"/>
              </w:rPr>
              <w:lastRenderedPageBreak/>
              <w:t xml:space="preserve">with higher education. The main reasons are the lack of motivation and the reluctance of employers to second their employees to training </w:t>
            </w:r>
            <w:r w:rsidR="001279AF">
              <w:rPr>
                <w:lang w:val="en-GB"/>
              </w:rPr>
              <w:t xml:space="preserve">to </w:t>
            </w:r>
            <w:r w:rsidR="00F31419">
              <w:rPr>
                <w:lang w:val="en-GB"/>
              </w:rPr>
              <w:t>avoid</w:t>
            </w:r>
            <w:r w:rsidR="001279AF">
              <w:rPr>
                <w:lang w:val="en-GB"/>
              </w:rPr>
              <w:t xml:space="preserve"> disrupt</w:t>
            </w:r>
            <w:r w:rsidR="00F31419">
              <w:rPr>
                <w:lang w:val="en-GB"/>
              </w:rPr>
              <w:t xml:space="preserve">ing </w:t>
            </w:r>
            <w:r w:rsidR="001279AF">
              <w:rPr>
                <w:lang w:val="en-GB"/>
              </w:rPr>
              <w:t xml:space="preserve">the </w:t>
            </w:r>
            <w:r w:rsidRPr="00D14C15">
              <w:rPr>
                <w:lang w:val="en-GB"/>
              </w:rPr>
              <w:t xml:space="preserve">smooth working process (time, financial and staffing </w:t>
            </w:r>
            <w:r w:rsidR="001279AF">
              <w:rPr>
                <w:lang w:val="en-GB"/>
              </w:rPr>
              <w:t>limitations</w:t>
            </w:r>
            <w:r w:rsidRPr="00D14C15">
              <w:rPr>
                <w:lang w:val="en-GB"/>
              </w:rPr>
              <w:t xml:space="preserve">). </w:t>
            </w:r>
          </w:p>
          <w:p w14:paraId="6AB431DA" w14:textId="77777777" w:rsidR="0076298E" w:rsidRPr="00D14C15" w:rsidRDefault="0076298E">
            <w:pPr>
              <w:ind w:left="104" w:right="67"/>
              <w:jc w:val="both"/>
              <w:rPr>
                <w:lang w:val="en-GB"/>
              </w:rPr>
            </w:pPr>
          </w:p>
          <w:p w14:paraId="1DE96CA3" w14:textId="77777777" w:rsidR="0076298E" w:rsidRPr="00D14C15" w:rsidRDefault="0032633A">
            <w:pPr>
              <w:ind w:left="104" w:right="67"/>
              <w:jc w:val="both"/>
              <w:rPr>
                <w:lang w:val="en-GB"/>
              </w:rPr>
            </w:pPr>
            <w:r w:rsidRPr="00D14C15">
              <w:rPr>
                <w:lang w:val="en-GB"/>
              </w:rPr>
              <w:t xml:space="preserve">The downward trend in inclusion in </w:t>
            </w:r>
            <w:r w:rsidR="001279AF">
              <w:rPr>
                <w:lang w:val="en-GB"/>
              </w:rPr>
              <w:t>lifelong learning</w:t>
            </w:r>
            <w:r w:rsidRPr="00D14C15">
              <w:rPr>
                <w:lang w:val="en-GB"/>
              </w:rPr>
              <w:t xml:space="preserve"> is unfavourable in terms of business competitiveness, the digital and green transformation of the economy and </w:t>
            </w:r>
            <w:r w:rsidR="00CC6F26">
              <w:rPr>
                <w:lang w:val="en-GB"/>
              </w:rPr>
              <w:t>addressing</w:t>
            </w:r>
            <w:r w:rsidRPr="00D14C15">
              <w:rPr>
                <w:lang w:val="en-GB"/>
              </w:rPr>
              <w:t xml:space="preserve"> the changes caused by the epidemic. This also applies to employees in the public sector. The </w:t>
            </w:r>
            <w:r w:rsidR="00AD717F">
              <w:rPr>
                <w:rFonts w:eastAsia="Calibri"/>
                <w:lang w:val="en-GB"/>
              </w:rPr>
              <w:t>COVID</w:t>
            </w:r>
            <w:r w:rsidRPr="00D14C15">
              <w:rPr>
                <w:lang w:val="en-GB"/>
              </w:rPr>
              <w:t xml:space="preserve">-19 epidemic has underlined the importance of distance </w:t>
            </w:r>
            <w:r w:rsidR="00CC6F26">
              <w:rPr>
                <w:lang w:val="en-GB"/>
              </w:rPr>
              <w:t>learning</w:t>
            </w:r>
            <w:r w:rsidRPr="00D14C15">
              <w:rPr>
                <w:lang w:val="en-GB"/>
              </w:rPr>
              <w:t xml:space="preserve"> in </w:t>
            </w:r>
            <w:r w:rsidR="00F31419">
              <w:rPr>
                <w:lang w:val="en-GB"/>
              </w:rPr>
              <w:t xml:space="preserve">terms of </w:t>
            </w:r>
            <w:r w:rsidRPr="00D14C15">
              <w:rPr>
                <w:lang w:val="en-GB"/>
              </w:rPr>
              <w:t xml:space="preserve">ensuring </w:t>
            </w:r>
            <w:r w:rsidR="00CC6F26">
              <w:rPr>
                <w:lang w:val="en-GB"/>
              </w:rPr>
              <w:t xml:space="preserve">access to </w:t>
            </w:r>
            <w:r w:rsidR="00F31419">
              <w:rPr>
                <w:lang w:val="en-GB"/>
              </w:rPr>
              <w:t xml:space="preserve">such forms of </w:t>
            </w:r>
            <w:r w:rsidR="00CC6F26">
              <w:rPr>
                <w:lang w:val="en-GB"/>
              </w:rPr>
              <w:t>learning</w:t>
            </w:r>
            <w:r w:rsidRPr="00D14C15">
              <w:rPr>
                <w:lang w:val="en-GB"/>
              </w:rPr>
              <w:t>. The OECD also</w:t>
            </w:r>
            <w:r w:rsidRPr="00D14C15">
              <w:rPr>
                <w:rStyle w:val="Sprotnaopomba-sklic"/>
                <w:lang w:val="en-GB"/>
              </w:rPr>
              <w:footnoteReference w:id="106"/>
            </w:r>
            <w:r w:rsidRPr="00D14C15">
              <w:rPr>
                <w:lang w:val="en-GB"/>
              </w:rPr>
              <w:t xml:space="preserve"> stresses the importance of developing didactic approaches, teachers’ qualifications for distance teaching and establishing </w:t>
            </w:r>
            <w:r w:rsidR="00CC6F26">
              <w:rPr>
                <w:lang w:val="en-GB"/>
              </w:rPr>
              <w:t>quality assurance mechanisms</w:t>
            </w:r>
            <w:r w:rsidRPr="00D14C15">
              <w:rPr>
                <w:lang w:val="en-GB"/>
              </w:rPr>
              <w:t>.</w:t>
            </w:r>
            <w:r w:rsidRPr="00D14C15">
              <w:rPr>
                <w:rStyle w:val="Sprotnaopomba-sklic"/>
                <w:lang w:val="en-GB"/>
              </w:rPr>
              <w:footnoteReference w:id="107"/>
            </w:r>
          </w:p>
          <w:p w14:paraId="1EF96708" w14:textId="77777777" w:rsidR="0076298E" w:rsidRPr="00D14C15" w:rsidRDefault="0076298E">
            <w:pPr>
              <w:ind w:left="104" w:right="67"/>
              <w:jc w:val="both"/>
              <w:rPr>
                <w:lang w:val="en-GB"/>
              </w:rPr>
            </w:pPr>
          </w:p>
          <w:p w14:paraId="60F27220" w14:textId="77777777" w:rsidR="0076298E" w:rsidRPr="00D14C15" w:rsidRDefault="0032633A">
            <w:pPr>
              <w:ind w:left="104" w:right="67"/>
              <w:jc w:val="both"/>
              <w:rPr>
                <w:lang w:val="en-GB"/>
              </w:rPr>
            </w:pPr>
            <w:r w:rsidRPr="00D14C15">
              <w:rPr>
                <w:lang w:val="en-GB"/>
              </w:rPr>
              <w:t>Globalisation, technological progress and demographic change will further transform l</w:t>
            </w:r>
            <w:r w:rsidR="00D94C8C">
              <w:rPr>
                <w:lang w:val="en-GB"/>
              </w:rPr>
              <w:t xml:space="preserve">ife in all areas, making adequate approach </w:t>
            </w:r>
            <w:r w:rsidR="00F31419">
              <w:rPr>
                <w:lang w:val="en-GB"/>
              </w:rPr>
              <w:t>to</w:t>
            </w:r>
            <w:r w:rsidRPr="00D14C15">
              <w:rPr>
                <w:lang w:val="en-GB"/>
              </w:rPr>
              <w:t xml:space="preserve"> </w:t>
            </w:r>
            <w:r w:rsidR="00F31419">
              <w:rPr>
                <w:lang w:val="en-GB"/>
              </w:rPr>
              <w:t>the</w:t>
            </w:r>
            <w:r w:rsidRPr="00D14C15">
              <w:rPr>
                <w:lang w:val="en-GB"/>
              </w:rPr>
              <w:t xml:space="preserve"> competences of all adults (including young adults) </w:t>
            </w:r>
            <w:r w:rsidR="00D94C8C">
              <w:rPr>
                <w:lang w:val="en-GB"/>
              </w:rPr>
              <w:t>thus</w:t>
            </w:r>
            <w:r w:rsidRPr="00D14C15">
              <w:rPr>
                <w:lang w:val="en-GB"/>
              </w:rPr>
              <w:t xml:space="preserve"> more important. 12.7% of employers </w:t>
            </w:r>
            <w:r w:rsidR="00D94C8C">
              <w:rPr>
                <w:lang w:val="en-GB"/>
              </w:rPr>
              <w:t>stress</w:t>
            </w:r>
            <w:r w:rsidRPr="00D14C15">
              <w:rPr>
                <w:lang w:val="en-GB"/>
              </w:rPr>
              <w:t xml:space="preserve"> the lack of competence of candidates as a key</w:t>
            </w:r>
            <w:r w:rsidR="00F31419">
              <w:rPr>
                <w:lang w:val="en-GB"/>
              </w:rPr>
              <w:t xml:space="preserve"> issue in recruitment, mainly </w:t>
            </w:r>
            <w:r w:rsidRPr="00D14C15">
              <w:rPr>
                <w:lang w:val="en-GB"/>
              </w:rPr>
              <w:t xml:space="preserve">lack of vocational-specific skills, horizontal skills and inadequate education.    </w:t>
            </w:r>
          </w:p>
          <w:p w14:paraId="501115C2" w14:textId="77777777" w:rsidR="0076298E" w:rsidRPr="00D14C15" w:rsidRDefault="0076298E">
            <w:pPr>
              <w:ind w:left="104" w:right="67"/>
              <w:jc w:val="both"/>
              <w:rPr>
                <w:lang w:val="en-GB"/>
              </w:rPr>
            </w:pPr>
          </w:p>
          <w:p w14:paraId="3A7C8F0A" w14:textId="77777777" w:rsidR="0076298E" w:rsidRPr="00D14C15" w:rsidRDefault="0032633A">
            <w:pPr>
              <w:ind w:left="104" w:right="67"/>
              <w:jc w:val="both"/>
              <w:rPr>
                <w:lang w:val="en-GB"/>
              </w:rPr>
            </w:pPr>
            <w:r w:rsidRPr="00D14C15">
              <w:rPr>
                <w:lang w:val="en-GB"/>
              </w:rPr>
              <w:t xml:space="preserve">The European Pillar of Social Rights Action Plan </w:t>
            </w:r>
            <w:r w:rsidR="00D94C8C">
              <w:rPr>
                <w:lang w:val="en-GB"/>
              </w:rPr>
              <w:t>underlines the need to</w:t>
            </w:r>
            <w:r w:rsidRPr="00D14C15">
              <w:rPr>
                <w:lang w:val="en-GB"/>
              </w:rPr>
              <w:t xml:space="preserve"> step up efforts to increase adult participation in </w:t>
            </w:r>
            <w:r w:rsidR="00D94C8C">
              <w:rPr>
                <w:lang w:val="en-GB"/>
              </w:rPr>
              <w:t>lifelong learning</w:t>
            </w:r>
            <w:r w:rsidRPr="00D14C15">
              <w:rPr>
                <w:lang w:val="en-GB"/>
              </w:rPr>
              <w:t xml:space="preserve"> and improve </w:t>
            </w:r>
            <w:r w:rsidR="00D94C8C">
              <w:rPr>
                <w:lang w:val="en-GB"/>
              </w:rPr>
              <w:t xml:space="preserve">educational achievement </w:t>
            </w:r>
            <w:r w:rsidRPr="00D14C15">
              <w:rPr>
                <w:lang w:val="en-GB"/>
              </w:rPr>
              <w:t xml:space="preserve">in </w:t>
            </w:r>
            <w:r w:rsidR="00D94C8C">
              <w:rPr>
                <w:lang w:val="en-GB"/>
              </w:rPr>
              <w:t>basic</w:t>
            </w:r>
            <w:r w:rsidRPr="00D14C15">
              <w:rPr>
                <w:lang w:val="en-GB"/>
              </w:rPr>
              <w:t xml:space="preserve"> education/training. At least 80% of 16-74 year-olds will have to have at least basic digital skills in Sloven</w:t>
            </w:r>
            <w:r w:rsidR="00D94C8C">
              <w:rPr>
                <w:lang w:val="en-GB"/>
              </w:rPr>
              <w:t>ia by 2030 (DESI Index 2021: 55</w:t>
            </w:r>
            <w:r w:rsidRPr="00D14C15">
              <w:rPr>
                <w:lang w:val="en-GB"/>
              </w:rPr>
              <w:t xml:space="preserve">%, which is below the EU average). </w:t>
            </w:r>
          </w:p>
          <w:p w14:paraId="57884B1F" w14:textId="77777777" w:rsidR="0076298E" w:rsidRPr="00D14C15" w:rsidRDefault="0076298E">
            <w:pPr>
              <w:ind w:left="104" w:right="67"/>
              <w:jc w:val="both"/>
              <w:rPr>
                <w:lang w:val="en-GB"/>
              </w:rPr>
            </w:pPr>
          </w:p>
          <w:p w14:paraId="22B6D1F5" w14:textId="77777777" w:rsidR="0076298E" w:rsidRPr="00D14C15" w:rsidRDefault="00AC6618">
            <w:pPr>
              <w:ind w:left="104" w:right="67"/>
              <w:jc w:val="both"/>
              <w:rPr>
                <w:lang w:val="en-GB"/>
              </w:rPr>
            </w:pPr>
            <w:r>
              <w:rPr>
                <w:lang w:val="en-GB"/>
              </w:rPr>
              <w:t>We will use grants</w:t>
            </w:r>
            <w:r w:rsidR="00164D04" w:rsidRPr="00F664FB">
              <w:rPr>
                <w:lang w:val="en-GB"/>
              </w:rPr>
              <w:t>. A detailed justification is given in Chapter 2.</w:t>
            </w:r>
          </w:p>
        </w:tc>
      </w:tr>
      <w:tr w:rsidR="0076298E" w:rsidRPr="00D14C15" w14:paraId="3B3AEFCB" w14:textId="77777777" w:rsidTr="00E1518F">
        <w:trPr>
          <w:trHeight w:val="599"/>
        </w:trPr>
        <w:tc>
          <w:tcPr>
            <w:tcW w:w="2268" w:type="dxa"/>
            <w:vMerge/>
          </w:tcPr>
          <w:p w14:paraId="7FF29E4F" w14:textId="77777777" w:rsidR="0076298E" w:rsidRPr="00D14C15" w:rsidRDefault="0076298E">
            <w:pPr>
              <w:pStyle w:val="TableParagraph"/>
              <w:ind w:left="115"/>
              <w:rPr>
                <w:lang w:val="en-GB"/>
              </w:rPr>
            </w:pPr>
          </w:p>
        </w:tc>
        <w:tc>
          <w:tcPr>
            <w:tcW w:w="3119" w:type="dxa"/>
          </w:tcPr>
          <w:p w14:paraId="19B047D8" w14:textId="77777777" w:rsidR="0076298E" w:rsidRPr="00D14C15" w:rsidRDefault="0032633A">
            <w:pPr>
              <w:ind w:left="37"/>
              <w:rPr>
                <w:lang w:val="en-GB"/>
              </w:rPr>
            </w:pPr>
            <w:r w:rsidRPr="00D14C15">
              <w:rPr>
                <w:lang w:val="en-GB"/>
              </w:rPr>
              <w:t>P</w:t>
            </w:r>
            <w:r w:rsidR="00B27B8C">
              <w:rPr>
                <w:lang w:val="en-GB"/>
              </w:rPr>
              <w:t>riority</w:t>
            </w:r>
            <w:r w:rsidRPr="00D14C15">
              <w:rPr>
                <w:lang w:val="en-GB"/>
              </w:rPr>
              <w:t xml:space="preserve"> 6: </w:t>
            </w:r>
            <w:r w:rsidRPr="00545D4E">
              <w:rPr>
                <w:lang w:val="en-GB"/>
              </w:rPr>
              <w:t>Skills and responsive labour market</w:t>
            </w:r>
          </w:p>
          <w:p w14:paraId="1AC0E8C9" w14:textId="77777777" w:rsidR="0076298E" w:rsidRPr="00D14C15" w:rsidRDefault="0076298E">
            <w:pPr>
              <w:ind w:left="37"/>
              <w:rPr>
                <w:lang w:val="en-GB"/>
              </w:rPr>
            </w:pPr>
          </w:p>
          <w:p w14:paraId="75AF2D26" w14:textId="77777777" w:rsidR="0076298E" w:rsidRPr="00D14C15" w:rsidRDefault="0032633A" w:rsidP="009B34F7">
            <w:pPr>
              <w:ind w:left="37"/>
              <w:rPr>
                <w:lang w:val="en-GB"/>
              </w:rPr>
            </w:pPr>
            <w:r w:rsidRPr="00D14C15">
              <w:rPr>
                <w:lang w:val="en-GB"/>
              </w:rPr>
              <w:t xml:space="preserve">RSO4.2: </w:t>
            </w:r>
            <w:r w:rsidR="00E56FA0">
              <w:rPr>
                <w:lang w:val="en-GB"/>
              </w:rPr>
              <w:t>Improving</w:t>
            </w:r>
            <w:r w:rsidRPr="00D14C15">
              <w:rPr>
                <w:lang w:val="en-GB"/>
              </w:rPr>
              <w:t xml:space="preserve"> equal access to inclusive and quality </w:t>
            </w:r>
            <w:r w:rsidR="00E56FA0">
              <w:rPr>
                <w:lang w:val="en-GB"/>
              </w:rPr>
              <w:t>services in education</w:t>
            </w:r>
            <w:r w:rsidRPr="00D14C15">
              <w:rPr>
                <w:lang w:val="en-GB"/>
              </w:rPr>
              <w:t xml:space="preserve">, training and lifelong learning through </w:t>
            </w:r>
            <w:r w:rsidR="009B34F7">
              <w:rPr>
                <w:lang w:val="en-GB"/>
              </w:rPr>
              <w:t>developing</w:t>
            </w:r>
            <w:r w:rsidRPr="00D14C15">
              <w:rPr>
                <w:lang w:val="en-GB"/>
              </w:rPr>
              <w:t xml:space="preserve"> </w:t>
            </w:r>
            <w:r w:rsidRPr="00D14C15">
              <w:rPr>
                <w:lang w:val="en-GB"/>
              </w:rPr>
              <w:lastRenderedPageBreak/>
              <w:t xml:space="preserve">accessible infrastructure, including </w:t>
            </w:r>
            <w:r w:rsidR="009B34F7">
              <w:rPr>
                <w:lang w:val="en-GB"/>
              </w:rPr>
              <w:t>by fostering</w:t>
            </w:r>
            <w:r w:rsidRPr="00D14C15">
              <w:rPr>
                <w:lang w:val="en-GB"/>
              </w:rPr>
              <w:t xml:space="preserve"> resilience for distance a</w:t>
            </w:r>
            <w:r w:rsidR="009B34F7">
              <w:rPr>
                <w:lang w:val="en-GB"/>
              </w:rPr>
              <w:t>nd on-l</w:t>
            </w:r>
            <w:r w:rsidRPr="00D14C15">
              <w:rPr>
                <w:lang w:val="en-GB"/>
              </w:rPr>
              <w:t>ine education and training</w:t>
            </w:r>
          </w:p>
        </w:tc>
        <w:tc>
          <w:tcPr>
            <w:tcW w:w="8647" w:type="dxa"/>
          </w:tcPr>
          <w:p w14:paraId="5C640B9B" w14:textId="77777777" w:rsidR="0076298E" w:rsidRPr="00D14C15" w:rsidRDefault="004C2608">
            <w:pPr>
              <w:ind w:left="104" w:right="67"/>
              <w:jc w:val="both"/>
              <w:rPr>
                <w:lang w:val="en-GB"/>
              </w:rPr>
            </w:pPr>
            <w:r>
              <w:rPr>
                <w:lang w:val="en-GB"/>
              </w:rPr>
              <w:lastRenderedPageBreak/>
              <w:t>T</w:t>
            </w:r>
            <w:r w:rsidR="0032633A" w:rsidRPr="00D14C15">
              <w:rPr>
                <w:lang w:val="en-GB"/>
              </w:rPr>
              <w:t xml:space="preserve">o address the challenge of ensuring adequate infrastructure conditions, the Ministry </w:t>
            </w:r>
            <w:r w:rsidR="00F31419">
              <w:rPr>
                <w:lang w:val="en-GB"/>
              </w:rPr>
              <w:t xml:space="preserve">of Education, Science and Sport </w:t>
            </w:r>
            <w:r>
              <w:rPr>
                <w:lang w:val="en-GB"/>
              </w:rPr>
              <w:t>prepared</w:t>
            </w:r>
            <w:r w:rsidR="0032633A" w:rsidRPr="00D14C15">
              <w:rPr>
                <w:rStyle w:val="Sprotnaopomba-sklic"/>
                <w:lang w:val="en-GB"/>
              </w:rPr>
              <w:footnoteReference w:id="108"/>
            </w:r>
            <w:r>
              <w:rPr>
                <w:lang w:val="en-GB"/>
              </w:rPr>
              <w:t xml:space="preserve"> </w:t>
            </w:r>
            <w:r w:rsidR="00C24E5C">
              <w:rPr>
                <w:lang w:val="en-GB"/>
              </w:rPr>
              <w:t>two</w:t>
            </w:r>
            <w:r w:rsidR="0032633A" w:rsidRPr="00D14C15">
              <w:rPr>
                <w:lang w:val="en-GB"/>
              </w:rPr>
              <w:t xml:space="preserve"> analys</w:t>
            </w:r>
            <w:r w:rsidR="00C24E5C">
              <w:rPr>
                <w:lang w:val="en-GB"/>
              </w:rPr>
              <w:t>e</w:t>
            </w:r>
            <w:r w:rsidR="0032633A" w:rsidRPr="00D14C15">
              <w:rPr>
                <w:lang w:val="en-GB"/>
              </w:rPr>
              <w:t xml:space="preserve">s of the state of public </w:t>
            </w:r>
            <w:r w:rsidRPr="00D14C15">
              <w:rPr>
                <w:lang w:val="en-GB"/>
              </w:rPr>
              <w:t>infrastructure</w:t>
            </w:r>
            <w:r>
              <w:rPr>
                <w:lang w:val="en-GB"/>
              </w:rPr>
              <w:t xml:space="preserve"> in</w:t>
            </w:r>
            <w:r w:rsidRPr="00D14C15">
              <w:rPr>
                <w:lang w:val="en-GB"/>
              </w:rPr>
              <w:t xml:space="preserve"> </w:t>
            </w:r>
            <w:r w:rsidR="00C24E5C">
              <w:rPr>
                <w:lang w:val="en-GB"/>
              </w:rPr>
              <w:t xml:space="preserve">education and higher education. According to the analyses, </w:t>
            </w:r>
            <w:r w:rsidR="0032633A" w:rsidRPr="00D14C15">
              <w:rPr>
                <w:lang w:val="en-GB"/>
              </w:rPr>
              <w:t xml:space="preserve">there was no systematic investment or the amount of funds </w:t>
            </w:r>
            <w:r>
              <w:rPr>
                <w:lang w:val="en-GB"/>
              </w:rPr>
              <w:t xml:space="preserve">allocated for such infrastructure has been </w:t>
            </w:r>
            <w:r w:rsidR="00C24E5C">
              <w:rPr>
                <w:lang w:val="en-GB"/>
              </w:rPr>
              <w:t>insufficient. The analyse</w:t>
            </w:r>
            <w:r w:rsidR="0032633A" w:rsidRPr="00D14C15">
              <w:rPr>
                <w:lang w:val="en-GB"/>
              </w:rPr>
              <w:t xml:space="preserve">s </w:t>
            </w:r>
            <w:r w:rsidR="00C24E5C">
              <w:rPr>
                <w:lang w:val="en-GB"/>
              </w:rPr>
              <w:t xml:space="preserve">establish </w:t>
            </w:r>
            <w:r w:rsidR="0032633A" w:rsidRPr="00D14C15">
              <w:rPr>
                <w:lang w:val="en-GB"/>
              </w:rPr>
              <w:t xml:space="preserve">that the existing building stock is in </w:t>
            </w:r>
            <w:r w:rsidR="00C24E5C">
              <w:rPr>
                <w:lang w:val="en-GB"/>
              </w:rPr>
              <w:t xml:space="preserve">a </w:t>
            </w:r>
            <w:r w:rsidR="0032633A" w:rsidRPr="00D14C15">
              <w:rPr>
                <w:lang w:val="en-GB"/>
              </w:rPr>
              <w:t xml:space="preserve">relatively poor condition, especially in </w:t>
            </w:r>
            <w:r w:rsidR="006D642C">
              <w:rPr>
                <w:lang w:val="en-GB"/>
              </w:rPr>
              <w:t>the Eastern Slovenia cohesion region</w:t>
            </w:r>
            <w:r w:rsidR="0032633A" w:rsidRPr="00D14C15">
              <w:rPr>
                <w:lang w:val="en-GB"/>
              </w:rPr>
              <w:t xml:space="preserve">, </w:t>
            </w:r>
            <w:r>
              <w:rPr>
                <w:lang w:val="en-GB"/>
              </w:rPr>
              <w:t>where</w:t>
            </w:r>
            <w:r w:rsidR="0032633A" w:rsidRPr="00D14C15">
              <w:rPr>
                <w:lang w:val="en-GB"/>
              </w:rPr>
              <w:t xml:space="preserve"> 48.3% of the facilities of the University of Maribor are not regularly maintained (</w:t>
            </w:r>
            <w:r>
              <w:rPr>
                <w:lang w:val="en-GB"/>
              </w:rPr>
              <w:t xml:space="preserve">in </w:t>
            </w:r>
            <w:r w:rsidR="006D642C">
              <w:rPr>
                <w:rFonts w:eastAsia="Calibri"/>
                <w:lang w:val="en-GB"/>
              </w:rPr>
              <w:t>the Western Slovenia cohesion region</w:t>
            </w:r>
            <w:r w:rsidR="006D642C">
              <w:rPr>
                <w:lang w:val="en-GB"/>
              </w:rPr>
              <w:t xml:space="preserve"> </w:t>
            </w:r>
            <w:r>
              <w:rPr>
                <w:lang w:val="en-GB"/>
              </w:rPr>
              <w:t>5% and 14</w:t>
            </w:r>
            <w:r w:rsidR="0032633A" w:rsidRPr="00D14C15">
              <w:rPr>
                <w:lang w:val="en-GB"/>
              </w:rPr>
              <w:t>%</w:t>
            </w:r>
            <w:r w:rsidR="0032633A" w:rsidRPr="00D14C15">
              <w:rPr>
                <w:rStyle w:val="Sprotnaopomba-sklic"/>
                <w:lang w:val="en-GB"/>
              </w:rPr>
              <w:footnoteReference w:id="109"/>
            </w:r>
            <w:r>
              <w:rPr>
                <w:lang w:val="en-GB"/>
              </w:rPr>
              <w:t xml:space="preserve">). There is a need </w:t>
            </w:r>
            <w:r>
              <w:rPr>
                <w:lang w:val="en-GB"/>
              </w:rPr>
              <w:lastRenderedPageBreak/>
              <w:t xml:space="preserve">for substantial </w:t>
            </w:r>
            <w:r w:rsidR="0032633A" w:rsidRPr="00D14C15">
              <w:rPr>
                <w:lang w:val="en-GB"/>
              </w:rPr>
              <w:t>i</w:t>
            </w:r>
            <w:r>
              <w:rPr>
                <w:lang w:val="en-GB"/>
              </w:rPr>
              <w:t xml:space="preserve">nvestment in maintenance and ensuring </w:t>
            </w:r>
            <w:r w:rsidR="0032633A" w:rsidRPr="00D14C15">
              <w:rPr>
                <w:lang w:val="en-GB"/>
              </w:rPr>
              <w:t xml:space="preserve">additional premises to </w:t>
            </w:r>
            <w:r>
              <w:rPr>
                <w:lang w:val="en-GB"/>
              </w:rPr>
              <w:t>address overcrowding</w:t>
            </w:r>
            <w:r w:rsidR="00C24E5C">
              <w:rPr>
                <w:lang w:val="en-GB"/>
              </w:rPr>
              <w:t>,</w:t>
            </w:r>
            <w:r>
              <w:rPr>
                <w:lang w:val="en-GB"/>
              </w:rPr>
              <w:t xml:space="preserve"> </w:t>
            </w:r>
            <w:r w:rsidR="0032633A" w:rsidRPr="00D14C15">
              <w:rPr>
                <w:lang w:val="en-GB"/>
              </w:rPr>
              <w:t xml:space="preserve">and to adapt to the new requirements </w:t>
            </w:r>
            <w:r>
              <w:rPr>
                <w:lang w:val="en-GB"/>
              </w:rPr>
              <w:t xml:space="preserve">regarding carrying out basic activities of </w:t>
            </w:r>
            <w:r w:rsidR="0032633A" w:rsidRPr="00D14C15">
              <w:rPr>
                <w:lang w:val="en-GB"/>
              </w:rPr>
              <w:t>public institutes. The analyses point to a strong need for investment in the provision of new sustainable educational infrastructure, especially in the fields of secondary education and higher education. Greening</w:t>
            </w:r>
            <w:r w:rsidR="00F31419">
              <w:rPr>
                <w:lang w:val="en-GB"/>
              </w:rPr>
              <w:t xml:space="preserve"> the </w:t>
            </w:r>
            <w:r w:rsidR="0032633A" w:rsidRPr="00D14C15">
              <w:rPr>
                <w:lang w:val="en-GB"/>
              </w:rPr>
              <w:t>education infrast</w:t>
            </w:r>
            <w:r w:rsidR="008E38BC">
              <w:rPr>
                <w:lang w:val="en-GB"/>
              </w:rPr>
              <w:t>ructure is also in line with</w:t>
            </w:r>
            <w:r w:rsidR="0032633A" w:rsidRPr="00D14C15">
              <w:rPr>
                <w:lang w:val="en-GB"/>
              </w:rPr>
              <w:t xml:space="preserve"> </w:t>
            </w:r>
            <w:r w:rsidR="00F31419">
              <w:rPr>
                <w:lang w:val="en-GB"/>
              </w:rPr>
              <w:t>Council</w:t>
            </w:r>
            <w:r w:rsidR="0032633A" w:rsidRPr="00D14C15">
              <w:rPr>
                <w:lang w:val="en-GB"/>
              </w:rPr>
              <w:t xml:space="preserve"> </w:t>
            </w:r>
            <w:r w:rsidR="00F31419">
              <w:rPr>
                <w:lang w:val="en-GB"/>
              </w:rPr>
              <w:t>R</w:t>
            </w:r>
            <w:r w:rsidR="0032633A" w:rsidRPr="00D14C15">
              <w:rPr>
                <w:lang w:val="en-GB"/>
              </w:rPr>
              <w:t>ecommendation</w:t>
            </w:r>
            <w:r w:rsidR="008E38BC">
              <w:rPr>
                <w:lang w:val="en-GB"/>
              </w:rPr>
              <w:t xml:space="preserve"> </w:t>
            </w:r>
            <w:r w:rsidR="00F31419">
              <w:rPr>
                <w:lang w:val="en-GB"/>
              </w:rPr>
              <w:t xml:space="preserve">for 2019 </w:t>
            </w:r>
            <w:r w:rsidR="0032633A" w:rsidRPr="00D14C15">
              <w:rPr>
                <w:lang w:val="en-GB"/>
              </w:rPr>
              <w:t xml:space="preserve">and the initiative of a new European Education Area by 2025. As </w:t>
            </w:r>
            <w:r w:rsidR="006D642C">
              <w:rPr>
                <w:lang w:val="en-GB"/>
              </w:rPr>
              <w:t>the Eastern Slovenia cohesion region</w:t>
            </w:r>
            <w:r w:rsidR="006D642C" w:rsidRPr="00D14C15">
              <w:rPr>
                <w:lang w:val="en-GB"/>
              </w:rPr>
              <w:t xml:space="preserve"> </w:t>
            </w:r>
            <w:r w:rsidR="00791F2F">
              <w:rPr>
                <w:lang w:val="en-GB"/>
              </w:rPr>
              <w:t xml:space="preserve">lags behind in terms of </w:t>
            </w:r>
            <w:r w:rsidR="0032633A" w:rsidRPr="00D14C15">
              <w:rPr>
                <w:lang w:val="en-GB"/>
              </w:rPr>
              <w:t xml:space="preserve">development </w:t>
            </w:r>
            <w:r w:rsidR="00F31419">
              <w:rPr>
                <w:lang w:val="en-GB"/>
              </w:rPr>
              <w:t xml:space="preserve">– </w:t>
            </w:r>
            <w:r w:rsidR="00791F2F">
              <w:rPr>
                <w:lang w:val="en-GB"/>
              </w:rPr>
              <w:t xml:space="preserve">the most in </w:t>
            </w:r>
            <w:r w:rsidR="0032633A" w:rsidRPr="00D14C15">
              <w:rPr>
                <w:lang w:val="en-GB"/>
              </w:rPr>
              <w:t xml:space="preserve">in terms of demographic, social and economic </w:t>
            </w:r>
            <w:r w:rsidR="00791F2F">
              <w:rPr>
                <w:lang w:val="en-GB"/>
              </w:rPr>
              <w:t>situation</w:t>
            </w:r>
            <w:r w:rsidR="00501B9D">
              <w:rPr>
                <w:lang w:val="en-GB"/>
              </w:rPr>
              <w:t xml:space="preserve">, </w:t>
            </w:r>
            <w:r w:rsidR="0032633A" w:rsidRPr="00D14C15">
              <w:rPr>
                <w:lang w:val="en-GB"/>
              </w:rPr>
              <w:t>investment</w:t>
            </w:r>
            <w:r w:rsidR="00C24E5C">
              <w:rPr>
                <w:lang w:val="en-GB"/>
              </w:rPr>
              <w:t>s</w:t>
            </w:r>
            <w:r w:rsidR="0032633A" w:rsidRPr="00D14C15">
              <w:rPr>
                <w:lang w:val="en-GB"/>
              </w:rPr>
              <w:t xml:space="preserve"> </w:t>
            </w:r>
            <w:r w:rsidR="00C24E5C">
              <w:rPr>
                <w:lang w:val="en-GB"/>
              </w:rPr>
              <w:t>are</w:t>
            </w:r>
            <w:r w:rsidR="0032633A" w:rsidRPr="00D14C15">
              <w:rPr>
                <w:lang w:val="en-GB"/>
              </w:rPr>
              <w:t xml:space="preserve"> a priority for this region. </w:t>
            </w:r>
          </w:p>
          <w:p w14:paraId="051E1C71" w14:textId="77777777" w:rsidR="0076298E" w:rsidRPr="00D14C15" w:rsidRDefault="0076298E">
            <w:pPr>
              <w:pStyle w:val="TableParagraph"/>
              <w:ind w:left="104" w:right="67"/>
              <w:jc w:val="both"/>
              <w:rPr>
                <w:rFonts w:cstheme="minorHAnsi"/>
                <w:lang w:val="en-GB"/>
              </w:rPr>
            </w:pPr>
          </w:p>
          <w:p w14:paraId="6F35DA70" w14:textId="77777777" w:rsidR="0076298E" w:rsidRPr="00D14C15" w:rsidRDefault="0032633A">
            <w:pPr>
              <w:ind w:left="104" w:right="67"/>
              <w:jc w:val="both"/>
              <w:rPr>
                <w:rFonts w:cstheme="minorHAnsi"/>
                <w:lang w:val="en-GB"/>
              </w:rPr>
            </w:pPr>
            <w:r w:rsidRPr="00D14C15">
              <w:rPr>
                <w:rFonts w:cstheme="minorBidi"/>
                <w:lang w:val="en-GB"/>
              </w:rPr>
              <w:t xml:space="preserve">In the 2014-2020 period, </w:t>
            </w:r>
            <w:r w:rsidR="00501B9D">
              <w:rPr>
                <w:rFonts w:cstheme="minorBidi"/>
                <w:lang w:val="en-GB"/>
              </w:rPr>
              <w:t xml:space="preserve">Slovenia established </w:t>
            </w:r>
            <w:r w:rsidRPr="00D14C15">
              <w:rPr>
                <w:rFonts w:cstheme="minorBidi"/>
                <w:lang w:val="en-GB"/>
              </w:rPr>
              <w:t xml:space="preserve">that higher education institutions do not have the appropriate infrastructure to </w:t>
            </w:r>
            <w:r w:rsidR="00791F2F">
              <w:rPr>
                <w:rFonts w:cstheme="minorBidi"/>
                <w:lang w:val="en-GB"/>
              </w:rPr>
              <w:t>digitise the study process. Thus, relevant</w:t>
            </w:r>
            <w:r w:rsidRPr="00D14C15">
              <w:rPr>
                <w:rFonts w:cstheme="minorBidi"/>
                <w:lang w:val="en-GB"/>
              </w:rPr>
              <w:t xml:space="preserve"> content activities (promoting the use of ICT) cannot be properly implemented in the higher education pedagogical process. The analysis</w:t>
            </w:r>
            <w:r w:rsidRPr="00D14C15">
              <w:rPr>
                <w:rStyle w:val="Sprotnaopomba-sklic"/>
                <w:rFonts w:cstheme="minorBidi"/>
                <w:lang w:val="en-GB"/>
              </w:rPr>
              <w:footnoteReference w:id="110"/>
            </w:r>
            <w:r w:rsidRPr="00D14C15">
              <w:rPr>
                <w:rFonts w:cstheme="minorBidi"/>
                <w:lang w:val="en-GB"/>
              </w:rPr>
              <w:t xml:space="preserve"> shows that the write-off rate of ICT equipment at </w:t>
            </w:r>
            <w:r w:rsidR="00791F2F">
              <w:rPr>
                <w:rFonts w:cstheme="minorBidi"/>
                <w:lang w:val="en-GB"/>
              </w:rPr>
              <w:t>public universities is above 70</w:t>
            </w:r>
            <w:r w:rsidRPr="00D14C15">
              <w:rPr>
                <w:rFonts w:cstheme="minorBidi"/>
                <w:lang w:val="en-GB"/>
              </w:rPr>
              <w:t xml:space="preserve">%. </w:t>
            </w:r>
            <w:r w:rsidR="00791F2F">
              <w:rPr>
                <w:lang w:val="en-GB"/>
              </w:rPr>
              <w:t>O</w:t>
            </w:r>
            <w:r w:rsidR="00791F2F" w:rsidRPr="00D14C15">
              <w:rPr>
                <w:lang w:val="en-GB"/>
              </w:rPr>
              <w:t>ver 70</w:t>
            </w:r>
            <w:r w:rsidR="00791F2F">
              <w:rPr>
                <w:lang w:val="en-GB"/>
              </w:rPr>
              <w:t xml:space="preserve">% of the </w:t>
            </w:r>
            <w:r w:rsidRPr="00D14C15">
              <w:rPr>
                <w:lang w:val="en-GB"/>
              </w:rPr>
              <w:t xml:space="preserve">existing disk capacity is occupied which </w:t>
            </w:r>
            <w:r w:rsidR="00791F2F">
              <w:rPr>
                <w:lang w:val="en-GB"/>
              </w:rPr>
              <w:t xml:space="preserve">puts </w:t>
            </w:r>
            <w:r w:rsidRPr="00D14C15">
              <w:rPr>
                <w:lang w:val="en-GB"/>
              </w:rPr>
              <w:t>ensuring smooth operation of the system</w:t>
            </w:r>
            <w:r w:rsidR="00791F2F">
              <w:rPr>
                <w:lang w:val="en-GB"/>
              </w:rPr>
              <w:t xml:space="preserve"> at risk</w:t>
            </w:r>
            <w:r w:rsidRPr="00D14C15">
              <w:rPr>
                <w:lang w:val="en-GB"/>
              </w:rPr>
              <w:t xml:space="preserve">. </w:t>
            </w:r>
          </w:p>
          <w:p w14:paraId="0009EE28" w14:textId="77777777" w:rsidR="0076298E" w:rsidRPr="00D14C15" w:rsidRDefault="0076298E">
            <w:pPr>
              <w:pStyle w:val="TableParagraph"/>
              <w:ind w:left="104" w:right="67"/>
              <w:jc w:val="both"/>
              <w:rPr>
                <w:rFonts w:cstheme="minorHAnsi"/>
                <w:lang w:val="en-GB"/>
              </w:rPr>
            </w:pPr>
          </w:p>
          <w:p w14:paraId="18022490" w14:textId="77777777" w:rsidR="0076298E" w:rsidRPr="00D14C15" w:rsidRDefault="0032633A">
            <w:pPr>
              <w:pStyle w:val="P68B1DB1-TableParagraph15"/>
              <w:ind w:left="104" w:right="67"/>
              <w:jc w:val="both"/>
              <w:rPr>
                <w:lang w:val="en-GB"/>
              </w:rPr>
            </w:pPr>
            <w:r w:rsidRPr="00D14C15">
              <w:rPr>
                <w:lang w:val="en-GB"/>
              </w:rPr>
              <w:t xml:space="preserve">The </w:t>
            </w:r>
            <w:r w:rsidR="00C24E5C" w:rsidRPr="00D14C15">
              <w:rPr>
                <w:lang w:val="en-GB"/>
              </w:rPr>
              <w:t xml:space="preserve">survey </w:t>
            </w:r>
            <w:r w:rsidRPr="00D14C15">
              <w:rPr>
                <w:lang w:val="en-GB"/>
              </w:rPr>
              <w:t xml:space="preserve">analysis (August 2021) </w:t>
            </w:r>
            <w:r w:rsidR="00C24E5C">
              <w:rPr>
                <w:lang w:val="en-GB"/>
              </w:rPr>
              <w:t>establishes</w:t>
            </w:r>
            <w:r w:rsidRPr="00D14C15">
              <w:rPr>
                <w:lang w:val="en-GB"/>
              </w:rPr>
              <w:t xml:space="preserve"> that organisations in the youth sector need</w:t>
            </w:r>
            <w:r w:rsidR="00501B9D">
              <w:rPr>
                <w:lang w:val="en-GB"/>
              </w:rPr>
              <w:t xml:space="preserve"> hardware and software updates </w:t>
            </w:r>
            <w:r w:rsidRPr="00D14C15">
              <w:rPr>
                <w:lang w:val="en-GB"/>
              </w:rPr>
              <w:t xml:space="preserve">to </w:t>
            </w:r>
            <w:r w:rsidR="00501B9D">
              <w:rPr>
                <w:lang w:val="en-GB"/>
              </w:rPr>
              <w:t>establish</w:t>
            </w:r>
            <w:r w:rsidRPr="00D14C15">
              <w:rPr>
                <w:lang w:val="en-GB"/>
              </w:rPr>
              <w:t xml:space="preserve"> a supportive environment for the further development of young people’s digital competences. The integration of the use of ICT for modernising and raising the quality of youth work, non-formal education and other forms of youth participation aimed at encouraging young people to engage in digital youth work is also encouraged by various European institutions. </w:t>
            </w:r>
          </w:p>
          <w:p w14:paraId="25416C5A" w14:textId="77777777" w:rsidR="0076298E" w:rsidRPr="00D14C15" w:rsidRDefault="0076298E">
            <w:pPr>
              <w:pStyle w:val="TableParagraph"/>
              <w:ind w:left="104" w:right="67"/>
              <w:jc w:val="both"/>
              <w:rPr>
                <w:rFonts w:cstheme="minorBidi"/>
                <w:lang w:val="en-GB"/>
              </w:rPr>
            </w:pPr>
          </w:p>
          <w:p w14:paraId="59E67721" w14:textId="77777777" w:rsidR="0076298E" w:rsidRPr="00D14C15" w:rsidRDefault="0032633A">
            <w:pPr>
              <w:pStyle w:val="P68B1DB1-TableParagraph15"/>
              <w:ind w:left="104" w:right="67"/>
              <w:jc w:val="both"/>
              <w:rPr>
                <w:lang w:val="en-GB"/>
              </w:rPr>
            </w:pPr>
            <w:r w:rsidRPr="00D14C15">
              <w:rPr>
                <w:lang w:val="en-GB"/>
              </w:rPr>
              <w:t xml:space="preserve">All investments will follow the principles of non-discrimination in order to prevent educational segregation. </w:t>
            </w:r>
          </w:p>
          <w:p w14:paraId="79750AB8" w14:textId="77777777" w:rsidR="0076298E" w:rsidRPr="00D14C15" w:rsidRDefault="0076298E">
            <w:pPr>
              <w:ind w:left="104" w:right="67"/>
              <w:jc w:val="both"/>
              <w:rPr>
                <w:lang w:val="en-GB"/>
              </w:rPr>
            </w:pPr>
          </w:p>
          <w:p w14:paraId="1A293DF7" w14:textId="77777777" w:rsidR="0076298E" w:rsidRPr="00D14C15" w:rsidRDefault="00AC6618">
            <w:pPr>
              <w:pStyle w:val="TableParagraph"/>
              <w:ind w:left="104" w:right="67"/>
              <w:jc w:val="both"/>
              <w:rPr>
                <w:rFonts w:cstheme="minorBidi"/>
                <w:lang w:val="en-GB"/>
              </w:rPr>
            </w:pPr>
            <w:r>
              <w:rPr>
                <w:lang w:val="en-GB"/>
              </w:rPr>
              <w:t>We will use grants</w:t>
            </w:r>
            <w:r w:rsidR="00164D04" w:rsidRPr="00F664FB">
              <w:rPr>
                <w:lang w:val="en-GB"/>
              </w:rPr>
              <w:t>. A detailed justification is given in Chapter 2.</w:t>
            </w:r>
          </w:p>
        </w:tc>
      </w:tr>
    </w:tbl>
    <w:p w14:paraId="5F0E0806" w14:textId="77777777" w:rsidR="0076298E" w:rsidRDefault="0076298E">
      <w:pPr>
        <w:rPr>
          <w:lang w:val="en-GB"/>
        </w:rPr>
      </w:pPr>
    </w:p>
    <w:p w14:paraId="3856C0BF" w14:textId="0CD2D655" w:rsidR="00DD13BF" w:rsidRDefault="00DD13BF" w:rsidP="00DD13BF"/>
    <w:p w14:paraId="0F7521B2" w14:textId="14DC0E0B" w:rsidR="00B35E9F" w:rsidRDefault="00B35E9F" w:rsidP="00DD13BF"/>
    <w:p w14:paraId="591382CD" w14:textId="5CDE01E2" w:rsidR="00B35E9F" w:rsidRDefault="00B35E9F" w:rsidP="00DD13BF"/>
    <w:p w14:paraId="4BFB28A5" w14:textId="77777777" w:rsidR="00B35E9F" w:rsidRDefault="00B35E9F" w:rsidP="00DD13BF"/>
    <w:tbl>
      <w:tblPr>
        <w:tblStyle w:val="NormalTable0"/>
        <w:tblW w:w="150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3119"/>
        <w:gridCol w:w="9639"/>
      </w:tblGrid>
      <w:tr w:rsidR="00DD13BF" w14:paraId="79CC7F2C" w14:textId="77777777" w:rsidTr="00355A56">
        <w:trPr>
          <w:trHeight w:val="599"/>
        </w:trPr>
        <w:tc>
          <w:tcPr>
            <w:tcW w:w="2268" w:type="dxa"/>
            <w:vMerge w:val="restart"/>
          </w:tcPr>
          <w:p w14:paraId="732D2ECF" w14:textId="77777777" w:rsidR="00DD13BF" w:rsidRDefault="00DD13BF" w:rsidP="00355A56">
            <w:pPr>
              <w:pStyle w:val="TableParagraph"/>
              <w:ind w:left="115"/>
            </w:pPr>
          </w:p>
          <w:p w14:paraId="2769A9B8" w14:textId="77777777" w:rsidR="00DD13BF" w:rsidRDefault="00DD13BF" w:rsidP="00355A56">
            <w:pPr>
              <w:pStyle w:val="TableParagraph"/>
              <w:ind w:left="115"/>
            </w:pPr>
          </w:p>
          <w:p w14:paraId="1BA0CEB0" w14:textId="77777777" w:rsidR="00DD13BF" w:rsidRDefault="00DD13BF" w:rsidP="00355A56">
            <w:pPr>
              <w:pStyle w:val="TableParagraph"/>
              <w:ind w:left="115"/>
            </w:pPr>
          </w:p>
          <w:p w14:paraId="0325FD6C" w14:textId="77777777" w:rsidR="00DD13BF" w:rsidRDefault="00DD13BF" w:rsidP="00355A56">
            <w:pPr>
              <w:pStyle w:val="TableParagraph"/>
              <w:ind w:left="115"/>
            </w:pPr>
          </w:p>
          <w:p w14:paraId="6377D6A6" w14:textId="77777777" w:rsidR="00DD13BF" w:rsidRDefault="00DD13BF" w:rsidP="00355A56">
            <w:pPr>
              <w:pStyle w:val="TableParagraph"/>
              <w:ind w:left="115"/>
            </w:pPr>
          </w:p>
          <w:p w14:paraId="077283EA" w14:textId="77777777" w:rsidR="00DD13BF" w:rsidRDefault="00DD13BF" w:rsidP="00355A56">
            <w:pPr>
              <w:pStyle w:val="TableParagraph"/>
              <w:ind w:left="115"/>
            </w:pPr>
          </w:p>
          <w:p w14:paraId="4F3B57D0" w14:textId="77777777" w:rsidR="00DD13BF" w:rsidRDefault="00DD13BF" w:rsidP="00355A56">
            <w:pPr>
              <w:pStyle w:val="TableParagraph"/>
              <w:ind w:left="115"/>
            </w:pPr>
          </w:p>
          <w:p w14:paraId="32A49C0F" w14:textId="77777777" w:rsidR="00DD13BF" w:rsidRDefault="00DD13BF" w:rsidP="00355A56">
            <w:pPr>
              <w:pStyle w:val="TableParagraph"/>
              <w:ind w:left="115"/>
            </w:pPr>
          </w:p>
          <w:p w14:paraId="7003A897" w14:textId="77777777" w:rsidR="00DD13BF" w:rsidRDefault="00DD13BF" w:rsidP="00355A56">
            <w:pPr>
              <w:pStyle w:val="TableParagraph"/>
              <w:ind w:left="115"/>
            </w:pPr>
          </w:p>
          <w:p w14:paraId="57678B16" w14:textId="77777777" w:rsidR="00DD13BF" w:rsidRDefault="00DD13BF" w:rsidP="00355A56">
            <w:pPr>
              <w:pStyle w:val="TableParagraph"/>
              <w:ind w:left="115"/>
            </w:pPr>
          </w:p>
          <w:p w14:paraId="3A4FA9ED" w14:textId="77777777" w:rsidR="00DD13BF" w:rsidRDefault="00DD13BF" w:rsidP="00355A56">
            <w:pPr>
              <w:pStyle w:val="TableParagraph"/>
              <w:ind w:left="115"/>
            </w:pPr>
          </w:p>
          <w:p w14:paraId="1D36C842" w14:textId="77777777" w:rsidR="00DD13BF" w:rsidRDefault="00DD13BF" w:rsidP="00355A56">
            <w:pPr>
              <w:pStyle w:val="TableParagraph"/>
              <w:ind w:left="115"/>
            </w:pPr>
          </w:p>
          <w:p w14:paraId="59AD59AD" w14:textId="77777777" w:rsidR="00DD13BF" w:rsidRDefault="00DD13BF" w:rsidP="00355A56">
            <w:pPr>
              <w:pStyle w:val="TableParagraph"/>
              <w:ind w:left="115"/>
            </w:pPr>
          </w:p>
          <w:p w14:paraId="6A56298C" w14:textId="77777777" w:rsidR="00DD13BF" w:rsidRDefault="00DD13BF" w:rsidP="00355A56">
            <w:pPr>
              <w:pStyle w:val="TableParagraph"/>
              <w:ind w:left="115"/>
            </w:pPr>
          </w:p>
          <w:p w14:paraId="0684C8B0" w14:textId="77777777" w:rsidR="00DD13BF" w:rsidRDefault="00DD13BF" w:rsidP="00355A56">
            <w:pPr>
              <w:pStyle w:val="TableParagraph"/>
              <w:ind w:left="115"/>
            </w:pPr>
          </w:p>
          <w:p w14:paraId="2F13BFD6" w14:textId="77777777" w:rsidR="00DD13BF" w:rsidRDefault="00DD13BF" w:rsidP="00355A56">
            <w:pPr>
              <w:pStyle w:val="TableParagraph"/>
              <w:ind w:left="115"/>
            </w:pPr>
          </w:p>
          <w:p w14:paraId="23B33B8D" w14:textId="77777777" w:rsidR="00DD13BF" w:rsidRDefault="00DD13BF" w:rsidP="00355A56">
            <w:pPr>
              <w:pStyle w:val="TableParagraph"/>
              <w:ind w:left="115"/>
            </w:pPr>
          </w:p>
          <w:p w14:paraId="2E005CA7" w14:textId="77777777" w:rsidR="00DD13BF" w:rsidRDefault="00DD13BF" w:rsidP="00355A56">
            <w:pPr>
              <w:pStyle w:val="TableParagraph"/>
              <w:ind w:left="115"/>
            </w:pPr>
          </w:p>
          <w:p w14:paraId="5EEF30A2" w14:textId="77777777" w:rsidR="00DD13BF" w:rsidRDefault="00DD13BF" w:rsidP="00355A56">
            <w:pPr>
              <w:pStyle w:val="TableParagraph"/>
              <w:ind w:left="115"/>
            </w:pPr>
          </w:p>
          <w:p w14:paraId="19299903" w14:textId="77777777" w:rsidR="00DD13BF" w:rsidRDefault="00DD13BF" w:rsidP="00355A56">
            <w:pPr>
              <w:pStyle w:val="TableParagraph"/>
              <w:ind w:left="115"/>
            </w:pPr>
          </w:p>
          <w:p w14:paraId="6BDFB99D" w14:textId="77777777" w:rsidR="00DD13BF" w:rsidRDefault="00DD13BF" w:rsidP="00355A56">
            <w:pPr>
              <w:pStyle w:val="TableParagraph"/>
              <w:ind w:left="115"/>
            </w:pPr>
          </w:p>
          <w:p w14:paraId="00E0BEB7" w14:textId="77777777" w:rsidR="00DD13BF" w:rsidRDefault="00DD13BF" w:rsidP="00355A56">
            <w:pPr>
              <w:pStyle w:val="TableParagraph"/>
              <w:ind w:left="115"/>
            </w:pPr>
          </w:p>
          <w:p w14:paraId="49011D90" w14:textId="77777777" w:rsidR="00DD13BF" w:rsidRDefault="00DD13BF" w:rsidP="00355A56">
            <w:pPr>
              <w:pStyle w:val="TableParagraph"/>
              <w:ind w:left="115"/>
            </w:pPr>
          </w:p>
          <w:p w14:paraId="4AD80829" w14:textId="77777777" w:rsidR="00DD13BF" w:rsidRDefault="00DD13BF" w:rsidP="00355A56">
            <w:pPr>
              <w:pStyle w:val="TableParagraph"/>
              <w:ind w:left="115"/>
            </w:pPr>
          </w:p>
          <w:p w14:paraId="5CBDF2F2" w14:textId="77777777" w:rsidR="00DD13BF" w:rsidRDefault="00DD13BF" w:rsidP="00355A56">
            <w:pPr>
              <w:pStyle w:val="TableParagraph"/>
              <w:ind w:left="115"/>
            </w:pPr>
          </w:p>
          <w:p w14:paraId="7E1E16E3" w14:textId="77777777" w:rsidR="00DD13BF" w:rsidRDefault="00DD13BF" w:rsidP="00355A56">
            <w:pPr>
              <w:pStyle w:val="TableParagraph"/>
              <w:ind w:left="115"/>
            </w:pPr>
          </w:p>
          <w:p w14:paraId="6360EEA9" w14:textId="77777777" w:rsidR="00DD13BF" w:rsidRDefault="00DD13BF" w:rsidP="00355A56">
            <w:pPr>
              <w:pStyle w:val="TableParagraph"/>
              <w:ind w:left="115"/>
            </w:pPr>
          </w:p>
          <w:p w14:paraId="18B0AE53" w14:textId="77777777" w:rsidR="00DD13BF" w:rsidRDefault="00DD13BF" w:rsidP="00355A56">
            <w:pPr>
              <w:pStyle w:val="TableParagraph"/>
              <w:ind w:left="115"/>
            </w:pPr>
          </w:p>
          <w:p w14:paraId="4D1C7354" w14:textId="77777777" w:rsidR="00DD13BF" w:rsidRDefault="00DD13BF" w:rsidP="00355A56">
            <w:pPr>
              <w:pStyle w:val="TableParagraph"/>
              <w:ind w:left="115"/>
            </w:pPr>
          </w:p>
          <w:p w14:paraId="57813ACD" w14:textId="77777777" w:rsidR="00DD13BF" w:rsidRDefault="00DD13BF" w:rsidP="00355A56">
            <w:pPr>
              <w:pStyle w:val="TableParagraph"/>
              <w:ind w:left="115"/>
            </w:pPr>
          </w:p>
          <w:p w14:paraId="13B9A9C9" w14:textId="77777777" w:rsidR="00DD13BF" w:rsidRDefault="00DD13BF" w:rsidP="00355A56">
            <w:pPr>
              <w:pStyle w:val="TableParagraph"/>
              <w:ind w:left="115"/>
            </w:pPr>
          </w:p>
          <w:p w14:paraId="54B3394B" w14:textId="77777777" w:rsidR="00DD13BF" w:rsidRDefault="00DD13BF" w:rsidP="00355A56">
            <w:pPr>
              <w:pStyle w:val="TableParagraph"/>
              <w:ind w:left="115"/>
            </w:pPr>
          </w:p>
          <w:p w14:paraId="7AA9D1B4" w14:textId="77777777" w:rsidR="00DD13BF" w:rsidRDefault="00DD13BF" w:rsidP="00355A56">
            <w:pPr>
              <w:pStyle w:val="TableParagraph"/>
              <w:ind w:left="115"/>
            </w:pPr>
          </w:p>
          <w:p w14:paraId="5FDECFF7" w14:textId="77777777" w:rsidR="00DD13BF" w:rsidRDefault="00DD13BF" w:rsidP="00355A56">
            <w:pPr>
              <w:pStyle w:val="TableParagraph"/>
              <w:ind w:left="115"/>
            </w:pPr>
          </w:p>
          <w:p w14:paraId="01DD0E07" w14:textId="77777777" w:rsidR="00DD13BF" w:rsidRDefault="00DD13BF" w:rsidP="00355A56">
            <w:pPr>
              <w:pStyle w:val="TableParagraph"/>
              <w:ind w:left="115"/>
            </w:pPr>
          </w:p>
          <w:p w14:paraId="186FC71C" w14:textId="77777777" w:rsidR="00DD13BF" w:rsidRDefault="00DD13BF" w:rsidP="00355A56">
            <w:pPr>
              <w:pStyle w:val="TableParagraph"/>
              <w:ind w:left="115"/>
            </w:pPr>
          </w:p>
          <w:p w14:paraId="1336493B" w14:textId="77777777" w:rsidR="00DD13BF" w:rsidRDefault="00DD13BF" w:rsidP="00355A56">
            <w:pPr>
              <w:pStyle w:val="TableParagraph"/>
              <w:ind w:left="115"/>
            </w:pPr>
          </w:p>
          <w:p w14:paraId="24A40E90" w14:textId="77777777" w:rsidR="00DD13BF" w:rsidRDefault="00DD13BF" w:rsidP="00355A56">
            <w:pPr>
              <w:pStyle w:val="TableParagraph"/>
              <w:ind w:left="115"/>
            </w:pPr>
          </w:p>
          <w:p w14:paraId="44CF71A5" w14:textId="77777777" w:rsidR="00DD13BF" w:rsidRDefault="00DD13BF" w:rsidP="00355A56">
            <w:pPr>
              <w:pStyle w:val="TableParagraph"/>
              <w:ind w:left="115"/>
            </w:pPr>
          </w:p>
          <w:p w14:paraId="65479DC8" w14:textId="77777777" w:rsidR="00DD13BF" w:rsidRDefault="00DD13BF" w:rsidP="00355A56">
            <w:pPr>
              <w:pStyle w:val="TableParagraph"/>
              <w:ind w:left="115"/>
            </w:pPr>
          </w:p>
          <w:p w14:paraId="077CEF81" w14:textId="77777777" w:rsidR="00DD13BF" w:rsidRDefault="00DD13BF" w:rsidP="00355A56">
            <w:pPr>
              <w:pStyle w:val="TableParagraph"/>
              <w:ind w:left="115"/>
            </w:pPr>
          </w:p>
          <w:p w14:paraId="5EFCE647" w14:textId="77777777" w:rsidR="00DD13BF" w:rsidRDefault="00DD13BF" w:rsidP="00355A56">
            <w:pPr>
              <w:pStyle w:val="TableParagraph"/>
              <w:ind w:left="115"/>
            </w:pPr>
          </w:p>
          <w:p w14:paraId="271B1766" w14:textId="77777777" w:rsidR="00DD13BF" w:rsidRDefault="00DD13BF" w:rsidP="00355A56">
            <w:pPr>
              <w:pStyle w:val="TableParagraph"/>
              <w:ind w:left="115"/>
            </w:pPr>
          </w:p>
          <w:p w14:paraId="555D6338" w14:textId="77777777" w:rsidR="00DD13BF" w:rsidRDefault="00DD13BF" w:rsidP="00355A56">
            <w:pPr>
              <w:pStyle w:val="TableParagraph"/>
              <w:ind w:left="115"/>
            </w:pPr>
          </w:p>
          <w:p w14:paraId="7AB439E6" w14:textId="77777777" w:rsidR="00DD13BF" w:rsidRDefault="00DD13BF" w:rsidP="00355A56">
            <w:pPr>
              <w:pStyle w:val="TableParagraph"/>
              <w:ind w:left="115"/>
            </w:pPr>
          </w:p>
          <w:p w14:paraId="6F1E3599" w14:textId="77777777" w:rsidR="00DD13BF" w:rsidRDefault="00DD13BF" w:rsidP="00355A56">
            <w:pPr>
              <w:pStyle w:val="TableParagraph"/>
              <w:ind w:left="115"/>
            </w:pPr>
          </w:p>
          <w:p w14:paraId="74FB10F6" w14:textId="77777777" w:rsidR="00DD13BF" w:rsidRDefault="00DD13BF" w:rsidP="00355A56">
            <w:pPr>
              <w:pStyle w:val="TableParagraph"/>
              <w:ind w:left="115"/>
            </w:pPr>
          </w:p>
          <w:p w14:paraId="5EC69A3D" w14:textId="77777777" w:rsidR="00DD13BF" w:rsidRDefault="00DD13BF" w:rsidP="00355A56">
            <w:pPr>
              <w:pStyle w:val="TableParagraph"/>
              <w:ind w:left="115"/>
            </w:pPr>
          </w:p>
          <w:p w14:paraId="0417ED28" w14:textId="77777777" w:rsidR="00DD13BF" w:rsidRDefault="00DD13BF" w:rsidP="00355A56">
            <w:pPr>
              <w:pStyle w:val="TableParagraph"/>
              <w:ind w:left="115"/>
            </w:pPr>
          </w:p>
          <w:p w14:paraId="24F1C697" w14:textId="77777777" w:rsidR="00DD13BF" w:rsidRDefault="00DD13BF" w:rsidP="00355A56">
            <w:pPr>
              <w:pStyle w:val="TableParagraph"/>
              <w:ind w:left="115"/>
            </w:pPr>
          </w:p>
          <w:p w14:paraId="6A5C4507" w14:textId="77777777" w:rsidR="00DD13BF" w:rsidRDefault="00DD13BF" w:rsidP="00355A56">
            <w:pPr>
              <w:pStyle w:val="TableParagraph"/>
              <w:ind w:left="115"/>
            </w:pPr>
          </w:p>
          <w:p w14:paraId="70D103E4" w14:textId="77777777" w:rsidR="00DD13BF" w:rsidRDefault="00DD13BF" w:rsidP="00355A56">
            <w:pPr>
              <w:pStyle w:val="TableParagraph"/>
              <w:ind w:left="115"/>
            </w:pPr>
          </w:p>
          <w:p w14:paraId="1D8F46AE" w14:textId="77777777" w:rsidR="00DD13BF" w:rsidRDefault="00DD13BF" w:rsidP="00355A56">
            <w:pPr>
              <w:pStyle w:val="TableParagraph"/>
              <w:ind w:left="115"/>
            </w:pPr>
          </w:p>
          <w:p w14:paraId="1C9736A3" w14:textId="77777777" w:rsidR="00DD13BF" w:rsidRDefault="00DD13BF" w:rsidP="00355A56">
            <w:pPr>
              <w:pStyle w:val="TableParagraph"/>
              <w:ind w:left="115"/>
            </w:pPr>
          </w:p>
          <w:p w14:paraId="7017D23F" w14:textId="77777777" w:rsidR="00DD13BF" w:rsidRDefault="00DD13BF" w:rsidP="00355A56">
            <w:pPr>
              <w:pStyle w:val="TableParagraph"/>
              <w:ind w:left="115"/>
            </w:pPr>
          </w:p>
          <w:p w14:paraId="5CE99C38" w14:textId="77777777" w:rsidR="00DD13BF" w:rsidRDefault="00DD13BF" w:rsidP="00355A56">
            <w:pPr>
              <w:pStyle w:val="TableParagraph"/>
              <w:ind w:left="115"/>
            </w:pPr>
          </w:p>
          <w:p w14:paraId="091AE863" w14:textId="77777777" w:rsidR="00DD13BF" w:rsidRDefault="00DD13BF" w:rsidP="00355A56">
            <w:pPr>
              <w:pStyle w:val="TableParagraph"/>
              <w:ind w:left="115"/>
            </w:pPr>
          </w:p>
          <w:p w14:paraId="6851E1D9" w14:textId="77777777" w:rsidR="00DD13BF" w:rsidRDefault="00DD13BF" w:rsidP="00355A56">
            <w:pPr>
              <w:pStyle w:val="TableParagraph"/>
              <w:ind w:left="115"/>
            </w:pPr>
          </w:p>
          <w:p w14:paraId="28523167" w14:textId="77777777" w:rsidR="00DD13BF" w:rsidRDefault="00DD13BF" w:rsidP="00355A56">
            <w:pPr>
              <w:pStyle w:val="TableParagraph"/>
              <w:ind w:left="115"/>
            </w:pPr>
          </w:p>
          <w:p w14:paraId="743E01A6" w14:textId="77777777" w:rsidR="00DD13BF" w:rsidRDefault="00DD13BF" w:rsidP="00355A56">
            <w:pPr>
              <w:pStyle w:val="TableParagraph"/>
              <w:ind w:left="115"/>
            </w:pPr>
          </w:p>
          <w:p w14:paraId="09D23737" w14:textId="77777777" w:rsidR="00DD13BF" w:rsidRDefault="00DD13BF" w:rsidP="00355A56">
            <w:pPr>
              <w:pStyle w:val="TableParagraph"/>
              <w:ind w:left="115"/>
            </w:pPr>
          </w:p>
          <w:p w14:paraId="609D00D6" w14:textId="77777777" w:rsidR="00DD13BF" w:rsidRDefault="00DD13BF" w:rsidP="00355A56">
            <w:pPr>
              <w:pStyle w:val="TableParagraph"/>
              <w:ind w:left="115"/>
            </w:pPr>
          </w:p>
          <w:p w14:paraId="0235F301" w14:textId="77777777" w:rsidR="00DD13BF" w:rsidRDefault="00DD13BF" w:rsidP="00355A56">
            <w:pPr>
              <w:pStyle w:val="TableParagraph"/>
              <w:ind w:left="115"/>
            </w:pPr>
          </w:p>
          <w:p w14:paraId="6AB817FF" w14:textId="77777777" w:rsidR="00DD13BF" w:rsidRDefault="00DD13BF" w:rsidP="00355A56">
            <w:pPr>
              <w:pStyle w:val="TableParagraph"/>
              <w:ind w:left="115"/>
            </w:pPr>
          </w:p>
          <w:p w14:paraId="337D790B" w14:textId="77777777" w:rsidR="00DD13BF" w:rsidRDefault="00DD13BF" w:rsidP="00355A56">
            <w:pPr>
              <w:pStyle w:val="TableParagraph"/>
              <w:ind w:left="115"/>
            </w:pPr>
          </w:p>
          <w:p w14:paraId="6F995896" w14:textId="77777777" w:rsidR="00DD13BF" w:rsidRDefault="00DD13BF" w:rsidP="00355A56">
            <w:pPr>
              <w:pStyle w:val="TableParagraph"/>
              <w:ind w:left="115"/>
            </w:pPr>
          </w:p>
          <w:p w14:paraId="68E8582B" w14:textId="77777777" w:rsidR="00DD13BF" w:rsidRDefault="00DD13BF" w:rsidP="00355A56">
            <w:pPr>
              <w:pStyle w:val="TableParagraph"/>
              <w:ind w:left="115"/>
            </w:pPr>
          </w:p>
          <w:p w14:paraId="348B5631" w14:textId="77777777" w:rsidR="00DD13BF" w:rsidRDefault="00DD13BF" w:rsidP="00355A56">
            <w:pPr>
              <w:pStyle w:val="TableParagraph"/>
              <w:ind w:left="115"/>
            </w:pPr>
          </w:p>
          <w:p w14:paraId="60767735" w14:textId="77777777" w:rsidR="00DD13BF" w:rsidRDefault="00DD13BF" w:rsidP="00355A56">
            <w:pPr>
              <w:pStyle w:val="TableParagraph"/>
              <w:ind w:left="115"/>
            </w:pPr>
          </w:p>
          <w:p w14:paraId="3BC80B30" w14:textId="77777777" w:rsidR="00DD13BF" w:rsidRDefault="00DD13BF" w:rsidP="00355A56">
            <w:pPr>
              <w:pStyle w:val="TableParagraph"/>
              <w:ind w:left="115"/>
            </w:pPr>
          </w:p>
          <w:p w14:paraId="04620F9A" w14:textId="77777777" w:rsidR="00DD13BF" w:rsidRDefault="00DD13BF" w:rsidP="00355A56">
            <w:pPr>
              <w:pStyle w:val="TableParagraph"/>
              <w:ind w:left="115"/>
            </w:pPr>
          </w:p>
          <w:p w14:paraId="40FD2E48" w14:textId="77777777" w:rsidR="00DD13BF" w:rsidRDefault="00DD13BF" w:rsidP="00355A56">
            <w:pPr>
              <w:pStyle w:val="TableParagraph"/>
              <w:ind w:left="115"/>
            </w:pPr>
          </w:p>
          <w:p w14:paraId="4BE567DB" w14:textId="77777777" w:rsidR="00DD13BF" w:rsidRDefault="00DD13BF" w:rsidP="00355A56">
            <w:pPr>
              <w:pStyle w:val="TableParagraph"/>
              <w:ind w:left="115"/>
            </w:pPr>
          </w:p>
          <w:p w14:paraId="3ACE2562" w14:textId="77777777" w:rsidR="00DD13BF" w:rsidRDefault="00DD13BF" w:rsidP="00355A56">
            <w:pPr>
              <w:pStyle w:val="TableParagraph"/>
              <w:ind w:left="115"/>
            </w:pPr>
          </w:p>
          <w:p w14:paraId="117CFEDD" w14:textId="77777777" w:rsidR="00DD13BF" w:rsidRDefault="00DD13BF" w:rsidP="00355A56">
            <w:pPr>
              <w:pStyle w:val="TableParagraph"/>
              <w:ind w:left="115"/>
            </w:pPr>
          </w:p>
          <w:p w14:paraId="034A2B19" w14:textId="77777777" w:rsidR="00DD13BF" w:rsidRDefault="00DD13BF" w:rsidP="00355A56">
            <w:pPr>
              <w:pStyle w:val="TableParagraph"/>
              <w:ind w:left="115"/>
            </w:pPr>
          </w:p>
          <w:p w14:paraId="4F640425" w14:textId="77777777" w:rsidR="00DD13BF" w:rsidRDefault="00DD13BF" w:rsidP="00355A56">
            <w:pPr>
              <w:pStyle w:val="TableParagraph"/>
              <w:ind w:left="115"/>
            </w:pPr>
          </w:p>
          <w:p w14:paraId="4AFFE3C6" w14:textId="77777777" w:rsidR="00DD13BF" w:rsidRDefault="00DD13BF" w:rsidP="00355A56">
            <w:pPr>
              <w:pStyle w:val="TableParagraph"/>
              <w:ind w:left="115"/>
            </w:pPr>
          </w:p>
          <w:p w14:paraId="55D1F5B9" w14:textId="77777777" w:rsidR="00DD13BF" w:rsidRDefault="00DD13BF" w:rsidP="00355A56">
            <w:pPr>
              <w:pStyle w:val="TableParagraph"/>
              <w:ind w:left="115"/>
            </w:pPr>
          </w:p>
          <w:p w14:paraId="72CCAF64" w14:textId="77777777" w:rsidR="00DD13BF" w:rsidRDefault="00DD13BF" w:rsidP="00355A56">
            <w:pPr>
              <w:pStyle w:val="TableParagraph"/>
              <w:ind w:left="115"/>
            </w:pPr>
          </w:p>
          <w:p w14:paraId="317192D4" w14:textId="77777777" w:rsidR="00DD13BF" w:rsidRDefault="00DD13BF" w:rsidP="00355A56">
            <w:pPr>
              <w:pStyle w:val="TableParagraph"/>
              <w:ind w:left="115"/>
            </w:pPr>
          </w:p>
          <w:p w14:paraId="6D1AA076" w14:textId="77777777" w:rsidR="00DD13BF" w:rsidRDefault="00DD13BF" w:rsidP="00355A56">
            <w:pPr>
              <w:pStyle w:val="TableParagraph"/>
              <w:ind w:left="115"/>
            </w:pPr>
          </w:p>
          <w:p w14:paraId="318AB9B7" w14:textId="77777777" w:rsidR="00DD13BF" w:rsidRDefault="00DD13BF" w:rsidP="00355A56">
            <w:pPr>
              <w:pStyle w:val="TableParagraph"/>
              <w:ind w:left="115"/>
            </w:pPr>
          </w:p>
          <w:p w14:paraId="32037C38" w14:textId="77777777" w:rsidR="00DD13BF" w:rsidRDefault="00DD13BF" w:rsidP="00355A56">
            <w:pPr>
              <w:pStyle w:val="TableParagraph"/>
              <w:ind w:left="115"/>
            </w:pPr>
          </w:p>
          <w:p w14:paraId="4AC148E9" w14:textId="77777777" w:rsidR="00DD13BF" w:rsidRDefault="00DD13BF" w:rsidP="00355A56">
            <w:pPr>
              <w:pStyle w:val="TableParagraph"/>
              <w:ind w:left="115"/>
            </w:pPr>
          </w:p>
          <w:p w14:paraId="7416E0F1" w14:textId="77777777" w:rsidR="00DD13BF" w:rsidRDefault="00DD13BF" w:rsidP="00355A56">
            <w:pPr>
              <w:pStyle w:val="TableParagraph"/>
              <w:ind w:left="115"/>
            </w:pPr>
          </w:p>
          <w:p w14:paraId="2CC076A3" w14:textId="77777777" w:rsidR="00DD13BF" w:rsidRDefault="00DD13BF" w:rsidP="00355A56">
            <w:pPr>
              <w:pStyle w:val="TableParagraph"/>
              <w:ind w:left="115"/>
            </w:pPr>
          </w:p>
          <w:p w14:paraId="6E941312" w14:textId="77777777" w:rsidR="00DD13BF" w:rsidRDefault="00DD13BF" w:rsidP="00355A56">
            <w:pPr>
              <w:pStyle w:val="TableParagraph"/>
              <w:ind w:left="115"/>
            </w:pPr>
          </w:p>
          <w:p w14:paraId="41AC7ACC" w14:textId="77777777" w:rsidR="00DD13BF" w:rsidRDefault="00DD13BF" w:rsidP="00355A56">
            <w:pPr>
              <w:pStyle w:val="TableParagraph"/>
              <w:ind w:left="115"/>
            </w:pPr>
          </w:p>
          <w:p w14:paraId="10EFB543" w14:textId="77777777" w:rsidR="00DD13BF" w:rsidRDefault="00DD13BF" w:rsidP="00355A56">
            <w:pPr>
              <w:pStyle w:val="TableParagraph"/>
              <w:ind w:left="115"/>
            </w:pPr>
          </w:p>
          <w:p w14:paraId="570973F3" w14:textId="77777777" w:rsidR="00DD13BF" w:rsidRDefault="00DD13BF" w:rsidP="00355A56">
            <w:pPr>
              <w:pStyle w:val="TableParagraph"/>
              <w:ind w:left="115"/>
            </w:pPr>
          </w:p>
          <w:p w14:paraId="20B21C5A" w14:textId="77777777" w:rsidR="00DD13BF" w:rsidRDefault="00DD13BF" w:rsidP="00355A56">
            <w:pPr>
              <w:pStyle w:val="TableParagraph"/>
              <w:ind w:left="115"/>
            </w:pPr>
          </w:p>
          <w:p w14:paraId="6BF671D3" w14:textId="77777777" w:rsidR="00DD13BF" w:rsidRDefault="00DD13BF" w:rsidP="00355A56">
            <w:pPr>
              <w:pStyle w:val="TableParagraph"/>
              <w:ind w:left="115"/>
            </w:pPr>
          </w:p>
          <w:p w14:paraId="68799047" w14:textId="77777777" w:rsidR="00DD13BF" w:rsidRDefault="00DD13BF" w:rsidP="00355A56">
            <w:pPr>
              <w:pStyle w:val="TableParagraph"/>
              <w:ind w:left="115"/>
            </w:pPr>
          </w:p>
          <w:p w14:paraId="1AA0F1E6" w14:textId="77777777" w:rsidR="00DD13BF" w:rsidRDefault="00DD13BF" w:rsidP="00355A56">
            <w:pPr>
              <w:pStyle w:val="TableParagraph"/>
              <w:ind w:left="115"/>
            </w:pPr>
          </w:p>
          <w:p w14:paraId="2B6CD2EE" w14:textId="77777777" w:rsidR="00DD13BF" w:rsidRDefault="00DD13BF" w:rsidP="00355A56">
            <w:pPr>
              <w:pStyle w:val="TableParagraph"/>
              <w:ind w:left="115"/>
            </w:pPr>
          </w:p>
          <w:p w14:paraId="08E4CE27" w14:textId="77777777" w:rsidR="00DD13BF" w:rsidRDefault="00DD13BF" w:rsidP="00355A56">
            <w:pPr>
              <w:pStyle w:val="TableParagraph"/>
              <w:ind w:left="115"/>
            </w:pPr>
          </w:p>
          <w:p w14:paraId="4CC571E7" w14:textId="77777777" w:rsidR="00DD13BF" w:rsidRDefault="00DD13BF" w:rsidP="00355A56">
            <w:pPr>
              <w:pStyle w:val="TableParagraph"/>
              <w:ind w:left="115"/>
            </w:pPr>
          </w:p>
          <w:p w14:paraId="4DAF8C8D" w14:textId="77777777" w:rsidR="00DD13BF" w:rsidRDefault="00DD13BF" w:rsidP="00355A56">
            <w:pPr>
              <w:pStyle w:val="TableParagraph"/>
              <w:ind w:left="115"/>
            </w:pPr>
          </w:p>
          <w:p w14:paraId="62AFCAB2" w14:textId="77777777" w:rsidR="00DD13BF" w:rsidRDefault="00DD13BF" w:rsidP="00355A56">
            <w:pPr>
              <w:pStyle w:val="TableParagraph"/>
              <w:ind w:left="115"/>
            </w:pPr>
          </w:p>
          <w:p w14:paraId="0D0007D4" w14:textId="77777777" w:rsidR="00DD13BF" w:rsidRDefault="00DD13BF" w:rsidP="00355A56">
            <w:pPr>
              <w:pStyle w:val="TableParagraph"/>
              <w:ind w:left="115"/>
            </w:pPr>
          </w:p>
          <w:p w14:paraId="5538F87A" w14:textId="77777777" w:rsidR="00DD13BF" w:rsidRDefault="00DD13BF" w:rsidP="00355A56">
            <w:pPr>
              <w:pStyle w:val="TableParagraph"/>
              <w:ind w:left="115"/>
            </w:pPr>
          </w:p>
          <w:p w14:paraId="05A13D76" w14:textId="77777777" w:rsidR="00DD13BF" w:rsidRDefault="00DD13BF" w:rsidP="00355A56">
            <w:pPr>
              <w:pStyle w:val="TableParagraph"/>
              <w:ind w:left="115"/>
            </w:pPr>
          </w:p>
          <w:p w14:paraId="15BF82E1" w14:textId="77777777" w:rsidR="00DD13BF" w:rsidRDefault="00DD13BF" w:rsidP="00355A56">
            <w:pPr>
              <w:pStyle w:val="TableParagraph"/>
              <w:ind w:left="115"/>
            </w:pPr>
          </w:p>
          <w:p w14:paraId="6F0CAF40" w14:textId="77777777" w:rsidR="00DD13BF" w:rsidRDefault="00DD13BF" w:rsidP="00355A56">
            <w:pPr>
              <w:pStyle w:val="TableParagraph"/>
              <w:ind w:left="115"/>
            </w:pPr>
          </w:p>
          <w:p w14:paraId="54AC2F52" w14:textId="77777777" w:rsidR="00DD13BF" w:rsidRDefault="00DD13BF" w:rsidP="00355A56">
            <w:pPr>
              <w:pStyle w:val="TableParagraph"/>
              <w:ind w:left="115"/>
            </w:pPr>
          </w:p>
          <w:p w14:paraId="6CA04D67" w14:textId="77777777" w:rsidR="00DD13BF" w:rsidRDefault="00DD13BF" w:rsidP="00355A56">
            <w:pPr>
              <w:pStyle w:val="TableParagraph"/>
              <w:ind w:left="115"/>
            </w:pPr>
          </w:p>
          <w:p w14:paraId="5CC668D8" w14:textId="77777777" w:rsidR="00DD13BF" w:rsidRDefault="00DD13BF" w:rsidP="00355A56">
            <w:pPr>
              <w:pStyle w:val="TableParagraph"/>
              <w:ind w:left="115"/>
            </w:pPr>
          </w:p>
          <w:p w14:paraId="42B10D32" w14:textId="77777777" w:rsidR="00DD13BF" w:rsidRDefault="00DD13BF" w:rsidP="00355A56">
            <w:pPr>
              <w:pStyle w:val="TableParagraph"/>
              <w:ind w:left="115"/>
            </w:pPr>
          </w:p>
          <w:p w14:paraId="1D541221" w14:textId="77777777" w:rsidR="00DD13BF" w:rsidRDefault="00DD13BF" w:rsidP="00355A56">
            <w:pPr>
              <w:pStyle w:val="TableParagraph"/>
              <w:ind w:left="115"/>
            </w:pPr>
          </w:p>
          <w:p w14:paraId="3D484319" w14:textId="77777777" w:rsidR="00DD13BF" w:rsidRDefault="00DD13BF" w:rsidP="00355A56">
            <w:pPr>
              <w:pStyle w:val="TableParagraph"/>
              <w:ind w:left="115"/>
            </w:pPr>
          </w:p>
          <w:p w14:paraId="1842D806" w14:textId="77777777" w:rsidR="00DD13BF" w:rsidRDefault="00DD13BF" w:rsidP="00355A56">
            <w:pPr>
              <w:pStyle w:val="TableParagraph"/>
              <w:ind w:left="115"/>
            </w:pPr>
          </w:p>
          <w:p w14:paraId="57660BA9" w14:textId="77777777" w:rsidR="00DD13BF" w:rsidRDefault="00DD13BF" w:rsidP="00355A56">
            <w:pPr>
              <w:pStyle w:val="TableParagraph"/>
              <w:ind w:left="115"/>
            </w:pPr>
          </w:p>
          <w:p w14:paraId="00DA360E" w14:textId="77777777" w:rsidR="00DD13BF" w:rsidRDefault="00DD13BF" w:rsidP="00355A56">
            <w:pPr>
              <w:pStyle w:val="TableParagraph"/>
              <w:ind w:left="115"/>
            </w:pPr>
          </w:p>
          <w:p w14:paraId="4E585A87" w14:textId="77777777" w:rsidR="00DD13BF" w:rsidRDefault="00DD13BF" w:rsidP="00355A56">
            <w:pPr>
              <w:pStyle w:val="TableParagraph"/>
              <w:ind w:left="115"/>
            </w:pPr>
          </w:p>
          <w:p w14:paraId="2E95C3AA" w14:textId="77777777" w:rsidR="00DD13BF" w:rsidRDefault="00DD13BF" w:rsidP="00355A56">
            <w:pPr>
              <w:pStyle w:val="TableParagraph"/>
              <w:ind w:left="115"/>
            </w:pPr>
          </w:p>
          <w:p w14:paraId="42800ECC" w14:textId="77777777" w:rsidR="00DD13BF" w:rsidRDefault="00DD13BF" w:rsidP="00355A56">
            <w:pPr>
              <w:pStyle w:val="TableParagraph"/>
              <w:ind w:left="115"/>
            </w:pPr>
          </w:p>
          <w:p w14:paraId="45C4913C" w14:textId="77777777" w:rsidR="00DD13BF" w:rsidRDefault="00DD13BF" w:rsidP="00355A56">
            <w:pPr>
              <w:pStyle w:val="TableParagraph"/>
              <w:ind w:left="115"/>
            </w:pPr>
          </w:p>
          <w:p w14:paraId="21047E92" w14:textId="77777777" w:rsidR="00DD13BF" w:rsidRDefault="00DD13BF" w:rsidP="00355A56">
            <w:pPr>
              <w:pStyle w:val="TableParagraph"/>
              <w:ind w:left="115"/>
            </w:pPr>
          </w:p>
          <w:p w14:paraId="44785D5D" w14:textId="77777777" w:rsidR="00DD13BF" w:rsidRDefault="00DD13BF" w:rsidP="00355A56">
            <w:pPr>
              <w:pStyle w:val="TableParagraph"/>
              <w:ind w:left="115"/>
            </w:pPr>
          </w:p>
          <w:p w14:paraId="58A286B6" w14:textId="77777777" w:rsidR="00DD13BF" w:rsidRDefault="00DD13BF" w:rsidP="00355A56">
            <w:pPr>
              <w:pStyle w:val="TableParagraph"/>
              <w:ind w:left="115"/>
            </w:pPr>
          </w:p>
          <w:p w14:paraId="6E16CA5B" w14:textId="77777777" w:rsidR="00DD13BF" w:rsidRDefault="00DD13BF" w:rsidP="00355A56">
            <w:pPr>
              <w:pStyle w:val="TableParagraph"/>
              <w:ind w:left="115"/>
            </w:pPr>
          </w:p>
          <w:p w14:paraId="7B5E07E1" w14:textId="77777777" w:rsidR="00DD13BF" w:rsidRDefault="00DD13BF" w:rsidP="00355A56">
            <w:pPr>
              <w:pStyle w:val="TableParagraph"/>
              <w:ind w:left="115"/>
            </w:pPr>
          </w:p>
          <w:p w14:paraId="616148A2" w14:textId="77777777" w:rsidR="00DD13BF" w:rsidRDefault="00DD13BF" w:rsidP="00355A56">
            <w:pPr>
              <w:pStyle w:val="TableParagraph"/>
              <w:ind w:left="115"/>
            </w:pPr>
          </w:p>
          <w:p w14:paraId="6C2C5F77" w14:textId="77777777" w:rsidR="00DD13BF" w:rsidRDefault="00DD13BF" w:rsidP="00355A56">
            <w:pPr>
              <w:pStyle w:val="TableParagraph"/>
              <w:ind w:left="115"/>
            </w:pPr>
          </w:p>
          <w:p w14:paraId="7D5758A7" w14:textId="77777777" w:rsidR="00DD13BF" w:rsidRDefault="00DD13BF" w:rsidP="00355A56">
            <w:pPr>
              <w:pStyle w:val="TableParagraph"/>
              <w:ind w:left="115"/>
            </w:pPr>
          </w:p>
          <w:p w14:paraId="1AF10BC3" w14:textId="77777777" w:rsidR="00DD13BF" w:rsidRDefault="00DD13BF" w:rsidP="00355A56">
            <w:pPr>
              <w:pStyle w:val="TableParagraph"/>
              <w:ind w:left="115"/>
            </w:pPr>
          </w:p>
          <w:p w14:paraId="2C5CEC84" w14:textId="77777777" w:rsidR="00DD13BF" w:rsidRDefault="00DD13BF" w:rsidP="00355A56">
            <w:pPr>
              <w:pStyle w:val="TableParagraph"/>
              <w:ind w:left="115"/>
            </w:pPr>
          </w:p>
          <w:p w14:paraId="03EA5208" w14:textId="77777777" w:rsidR="00DD13BF" w:rsidRDefault="00DD13BF" w:rsidP="00355A56">
            <w:pPr>
              <w:pStyle w:val="TableParagraph"/>
              <w:ind w:left="115"/>
            </w:pPr>
          </w:p>
          <w:p w14:paraId="4F59BAB9" w14:textId="77777777" w:rsidR="00DD13BF" w:rsidRDefault="00DD13BF" w:rsidP="00355A56">
            <w:pPr>
              <w:pStyle w:val="TableParagraph"/>
              <w:ind w:left="115"/>
            </w:pPr>
          </w:p>
          <w:p w14:paraId="405D1F6D" w14:textId="77777777" w:rsidR="00DD13BF" w:rsidRDefault="00DD13BF" w:rsidP="00355A56">
            <w:pPr>
              <w:pStyle w:val="TableParagraph"/>
              <w:ind w:left="115"/>
            </w:pPr>
          </w:p>
          <w:p w14:paraId="4F8B78BB" w14:textId="77777777" w:rsidR="00DD13BF" w:rsidRDefault="00DD13BF" w:rsidP="00355A56">
            <w:pPr>
              <w:pStyle w:val="TableParagraph"/>
              <w:ind w:left="115"/>
            </w:pPr>
          </w:p>
          <w:p w14:paraId="34A3797F" w14:textId="77777777" w:rsidR="00DD13BF" w:rsidRDefault="00DD13BF" w:rsidP="00355A56">
            <w:pPr>
              <w:pStyle w:val="TableParagraph"/>
              <w:ind w:left="115"/>
            </w:pPr>
          </w:p>
          <w:p w14:paraId="7E78D5A0" w14:textId="77777777" w:rsidR="00DD13BF" w:rsidRDefault="00DD13BF" w:rsidP="00355A56">
            <w:pPr>
              <w:pStyle w:val="TableParagraph"/>
              <w:ind w:left="115"/>
            </w:pPr>
          </w:p>
          <w:p w14:paraId="7CA848D1" w14:textId="77777777" w:rsidR="00DD13BF" w:rsidRDefault="00DD13BF" w:rsidP="00355A56">
            <w:pPr>
              <w:pStyle w:val="TableParagraph"/>
              <w:ind w:left="115"/>
            </w:pPr>
          </w:p>
          <w:p w14:paraId="5EFE7721" w14:textId="77777777" w:rsidR="00DD13BF" w:rsidRDefault="00DD13BF" w:rsidP="00355A56">
            <w:pPr>
              <w:pStyle w:val="TableParagraph"/>
              <w:ind w:left="115"/>
            </w:pPr>
          </w:p>
          <w:p w14:paraId="632D1AE8" w14:textId="77777777" w:rsidR="00DD13BF" w:rsidRDefault="00DD13BF" w:rsidP="00355A56">
            <w:pPr>
              <w:pStyle w:val="TableParagraph"/>
              <w:ind w:left="115"/>
            </w:pPr>
          </w:p>
          <w:p w14:paraId="546E2207" w14:textId="77777777" w:rsidR="00DD13BF" w:rsidRDefault="00DD13BF" w:rsidP="00355A56">
            <w:pPr>
              <w:pStyle w:val="TableParagraph"/>
              <w:ind w:left="115"/>
            </w:pPr>
          </w:p>
          <w:p w14:paraId="201C4807" w14:textId="77777777" w:rsidR="00DD13BF" w:rsidRDefault="00DD13BF" w:rsidP="00355A56">
            <w:pPr>
              <w:pStyle w:val="TableParagraph"/>
              <w:ind w:left="115"/>
            </w:pPr>
          </w:p>
          <w:p w14:paraId="7803F414" w14:textId="77777777" w:rsidR="00DD13BF" w:rsidRDefault="00DD13BF" w:rsidP="00355A56">
            <w:pPr>
              <w:pStyle w:val="TableParagraph"/>
              <w:ind w:left="115"/>
            </w:pPr>
          </w:p>
          <w:p w14:paraId="4AB7A4AB" w14:textId="77777777" w:rsidR="00DD13BF" w:rsidRDefault="00DD13BF" w:rsidP="00355A56">
            <w:pPr>
              <w:pStyle w:val="TableParagraph"/>
              <w:ind w:left="115"/>
            </w:pPr>
          </w:p>
          <w:p w14:paraId="02350247" w14:textId="77777777" w:rsidR="00DD13BF" w:rsidRDefault="00DD13BF" w:rsidP="00355A56">
            <w:pPr>
              <w:pStyle w:val="TableParagraph"/>
              <w:ind w:left="115"/>
            </w:pPr>
          </w:p>
          <w:p w14:paraId="46A4FC37" w14:textId="77777777" w:rsidR="00DD13BF" w:rsidRDefault="00DD13BF" w:rsidP="00355A56">
            <w:pPr>
              <w:pStyle w:val="TableParagraph"/>
              <w:ind w:left="115"/>
            </w:pPr>
          </w:p>
          <w:p w14:paraId="426C9A15" w14:textId="77777777" w:rsidR="00DD13BF" w:rsidRDefault="00DD13BF" w:rsidP="00355A56">
            <w:pPr>
              <w:pStyle w:val="TableParagraph"/>
              <w:ind w:left="115"/>
            </w:pPr>
          </w:p>
          <w:p w14:paraId="5B5FE8C6" w14:textId="77777777" w:rsidR="00DD13BF" w:rsidRDefault="00DD13BF" w:rsidP="00355A56">
            <w:pPr>
              <w:pStyle w:val="TableParagraph"/>
              <w:ind w:left="115"/>
            </w:pPr>
          </w:p>
          <w:p w14:paraId="0971E945" w14:textId="77777777" w:rsidR="00DD13BF" w:rsidRDefault="00DD13BF" w:rsidP="00355A56">
            <w:pPr>
              <w:pStyle w:val="TableParagraph"/>
              <w:ind w:left="115"/>
            </w:pPr>
          </w:p>
          <w:p w14:paraId="720EC0C6" w14:textId="77777777" w:rsidR="00DD13BF" w:rsidRDefault="00DD13BF" w:rsidP="00355A56">
            <w:pPr>
              <w:pStyle w:val="TableParagraph"/>
              <w:ind w:left="115"/>
            </w:pPr>
          </w:p>
          <w:p w14:paraId="3B065B6C" w14:textId="77777777" w:rsidR="00DD13BF" w:rsidRDefault="00DD13BF" w:rsidP="00355A56">
            <w:pPr>
              <w:pStyle w:val="TableParagraph"/>
              <w:ind w:left="115"/>
            </w:pPr>
          </w:p>
          <w:p w14:paraId="7DEE22DC" w14:textId="77777777" w:rsidR="00DD13BF" w:rsidRDefault="00DD13BF" w:rsidP="00355A56">
            <w:pPr>
              <w:pStyle w:val="TableParagraph"/>
              <w:ind w:left="115"/>
            </w:pPr>
          </w:p>
          <w:p w14:paraId="33BC4FF4" w14:textId="77777777" w:rsidR="00DD13BF" w:rsidRDefault="00DD13BF" w:rsidP="00355A56">
            <w:pPr>
              <w:pStyle w:val="TableParagraph"/>
              <w:ind w:left="115"/>
            </w:pPr>
          </w:p>
          <w:p w14:paraId="5A540B32" w14:textId="77777777" w:rsidR="00DD13BF" w:rsidRDefault="00DD13BF" w:rsidP="00355A56">
            <w:pPr>
              <w:pStyle w:val="TableParagraph"/>
              <w:ind w:left="115"/>
            </w:pPr>
          </w:p>
          <w:p w14:paraId="653E68E9" w14:textId="77777777" w:rsidR="00DD13BF" w:rsidRDefault="00DD13BF" w:rsidP="00355A56">
            <w:pPr>
              <w:pStyle w:val="TableParagraph"/>
              <w:ind w:left="115"/>
            </w:pPr>
          </w:p>
          <w:p w14:paraId="264B9421" w14:textId="77777777" w:rsidR="00DD13BF" w:rsidRDefault="00DD13BF" w:rsidP="00355A56">
            <w:pPr>
              <w:pStyle w:val="TableParagraph"/>
              <w:ind w:left="115"/>
            </w:pPr>
          </w:p>
          <w:p w14:paraId="3C7E7587" w14:textId="77777777" w:rsidR="00DD13BF" w:rsidRDefault="00DD13BF" w:rsidP="00355A56">
            <w:pPr>
              <w:pStyle w:val="TableParagraph"/>
              <w:ind w:left="115"/>
            </w:pPr>
          </w:p>
          <w:p w14:paraId="5A6F9714" w14:textId="77777777" w:rsidR="00DD13BF" w:rsidRDefault="00DD13BF" w:rsidP="00355A56">
            <w:pPr>
              <w:pStyle w:val="TableParagraph"/>
              <w:ind w:left="115"/>
            </w:pPr>
          </w:p>
          <w:p w14:paraId="0603CEB5" w14:textId="77777777" w:rsidR="00DD13BF" w:rsidRDefault="00DD13BF" w:rsidP="00355A56">
            <w:pPr>
              <w:pStyle w:val="TableParagraph"/>
              <w:ind w:left="115"/>
            </w:pPr>
          </w:p>
          <w:p w14:paraId="5B1DB392" w14:textId="77777777" w:rsidR="00DD13BF" w:rsidRDefault="00DD13BF" w:rsidP="00355A56">
            <w:pPr>
              <w:pStyle w:val="TableParagraph"/>
              <w:ind w:left="115"/>
            </w:pPr>
          </w:p>
          <w:p w14:paraId="1D7EBC43" w14:textId="77777777" w:rsidR="00DD13BF" w:rsidRDefault="00DD13BF" w:rsidP="00355A56">
            <w:pPr>
              <w:pStyle w:val="TableParagraph"/>
              <w:ind w:left="115"/>
            </w:pPr>
          </w:p>
          <w:p w14:paraId="2209101D" w14:textId="77777777" w:rsidR="00DD13BF" w:rsidRDefault="00DD13BF" w:rsidP="00355A56">
            <w:pPr>
              <w:pStyle w:val="TableParagraph"/>
              <w:ind w:left="115"/>
            </w:pPr>
          </w:p>
          <w:p w14:paraId="50BBDDBC" w14:textId="77777777" w:rsidR="00DD13BF" w:rsidRDefault="00DD13BF" w:rsidP="00355A56">
            <w:pPr>
              <w:pStyle w:val="TableParagraph"/>
              <w:ind w:left="115"/>
            </w:pPr>
          </w:p>
          <w:p w14:paraId="52364DC9" w14:textId="77777777" w:rsidR="00DD13BF" w:rsidRDefault="00DD13BF" w:rsidP="00355A56">
            <w:pPr>
              <w:pStyle w:val="TableParagraph"/>
              <w:ind w:left="115"/>
            </w:pPr>
          </w:p>
          <w:p w14:paraId="085305B8" w14:textId="77777777" w:rsidR="00DD13BF" w:rsidRDefault="00DD13BF" w:rsidP="00355A56">
            <w:pPr>
              <w:pStyle w:val="TableParagraph"/>
              <w:ind w:left="115"/>
            </w:pPr>
          </w:p>
          <w:p w14:paraId="740F1452" w14:textId="77777777" w:rsidR="00DD13BF" w:rsidRDefault="00DD13BF" w:rsidP="00355A56">
            <w:pPr>
              <w:pStyle w:val="TableParagraph"/>
              <w:ind w:left="115"/>
            </w:pPr>
          </w:p>
          <w:p w14:paraId="018B7BA3" w14:textId="77777777" w:rsidR="00DD13BF" w:rsidRDefault="00DD13BF" w:rsidP="00355A56">
            <w:pPr>
              <w:pStyle w:val="TableParagraph"/>
              <w:ind w:left="115"/>
            </w:pPr>
          </w:p>
          <w:p w14:paraId="5F12DAC7" w14:textId="77777777" w:rsidR="00DD13BF" w:rsidRDefault="00DD13BF" w:rsidP="00355A56">
            <w:pPr>
              <w:pStyle w:val="TableParagraph"/>
              <w:ind w:left="115"/>
            </w:pPr>
          </w:p>
          <w:p w14:paraId="715FF7D5" w14:textId="77777777" w:rsidR="00DD13BF" w:rsidRDefault="00DD13BF" w:rsidP="00355A56">
            <w:pPr>
              <w:pStyle w:val="TableParagraph"/>
              <w:ind w:left="115"/>
            </w:pPr>
          </w:p>
          <w:p w14:paraId="09B38F22" w14:textId="77777777" w:rsidR="00DD13BF" w:rsidRDefault="00DD13BF" w:rsidP="00355A56">
            <w:pPr>
              <w:pStyle w:val="TableParagraph"/>
              <w:ind w:left="115"/>
            </w:pPr>
          </w:p>
          <w:p w14:paraId="4886BC6E" w14:textId="77777777" w:rsidR="00DD13BF" w:rsidRDefault="00DD13BF" w:rsidP="00355A56">
            <w:pPr>
              <w:pStyle w:val="TableParagraph"/>
              <w:ind w:left="115"/>
            </w:pPr>
          </w:p>
          <w:p w14:paraId="73F7A0D3" w14:textId="77777777" w:rsidR="00DD13BF" w:rsidRDefault="00DD13BF" w:rsidP="00355A56">
            <w:pPr>
              <w:pStyle w:val="TableParagraph"/>
              <w:ind w:left="115"/>
            </w:pPr>
          </w:p>
          <w:p w14:paraId="7DE1A8D3" w14:textId="77777777" w:rsidR="00DD13BF" w:rsidRDefault="00DD13BF" w:rsidP="00355A56">
            <w:pPr>
              <w:pStyle w:val="TableParagraph"/>
              <w:ind w:left="115"/>
            </w:pPr>
          </w:p>
          <w:p w14:paraId="55168F54" w14:textId="77777777" w:rsidR="00DD13BF" w:rsidRDefault="00DD13BF" w:rsidP="00355A56">
            <w:pPr>
              <w:pStyle w:val="TableParagraph"/>
              <w:ind w:left="115"/>
            </w:pPr>
          </w:p>
          <w:p w14:paraId="5D8559EA" w14:textId="77777777" w:rsidR="00DD13BF" w:rsidRDefault="00DD13BF" w:rsidP="00355A56">
            <w:pPr>
              <w:pStyle w:val="TableParagraph"/>
              <w:ind w:left="115"/>
            </w:pPr>
          </w:p>
          <w:p w14:paraId="5FD73C06" w14:textId="77777777" w:rsidR="00DD13BF" w:rsidRDefault="00DD13BF" w:rsidP="00355A56">
            <w:pPr>
              <w:pStyle w:val="TableParagraph"/>
              <w:ind w:left="115"/>
            </w:pPr>
          </w:p>
          <w:p w14:paraId="5F26A019" w14:textId="77777777" w:rsidR="00DD13BF" w:rsidRDefault="00DD13BF" w:rsidP="00355A56">
            <w:pPr>
              <w:pStyle w:val="TableParagraph"/>
              <w:ind w:left="115"/>
            </w:pPr>
          </w:p>
          <w:p w14:paraId="67D8CAD4" w14:textId="77777777" w:rsidR="00DD13BF" w:rsidRDefault="00DD13BF" w:rsidP="00355A56">
            <w:pPr>
              <w:pStyle w:val="TableParagraph"/>
              <w:ind w:left="115"/>
            </w:pPr>
          </w:p>
          <w:p w14:paraId="02EA0880" w14:textId="77777777" w:rsidR="00DD13BF" w:rsidRDefault="00DD13BF" w:rsidP="00355A56">
            <w:pPr>
              <w:pStyle w:val="TableParagraph"/>
              <w:ind w:left="115"/>
            </w:pPr>
          </w:p>
          <w:p w14:paraId="6754D60A" w14:textId="77777777" w:rsidR="00DD13BF" w:rsidRDefault="00DD13BF" w:rsidP="00355A56">
            <w:pPr>
              <w:pStyle w:val="TableParagraph"/>
              <w:ind w:left="115"/>
            </w:pPr>
          </w:p>
          <w:p w14:paraId="3CA418AC" w14:textId="77777777" w:rsidR="00DD13BF" w:rsidRDefault="00DD13BF" w:rsidP="00355A56">
            <w:pPr>
              <w:pStyle w:val="TableParagraph"/>
              <w:ind w:left="115"/>
            </w:pPr>
          </w:p>
          <w:p w14:paraId="7E53638F" w14:textId="77777777" w:rsidR="00DD13BF" w:rsidRDefault="00DD13BF" w:rsidP="00355A56">
            <w:pPr>
              <w:pStyle w:val="TableParagraph"/>
              <w:ind w:left="115"/>
            </w:pPr>
          </w:p>
          <w:p w14:paraId="601F666C" w14:textId="77777777" w:rsidR="00DD13BF" w:rsidRDefault="00DD13BF" w:rsidP="00355A56">
            <w:pPr>
              <w:pStyle w:val="TableParagraph"/>
              <w:ind w:left="115"/>
            </w:pPr>
          </w:p>
          <w:p w14:paraId="2FA938A5" w14:textId="77777777" w:rsidR="00DD13BF" w:rsidRPr="006D4DF3" w:rsidRDefault="00DD13BF" w:rsidP="00355A56">
            <w:pPr>
              <w:pStyle w:val="TableParagraph"/>
              <w:ind w:left="115"/>
            </w:pPr>
            <w:r w:rsidRPr="006D4DF3">
              <w:t>P</w:t>
            </w:r>
            <w:r>
              <w:t>O</w:t>
            </w:r>
            <w:r w:rsidRPr="006D4DF3">
              <w:t xml:space="preserve"> 5: </w:t>
            </w:r>
            <w:r>
              <w:t xml:space="preserve">a </w:t>
            </w:r>
            <w:r w:rsidRPr="006D4DF3">
              <w:t>E</w:t>
            </w:r>
            <w:r>
              <w:t xml:space="preserve">urope </w:t>
            </w:r>
            <w:commentRangeStart w:id="8"/>
            <w:r>
              <w:t>closer</w:t>
            </w:r>
            <w:commentRangeEnd w:id="8"/>
            <w:r>
              <w:rPr>
                <w:rStyle w:val="Pripombasklic"/>
                <w:rFonts w:asciiTheme="minorHAnsi" w:eastAsiaTheme="minorHAnsi" w:hAnsiTheme="minorHAnsi" w:cstheme="minorBidi"/>
              </w:rPr>
              <w:commentReference w:id="8"/>
            </w:r>
            <w:r>
              <w:t xml:space="preserve"> to citizens by fostering the sustainable and integrated development of all types of territories </w:t>
            </w:r>
            <w:r>
              <w:lastRenderedPageBreak/>
              <w:t>and local initiatives</w:t>
            </w:r>
          </w:p>
        </w:tc>
        <w:tc>
          <w:tcPr>
            <w:tcW w:w="3119" w:type="dxa"/>
          </w:tcPr>
          <w:p w14:paraId="09EECBA4" w14:textId="77777777" w:rsidR="00DD13BF" w:rsidRDefault="00DD13BF" w:rsidP="00355A56">
            <w:pPr>
              <w:ind w:left="37"/>
            </w:pPr>
            <w:r>
              <w:lastRenderedPageBreak/>
              <w:t xml:space="preserve">Priority 7: Long-term care and health, and social inclusion </w:t>
            </w:r>
          </w:p>
          <w:p w14:paraId="290700D0" w14:textId="77777777" w:rsidR="00DD13BF" w:rsidRDefault="00DD13BF" w:rsidP="00355A56">
            <w:pPr>
              <w:ind w:left="37"/>
            </w:pPr>
          </w:p>
          <w:p w14:paraId="0CB6E1D0" w14:textId="77777777" w:rsidR="00DD13BF" w:rsidRPr="006D4DF3" w:rsidRDefault="00DD13BF" w:rsidP="00355A56">
            <w:pPr>
              <w:ind w:left="37"/>
            </w:pPr>
            <w:r w:rsidRPr="00D754F6">
              <w:t>ESO4.8</w:t>
            </w:r>
            <w:r>
              <w:t>:</w:t>
            </w:r>
            <w:r w:rsidRPr="00D754F6">
              <w:t xml:space="preserve"> </w:t>
            </w:r>
            <w:r>
              <w:t>Fostering active inclusion with a view to promoting equal opportunities, non-discrimination and active participation, and improving employability, in particular for disadvantaged groups</w:t>
            </w:r>
            <w:r w:rsidRPr="00D754F6">
              <w:t xml:space="preserve"> </w:t>
            </w:r>
          </w:p>
        </w:tc>
        <w:tc>
          <w:tcPr>
            <w:tcW w:w="9639" w:type="dxa"/>
          </w:tcPr>
          <w:p w14:paraId="5F01AF85" w14:textId="77777777" w:rsidR="00DD13BF" w:rsidRPr="00745658" w:rsidRDefault="00DD13BF" w:rsidP="00355A56">
            <w:pPr>
              <w:pStyle w:val="TableParagraph"/>
              <w:ind w:left="104" w:right="67"/>
              <w:jc w:val="both"/>
              <w:rPr>
                <w:spacing w:val="-5"/>
              </w:rPr>
            </w:pPr>
            <w:r>
              <w:rPr>
                <w:spacing w:val="-5"/>
              </w:rPr>
              <w:t>Under the baseline scenario of the population projection for Slovenia, the working-age population is projected to decline, so that in 2060 the number of working-age people could be as many as half a million lower than in 2013. The share of people in the 20-64 age group has been falling since 2013 and the negative demographic trend has already resulted in the shrinking workforce. Thus, increased demand for workers has been recorded in the past two years</w:t>
            </w:r>
            <w:r w:rsidRPr="00745658">
              <w:rPr>
                <w:spacing w:val="-5"/>
              </w:rPr>
              <w:t>.</w:t>
            </w:r>
          </w:p>
          <w:p w14:paraId="5EB75BAE" w14:textId="77777777" w:rsidR="00DD13BF" w:rsidRDefault="00DD13BF" w:rsidP="00355A56">
            <w:pPr>
              <w:pStyle w:val="TableParagraph"/>
              <w:ind w:left="104" w:right="67"/>
              <w:jc w:val="both"/>
              <w:rPr>
                <w:spacing w:val="-5"/>
              </w:rPr>
            </w:pPr>
          </w:p>
          <w:p w14:paraId="3B44FE4C" w14:textId="77777777" w:rsidR="00DD13BF" w:rsidRDefault="00DD13BF" w:rsidP="00355A56">
            <w:pPr>
              <w:pStyle w:val="TableParagraph"/>
              <w:ind w:left="104" w:right="67"/>
              <w:jc w:val="both"/>
              <w:rPr>
                <w:spacing w:val="-5"/>
              </w:rPr>
            </w:pPr>
            <w:r>
              <w:rPr>
                <w:spacing w:val="-5"/>
              </w:rPr>
              <w:t>According to ZRSZ</w:t>
            </w:r>
            <w:r>
              <w:rPr>
                <w:rStyle w:val="Sprotnaopomba-sklic"/>
                <w:spacing w:val="-5"/>
              </w:rPr>
              <w:footnoteReference w:id="111"/>
            </w:r>
            <w:r>
              <w:rPr>
                <w:spacing w:val="-5"/>
              </w:rPr>
              <w:t>,</w:t>
            </w:r>
            <w:r w:rsidRPr="00EA02A2">
              <w:rPr>
                <w:spacing w:val="-5"/>
              </w:rPr>
              <w:t xml:space="preserve"> </w:t>
            </w:r>
            <w:r>
              <w:rPr>
                <w:spacing w:val="-5"/>
              </w:rPr>
              <w:t>the number of unemployed persons in Slovenia in September 2021 stood at 66,122, 45.3% of whom</w:t>
            </w:r>
            <w:r w:rsidRPr="00985824">
              <w:rPr>
                <w:spacing w:val="-5"/>
              </w:rPr>
              <w:t xml:space="preserve"> </w:t>
            </w:r>
            <w:r>
              <w:rPr>
                <w:spacing w:val="-5"/>
              </w:rPr>
              <w:t xml:space="preserve">were receiving social assistance in cash. In terms of the structure of the unemployed, the long-term unemployed accounted for the majority of the unemployed (76.9%), followed by the category of women (48.1%), and persons who completed primary school or failed to complete a basic cycle of primary school (38.9%). </w:t>
            </w:r>
          </w:p>
          <w:p w14:paraId="60DC8C83" w14:textId="77777777" w:rsidR="00DD13BF" w:rsidRDefault="00DD13BF" w:rsidP="00355A56">
            <w:pPr>
              <w:pStyle w:val="TableParagraph"/>
              <w:ind w:left="104" w:right="67"/>
              <w:jc w:val="both"/>
              <w:rPr>
                <w:spacing w:val="-5"/>
              </w:rPr>
            </w:pPr>
          </w:p>
          <w:p w14:paraId="080774CE" w14:textId="77777777" w:rsidR="00DD13BF" w:rsidRDefault="00DD13BF" w:rsidP="00355A56">
            <w:pPr>
              <w:pStyle w:val="TableParagraph"/>
              <w:ind w:left="104" w:right="67"/>
              <w:jc w:val="both"/>
              <w:rPr>
                <w:spacing w:val="-5"/>
              </w:rPr>
            </w:pPr>
            <w:r>
              <w:rPr>
                <w:spacing w:val="-5"/>
              </w:rPr>
              <w:t>Enabling people to enter the labour market as quickly as possible avoids the risk of dependency on social benefits due to unemployment and at the same time ensures that that the investment made in education and training is returned. Lessons learnt during the 2014-2020 period show that activating as quickly as possible, in particular the long-term unemployed individuals, is essential to secure a workforce that is profoundly affected by the emerging demographic changes or population ageing. That is why the country should keep its social activation programmes in the future.</w:t>
            </w:r>
            <w:r>
              <w:rPr>
                <w:rStyle w:val="Sprotnaopomba-sklic"/>
                <w:spacing w:val="-5"/>
              </w:rPr>
              <w:footnoteReference w:id="112"/>
            </w:r>
            <w:r>
              <w:rPr>
                <w:spacing w:val="-5"/>
              </w:rPr>
              <w:t xml:space="preserve">  </w:t>
            </w:r>
          </w:p>
          <w:p w14:paraId="2118B5F0" w14:textId="77777777" w:rsidR="00DD13BF" w:rsidRDefault="00DD13BF" w:rsidP="00355A56">
            <w:pPr>
              <w:pStyle w:val="TableParagraph"/>
              <w:ind w:left="104" w:right="67"/>
              <w:jc w:val="both"/>
              <w:rPr>
                <w:spacing w:val="-5"/>
              </w:rPr>
            </w:pPr>
          </w:p>
          <w:p w14:paraId="4C088D61" w14:textId="77777777" w:rsidR="00DD13BF" w:rsidRDefault="00DD13BF" w:rsidP="00355A56">
            <w:pPr>
              <w:pStyle w:val="TableParagraph"/>
              <w:ind w:left="104" w:right="67"/>
              <w:jc w:val="both"/>
              <w:rPr>
                <w:spacing w:val="-5"/>
              </w:rPr>
            </w:pPr>
            <w:r>
              <w:rPr>
                <w:spacing w:val="-5"/>
              </w:rPr>
              <w:t>NEETs and young people with special needs constitute a special target group that should be offered various forms of help and assistance during their school-to-work transition period to improve their employability. In this context, experience and findings of evaluations of the projects carried out in the 2014-2020 period will be taken into account.</w:t>
            </w:r>
            <w:r>
              <w:rPr>
                <w:rStyle w:val="Sprotnaopomba-sklic"/>
                <w:spacing w:val="-5"/>
              </w:rPr>
              <w:footnoteReference w:id="113"/>
            </w:r>
            <w:r>
              <w:rPr>
                <w:spacing w:val="-5"/>
              </w:rPr>
              <w:t xml:space="preserve"> The need for intervention and assistance that target young people with special needs in their transition from education to employment is more pronounced in the Eastern Slovenia cohesion region, as the Western Slovenia cohesion region offers much more opportunities for the young to participate in various assistance programmes that help them get faster into work. </w:t>
            </w:r>
          </w:p>
          <w:p w14:paraId="7F24B03B" w14:textId="77777777" w:rsidR="00DD13BF" w:rsidRDefault="00DD13BF" w:rsidP="00355A56">
            <w:pPr>
              <w:pStyle w:val="TableParagraph"/>
              <w:ind w:left="104" w:right="67"/>
              <w:jc w:val="both"/>
              <w:rPr>
                <w:spacing w:val="-5"/>
              </w:rPr>
            </w:pPr>
          </w:p>
          <w:p w14:paraId="3D89BA26" w14:textId="77777777" w:rsidR="00DD13BF" w:rsidRPr="00982ADF" w:rsidRDefault="00DD13BF" w:rsidP="00355A56">
            <w:pPr>
              <w:pStyle w:val="TableParagraph"/>
              <w:ind w:left="104" w:right="67"/>
              <w:jc w:val="both"/>
              <w:rPr>
                <w:spacing w:val="-5"/>
              </w:rPr>
            </w:pPr>
            <w:r>
              <w:rPr>
                <w:spacing w:val="-5"/>
              </w:rPr>
              <w:t xml:space="preserve">Prisoners constitute the second specific target group. In terms of educational background, data for 2020 show that as many as 40.7% of the total prison population did not have vocational education (39.88% lower or secondary vocational school, 24.42% primary school, 15.22% secondary technical school or high school). 11% of prisoners had no formal education, 2.5% of them having no literacy, reading or basic computer skills. The proposal builds </w:t>
            </w:r>
            <w:r>
              <w:rPr>
                <w:spacing w:val="-5"/>
              </w:rPr>
              <w:lastRenderedPageBreak/>
              <w:t xml:space="preserve">on the Council of Europe Recommendation </w:t>
            </w:r>
            <w:r w:rsidRPr="001F0965">
              <w:rPr>
                <w:bCs/>
                <w:shd w:val="clear" w:color="auto" w:fill="FFFFFF"/>
              </w:rPr>
              <w:t>No. R</w:t>
            </w:r>
            <w:r>
              <w:rPr>
                <w:bCs/>
                <w:shd w:val="clear" w:color="auto" w:fill="FFFFFF"/>
              </w:rPr>
              <w:t xml:space="preserve"> </w:t>
            </w:r>
            <w:r w:rsidRPr="001F0965">
              <w:rPr>
                <w:bCs/>
                <w:shd w:val="clear" w:color="auto" w:fill="FFFFFF"/>
              </w:rPr>
              <w:t>(89)</w:t>
            </w:r>
            <w:r>
              <w:rPr>
                <w:bCs/>
                <w:shd w:val="clear" w:color="auto" w:fill="FFFFFF"/>
              </w:rPr>
              <w:t xml:space="preserve"> </w:t>
            </w:r>
            <w:r w:rsidRPr="001F0965">
              <w:rPr>
                <w:bCs/>
                <w:shd w:val="clear" w:color="auto" w:fill="FFFFFF"/>
              </w:rPr>
              <w:t>12</w:t>
            </w:r>
            <w:r w:rsidRPr="001F0965">
              <w:rPr>
                <w:rFonts w:ascii="Helvetica" w:hAnsi="Helvetica"/>
                <w:b/>
                <w:bCs/>
                <w:sz w:val="21"/>
                <w:szCs w:val="21"/>
                <w:shd w:val="clear" w:color="auto" w:fill="FFFFFF"/>
              </w:rPr>
              <w:t xml:space="preserve"> </w:t>
            </w:r>
            <w:r>
              <w:rPr>
                <w:spacing w:val="-5"/>
              </w:rPr>
              <w:t xml:space="preserve">on Education in Prison (2011) and </w:t>
            </w:r>
            <w:r w:rsidRPr="008863BD">
              <w:rPr>
                <w:shd w:val="clear" w:color="auto" w:fill="FFFFFF"/>
              </w:rPr>
              <w:t>Recommendation Rec(2006)2 </w:t>
            </w:r>
            <w:r w:rsidRPr="008863BD">
              <w:rPr>
                <w:rStyle w:val="Poudarek"/>
                <w:bCs/>
                <w:shd w:val="clear" w:color="auto" w:fill="FFFFFF"/>
              </w:rPr>
              <w:t>of the Committee of Ministers to Member States on the European Prison Rules.</w:t>
            </w:r>
            <w:r w:rsidRPr="008863BD">
              <w:rPr>
                <w:spacing w:val="-5"/>
              </w:rPr>
              <w:t xml:space="preserve">  </w:t>
            </w:r>
          </w:p>
          <w:p w14:paraId="67B7213D" w14:textId="77777777" w:rsidR="00DD13BF" w:rsidRPr="00982ADF" w:rsidRDefault="00DD13BF" w:rsidP="00355A56">
            <w:pPr>
              <w:pStyle w:val="TableParagraph"/>
              <w:ind w:left="104" w:right="67"/>
              <w:jc w:val="both"/>
              <w:rPr>
                <w:color w:val="0070C0"/>
              </w:rPr>
            </w:pPr>
          </w:p>
          <w:p w14:paraId="77830E67" w14:textId="77777777" w:rsidR="00DD13BF" w:rsidRPr="00BA0BAB" w:rsidRDefault="00DD13BF" w:rsidP="00355A56">
            <w:pPr>
              <w:widowControl/>
              <w:autoSpaceDE/>
              <w:autoSpaceDN/>
              <w:ind w:left="104" w:right="67"/>
              <w:jc w:val="both"/>
              <w:rPr>
                <w:rFonts w:eastAsia="Calibri"/>
              </w:rPr>
            </w:pPr>
            <w:r>
              <w:t>We will use grants. A detailed justification is given in Chapter 2.</w:t>
            </w:r>
          </w:p>
        </w:tc>
      </w:tr>
      <w:tr w:rsidR="00DD13BF" w14:paraId="7FA7C297" w14:textId="77777777" w:rsidTr="00355A56">
        <w:trPr>
          <w:trHeight w:val="599"/>
        </w:trPr>
        <w:tc>
          <w:tcPr>
            <w:tcW w:w="2268" w:type="dxa"/>
            <w:vMerge/>
          </w:tcPr>
          <w:p w14:paraId="3537C1A2" w14:textId="77777777" w:rsidR="00DD13BF" w:rsidRPr="006D4DF3" w:rsidRDefault="00DD13BF" w:rsidP="00355A56">
            <w:pPr>
              <w:pStyle w:val="TableParagraph"/>
              <w:ind w:left="115"/>
            </w:pPr>
          </w:p>
        </w:tc>
        <w:tc>
          <w:tcPr>
            <w:tcW w:w="3119" w:type="dxa"/>
          </w:tcPr>
          <w:p w14:paraId="370C2710" w14:textId="77777777" w:rsidR="00DD13BF" w:rsidRDefault="00DD13BF" w:rsidP="00355A56">
            <w:pPr>
              <w:ind w:left="37"/>
            </w:pPr>
            <w:r>
              <w:t xml:space="preserve">Priority 7: Long-term care and health, and social inclusion </w:t>
            </w:r>
          </w:p>
          <w:p w14:paraId="68436807" w14:textId="77777777" w:rsidR="00DD13BF" w:rsidRDefault="00DD13BF" w:rsidP="00355A56">
            <w:pPr>
              <w:ind w:left="37"/>
            </w:pPr>
          </w:p>
          <w:p w14:paraId="7CFABEDD" w14:textId="77777777" w:rsidR="00DD13BF" w:rsidRPr="006D4DF3" w:rsidRDefault="00DD13BF" w:rsidP="00355A56">
            <w:pPr>
              <w:ind w:left="37"/>
            </w:pPr>
            <w:r w:rsidRPr="00D754F6">
              <w:t>ESO4.11</w:t>
            </w:r>
            <w:r>
              <w:t>:</w:t>
            </w:r>
            <w:r w:rsidRPr="00D754F6">
              <w:t xml:space="preserve"> </w:t>
            </w:r>
            <w:r>
              <w:t>Enhancing the equal and timely access to quality, sustainable and affordable services, including services that promote the access to housing and person-centred care including healthcare; modernising social protection systems, including promoting access to social protection, with a particular focus on children and disadvantaged groups; improving accessibility including for persons with disabilities, effectiveness and resilience of healthcare systems and long-term care services</w:t>
            </w:r>
            <w:r w:rsidRPr="00D754F6">
              <w:t xml:space="preserve"> </w:t>
            </w:r>
          </w:p>
        </w:tc>
        <w:tc>
          <w:tcPr>
            <w:tcW w:w="9639" w:type="dxa"/>
          </w:tcPr>
          <w:p w14:paraId="3A791AD3" w14:textId="77777777" w:rsidR="00DD13BF" w:rsidRPr="00475EE4" w:rsidRDefault="00DD13BF" w:rsidP="00355A56">
            <w:pPr>
              <w:pStyle w:val="TableParagraph"/>
              <w:ind w:left="104" w:right="67"/>
              <w:jc w:val="both"/>
            </w:pPr>
            <w:r w:rsidRPr="00F44306">
              <w:rPr>
                <w:spacing w:val="-5"/>
              </w:rPr>
              <w:t>S</w:t>
            </w:r>
            <w:r>
              <w:rPr>
                <w:spacing w:val="-5"/>
              </w:rPr>
              <w:t>lovenia’s social protection system is fragmented and involves different stakeholders, which results in a disconnected sector and leads to difficulties in ensuring equal quality of and access to services, appropriate analytical bases and record keeping. The target groups and the challenges these target groups face are outlined in the</w:t>
            </w:r>
            <w:r w:rsidRPr="00F87AE5">
              <w:rPr>
                <w:shd w:val="clear" w:color="auto" w:fill="FFFFFF"/>
              </w:rPr>
              <w:t xml:space="preserve"> Resolution on the National Social </w:t>
            </w:r>
            <w:r>
              <w:rPr>
                <w:shd w:val="clear" w:color="auto" w:fill="FFFFFF"/>
              </w:rPr>
              <w:t>Protection Programme 2020–203</w:t>
            </w:r>
            <w:r w:rsidRPr="00F87AE5">
              <w:rPr>
                <w:shd w:val="clear" w:color="auto" w:fill="FFFFFF"/>
              </w:rPr>
              <w:t>0</w:t>
            </w:r>
            <w:r>
              <w:rPr>
                <w:spacing w:val="-5"/>
              </w:rPr>
              <w:t>.</w:t>
            </w:r>
            <w:r>
              <w:rPr>
                <w:rStyle w:val="Sprotnaopomba-sklic"/>
                <w:spacing w:val="-5"/>
              </w:rPr>
              <w:footnoteReference w:id="114"/>
            </w:r>
            <w:r>
              <w:rPr>
                <w:spacing w:val="-5"/>
              </w:rPr>
              <w:t xml:space="preserve"> Slovenia is committed to supporting the development of services for families and children, in particular for those that come from disadvantaged families.</w:t>
            </w:r>
            <w:r>
              <w:rPr>
                <w:rStyle w:val="Sprotnaopomba-sklic"/>
                <w:spacing w:val="-5"/>
              </w:rPr>
              <w:footnoteReference w:id="115"/>
            </w:r>
          </w:p>
          <w:p w14:paraId="5306D1EA" w14:textId="77777777" w:rsidR="00DD13BF" w:rsidRDefault="00DD13BF" w:rsidP="00355A56">
            <w:pPr>
              <w:pStyle w:val="TableParagraph"/>
              <w:ind w:left="104" w:right="67"/>
              <w:jc w:val="both"/>
              <w:rPr>
                <w:spacing w:val="-5"/>
              </w:rPr>
            </w:pPr>
          </w:p>
          <w:p w14:paraId="47AFDFDD" w14:textId="77777777" w:rsidR="00DD13BF" w:rsidRPr="00475EE4" w:rsidRDefault="00DD13BF" w:rsidP="00355A56">
            <w:pPr>
              <w:pStyle w:val="TableParagraph"/>
              <w:ind w:left="104" w:right="67"/>
              <w:jc w:val="both"/>
              <w:rPr>
                <w:spacing w:val="-5"/>
              </w:rPr>
            </w:pPr>
            <w:r>
              <w:rPr>
                <w:spacing w:val="-5"/>
              </w:rPr>
              <w:t>The share of persons aged 65 and over is estimated to rise from 20% in 2019 to 31% in 2050 in Slovenia. This will have a considerable impact on the sustainability of the healthcare system,</w:t>
            </w:r>
            <w:r>
              <w:rPr>
                <w:rStyle w:val="Sprotnaopomba-sklic"/>
                <w:spacing w:val="-5"/>
              </w:rPr>
              <w:footnoteReference w:id="116"/>
            </w:r>
            <w:r>
              <w:rPr>
                <w:spacing w:val="-5"/>
              </w:rPr>
              <w:t xml:space="preserve"> bringing to the fore the urgent need to strengthen the long-term care system. A comparative analysis of OECD countries reveals that there is major room for improvement in Slovenia in the area </w:t>
            </w:r>
            <w:r w:rsidRPr="00CF5473">
              <w:rPr>
                <w:spacing w:val="-5"/>
              </w:rPr>
              <w:t>of care for people with dementia.</w:t>
            </w:r>
            <w:r>
              <w:rPr>
                <w:spacing w:val="-5"/>
              </w:rPr>
              <w:t xml:space="preserve">   </w:t>
            </w:r>
          </w:p>
          <w:p w14:paraId="412C03AB" w14:textId="77777777" w:rsidR="00DD13BF" w:rsidRDefault="00DD13BF" w:rsidP="00355A56">
            <w:pPr>
              <w:pStyle w:val="TableParagraph"/>
              <w:ind w:left="104" w:right="67"/>
              <w:jc w:val="both"/>
            </w:pPr>
          </w:p>
          <w:p w14:paraId="50957D8E" w14:textId="77777777" w:rsidR="00DD13BF" w:rsidRPr="00914FCF" w:rsidRDefault="00DD13BF" w:rsidP="00355A56">
            <w:pPr>
              <w:pStyle w:val="TableParagraph"/>
              <w:ind w:left="104" w:right="67"/>
              <w:jc w:val="both"/>
              <w:rPr>
                <w:spacing w:val="-5"/>
              </w:rPr>
            </w:pPr>
            <w:r>
              <w:rPr>
                <w:spacing w:val="-5"/>
              </w:rPr>
              <w:t>Slovenia lags behind EU average in mortality rates, which is linked to the widespread unhealthy lifestyle behaviours (unhealthy diet/eating disorders, smoking, alcohol, mental health problems) that are important risk factors for the development of chronic diseases whose burden is rising</w:t>
            </w:r>
            <w:r>
              <w:rPr>
                <w:rStyle w:val="Sprotnaopomba-sklic"/>
                <w:spacing w:val="-5"/>
              </w:rPr>
              <w:footnoteReference w:id="117"/>
            </w:r>
            <w:r w:rsidRPr="009D716C">
              <w:rPr>
                <w:spacing w:val="-5"/>
              </w:rPr>
              <w:t xml:space="preserve"> (</w:t>
            </w:r>
            <w:r>
              <w:rPr>
                <w:spacing w:val="-5"/>
              </w:rPr>
              <w:t>cardiovascular diseases, cancer</w:t>
            </w:r>
            <w:r>
              <w:rPr>
                <w:rStyle w:val="Sprotnaopomba-sklic"/>
                <w:spacing w:val="-5"/>
              </w:rPr>
              <w:footnoteReference w:id="118"/>
            </w:r>
            <w:r>
              <w:rPr>
                <w:spacing w:val="-5"/>
              </w:rPr>
              <w:t>)</w:t>
            </w:r>
            <w:r>
              <w:rPr>
                <w:rStyle w:val="Sprotnaopomba-sklic"/>
                <w:spacing w:val="-5"/>
              </w:rPr>
              <w:footnoteReference w:id="119"/>
            </w:r>
            <w:r w:rsidRPr="00C56637">
              <w:rPr>
                <w:spacing w:val="-5"/>
              </w:rPr>
              <w:t xml:space="preserve">. </w:t>
            </w:r>
            <w:r>
              <w:rPr>
                <w:spacing w:val="-5"/>
              </w:rPr>
              <w:t>The costs of treating patients diagnosed with previously mentioned conditions make up the largest share of healthcare expenditures. Behavioural risk factors are observed already in children and adolescents and are particularly common in disadvantaged population groups.</w:t>
            </w:r>
            <w:r>
              <w:rPr>
                <w:rStyle w:val="Sprotnaopomba-sklic"/>
                <w:spacing w:val="-5"/>
              </w:rPr>
              <w:footnoteReference w:id="120"/>
            </w:r>
            <w:r w:rsidRPr="00C56637">
              <w:rPr>
                <w:spacing w:val="-5"/>
              </w:rPr>
              <w:t xml:space="preserve"> </w:t>
            </w:r>
            <w:r>
              <w:rPr>
                <w:spacing w:val="-5"/>
              </w:rPr>
              <w:t>As regards illicit drugs, the rate of overdose deaths has been on the increase as well. In order to ensure the shortest possible emergency response times and make sure all patients have equal access to emergency medical assistance, the country needs to invest in the education and training of all relevant stakeholders. Data show that the level of digital skills in the healthcare sector falls behind the EU average.</w:t>
            </w:r>
            <w:r>
              <w:rPr>
                <w:rStyle w:val="Sprotnaopomba-sklic"/>
                <w:spacing w:val="-5"/>
              </w:rPr>
              <w:footnoteReference w:id="121"/>
            </w:r>
            <w:r>
              <w:rPr>
                <w:spacing w:val="-5"/>
              </w:rPr>
              <w:t xml:space="preserve"> Provision of patient care and treatment requires the appropriate use of digital tools by all stakeholders. </w:t>
            </w:r>
          </w:p>
          <w:p w14:paraId="11FE808A" w14:textId="77777777" w:rsidR="00DD13BF" w:rsidRPr="00C56637" w:rsidRDefault="00DD13BF" w:rsidP="00355A56">
            <w:pPr>
              <w:pStyle w:val="TableParagraph"/>
              <w:ind w:left="104" w:right="67"/>
              <w:jc w:val="both"/>
              <w:rPr>
                <w:spacing w:val="-5"/>
              </w:rPr>
            </w:pPr>
          </w:p>
          <w:p w14:paraId="6B95DA57" w14:textId="77777777" w:rsidR="00DD13BF" w:rsidRDefault="00DD13BF" w:rsidP="00355A56">
            <w:pPr>
              <w:pStyle w:val="TableParagraph"/>
              <w:ind w:left="104" w:right="67"/>
              <w:jc w:val="both"/>
            </w:pPr>
            <w:bookmarkStart w:id="9" w:name="_Hlk94688516"/>
            <w:r>
              <w:lastRenderedPageBreak/>
              <w:t xml:space="preserve">According to SURS data, there are about 170,000 people with disabilities and physical disabilities in Slovenia, which accounts for 12-13% of the population. Measures to overcome or reduce barriers to independent living and to equal inclusion in society and work are essential to ensuring equal opportunities for these persons. </w:t>
            </w:r>
          </w:p>
          <w:p w14:paraId="6EE61BE3" w14:textId="77777777" w:rsidR="00DD13BF" w:rsidRDefault="00DD13BF" w:rsidP="00355A56">
            <w:pPr>
              <w:pStyle w:val="TableParagraph"/>
              <w:ind w:left="104" w:right="67"/>
              <w:jc w:val="both"/>
            </w:pPr>
          </w:p>
          <w:p w14:paraId="0CC8BD0B" w14:textId="77777777" w:rsidR="00DD13BF" w:rsidRDefault="00DD13BF" w:rsidP="00355A56">
            <w:pPr>
              <w:pStyle w:val="TableParagraph"/>
              <w:ind w:left="104" w:right="67"/>
              <w:jc w:val="both"/>
            </w:pPr>
            <w:r>
              <w:t>Slovenia has a weak supportive environment for social innovation, which has a negative impact on the development and dissemination of geographically dispersed, user-driven and cost-effective services to improve the quality of life, social cohesion and social inclusion of the entire population.</w:t>
            </w:r>
          </w:p>
          <w:bookmarkEnd w:id="9"/>
          <w:p w14:paraId="0C08FFEE" w14:textId="77777777" w:rsidR="00DD13BF" w:rsidRDefault="00DD13BF" w:rsidP="00355A56">
            <w:pPr>
              <w:ind w:right="67"/>
              <w:jc w:val="both"/>
              <w:rPr>
                <w:spacing w:val="-5"/>
              </w:rPr>
            </w:pPr>
          </w:p>
          <w:p w14:paraId="504EF206" w14:textId="77777777" w:rsidR="00DD13BF" w:rsidRPr="00A85BB8" w:rsidRDefault="00DD13BF" w:rsidP="00355A56">
            <w:pPr>
              <w:ind w:left="104" w:right="67"/>
              <w:jc w:val="both"/>
            </w:pPr>
            <w:r>
              <w:t>We will use grants. A detailed justification is given in Chapter 2.</w:t>
            </w:r>
          </w:p>
        </w:tc>
      </w:tr>
      <w:tr w:rsidR="00DD13BF" w14:paraId="47366CAC" w14:textId="77777777" w:rsidTr="00355A56">
        <w:trPr>
          <w:trHeight w:val="599"/>
        </w:trPr>
        <w:tc>
          <w:tcPr>
            <w:tcW w:w="2268" w:type="dxa"/>
            <w:vMerge/>
          </w:tcPr>
          <w:p w14:paraId="61E12911" w14:textId="77777777" w:rsidR="00DD13BF" w:rsidRPr="006D4DF3" w:rsidRDefault="00DD13BF" w:rsidP="00355A56">
            <w:pPr>
              <w:pStyle w:val="TableParagraph"/>
              <w:ind w:left="115"/>
            </w:pPr>
          </w:p>
        </w:tc>
        <w:tc>
          <w:tcPr>
            <w:tcW w:w="3119" w:type="dxa"/>
          </w:tcPr>
          <w:p w14:paraId="15F16817" w14:textId="77777777" w:rsidR="00DD13BF" w:rsidRDefault="00DD13BF" w:rsidP="00355A56">
            <w:pPr>
              <w:ind w:left="37"/>
            </w:pPr>
            <w:r>
              <w:t xml:space="preserve">PN 7: Long-term care and health, and social inclusion </w:t>
            </w:r>
          </w:p>
          <w:p w14:paraId="6932F7F2" w14:textId="77777777" w:rsidR="00DD13BF" w:rsidRDefault="00DD13BF" w:rsidP="00355A56">
            <w:pPr>
              <w:ind w:left="37"/>
            </w:pPr>
          </w:p>
          <w:p w14:paraId="635EE497" w14:textId="77777777" w:rsidR="00DD13BF" w:rsidRPr="006D4DF3" w:rsidRDefault="00DD13BF" w:rsidP="00355A56">
            <w:pPr>
              <w:ind w:left="37"/>
            </w:pPr>
            <w:r w:rsidRPr="00D754F6">
              <w:t>ESO4.12</w:t>
            </w:r>
            <w:r>
              <w:t>: Promoting social integration of people at risk of poverty or social exclusion, including the most deprived persons and children</w:t>
            </w:r>
          </w:p>
        </w:tc>
        <w:tc>
          <w:tcPr>
            <w:tcW w:w="9639" w:type="dxa"/>
          </w:tcPr>
          <w:p w14:paraId="4A74615A" w14:textId="77777777" w:rsidR="00DD13BF" w:rsidRDefault="00DD13BF" w:rsidP="00355A56">
            <w:pPr>
              <w:pStyle w:val="TableParagraph"/>
              <w:ind w:left="104" w:right="67"/>
              <w:jc w:val="both"/>
              <w:rPr>
                <w:spacing w:val="-5"/>
              </w:rPr>
            </w:pPr>
            <w:r>
              <w:rPr>
                <w:spacing w:val="-5"/>
              </w:rPr>
              <w:t>According to SURS data, the at-risk-of-social exclusion rate in 2021 stood at 13.8% (Eastern Slovenia cohesion region 15.4%).</w:t>
            </w:r>
            <w:r>
              <w:rPr>
                <w:rStyle w:val="Sprotnaopomba-sklic"/>
                <w:spacing w:val="-5"/>
              </w:rPr>
              <w:footnoteReference w:id="122"/>
            </w:r>
            <w:r w:rsidRPr="009F0C34">
              <w:rPr>
                <w:spacing w:val="-5"/>
              </w:rPr>
              <w:t xml:space="preserve"> </w:t>
            </w:r>
            <w:r>
              <w:rPr>
                <w:spacing w:val="-5"/>
              </w:rPr>
              <w:t xml:space="preserve">The risk of poverty and social exclusion exceeds the EU average only for older women (particularly widows), and is just slightly above the EU average for single-person households and the unemployed. </w:t>
            </w:r>
          </w:p>
          <w:p w14:paraId="6DC79422" w14:textId="77777777" w:rsidR="00DD13BF" w:rsidRDefault="00DD13BF" w:rsidP="00355A56">
            <w:pPr>
              <w:pStyle w:val="TableParagraph"/>
              <w:ind w:left="104" w:right="67"/>
              <w:jc w:val="both"/>
            </w:pPr>
          </w:p>
          <w:p w14:paraId="1C8ABF69" w14:textId="77777777" w:rsidR="00DD13BF" w:rsidRPr="00475EE4" w:rsidRDefault="00DD13BF" w:rsidP="00355A56">
            <w:pPr>
              <w:pStyle w:val="TableParagraph"/>
              <w:ind w:left="104" w:right="67"/>
              <w:jc w:val="both"/>
            </w:pPr>
            <w:r>
              <w:t>Few Roma community members complete primary school, and even fewer of them manage to complete secondary or higher education. This leads to low employment prospects, poor material conditions and the increased likelihood of falling into poverty. There are reportedly 97 Roma settlements in Slovenia, three of them in Western Slovenia cohesion region and the remaining in the Eastern Slovenia cohesion region.</w:t>
            </w:r>
            <w:r>
              <w:rPr>
                <w:rStyle w:val="Sprotnaopomba-sklic"/>
              </w:rPr>
              <w:footnoteReference w:id="123"/>
            </w:r>
            <w:r w:rsidRPr="0081660E">
              <w:t xml:space="preserve"> </w:t>
            </w:r>
            <w:r>
              <w:t>The key goals and measures aiming to improve the social integration and activation of the Roma community members are identified in the National Programme of Measures for Roma of the Government of the Republic of Slovenia for the 2021-2030 Period.</w:t>
            </w:r>
            <w:r>
              <w:rPr>
                <w:rStyle w:val="Sprotnaopomba-sklic"/>
              </w:rPr>
              <w:footnoteReference w:id="124"/>
            </w:r>
            <w:r w:rsidRPr="00745658">
              <w:rPr>
                <w:spacing w:val="-5"/>
              </w:rPr>
              <w:t xml:space="preserve"> </w:t>
            </w:r>
          </w:p>
          <w:p w14:paraId="11DDD7B8" w14:textId="77777777" w:rsidR="00DD13BF" w:rsidRDefault="00DD13BF" w:rsidP="00355A56">
            <w:pPr>
              <w:pStyle w:val="TableParagraph"/>
              <w:ind w:left="104" w:right="67"/>
              <w:jc w:val="both"/>
              <w:rPr>
                <w:spacing w:val="-5"/>
              </w:rPr>
            </w:pPr>
          </w:p>
          <w:p w14:paraId="06A966A5" w14:textId="77777777" w:rsidR="00DD13BF" w:rsidRDefault="00DD13BF" w:rsidP="00355A56">
            <w:pPr>
              <w:pStyle w:val="TableParagraph"/>
              <w:ind w:left="104" w:right="67"/>
              <w:jc w:val="both"/>
              <w:rPr>
                <w:rFonts w:eastAsia="Calibri"/>
                <w:noProof/>
                <w:lang w:bidi="sl-SI"/>
              </w:rPr>
            </w:pPr>
            <w:r>
              <w:rPr>
                <w:rFonts w:eastAsia="Calibri"/>
                <w:noProof/>
                <w:lang w:bidi="sl-SI"/>
              </w:rPr>
              <w:t>Out of 170,</w:t>
            </w:r>
            <w:r w:rsidRPr="00F67059">
              <w:rPr>
                <w:rFonts w:eastAsia="Calibri"/>
                <w:noProof/>
                <w:lang w:bidi="sl-SI"/>
              </w:rPr>
              <w:t xml:space="preserve">000 </w:t>
            </w:r>
            <w:r>
              <w:rPr>
                <w:rFonts w:eastAsia="Calibri"/>
                <w:noProof/>
                <w:lang w:bidi="sl-SI"/>
              </w:rPr>
              <w:t>people with disabilities in Slovenia, 8,</w:t>
            </w:r>
            <w:r w:rsidRPr="00F67059">
              <w:rPr>
                <w:rFonts w:eastAsia="Calibri"/>
                <w:noProof/>
                <w:lang w:bidi="sl-SI"/>
              </w:rPr>
              <w:t xml:space="preserve">000 </w:t>
            </w:r>
            <w:r>
              <w:rPr>
                <w:rFonts w:eastAsia="Calibri"/>
                <w:noProof/>
                <w:lang w:bidi="sl-SI"/>
              </w:rPr>
              <w:t>are children and adolescents.</w:t>
            </w:r>
            <w:r w:rsidRPr="00F67059">
              <w:rPr>
                <w:rStyle w:val="Sprotnaopomba-sklic"/>
                <w:rFonts w:eastAsia="Calibri"/>
                <w:noProof/>
                <w:lang w:bidi="sl-SI"/>
              </w:rPr>
              <w:footnoteReference w:id="125"/>
            </w:r>
            <w:r w:rsidRPr="00F67059">
              <w:rPr>
                <w:rFonts w:eastAsia="Calibri"/>
                <w:noProof/>
                <w:lang w:bidi="sl-SI"/>
              </w:rPr>
              <w:t xml:space="preserve"> O</w:t>
            </w:r>
            <w:r>
              <w:rPr>
                <w:rFonts w:eastAsia="Calibri"/>
                <w:noProof/>
                <w:lang w:bidi="sl-SI"/>
              </w:rPr>
              <w:t>ut of</w:t>
            </w:r>
            <w:r w:rsidRPr="00F67059">
              <w:rPr>
                <w:rFonts w:eastAsia="Calibri"/>
                <w:noProof/>
                <w:lang w:bidi="sl-SI"/>
              </w:rPr>
              <w:t xml:space="preserve"> 140 </w:t>
            </w:r>
            <w:r>
              <w:rPr>
                <w:rFonts w:eastAsia="Calibri"/>
                <w:noProof/>
                <w:lang w:bidi="sl-SI"/>
              </w:rPr>
              <w:t xml:space="preserve">associations and organisations that provide physical activities and sports for persons with disabilities, only 61% have staff that is adequately qualified and only half of them run appropriate programmes. </w:t>
            </w:r>
          </w:p>
          <w:p w14:paraId="2BD36F48" w14:textId="77777777" w:rsidR="00DD13BF" w:rsidRDefault="00DD13BF" w:rsidP="00355A56">
            <w:pPr>
              <w:pStyle w:val="TableParagraph"/>
              <w:ind w:left="104" w:right="67"/>
              <w:jc w:val="both"/>
              <w:rPr>
                <w:spacing w:val="-5"/>
              </w:rPr>
            </w:pPr>
          </w:p>
          <w:p w14:paraId="6960DE7E" w14:textId="77777777" w:rsidR="00DD13BF" w:rsidRDefault="00DD13BF" w:rsidP="00355A56">
            <w:pPr>
              <w:pStyle w:val="TableParagraph"/>
              <w:ind w:left="104" w:right="67"/>
              <w:jc w:val="both"/>
            </w:pPr>
            <w:r>
              <w:rPr>
                <w:spacing w:val="-5"/>
              </w:rPr>
              <w:t xml:space="preserve">The share of persons enrolled in secondary and tertiary education in Slovenia is well above the EU average. Nevertheless, the country has been underperforming in intercultural learning and social inclusion of children belonging to vulnerable groups (particularly Roma and immigrant children). According to the </w:t>
            </w:r>
            <w:r w:rsidRPr="0054634D">
              <w:rPr>
                <w:spacing w:val="-5"/>
              </w:rPr>
              <w:t>PISA 2018</w:t>
            </w:r>
            <w:r>
              <w:rPr>
                <w:spacing w:val="-5"/>
              </w:rPr>
              <w:t xml:space="preserve"> results, immigrant students tend to score lower than the OECD average in reading compared to the country’s population as a whole. The disruption to educational processes and school closures caused by the covid-19 pandemic hit the </w:t>
            </w:r>
            <w:r>
              <w:rPr>
                <w:spacing w:val="-5"/>
              </w:rPr>
              <w:lastRenderedPageBreak/>
              <w:t>hardest the students from low socio-economic backgrounds, in particular children with special needs, as the system failed to respond properly during the lockdown to meet their specific needs.</w:t>
            </w:r>
            <w:r>
              <w:rPr>
                <w:rStyle w:val="Sprotnaopomba-sklic"/>
                <w:spacing w:val="-5"/>
              </w:rPr>
              <w:footnoteReference w:id="126"/>
            </w:r>
            <w:r>
              <w:t xml:space="preserve"> Thus, an action plan for the preparation of a proposal for the inclusion of Slovenian sign language in the system of pre-school education and primary and secondary education of the deaf and hard-of-hearing was adopted in 2021 following the amendment to the Constitution of the Republic of Slovenia in 2021.  </w:t>
            </w:r>
          </w:p>
          <w:p w14:paraId="44447099" w14:textId="77777777" w:rsidR="00DD13BF" w:rsidRDefault="00DD13BF" w:rsidP="00355A56">
            <w:pPr>
              <w:pStyle w:val="TableParagraph"/>
              <w:ind w:left="104" w:right="67"/>
              <w:jc w:val="both"/>
              <w:rPr>
                <w:spacing w:val="-5"/>
              </w:rPr>
            </w:pPr>
          </w:p>
          <w:p w14:paraId="10A07BD8" w14:textId="77777777" w:rsidR="00DD13BF" w:rsidRDefault="00DD13BF" w:rsidP="00355A56">
            <w:pPr>
              <w:ind w:left="104" w:right="67"/>
              <w:jc w:val="both"/>
              <w:rPr>
                <w:spacing w:val="-5"/>
              </w:rPr>
            </w:pPr>
            <w:r>
              <w:rPr>
                <w:spacing w:val="-5"/>
              </w:rPr>
              <w:t xml:space="preserve">The annual reports issued by </w:t>
            </w:r>
            <w:r w:rsidRPr="008E7E7F">
              <w:rPr>
                <w:spacing w:val="-5"/>
              </w:rPr>
              <w:t>URSIKS</w:t>
            </w:r>
            <w:r>
              <w:rPr>
                <w:spacing w:val="-5"/>
              </w:rPr>
              <w:t xml:space="preserve"> suggest that the number of prisoners who, due to various health-related or other reasons, lack of previous work experience or motivation, do not participate in work, education and other social activities offered by prisons, has been on the rise in recent years. This has a negative impact on their later successful reintegration.      </w:t>
            </w:r>
          </w:p>
          <w:p w14:paraId="77BBD446" w14:textId="77777777" w:rsidR="00DD13BF" w:rsidRDefault="00DD13BF" w:rsidP="00355A56">
            <w:pPr>
              <w:ind w:left="104" w:right="67"/>
              <w:jc w:val="both"/>
              <w:rPr>
                <w:spacing w:val="-5"/>
              </w:rPr>
            </w:pPr>
          </w:p>
          <w:p w14:paraId="7BCB7437" w14:textId="77777777" w:rsidR="00DD13BF" w:rsidRPr="0078363A" w:rsidRDefault="00DD13BF" w:rsidP="00355A56">
            <w:pPr>
              <w:pStyle w:val="TableParagraph"/>
              <w:ind w:left="104" w:right="67"/>
              <w:jc w:val="both"/>
              <w:rPr>
                <w:rFonts w:cstheme="minorBidi"/>
              </w:rPr>
            </w:pPr>
            <w:r>
              <w:t>We will use grants. A detailed justification is given in Chapter 2.</w:t>
            </w:r>
          </w:p>
        </w:tc>
      </w:tr>
      <w:tr w:rsidR="00DD13BF" w14:paraId="43F437E2" w14:textId="77777777" w:rsidTr="00355A56">
        <w:trPr>
          <w:trHeight w:val="420"/>
        </w:trPr>
        <w:tc>
          <w:tcPr>
            <w:tcW w:w="2268" w:type="dxa"/>
            <w:vMerge/>
          </w:tcPr>
          <w:p w14:paraId="0DF3E4B8" w14:textId="77777777" w:rsidR="00DD13BF" w:rsidRPr="006D4DF3" w:rsidRDefault="00DD13BF" w:rsidP="00355A56">
            <w:pPr>
              <w:pStyle w:val="TableParagraph"/>
              <w:ind w:left="115"/>
            </w:pPr>
          </w:p>
        </w:tc>
        <w:tc>
          <w:tcPr>
            <w:tcW w:w="3119" w:type="dxa"/>
          </w:tcPr>
          <w:p w14:paraId="609A1F57" w14:textId="77777777" w:rsidR="00DD13BF" w:rsidRDefault="00DD13BF" w:rsidP="00355A56">
            <w:pPr>
              <w:ind w:left="37"/>
            </w:pPr>
            <w:r>
              <w:t xml:space="preserve">PN 7: Long-term care and health, and social inclusion </w:t>
            </w:r>
          </w:p>
          <w:p w14:paraId="13B124CD" w14:textId="77777777" w:rsidR="00DD13BF" w:rsidRDefault="00DD13BF" w:rsidP="00355A56">
            <w:pPr>
              <w:ind w:left="37"/>
            </w:pPr>
          </w:p>
          <w:p w14:paraId="0DDD77EF" w14:textId="77777777" w:rsidR="00DD13BF" w:rsidRPr="006D4DF3" w:rsidRDefault="00DD13BF" w:rsidP="00355A56">
            <w:pPr>
              <w:ind w:left="37"/>
            </w:pPr>
            <w:r w:rsidRPr="00D754F6">
              <w:t>RSO4.3</w:t>
            </w:r>
            <w:r>
              <w:t>:</w:t>
            </w:r>
            <w:r w:rsidRPr="00D754F6">
              <w:t xml:space="preserve"> </w:t>
            </w:r>
            <w:r w:rsidRPr="00864E4D">
              <w:t>Promoting the socio-economic inclusion of marginalised communities, low-income households and disadvantaged groups, including people with special needs, through integrated actions including housing and social services</w:t>
            </w:r>
            <w:r>
              <w:t xml:space="preserve"> </w:t>
            </w:r>
          </w:p>
        </w:tc>
        <w:tc>
          <w:tcPr>
            <w:tcW w:w="9639" w:type="dxa"/>
          </w:tcPr>
          <w:p w14:paraId="044ECCCB" w14:textId="77777777" w:rsidR="00DD13BF" w:rsidRPr="0004091F" w:rsidRDefault="00DD13BF" w:rsidP="00355A56">
            <w:pPr>
              <w:pStyle w:val="TableParagraph"/>
              <w:ind w:left="104" w:right="67"/>
              <w:jc w:val="both"/>
              <w:rPr>
                <w:rFonts w:eastAsia="Calibri"/>
                <w:noProof/>
                <w:lang w:bidi="sl-SI"/>
              </w:rPr>
            </w:pPr>
            <w:bookmarkStart w:id="10" w:name="_Hlk94688774"/>
            <w:r w:rsidRPr="0004091F">
              <w:rPr>
                <w:rFonts w:eastAsia="Calibri"/>
                <w:noProof/>
                <w:lang w:bidi="sl-SI"/>
              </w:rPr>
              <w:t>A total of 4,050 persons were placed in institutional care facilities for children and adults with disabilities at the end of 2020 (178 children and 3,872 adults aged between 18 and 65), with only 167 adults living in residential communities that served fewer than six persons. Persons with disabilities currently primarily receive care in institutional settings; however, intensive work is underway to facilitate the shift to community-based settings, where multidisciplinary teams will provide care in accordance with the deinstitutionalisation process in Slovenia that will build on the Common European Guidelines on the Transition from Institutional to Community-Based Services and the Convention on the Rights of Persons with Disabilities. The country is set to gradually transition to community-based services allowing individuals to live independently with support from the community in line with the draft Strategy of the Republic of Slovenia for deinstitutionalisation of the social care system for the 2021-2033 period</w:t>
            </w:r>
            <w:r w:rsidRPr="0004091F">
              <w:t>.</w:t>
            </w:r>
            <w:r w:rsidRPr="0004091F">
              <w:rPr>
                <w:rStyle w:val="Sprotnaopomba-sklic"/>
                <w:rFonts w:eastAsia="Calibri"/>
                <w:noProof/>
                <w:lang w:bidi="sl-SI"/>
              </w:rPr>
              <w:footnoteReference w:id="127"/>
            </w:r>
            <w:bookmarkEnd w:id="10"/>
            <w:r w:rsidRPr="0004091F">
              <w:t xml:space="preserve"> </w:t>
            </w:r>
          </w:p>
          <w:p w14:paraId="5E13275D" w14:textId="77777777" w:rsidR="00DD13BF" w:rsidRPr="0004091F" w:rsidRDefault="00DD13BF" w:rsidP="00355A56">
            <w:pPr>
              <w:pStyle w:val="TableParagraph"/>
              <w:ind w:left="104" w:right="67"/>
              <w:jc w:val="both"/>
              <w:rPr>
                <w:spacing w:val="-5"/>
              </w:rPr>
            </w:pPr>
          </w:p>
          <w:p w14:paraId="1FDA0DA7" w14:textId="77777777" w:rsidR="00DD13BF" w:rsidRPr="0004091F" w:rsidRDefault="00DD13BF" w:rsidP="00355A56">
            <w:pPr>
              <w:pStyle w:val="TableParagraph"/>
              <w:ind w:left="104" w:right="67"/>
              <w:jc w:val="both"/>
              <w:rPr>
                <w:spacing w:val="-5"/>
              </w:rPr>
            </w:pPr>
            <w:r w:rsidRPr="0004091F">
              <w:rPr>
                <w:spacing w:val="-5"/>
              </w:rPr>
              <w:t xml:space="preserve">The number of people diagnosed with dementia has been on a steady rise in Slovenia, particularly as the share of people aged 80 and over, who are most likely to suffer from dementia, has been increasing the most. In the past years, the country has made significant progress in the field of development of conceptual frameworks for dementia care. However, the country has not been able to ensure adequate adjustments to dementia care settings and facilities to implement the modern concepts of work with people with dementia. Resolution on the National Social Protection Programme 2022-2030 gives particular attention to persons with dementia. The goal of the Resolution is to provide roughly 1,300 places in day care centres across the country. </w:t>
            </w:r>
          </w:p>
          <w:p w14:paraId="0B4A849B" w14:textId="77777777" w:rsidR="00DD13BF" w:rsidRPr="0004091F" w:rsidRDefault="00DD13BF" w:rsidP="00355A56">
            <w:pPr>
              <w:pStyle w:val="TableParagraph"/>
              <w:ind w:left="104" w:right="67"/>
              <w:jc w:val="both"/>
            </w:pPr>
          </w:p>
          <w:p w14:paraId="44CDE5FB" w14:textId="77777777" w:rsidR="00DD13BF" w:rsidRPr="0004091F" w:rsidRDefault="00DD13BF" w:rsidP="00355A56">
            <w:pPr>
              <w:pStyle w:val="TableParagraph"/>
              <w:ind w:left="104" w:right="67"/>
              <w:jc w:val="both"/>
              <w:rPr>
                <w:spacing w:val="-5"/>
              </w:rPr>
            </w:pPr>
            <w:r w:rsidRPr="0004091F">
              <w:rPr>
                <w:spacing w:val="-5"/>
              </w:rPr>
              <w:t xml:space="preserve">Unfortunately, Slovenia lacks adequate and tailored permanent community housing options that would cater to the needs of different vulnerable target groups which would be of so-called transition nature, providing individuals or </w:t>
            </w:r>
            <w:r w:rsidRPr="0004091F">
              <w:rPr>
                <w:spacing w:val="-5"/>
              </w:rPr>
              <w:lastRenderedPageBreak/>
              <w:t xml:space="preserve">families with low-intensity community-based services and enabling them to stay there on a temporary basis and get prepared for life in a more suitable permanent community living option. Members of most vulnerable groups, who are left without housing for various reasons, usually find themselves faced with a lack of appropriate housing solutions or with rent they cannot afford. Often, this is coupled with prejudice and misconceptions </w:t>
            </w:r>
            <w:r>
              <w:rPr>
                <w:spacing w:val="-5"/>
              </w:rPr>
              <w:t>on the part of property owners</w:t>
            </w:r>
            <w:r w:rsidRPr="0004091F">
              <w:rPr>
                <w:spacing w:val="-5"/>
              </w:rPr>
              <w:t xml:space="preserve"> who are reluctant to offer accommodation to disadvantaged groups. </w:t>
            </w:r>
          </w:p>
          <w:p w14:paraId="29FCA673" w14:textId="77777777" w:rsidR="00DD13BF" w:rsidRDefault="00DD13BF" w:rsidP="00355A56">
            <w:pPr>
              <w:pStyle w:val="TableParagraph"/>
              <w:ind w:left="104" w:right="67"/>
              <w:jc w:val="both"/>
              <w:rPr>
                <w:spacing w:val="-5"/>
              </w:rPr>
            </w:pPr>
          </w:p>
          <w:p w14:paraId="5C8A6291" w14:textId="77777777" w:rsidR="00DD13BF" w:rsidRPr="0078363A" w:rsidRDefault="00DD13BF" w:rsidP="00355A56">
            <w:pPr>
              <w:pStyle w:val="TableParagraph"/>
              <w:ind w:left="104" w:right="67"/>
              <w:jc w:val="both"/>
              <w:rPr>
                <w:rFonts w:ascii="Arial" w:hAnsi="Arial" w:cs="Arial"/>
                <w:color w:val="0070C0"/>
                <w:sz w:val="20"/>
              </w:rPr>
            </w:pPr>
            <w:r>
              <w:rPr>
                <w:spacing w:val="-5"/>
              </w:rPr>
              <w:t>We will use</w:t>
            </w:r>
            <w:r>
              <w:t xml:space="preserve"> grants. A detailed justification is given in Chapter 2.</w:t>
            </w:r>
          </w:p>
        </w:tc>
      </w:tr>
      <w:tr w:rsidR="00DD13BF" w14:paraId="58902B20" w14:textId="77777777" w:rsidTr="00355A56">
        <w:trPr>
          <w:trHeight w:val="599"/>
        </w:trPr>
        <w:tc>
          <w:tcPr>
            <w:tcW w:w="2268" w:type="dxa"/>
            <w:vMerge/>
          </w:tcPr>
          <w:p w14:paraId="0B109F76" w14:textId="77777777" w:rsidR="00DD13BF" w:rsidRPr="006D4DF3" w:rsidRDefault="00DD13BF" w:rsidP="00355A56">
            <w:pPr>
              <w:pStyle w:val="TableParagraph"/>
              <w:ind w:left="115"/>
            </w:pPr>
          </w:p>
        </w:tc>
        <w:tc>
          <w:tcPr>
            <w:tcW w:w="3119" w:type="dxa"/>
            <w:shd w:val="clear" w:color="auto" w:fill="auto"/>
          </w:tcPr>
          <w:p w14:paraId="17C23ADA" w14:textId="77777777" w:rsidR="00DD13BF" w:rsidRDefault="00DD13BF" w:rsidP="00355A56">
            <w:pPr>
              <w:ind w:left="37"/>
            </w:pPr>
            <w:r>
              <w:t xml:space="preserve">PN 7: Long-term care and health, and social inclusion </w:t>
            </w:r>
          </w:p>
          <w:p w14:paraId="11586D87" w14:textId="77777777" w:rsidR="00DD13BF" w:rsidRDefault="00DD13BF" w:rsidP="00355A56">
            <w:pPr>
              <w:ind w:left="37"/>
            </w:pPr>
          </w:p>
          <w:p w14:paraId="086E8D97" w14:textId="77777777" w:rsidR="00DD13BF" w:rsidRPr="006D4DF3" w:rsidRDefault="00DD13BF" w:rsidP="00355A56">
            <w:pPr>
              <w:ind w:left="37"/>
            </w:pPr>
            <w:r w:rsidRPr="00D754F6">
              <w:t>RSO4.5</w:t>
            </w:r>
            <w:r>
              <w:t>:</w:t>
            </w:r>
            <w:r w:rsidRPr="00D754F6">
              <w:t xml:space="preserve"> </w:t>
            </w:r>
            <w:r>
              <w:t xml:space="preserve">Ensuring equal access to healthcare and fostering resilience of health systems, including primary care, and promoting the transition from institutional to family-and-community-based care </w:t>
            </w:r>
          </w:p>
          <w:p w14:paraId="143AA084" w14:textId="77777777" w:rsidR="00DD13BF" w:rsidRPr="006D4DF3" w:rsidRDefault="00DD13BF" w:rsidP="00355A56">
            <w:pPr>
              <w:ind w:left="37"/>
            </w:pPr>
          </w:p>
        </w:tc>
        <w:tc>
          <w:tcPr>
            <w:tcW w:w="9639" w:type="dxa"/>
          </w:tcPr>
          <w:p w14:paraId="282CA672" w14:textId="77777777" w:rsidR="00DD13BF" w:rsidRDefault="00DD13BF" w:rsidP="00355A56">
            <w:pPr>
              <w:pStyle w:val="TableParagraph"/>
              <w:ind w:left="104" w:right="67"/>
              <w:jc w:val="both"/>
              <w:rPr>
                <w:spacing w:val="-5"/>
              </w:rPr>
            </w:pPr>
            <w:r>
              <w:rPr>
                <w:spacing w:val="-5"/>
              </w:rPr>
              <w:t>P</w:t>
            </w:r>
            <w:r w:rsidRPr="00267A48">
              <w:rPr>
                <w:spacing w:val="-5"/>
              </w:rPr>
              <w:t>roje</w:t>
            </w:r>
            <w:r>
              <w:rPr>
                <w:spacing w:val="-5"/>
              </w:rPr>
              <w:t>ctions show that by 2030, nearly one in three Slovenians, i.e. 30.4%, will be aged 60 and over and will face decline in cognitive abilities or increased incidence of disability, whereas nearly every fifth person is projected to suffer from chronic pain. Slovenia has 9.7 rehabilitation beds per 100,000 inhabitants, which puts it in 17</w:t>
            </w:r>
            <w:r w:rsidRPr="00D652A4">
              <w:rPr>
                <w:spacing w:val="-5"/>
                <w:vertAlign w:val="superscript"/>
              </w:rPr>
              <w:t>th</w:t>
            </w:r>
            <w:r>
              <w:rPr>
                <w:spacing w:val="-5"/>
              </w:rPr>
              <w:t xml:space="preserve"> place among EU member states. Average bed occupancy rate stands at staggering 95.6% (hospital acquired infections prevent the rate from getting higher). Similar conditions are recorder in other specialty hospitals across the country, which calls for investment in new capacities or extension of existing specialty hospital facilities, including investment in equipment and supplies, which will help improve the quality of treatment and the outcomes of patients.</w:t>
            </w:r>
            <w:r>
              <w:rPr>
                <w:rStyle w:val="Sprotnaopomba-sklic"/>
                <w:spacing w:val="-5"/>
              </w:rPr>
              <w:footnoteReference w:id="128"/>
            </w:r>
          </w:p>
          <w:p w14:paraId="53FA299F" w14:textId="77777777" w:rsidR="00DD13BF" w:rsidRDefault="00DD13BF" w:rsidP="00355A56">
            <w:pPr>
              <w:pStyle w:val="TableParagraph"/>
              <w:ind w:left="104" w:right="67"/>
              <w:jc w:val="both"/>
              <w:rPr>
                <w:spacing w:val="-5"/>
              </w:rPr>
            </w:pPr>
          </w:p>
          <w:p w14:paraId="3F1B9A2B" w14:textId="77777777" w:rsidR="00DD13BF" w:rsidRDefault="00DD13BF" w:rsidP="00355A56">
            <w:pPr>
              <w:pStyle w:val="TableParagraph"/>
              <w:ind w:left="104" w:right="67"/>
              <w:jc w:val="both"/>
              <w:rPr>
                <w:spacing w:val="-5"/>
              </w:rPr>
            </w:pPr>
            <w:r>
              <w:rPr>
                <w:spacing w:val="-5"/>
              </w:rPr>
              <w:t>Access to healthcare services varies considerably across the country. In order to ensure uninterrupted patient care, the country needs to set up satellite emergency centres and out-of-hours services. In turn, in order to ensure optimisation of patient care, the country needs to make sure that public health institutions are fully equipped with modern medical equipment they need and the technology for digitalisation of health data that is accessible, transparent and of high quality. The number of MRI and</w:t>
            </w:r>
            <w:r w:rsidRPr="00C165E1">
              <w:rPr>
                <w:spacing w:val="-5"/>
              </w:rPr>
              <w:t xml:space="preserve"> CT </w:t>
            </w:r>
            <w:r>
              <w:rPr>
                <w:spacing w:val="-5"/>
              </w:rPr>
              <w:t>scans has been growing, but Slovenia still lags behind EU counterparts. Roll-out of new preventive approaches in all primary-level outpatient clinics ensures that each and every citizens has equal access to prevention programmes, with a particular emphasis on making programmes accessible to vulnerable groups with a view to improving prevention and management of chronic diseases and conditions</w:t>
            </w:r>
            <w:r w:rsidRPr="00C165E1">
              <w:rPr>
                <w:spacing w:val="-5"/>
              </w:rPr>
              <w:t>.</w:t>
            </w:r>
            <w:r>
              <w:rPr>
                <w:rStyle w:val="Sprotnaopomba-sklic"/>
                <w:spacing w:val="-5"/>
              </w:rPr>
              <w:footnoteReference w:id="129"/>
            </w:r>
            <w:r>
              <w:rPr>
                <w:spacing w:val="-5"/>
              </w:rPr>
              <w:t xml:space="preserve"> </w:t>
            </w:r>
          </w:p>
          <w:p w14:paraId="20F6428F" w14:textId="77777777" w:rsidR="00DD13BF" w:rsidRDefault="00DD13BF" w:rsidP="00355A56">
            <w:pPr>
              <w:pStyle w:val="TableParagraph"/>
              <w:ind w:left="104" w:right="67"/>
              <w:jc w:val="both"/>
              <w:rPr>
                <w:spacing w:val="-5"/>
              </w:rPr>
            </w:pPr>
          </w:p>
          <w:p w14:paraId="226420BF" w14:textId="77777777" w:rsidR="00DD13BF" w:rsidRDefault="00DD13BF" w:rsidP="00355A56">
            <w:pPr>
              <w:pStyle w:val="TableParagraph"/>
              <w:ind w:left="104" w:right="67"/>
              <w:jc w:val="both"/>
              <w:rPr>
                <w:spacing w:val="-5"/>
              </w:rPr>
            </w:pPr>
            <w:r w:rsidRPr="00A927AB">
              <w:rPr>
                <w:spacing w:val="-5"/>
              </w:rPr>
              <w:t xml:space="preserve">As regards the number of acute care hospital beds, Slovenia hovers at the EU-15 average unlike the countries of the Central and Eastern Europe that have drastically cut the number of beds. Similarly, Slovenia is in the EU-15 average for the length of stay in acute care hospitals, the number of hospital discharges and the number of outpatient visits. </w:t>
            </w:r>
            <w:r w:rsidRPr="00DF3CBA">
              <w:rPr>
                <w:spacing w:val="-5"/>
              </w:rPr>
              <w:t xml:space="preserve">According to </w:t>
            </w:r>
            <w:r>
              <w:rPr>
                <w:spacing w:val="-5"/>
              </w:rPr>
              <w:t xml:space="preserve">the </w:t>
            </w:r>
            <w:r w:rsidRPr="00DF3CBA">
              <w:rPr>
                <w:spacing w:val="-5"/>
              </w:rPr>
              <w:t>data</w:t>
            </w:r>
            <w:r>
              <w:rPr>
                <w:spacing w:val="-5"/>
              </w:rPr>
              <w:t xml:space="preserve"> of the Health Insurance Institute of Slovenia</w:t>
            </w:r>
            <w:r w:rsidRPr="00DF3CBA">
              <w:rPr>
                <w:spacing w:val="-5"/>
              </w:rPr>
              <w:t>, in 2020, the number of first appointments (examinations) in specialty outpatient clinics at the secondary level dropped by 19% compared to 2019 and</w:t>
            </w:r>
            <w:r>
              <w:rPr>
                <w:spacing w:val="-5"/>
              </w:rPr>
              <w:t xml:space="preserve"> the number of</w:t>
            </w:r>
            <w:r w:rsidRPr="00DF3CBA">
              <w:rPr>
                <w:spacing w:val="-5"/>
              </w:rPr>
              <w:t xml:space="preserve"> follow-up appointments fell by 21% at the national level. Similarly, in that same period, the number of </w:t>
            </w:r>
            <w:r w:rsidRPr="00DF3CBA">
              <w:rPr>
                <w:spacing w:val="-5"/>
              </w:rPr>
              <w:lastRenderedPageBreak/>
              <w:t xml:space="preserve">diagnostic imaging examinations dropped by 15%, the number of operations fell by 9%, and the share of treatments, dyalises and </w:t>
            </w:r>
            <w:r>
              <w:rPr>
                <w:spacing w:val="-5"/>
              </w:rPr>
              <w:t>drug administrations</w:t>
            </w:r>
            <w:r w:rsidRPr="00DF3CBA">
              <w:rPr>
                <w:spacing w:val="-5"/>
              </w:rPr>
              <w:t xml:space="preserve"> that are performed separately from other types of treatment </w:t>
            </w:r>
            <w:r>
              <w:rPr>
                <w:spacing w:val="-5"/>
              </w:rPr>
              <w:t>decreased by 3%.</w:t>
            </w:r>
            <w:r w:rsidRPr="00DF3CBA">
              <w:rPr>
                <w:rStyle w:val="Sprotnaopomba-sklic"/>
                <w:spacing w:val="-5"/>
              </w:rPr>
              <w:footnoteReference w:id="130"/>
            </w:r>
          </w:p>
          <w:p w14:paraId="76490D16" w14:textId="77777777" w:rsidR="00DD13BF" w:rsidRDefault="00DD13BF" w:rsidP="00355A56">
            <w:pPr>
              <w:ind w:left="104" w:right="67"/>
              <w:jc w:val="both"/>
              <w:rPr>
                <w:spacing w:val="-5"/>
              </w:rPr>
            </w:pPr>
          </w:p>
          <w:p w14:paraId="6B87ECB1" w14:textId="77777777" w:rsidR="00DD13BF" w:rsidRPr="00567E8A" w:rsidRDefault="00DD13BF" w:rsidP="00355A56">
            <w:pPr>
              <w:pStyle w:val="TableParagraph"/>
              <w:ind w:left="104" w:right="67"/>
              <w:jc w:val="both"/>
              <w:rPr>
                <w:spacing w:val="-5"/>
              </w:rPr>
            </w:pPr>
            <w:r>
              <w:t>We will use grants. A detailed justification is given in Chapter 2.</w:t>
            </w:r>
          </w:p>
        </w:tc>
      </w:tr>
      <w:tr w:rsidR="00DD13BF" w14:paraId="6182EC53" w14:textId="77777777" w:rsidTr="00355A56">
        <w:trPr>
          <w:trHeight w:val="599"/>
        </w:trPr>
        <w:tc>
          <w:tcPr>
            <w:tcW w:w="2268" w:type="dxa"/>
            <w:vMerge/>
          </w:tcPr>
          <w:p w14:paraId="2DD348F6" w14:textId="77777777" w:rsidR="00DD13BF" w:rsidRPr="006D4DF3" w:rsidRDefault="00DD13BF" w:rsidP="00355A56">
            <w:pPr>
              <w:pStyle w:val="TableParagraph"/>
              <w:ind w:left="115"/>
            </w:pPr>
          </w:p>
        </w:tc>
        <w:tc>
          <w:tcPr>
            <w:tcW w:w="3119" w:type="dxa"/>
          </w:tcPr>
          <w:p w14:paraId="1DA2D325" w14:textId="77777777" w:rsidR="00DD13BF" w:rsidRDefault="00DD13BF" w:rsidP="00355A56">
            <w:pPr>
              <w:ind w:left="37"/>
            </w:pPr>
            <w:bookmarkStart w:id="11" w:name="_Hlk88719243"/>
            <w:r>
              <w:t xml:space="preserve">Priority 8: Sustainable tourism and culture </w:t>
            </w:r>
          </w:p>
          <w:p w14:paraId="0A8AFAC0" w14:textId="77777777" w:rsidR="00DD13BF" w:rsidRDefault="00DD13BF" w:rsidP="00355A56">
            <w:pPr>
              <w:ind w:left="37"/>
            </w:pPr>
          </w:p>
          <w:p w14:paraId="10C25618" w14:textId="77777777" w:rsidR="00DD13BF" w:rsidRPr="006D4DF3" w:rsidRDefault="00DD13BF" w:rsidP="00355A56">
            <w:pPr>
              <w:ind w:left="37"/>
            </w:pPr>
            <w:r w:rsidRPr="00D754F6">
              <w:t>RSO4.6</w:t>
            </w:r>
            <w:r>
              <w:t>:</w:t>
            </w:r>
            <w:r w:rsidRPr="00D754F6">
              <w:t xml:space="preserve"> </w:t>
            </w:r>
            <w:r>
              <w:t xml:space="preserve">Enhancing the role of culture and sustainable tourism in economic development, social inlcusion and social innovation </w:t>
            </w:r>
            <w:bookmarkEnd w:id="11"/>
          </w:p>
        </w:tc>
        <w:tc>
          <w:tcPr>
            <w:tcW w:w="9639" w:type="dxa"/>
          </w:tcPr>
          <w:p w14:paraId="0A6D8EFE" w14:textId="77777777" w:rsidR="00DD13BF" w:rsidRPr="00B905E3" w:rsidRDefault="00DD13BF" w:rsidP="00355A56">
            <w:pPr>
              <w:ind w:left="104" w:right="67"/>
              <w:jc w:val="both"/>
            </w:pPr>
            <w:r>
              <w:t>Cultural heritage is a common good and an intrinsic value of the environment we live in. Therefore, it represents an important component of the public space in cities and other environments.</w:t>
            </w:r>
            <w:r>
              <w:rPr>
                <w:rStyle w:val="Sprotnaopomba-sklic"/>
              </w:rPr>
              <w:footnoteReference w:id="131"/>
            </w:r>
            <w:r>
              <w:t xml:space="preserve"> The conservation and revitalisation of cultural heritage increase the value of public spaces that are open and accessible to all citizens and visitors alike. The needs and the challenges that will be addressed under this specific objective are as follows: conserving and protecting cultural heritage for future generations (including retaining the knowledge and skills needed to conserve cultural heritage), ensuring accessibility to heritage for all (including vulnerable groups), and mobilising the potential of cultural heritage for sustainable development and for increasing added value in Slovenian tourism.     </w:t>
            </w:r>
          </w:p>
          <w:p w14:paraId="28136990" w14:textId="77777777" w:rsidR="00DD13BF" w:rsidRPr="00B905E3" w:rsidRDefault="00DD13BF" w:rsidP="00355A56">
            <w:pPr>
              <w:ind w:left="104" w:right="67"/>
              <w:jc w:val="both"/>
            </w:pPr>
          </w:p>
          <w:p w14:paraId="0BC57123" w14:textId="77777777" w:rsidR="00DD13BF" w:rsidRPr="007C3D50" w:rsidRDefault="00DD13BF" w:rsidP="00355A56">
            <w:pPr>
              <w:ind w:left="104" w:right="67"/>
              <w:jc w:val="both"/>
            </w:pPr>
            <w:r>
              <w:t xml:space="preserve">In its broadest sense, culture and cultural identity is the factor that can make a decisive contribution to upgrading the value chain and increasing added value in Slovenian tourism. Slovenian tourism strategy builds on the premise that well-preserved natural and cultural heritage is the foundation for tourism, which helps increase the visibility of Slovenia on an international scale as a green, healthy and active country. Development of tourism can only be considered successful for a certain destination if it is pursued in a sustainable way so that the tourism industry benefits the local communities to the greatest extent possible and sensitive areas and cultural heritage are properly protected and conserved for the generations to come.  </w:t>
            </w:r>
          </w:p>
          <w:p w14:paraId="30920B8E" w14:textId="77777777" w:rsidR="00DD13BF" w:rsidRPr="007C3D50" w:rsidRDefault="00DD13BF" w:rsidP="00355A56">
            <w:pPr>
              <w:ind w:left="104" w:right="67"/>
              <w:jc w:val="both"/>
            </w:pPr>
          </w:p>
          <w:p w14:paraId="6DD21722" w14:textId="77777777" w:rsidR="00DD13BF" w:rsidRDefault="00DD13BF" w:rsidP="00355A56">
            <w:pPr>
              <w:ind w:left="104" w:right="67"/>
              <w:jc w:val="both"/>
            </w:pPr>
            <w:r>
              <w:t xml:space="preserve">Too much of our natural and cultural heritage potential is being exploited in the simplest way. The country should invest much more effort, knowledge, culture and responsibility in the creation of attractive tourism products and integrate them to deliver tourism offer with more added value. </w:t>
            </w:r>
          </w:p>
          <w:p w14:paraId="2FCE574F" w14:textId="77777777" w:rsidR="00DD13BF" w:rsidRDefault="00DD13BF" w:rsidP="00355A56">
            <w:pPr>
              <w:ind w:left="104" w:right="67"/>
              <w:jc w:val="both"/>
              <w:rPr>
                <w:spacing w:val="-5"/>
              </w:rPr>
            </w:pPr>
          </w:p>
          <w:p w14:paraId="19F8312B" w14:textId="77777777" w:rsidR="00DD13BF" w:rsidRPr="00481C64" w:rsidRDefault="00DD13BF" w:rsidP="00355A56">
            <w:pPr>
              <w:pStyle w:val="TableParagraph"/>
              <w:ind w:left="104" w:right="67"/>
              <w:jc w:val="both"/>
              <w:rPr>
                <w:spacing w:val="-5"/>
              </w:rPr>
            </w:pPr>
            <w:r>
              <w:t>We will use grants. A detailed justification is given in Chapter 2.</w:t>
            </w:r>
          </w:p>
        </w:tc>
      </w:tr>
      <w:tr w:rsidR="00DD13BF" w14:paraId="53996737" w14:textId="77777777" w:rsidTr="00355A56">
        <w:trPr>
          <w:trHeight w:val="269"/>
        </w:trPr>
        <w:tc>
          <w:tcPr>
            <w:tcW w:w="2268" w:type="dxa"/>
            <w:vMerge/>
          </w:tcPr>
          <w:p w14:paraId="76B124B5" w14:textId="77777777" w:rsidR="00DD13BF" w:rsidRPr="006D4DF3" w:rsidRDefault="00DD13BF" w:rsidP="00355A56">
            <w:pPr>
              <w:pStyle w:val="TableParagraph"/>
              <w:ind w:left="115"/>
            </w:pPr>
          </w:p>
        </w:tc>
        <w:tc>
          <w:tcPr>
            <w:tcW w:w="3119" w:type="dxa"/>
            <w:shd w:val="clear" w:color="auto" w:fill="auto"/>
          </w:tcPr>
          <w:p w14:paraId="04DA3DED" w14:textId="77777777" w:rsidR="00DD13BF" w:rsidRDefault="00DD13BF" w:rsidP="00355A56">
            <w:pPr>
              <w:ind w:left="37"/>
            </w:pPr>
            <w:r>
              <w:t>Priority 9: Sustainable development of local areas</w:t>
            </w:r>
          </w:p>
          <w:p w14:paraId="43865E7A" w14:textId="77777777" w:rsidR="00DD13BF" w:rsidRDefault="00DD13BF" w:rsidP="00355A56">
            <w:pPr>
              <w:ind w:left="37"/>
            </w:pPr>
          </w:p>
          <w:p w14:paraId="14E33CB3" w14:textId="77777777" w:rsidR="00DD13BF" w:rsidRPr="006D4DF3" w:rsidRDefault="00DD13BF" w:rsidP="00355A56">
            <w:pPr>
              <w:ind w:left="37"/>
            </w:pPr>
            <w:r w:rsidRPr="00D754F6">
              <w:t>RSO5.1</w:t>
            </w:r>
            <w:r>
              <w:t>:</w:t>
            </w:r>
            <w:r w:rsidRPr="00D754F6">
              <w:t xml:space="preserve"> </w:t>
            </w:r>
            <w:r>
              <w:t xml:space="preserve">Fostering the integrated and inclusive social, economic </w:t>
            </w:r>
            <w:r>
              <w:lastRenderedPageBreak/>
              <w:t xml:space="preserve">and environmental development, culture, natural heritage, sustainable tourism, and security in urban areas  </w:t>
            </w:r>
          </w:p>
        </w:tc>
        <w:tc>
          <w:tcPr>
            <w:tcW w:w="9639" w:type="dxa"/>
            <w:shd w:val="clear" w:color="auto" w:fill="auto"/>
          </w:tcPr>
          <w:p w14:paraId="6C9C525A" w14:textId="77777777" w:rsidR="00DD13BF" w:rsidRPr="007D3B9E" w:rsidRDefault="00DD13BF" w:rsidP="00355A56">
            <w:pPr>
              <w:pStyle w:val="TableParagraph"/>
              <w:ind w:left="104" w:right="67"/>
              <w:jc w:val="both"/>
              <w:rPr>
                <w:spacing w:val="-5"/>
              </w:rPr>
            </w:pPr>
            <w:r>
              <w:rPr>
                <w:spacing w:val="-5"/>
              </w:rPr>
              <w:lastRenderedPageBreak/>
              <w:t xml:space="preserve">Cities are the drivers of development at the local, regional and national level as they act as economic, educational, cultural, and service centres. The rate of urbanisation stands at 55% in Slovenia, with cities accounting for 90% of all jobs. Slovenian urban areas have seen a sharp growth in suburbanisation rates, much like cities across the globe. This puts tremendous pressure on undeveloped land that should primarily be used for nature conservation and food production. At the same time, inner city areas have vast areas of vacant, underutilised, or even degraded land where </w:t>
            </w:r>
            <w:r>
              <w:rPr>
                <w:spacing w:val="-5"/>
              </w:rPr>
              <w:lastRenderedPageBreak/>
              <w:t>redevelopment and revitalisation could importantly halt urban sprawl and the need to expand the geographic extent of urban areas. According to the latest data available, 1,057 areas altogether covering a total of 3,368 hectares are functionally degraded urban areas. Estimates have shown that 81 areas covering 236.25 hectares are suitable for immediate reactivation,</w:t>
            </w:r>
            <w:r w:rsidRPr="00A352BB">
              <w:rPr>
                <w:spacing w:val="-5"/>
              </w:rPr>
              <w:t xml:space="preserve"> </w:t>
            </w:r>
            <w:r>
              <w:rPr>
                <w:spacing w:val="-5"/>
              </w:rPr>
              <w:t xml:space="preserve">whereas </w:t>
            </w:r>
            <w:r w:rsidRPr="00A352BB">
              <w:rPr>
                <w:spacing w:val="-5"/>
              </w:rPr>
              <w:t xml:space="preserve">224 </w:t>
            </w:r>
            <w:r>
              <w:rPr>
                <w:spacing w:val="-5"/>
              </w:rPr>
              <w:t>areas with a total surface of 236.</w:t>
            </w:r>
            <w:r w:rsidRPr="00A352BB">
              <w:rPr>
                <w:spacing w:val="-5"/>
              </w:rPr>
              <w:t>25 h</w:t>
            </w:r>
            <w:r>
              <w:rPr>
                <w:spacing w:val="-5"/>
              </w:rPr>
              <w:t>ectares are considered suitable/partly suitable for immediate reactivation.</w:t>
            </w:r>
            <w:r>
              <w:rPr>
                <w:rStyle w:val="Sprotnaopomba-sklic"/>
                <w:spacing w:val="-5"/>
              </w:rPr>
              <w:footnoteReference w:id="132"/>
            </w:r>
            <w:r>
              <w:rPr>
                <w:spacing w:val="-5"/>
              </w:rPr>
              <w:t xml:space="preserve"> EU Cohesion Policy 2021-2027 will support urban development with measures for urban regeneration and revitalisation aimed at vacant and underutilised buildings and/or land in order to make Slovenian cities greener, more socially inclusive and productive. </w:t>
            </w:r>
          </w:p>
          <w:p w14:paraId="441030CB" w14:textId="77777777" w:rsidR="00DD13BF" w:rsidRPr="007D3B9E" w:rsidRDefault="00DD13BF" w:rsidP="00355A56">
            <w:pPr>
              <w:pStyle w:val="TableParagraph"/>
              <w:ind w:left="104" w:right="67"/>
              <w:jc w:val="both"/>
              <w:rPr>
                <w:spacing w:val="-5"/>
              </w:rPr>
            </w:pPr>
          </w:p>
          <w:p w14:paraId="3C2CBD61" w14:textId="77777777" w:rsidR="00DD13BF" w:rsidRDefault="00DD13BF" w:rsidP="00355A56">
            <w:pPr>
              <w:pStyle w:val="TableParagraph"/>
              <w:ind w:left="104" w:right="67"/>
              <w:jc w:val="both"/>
              <w:rPr>
                <w:spacing w:val="-5"/>
              </w:rPr>
            </w:pPr>
            <w:r>
              <w:rPr>
                <w:spacing w:val="-5"/>
              </w:rPr>
              <w:t xml:space="preserve">Sustainable urban development and tackling of economic, environmental, climate, demographic and social challenges in cities will be supported on the basis of sustainable urban strategies (hereinafter: SUS); in this context, urban municipalities identified in Article 16 of the Local Self-Governance Act will be at the forefront. Representatives of cities will be actively involved in the selection of projects to be funded.  </w:t>
            </w:r>
          </w:p>
          <w:p w14:paraId="1B69FFB7" w14:textId="77777777" w:rsidR="00DD13BF" w:rsidRDefault="00DD13BF" w:rsidP="00355A56">
            <w:pPr>
              <w:pStyle w:val="TableParagraph"/>
              <w:ind w:left="104" w:right="67"/>
              <w:jc w:val="both"/>
              <w:rPr>
                <w:spacing w:val="-5"/>
              </w:rPr>
            </w:pPr>
          </w:p>
          <w:p w14:paraId="4C83E247" w14:textId="77777777" w:rsidR="00DD13BF" w:rsidRDefault="00DD13BF" w:rsidP="00355A56">
            <w:pPr>
              <w:pStyle w:val="TableParagraph"/>
              <w:ind w:left="104" w:right="67"/>
              <w:jc w:val="both"/>
              <w:rPr>
                <w:spacing w:val="-5"/>
              </w:rPr>
            </w:pPr>
            <w:r>
              <w:rPr>
                <w:spacing w:val="-5"/>
              </w:rPr>
              <w:t>Accordingly, this specific objective will be entirely implemented under the Integrated Territorial Investments (ITI) mechanism.</w:t>
            </w:r>
          </w:p>
          <w:p w14:paraId="7A8C8C9D" w14:textId="77777777" w:rsidR="00DD13BF" w:rsidRDefault="00DD13BF" w:rsidP="00355A56">
            <w:pPr>
              <w:ind w:left="104" w:right="67"/>
              <w:jc w:val="both"/>
              <w:rPr>
                <w:spacing w:val="-5"/>
              </w:rPr>
            </w:pPr>
          </w:p>
          <w:p w14:paraId="7CFB6688" w14:textId="77777777" w:rsidR="00DD13BF" w:rsidRPr="001909AB" w:rsidRDefault="00DD13BF" w:rsidP="00355A56">
            <w:pPr>
              <w:pStyle w:val="TableParagraph"/>
              <w:ind w:left="104" w:right="67"/>
              <w:jc w:val="both"/>
              <w:rPr>
                <w:spacing w:val="-5"/>
              </w:rPr>
            </w:pPr>
            <w:r>
              <w:t>We will use grants and reimbursable funds. A detailed justification is given in Chapter 2.</w:t>
            </w:r>
          </w:p>
        </w:tc>
      </w:tr>
      <w:tr w:rsidR="00DD13BF" w14:paraId="1188019D" w14:textId="77777777" w:rsidTr="00355A56">
        <w:trPr>
          <w:trHeight w:val="264"/>
        </w:trPr>
        <w:tc>
          <w:tcPr>
            <w:tcW w:w="2268" w:type="dxa"/>
            <w:vMerge/>
          </w:tcPr>
          <w:p w14:paraId="3F1993E7" w14:textId="77777777" w:rsidR="00DD13BF" w:rsidRPr="006D4DF3" w:rsidRDefault="00DD13BF" w:rsidP="00355A56">
            <w:pPr>
              <w:pStyle w:val="TableParagraph"/>
              <w:ind w:left="115"/>
            </w:pPr>
          </w:p>
        </w:tc>
        <w:tc>
          <w:tcPr>
            <w:tcW w:w="3119" w:type="dxa"/>
          </w:tcPr>
          <w:p w14:paraId="534BE679" w14:textId="77777777" w:rsidR="00DD13BF" w:rsidRPr="00DC6B2C" w:rsidRDefault="00DD13BF" w:rsidP="00355A56">
            <w:pPr>
              <w:ind w:left="37"/>
            </w:pPr>
            <w:r>
              <w:t>Priority</w:t>
            </w:r>
            <w:r w:rsidRPr="00DC6B2C">
              <w:t xml:space="preserve"> 9:</w:t>
            </w:r>
            <w:r>
              <w:t xml:space="preserve"> Sustainable development of local areas</w:t>
            </w:r>
            <w:r w:rsidRPr="00DC6B2C">
              <w:t xml:space="preserve"> </w:t>
            </w:r>
          </w:p>
          <w:p w14:paraId="21D59CD4" w14:textId="77777777" w:rsidR="00DD13BF" w:rsidRPr="00DC6B2C" w:rsidRDefault="00DD13BF" w:rsidP="00355A56">
            <w:pPr>
              <w:ind w:left="37"/>
            </w:pPr>
          </w:p>
          <w:p w14:paraId="1AEE47EF" w14:textId="77777777" w:rsidR="00DD13BF" w:rsidRPr="006D4DF3" w:rsidRDefault="00DD13BF" w:rsidP="00355A56">
            <w:pPr>
              <w:ind w:left="37"/>
            </w:pPr>
            <w:r w:rsidRPr="00DC6B2C">
              <w:rPr>
                <w:color w:val="000000"/>
              </w:rPr>
              <w:t xml:space="preserve">RSO5.2: </w:t>
            </w:r>
            <w:r>
              <w:t xml:space="preserve">Fostering the integrated and inclusive social, economic and environmental local development, culture, natural heritage, sustainable tourism, and security in areas other than urban areas   </w:t>
            </w:r>
          </w:p>
        </w:tc>
        <w:tc>
          <w:tcPr>
            <w:tcW w:w="9639" w:type="dxa"/>
          </w:tcPr>
          <w:p w14:paraId="424A6A46" w14:textId="77777777" w:rsidR="00DD13BF" w:rsidRDefault="00DD13BF" w:rsidP="00355A56">
            <w:pPr>
              <w:pStyle w:val="TableParagraph"/>
              <w:ind w:left="104" w:right="67"/>
              <w:jc w:val="both"/>
              <w:rPr>
                <w:spacing w:val="-5"/>
              </w:rPr>
            </w:pPr>
            <w:r>
              <w:rPr>
                <w:spacing w:val="-5"/>
              </w:rPr>
              <w:t xml:space="preserve">The Partnership Agreement between Slovenia and the European Commission 2021-2027 sets out that support under the community-led local development mechanism (CLLD) will continue in the 2021-2027 period. The bottom-up approach is of utmost importance for the development of local geographically connected areas as it makes sure that specific common development needs, challenges and opportunities of these areas that require a tailor-made approach are recognised. </w:t>
            </w:r>
          </w:p>
          <w:p w14:paraId="3BDBE016" w14:textId="77777777" w:rsidR="00DD13BF" w:rsidRDefault="00DD13BF" w:rsidP="00355A56">
            <w:pPr>
              <w:pStyle w:val="TableParagraph"/>
              <w:ind w:left="104" w:right="67"/>
              <w:jc w:val="both"/>
              <w:rPr>
                <w:spacing w:val="-5"/>
              </w:rPr>
            </w:pPr>
          </w:p>
          <w:p w14:paraId="7D3091F7" w14:textId="77777777" w:rsidR="00DD13BF" w:rsidRDefault="00DD13BF" w:rsidP="00355A56">
            <w:pPr>
              <w:pStyle w:val="TableParagraph"/>
              <w:ind w:left="104" w:right="67"/>
              <w:jc w:val="both"/>
              <w:rPr>
                <w:spacing w:val="-5"/>
              </w:rPr>
            </w:pPr>
            <w:r>
              <w:rPr>
                <w:spacing w:val="-5"/>
              </w:rPr>
              <w:t xml:space="preserve">One of the key challenges facing Slovenia that is addressed by Slovenian Development Strategy 2030, Council Recommendations for Slovenia for 2019 and 2020 and Long-term vision for rural areas by 2040 is the need to reduce development disparities at the local level. Urban and rural areas face a number of development-related challenges that affect the quality of life of the local population. Active involvement and participation in decision-making of partners and other local stakeholders at lower governance levels to help better understand local challenges and potentials makes an important contribution to balanced development, higher added value and improved resilience of individual regions.    </w:t>
            </w:r>
          </w:p>
          <w:p w14:paraId="4B5CB919" w14:textId="77777777" w:rsidR="00DD13BF" w:rsidRDefault="00DD13BF" w:rsidP="00355A56">
            <w:pPr>
              <w:ind w:left="104" w:right="67"/>
              <w:jc w:val="both"/>
              <w:rPr>
                <w:spacing w:val="-5"/>
              </w:rPr>
            </w:pPr>
          </w:p>
          <w:p w14:paraId="3F35E466" w14:textId="77777777" w:rsidR="00DD13BF" w:rsidRPr="00EE3ED6" w:rsidRDefault="00DD13BF" w:rsidP="00355A56">
            <w:pPr>
              <w:pStyle w:val="TableParagraph"/>
              <w:ind w:left="104" w:right="67"/>
              <w:jc w:val="both"/>
              <w:rPr>
                <w:rFonts w:cstheme="minorHAnsi"/>
              </w:rPr>
            </w:pPr>
            <w:r>
              <w:t>We will use grants. A detailed justification is given in Chapter 2.</w:t>
            </w:r>
          </w:p>
        </w:tc>
      </w:tr>
      <w:tr w:rsidR="00DD13BF" w14:paraId="5F2DDE20" w14:textId="77777777" w:rsidTr="00355A56">
        <w:trPr>
          <w:trHeight w:val="599"/>
        </w:trPr>
        <w:tc>
          <w:tcPr>
            <w:tcW w:w="2268" w:type="dxa"/>
          </w:tcPr>
          <w:p w14:paraId="29B28E5F" w14:textId="77777777" w:rsidR="00DD13BF" w:rsidRPr="006D4DF3" w:rsidRDefault="00DD13BF" w:rsidP="00355A56">
            <w:pPr>
              <w:pStyle w:val="TableParagraph"/>
              <w:ind w:left="115"/>
            </w:pPr>
            <w:r w:rsidRPr="006D4DF3">
              <w:lastRenderedPageBreak/>
              <w:t>P</w:t>
            </w:r>
            <w:r>
              <w:t>O</w:t>
            </w:r>
            <w:r w:rsidRPr="006D4DF3">
              <w:t xml:space="preserve"> 6: </w:t>
            </w:r>
            <w:r>
              <w:t xml:space="preserve">a </w:t>
            </w:r>
            <w:r w:rsidRPr="006D4DF3">
              <w:t>E</w:t>
            </w:r>
            <w:r>
              <w:t>urope for a just transition</w:t>
            </w:r>
          </w:p>
        </w:tc>
        <w:tc>
          <w:tcPr>
            <w:tcW w:w="3119" w:type="dxa"/>
          </w:tcPr>
          <w:p w14:paraId="420C9E0A" w14:textId="77777777" w:rsidR="00DD13BF" w:rsidRDefault="00DD13BF" w:rsidP="00355A56">
            <w:pPr>
              <w:ind w:left="37"/>
            </w:pPr>
            <w:r>
              <w:t>Priority 10: Restructuring of coal regions</w:t>
            </w:r>
          </w:p>
          <w:p w14:paraId="7917C311" w14:textId="77777777" w:rsidR="00DD13BF" w:rsidRDefault="00DD13BF" w:rsidP="00355A56">
            <w:pPr>
              <w:ind w:left="37"/>
            </w:pPr>
          </w:p>
          <w:p w14:paraId="1FA3506C" w14:textId="77777777" w:rsidR="00DD13BF" w:rsidRPr="006D4DF3" w:rsidRDefault="00DD13BF" w:rsidP="00355A56">
            <w:pPr>
              <w:ind w:left="37"/>
            </w:pPr>
            <w:r w:rsidRPr="000D09AC">
              <w:t xml:space="preserve">JSO8.1: Supporting regions and </w:t>
            </w:r>
            <w:r>
              <w:t>communities</w:t>
            </w:r>
            <w:r w:rsidRPr="000D09AC">
              <w:t xml:space="preserve"> to address </w:t>
            </w:r>
            <w:r>
              <w:t xml:space="preserve">the </w:t>
            </w:r>
            <w:r w:rsidRPr="000D09AC">
              <w:t>social, employment, economic and environmental impacts of the transition to Union’s energy and climate targets by 2030 and to climate-neutral economy by 2050 on the basis of the Paris Agreement</w:t>
            </w:r>
          </w:p>
        </w:tc>
        <w:tc>
          <w:tcPr>
            <w:tcW w:w="9639" w:type="dxa"/>
          </w:tcPr>
          <w:p w14:paraId="575112C7" w14:textId="77777777" w:rsidR="00DD13BF" w:rsidRDefault="00DD13BF" w:rsidP="00355A56">
            <w:pPr>
              <w:pStyle w:val="TableParagraph"/>
              <w:ind w:left="104" w:right="67"/>
              <w:jc w:val="both"/>
              <w:rPr>
                <w:spacing w:val="-5"/>
              </w:rPr>
            </w:pPr>
            <w:r>
              <w:rPr>
                <w:spacing w:val="-5"/>
              </w:rPr>
              <w:t>In Annex D of its 2020 Country Report for Slovenia, the Commission identified two regions that are dependent on fossil fuels:</w:t>
            </w:r>
          </w:p>
          <w:p w14:paraId="5C4A4A70" w14:textId="77777777" w:rsidR="00DD13BF" w:rsidRPr="000B1D1E" w:rsidRDefault="00DD13BF" w:rsidP="00DD13BF">
            <w:pPr>
              <w:pStyle w:val="TableParagraph"/>
              <w:numPr>
                <w:ilvl w:val="0"/>
                <w:numId w:val="13"/>
              </w:numPr>
              <w:ind w:right="67"/>
              <w:jc w:val="both"/>
              <w:rPr>
                <w:spacing w:val="-5"/>
              </w:rPr>
            </w:pPr>
            <w:r w:rsidRPr="0049347A">
              <w:rPr>
                <w:spacing w:val="-5"/>
                <w:u w:val="single"/>
              </w:rPr>
              <w:t xml:space="preserve">Savinjsko-Šaleška </w:t>
            </w:r>
            <w:r>
              <w:rPr>
                <w:spacing w:val="-5"/>
                <w:u w:val="single"/>
              </w:rPr>
              <w:t>(SAŠA) region</w:t>
            </w:r>
            <w:r w:rsidRPr="0049347A">
              <w:rPr>
                <w:spacing w:val="-5"/>
                <w:u w:val="single"/>
              </w:rPr>
              <w:t>:</w:t>
            </w:r>
            <w:r>
              <w:rPr>
                <w:spacing w:val="-5"/>
              </w:rPr>
              <w:t xml:space="preserve"> in line with the NECP, Slovenia's Coal Exit Strategy</w:t>
            </w:r>
            <w:r w:rsidRPr="000B1D1E">
              <w:rPr>
                <w:rStyle w:val="Sprotnaopomba-sklic"/>
                <w:spacing w:val="-5"/>
              </w:rPr>
              <w:footnoteReference w:id="133"/>
            </w:r>
            <w:r w:rsidRPr="000B1D1E">
              <w:rPr>
                <w:spacing w:val="-5"/>
              </w:rPr>
              <w:t xml:space="preserve"> </w:t>
            </w:r>
            <w:r w:rsidRPr="000B1D1E">
              <w:t>sets 2033 as the year in which the country will make its final exit from coal. This will result in the cessation of coal-mining activities in the Velenje coal mine and the closure of the mine. After the mine closure, efforts will have to be made to mitigate the effects of closure on people and communities. Promotion of just transition will therefore be at the heart of the coal phase-out. In 2020, the Velenje coal mine group alone directly employed around 2,300 people from the Šaleška dolina valley, which accounts for nearly 10% of the region’s total working population. In addition, a further 10% of the local economy, providing between 1,500 and 2,000 jobs, directly depends on the revenue of the coal mining industry.</w:t>
            </w:r>
            <w:r w:rsidRPr="000B1D1E">
              <w:rPr>
                <w:spacing w:val="-5"/>
              </w:rPr>
              <w:t xml:space="preserve"> In 2018, coal mining industry generated around 30% of the total revenue in the local economy. The long-standing mining tradition has importantly shaped behavioural patterns (e.g. reliance on job security etc.), and has left indelible mark on the landscape (demolition of houses and relocation of families, </w:t>
            </w:r>
            <w:r w:rsidRPr="000B1D1E">
              <w:rPr>
                <w:shd w:val="clear" w:color="auto" w:fill="FFFFFF"/>
              </w:rPr>
              <w:t xml:space="preserve">caving-in and sinking of the ground and creation of artificial lakes, etc.). As coal mining industry has become intrinsic to the region's communities and landscape, the promotion of a just transition should be at the heart of the coal phase-out.  </w:t>
            </w:r>
          </w:p>
          <w:p w14:paraId="291684FA" w14:textId="77777777" w:rsidR="00DD13BF" w:rsidRPr="000B1D1E" w:rsidRDefault="00DD13BF" w:rsidP="00355A56">
            <w:pPr>
              <w:pStyle w:val="TableParagraph"/>
              <w:ind w:left="104" w:right="67"/>
              <w:jc w:val="both"/>
              <w:rPr>
                <w:spacing w:val="-5"/>
              </w:rPr>
            </w:pPr>
          </w:p>
          <w:p w14:paraId="5FF83FF0" w14:textId="77777777" w:rsidR="00DD13BF" w:rsidRPr="000B1D1E" w:rsidRDefault="00DD13BF" w:rsidP="00DD13BF">
            <w:pPr>
              <w:pStyle w:val="TableParagraph"/>
              <w:numPr>
                <w:ilvl w:val="0"/>
                <w:numId w:val="13"/>
              </w:numPr>
              <w:ind w:right="67"/>
              <w:jc w:val="both"/>
              <w:rPr>
                <w:spacing w:val="-5"/>
              </w:rPr>
            </w:pPr>
            <w:r w:rsidRPr="000B1D1E">
              <w:rPr>
                <w:spacing w:val="-5"/>
                <w:u w:val="single"/>
              </w:rPr>
              <w:t>Zasavska region:</w:t>
            </w:r>
            <w:r w:rsidRPr="000B1D1E">
              <w:rPr>
                <w:spacing w:val="-5"/>
              </w:rPr>
              <w:t xml:space="preserve"> in 2020, the region was transitioning from coal-related activities, and the local environment was undergoing economic restructuring as a result of coal phase-out. However, during the process of mine </w:t>
            </w:r>
            <w:r w:rsidRPr="000B1D1E">
              <w:rPr>
                <w:shd w:val="clear" w:color="auto" w:fill="FFFFFF"/>
              </w:rPr>
              <w:t xml:space="preserve">closures (including the Trbovlje-Hrastnik coal mine), not all principles of a just transition were duly taken into account, as the process failed to adequately consider social and economic restructuring. Since 2013, a total of 5,000 jobs have been lost, and in 2017, the region recorded the lowest GDP per capita (52.4% of the Slovenian average) and one of the lowest GDP per capita country-wide. The measures outlined in the act that governs the gradual closure of the Trbovlje-Hrastnik coal mine and region's economic restructuring (adopted in 2000) failed to ensure an adequate economic recovery of the region.  </w:t>
            </w:r>
            <w:r w:rsidRPr="000B1D1E">
              <w:rPr>
                <w:color w:val="333333"/>
                <w:sz w:val="27"/>
                <w:szCs w:val="27"/>
                <w:shd w:val="clear" w:color="auto" w:fill="FFFFFF"/>
              </w:rPr>
              <w:t xml:space="preserve"> </w:t>
            </w:r>
          </w:p>
          <w:p w14:paraId="51B9C137" w14:textId="77777777" w:rsidR="00DD13BF" w:rsidRPr="000B1D1E" w:rsidRDefault="00DD13BF" w:rsidP="00355A56">
            <w:pPr>
              <w:ind w:left="104" w:right="67"/>
              <w:jc w:val="both"/>
              <w:rPr>
                <w:spacing w:val="-5"/>
              </w:rPr>
            </w:pPr>
          </w:p>
          <w:p w14:paraId="5E362B74" w14:textId="77777777" w:rsidR="00DD13BF" w:rsidRDefault="00DD13BF" w:rsidP="00355A56">
            <w:pPr>
              <w:pStyle w:val="TableParagraph"/>
              <w:ind w:left="141" w:right="67"/>
              <w:jc w:val="both"/>
              <w:rPr>
                <w:spacing w:val="-5"/>
              </w:rPr>
            </w:pPr>
            <w:r>
              <w:t>We</w:t>
            </w:r>
            <w:r w:rsidRPr="000B1D1E">
              <w:t xml:space="preserve"> will use grants. A detailed justification is given in Chapter 2.</w:t>
            </w:r>
          </w:p>
        </w:tc>
      </w:tr>
    </w:tbl>
    <w:p w14:paraId="7DAF5B6C" w14:textId="77777777" w:rsidR="00DD13BF" w:rsidRDefault="00DD13BF" w:rsidP="00DD13BF"/>
    <w:p w14:paraId="4B532A5B" w14:textId="77777777" w:rsidR="00DD13BF" w:rsidRDefault="00DD13BF" w:rsidP="00DD13BF"/>
    <w:p w14:paraId="508CC318" w14:textId="77777777" w:rsidR="00DD13BF" w:rsidRDefault="00DD13BF" w:rsidP="00DD13BF"/>
    <w:p w14:paraId="432547FC" w14:textId="77777777" w:rsidR="00DD13BF" w:rsidRDefault="00DD13BF" w:rsidP="00DD13BF"/>
    <w:p w14:paraId="08476757" w14:textId="77777777" w:rsidR="00DD13BF" w:rsidRDefault="00DD13BF" w:rsidP="00DD13BF"/>
    <w:p w14:paraId="36543173" w14:textId="77777777" w:rsidR="00DD13BF" w:rsidRDefault="00DD13BF" w:rsidP="00DD13BF">
      <w:pPr>
        <w:pStyle w:val="Naslov1"/>
        <w:spacing w:before="0"/>
      </w:pPr>
      <w:bookmarkStart w:id="12" w:name="_Toc131161694"/>
      <w:r>
        <w:lastRenderedPageBreak/>
        <w:t>Priorities</w:t>
      </w:r>
      <w:bookmarkEnd w:id="12"/>
    </w:p>
    <w:p w14:paraId="56F9CF22" w14:textId="77777777" w:rsidR="00DD13BF" w:rsidRDefault="00DD13BF" w:rsidP="00DD13BF">
      <w:pPr>
        <w:rPr>
          <w:sz w:val="30"/>
        </w:rPr>
      </w:pPr>
    </w:p>
    <w:p w14:paraId="488C3AB2" w14:textId="77777777" w:rsidR="00DD13BF" w:rsidRDefault="00DD13BF" w:rsidP="00DD13BF">
      <w:pPr>
        <w:pStyle w:val="Naslov2"/>
      </w:pPr>
      <w:bookmarkStart w:id="13" w:name="_Toc131161695"/>
      <w:r>
        <w:t>Priorities other than technical assistance</w:t>
      </w:r>
      <w:bookmarkEnd w:id="13"/>
    </w:p>
    <w:p w14:paraId="46B4955B" w14:textId="77777777" w:rsidR="00DD13BF" w:rsidRDefault="00DD13BF" w:rsidP="00DD13BF">
      <w:pPr>
        <w:rPr>
          <w:sz w:val="29"/>
        </w:rPr>
      </w:pPr>
    </w:p>
    <w:p w14:paraId="18D2A3F8" w14:textId="77777777" w:rsidR="00DD13BF" w:rsidRPr="00472036" w:rsidRDefault="00DD13BF" w:rsidP="00DD13BF">
      <w:pPr>
        <w:pStyle w:val="Naslov3"/>
      </w:pPr>
      <w:bookmarkStart w:id="14" w:name="_Toc131161696"/>
      <w:r>
        <w:t xml:space="preserve">Priority 1: </w:t>
      </w:r>
      <w:r w:rsidRPr="00472036">
        <w:rPr>
          <w:rFonts w:cstheme="minorHAnsi"/>
        </w:rPr>
        <w:t>Innovative knowledge-based society</w:t>
      </w:r>
      <w:bookmarkEnd w:id="14"/>
      <w:r w:rsidRPr="00472036">
        <w:t xml:space="preserve"> </w:t>
      </w:r>
      <w:r w:rsidRPr="00472036">
        <w:rPr>
          <w:spacing w:val="37"/>
        </w:rPr>
        <w:t xml:space="preserve"> </w:t>
      </w:r>
    </w:p>
    <w:p w14:paraId="63E927C0"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555D6184" w14:textId="77777777" w:rsidTr="00355A56">
        <w:tc>
          <w:tcPr>
            <w:tcW w:w="13994" w:type="dxa"/>
          </w:tcPr>
          <w:p w14:paraId="02A6D59C" w14:textId="77777777" w:rsidR="00DD13BF" w:rsidRPr="006A1DD0" w:rsidRDefault="00DD13BF" w:rsidP="00355A56">
            <w:pPr>
              <w:rPr>
                <w:rFonts w:eastAsia="Calibri"/>
              </w:rPr>
            </w:pPr>
            <w:r w:rsidRPr="006A1DD0">
              <w:rPr>
                <w:rFonts w:eastAsia="Calibri"/>
                <w:noProof/>
                <w:lang w:val="sl-SI"/>
              </w:rPr>
              <w:drawing>
                <wp:inline distT="0" distB="0" distL="0" distR="0" wp14:anchorId="5C7B7487" wp14:editId="07324B2B">
                  <wp:extent cx="121920" cy="103505"/>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848C57F">
              <w:rPr>
                <w:rFonts w:eastAsia="Calibri"/>
              </w:rPr>
              <w:t xml:space="preserve">  </w:t>
            </w:r>
            <w:r>
              <w:t>This is a priority dedicated to youth employment</w:t>
            </w:r>
            <w:r w:rsidRPr="0848C57F">
              <w:rPr>
                <w:rFonts w:eastAsia="Calibri"/>
              </w:rPr>
              <w:t xml:space="preserve"> </w:t>
            </w:r>
          </w:p>
        </w:tc>
      </w:tr>
      <w:tr w:rsidR="00DD13BF" w:rsidRPr="006A1DD0" w14:paraId="24FC4D5C" w14:textId="77777777" w:rsidTr="00355A56">
        <w:tc>
          <w:tcPr>
            <w:tcW w:w="13994" w:type="dxa"/>
          </w:tcPr>
          <w:p w14:paraId="7A72E65C" w14:textId="77777777" w:rsidR="00DD13BF" w:rsidRPr="006A1DD0" w:rsidRDefault="00DD13BF" w:rsidP="00355A56">
            <w:pPr>
              <w:rPr>
                <w:rFonts w:eastAsia="Calibri"/>
              </w:rPr>
            </w:pPr>
            <w:r w:rsidRPr="006A1DD0">
              <w:rPr>
                <w:rFonts w:eastAsia="Calibri"/>
                <w:noProof/>
                <w:lang w:val="sl-SI"/>
              </w:rPr>
              <w:drawing>
                <wp:inline distT="0" distB="0" distL="0" distR="0" wp14:anchorId="2F7A6838" wp14:editId="05FCFDA5">
                  <wp:extent cx="121920" cy="103505"/>
                  <wp:effectExtent l="0" t="0" r="0" b="0"/>
                  <wp:docPr id="1121" name="Slika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w:t>
            </w:r>
            <w:r>
              <w:t>his is a priority dedicated to social innovative actions</w:t>
            </w:r>
          </w:p>
        </w:tc>
      </w:tr>
      <w:tr w:rsidR="00DD13BF" w:rsidRPr="006A1DD0" w14:paraId="295D8E39" w14:textId="77777777" w:rsidTr="00355A56">
        <w:tc>
          <w:tcPr>
            <w:tcW w:w="13994" w:type="dxa"/>
          </w:tcPr>
          <w:p w14:paraId="7E3098A9" w14:textId="77777777" w:rsidR="00DD13BF" w:rsidRPr="006A1DD0" w:rsidRDefault="00DD13BF" w:rsidP="00355A56">
            <w:pPr>
              <w:rPr>
                <w:rFonts w:eastAsia="Calibri"/>
              </w:rPr>
            </w:pPr>
            <w:r w:rsidRPr="006A1DD0">
              <w:rPr>
                <w:rFonts w:eastAsia="Calibri"/>
                <w:noProof/>
                <w:lang w:val="sl-SI"/>
              </w:rPr>
              <w:drawing>
                <wp:inline distT="0" distB="0" distL="0" distR="0" wp14:anchorId="559B597D" wp14:editId="43C4F33E">
                  <wp:extent cx="121920" cy="103505"/>
                  <wp:effectExtent l="0" t="0" r="0" b="0"/>
                  <wp:docPr id="1128" name="Slika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w:t>
            </w:r>
            <w:r>
              <w:t>his is a priority dedicated to support to the most deprived persons under the specific objective set out in point (m) of Article 4(1) of the ESF+ Regulation*</w:t>
            </w:r>
          </w:p>
        </w:tc>
      </w:tr>
      <w:tr w:rsidR="00DD13BF" w:rsidRPr="006A1DD0" w14:paraId="182456EC" w14:textId="77777777" w:rsidTr="00355A56">
        <w:tc>
          <w:tcPr>
            <w:tcW w:w="13994" w:type="dxa"/>
          </w:tcPr>
          <w:p w14:paraId="0525D9E2" w14:textId="77777777" w:rsidR="00DD13BF" w:rsidRPr="006A1DD0" w:rsidRDefault="00DD13BF" w:rsidP="00355A56">
            <w:pPr>
              <w:rPr>
                <w:rFonts w:eastAsia="Calibri"/>
              </w:rPr>
            </w:pPr>
            <w:r w:rsidRPr="006A1DD0">
              <w:rPr>
                <w:rFonts w:eastAsia="Calibri"/>
                <w:noProof/>
                <w:lang w:val="sl-SI"/>
              </w:rPr>
              <w:drawing>
                <wp:inline distT="0" distB="0" distL="0" distR="0" wp14:anchorId="75B45B66" wp14:editId="23235C01">
                  <wp:extent cx="121920" cy="103505"/>
                  <wp:effectExtent l="0" t="0" r="0" b="0"/>
                  <wp:docPr id="1130" name="Slika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w:t>
            </w:r>
            <w:r>
              <w:t>his is a priority dedicated to support to the most deprived persons under the specific objective set out in point (l) of Article 4(1) of the ESF+ Regulation</w:t>
            </w:r>
          </w:p>
        </w:tc>
      </w:tr>
      <w:tr w:rsidR="00DD13BF" w:rsidRPr="006A1DD0" w14:paraId="0F13E7EF" w14:textId="77777777" w:rsidTr="00355A56">
        <w:tc>
          <w:tcPr>
            <w:tcW w:w="13994" w:type="dxa"/>
          </w:tcPr>
          <w:p w14:paraId="45274877" w14:textId="77777777" w:rsidR="00DD13BF" w:rsidRPr="006A1DD0" w:rsidRDefault="00DD13BF" w:rsidP="00355A56">
            <w:pPr>
              <w:rPr>
                <w:rFonts w:eastAsia="Calibri"/>
              </w:rPr>
            </w:pPr>
            <w:r w:rsidRPr="006A1DD0">
              <w:rPr>
                <w:rFonts w:eastAsia="Calibri"/>
                <w:noProof/>
                <w:lang w:val="sl-SI"/>
              </w:rPr>
              <w:drawing>
                <wp:inline distT="0" distB="0" distL="0" distR="0" wp14:anchorId="1E8D6742" wp14:editId="31BF2119">
                  <wp:extent cx="121920" cy="103505"/>
                  <wp:effectExtent l="0" t="0" r="0" b="0"/>
                  <wp:docPr id="1150" name="Slika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Th</w:t>
            </w:r>
            <w:r>
              <w:t>is is a priority dedicated to urban mobility specific objective set out in point (viii) of Article 3(1)(b) of the ERDF and Cohesion Fund Regulation</w:t>
            </w:r>
          </w:p>
        </w:tc>
      </w:tr>
      <w:tr w:rsidR="00DD13BF" w:rsidRPr="006A1DD0" w14:paraId="237EFC94" w14:textId="77777777" w:rsidTr="00355A56">
        <w:trPr>
          <w:trHeight w:val="83"/>
        </w:trPr>
        <w:tc>
          <w:tcPr>
            <w:tcW w:w="13994" w:type="dxa"/>
          </w:tcPr>
          <w:p w14:paraId="09B5621E" w14:textId="77777777" w:rsidR="00DD13BF" w:rsidRPr="006A1DD0" w:rsidRDefault="00DD13BF" w:rsidP="00355A56">
            <w:pPr>
              <w:rPr>
                <w:rFonts w:eastAsia="Calibri"/>
              </w:rPr>
            </w:pPr>
            <w:r w:rsidRPr="006A1DD0">
              <w:rPr>
                <w:rFonts w:eastAsia="Calibri"/>
                <w:noProof/>
                <w:lang w:val="sl-SI"/>
              </w:rPr>
              <w:drawing>
                <wp:inline distT="0" distB="0" distL="0" distR="0" wp14:anchorId="0C6598EC" wp14:editId="30A84B3C">
                  <wp:extent cx="121920" cy="103505"/>
                  <wp:effectExtent l="0" t="0" r="0" b="0"/>
                  <wp:docPr id="1151" name="Slika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Th</w:t>
            </w:r>
            <w:r>
              <w:t>is is a priority dedicated to digital connectivity specific objective set out in point (v) of Article 3(1)(a) of the ERDF and Cohesion Fund Regulation</w:t>
            </w:r>
          </w:p>
          <w:p w14:paraId="0E81C569" w14:textId="77777777" w:rsidR="00DD13BF" w:rsidRPr="006A1DD0" w:rsidRDefault="00DD13BF" w:rsidP="00355A56">
            <w:pPr>
              <w:rPr>
                <w:rFonts w:eastAsia="Calibri"/>
              </w:rPr>
            </w:pPr>
          </w:p>
        </w:tc>
      </w:tr>
    </w:tbl>
    <w:p w14:paraId="59AC6C6A" w14:textId="77777777" w:rsidR="00DD13BF" w:rsidRPr="006D4DF3" w:rsidRDefault="00DD13BF" w:rsidP="00DD13BF">
      <w:pPr>
        <w:tabs>
          <w:tab w:val="left" w:pos="709"/>
        </w:tabs>
        <w:ind w:left="530"/>
        <w:rPr>
          <w:sz w:val="16"/>
          <w:szCs w:val="16"/>
        </w:rPr>
      </w:pPr>
      <w:r>
        <w:rPr>
          <w:b/>
          <w:position w:val="7"/>
          <w:sz w:val="16"/>
          <w:szCs w:val="16"/>
        </w:rPr>
        <w:t xml:space="preserve">* </w:t>
      </w:r>
      <w:r>
        <w:rPr>
          <w:spacing w:val="-3"/>
          <w:sz w:val="16"/>
          <w:szCs w:val="16"/>
        </w:rPr>
        <w:t>If marked go to section</w:t>
      </w:r>
      <w:r w:rsidRPr="006D4DF3">
        <w:rPr>
          <w:spacing w:val="2"/>
          <w:sz w:val="16"/>
          <w:szCs w:val="16"/>
        </w:rPr>
        <w:t xml:space="preserve"> </w:t>
      </w:r>
      <w:r w:rsidRPr="006D4DF3">
        <w:rPr>
          <w:spacing w:val="-2"/>
          <w:sz w:val="16"/>
          <w:szCs w:val="16"/>
        </w:rPr>
        <w:t>2.1.1.2.</w:t>
      </w:r>
    </w:p>
    <w:p w14:paraId="46C8169E" w14:textId="77777777" w:rsidR="00DD13BF" w:rsidRDefault="00DD13BF" w:rsidP="00DD13BF">
      <w:pPr>
        <w:rPr>
          <w:sz w:val="20"/>
        </w:rPr>
      </w:pPr>
    </w:p>
    <w:p w14:paraId="05188BC3" w14:textId="77777777" w:rsidR="00DD13BF" w:rsidRPr="00C10464" w:rsidRDefault="00DD13BF" w:rsidP="00DD13BF">
      <w:pPr>
        <w:pStyle w:val="Naslov4"/>
        <w:ind w:left="1134"/>
      </w:pPr>
      <w:bookmarkStart w:id="15" w:name="_Toc131161697"/>
      <w:r>
        <w:t>Specific objective</w:t>
      </w:r>
      <w:r w:rsidRPr="00C10464">
        <w:t xml:space="preserve"> </w:t>
      </w:r>
      <w:r w:rsidRPr="00C6579D">
        <w:t>RSO1.1</w:t>
      </w:r>
      <w:r>
        <w:t>.</w:t>
      </w:r>
      <w:r w:rsidRPr="00C6579D">
        <w:t xml:space="preserve"> </w:t>
      </w:r>
      <w:r>
        <w:t>Developing and enhancing research and innovation capacities and the uptake of advanced technologies (ERDF)</w:t>
      </w:r>
      <w:bookmarkEnd w:id="15"/>
      <w:r>
        <w:t xml:space="preserve"> </w:t>
      </w:r>
    </w:p>
    <w:p w14:paraId="19B65B95" w14:textId="77777777" w:rsidR="00DD13BF" w:rsidRDefault="00DD13BF" w:rsidP="00DD13BF">
      <w:pPr>
        <w:rPr>
          <w:sz w:val="30"/>
        </w:rPr>
      </w:pPr>
    </w:p>
    <w:p w14:paraId="03E42F43" w14:textId="77777777" w:rsidR="00DD13BF" w:rsidRPr="00C10464" w:rsidRDefault="00DD13BF" w:rsidP="00DD13BF">
      <w:pPr>
        <w:pStyle w:val="Naslov5"/>
        <w:spacing w:before="0"/>
      </w:pPr>
      <w:r>
        <w:t>Interventions of the Funds</w:t>
      </w:r>
    </w:p>
    <w:p w14:paraId="63F5BF6E" w14:textId="77777777" w:rsidR="00DD13BF" w:rsidRDefault="00DD13BF" w:rsidP="00DD13BF">
      <w:pPr>
        <w:rPr>
          <w:sz w:val="30"/>
        </w:rPr>
      </w:pPr>
    </w:p>
    <w:p w14:paraId="65BDD199" w14:textId="77777777" w:rsidR="00DD13BF" w:rsidRDefault="00DD13BF" w:rsidP="00DD13BF">
      <w:pPr>
        <w:ind w:left="1349"/>
        <w:rPr>
          <w:spacing w:val="-2"/>
        </w:rPr>
      </w:pPr>
      <w:r>
        <w:rPr>
          <w:spacing w:val="-2"/>
        </w:rPr>
        <w:t xml:space="preserve">The related types of actions: </w:t>
      </w:r>
    </w:p>
    <w:p w14:paraId="3E1ED757"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1D04EBC6" w14:textId="77777777" w:rsidTr="00355A56">
        <w:trPr>
          <w:trHeight w:val="316"/>
        </w:trPr>
        <w:tc>
          <w:tcPr>
            <w:tcW w:w="12758" w:type="dxa"/>
          </w:tcPr>
          <w:p w14:paraId="4037E8A4" w14:textId="77777777" w:rsidR="00DD13BF" w:rsidRPr="00C93011" w:rsidRDefault="00DD13BF" w:rsidP="00355A56">
            <w:pPr>
              <w:jc w:val="both"/>
              <w:rPr>
                <w:lang w:bidi="sl-SI"/>
              </w:rPr>
            </w:pPr>
            <w:r>
              <w:rPr>
                <w:lang w:bidi="sl-SI"/>
              </w:rPr>
              <w:t xml:space="preserve">The country will improve the research, development and innovation (RDI) ecosystem and ensure investment in RDI in accordance with the Council Recommendation for Slovenia for 2019. The funding will be dedicated to enhancing research and innovation capacities and the uptake of advanced technologies in order to: </w:t>
            </w:r>
          </w:p>
          <w:p w14:paraId="3BE4B2B8" w14:textId="77777777" w:rsidR="00DD13BF" w:rsidRPr="00C93011" w:rsidRDefault="00DD13BF" w:rsidP="00DD13BF">
            <w:pPr>
              <w:pStyle w:val="Odstavekseznama"/>
              <w:widowControl/>
              <w:numPr>
                <w:ilvl w:val="0"/>
                <w:numId w:val="5"/>
              </w:numPr>
              <w:autoSpaceDE/>
              <w:autoSpaceDN/>
              <w:jc w:val="both"/>
              <w:rPr>
                <w:rFonts w:ascii="Times New Roman" w:hAnsi="Times New Roman" w:cs="Times New Roman"/>
                <w:lang w:bidi="sl-SI"/>
              </w:rPr>
            </w:pPr>
            <w:r>
              <w:rPr>
                <w:rFonts w:ascii="Times New Roman" w:hAnsi="Times New Roman" w:cs="Times New Roman"/>
                <w:lang w:bidi="sl-SI"/>
              </w:rPr>
              <w:t>improve research and innovation performance and boost productivity growth by identifying priority areas of Slovenia's Sustainable Smart Specialisation Strategy (S5),</w:t>
            </w:r>
            <w:r>
              <w:rPr>
                <w:rStyle w:val="Sprotnaopomba-sklic"/>
                <w:rFonts w:ascii="Times New Roman" w:hAnsi="Times New Roman" w:cs="Times New Roman"/>
                <w:lang w:bidi="sl-SI"/>
              </w:rPr>
              <w:footnoteReference w:id="134"/>
            </w:r>
            <w:r>
              <w:rPr>
                <w:rFonts w:ascii="Times New Roman" w:hAnsi="Times New Roman" w:cs="Times New Roman"/>
                <w:lang w:bidi="sl-SI"/>
              </w:rPr>
              <w:t xml:space="preserve"> and</w:t>
            </w:r>
            <w:r w:rsidRPr="00C93011">
              <w:rPr>
                <w:rFonts w:ascii="Times New Roman" w:hAnsi="Times New Roman" w:cs="Times New Roman"/>
                <w:lang w:bidi="sl-SI"/>
              </w:rPr>
              <w:t xml:space="preserve"> </w:t>
            </w:r>
          </w:p>
          <w:p w14:paraId="4FA92033" w14:textId="77777777" w:rsidR="00DD13BF" w:rsidRPr="00D4787D" w:rsidRDefault="00DD13BF" w:rsidP="00DD13BF">
            <w:pPr>
              <w:pStyle w:val="Odstavekseznama"/>
              <w:widowControl/>
              <w:numPr>
                <w:ilvl w:val="0"/>
                <w:numId w:val="5"/>
              </w:numPr>
              <w:autoSpaceDE/>
              <w:autoSpaceDN/>
              <w:jc w:val="both"/>
              <w:rPr>
                <w:rFonts w:ascii="Times New Roman" w:hAnsi="Times New Roman" w:cs="Times New Roman"/>
                <w:lang w:bidi="sl-SI"/>
              </w:rPr>
            </w:pPr>
            <w:r>
              <w:rPr>
                <w:rFonts w:ascii="Times New Roman" w:hAnsi="Times New Roman" w:cs="Times New Roman"/>
                <w:lang w:bidi="sl-SI"/>
              </w:rPr>
              <w:t xml:space="preserve">increase added value of the economy to put Slovenia back among strong innovators by increasing the number of innovative businesses in S5 priority areas. </w:t>
            </w:r>
          </w:p>
          <w:p w14:paraId="264518D3" w14:textId="77777777" w:rsidR="00DD13BF" w:rsidRPr="00293D56" w:rsidRDefault="00DD13BF" w:rsidP="00355A56">
            <w:pPr>
              <w:jc w:val="both"/>
              <w:rPr>
                <w:lang w:val="en-US" w:bidi="sl-SI"/>
              </w:rPr>
            </w:pPr>
            <w:r w:rsidRPr="00293D56">
              <w:rPr>
                <w:lang w:val="en-US" w:bidi="sl-SI"/>
              </w:rPr>
              <w:t xml:space="preserve">The implementation of measures in the 2014-2020 period has contributed to increased RDI investment by Slovenian businesses (from 1.40% </w:t>
            </w:r>
            <w:r w:rsidRPr="00293D56">
              <w:rPr>
                <w:lang w:val="en-US" w:bidi="sl-SI"/>
              </w:rPr>
              <w:lastRenderedPageBreak/>
              <w:t xml:space="preserve">of GDP in 2018 to 1.55% of GDP in 2021), that is why the abovementioned </w:t>
            </w:r>
            <w:r>
              <w:rPr>
                <w:lang w:val="en-US" w:bidi="sl-SI"/>
              </w:rPr>
              <w:t>actions</w:t>
            </w:r>
            <w:r w:rsidRPr="00293D56">
              <w:rPr>
                <w:lang w:val="en-US" w:bidi="sl-SI"/>
              </w:rPr>
              <w:t xml:space="preserve"> are necessary.  </w:t>
            </w:r>
          </w:p>
          <w:p w14:paraId="43D61764" w14:textId="77777777" w:rsidR="00DD13BF" w:rsidRPr="00293D56" w:rsidRDefault="00DD13BF" w:rsidP="00355A56">
            <w:pPr>
              <w:jc w:val="both"/>
              <w:rPr>
                <w:lang w:val="en-US" w:bidi="sl-SI"/>
              </w:rPr>
            </w:pPr>
          </w:p>
          <w:p w14:paraId="074C2EC6" w14:textId="77777777" w:rsidR="00DD13BF" w:rsidRPr="00293D56" w:rsidRDefault="00DD13BF" w:rsidP="00355A56">
            <w:pPr>
              <w:jc w:val="both"/>
              <w:rPr>
                <w:lang w:val="en-US" w:bidi="sl-SI"/>
              </w:rPr>
            </w:pPr>
            <w:r w:rsidRPr="00293D56">
              <w:rPr>
                <w:lang w:val="en-US" w:bidi="sl-SI"/>
              </w:rPr>
              <w:t xml:space="preserve">The </w:t>
            </w:r>
            <w:r>
              <w:rPr>
                <w:lang w:val="en-US" w:bidi="sl-SI"/>
              </w:rPr>
              <w:t>actions</w:t>
            </w:r>
            <w:r w:rsidRPr="00293D56">
              <w:rPr>
                <w:lang w:val="en-US" w:bidi="sl-SI"/>
              </w:rPr>
              <w:t xml:space="preserve"> will be entirely based on S5 and will focus on: </w:t>
            </w:r>
          </w:p>
          <w:p w14:paraId="10AB146F" w14:textId="77777777" w:rsidR="00DD13BF" w:rsidRPr="00293D56" w:rsidRDefault="00DD13BF" w:rsidP="00DD13BF">
            <w:pPr>
              <w:pStyle w:val="Odstavekseznama"/>
              <w:widowControl/>
              <w:numPr>
                <w:ilvl w:val="0"/>
                <w:numId w:val="6"/>
              </w:numPr>
              <w:autoSpaceDE/>
              <w:autoSpaceDN/>
              <w:jc w:val="both"/>
              <w:rPr>
                <w:rFonts w:ascii="Times New Roman" w:hAnsi="Times New Roman" w:cs="Times New Roman"/>
                <w:lang w:val="en-US" w:bidi="sl-SI"/>
              </w:rPr>
            </w:pPr>
            <w:r w:rsidRPr="00293D56">
              <w:rPr>
                <w:rFonts w:ascii="Times New Roman" w:hAnsi="Times New Roman" w:cs="Times New Roman"/>
                <w:i/>
                <w:lang w:val="en-US" w:bidi="sl-SI"/>
              </w:rPr>
              <w:t>improving the innovation system in Slovenia and the incentives for knowledge transfer</w:t>
            </w:r>
            <w:r w:rsidRPr="00293D56">
              <w:rPr>
                <w:rFonts w:ascii="Times New Roman" w:hAnsi="Times New Roman" w:cs="Times New Roman"/>
                <w:lang w:val="en-US" w:bidi="sl-SI"/>
              </w:rPr>
              <w:t xml:space="preserve">; in this context, the </w:t>
            </w:r>
            <w:r>
              <w:rPr>
                <w:rFonts w:ascii="Times New Roman" w:hAnsi="Times New Roman" w:cs="Times New Roman"/>
                <w:lang w:val="en-US" w:bidi="sl-SI"/>
              </w:rPr>
              <w:t xml:space="preserve">actions </w:t>
            </w:r>
            <w:r w:rsidRPr="00293D56">
              <w:rPr>
                <w:rFonts w:ascii="Times New Roman" w:hAnsi="Times New Roman" w:cs="Times New Roman"/>
                <w:lang w:val="en-US" w:bidi="sl-SI"/>
              </w:rPr>
              <w:t>will focus on:</w:t>
            </w:r>
          </w:p>
          <w:p w14:paraId="0E3BAA23"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bringing together businesses, knowledge institutions</w:t>
            </w:r>
            <w:r>
              <w:rPr>
                <w:rFonts w:ascii="Times New Roman" w:hAnsi="Times New Roman" w:cs="Times New Roman"/>
                <w:lang w:val="en-US"/>
              </w:rPr>
              <w:t>, local communities, the state</w:t>
            </w:r>
            <w:r w:rsidRPr="00293D56">
              <w:rPr>
                <w:rFonts w:ascii="Times New Roman" w:hAnsi="Times New Roman" w:cs="Times New Roman"/>
                <w:lang w:val="en-US"/>
              </w:rPr>
              <w:t xml:space="preserve"> and other innovation stakeholders (quintuple helix) by upgrading the Strategic Research and Innovation Partnerships (</w:t>
            </w:r>
            <w:r>
              <w:rPr>
                <w:rFonts w:ascii="Times New Roman" w:hAnsi="Times New Roman" w:cs="Times New Roman"/>
                <w:lang w:val="en-US"/>
              </w:rPr>
              <w:t xml:space="preserve">hereinafter: </w:t>
            </w:r>
            <w:r w:rsidRPr="00293D56">
              <w:rPr>
                <w:rFonts w:ascii="Times New Roman" w:hAnsi="Times New Roman" w:cs="Times New Roman"/>
                <w:lang w:val="en-US"/>
              </w:rPr>
              <w:t>SRIP</w:t>
            </w:r>
            <w:r>
              <w:rPr>
                <w:rFonts w:ascii="Times New Roman" w:hAnsi="Times New Roman" w:cs="Times New Roman"/>
                <w:lang w:val="en-US"/>
              </w:rPr>
              <w:t>s</w:t>
            </w:r>
            <w:r w:rsidRPr="00293D56">
              <w:rPr>
                <w:rFonts w:ascii="Times New Roman" w:hAnsi="Times New Roman" w:cs="Times New Roman"/>
                <w:lang w:val="en-US"/>
              </w:rPr>
              <w:t xml:space="preserve">). The process of focusing will continue in S5 </w:t>
            </w:r>
            <w:r w:rsidRPr="00D844B1">
              <w:rPr>
                <w:rFonts w:ascii="Times New Roman" w:hAnsi="Times New Roman" w:cs="Times New Roman"/>
                <w:lang w:val="en-US"/>
              </w:rPr>
              <w:t>areas</w:t>
            </w:r>
            <w:r w:rsidRPr="00293D56">
              <w:rPr>
                <w:rFonts w:ascii="Times New Roman" w:hAnsi="Times New Roman" w:cs="Times New Roman"/>
                <w:lang w:val="en-US"/>
              </w:rPr>
              <w:t xml:space="preserve"> to enable new breakthrough innovative products and services in (global) value chains. Targeted measures will be carried out to increase RDI investments in both the public and the private sector, and, in turn, encourage collaboration through the quintuple helix innovation model.  </w:t>
            </w:r>
          </w:p>
          <w:p w14:paraId="21FAC2F4"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Upgrading the supportive environment, such as Knowledge Transfer Offices (</w:t>
            </w:r>
            <w:r>
              <w:rPr>
                <w:rFonts w:ascii="Times New Roman" w:hAnsi="Times New Roman" w:cs="Times New Roman"/>
                <w:lang w:val="en-US"/>
              </w:rPr>
              <w:t xml:space="preserve">hereinafter: </w:t>
            </w:r>
            <w:r w:rsidRPr="00293D56">
              <w:rPr>
                <w:rFonts w:ascii="Times New Roman" w:hAnsi="Times New Roman" w:cs="Times New Roman"/>
                <w:lang w:val="en-US"/>
              </w:rPr>
              <w:t xml:space="preserve">KTO), with further staff professionalisation and promotion of knowledge transfer to ensure long-term flow of research findings and knowledge into the economy and subsequent spillover effects. </w:t>
            </w:r>
          </w:p>
          <w:p w14:paraId="2C15D3FF" w14:textId="77777777" w:rsidR="00DD13BF" w:rsidRPr="00293D56" w:rsidRDefault="00DD13BF" w:rsidP="00DD13BF">
            <w:pPr>
              <w:pStyle w:val="Odstavekseznama"/>
              <w:widowControl/>
              <w:numPr>
                <w:ilvl w:val="1"/>
                <w:numId w:val="6"/>
              </w:numPr>
              <w:autoSpaceDE/>
              <w:autoSpaceDN/>
              <w:jc w:val="both"/>
              <w:rPr>
                <w:rFonts w:ascii="Times New Roman" w:hAnsi="Times New Roman"/>
                <w:lang w:val="en-US"/>
              </w:rPr>
            </w:pPr>
            <w:r w:rsidRPr="00293D56">
              <w:rPr>
                <w:rFonts w:ascii="Times New Roman" w:hAnsi="Times New Roman"/>
                <w:lang w:val="en-US"/>
              </w:rPr>
              <w:t xml:space="preserve">Merging science, art, technology, and the economy for creative (including international) collaboration by fostering research-based artistic production and breakthrough ideas on a global scale. The </w:t>
            </w:r>
            <w:r>
              <w:rPr>
                <w:rFonts w:ascii="Times New Roman" w:hAnsi="Times New Roman"/>
                <w:lang w:val="en-US"/>
              </w:rPr>
              <w:t>measure</w:t>
            </w:r>
            <w:r w:rsidRPr="00293D56">
              <w:rPr>
                <w:rFonts w:ascii="Times New Roman" w:hAnsi="Times New Roman"/>
                <w:lang w:val="en-US"/>
              </w:rPr>
              <w:t xml:space="preserve"> seeks to create synergies in the national network of regional centres by strengthening infrastructure as well as content and human resources potentials. </w:t>
            </w:r>
          </w:p>
          <w:p w14:paraId="5C72B0CE"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Implementing measures for effective governance, networking and building of capacities of RDI actors by complementing the reform of the RDI system governance identified in the RRP. The goal is to integrate active innovation networks to support RDI (SRIPs, </w:t>
            </w:r>
            <w:r>
              <w:rPr>
                <w:rFonts w:ascii="Times New Roman" w:hAnsi="Times New Roman" w:cs="Times New Roman"/>
                <w:lang w:val="en-US"/>
              </w:rPr>
              <w:t xml:space="preserve">Slovenian Business Point (hereinafter: </w:t>
            </w:r>
            <w:r w:rsidRPr="00293D56">
              <w:rPr>
                <w:rFonts w:ascii="Times New Roman" w:hAnsi="Times New Roman" w:cs="Times New Roman"/>
                <w:lang w:val="en-US"/>
              </w:rPr>
              <w:t>SPOT</w:t>
            </w:r>
            <w:r>
              <w:rPr>
                <w:rFonts w:ascii="Times New Roman" w:hAnsi="Times New Roman" w:cs="Times New Roman"/>
                <w:lang w:val="en-US"/>
              </w:rPr>
              <w:t>)</w:t>
            </w:r>
            <w:r w:rsidRPr="00293D56">
              <w:rPr>
                <w:rFonts w:ascii="Times New Roman" w:hAnsi="Times New Roman" w:cs="Times New Roman"/>
                <w:lang w:val="en-US"/>
              </w:rPr>
              <w:t xml:space="preserve">, Slovenian Education Network, Fablab, Centre for Creativity, KTO consortium) </w:t>
            </w:r>
            <w:r>
              <w:rPr>
                <w:rFonts w:ascii="Times New Roman" w:hAnsi="Times New Roman" w:cs="Times New Roman"/>
                <w:lang w:val="en-US"/>
              </w:rPr>
              <w:t>that currently work in a</w:t>
            </w:r>
            <w:r w:rsidRPr="00293D56">
              <w:rPr>
                <w:rFonts w:ascii="Times New Roman" w:hAnsi="Times New Roman" w:cs="Times New Roman"/>
                <w:lang w:val="en-US"/>
              </w:rPr>
              <w:t xml:space="preserve"> non-cohesive manner. The existing research infrastructure and partnerships between institutions will form the basis for establishing infrastructure and institutional connections within the country and EU-wide, and the partnerships will be open to further expansion and mergers;</w:t>
            </w:r>
          </w:p>
          <w:p w14:paraId="36F5C081" w14:textId="77777777" w:rsidR="00DD13BF" w:rsidRPr="00293D56" w:rsidRDefault="00DD13BF" w:rsidP="00355A56">
            <w:pPr>
              <w:jc w:val="both"/>
              <w:rPr>
                <w:b/>
                <w:i/>
                <w:lang w:val="en-US" w:bidi="sl-SI"/>
              </w:rPr>
            </w:pPr>
          </w:p>
          <w:p w14:paraId="0CE6DD66" w14:textId="77777777" w:rsidR="00DD13BF" w:rsidRPr="00293D56" w:rsidRDefault="00DD13BF" w:rsidP="00DD13BF">
            <w:pPr>
              <w:pStyle w:val="Odstavekseznama"/>
              <w:widowControl/>
              <w:numPr>
                <w:ilvl w:val="0"/>
                <w:numId w:val="6"/>
              </w:numPr>
              <w:autoSpaceDE/>
              <w:autoSpaceDN/>
              <w:jc w:val="both"/>
              <w:rPr>
                <w:rFonts w:ascii="Times New Roman" w:hAnsi="Times New Roman" w:cs="Times New Roman"/>
                <w:lang w:val="en-US" w:bidi="sl-SI"/>
              </w:rPr>
            </w:pPr>
            <w:r w:rsidRPr="00293D56">
              <w:rPr>
                <w:rFonts w:ascii="Times New Roman" w:hAnsi="Times New Roman" w:cs="Times New Roman"/>
                <w:i/>
                <w:lang w:val="en-US" w:bidi="sl-SI"/>
              </w:rPr>
              <w:t>enhancing research capacities</w:t>
            </w:r>
            <w:r w:rsidRPr="00293D56">
              <w:rPr>
                <w:rFonts w:ascii="Times New Roman" w:hAnsi="Times New Roman" w:cs="Times New Roman"/>
                <w:lang w:val="en-US" w:bidi="sl-SI"/>
              </w:rPr>
              <w:t>; in th</w:t>
            </w:r>
            <w:r>
              <w:rPr>
                <w:rFonts w:ascii="Times New Roman" w:hAnsi="Times New Roman" w:cs="Times New Roman"/>
                <w:lang w:val="en-US" w:bidi="sl-SI"/>
              </w:rPr>
              <w:t>is context, the action</w:t>
            </w:r>
            <w:r w:rsidRPr="00293D56">
              <w:rPr>
                <w:rFonts w:ascii="Times New Roman" w:hAnsi="Times New Roman" w:cs="Times New Roman"/>
                <w:lang w:val="en-US" w:bidi="sl-SI"/>
              </w:rPr>
              <w:t>s will focus on:</w:t>
            </w:r>
          </w:p>
          <w:p w14:paraId="0FC83EF1"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bidi="sl-SI"/>
              </w:rPr>
            </w:pPr>
            <w:r w:rsidRPr="00293D56">
              <w:rPr>
                <w:rFonts w:ascii="Times New Roman" w:hAnsi="Times New Roman" w:cs="Times New Roman"/>
                <w:lang w:val="en-US" w:bidi="sl-SI"/>
              </w:rPr>
              <w:t xml:space="preserve">building and deploying research infrastructures (including e-infrastructure) in accordance with S5. Investments in state-of-the-art research equipment and necessary facilities will boost progress in the relevant scientific and technological fields, promote RDI partnerships with industry, contribute to the mobility of knowledge and researchers in the research area, and enhance result dissemination and optimisation. The existing research equipment is mostly entirely used and depreciated. The country plans to further invest in the construction and upgrading of national infrastructure in priority areas of the Research Infrastructure Roadmap 2030, by implementing both international RI projects and national priorities. The investments made will be balanced across both cohesion regions. New research infrastructure is a must to foster the integration of different scientific disciplines and the development of technologies for the economy by pooling top scientific capacities. Along with enhancing RDI capacities, it is also important to reinforce the role and importance of science in society, </w:t>
            </w:r>
            <w:r>
              <w:rPr>
                <w:rFonts w:ascii="Times New Roman" w:hAnsi="Times New Roman" w:cs="Times New Roman"/>
                <w:lang w:val="en-US" w:bidi="sl-SI"/>
              </w:rPr>
              <w:t xml:space="preserve">to foster and spread </w:t>
            </w:r>
            <w:r w:rsidRPr="00293D56">
              <w:rPr>
                <w:rFonts w:ascii="Times New Roman" w:hAnsi="Times New Roman" w:cs="Times New Roman"/>
                <w:lang w:val="en-US" w:bidi="sl-SI"/>
              </w:rPr>
              <w:t>the culture of innovation and technology</w:t>
            </w:r>
            <w:r w:rsidRPr="00293D56">
              <w:rPr>
                <w:rFonts w:ascii="Times New Roman" w:hAnsi="Times New Roman" w:cs="Times New Roman"/>
                <w:lang w:val="en-US"/>
              </w:rPr>
              <w:t>, to encourage business investment in RDI, and to upgrade the collaborative links in the quintuple helix innovation model. As regards the distribution o</w:t>
            </w:r>
            <w:r>
              <w:rPr>
                <w:rFonts w:ascii="Times New Roman" w:hAnsi="Times New Roman" w:cs="Times New Roman"/>
                <w:lang w:val="en-US"/>
              </w:rPr>
              <w:t>f potentials across</w:t>
            </w:r>
            <w:r w:rsidRPr="00293D56">
              <w:rPr>
                <w:rFonts w:ascii="Times New Roman" w:hAnsi="Times New Roman" w:cs="Times New Roman"/>
                <w:lang w:val="en-US"/>
              </w:rPr>
              <w:t xml:space="preserve"> regions and Slovenia's goal to rejoin strong innovators, the country must step up investments in both cohesion regions, that is why RDI capacities are planned to be enhanced where the needs are most </w:t>
            </w:r>
            <w:r w:rsidRPr="00293D56">
              <w:rPr>
                <w:rFonts w:ascii="Times New Roman" w:hAnsi="Times New Roman" w:cs="Times New Roman"/>
                <w:lang w:val="en-US"/>
              </w:rPr>
              <w:lastRenderedPageBreak/>
              <w:t xml:space="preserve">evident (natural sciences and mechanical engineering in Western Slovenia cohesion region, with priority project Faculty of Mechanical Engineering; establishment of a state-of-the-art technological centre INNOVUM that is based on existing RDI infrastructure, human resources and RDI projects in Eastern Slovenia cohesion region). This will help create ecosystems that are conducive to breakthrough results; </w:t>
            </w:r>
          </w:p>
          <w:p w14:paraId="10234F76" w14:textId="77777777" w:rsidR="00DD13BF" w:rsidRPr="00293D56" w:rsidRDefault="00DD13BF" w:rsidP="00355A56">
            <w:pPr>
              <w:jc w:val="both"/>
              <w:rPr>
                <w:b/>
                <w:i/>
                <w:lang w:val="en-US" w:bidi="sl-SI"/>
              </w:rPr>
            </w:pPr>
          </w:p>
          <w:p w14:paraId="35AC2647" w14:textId="77777777" w:rsidR="00DD13BF" w:rsidRPr="00293D56" w:rsidRDefault="00DD13BF" w:rsidP="00DD13BF">
            <w:pPr>
              <w:pStyle w:val="Odstavekseznama"/>
              <w:widowControl/>
              <w:numPr>
                <w:ilvl w:val="0"/>
                <w:numId w:val="6"/>
              </w:numPr>
              <w:autoSpaceDE/>
              <w:autoSpaceDN/>
              <w:jc w:val="both"/>
              <w:rPr>
                <w:rFonts w:ascii="Times New Roman" w:hAnsi="Times New Roman" w:cs="Times New Roman"/>
                <w:b/>
                <w:i/>
                <w:lang w:val="en-US" w:bidi="sl-SI"/>
              </w:rPr>
            </w:pPr>
            <w:r w:rsidRPr="00293D56">
              <w:rPr>
                <w:rFonts w:ascii="Times New Roman" w:hAnsi="Times New Roman" w:cs="Times New Roman"/>
                <w:i/>
                <w:lang w:val="en-US" w:bidi="sl-SI"/>
              </w:rPr>
              <w:t>strengthening investments in RDI projects and collaboration between the stakeholders in the quintuple helix innovation model</w:t>
            </w:r>
            <w:r w:rsidRPr="00293D56">
              <w:rPr>
                <w:rFonts w:ascii="Times New Roman" w:hAnsi="Times New Roman" w:cs="Times New Roman"/>
                <w:lang w:val="en-US" w:bidi="sl-SI"/>
              </w:rPr>
              <w:t xml:space="preserve">; in this context, the actions or incentives will be complementary to RRP-supported actions and will focus on: </w:t>
            </w:r>
          </w:p>
          <w:p w14:paraId="2845456A"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boosting investments in RDI projects and bringing together stakeholders. The degree of maturity/technology readiness level (</w:t>
            </w:r>
            <w:r>
              <w:rPr>
                <w:rFonts w:ascii="Times New Roman" w:hAnsi="Times New Roman" w:cs="Times New Roman"/>
                <w:lang w:val="en-US"/>
              </w:rPr>
              <w:t xml:space="preserve">hereinafter: </w:t>
            </w:r>
            <w:r w:rsidRPr="00293D56">
              <w:rPr>
                <w:rFonts w:ascii="Times New Roman" w:hAnsi="Times New Roman" w:cs="Times New Roman"/>
                <w:lang w:val="en-US"/>
              </w:rPr>
              <w:t xml:space="preserve">TRL) and the size of the instruments will vary between: </w:t>
            </w:r>
          </w:p>
          <w:p w14:paraId="0484C243" w14:textId="77777777" w:rsidR="00DD13BF" w:rsidRPr="00293D56" w:rsidRDefault="00DD13BF" w:rsidP="00DD13BF">
            <w:pPr>
              <w:pStyle w:val="Odstavekseznama"/>
              <w:widowControl/>
              <w:numPr>
                <w:ilvl w:val="2"/>
                <w:numId w:val="7"/>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highest technology readiness levels (TRL 6-9), where innovation orientation and high commercial readiness level will play a key role; the projects will therefore be smaller in size, involving fewer partners, the key partner will come from the economic sphere; </w:t>
            </w:r>
          </w:p>
          <w:p w14:paraId="741D3424" w14:textId="77777777" w:rsidR="00DD13BF" w:rsidRPr="00293D56" w:rsidRDefault="00DD13BF" w:rsidP="00DD13BF">
            <w:pPr>
              <w:pStyle w:val="Odstavekseznama"/>
              <w:widowControl/>
              <w:numPr>
                <w:ilvl w:val="2"/>
                <w:numId w:val="7"/>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low technology readiness levels (TRL 3-6), where openness and development of promising areas will play a key role and where we expect joint work of entities that may be regarded as competition in the commercialisation phase. These stages will involve the development of new key knowledge, that is why the instruments will be larger, involving a larger number of partners that will pursue synergies through collaboration.  </w:t>
            </w:r>
          </w:p>
          <w:p w14:paraId="1F6644F0" w14:textId="77777777" w:rsidR="00DD13BF" w:rsidRPr="00293D56" w:rsidRDefault="00DD13BF" w:rsidP="00DD13BF">
            <w:pPr>
              <w:pStyle w:val="Odstavekseznama"/>
              <w:widowControl/>
              <w:numPr>
                <w:ilvl w:val="1"/>
                <w:numId w:val="1"/>
              </w:numPr>
              <w:autoSpaceDE/>
              <w:autoSpaceDN/>
              <w:jc w:val="both"/>
              <w:rPr>
                <w:rFonts w:asciiTheme="minorHAnsi" w:eastAsiaTheme="minorEastAsia" w:hAnsiTheme="minorHAnsi" w:cstheme="minorBidi"/>
                <w:lang w:val="en-US"/>
              </w:rPr>
            </w:pPr>
            <w:r w:rsidRPr="00293D56">
              <w:rPr>
                <w:rFonts w:ascii="Times New Roman" w:eastAsia="Times New Roman" w:hAnsi="Times New Roman" w:cs="Times New Roman"/>
                <w:lang w:val="en-US"/>
              </w:rPr>
              <w:t>Activities of pilot-demonstration centres that will encourage higher technology readiness levels (TRL 6-9).</w:t>
            </w:r>
          </w:p>
          <w:p w14:paraId="316F6868" w14:textId="77777777" w:rsidR="00DD13BF" w:rsidRPr="00293D56" w:rsidRDefault="00DD13BF" w:rsidP="00DD13BF">
            <w:pPr>
              <w:pStyle w:val="Odstavekseznama"/>
              <w:widowControl/>
              <w:numPr>
                <w:ilvl w:val="1"/>
                <w:numId w:val="1"/>
              </w:numPr>
              <w:autoSpaceDE/>
              <w:autoSpaceDN/>
              <w:jc w:val="both"/>
              <w:rPr>
                <w:rFonts w:asciiTheme="minorHAnsi" w:eastAsiaTheme="minorEastAsia" w:hAnsiTheme="minorHAnsi" w:cstheme="minorBidi"/>
                <w:lang w:val="en-US"/>
              </w:rPr>
            </w:pPr>
            <w:r w:rsidRPr="00293D56">
              <w:rPr>
                <w:rFonts w:ascii="Times New Roman" w:eastAsia="Times New Roman" w:hAnsi="Times New Roman" w:cs="Times New Roman"/>
                <w:lang w:val="en-US"/>
              </w:rPr>
              <w:t xml:space="preserve">Helping companies test their artificial intelligence-based technologies before bringing them to market. </w:t>
            </w:r>
          </w:p>
          <w:p w14:paraId="1A05209F"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Supporting applied research at TRL 3-6, which is crucial in terms of knowledge exchange and commercialisation; successfully completed applied projects of the Slovenian Research Agency will be upgraded in this context.   </w:t>
            </w:r>
          </w:p>
          <w:p w14:paraId="51C12823"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Funding of concept testing in accordance with the innovation funnel approach to continue basic research funding.</w:t>
            </w:r>
          </w:p>
          <w:p w14:paraId="7A2D9F47" w14:textId="77777777" w:rsidR="00DD13BF" w:rsidRPr="00293D56" w:rsidRDefault="00DD13BF" w:rsidP="00DD13BF">
            <w:pPr>
              <w:pStyle w:val="Odstavekseznama"/>
              <w:widowControl/>
              <w:numPr>
                <w:ilvl w:val="1"/>
                <w:numId w:val="6"/>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Promoting projects that support early-career researchers in domestic and foreign research organisations, aimed at various forms of knowledge exchange between the academic sphere and the economy and at strengthening the research potential of knowledge institutions and of development-oriented economic operators.  </w:t>
            </w:r>
          </w:p>
          <w:p w14:paraId="43445B75" w14:textId="77777777" w:rsidR="00DD13BF" w:rsidRPr="00293D56" w:rsidRDefault="00DD13BF" w:rsidP="00DD13BF">
            <w:pPr>
              <w:pStyle w:val="Odstavekseznama"/>
              <w:widowControl/>
              <w:numPr>
                <w:ilvl w:val="0"/>
                <w:numId w:val="15"/>
              </w:numPr>
              <w:autoSpaceDE/>
              <w:autoSpaceDN/>
              <w:jc w:val="both"/>
              <w:rPr>
                <w:rFonts w:ascii="Times New Roman" w:hAnsi="Times New Roman" w:cs="Times New Roman"/>
                <w:lang w:val="en-US"/>
              </w:rPr>
            </w:pPr>
            <w:r w:rsidRPr="00293D56">
              <w:rPr>
                <w:rFonts w:ascii="Times New Roman" w:hAnsi="Times New Roman" w:cs="Times New Roman"/>
                <w:lang w:val="en-US"/>
              </w:rPr>
              <w:t xml:space="preserve">Providing job opportunities in the economy for researchers wishing to gain experience to face challenges in the economy and for companies wishing to pool quality human resources to reinforce their RDI teams and develop high-tech products, technologies and services. We will support the economy with top researchers having highest degrees, which will make the collaboration between the economy and knowledge institutions much more effective;  </w:t>
            </w:r>
          </w:p>
          <w:p w14:paraId="30756A4D" w14:textId="77777777" w:rsidR="00DD13BF" w:rsidRPr="00C93011" w:rsidRDefault="00DD13BF" w:rsidP="00355A56">
            <w:pPr>
              <w:jc w:val="both"/>
              <w:rPr>
                <w:b/>
                <w:i/>
                <w:lang w:bidi="sl-SI"/>
              </w:rPr>
            </w:pPr>
          </w:p>
          <w:p w14:paraId="237BDACD" w14:textId="77777777" w:rsidR="00DD13BF" w:rsidRPr="00B73D9D" w:rsidRDefault="00DD13BF" w:rsidP="00DD13BF">
            <w:pPr>
              <w:pStyle w:val="Odstavekseznama"/>
              <w:widowControl/>
              <w:numPr>
                <w:ilvl w:val="0"/>
                <w:numId w:val="6"/>
              </w:numPr>
              <w:autoSpaceDE/>
              <w:autoSpaceDN/>
              <w:jc w:val="both"/>
              <w:rPr>
                <w:rFonts w:ascii="Times New Roman" w:hAnsi="Times New Roman" w:cs="Times New Roman"/>
                <w:lang w:bidi="sl-SI"/>
              </w:rPr>
            </w:pPr>
            <w:r>
              <w:rPr>
                <w:rFonts w:ascii="Times New Roman" w:hAnsi="Times New Roman" w:cs="Times New Roman"/>
                <w:i/>
                <w:lang w:bidi="sl-SI"/>
              </w:rPr>
              <w:t>supporting c</w:t>
            </w:r>
            <w:r w:rsidRPr="00CE08A0">
              <w:rPr>
                <w:rFonts w:ascii="Times New Roman" w:hAnsi="Times New Roman" w:cs="Times New Roman"/>
                <w:i/>
                <w:lang w:bidi="sl-SI"/>
              </w:rPr>
              <w:t>o</w:t>
            </w:r>
            <w:r>
              <w:rPr>
                <w:rFonts w:ascii="Times New Roman" w:hAnsi="Times New Roman" w:cs="Times New Roman"/>
                <w:i/>
                <w:lang w:bidi="sl-SI"/>
              </w:rPr>
              <w:t>llaboration in the European research area and strengthening synergies between different sources of funding and internationalisation by fostering collaboration between companies and R&amp;D institutions in joint RDI projects at the international level</w:t>
            </w:r>
            <w:r w:rsidRPr="00FF30A1">
              <w:rPr>
                <w:rFonts w:ascii="Times New Roman" w:hAnsi="Times New Roman" w:cs="Times New Roman"/>
                <w:lang w:bidi="sl-SI"/>
              </w:rPr>
              <w:t>;</w:t>
            </w:r>
            <w:r>
              <w:rPr>
                <w:rFonts w:ascii="Times New Roman" w:hAnsi="Times New Roman" w:cs="Times New Roman"/>
                <w:i/>
                <w:lang w:bidi="sl-SI"/>
              </w:rPr>
              <w:t xml:space="preserve"> </w:t>
            </w:r>
            <w:r>
              <w:rPr>
                <w:rFonts w:ascii="Times New Roman" w:hAnsi="Times New Roman" w:cs="Times New Roman"/>
                <w:lang w:bidi="sl-SI"/>
              </w:rPr>
              <w:t xml:space="preserve">the following actions are planned in this context: </w:t>
            </w:r>
          </w:p>
          <w:p w14:paraId="6185A13E" w14:textId="77777777" w:rsidR="00DD13BF" w:rsidRPr="0073262C" w:rsidRDefault="00DD13BF" w:rsidP="00DD13BF">
            <w:pPr>
              <w:pStyle w:val="Odstavekseznama"/>
              <w:widowControl/>
              <w:numPr>
                <w:ilvl w:val="1"/>
                <w:numId w:val="6"/>
              </w:numPr>
              <w:autoSpaceDE/>
              <w:autoSpaceDN/>
              <w:jc w:val="both"/>
              <w:rPr>
                <w:rFonts w:ascii="Times New Roman" w:hAnsi="Times New Roman" w:cs="Times New Roman"/>
              </w:rPr>
            </w:pPr>
            <w:r>
              <w:rPr>
                <w:rFonts w:ascii="Times New Roman" w:hAnsi="Times New Roman" w:cs="Times New Roman"/>
              </w:rPr>
              <w:t>instruments of complementary funding and combined funding: in particular, we will co-finance the projects on widening participation and spreading excellence that will seek complementary funding from various sources (e.g. Teaming);</w:t>
            </w:r>
            <w:r w:rsidRPr="0073262C">
              <w:rPr>
                <w:rFonts w:ascii="Times New Roman" w:hAnsi="Times New Roman" w:cs="Times New Roman"/>
              </w:rPr>
              <w:t xml:space="preserve"> </w:t>
            </w:r>
            <w:r>
              <w:rPr>
                <w:rFonts w:ascii="Times New Roman" w:hAnsi="Times New Roman" w:cs="Times New Roman"/>
                <w:lang w:bidi="sl-SI"/>
              </w:rPr>
              <w:t>projec</w:t>
            </w:r>
            <w:r w:rsidRPr="006B140D">
              <w:rPr>
                <w:rFonts w:ascii="Times New Roman" w:hAnsi="Times New Roman" w:cs="Times New Roman"/>
                <w:lang w:bidi="sl-SI"/>
              </w:rPr>
              <w:t>t</w:t>
            </w:r>
            <w:r>
              <w:rPr>
                <w:rFonts w:ascii="Times New Roman" w:hAnsi="Times New Roman" w:cs="Times New Roman"/>
                <w:lang w:bidi="sl-SI"/>
              </w:rPr>
              <w:t xml:space="preserve">s on promoting the deployment of research infrastructures and common European data spaces </w:t>
            </w:r>
            <w:r w:rsidRPr="006B140D">
              <w:rPr>
                <w:rFonts w:ascii="Times New Roman" w:hAnsi="Times New Roman" w:cs="Times New Roman"/>
                <w:lang w:bidi="sl-SI"/>
              </w:rPr>
              <w:t>(</w:t>
            </w:r>
            <w:r>
              <w:rPr>
                <w:rFonts w:ascii="Times New Roman" w:hAnsi="Times New Roman" w:cs="Times New Roman"/>
                <w:lang w:bidi="sl-SI"/>
              </w:rPr>
              <w:t>e.g.</w:t>
            </w:r>
            <w:r w:rsidRPr="006B140D">
              <w:rPr>
                <w:rFonts w:ascii="Times New Roman" w:hAnsi="Times New Roman" w:cs="Times New Roman"/>
                <w:lang w:bidi="sl-SI"/>
              </w:rPr>
              <w:t xml:space="preserve"> EuroHPC, EOSC</w:t>
            </w:r>
            <w:r w:rsidRPr="00427B61">
              <w:rPr>
                <w:rFonts w:ascii="Times New Roman" w:hAnsi="Times New Roman" w:cs="Times New Roman"/>
                <w:lang w:bidi="sl-SI"/>
              </w:rPr>
              <w:t>)</w:t>
            </w:r>
            <w:r>
              <w:rPr>
                <w:rFonts w:ascii="Times New Roman" w:hAnsi="Times New Roman" w:cs="Times New Roman"/>
                <w:lang w:bidi="sl-SI"/>
              </w:rPr>
              <w:t>;</w:t>
            </w:r>
            <w:r w:rsidRPr="00427B61">
              <w:rPr>
                <w:rFonts w:ascii="Times New Roman" w:hAnsi="Times New Roman" w:cs="Times New Roman"/>
                <w:lang w:bidi="sl-SI"/>
              </w:rPr>
              <w:t xml:space="preserve"> </w:t>
            </w:r>
            <w:r>
              <w:rPr>
                <w:rFonts w:ascii="Times New Roman" w:hAnsi="Times New Roman" w:cs="Times New Roman"/>
                <w:lang w:bidi="sl-SI"/>
              </w:rPr>
              <w:t xml:space="preserve">projects on </w:t>
            </w:r>
            <w:r>
              <w:rPr>
                <w:rFonts w:ascii="Times New Roman" w:hAnsi="Times New Roman" w:cs="Times New Roman"/>
                <w:lang w:bidi="sl-SI"/>
              </w:rPr>
              <w:lastRenderedPageBreak/>
              <w:t>widening participation and spreading excellence that were positively evaluated but could not receive funding (e</w:t>
            </w:r>
            <w:r w:rsidRPr="00427B61">
              <w:rPr>
                <w:rFonts w:ascii="Times New Roman" w:hAnsi="Times New Roman" w:cs="Times New Roman"/>
                <w:lang w:bidi="sl-SI"/>
              </w:rPr>
              <w:t>.</w:t>
            </w:r>
            <w:r>
              <w:rPr>
                <w:rFonts w:ascii="Times New Roman" w:hAnsi="Times New Roman" w:cs="Times New Roman"/>
                <w:lang w:bidi="sl-SI"/>
              </w:rPr>
              <w:t>g. ERA Chair, ERA Talents</w:t>
            </w:r>
            <w:r w:rsidRPr="00427B61">
              <w:rPr>
                <w:rFonts w:ascii="Times New Roman" w:hAnsi="Times New Roman" w:cs="Times New Roman"/>
                <w:lang w:bidi="sl-SI"/>
              </w:rPr>
              <w:t xml:space="preserve">, ERA </w:t>
            </w:r>
            <w:r>
              <w:rPr>
                <w:rFonts w:ascii="Times New Roman" w:hAnsi="Times New Roman" w:cs="Times New Roman"/>
                <w:lang w:bidi="sl-SI"/>
              </w:rPr>
              <w:t>Scholarships); projects under the Excellent Science Pillar (e.g.</w:t>
            </w:r>
            <w:r w:rsidRPr="00427B61">
              <w:rPr>
                <w:rFonts w:ascii="Times New Roman" w:hAnsi="Times New Roman" w:cs="Times New Roman"/>
                <w:lang w:bidi="sl-SI"/>
              </w:rPr>
              <w:t xml:space="preserve"> MSCA</w:t>
            </w:r>
            <w:r w:rsidRPr="0073262C">
              <w:rPr>
                <w:rFonts w:ascii="Times New Roman" w:hAnsi="Times New Roman" w:cs="Times New Roman"/>
                <w:lang w:bidi="sl-SI"/>
              </w:rPr>
              <w:t xml:space="preserve"> </w:t>
            </w:r>
            <w:r w:rsidRPr="0073262C">
              <w:rPr>
                <w:rFonts w:ascii="Times New Roman" w:hAnsi="Times New Roman" w:cs="Times New Roman"/>
              </w:rPr>
              <w:t>COFUND</w:t>
            </w:r>
            <w:r>
              <w:rPr>
                <w:rFonts w:ascii="Times New Roman" w:hAnsi="Times New Roman" w:cs="Times New Roman"/>
              </w:rPr>
              <w:t xml:space="preserve"> projects)</w:t>
            </w:r>
            <w:r w:rsidRPr="0073262C">
              <w:rPr>
                <w:rFonts w:ascii="Times New Roman" w:hAnsi="Times New Roman" w:cs="Times New Roman"/>
              </w:rPr>
              <w:t xml:space="preserve"> </w:t>
            </w:r>
            <w:r>
              <w:rPr>
                <w:rFonts w:ascii="Times New Roman" w:hAnsi="Times New Roman" w:cs="Times New Roman"/>
              </w:rPr>
              <w:t>or projects in other areas of Horizon Europe Programme and research and innovation partnerships programmes.</w:t>
            </w:r>
            <w:r w:rsidRPr="0073262C">
              <w:rPr>
                <w:rFonts w:ascii="Times New Roman" w:hAnsi="Times New Roman" w:cs="Times New Roman"/>
                <w:lang w:bidi="sl-SI"/>
              </w:rPr>
              <w:t xml:space="preserve"> </w:t>
            </w:r>
            <w:r>
              <w:rPr>
                <w:rFonts w:ascii="Times New Roman" w:hAnsi="Times New Roman" w:cs="Times New Roman"/>
                <w:lang w:bidi="sl-SI"/>
              </w:rPr>
              <w:t>Additionally, funding will be available for the continuation of the selected ERC projects</w:t>
            </w:r>
            <w:r>
              <w:rPr>
                <w:rFonts w:ascii="Times New Roman" w:hAnsi="Times New Roman" w:cs="Times New Roman"/>
              </w:rPr>
              <w:t xml:space="preserve"> (ERC Exit)</w:t>
            </w:r>
            <w:r w:rsidRPr="0073262C">
              <w:rPr>
                <w:rFonts w:ascii="Times New Roman" w:hAnsi="Times New Roman" w:cs="Times New Roman"/>
              </w:rPr>
              <w:t>.</w:t>
            </w:r>
          </w:p>
          <w:p w14:paraId="5E87BF42" w14:textId="77777777" w:rsidR="00DD13BF" w:rsidRPr="009B1B75" w:rsidRDefault="00DD13BF" w:rsidP="00DD13BF">
            <w:pPr>
              <w:pStyle w:val="Odstavekseznama"/>
              <w:widowControl/>
              <w:numPr>
                <w:ilvl w:val="1"/>
                <w:numId w:val="6"/>
              </w:numPr>
              <w:autoSpaceDE/>
              <w:autoSpaceDN/>
              <w:jc w:val="both"/>
              <w:rPr>
                <w:rFonts w:cstheme="minorHAnsi"/>
              </w:rPr>
            </w:pPr>
            <w:r>
              <w:rPr>
                <w:rFonts w:ascii="Times New Roman" w:hAnsi="Times New Roman" w:cs="Times New Roman"/>
              </w:rPr>
              <w:t xml:space="preserve">supporting the integration of Slovenian partners in transnational RDI projects will be of key importance to achieve synergies, in a complementary way also RDI projects of interregional collaboration selected under joint transregional calls for proposals, and the development of a suitable complementary instrument at the national level that will be able to be linked to the so-called Plug-in scheme under Horizon Europe Programme. </w:t>
            </w:r>
          </w:p>
          <w:p w14:paraId="18C12ADC" w14:textId="77777777" w:rsidR="00DD13BF" w:rsidRDefault="00DD13BF" w:rsidP="00355A56">
            <w:pPr>
              <w:pStyle w:val="Odstavekseznama"/>
              <w:ind w:left="1440"/>
              <w:jc w:val="both"/>
              <w:rPr>
                <w:rFonts w:ascii="Times New Roman" w:hAnsi="Times New Roman" w:cs="Times New Roman"/>
              </w:rPr>
            </w:pPr>
          </w:p>
          <w:p w14:paraId="4595F245" w14:textId="77777777" w:rsidR="00DD13BF" w:rsidRPr="00497378" w:rsidRDefault="00DD13BF" w:rsidP="00355A56">
            <w:pPr>
              <w:pStyle w:val="Odstavekseznama"/>
              <w:ind w:left="31"/>
              <w:jc w:val="both"/>
              <w:rPr>
                <w:rFonts w:ascii="Times New Roman" w:hAnsi="Times New Roman" w:cs="Times New Roman"/>
                <w:lang w:val="en-US"/>
              </w:rPr>
            </w:pPr>
            <w:r w:rsidRPr="00497378">
              <w:rPr>
                <w:rFonts w:ascii="Times New Roman" w:hAnsi="Times New Roman" w:cs="Times New Roman"/>
                <w:lang w:val="en-US"/>
              </w:rPr>
              <w:t xml:space="preserve">By focusing on priority areas with a special policy mix, S5 makes an important contribution to the EU Mission: Climate-Neutral and Smart Cities 2030 (e.g. Smart Cities and Communities, Smart Buildings and Homes, including the Wood Chain, Circular, Factories of the Future) and to the New European Bauhaus Initiative. </w:t>
            </w:r>
          </w:p>
          <w:p w14:paraId="247C0B53" w14:textId="77777777" w:rsidR="00DD13BF" w:rsidRPr="00497378" w:rsidRDefault="00DD13BF" w:rsidP="00355A56">
            <w:pPr>
              <w:pStyle w:val="Odstavekseznama"/>
              <w:ind w:left="31"/>
              <w:jc w:val="both"/>
              <w:rPr>
                <w:rFonts w:ascii="Times New Roman" w:hAnsi="Times New Roman" w:cs="Times New Roman"/>
                <w:lang w:val="en-US"/>
              </w:rPr>
            </w:pPr>
          </w:p>
          <w:p w14:paraId="45CB22DA" w14:textId="77777777" w:rsidR="00DD13BF" w:rsidRPr="00E118C8" w:rsidRDefault="00DD13BF" w:rsidP="00355A56">
            <w:pPr>
              <w:pStyle w:val="Odstavekseznama"/>
              <w:ind w:left="31"/>
              <w:jc w:val="both"/>
              <w:rPr>
                <w:rFonts w:ascii="Times New Roman" w:hAnsi="Times New Roman" w:cs="Times New Roman"/>
              </w:rPr>
            </w:pPr>
            <w:r w:rsidRPr="00497378">
              <w:rPr>
                <w:rFonts w:ascii="Times New Roman" w:hAnsi="Times New Roman" w:cs="Times New Roman"/>
                <w:lang w:val="en-US"/>
              </w:rPr>
              <w:t xml:space="preserve">The final design of measures and the formulation of </w:t>
            </w:r>
            <w:r>
              <w:rPr>
                <w:rFonts w:ascii="Times New Roman" w:hAnsi="Times New Roman" w:cs="Times New Roman"/>
                <w:lang w:val="en-US"/>
              </w:rPr>
              <w:t xml:space="preserve">their </w:t>
            </w:r>
            <w:r w:rsidRPr="00497378">
              <w:rPr>
                <w:rFonts w:ascii="Times New Roman" w:hAnsi="Times New Roman" w:cs="Times New Roman"/>
                <w:lang w:val="en-US"/>
              </w:rPr>
              <w:t>selection and implementation criteria will take into due account t</w:t>
            </w:r>
            <w:r>
              <w:rPr>
                <w:rFonts w:ascii="Times New Roman" w:hAnsi="Times New Roman" w:cs="Times New Roman"/>
                <w:lang w:val="en-US"/>
              </w:rPr>
              <w:t>he relevant mitigation measures</w:t>
            </w:r>
            <w:r w:rsidRPr="00497378">
              <w:rPr>
                <w:rFonts w:ascii="Times New Roman" w:hAnsi="Times New Roman" w:cs="Times New Roman"/>
                <w:lang w:val="en-US"/>
              </w:rPr>
              <w:t xml:space="preserve"> and, to the greatest extent possible, the relevant recommendations stemming from the strategic environmental assessment (</w:t>
            </w:r>
            <w:r>
              <w:rPr>
                <w:rFonts w:ascii="Times New Roman" w:hAnsi="Times New Roman" w:cs="Times New Roman"/>
                <w:lang w:val="en-US"/>
              </w:rPr>
              <w:t>a</w:t>
            </w:r>
            <w:r w:rsidRPr="00497378">
              <w:rPr>
                <w:rFonts w:ascii="Times New Roman" w:hAnsi="Times New Roman" w:cs="Times New Roman"/>
                <w:lang w:val="en-US"/>
              </w:rPr>
              <w:t>nnex</w:t>
            </w:r>
            <w:r>
              <w:rPr>
                <w:rFonts w:ascii="Times New Roman" w:hAnsi="Times New Roman" w:cs="Times New Roman"/>
                <w:lang w:val="en-US"/>
              </w:rPr>
              <w:t xml:space="preserve"> Mitigation Measures and R</w:t>
            </w:r>
            <w:r w:rsidRPr="00497378">
              <w:rPr>
                <w:rFonts w:ascii="Times New Roman" w:hAnsi="Times New Roman" w:cs="Times New Roman"/>
                <w:lang w:val="en-US"/>
              </w:rPr>
              <w:t xml:space="preserve">ecommendations). </w:t>
            </w:r>
            <w:r w:rsidRPr="00A34C5F">
              <w:rPr>
                <w:rFonts w:ascii="Times New Roman" w:hAnsi="Times New Roman" w:cs="Times New Roman"/>
                <w:lang w:val="en-US"/>
              </w:rPr>
              <w:t xml:space="preserve">None of the planned measures </w:t>
            </w:r>
            <w:r>
              <w:rPr>
                <w:rFonts w:ascii="Times New Roman" w:hAnsi="Times New Roman" w:cs="Times New Roman"/>
                <w:lang w:val="en-US"/>
              </w:rPr>
              <w:t>has</w:t>
            </w:r>
            <w:r w:rsidRPr="00A34C5F">
              <w:rPr>
                <w:rFonts w:ascii="Times New Roman" w:hAnsi="Times New Roman" w:cs="Times New Roman"/>
                <w:lang w:val="en-US"/>
              </w:rPr>
              <w:t xml:space="preserve"> a significant adverse </w:t>
            </w:r>
            <w:r>
              <w:rPr>
                <w:rFonts w:ascii="Times New Roman" w:hAnsi="Times New Roman" w:cs="Times New Roman"/>
                <w:lang w:val="en-US"/>
              </w:rPr>
              <w:t>impact</w:t>
            </w:r>
            <w:r w:rsidRPr="00A34C5F">
              <w:rPr>
                <w:rFonts w:ascii="Times New Roman" w:hAnsi="Times New Roman" w:cs="Times New Roman"/>
                <w:lang w:val="en-US"/>
              </w:rPr>
              <w:t xml:space="preserve"> on any of the six environmental objectives</w:t>
            </w:r>
            <w:r>
              <w:rPr>
                <w:rFonts w:ascii="Times New Roman" w:hAnsi="Times New Roman" w:cs="Times New Roman"/>
                <w:lang w:val="en-US"/>
              </w:rPr>
              <w:t>, taking into account</w:t>
            </w:r>
            <w:r w:rsidRPr="00A34C5F">
              <w:rPr>
                <w:rFonts w:ascii="Times New Roman" w:hAnsi="Times New Roman" w:cs="Times New Roman"/>
                <w:lang w:val="en-US"/>
              </w:rPr>
              <w:t xml:space="preserve"> the technical scre</w:t>
            </w:r>
            <w:r>
              <w:rPr>
                <w:rFonts w:ascii="Times New Roman" w:hAnsi="Times New Roman" w:cs="Times New Roman"/>
                <w:lang w:val="en-US"/>
              </w:rPr>
              <w:t>ening criteria set out in annex</w:t>
            </w:r>
            <w:r w:rsidRPr="00A34C5F">
              <w:rPr>
                <w:rFonts w:ascii="Times New Roman" w:hAnsi="Times New Roman" w:cs="Times New Roman"/>
                <w:lang w:val="en-US"/>
              </w:rPr>
              <w:t xml:space="preserve"> DNSH.</w:t>
            </w:r>
            <w:r w:rsidRPr="000D1E47">
              <w:rPr>
                <w:rFonts w:ascii="Times New Roman" w:hAnsi="Times New Roman" w:cs="Times New Roman"/>
              </w:rPr>
              <w:t xml:space="preserve"> </w:t>
            </w:r>
          </w:p>
        </w:tc>
      </w:tr>
    </w:tbl>
    <w:p w14:paraId="60D5D7F4" w14:textId="77777777" w:rsidR="00DD13BF" w:rsidRDefault="00DD13BF" w:rsidP="00DD13BF">
      <w:pPr>
        <w:ind w:left="1349"/>
        <w:rPr>
          <w:spacing w:val="-6"/>
        </w:rPr>
      </w:pPr>
    </w:p>
    <w:p w14:paraId="06CAA15B" w14:textId="77777777" w:rsidR="00DD13BF" w:rsidRDefault="00DD13BF" w:rsidP="00DD13BF">
      <w:pPr>
        <w:ind w:left="1349"/>
      </w:pPr>
      <w:r>
        <w:rPr>
          <w:spacing w:val="-6"/>
        </w:rPr>
        <w:t>The main target groups:</w:t>
      </w:r>
    </w:p>
    <w:p w14:paraId="269CE140"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A131513" w14:textId="77777777" w:rsidTr="00355A56">
        <w:tc>
          <w:tcPr>
            <w:tcW w:w="12763" w:type="dxa"/>
          </w:tcPr>
          <w:p w14:paraId="6B7A08C6" w14:textId="77777777" w:rsidR="00DD13BF" w:rsidRDefault="00DD13BF" w:rsidP="00355A56">
            <w:pPr>
              <w:jc w:val="both"/>
              <w:rPr>
                <w:rFonts w:cstheme="minorHAnsi"/>
              </w:rPr>
            </w:pPr>
            <w:r>
              <w:rPr>
                <w:rFonts w:cstheme="minorHAnsi"/>
              </w:rPr>
              <w:t xml:space="preserve">Target groups: enterprises, knowledge institutions (research organisations, higher education institutions, etc.), development partnerships, entrepreneurship and innovation ecosystem actors.  </w:t>
            </w:r>
          </w:p>
          <w:p w14:paraId="43AF7A6F" w14:textId="77777777" w:rsidR="00DD13BF" w:rsidRDefault="00DD13BF" w:rsidP="00355A56">
            <w:pPr>
              <w:jc w:val="both"/>
              <w:rPr>
                <w:rFonts w:cstheme="minorHAnsi"/>
              </w:rPr>
            </w:pPr>
          </w:p>
          <w:p w14:paraId="3DF8BA62" w14:textId="77777777" w:rsidR="00DD13BF" w:rsidRPr="00B3569A" w:rsidRDefault="00DD13BF" w:rsidP="00355A56">
            <w:pPr>
              <w:jc w:val="both"/>
              <w:rPr>
                <w:rFonts w:cstheme="minorHAnsi"/>
              </w:rPr>
            </w:pPr>
            <w:r>
              <w:rPr>
                <w:rFonts w:cstheme="minorHAnsi"/>
              </w:rPr>
              <w:t xml:space="preserve">Beneficiaries: research organisations, enterprises, development partnerships, cultural entities, chambers. </w:t>
            </w:r>
          </w:p>
        </w:tc>
      </w:tr>
    </w:tbl>
    <w:p w14:paraId="191C3AB8" w14:textId="77777777" w:rsidR="00DD13BF" w:rsidRPr="006B7178" w:rsidRDefault="00DD13BF" w:rsidP="00DD13BF">
      <w:pPr>
        <w:ind w:left="1349"/>
      </w:pPr>
    </w:p>
    <w:p w14:paraId="6B055CE3" w14:textId="77777777" w:rsidR="00DD13BF" w:rsidRDefault="00DD13BF" w:rsidP="00DD13BF">
      <w:pPr>
        <w:ind w:left="1349"/>
        <w:rPr>
          <w:spacing w:val="-2"/>
        </w:rPr>
      </w:pPr>
      <w:r>
        <w:t xml:space="preserve">Actions safeguarding equality, inclusion and non-discrimination: </w:t>
      </w:r>
    </w:p>
    <w:p w14:paraId="47C96B92"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7B913269" w14:textId="77777777" w:rsidTr="00355A56">
        <w:tc>
          <w:tcPr>
            <w:tcW w:w="12715" w:type="dxa"/>
          </w:tcPr>
          <w:p w14:paraId="1530AAAA" w14:textId="77777777" w:rsidR="00DD13BF" w:rsidRDefault="00DD13BF" w:rsidP="00355A56">
            <w:pPr>
              <w:jc w:val="both"/>
              <w:rPr>
                <w:rFonts w:cstheme="minorHAnsi"/>
              </w:rPr>
            </w:pPr>
            <w:r>
              <w:rPr>
                <w:rFonts w:cstheme="minorHAnsi"/>
              </w:rPr>
              <w:t>The principles of equality, inclusion and non-discrimination will be respected in the implementation of all activities at all levels in accordance with national legislation, the EU acquis and the relevant international human rights instruments. The Rules on ensuring the horizontal enabling condition Effective application and implementation of the Charter of fundamental rights and the Action Programme for Persons with Disabilities 2022-2030, as well as other relevant documents that will be developed during the implementation of measures will also be taken into account in order to ensure equal opportunities and advocate fight against discrimination. The principle will likewise be respected in the scope of the management and control system.</w:t>
            </w:r>
          </w:p>
          <w:p w14:paraId="07100172" w14:textId="77777777" w:rsidR="00DD13BF" w:rsidRDefault="00DD13BF" w:rsidP="00355A56">
            <w:pPr>
              <w:jc w:val="both"/>
              <w:rPr>
                <w:rFonts w:ascii="Arial" w:eastAsia="Calibri" w:hAnsi="Arial" w:cs="Arial"/>
                <w:sz w:val="20"/>
              </w:rPr>
            </w:pPr>
          </w:p>
          <w:p w14:paraId="0C14230C" w14:textId="77777777" w:rsidR="00DD13BF" w:rsidRPr="00B3569A" w:rsidRDefault="00DD13BF" w:rsidP="00355A56">
            <w:pPr>
              <w:jc w:val="both"/>
              <w:rPr>
                <w:rFonts w:cstheme="minorHAnsi"/>
              </w:rPr>
            </w:pPr>
            <w:r>
              <w:rPr>
                <w:rFonts w:cstheme="minorHAnsi"/>
              </w:rPr>
              <w:t xml:space="preserve">Gender equality in the area of scientific research and innovation-driven activities will be promoted and ensured in accordance with the </w:t>
            </w:r>
            <w:r>
              <w:rPr>
                <w:rFonts w:cstheme="minorHAnsi"/>
              </w:rPr>
              <w:lastRenderedPageBreak/>
              <w:t>objectives and measures of the Resolution on the Slovenian Scientific and Research Strategy 2030</w:t>
            </w:r>
            <w:r w:rsidRPr="004534B8">
              <w:rPr>
                <w:rFonts w:cstheme="minorHAnsi"/>
              </w:rPr>
              <w:t xml:space="preserve">. </w:t>
            </w:r>
            <w:r>
              <w:rPr>
                <w:rFonts w:cstheme="minorHAnsi"/>
              </w:rPr>
              <w:t>In accordance with measure</w:t>
            </w:r>
            <w:r w:rsidRPr="004534B8">
              <w:rPr>
                <w:rFonts w:cstheme="minorHAnsi"/>
              </w:rPr>
              <w:t xml:space="preserve"> 6.4.4 </w:t>
            </w:r>
            <w:r>
              <w:rPr>
                <w:rFonts w:cstheme="minorHAnsi"/>
              </w:rPr>
              <w:t>of the said Strategy Gender equality in funding research, including gender mainstreaming in research activities, gender mainstreaming will be implemented as a horizontal principle applied to R&amp;D projects in TRL 3-6, in particular where relevant. At the same time, measures will address the area of young researchers, who are a vulnerable group in terms of first job, with particular attention given to advocating gender non-discrimination (e.g. parental leave, etc.).</w:t>
            </w:r>
          </w:p>
        </w:tc>
      </w:tr>
    </w:tbl>
    <w:p w14:paraId="0C47E90C" w14:textId="77777777" w:rsidR="00DD13BF" w:rsidRDefault="00DD13BF" w:rsidP="00DD13BF">
      <w:pPr>
        <w:rPr>
          <w:sz w:val="20"/>
        </w:rPr>
      </w:pPr>
    </w:p>
    <w:p w14:paraId="3DC4316C" w14:textId="77777777" w:rsidR="00DD13BF" w:rsidRDefault="00DD13BF" w:rsidP="00DD13BF">
      <w:pPr>
        <w:ind w:left="1415"/>
        <w:rPr>
          <w:spacing w:val="-4"/>
        </w:rPr>
      </w:pPr>
      <w:r>
        <w:rPr>
          <w:spacing w:val="-4"/>
        </w:rPr>
        <w:t xml:space="preserve">Indication of the specific territories targeted, including the planned use of territorial tools:  </w:t>
      </w:r>
    </w:p>
    <w:p w14:paraId="2AA8E1B0"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563FC5D8" w14:textId="77777777" w:rsidTr="00355A56">
        <w:tc>
          <w:tcPr>
            <w:tcW w:w="12763" w:type="dxa"/>
          </w:tcPr>
          <w:p w14:paraId="2BE6F488" w14:textId="77777777" w:rsidR="00DD13BF" w:rsidRPr="00B3569A" w:rsidRDefault="00DD13BF" w:rsidP="00355A56">
            <w:pPr>
              <w:jc w:val="both"/>
              <w:rPr>
                <w:rFonts w:cstheme="minorHAnsi"/>
              </w:rPr>
            </w:pPr>
            <w:r>
              <w:rPr>
                <w:rFonts w:cstheme="minorHAnsi"/>
              </w:rPr>
              <w:t xml:space="preserve">The use of territorial tools is not foreseen under the specific objective. </w:t>
            </w:r>
          </w:p>
        </w:tc>
      </w:tr>
    </w:tbl>
    <w:p w14:paraId="6795D166" w14:textId="77777777" w:rsidR="00DD13BF" w:rsidRDefault="00DD13BF" w:rsidP="00DD13BF">
      <w:pPr>
        <w:rPr>
          <w:sz w:val="18"/>
        </w:rPr>
      </w:pPr>
    </w:p>
    <w:p w14:paraId="798F1F67" w14:textId="77777777" w:rsidR="00DD13BF" w:rsidRDefault="00DD13BF" w:rsidP="00DD13BF">
      <w:pPr>
        <w:ind w:left="1415"/>
      </w:pPr>
      <w:r>
        <w:rPr>
          <w:spacing w:val="-4"/>
        </w:rPr>
        <w:t xml:space="preserve">The interregional, cross-border and transnational actions: </w:t>
      </w:r>
    </w:p>
    <w:p w14:paraId="02B49B19"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BD089E9" w14:textId="77777777" w:rsidTr="00355A56">
        <w:tc>
          <w:tcPr>
            <w:tcW w:w="12763" w:type="dxa"/>
          </w:tcPr>
          <w:p w14:paraId="65AEB81D" w14:textId="77777777" w:rsidR="00DD13BF" w:rsidRPr="003C69BD" w:rsidRDefault="00DD13BF" w:rsidP="00355A56">
            <w:pPr>
              <w:jc w:val="both"/>
              <w:rPr>
                <w:rFonts w:cstheme="minorHAnsi"/>
                <w:lang w:val="en-US"/>
              </w:rPr>
            </w:pPr>
            <w:r w:rsidRPr="003C69BD">
              <w:rPr>
                <w:rFonts w:cstheme="minorHAnsi"/>
                <w:lang w:val="en-US"/>
              </w:rPr>
              <w:t xml:space="preserve">The country expects to establish transnational and cross-border cooperation (e.g. through ESFRI projects, EuroHPC projects relating to high performance computing, quantum computing, development of European processors, etc., and EOSC project, which all aim at establishing state-of-the-art research infrastructure and collaboration) as part of measures (collaborative measures).  </w:t>
            </w:r>
          </w:p>
          <w:p w14:paraId="7ADA2CEA" w14:textId="77777777" w:rsidR="00DD13BF" w:rsidRPr="003C69BD" w:rsidRDefault="00DD13BF" w:rsidP="00355A56">
            <w:pPr>
              <w:jc w:val="both"/>
              <w:rPr>
                <w:rFonts w:cstheme="minorHAnsi"/>
                <w:lang w:val="en-US"/>
              </w:rPr>
            </w:pPr>
          </w:p>
          <w:p w14:paraId="1EFA11EF" w14:textId="77777777" w:rsidR="00DD13BF" w:rsidRPr="003C69BD" w:rsidRDefault="00DD13BF" w:rsidP="00355A56">
            <w:pPr>
              <w:jc w:val="both"/>
              <w:rPr>
                <w:rFonts w:cstheme="minorHAnsi"/>
                <w:lang w:val="en-US"/>
              </w:rPr>
            </w:pPr>
            <w:r w:rsidRPr="003C69BD">
              <w:rPr>
                <w:rFonts w:cstheme="minorHAnsi"/>
                <w:lang w:val="en-US"/>
              </w:rPr>
              <w:t>In order to achieve synergies, support to involvement of Slovenian partners in transnational RDI projects (e.g. Eurostars, Eureka, IPCEI, EIC instrument) will be of key importance. Under Eurostars/Eureka programme, companies are planned to join joint R&amp;D projects involving partners from other Eurostars/Eureka members. Under IPCEI, enterprises will join joint R&amp;D projects with companies and organisations from other EU member states that will participate in an individual IPCEI. In add</w:t>
            </w:r>
            <w:r>
              <w:rPr>
                <w:rFonts w:cstheme="minorHAnsi"/>
                <w:lang w:val="en-US"/>
              </w:rPr>
              <w:t>i</w:t>
            </w:r>
            <w:r w:rsidRPr="003C69BD">
              <w:rPr>
                <w:rFonts w:cstheme="minorHAnsi"/>
                <w:lang w:val="en-US"/>
              </w:rPr>
              <w:t xml:space="preserve">tion, Slovenia has signed a Memorandum of understanding on collaboration with EIT in the area of transition to a smart and circular economy. The relevant activities will partly be financed under the RRP, while collaboration with EIT will be supported by other measures where relevant. </w:t>
            </w:r>
          </w:p>
          <w:p w14:paraId="7A8EBA4A" w14:textId="77777777" w:rsidR="00DD13BF" w:rsidRPr="003C69BD" w:rsidRDefault="00DD13BF" w:rsidP="00355A56">
            <w:pPr>
              <w:jc w:val="both"/>
              <w:rPr>
                <w:rFonts w:cstheme="minorHAnsi"/>
                <w:lang w:val="en-US"/>
              </w:rPr>
            </w:pPr>
          </w:p>
          <w:p w14:paraId="508D9920" w14:textId="77777777" w:rsidR="00DD13BF" w:rsidRPr="003C69BD" w:rsidRDefault="00DD13BF" w:rsidP="00355A56">
            <w:pPr>
              <w:jc w:val="both"/>
              <w:rPr>
                <w:rFonts w:cstheme="minorHAnsi"/>
                <w:lang w:val="en-US"/>
              </w:rPr>
            </w:pPr>
            <w:r w:rsidRPr="003C69BD">
              <w:rPr>
                <w:rFonts w:cstheme="minorHAnsi"/>
                <w:lang w:val="en-US"/>
              </w:rPr>
              <w:t xml:space="preserve">Foreign companies will be able to use the established research infrastructure, which will additionally facilitate and boost international partnerships and collaboration.  </w:t>
            </w:r>
          </w:p>
          <w:p w14:paraId="63383E5C" w14:textId="77777777" w:rsidR="00DD13BF" w:rsidRPr="003C69BD" w:rsidRDefault="00DD13BF" w:rsidP="00355A56">
            <w:pPr>
              <w:jc w:val="both"/>
              <w:rPr>
                <w:rFonts w:cstheme="minorHAnsi"/>
                <w:lang w:val="en-US"/>
              </w:rPr>
            </w:pPr>
          </w:p>
          <w:p w14:paraId="7FBD322C" w14:textId="77777777" w:rsidR="00DD13BF" w:rsidRPr="003C69BD" w:rsidRDefault="00DD13BF" w:rsidP="00355A56">
            <w:pPr>
              <w:jc w:val="both"/>
              <w:rPr>
                <w:rFonts w:cstheme="minorHAnsi"/>
                <w:lang w:val="en-US"/>
              </w:rPr>
            </w:pPr>
            <w:r w:rsidRPr="003C69BD">
              <w:rPr>
                <w:rFonts w:cstheme="minorHAnsi"/>
                <w:lang w:val="en-US"/>
              </w:rPr>
              <w:t>In the scope of the EU Strategy for the Adriatic and Ionian Region (</w:t>
            </w:r>
            <w:r>
              <w:rPr>
                <w:rFonts w:cstheme="minorHAnsi"/>
                <w:lang w:val="en-US"/>
              </w:rPr>
              <w:t xml:space="preserve">hereinafter: </w:t>
            </w:r>
            <w:r w:rsidRPr="003C69BD">
              <w:rPr>
                <w:rFonts w:cstheme="minorHAnsi"/>
                <w:lang w:val="en-US"/>
              </w:rPr>
              <w:t>EUSAIR), activities are carried with the support of EUSAIR Facility Point to foster innovation in the Adriatic-Ionian macro-region in the area of environment, sustainable tourism, energy and transport, and blue economy. Under EUSAIR Pillar 1 Blue Growth, the EUSAIR participating countries reached an agreement on a macro-regional or flagship project called Fostering quadruple helix ties in the fields of marine technologies and blue biotechnologies for advancing innovation, business development and business adaptation in blue bio-economy.</w:t>
            </w:r>
          </w:p>
          <w:p w14:paraId="183AD1A0" w14:textId="77777777" w:rsidR="00DD13BF" w:rsidRPr="003C69BD" w:rsidRDefault="00DD13BF" w:rsidP="00355A56">
            <w:pPr>
              <w:jc w:val="both"/>
              <w:rPr>
                <w:rFonts w:cstheme="minorHAnsi"/>
                <w:lang w:val="en-US"/>
              </w:rPr>
            </w:pPr>
          </w:p>
          <w:p w14:paraId="2388A28C" w14:textId="77777777" w:rsidR="00DD13BF" w:rsidRPr="00B3569A" w:rsidRDefault="00DD13BF" w:rsidP="00355A56">
            <w:pPr>
              <w:jc w:val="both"/>
              <w:rPr>
                <w:rFonts w:cstheme="minorHAnsi"/>
              </w:rPr>
            </w:pPr>
            <w:r w:rsidRPr="003C69BD">
              <w:rPr>
                <w:rFonts w:cstheme="minorHAnsi"/>
                <w:lang w:val="en-US"/>
              </w:rPr>
              <w:t>As part of specific objective RSO1.1., R&amp;D projects addressing focus sub-areas, such as hydrogen and biomass, and SRIPs (in particular SRIP Smart Cities) will be funded in accordance with S5, which will contribute to the achievement of the European Innovation Agenda – EU initiative to strengthen climate-neutral cities and hydrogen valleys.</w:t>
            </w:r>
            <w:r>
              <w:rPr>
                <w:rFonts w:cstheme="minorHAnsi"/>
              </w:rPr>
              <w:t xml:space="preserve"> </w:t>
            </w:r>
            <w:r w:rsidRPr="00F41110">
              <w:rPr>
                <w:rFonts w:cstheme="minorHAnsi"/>
              </w:rPr>
              <w:t xml:space="preserve"> </w:t>
            </w:r>
          </w:p>
        </w:tc>
      </w:tr>
    </w:tbl>
    <w:p w14:paraId="1A477A33" w14:textId="77777777" w:rsidR="00DD13BF" w:rsidRDefault="00DD13BF" w:rsidP="00DD13BF">
      <w:pPr>
        <w:rPr>
          <w:sz w:val="17"/>
        </w:rPr>
      </w:pPr>
    </w:p>
    <w:p w14:paraId="4327C61A" w14:textId="77777777" w:rsidR="00DD13BF" w:rsidRDefault="00DD13BF" w:rsidP="00DD13BF">
      <w:pPr>
        <w:ind w:left="1415"/>
        <w:rPr>
          <w:spacing w:val="-3"/>
        </w:rPr>
      </w:pPr>
      <w:r>
        <w:rPr>
          <w:spacing w:val="-4"/>
        </w:rPr>
        <w:lastRenderedPageBreak/>
        <w:t>The planned use of financial instruments</w:t>
      </w:r>
      <w:r>
        <w:rPr>
          <w:spacing w:val="34"/>
        </w:rPr>
        <w:t>:</w:t>
      </w:r>
    </w:p>
    <w:p w14:paraId="67E7A989"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2260D1A9" w14:textId="77777777" w:rsidTr="00355A56">
        <w:tc>
          <w:tcPr>
            <w:tcW w:w="12758" w:type="dxa"/>
          </w:tcPr>
          <w:p w14:paraId="3D5FE1A8" w14:textId="77777777" w:rsidR="00DD13BF" w:rsidRPr="007750BB" w:rsidRDefault="00DD13BF" w:rsidP="00355A56">
            <w:pPr>
              <w:jc w:val="both"/>
              <w:rPr>
                <w:rFonts w:cstheme="minorHAnsi"/>
                <w:lang w:val="en-US"/>
              </w:rPr>
            </w:pPr>
            <w:r w:rsidRPr="007750BB">
              <w:rPr>
                <w:lang w:val="en-US"/>
              </w:rPr>
              <w:t xml:space="preserve">According to the preliminary assessment of market needs and funding gaps in the market for the implementation of financial instruments in the 2021–2027 programming period (July 2022) </w:t>
            </w:r>
            <w:r w:rsidRPr="007750BB">
              <w:rPr>
                <w:rFonts w:cstheme="minorHAnsi"/>
                <w:lang w:val="en-US"/>
              </w:rPr>
              <w:t xml:space="preserve">a high gap was identified in the thematic investment area for RDI for the target group of final recipients, i.e. SMEs and large enterprises. Despite the fact that the area will be strongly supported by repayable funds from national sources (already set-up loan funds making EUR 100 million available and reutilisation of financial instruments in a revolving way totalling EUR 80 million), the country plans to use financial instruments in the form of debt financing. The Programme provides only an indicative amount of funding earmarked for financial instruments. </w:t>
            </w:r>
          </w:p>
        </w:tc>
      </w:tr>
    </w:tbl>
    <w:p w14:paraId="7757FBE2" w14:textId="77777777" w:rsidR="00DD13BF" w:rsidRDefault="00DD13BF" w:rsidP="00DD13BF">
      <w:pPr>
        <w:rPr>
          <w:sz w:val="20"/>
        </w:rPr>
      </w:pPr>
    </w:p>
    <w:p w14:paraId="056715D9" w14:textId="77777777" w:rsidR="00DD13BF" w:rsidRDefault="00DD13BF" w:rsidP="00DD13BF">
      <w:pPr>
        <w:rPr>
          <w:sz w:val="20"/>
        </w:rPr>
      </w:pPr>
    </w:p>
    <w:p w14:paraId="5EBDEC57" w14:textId="77777777" w:rsidR="00DD13BF" w:rsidRDefault="00DD13BF" w:rsidP="00DD13BF">
      <w:pPr>
        <w:pStyle w:val="Naslov5"/>
        <w:spacing w:before="0"/>
      </w:pPr>
      <w:r>
        <w:t>Indicators</w:t>
      </w:r>
    </w:p>
    <w:p w14:paraId="37209C86" w14:textId="77777777" w:rsidR="00DD13BF" w:rsidRDefault="00DD13BF" w:rsidP="00DD13BF"/>
    <w:p w14:paraId="79218F20" w14:textId="77777777" w:rsidR="00DD13BF" w:rsidRPr="001F3D67" w:rsidRDefault="00DD13BF" w:rsidP="00DD13BF">
      <w:pPr>
        <w:ind w:left="379"/>
      </w:pPr>
      <w:r>
        <w:rPr>
          <w:spacing w:val="-7"/>
        </w:rPr>
        <w:t>Table</w:t>
      </w:r>
      <w:r w:rsidRPr="007959C5">
        <w:rPr>
          <w:spacing w:val="-7"/>
        </w:rPr>
        <w:t xml:space="preserve"> </w:t>
      </w:r>
      <w:r w:rsidRPr="007959C5">
        <w:rPr>
          <w:spacing w:val="-6"/>
        </w:rPr>
        <w:t>2:</w:t>
      </w:r>
      <w:r w:rsidRPr="007959C5">
        <w:rPr>
          <w:spacing w:val="-7"/>
        </w:rPr>
        <w:t xml:space="preserve"> </w:t>
      </w:r>
      <w:r>
        <w:rPr>
          <w:spacing w:val="-7"/>
        </w:rPr>
        <w:t>Output indicators</w:t>
      </w:r>
    </w:p>
    <w:p w14:paraId="177CC5A6" w14:textId="77777777" w:rsidR="00DD13BF" w:rsidRPr="001F3D67" w:rsidRDefault="00DD13BF" w:rsidP="00DD13BF">
      <w:pPr>
        <w:rPr>
          <w:sz w:val="21"/>
        </w:rPr>
      </w:pPr>
    </w:p>
    <w:tbl>
      <w:tblPr>
        <w:tblStyle w:val="NormalTable0"/>
        <w:tblW w:w="1375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414"/>
        <w:gridCol w:w="712"/>
        <w:gridCol w:w="1695"/>
        <w:gridCol w:w="856"/>
        <w:gridCol w:w="4253"/>
        <w:gridCol w:w="1276"/>
        <w:gridCol w:w="1417"/>
        <w:gridCol w:w="996"/>
      </w:tblGrid>
      <w:tr w:rsidR="00DD13BF" w14:paraId="18A000E6" w14:textId="77777777" w:rsidTr="00355A56">
        <w:trPr>
          <w:trHeight w:val="254"/>
        </w:trPr>
        <w:tc>
          <w:tcPr>
            <w:tcW w:w="1134" w:type="dxa"/>
            <w:vAlign w:val="center"/>
          </w:tcPr>
          <w:p w14:paraId="28B73112" w14:textId="77777777" w:rsidR="00DD13BF" w:rsidRPr="001F3D67" w:rsidRDefault="00DD13BF" w:rsidP="00355A56">
            <w:pPr>
              <w:pStyle w:val="TableParagraph"/>
              <w:rPr>
                <w:sz w:val="20"/>
              </w:rPr>
            </w:pPr>
            <w:r>
              <w:t>Priority</w:t>
            </w:r>
          </w:p>
        </w:tc>
        <w:tc>
          <w:tcPr>
            <w:tcW w:w="1414" w:type="dxa"/>
            <w:vAlign w:val="center"/>
          </w:tcPr>
          <w:p w14:paraId="16E2491F" w14:textId="77777777" w:rsidR="00DD13BF" w:rsidRPr="001F3D67" w:rsidRDefault="00DD13BF" w:rsidP="00355A56">
            <w:pPr>
              <w:pStyle w:val="TableParagraph"/>
              <w:rPr>
                <w:sz w:val="20"/>
              </w:rPr>
            </w:pPr>
            <w:r>
              <w:t>Specific objective</w:t>
            </w:r>
          </w:p>
        </w:tc>
        <w:tc>
          <w:tcPr>
            <w:tcW w:w="712" w:type="dxa"/>
            <w:vAlign w:val="center"/>
          </w:tcPr>
          <w:p w14:paraId="021BEBFA" w14:textId="77777777" w:rsidR="00DD13BF" w:rsidRPr="001F3D67" w:rsidRDefault="00DD13BF" w:rsidP="00355A56">
            <w:pPr>
              <w:pStyle w:val="TableParagraph"/>
              <w:rPr>
                <w:sz w:val="20"/>
              </w:rPr>
            </w:pPr>
            <w:r>
              <w:t>Fund</w:t>
            </w:r>
          </w:p>
        </w:tc>
        <w:tc>
          <w:tcPr>
            <w:tcW w:w="1695" w:type="dxa"/>
            <w:vAlign w:val="center"/>
          </w:tcPr>
          <w:p w14:paraId="043894C4" w14:textId="77777777" w:rsidR="00DD13BF" w:rsidRPr="001F3D67" w:rsidRDefault="00DD13BF" w:rsidP="00355A56">
            <w:pPr>
              <w:pStyle w:val="TableParagraph"/>
              <w:rPr>
                <w:sz w:val="20"/>
              </w:rPr>
            </w:pPr>
            <w:r>
              <w:t>Category of region</w:t>
            </w:r>
          </w:p>
        </w:tc>
        <w:tc>
          <w:tcPr>
            <w:tcW w:w="856" w:type="dxa"/>
            <w:vAlign w:val="center"/>
          </w:tcPr>
          <w:p w14:paraId="09AFC680" w14:textId="77777777" w:rsidR="00DD13BF" w:rsidRPr="00347461" w:rsidRDefault="00DD13BF" w:rsidP="00355A56">
            <w:pPr>
              <w:pStyle w:val="TableParagraph"/>
              <w:rPr>
                <w:sz w:val="20"/>
              </w:rPr>
            </w:pPr>
            <w:r>
              <w:t>ID</w:t>
            </w:r>
          </w:p>
        </w:tc>
        <w:tc>
          <w:tcPr>
            <w:tcW w:w="4253" w:type="dxa"/>
            <w:vAlign w:val="center"/>
          </w:tcPr>
          <w:p w14:paraId="375ED5D0" w14:textId="77777777" w:rsidR="00DD13BF" w:rsidRPr="00347461" w:rsidRDefault="00DD13BF" w:rsidP="00355A56">
            <w:pPr>
              <w:pStyle w:val="TableParagraph"/>
              <w:rPr>
                <w:sz w:val="20"/>
              </w:rPr>
            </w:pPr>
            <w:r>
              <w:t>Indicator</w:t>
            </w:r>
          </w:p>
        </w:tc>
        <w:tc>
          <w:tcPr>
            <w:tcW w:w="1276" w:type="dxa"/>
            <w:vAlign w:val="center"/>
          </w:tcPr>
          <w:p w14:paraId="4C3D556C" w14:textId="77777777" w:rsidR="00DD13BF" w:rsidRPr="00347461" w:rsidRDefault="00DD13BF" w:rsidP="00355A56">
            <w:pPr>
              <w:pStyle w:val="TableParagraph"/>
              <w:rPr>
                <w:sz w:val="20"/>
              </w:rPr>
            </w:pPr>
            <w:r>
              <w:t>Measurement unit</w:t>
            </w:r>
          </w:p>
        </w:tc>
        <w:tc>
          <w:tcPr>
            <w:tcW w:w="1417" w:type="dxa"/>
            <w:vAlign w:val="center"/>
          </w:tcPr>
          <w:p w14:paraId="6802E068" w14:textId="77777777" w:rsidR="00DD13BF" w:rsidRPr="00347461" w:rsidRDefault="00DD13BF" w:rsidP="00355A56">
            <w:pPr>
              <w:pStyle w:val="TableParagraph"/>
              <w:rPr>
                <w:sz w:val="20"/>
              </w:rPr>
            </w:pPr>
            <w:r>
              <w:t>Milestone</w:t>
            </w:r>
            <w:r w:rsidRPr="00BE59C9">
              <w:t xml:space="preserve"> (2024)</w:t>
            </w:r>
          </w:p>
        </w:tc>
        <w:tc>
          <w:tcPr>
            <w:tcW w:w="996" w:type="dxa"/>
            <w:vAlign w:val="center"/>
          </w:tcPr>
          <w:p w14:paraId="5167DD42" w14:textId="77777777" w:rsidR="00DD13BF" w:rsidRPr="001F3D67" w:rsidRDefault="00DD13BF" w:rsidP="00355A56">
            <w:pPr>
              <w:pStyle w:val="TableParagraph"/>
              <w:rPr>
                <w:sz w:val="20"/>
              </w:rPr>
            </w:pPr>
            <w:r>
              <w:t xml:space="preserve">Target </w:t>
            </w:r>
            <w:r w:rsidRPr="00BE59C9">
              <w:t xml:space="preserve"> (2029)</w:t>
            </w:r>
          </w:p>
        </w:tc>
      </w:tr>
      <w:tr w:rsidR="00DD13BF" w14:paraId="3215A21A" w14:textId="77777777" w:rsidTr="00355A56">
        <w:trPr>
          <w:trHeight w:val="339"/>
        </w:trPr>
        <w:tc>
          <w:tcPr>
            <w:tcW w:w="1134" w:type="dxa"/>
          </w:tcPr>
          <w:p w14:paraId="4D4F3BD0"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73B6869B" w14:textId="77777777" w:rsidR="00DD13BF" w:rsidRPr="00BD3536" w:rsidRDefault="00DD13BF" w:rsidP="00355A56">
            <w:pPr>
              <w:pStyle w:val="TableParagraph"/>
              <w:rPr>
                <w:rFonts w:cstheme="minorHAnsi"/>
                <w:sz w:val="20"/>
              </w:rPr>
            </w:pPr>
            <w:r>
              <w:rPr>
                <w:rFonts w:cstheme="minorHAnsi"/>
                <w:sz w:val="20"/>
              </w:rPr>
              <w:t>RSO1.1</w:t>
            </w:r>
          </w:p>
        </w:tc>
        <w:tc>
          <w:tcPr>
            <w:tcW w:w="712" w:type="dxa"/>
          </w:tcPr>
          <w:p w14:paraId="3C56E5AA"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6CB58040" w14:textId="77777777" w:rsidR="00DD13BF" w:rsidRPr="00BD3536" w:rsidRDefault="00DD13BF" w:rsidP="00355A56">
            <w:pPr>
              <w:pStyle w:val="TableParagraph"/>
              <w:rPr>
                <w:rFonts w:cstheme="minorHAnsi"/>
                <w:sz w:val="20"/>
              </w:rPr>
            </w:pPr>
            <w:r>
              <w:rPr>
                <w:rFonts w:cstheme="minorHAnsi"/>
                <w:sz w:val="20"/>
              </w:rPr>
              <w:t xml:space="preserve">Less developed </w:t>
            </w:r>
          </w:p>
        </w:tc>
        <w:tc>
          <w:tcPr>
            <w:tcW w:w="856" w:type="dxa"/>
          </w:tcPr>
          <w:p w14:paraId="0A05FAC2" w14:textId="77777777" w:rsidR="00DD13BF" w:rsidRPr="00BD3536" w:rsidRDefault="00DD13BF" w:rsidP="00355A56">
            <w:pPr>
              <w:pStyle w:val="TableParagraph"/>
              <w:rPr>
                <w:rFonts w:cstheme="minorHAnsi"/>
                <w:sz w:val="20"/>
              </w:rPr>
            </w:pPr>
            <w:r w:rsidRPr="00BD3536">
              <w:rPr>
                <w:rFonts w:cstheme="minorHAnsi"/>
                <w:sz w:val="20"/>
                <w:lang w:bidi="sl-SI"/>
              </w:rPr>
              <w:t>RCO</w:t>
            </w:r>
            <w:r>
              <w:rPr>
                <w:rFonts w:cstheme="minorHAnsi"/>
                <w:sz w:val="20"/>
                <w:lang w:bidi="sl-SI"/>
              </w:rPr>
              <w:t>0</w:t>
            </w:r>
            <w:r w:rsidRPr="00BD3536">
              <w:rPr>
                <w:rFonts w:cstheme="minorHAnsi"/>
                <w:sz w:val="20"/>
                <w:lang w:bidi="sl-SI"/>
              </w:rPr>
              <w:t>1</w:t>
            </w:r>
          </w:p>
        </w:tc>
        <w:tc>
          <w:tcPr>
            <w:tcW w:w="4253" w:type="dxa"/>
          </w:tcPr>
          <w:p w14:paraId="2271A059" w14:textId="77777777" w:rsidR="00DD13BF" w:rsidRPr="00BD3536" w:rsidRDefault="00DD13BF" w:rsidP="00355A56">
            <w:pPr>
              <w:pStyle w:val="TableParagraph"/>
              <w:rPr>
                <w:rFonts w:cstheme="minorHAnsi"/>
                <w:sz w:val="20"/>
              </w:rPr>
            </w:pPr>
            <w:r>
              <w:rPr>
                <w:rFonts w:cstheme="minorHAnsi"/>
                <w:sz w:val="20"/>
                <w:lang w:bidi="sl-SI"/>
              </w:rPr>
              <w:t xml:space="preserve">Enterprises supported (of which: micro, small, medium, large) </w:t>
            </w:r>
            <w:r w:rsidRPr="00C6579D">
              <w:rPr>
                <w:rFonts w:cstheme="minorHAnsi"/>
                <w:sz w:val="20"/>
                <w:lang w:bidi="sl-SI"/>
              </w:rPr>
              <w:t xml:space="preserve"> </w:t>
            </w:r>
          </w:p>
        </w:tc>
        <w:tc>
          <w:tcPr>
            <w:tcW w:w="1276" w:type="dxa"/>
          </w:tcPr>
          <w:p w14:paraId="7C212ED3" w14:textId="77777777" w:rsidR="00DD13BF" w:rsidRPr="00BD3536" w:rsidRDefault="00DD13BF" w:rsidP="00355A56">
            <w:pPr>
              <w:pStyle w:val="TableParagraph"/>
              <w:rPr>
                <w:rFonts w:cstheme="minorHAnsi"/>
                <w:sz w:val="20"/>
              </w:rPr>
            </w:pPr>
            <w:r>
              <w:rPr>
                <w:color w:val="000000"/>
                <w:sz w:val="20"/>
              </w:rPr>
              <w:t>enterprises</w:t>
            </w:r>
          </w:p>
        </w:tc>
        <w:tc>
          <w:tcPr>
            <w:tcW w:w="1417" w:type="dxa"/>
          </w:tcPr>
          <w:p w14:paraId="200E5335"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609AEA26" w14:textId="77777777" w:rsidR="00DD13BF" w:rsidRPr="00414A7F" w:rsidRDefault="00DD13BF" w:rsidP="00355A56">
            <w:pPr>
              <w:pStyle w:val="TableParagraph"/>
              <w:rPr>
                <w:rFonts w:cstheme="minorHAnsi"/>
                <w:sz w:val="20"/>
              </w:rPr>
            </w:pPr>
            <w:r>
              <w:rPr>
                <w:rFonts w:cstheme="minorHAnsi"/>
                <w:sz w:val="20"/>
              </w:rPr>
              <w:t>331</w:t>
            </w:r>
          </w:p>
        </w:tc>
      </w:tr>
      <w:tr w:rsidR="00DD13BF" w14:paraId="4AB069B9" w14:textId="77777777" w:rsidTr="00355A56">
        <w:trPr>
          <w:trHeight w:val="339"/>
        </w:trPr>
        <w:tc>
          <w:tcPr>
            <w:tcW w:w="1134" w:type="dxa"/>
          </w:tcPr>
          <w:p w14:paraId="02F88150"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12858094"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26A26F2F"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40901825" w14:textId="77777777" w:rsidR="00DD13BF" w:rsidRPr="00BD3536" w:rsidRDefault="00DD13BF" w:rsidP="00355A56">
            <w:pPr>
              <w:rPr>
                <w:rFonts w:cstheme="minorHAnsi"/>
                <w:sz w:val="20"/>
              </w:rPr>
            </w:pPr>
            <w:r>
              <w:rPr>
                <w:rFonts w:cstheme="minorHAnsi"/>
                <w:sz w:val="20"/>
              </w:rPr>
              <w:t xml:space="preserve">More developed </w:t>
            </w:r>
          </w:p>
        </w:tc>
        <w:tc>
          <w:tcPr>
            <w:tcW w:w="856" w:type="dxa"/>
          </w:tcPr>
          <w:p w14:paraId="72FB1483" w14:textId="77777777" w:rsidR="00DD13BF" w:rsidRPr="00BD3536" w:rsidRDefault="00DD13BF" w:rsidP="00355A56">
            <w:pPr>
              <w:pStyle w:val="TableParagraph"/>
              <w:rPr>
                <w:rFonts w:cstheme="minorHAnsi"/>
                <w:sz w:val="20"/>
              </w:rPr>
            </w:pPr>
            <w:r w:rsidRPr="00BD3536">
              <w:rPr>
                <w:rFonts w:cstheme="minorHAnsi"/>
                <w:sz w:val="20"/>
                <w:lang w:bidi="sl-SI"/>
              </w:rPr>
              <w:t>RCO</w:t>
            </w:r>
            <w:r>
              <w:rPr>
                <w:rFonts w:cstheme="minorHAnsi"/>
                <w:sz w:val="20"/>
                <w:lang w:bidi="sl-SI"/>
              </w:rPr>
              <w:t>0</w:t>
            </w:r>
            <w:r w:rsidRPr="00BD3536">
              <w:rPr>
                <w:rFonts w:cstheme="minorHAnsi"/>
                <w:sz w:val="20"/>
                <w:lang w:bidi="sl-SI"/>
              </w:rPr>
              <w:t>1</w:t>
            </w:r>
          </w:p>
        </w:tc>
        <w:tc>
          <w:tcPr>
            <w:tcW w:w="4253" w:type="dxa"/>
          </w:tcPr>
          <w:p w14:paraId="254ED3F6" w14:textId="77777777" w:rsidR="00DD13BF" w:rsidRPr="00BD3536" w:rsidRDefault="00DD13BF" w:rsidP="00355A56">
            <w:pPr>
              <w:pStyle w:val="TableParagraph"/>
              <w:rPr>
                <w:rFonts w:cstheme="minorHAnsi"/>
                <w:sz w:val="20"/>
              </w:rPr>
            </w:pPr>
            <w:r>
              <w:rPr>
                <w:rFonts w:cstheme="minorHAnsi"/>
                <w:sz w:val="20"/>
                <w:lang w:bidi="sl-SI"/>
              </w:rPr>
              <w:t xml:space="preserve">Enterprises supported (of which: micro, small, medium, large) </w:t>
            </w:r>
            <w:r w:rsidRPr="00C6579D">
              <w:rPr>
                <w:rFonts w:cstheme="minorHAnsi"/>
                <w:sz w:val="20"/>
                <w:lang w:bidi="sl-SI"/>
              </w:rPr>
              <w:t xml:space="preserve"> </w:t>
            </w:r>
          </w:p>
        </w:tc>
        <w:tc>
          <w:tcPr>
            <w:tcW w:w="1276" w:type="dxa"/>
          </w:tcPr>
          <w:p w14:paraId="5C264D45" w14:textId="77777777" w:rsidR="00DD13BF" w:rsidRPr="00BD3536" w:rsidRDefault="00DD13BF" w:rsidP="00355A56">
            <w:pPr>
              <w:pStyle w:val="TableParagraph"/>
              <w:rPr>
                <w:rFonts w:cstheme="minorHAnsi"/>
                <w:sz w:val="20"/>
              </w:rPr>
            </w:pPr>
            <w:r>
              <w:rPr>
                <w:color w:val="000000"/>
                <w:sz w:val="20"/>
              </w:rPr>
              <w:t>enterprises</w:t>
            </w:r>
          </w:p>
        </w:tc>
        <w:tc>
          <w:tcPr>
            <w:tcW w:w="1417" w:type="dxa"/>
          </w:tcPr>
          <w:p w14:paraId="446F4627"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7BE32A32" w14:textId="77777777" w:rsidR="00DD13BF" w:rsidRPr="00414A7F" w:rsidRDefault="00DD13BF" w:rsidP="00355A56">
            <w:pPr>
              <w:pStyle w:val="TableParagraph"/>
              <w:rPr>
                <w:rFonts w:cstheme="minorHAnsi"/>
                <w:sz w:val="20"/>
              </w:rPr>
            </w:pPr>
            <w:r>
              <w:rPr>
                <w:rFonts w:cstheme="minorHAnsi"/>
                <w:sz w:val="20"/>
              </w:rPr>
              <w:t>200</w:t>
            </w:r>
          </w:p>
          <w:p w14:paraId="54D6ACCF" w14:textId="77777777" w:rsidR="00DD13BF" w:rsidRPr="00414A7F" w:rsidRDefault="00DD13BF" w:rsidP="00355A56">
            <w:pPr>
              <w:pStyle w:val="TableParagraph"/>
              <w:rPr>
                <w:rFonts w:cstheme="minorHAnsi"/>
                <w:sz w:val="20"/>
              </w:rPr>
            </w:pPr>
          </w:p>
        </w:tc>
      </w:tr>
      <w:tr w:rsidR="00DD13BF" w14:paraId="6E53C96E" w14:textId="77777777" w:rsidTr="00355A56">
        <w:trPr>
          <w:trHeight w:val="339"/>
        </w:trPr>
        <w:tc>
          <w:tcPr>
            <w:tcW w:w="1134" w:type="dxa"/>
          </w:tcPr>
          <w:p w14:paraId="6CD4C6F4"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39E17C4C"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1A6A3A9D"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78576C0D" w14:textId="77777777" w:rsidR="00DD13BF" w:rsidRPr="00BD3536" w:rsidRDefault="00DD13BF" w:rsidP="00355A56">
            <w:pPr>
              <w:rPr>
                <w:rFonts w:cstheme="minorHAnsi"/>
                <w:sz w:val="20"/>
              </w:rPr>
            </w:pPr>
            <w:r>
              <w:rPr>
                <w:rFonts w:cstheme="minorHAnsi"/>
                <w:sz w:val="20"/>
              </w:rPr>
              <w:t xml:space="preserve">Less developed </w:t>
            </w:r>
          </w:p>
        </w:tc>
        <w:tc>
          <w:tcPr>
            <w:tcW w:w="856" w:type="dxa"/>
          </w:tcPr>
          <w:p w14:paraId="4CD938D1" w14:textId="77777777" w:rsidR="00DD13BF" w:rsidRPr="00BD3536" w:rsidRDefault="00DD13BF" w:rsidP="00355A56">
            <w:pPr>
              <w:pStyle w:val="TableParagraph"/>
              <w:rPr>
                <w:rFonts w:cstheme="minorHAnsi"/>
                <w:sz w:val="20"/>
                <w:lang w:bidi="sl-SI"/>
              </w:rPr>
            </w:pPr>
            <w:r w:rsidRPr="00BD3536">
              <w:rPr>
                <w:rFonts w:cstheme="minorHAnsi"/>
                <w:sz w:val="20"/>
                <w:lang w:bidi="sl-SI"/>
              </w:rPr>
              <w:t>RCO</w:t>
            </w:r>
            <w:r>
              <w:rPr>
                <w:rFonts w:cstheme="minorHAnsi"/>
                <w:sz w:val="20"/>
                <w:lang w:bidi="sl-SI"/>
              </w:rPr>
              <w:t>0</w:t>
            </w:r>
            <w:r w:rsidRPr="00BD3536">
              <w:rPr>
                <w:rFonts w:cstheme="minorHAnsi"/>
                <w:sz w:val="20"/>
                <w:lang w:bidi="sl-SI"/>
              </w:rPr>
              <w:t>2</w:t>
            </w:r>
          </w:p>
        </w:tc>
        <w:tc>
          <w:tcPr>
            <w:tcW w:w="4253" w:type="dxa"/>
          </w:tcPr>
          <w:p w14:paraId="44657AC6" w14:textId="77777777" w:rsidR="00DD13BF" w:rsidRPr="00BD3536" w:rsidRDefault="00DD13BF" w:rsidP="00355A56">
            <w:pPr>
              <w:pStyle w:val="TableParagraph"/>
              <w:rPr>
                <w:rFonts w:cstheme="minorHAnsi"/>
                <w:sz w:val="20"/>
                <w:lang w:bidi="sl-SI"/>
              </w:rPr>
            </w:pPr>
            <w:r>
              <w:rPr>
                <w:rFonts w:cstheme="minorHAnsi"/>
                <w:sz w:val="20"/>
                <w:lang w:bidi="sl-SI"/>
              </w:rPr>
              <w:t xml:space="preserve">Enterprises supported by grants </w:t>
            </w:r>
          </w:p>
        </w:tc>
        <w:tc>
          <w:tcPr>
            <w:tcW w:w="1276" w:type="dxa"/>
          </w:tcPr>
          <w:p w14:paraId="0423D766" w14:textId="77777777" w:rsidR="00DD13BF" w:rsidRPr="00BD3536" w:rsidRDefault="00DD13BF" w:rsidP="00355A56">
            <w:pPr>
              <w:pStyle w:val="TableParagraph"/>
              <w:rPr>
                <w:rFonts w:cstheme="minorHAnsi"/>
                <w:sz w:val="20"/>
                <w:lang w:bidi="sl-SI"/>
              </w:rPr>
            </w:pPr>
            <w:r>
              <w:rPr>
                <w:color w:val="000000"/>
                <w:sz w:val="20"/>
              </w:rPr>
              <w:t>enterprises</w:t>
            </w:r>
          </w:p>
        </w:tc>
        <w:tc>
          <w:tcPr>
            <w:tcW w:w="1417" w:type="dxa"/>
          </w:tcPr>
          <w:p w14:paraId="6E0B12E2"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39E05619" w14:textId="77777777" w:rsidR="00DD13BF" w:rsidRPr="00414A7F" w:rsidRDefault="00DD13BF" w:rsidP="00355A56">
            <w:pPr>
              <w:pStyle w:val="TableParagraph"/>
              <w:rPr>
                <w:rFonts w:cstheme="minorHAnsi"/>
                <w:sz w:val="20"/>
              </w:rPr>
            </w:pPr>
            <w:r>
              <w:rPr>
                <w:rFonts w:cstheme="minorHAnsi"/>
                <w:sz w:val="20"/>
              </w:rPr>
              <w:t>297</w:t>
            </w:r>
          </w:p>
        </w:tc>
      </w:tr>
      <w:tr w:rsidR="00DD13BF" w14:paraId="22C7AC20" w14:textId="77777777" w:rsidTr="00355A56">
        <w:trPr>
          <w:trHeight w:val="339"/>
        </w:trPr>
        <w:tc>
          <w:tcPr>
            <w:tcW w:w="1134" w:type="dxa"/>
          </w:tcPr>
          <w:p w14:paraId="1F6384B0"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47E61400"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609A2974"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15351EBC" w14:textId="77777777" w:rsidR="00DD13BF" w:rsidRPr="00BD3536" w:rsidRDefault="00DD13BF" w:rsidP="00355A56">
            <w:pPr>
              <w:rPr>
                <w:rFonts w:cstheme="minorHAnsi"/>
                <w:sz w:val="20"/>
              </w:rPr>
            </w:pPr>
            <w:r>
              <w:rPr>
                <w:rFonts w:cstheme="minorHAnsi"/>
                <w:sz w:val="20"/>
              </w:rPr>
              <w:t xml:space="preserve">More developed </w:t>
            </w:r>
          </w:p>
        </w:tc>
        <w:tc>
          <w:tcPr>
            <w:tcW w:w="856" w:type="dxa"/>
          </w:tcPr>
          <w:p w14:paraId="31E8D2BD" w14:textId="77777777" w:rsidR="00DD13BF" w:rsidRPr="00BD3536" w:rsidRDefault="00DD13BF" w:rsidP="00355A56">
            <w:pPr>
              <w:pStyle w:val="TableParagraph"/>
              <w:rPr>
                <w:rFonts w:cstheme="minorHAnsi"/>
                <w:sz w:val="20"/>
                <w:lang w:bidi="sl-SI"/>
              </w:rPr>
            </w:pPr>
            <w:r w:rsidRPr="00BD3536">
              <w:rPr>
                <w:rFonts w:cstheme="minorHAnsi"/>
                <w:sz w:val="20"/>
                <w:lang w:bidi="sl-SI"/>
              </w:rPr>
              <w:t>RCO</w:t>
            </w:r>
            <w:r>
              <w:rPr>
                <w:rFonts w:cstheme="minorHAnsi"/>
                <w:sz w:val="20"/>
                <w:lang w:bidi="sl-SI"/>
              </w:rPr>
              <w:t>0</w:t>
            </w:r>
            <w:r w:rsidRPr="00BD3536">
              <w:rPr>
                <w:rFonts w:cstheme="minorHAnsi"/>
                <w:sz w:val="20"/>
                <w:lang w:bidi="sl-SI"/>
              </w:rPr>
              <w:t>2</w:t>
            </w:r>
          </w:p>
        </w:tc>
        <w:tc>
          <w:tcPr>
            <w:tcW w:w="4253" w:type="dxa"/>
          </w:tcPr>
          <w:p w14:paraId="4BE9583A" w14:textId="77777777" w:rsidR="00DD13BF" w:rsidRPr="00BD3536" w:rsidRDefault="00DD13BF" w:rsidP="00355A56">
            <w:pPr>
              <w:pStyle w:val="TableParagraph"/>
              <w:rPr>
                <w:rFonts w:cstheme="minorHAnsi"/>
                <w:sz w:val="20"/>
                <w:lang w:bidi="sl-SI"/>
              </w:rPr>
            </w:pPr>
            <w:r>
              <w:rPr>
                <w:rFonts w:cstheme="minorHAnsi"/>
                <w:sz w:val="20"/>
                <w:lang w:bidi="sl-SI"/>
              </w:rPr>
              <w:t>Enterprises supported by grants</w:t>
            </w:r>
          </w:p>
        </w:tc>
        <w:tc>
          <w:tcPr>
            <w:tcW w:w="1276" w:type="dxa"/>
          </w:tcPr>
          <w:p w14:paraId="51EA926B" w14:textId="77777777" w:rsidR="00DD13BF" w:rsidRPr="00BD3536" w:rsidRDefault="00DD13BF" w:rsidP="00355A56">
            <w:pPr>
              <w:pStyle w:val="TableParagraph"/>
              <w:rPr>
                <w:rFonts w:cstheme="minorHAnsi"/>
                <w:sz w:val="20"/>
                <w:lang w:bidi="sl-SI"/>
              </w:rPr>
            </w:pPr>
            <w:r>
              <w:rPr>
                <w:color w:val="000000"/>
                <w:sz w:val="20"/>
              </w:rPr>
              <w:t>enterprises</w:t>
            </w:r>
          </w:p>
        </w:tc>
        <w:tc>
          <w:tcPr>
            <w:tcW w:w="1417" w:type="dxa"/>
          </w:tcPr>
          <w:p w14:paraId="2EFFFB8C"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2D61FA2F" w14:textId="77777777" w:rsidR="00DD13BF" w:rsidRPr="00414A7F" w:rsidRDefault="00DD13BF" w:rsidP="00355A56">
            <w:pPr>
              <w:pStyle w:val="TableParagraph"/>
              <w:rPr>
                <w:rFonts w:cstheme="minorHAnsi"/>
                <w:sz w:val="20"/>
              </w:rPr>
            </w:pPr>
            <w:r w:rsidRPr="00414A7F">
              <w:rPr>
                <w:rFonts w:cstheme="minorHAnsi"/>
                <w:sz w:val="20"/>
              </w:rPr>
              <w:t>1</w:t>
            </w:r>
            <w:r>
              <w:rPr>
                <w:rFonts w:cstheme="minorHAnsi"/>
                <w:sz w:val="20"/>
              </w:rPr>
              <w:t>86</w:t>
            </w:r>
          </w:p>
        </w:tc>
      </w:tr>
      <w:tr w:rsidR="00DD13BF" w14:paraId="4FA1A0D6" w14:textId="77777777" w:rsidTr="00355A56">
        <w:trPr>
          <w:trHeight w:val="339"/>
        </w:trPr>
        <w:tc>
          <w:tcPr>
            <w:tcW w:w="1134" w:type="dxa"/>
          </w:tcPr>
          <w:p w14:paraId="6123134D" w14:textId="77777777" w:rsidR="00DD13BF" w:rsidRDefault="00DD13BF" w:rsidP="00355A56">
            <w:pPr>
              <w:pStyle w:val="TableParagraph"/>
              <w:rPr>
                <w:rFonts w:cstheme="minorHAnsi"/>
                <w:sz w:val="20"/>
              </w:rPr>
            </w:pPr>
            <w:r>
              <w:rPr>
                <w:rFonts w:cstheme="minorHAnsi"/>
                <w:sz w:val="20"/>
              </w:rPr>
              <w:t>1</w:t>
            </w:r>
          </w:p>
        </w:tc>
        <w:tc>
          <w:tcPr>
            <w:tcW w:w="1414" w:type="dxa"/>
          </w:tcPr>
          <w:p w14:paraId="19A85C59" w14:textId="77777777" w:rsidR="00DD13BF" w:rsidRPr="00554125" w:rsidRDefault="00DD13BF" w:rsidP="00355A56">
            <w:pPr>
              <w:pStyle w:val="TableParagraph"/>
              <w:rPr>
                <w:rFonts w:cstheme="minorHAnsi"/>
                <w:sz w:val="20"/>
              </w:rPr>
            </w:pPr>
            <w:r w:rsidRPr="00554125">
              <w:rPr>
                <w:rFonts w:cstheme="minorHAnsi"/>
                <w:sz w:val="20"/>
              </w:rPr>
              <w:t>RSO1.1</w:t>
            </w:r>
          </w:p>
        </w:tc>
        <w:tc>
          <w:tcPr>
            <w:tcW w:w="712" w:type="dxa"/>
          </w:tcPr>
          <w:p w14:paraId="6AEB80F8"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67BFA499" w14:textId="77777777" w:rsidR="00DD13BF" w:rsidRDefault="00DD13BF" w:rsidP="00355A56">
            <w:pPr>
              <w:rPr>
                <w:rFonts w:cstheme="minorHAnsi"/>
                <w:sz w:val="20"/>
              </w:rPr>
            </w:pPr>
            <w:r>
              <w:rPr>
                <w:rFonts w:cstheme="minorHAnsi"/>
                <w:sz w:val="20"/>
              </w:rPr>
              <w:t xml:space="preserve">Less developed </w:t>
            </w:r>
          </w:p>
        </w:tc>
        <w:tc>
          <w:tcPr>
            <w:tcW w:w="856" w:type="dxa"/>
          </w:tcPr>
          <w:p w14:paraId="3E1A812F" w14:textId="77777777" w:rsidR="00DD13BF" w:rsidRPr="00BD3536" w:rsidRDefault="00DD13BF" w:rsidP="00355A56">
            <w:pPr>
              <w:pStyle w:val="TableParagraph"/>
              <w:rPr>
                <w:rFonts w:cstheme="minorHAnsi"/>
                <w:sz w:val="20"/>
                <w:lang w:bidi="sl-SI"/>
              </w:rPr>
            </w:pPr>
            <w:r w:rsidRPr="00BD3536">
              <w:rPr>
                <w:rFonts w:cstheme="minorHAnsi"/>
                <w:sz w:val="20"/>
                <w:lang w:bidi="sl-SI"/>
              </w:rPr>
              <w:t>RCO</w:t>
            </w:r>
            <w:r>
              <w:rPr>
                <w:rFonts w:cstheme="minorHAnsi"/>
                <w:sz w:val="20"/>
                <w:lang w:bidi="sl-SI"/>
              </w:rPr>
              <w:t>03</w:t>
            </w:r>
          </w:p>
        </w:tc>
        <w:tc>
          <w:tcPr>
            <w:tcW w:w="4253" w:type="dxa"/>
          </w:tcPr>
          <w:p w14:paraId="19DACEBB" w14:textId="77777777" w:rsidR="00DD13BF" w:rsidRDefault="00DD13BF" w:rsidP="00355A56">
            <w:pPr>
              <w:pStyle w:val="TableParagraph"/>
              <w:rPr>
                <w:color w:val="000000"/>
                <w:sz w:val="20"/>
              </w:rPr>
            </w:pPr>
            <w:r>
              <w:rPr>
                <w:rFonts w:cstheme="minorHAnsi"/>
                <w:sz w:val="20"/>
                <w:lang w:bidi="sl-SI"/>
              </w:rPr>
              <w:t>Enterprises supported by financial instruments</w:t>
            </w:r>
          </w:p>
        </w:tc>
        <w:tc>
          <w:tcPr>
            <w:tcW w:w="1276" w:type="dxa"/>
          </w:tcPr>
          <w:p w14:paraId="7A398990" w14:textId="77777777" w:rsidR="00DD13BF" w:rsidRPr="00FE790D" w:rsidRDefault="00DD13BF" w:rsidP="00355A56">
            <w:pPr>
              <w:pStyle w:val="TableParagraph"/>
              <w:rPr>
                <w:color w:val="000000"/>
                <w:sz w:val="20"/>
              </w:rPr>
            </w:pPr>
            <w:r>
              <w:rPr>
                <w:color w:val="000000"/>
                <w:sz w:val="20"/>
              </w:rPr>
              <w:t>enterprises</w:t>
            </w:r>
          </w:p>
        </w:tc>
        <w:tc>
          <w:tcPr>
            <w:tcW w:w="1417" w:type="dxa"/>
          </w:tcPr>
          <w:p w14:paraId="0C5F4AE8" w14:textId="77777777" w:rsidR="00DD13BF" w:rsidRDefault="00DD13BF" w:rsidP="00355A56">
            <w:pPr>
              <w:pStyle w:val="TableParagraph"/>
              <w:rPr>
                <w:rFonts w:cstheme="minorHAnsi"/>
                <w:sz w:val="20"/>
              </w:rPr>
            </w:pPr>
            <w:r>
              <w:rPr>
                <w:rFonts w:cstheme="minorHAnsi"/>
                <w:sz w:val="20"/>
              </w:rPr>
              <w:t>0</w:t>
            </w:r>
          </w:p>
        </w:tc>
        <w:tc>
          <w:tcPr>
            <w:tcW w:w="996" w:type="dxa"/>
          </w:tcPr>
          <w:p w14:paraId="3EC967D8" w14:textId="77777777" w:rsidR="00DD13BF" w:rsidRPr="00414A7F" w:rsidRDefault="00DD13BF" w:rsidP="00355A56">
            <w:pPr>
              <w:pStyle w:val="TableParagraph"/>
              <w:rPr>
                <w:rFonts w:cstheme="minorHAnsi"/>
                <w:sz w:val="20"/>
              </w:rPr>
            </w:pPr>
            <w:r>
              <w:rPr>
                <w:rFonts w:cstheme="minorHAnsi"/>
                <w:sz w:val="20"/>
              </w:rPr>
              <w:t>34</w:t>
            </w:r>
          </w:p>
        </w:tc>
      </w:tr>
      <w:tr w:rsidR="00DD13BF" w14:paraId="563CCA09" w14:textId="77777777" w:rsidTr="00355A56">
        <w:trPr>
          <w:trHeight w:val="339"/>
        </w:trPr>
        <w:tc>
          <w:tcPr>
            <w:tcW w:w="1134" w:type="dxa"/>
          </w:tcPr>
          <w:p w14:paraId="06A403A5" w14:textId="77777777" w:rsidR="00DD13BF" w:rsidRDefault="00DD13BF" w:rsidP="00355A56">
            <w:pPr>
              <w:pStyle w:val="TableParagraph"/>
              <w:rPr>
                <w:rFonts w:cstheme="minorHAnsi"/>
                <w:sz w:val="20"/>
              </w:rPr>
            </w:pPr>
            <w:r>
              <w:rPr>
                <w:rFonts w:cstheme="minorHAnsi"/>
                <w:sz w:val="20"/>
              </w:rPr>
              <w:t>1</w:t>
            </w:r>
          </w:p>
        </w:tc>
        <w:tc>
          <w:tcPr>
            <w:tcW w:w="1414" w:type="dxa"/>
          </w:tcPr>
          <w:p w14:paraId="5D2C7282" w14:textId="77777777" w:rsidR="00DD13BF" w:rsidRPr="00554125" w:rsidRDefault="00DD13BF" w:rsidP="00355A56">
            <w:pPr>
              <w:pStyle w:val="TableParagraph"/>
              <w:rPr>
                <w:rFonts w:cstheme="minorHAnsi"/>
                <w:sz w:val="20"/>
              </w:rPr>
            </w:pPr>
            <w:r w:rsidRPr="00554125">
              <w:rPr>
                <w:rFonts w:cstheme="minorHAnsi"/>
                <w:sz w:val="20"/>
              </w:rPr>
              <w:t>RSO1.1</w:t>
            </w:r>
          </w:p>
        </w:tc>
        <w:tc>
          <w:tcPr>
            <w:tcW w:w="712" w:type="dxa"/>
          </w:tcPr>
          <w:p w14:paraId="0D31CD75"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4AA3A804" w14:textId="77777777" w:rsidR="00DD13BF" w:rsidRDefault="00DD13BF" w:rsidP="00355A56">
            <w:pPr>
              <w:rPr>
                <w:rFonts w:cstheme="minorHAnsi"/>
                <w:sz w:val="20"/>
              </w:rPr>
            </w:pPr>
            <w:r>
              <w:rPr>
                <w:rFonts w:cstheme="minorHAnsi"/>
                <w:sz w:val="20"/>
              </w:rPr>
              <w:t xml:space="preserve">More developed </w:t>
            </w:r>
          </w:p>
        </w:tc>
        <w:tc>
          <w:tcPr>
            <w:tcW w:w="856" w:type="dxa"/>
          </w:tcPr>
          <w:p w14:paraId="0371893C" w14:textId="77777777" w:rsidR="00DD13BF" w:rsidRPr="00BD3536" w:rsidRDefault="00DD13BF" w:rsidP="00355A56">
            <w:pPr>
              <w:pStyle w:val="TableParagraph"/>
              <w:rPr>
                <w:rFonts w:cstheme="minorHAnsi"/>
                <w:sz w:val="20"/>
                <w:lang w:bidi="sl-SI"/>
              </w:rPr>
            </w:pPr>
            <w:r w:rsidRPr="00BD3536">
              <w:rPr>
                <w:rFonts w:cstheme="minorHAnsi"/>
                <w:sz w:val="20"/>
                <w:lang w:bidi="sl-SI"/>
              </w:rPr>
              <w:t>RCO</w:t>
            </w:r>
            <w:r>
              <w:rPr>
                <w:rFonts w:cstheme="minorHAnsi"/>
                <w:sz w:val="20"/>
                <w:lang w:bidi="sl-SI"/>
              </w:rPr>
              <w:t>03</w:t>
            </w:r>
          </w:p>
        </w:tc>
        <w:tc>
          <w:tcPr>
            <w:tcW w:w="4253" w:type="dxa"/>
          </w:tcPr>
          <w:p w14:paraId="35AA65DD" w14:textId="77777777" w:rsidR="00DD13BF" w:rsidRDefault="00DD13BF" w:rsidP="00355A56">
            <w:pPr>
              <w:pStyle w:val="TableParagraph"/>
              <w:rPr>
                <w:color w:val="000000"/>
                <w:sz w:val="20"/>
              </w:rPr>
            </w:pPr>
            <w:r>
              <w:rPr>
                <w:rFonts w:cstheme="minorHAnsi"/>
                <w:sz w:val="20"/>
                <w:lang w:bidi="sl-SI"/>
              </w:rPr>
              <w:t>Enterprises supported by financial instruments</w:t>
            </w:r>
          </w:p>
        </w:tc>
        <w:tc>
          <w:tcPr>
            <w:tcW w:w="1276" w:type="dxa"/>
          </w:tcPr>
          <w:p w14:paraId="6512A96C" w14:textId="77777777" w:rsidR="00DD13BF" w:rsidRPr="00FE790D" w:rsidRDefault="00DD13BF" w:rsidP="00355A56">
            <w:pPr>
              <w:pStyle w:val="TableParagraph"/>
              <w:rPr>
                <w:color w:val="000000"/>
                <w:sz w:val="20"/>
              </w:rPr>
            </w:pPr>
            <w:r>
              <w:rPr>
                <w:color w:val="000000"/>
                <w:sz w:val="20"/>
              </w:rPr>
              <w:t>enterprises</w:t>
            </w:r>
          </w:p>
        </w:tc>
        <w:tc>
          <w:tcPr>
            <w:tcW w:w="1417" w:type="dxa"/>
          </w:tcPr>
          <w:p w14:paraId="17FA81C8" w14:textId="77777777" w:rsidR="00DD13BF" w:rsidRDefault="00DD13BF" w:rsidP="00355A56">
            <w:pPr>
              <w:pStyle w:val="TableParagraph"/>
              <w:rPr>
                <w:rFonts w:cstheme="minorHAnsi"/>
                <w:sz w:val="20"/>
              </w:rPr>
            </w:pPr>
            <w:r>
              <w:rPr>
                <w:rFonts w:cstheme="minorHAnsi"/>
                <w:sz w:val="20"/>
              </w:rPr>
              <w:t>0</w:t>
            </w:r>
          </w:p>
        </w:tc>
        <w:tc>
          <w:tcPr>
            <w:tcW w:w="996" w:type="dxa"/>
          </w:tcPr>
          <w:p w14:paraId="00519E91" w14:textId="77777777" w:rsidR="00DD13BF" w:rsidRPr="00414A7F" w:rsidRDefault="00DD13BF" w:rsidP="00355A56">
            <w:pPr>
              <w:pStyle w:val="TableParagraph"/>
              <w:rPr>
                <w:rFonts w:cstheme="minorHAnsi"/>
                <w:sz w:val="20"/>
              </w:rPr>
            </w:pPr>
            <w:r>
              <w:rPr>
                <w:rFonts w:cstheme="minorHAnsi"/>
                <w:sz w:val="20"/>
              </w:rPr>
              <w:t>14</w:t>
            </w:r>
          </w:p>
        </w:tc>
      </w:tr>
      <w:tr w:rsidR="00DD13BF" w14:paraId="00197541" w14:textId="77777777" w:rsidTr="00355A56">
        <w:trPr>
          <w:trHeight w:val="339"/>
        </w:trPr>
        <w:tc>
          <w:tcPr>
            <w:tcW w:w="1134" w:type="dxa"/>
          </w:tcPr>
          <w:p w14:paraId="751F9F4C" w14:textId="77777777" w:rsidR="00DD13BF" w:rsidRDefault="00DD13BF" w:rsidP="00355A56">
            <w:pPr>
              <w:pStyle w:val="TableParagraph"/>
              <w:rPr>
                <w:rFonts w:cstheme="minorHAnsi"/>
                <w:sz w:val="20"/>
              </w:rPr>
            </w:pPr>
            <w:r>
              <w:rPr>
                <w:rFonts w:cstheme="minorHAnsi"/>
                <w:sz w:val="20"/>
              </w:rPr>
              <w:t>1</w:t>
            </w:r>
          </w:p>
        </w:tc>
        <w:tc>
          <w:tcPr>
            <w:tcW w:w="1414" w:type="dxa"/>
          </w:tcPr>
          <w:p w14:paraId="592F21A4" w14:textId="77777777" w:rsidR="00DD13BF" w:rsidRPr="00D72814" w:rsidRDefault="00DD13BF" w:rsidP="00355A56">
            <w:pPr>
              <w:pStyle w:val="TableParagraph"/>
              <w:rPr>
                <w:rFonts w:cstheme="minorHAnsi"/>
                <w:sz w:val="20"/>
              </w:rPr>
            </w:pPr>
            <w:r w:rsidRPr="00554125">
              <w:rPr>
                <w:rFonts w:cstheme="minorHAnsi"/>
                <w:sz w:val="20"/>
              </w:rPr>
              <w:t>RSO1.1</w:t>
            </w:r>
          </w:p>
        </w:tc>
        <w:tc>
          <w:tcPr>
            <w:tcW w:w="712" w:type="dxa"/>
          </w:tcPr>
          <w:p w14:paraId="002A7450"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77BCCB78" w14:textId="77777777" w:rsidR="00DD13BF" w:rsidRPr="00BD3536" w:rsidRDefault="00DD13BF" w:rsidP="00355A56">
            <w:pPr>
              <w:rPr>
                <w:rFonts w:cstheme="minorHAnsi"/>
                <w:sz w:val="20"/>
              </w:rPr>
            </w:pPr>
            <w:r>
              <w:rPr>
                <w:rFonts w:cstheme="minorHAnsi"/>
                <w:sz w:val="20"/>
              </w:rPr>
              <w:t xml:space="preserve">Less developed </w:t>
            </w:r>
          </w:p>
        </w:tc>
        <w:tc>
          <w:tcPr>
            <w:tcW w:w="856" w:type="dxa"/>
          </w:tcPr>
          <w:p w14:paraId="20D6B375" w14:textId="77777777" w:rsidR="00DD13BF" w:rsidRPr="00BD3536" w:rsidRDefault="00DD13BF" w:rsidP="00355A56">
            <w:pPr>
              <w:pStyle w:val="TableParagraph"/>
              <w:rPr>
                <w:rFonts w:cstheme="minorHAnsi"/>
                <w:sz w:val="20"/>
              </w:rPr>
            </w:pPr>
            <w:r>
              <w:rPr>
                <w:rFonts w:cstheme="minorHAnsi"/>
                <w:sz w:val="20"/>
              </w:rPr>
              <w:t>RCO06</w:t>
            </w:r>
          </w:p>
        </w:tc>
        <w:tc>
          <w:tcPr>
            <w:tcW w:w="4253" w:type="dxa"/>
          </w:tcPr>
          <w:p w14:paraId="67AF50EA" w14:textId="77777777" w:rsidR="00DD13BF" w:rsidRPr="00BD3536" w:rsidRDefault="00DD13BF" w:rsidP="00355A56">
            <w:pPr>
              <w:pStyle w:val="TableParagraph"/>
              <w:rPr>
                <w:rFonts w:cstheme="minorHAnsi"/>
                <w:sz w:val="20"/>
              </w:rPr>
            </w:pPr>
            <w:r>
              <w:rPr>
                <w:rFonts w:cstheme="minorHAnsi"/>
                <w:sz w:val="20"/>
              </w:rPr>
              <w:t xml:space="preserve">Researchers working in supported research facilities </w:t>
            </w:r>
          </w:p>
        </w:tc>
        <w:tc>
          <w:tcPr>
            <w:tcW w:w="1276" w:type="dxa"/>
          </w:tcPr>
          <w:p w14:paraId="4BC010CD" w14:textId="77777777" w:rsidR="00DD13BF" w:rsidRPr="00BD3536" w:rsidRDefault="00DD13BF" w:rsidP="00355A56">
            <w:pPr>
              <w:pStyle w:val="TableParagraph"/>
              <w:rPr>
                <w:rFonts w:cstheme="minorHAnsi"/>
                <w:sz w:val="20"/>
              </w:rPr>
            </w:pPr>
            <w:r>
              <w:rPr>
                <w:color w:val="000000"/>
                <w:sz w:val="20"/>
              </w:rPr>
              <w:t>annual FTEs</w:t>
            </w:r>
          </w:p>
        </w:tc>
        <w:tc>
          <w:tcPr>
            <w:tcW w:w="1417" w:type="dxa"/>
          </w:tcPr>
          <w:p w14:paraId="2251629D"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2740E838" w14:textId="77777777" w:rsidR="00DD13BF" w:rsidRPr="00414A7F" w:rsidRDefault="00DD13BF" w:rsidP="00355A56">
            <w:pPr>
              <w:pStyle w:val="TableParagraph"/>
              <w:rPr>
                <w:rFonts w:cstheme="minorHAnsi"/>
                <w:sz w:val="20"/>
              </w:rPr>
            </w:pPr>
            <w:r>
              <w:rPr>
                <w:rFonts w:cstheme="minorHAnsi"/>
                <w:sz w:val="20"/>
              </w:rPr>
              <w:t>169</w:t>
            </w:r>
          </w:p>
        </w:tc>
      </w:tr>
      <w:tr w:rsidR="00DD13BF" w14:paraId="6E56BACE" w14:textId="77777777" w:rsidTr="00355A56">
        <w:trPr>
          <w:trHeight w:val="339"/>
        </w:trPr>
        <w:tc>
          <w:tcPr>
            <w:tcW w:w="1134" w:type="dxa"/>
          </w:tcPr>
          <w:p w14:paraId="6BB3E7F9" w14:textId="77777777" w:rsidR="00DD13BF" w:rsidRDefault="00DD13BF" w:rsidP="00355A56">
            <w:pPr>
              <w:pStyle w:val="TableParagraph"/>
              <w:rPr>
                <w:rFonts w:cstheme="minorHAnsi"/>
                <w:sz w:val="20"/>
              </w:rPr>
            </w:pPr>
            <w:r>
              <w:rPr>
                <w:rFonts w:cstheme="minorHAnsi"/>
                <w:sz w:val="20"/>
              </w:rPr>
              <w:t>1</w:t>
            </w:r>
          </w:p>
        </w:tc>
        <w:tc>
          <w:tcPr>
            <w:tcW w:w="1414" w:type="dxa"/>
          </w:tcPr>
          <w:p w14:paraId="6FD71F7C" w14:textId="77777777" w:rsidR="00DD13BF" w:rsidRPr="00D72814" w:rsidRDefault="00DD13BF" w:rsidP="00355A56">
            <w:pPr>
              <w:pStyle w:val="TableParagraph"/>
              <w:rPr>
                <w:rFonts w:cstheme="minorHAnsi"/>
                <w:sz w:val="20"/>
              </w:rPr>
            </w:pPr>
            <w:r w:rsidRPr="00554125">
              <w:rPr>
                <w:rFonts w:cstheme="minorHAnsi"/>
                <w:sz w:val="20"/>
              </w:rPr>
              <w:t>RSO1.1</w:t>
            </w:r>
          </w:p>
        </w:tc>
        <w:tc>
          <w:tcPr>
            <w:tcW w:w="712" w:type="dxa"/>
          </w:tcPr>
          <w:p w14:paraId="2ADFD268"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6797AB15" w14:textId="77777777" w:rsidR="00DD13BF" w:rsidRPr="00BD3536" w:rsidRDefault="00DD13BF" w:rsidP="00355A56">
            <w:pPr>
              <w:rPr>
                <w:rFonts w:cstheme="minorHAnsi"/>
                <w:sz w:val="20"/>
              </w:rPr>
            </w:pPr>
            <w:r>
              <w:rPr>
                <w:rFonts w:cstheme="minorHAnsi"/>
                <w:sz w:val="20"/>
              </w:rPr>
              <w:t xml:space="preserve">More developed </w:t>
            </w:r>
          </w:p>
        </w:tc>
        <w:tc>
          <w:tcPr>
            <w:tcW w:w="856" w:type="dxa"/>
          </w:tcPr>
          <w:p w14:paraId="408B3386" w14:textId="77777777" w:rsidR="00DD13BF" w:rsidRPr="00BD3536" w:rsidRDefault="00DD13BF" w:rsidP="00355A56">
            <w:pPr>
              <w:pStyle w:val="TableParagraph"/>
              <w:rPr>
                <w:rFonts w:cstheme="minorHAnsi"/>
                <w:sz w:val="20"/>
              </w:rPr>
            </w:pPr>
            <w:r>
              <w:rPr>
                <w:rFonts w:cstheme="minorHAnsi"/>
                <w:sz w:val="20"/>
              </w:rPr>
              <w:t>RCO06</w:t>
            </w:r>
          </w:p>
        </w:tc>
        <w:tc>
          <w:tcPr>
            <w:tcW w:w="4253" w:type="dxa"/>
          </w:tcPr>
          <w:p w14:paraId="37446EED" w14:textId="77777777" w:rsidR="00DD13BF" w:rsidRPr="00BD3536" w:rsidRDefault="00DD13BF" w:rsidP="00355A56">
            <w:pPr>
              <w:pStyle w:val="TableParagraph"/>
              <w:rPr>
                <w:rFonts w:cstheme="minorHAnsi"/>
                <w:sz w:val="20"/>
              </w:rPr>
            </w:pPr>
            <w:r>
              <w:rPr>
                <w:rFonts w:cstheme="minorHAnsi"/>
                <w:sz w:val="20"/>
              </w:rPr>
              <w:t>Researchers working in supported research facilities</w:t>
            </w:r>
          </w:p>
        </w:tc>
        <w:tc>
          <w:tcPr>
            <w:tcW w:w="1276" w:type="dxa"/>
          </w:tcPr>
          <w:p w14:paraId="57604C5E" w14:textId="77777777" w:rsidR="00DD13BF" w:rsidRPr="00BD3536" w:rsidRDefault="00DD13BF" w:rsidP="00355A56">
            <w:pPr>
              <w:pStyle w:val="TableParagraph"/>
              <w:rPr>
                <w:rFonts w:cstheme="minorHAnsi"/>
                <w:sz w:val="20"/>
              </w:rPr>
            </w:pPr>
            <w:r>
              <w:rPr>
                <w:color w:val="000000"/>
                <w:sz w:val="20"/>
              </w:rPr>
              <w:t>annual FTEs</w:t>
            </w:r>
          </w:p>
        </w:tc>
        <w:tc>
          <w:tcPr>
            <w:tcW w:w="1417" w:type="dxa"/>
          </w:tcPr>
          <w:p w14:paraId="245E9CEC" w14:textId="77777777" w:rsidR="00DD13BF" w:rsidRPr="00BD3536" w:rsidRDefault="00DD13BF" w:rsidP="00355A56">
            <w:pPr>
              <w:pStyle w:val="TableParagraph"/>
              <w:rPr>
                <w:rFonts w:cstheme="minorHAnsi"/>
                <w:sz w:val="20"/>
              </w:rPr>
            </w:pPr>
            <w:r>
              <w:rPr>
                <w:rFonts w:cstheme="minorHAnsi"/>
                <w:sz w:val="20"/>
              </w:rPr>
              <w:t>0</w:t>
            </w:r>
          </w:p>
        </w:tc>
        <w:tc>
          <w:tcPr>
            <w:tcW w:w="996" w:type="dxa"/>
          </w:tcPr>
          <w:p w14:paraId="5CB6DD5A" w14:textId="77777777" w:rsidR="00DD13BF" w:rsidRPr="00414A7F" w:rsidRDefault="00DD13BF" w:rsidP="00355A56">
            <w:pPr>
              <w:pStyle w:val="TableParagraph"/>
              <w:rPr>
                <w:rFonts w:cstheme="minorHAnsi"/>
                <w:sz w:val="20"/>
              </w:rPr>
            </w:pPr>
            <w:r>
              <w:rPr>
                <w:rFonts w:cstheme="minorHAnsi"/>
                <w:sz w:val="20"/>
              </w:rPr>
              <w:t>118</w:t>
            </w:r>
          </w:p>
        </w:tc>
      </w:tr>
      <w:tr w:rsidR="00DD13BF" w14:paraId="63D79F2B" w14:textId="77777777" w:rsidTr="00355A56">
        <w:trPr>
          <w:trHeight w:val="339"/>
        </w:trPr>
        <w:tc>
          <w:tcPr>
            <w:tcW w:w="1134" w:type="dxa"/>
          </w:tcPr>
          <w:p w14:paraId="10496D5F"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6BF584CA"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44F42AD3"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661BBACA" w14:textId="77777777" w:rsidR="00DD13BF" w:rsidRPr="00BD3536" w:rsidRDefault="00DD13BF" w:rsidP="00355A56">
            <w:pPr>
              <w:rPr>
                <w:rFonts w:cstheme="minorHAnsi"/>
                <w:sz w:val="20"/>
              </w:rPr>
            </w:pPr>
            <w:r>
              <w:rPr>
                <w:rFonts w:cstheme="minorHAnsi"/>
                <w:sz w:val="20"/>
              </w:rPr>
              <w:t xml:space="preserve">Less developed </w:t>
            </w:r>
          </w:p>
        </w:tc>
        <w:tc>
          <w:tcPr>
            <w:tcW w:w="856" w:type="dxa"/>
          </w:tcPr>
          <w:p w14:paraId="50D9C4ED" w14:textId="77777777" w:rsidR="00DD13BF" w:rsidRPr="00BD3536" w:rsidRDefault="00DD13BF" w:rsidP="00355A56">
            <w:pPr>
              <w:pStyle w:val="TableParagraph"/>
              <w:rPr>
                <w:rFonts w:cstheme="minorHAnsi"/>
                <w:sz w:val="20"/>
                <w:lang w:bidi="sl-SI"/>
              </w:rPr>
            </w:pPr>
            <w:r w:rsidRPr="00BD3536">
              <w:rPr>
                <w:rFonts w:cstheme="minorHAnsi"/>
                <w:sz w:val="20"/>
              </w:rPr>
              <w:t>RCO07</w:t>
            </w:r>
          </w:p>
        </w:tc>
        <w:tc>
          <w:tcPr>
            <w:tcW w:w="4253" w:type="dxa"/>
          </w:tcPr>
          <w:p w14:paraId="4D64A75E" w14:textId="77777777" w:rsidR="00DD13BF" w:rsidRPr="00972E8C" w:rsidRDefault="00DD13BF" w:rsidP="00355A56">
            <w:pPr>
              <w:pStyle w:val="TableParagraph"/>
              <w:rPr>
                <w:rFonts w:cstheme="minorHAnsi"/>
                <w:sz w:val="20"/>
                <w:lang w:bidi="sl-SI"/>
              </w:rPr>
            </w:pPr>
            <w:r w:rsidRPr="00972E8C">
              <w:rPr>
                <w:sz w:val="20"/>
              </w:rPr>
              <w:t>Research organisations participating in joint research projects</w:t>
            </w:r>
          </w:p>
        </w:tc>
        <w:tc>
          <w:tcPr>
            <w:tcW w:w="1276" w:type="dxa"/>
          </w:tcPr>
          <w:p w14:paraId="297590E0" w14:textId="77777777" w:rsidR="00DD13BF" w:rsidRPr="00BD3536" w:rsidRDefault="00DD13BF" w:rsidP="00355A56">
            <w:pPr>
              <w:pStyle w:val="TableParagraph"/>
              <w:rPr>
                <w:rFonts w:cstheme="minorHAnsi"/>
                <w:sz w:val="20"/>
                <w:lang w:bidi="sl-SI"/>
              </w:rPr>
            </w:pPr>
            <w:r>
              <w:rPr>
                <w:color w:val="000000"/>
                <w:sz w:val="20"/>
              </w:rPr>
              <w:t xml:space="preserve">research facilities </w:t>
            </w:r>
          </w:p>
        </w:tc>
        <w:tc>
          <w:tcPr>
            <w:tcW w:w="1417" w:type="dxa"/>
          </w:tcPr>
          <w:p w14:paraId="1E439F0B" w14:textId="77777777" w:rsidR="00DD13BF" w:rsidRPr="00BD3536" w:rsidRDefault="00DD13BF" w:rsidP="00355A56">
            <w:pPr>
              <w:pStyle w:val="TableParagraph"/>
              <w:rPr>
                <w:rFonts w:cstheme="minorHAnsi"/>
                <w:sz w:val="20"/>
              </w:rPr>
            </w:pPr>
            <w:r>
              <w:rPr>
                <w:rFonts w:cstheme="minorHAnsi"/>
                <w:sz w:val="20"/>
              </w:rPr>
              <w:t>14</w:t>
            </w:r>
          </w:p>
        </w:tc>
        <w:tc>
          <w:tcPr>
            <w:tcW w:w="996" w:type="dxa"/>
          </w:tcPr>
          <w:p w14:paraId="23392F48" w14:textId="77777777" w:rsidR="00DD13BF" w:rsidRPr="00414A7F" w:rsidRDefault="00DD13BF" w:rsidP="00355A56">
            <w:pPr>
              <w:pStyle w:val="TableParagraph"/>
              <w:rPr>
                <w:rFonts w:cstheme="minorHAnsi"/>
                <w:sz w:val="20"/>
              </w:rPr>
            </w:pPr>
            <w:r>
              <w:rPr>
                <w:rFonts w:cstheme="minorHAnsi"/>
                <w:sz w:val="20"/>
              </w:rPr>
              <w:t>14</w:t>
            </w:r>
          </w:p>
        </w:tc>
      </w:tr>
      <w:tr w:rsidR="00DD13BF" w14:paraId="2077F0C0" w14:textId="77777777" w:rsidTr="00355A56">
        <w:trPr>
          <w:trHeight w:val="339"/>
        </w:trPr>
        <w:tc>
          <w:tcPr>
            <w:tcW w:w="1134" w:type="dxa"/>
          </w:tcPr>
          <w:p w14:paraId="62020F6F"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0416F4DD"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7FBC6619"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79A5C68A" w14:textId="77777777" w:rsidR="00DD13BF" w:rsidRPr="00BD3536" w:rsidRDefault="00DD13BF" w:rsidP="00355A56">
            <w:pPr>
              <w:rPr>
                <w:rFonts w:cstheme="minorHAnsi"/>
                <w:sz w:val="20"/>
              </w:rPr>
            </w:pPr>
            <w:r>
              <w:rPr>
                <w:rFonts w:cstheme="minorHAnsi"/>
                <w:sz w:val="20"/>
              </w:rPr>
              <w:t xml:space="preserve">More developed </w:t>
            </w:r>
          </w:p>
        </w:tc>
        <w:tc>
          <w:tcPr>
            <w:tcW w:w="856" w:type="dxa"/>
          </w:tcPr>
          <w:p w14:paraId="67BE86E7" w14:textId="77777777" w:rsidR="00DD13BF" w:rsidRPr="00BD3536" w:rsidRDefault="00DD13BF" w:rsidP="00355A56">
            <w:pPr>
              <w:pStyle w:val="TableParagraph"/>
              <w:rPr>
                <w:rFonts w:cstheme="minorHAnsi"/>
                <w:sz w:val="20"/>
                <w:lang w:bidi="sl-SI"/>
              </w:rPr>
            </w:pPr>
            <w:r w:rsidRPr="00BD3536">
              <w:rPr>
                <w:rFonts w:cstheme="minorHAnsi"/>
                <w:sz w:val="20"/>
              </w:rPr>
              <w:t>RCO07</w:t>
            </w:r>
          </w:p>
        </w:tc>
        <w:tc>
          <w:tcPr>
            <w:tcW w:w="4253" w:type="dxa"/>
          </w:tcPr>
          <w:p w14:paraId="134A45FB" w14:textId="77777777" w:rsidR="00DD13BF" w:rsidRPr="00972E8C" w:rsidRDefault="00DD13BF" w:rsidP="00355A56">
            <w:pPr>
              <w:pStyle w:val="TableParagraph"/>
              <w:rPr>
                <w:rFonts w:cstheme="minorHAnsi"/>
                <w:sz w:val="20"/>
                <w:lang w:bidi="sl-SI"/>
              </w:rPr>
            </w:pPr>
            <w:r w:rsidRPr="00972E8C">
              <w:rPr>
                <w:sz w:val="20"/>
              </w:rPr>
              <w:t>Research organisations participating in joint research projects</w:t>
            </w:r>
          </w:p>
        </w:tc>
        <w:tc>
          <w:tcPr>
            <w:tcW w:w="1276" w:type="dxa"/>
          </w:tcPr>
          <w:p w14:paraId="236B5D8A" w14:textId="77777777" w:rsidR="00DD13BF" w:rsidRPr="00BD3536" w:rsidRDefault="00DD13BF" w:rsidP="00355A56">
            <w:pPr>
              <w:pStyle w:val="TableParagraph"/>
              <w:rPr>
                <w:rFonts w:cstheme="minorHAnsi"/>
                <w:sz w:val="20"/>
                <w:lang w:bidi="sl-SI"/>
              </w:rPr>
            </w:pPr>
            <w:r>
              <w:rPr>
                <w:color w:val="000000"/>
                <w:sz w:val="20"/>
              </w:rPr>
              <w:t>research facilities</w:t>
            </w:r>
          </w:p>
        </w:tc>
        <w:tc>
          <w:tcPr>
            <w:tcW w:w="1417" w:type="dxa"/>
          </w:tcPr>
          <w:p w14:paraId="68F0492D" w14:textId="77777777" w:rsidR="00DD13BF" w:rsidRPr="00BD3536" w:rsidRDefault="00DD13BF" w:rsidP="00355A56">
            <w:pPr>
              <w:pStyle w:val="TableParagraph"/>
              <w:rPr>
                <w:rFonts w:cstheme="minorHAnsi"/>
                <w:sz w:val="20"/>
              </w:rPr>
            </w:pPr>
            <w:r>
              <w:rPr>
                <w:rFonts w:cstheme="minorHAnsi"/>
                <w:sz w:val="20"/>
              </w:rPr>
              <w:t>36</w:t>
            </w:r>
          </w:p>
        </w:tc>
        <w:tc>
          <w:tcPr>
            <w:tcW w:w="996" w:type="dxa"/>
          </w:tcPr>
          <w:p w14:paraId="65343F94" w14:textId="77777777" w:rsidR="00DD13BF" w:rsidRPr="00414A7F" w:rsidRDefault="00DD13BF" w:rsidP="00355A56">
            <w:pPr>
              <w:pStyle w:val="TableParagraph"/>
              <w:rPr>
                <w:rFonts w:cstheme="minorHAnsi"/>
                <w:sz w:val="20"/>
              </w:rPr>
            </w:pPr>
            <w:r>
              <w:rPr>
                <w:rFonts w:cstheme="minorHAnsi"/>
                <w:sz w:val="20"/>
              </w:rPr>
              <w:t>36</w:t>
            </w:r>
          </w:p>
        </w:tc>
      </w:tr>
      <w:tr w:rsidR="00DD13BF" w14:paraId="2C4A781E" w14:textId="77777777" w:rsidTr="00355A56">
        <w:trPr>
          <w:trHeight w:val="339"/>
        </w:trPr>
        <w:tc>
          <w:tcPr>
            <w:tcW w:w="1134" w:type="dxa"/>
          </w:tcPr>
          <w:p w14:paraId="345BC360"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3F631A9C"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58009941"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2A043080" w14:textId="77777777" w:rsidR="00DD13BF" w:rsidRPr="00BD3536" w:rsidRDefault="00DD13BF" w:rsidP="00355A56">
            <w:pPr>
              <w:rPr>
                <w:rFonts w:cstheme="minorHAnsi"/>
                <w:sz w:val="20"/>
              </w:rPr>
            </w:pPr>
            <w:r>
              <w:rPr>
                <w:rFonts w:cstheme="minorHAnsi"/>
                <w:sz w:val="20"/>
              </w:rPr>
              <w:t xml:space="preserve">Less developed </w:t>
            </w:r>
          </w:p>
        </w:tc>
        <w:tc>
          <w:tcPr>
            <w:tcW w:w="856" w:type="dxa"/>
          </w:tcPr>
          <w:p w14:paraId="7DC568D3" w14:textId="77777777" w:rsidR="00DD13BF" w:rsidRPr="00BD3536" w:rsidRDefault="00DD13BF" w:rsidP="00355A56">
            <w:pPr>
              <w:pStyle w:val="TableParagraph"/>
              <w:rPr>
                <w:rFonts w:cstheme="minorHAnsi"/>
                <w:sz w:val="20"/>
              </w:rPr>
            </w:pPr>
            <w:r>
              <w:rPr>
                <w:rFonts w:cstheme="minorHAnsi"/>
                <w:sz w:val="20"/>
              </w:rPr>
              <w:t>RCO1</w:t>
            </w:r>
            <w:r w:rsidRPr="00BD3536">
              <w:rPr>
                <w:rFonts w:cstheme="minorHAnsi"/>
                <w:sz w:val="20"/>
              </w:rPr>
              <w:t>0</w:t>
            </w:r>
          </w:p>
        </w:tc>
        <w:tc>
          <w:tcPr>
            <w:tcW w:w="4253" w:type="dxa"/>
          </w:tcPr>
          <w:p w14:paraId="19536E0D" w14:textId="77777777" w:rsidR="00DD13BF" w:rsidRPr="00972E8C" w:rsidRDefault="00DD13BF" w:rsidP="00355A56">
            <w:pPr>
              <w:pStyle w:val="TableParagraph"/>
              <w:rPr>
                <w:rFonts w:cstheme="minorHAnsi"/>
                <w:sz w:val="20"/>
                <w:lang w:bidi="sl-SI"/>
              </w:rPr>
            </w:pPr>
            <w:r w:rsidRPr="00972E8C">
              <w:rPr>
                <w:rFonts w:cstheme="minorHAnsi"/>
                <w:sz w:val="20"/>
              </w:rPr>
              <w:t>E</w:t>
            </w:r>
            <w:r w:rsidRPr="00972E8C">
              <w:rPr>
                <w:sz w:val="20"/>
              </w:rPr>
              <w:t>nterprises cooperating with research organisations</w:t>
            </w:r>
          </w:p>
        </w:tc>
        <w:tc>
          <w:tcPr>
            <w:tcW w:w="1276" w:type="dxa"/>
          </w:tcPr>
          <w:p w14:paraId="30B1A4E4" w14:textId="77777777" w:rsidR="00DD13BF" w:rsidRPr="00BD3536" w:rsidRDefault="00DD13BF" w:rsidP="00355A56">
            <w:pPr>
              <w:pStyle w:val="TableParagraph"/>
              <w:rPr>
                <w:rFonts w:cstheme="minorHAnsi"/>
                <w:sz w:val="20"/>
                <w:lang w:bidi="sl-SI"/>
              </w:rPr>
            </w:pPr>
            <w:r>
              <w:rPr>
                <w:color w:val="000000"/>
                <w:sz w:val="20"/>
              </w:rPr>
              <w:t>enterprises</w:t>
            </w:r>
          </w:p>
        </w:tc>
        <w:tc>
          <w:tcPr>
            <w:tcW w:w="1417" w:type="dxa"/>
          </w:tcPr>
          <w:p w14:paraId="2A0F9333" w14:textId="77777777" w:rsidR="00DD13BF" w:rsidRPr="00BD3536" w:rsidRDefault="00DD13BF" w:rsidP="00355A56">
            <w:pPr>
              <w:pStyle w:val="TableParagraph"/>
              <w:rPr>
                <w:rFonts w:cstheme="minorHAnsi"/>
                <w:sz w:val="20"/>
              </w:rPr>
            </w:pPr>
            <w:r>
              <w:rPr>
                <w:color w:val="000000"/>
                <w:sz w:val="20"/>
              </w:rPr>
              <w:t>27</w:t>
            </w:r>
          </w:p>
        </w:tc>
        <w:tc>
          <w:tcPr>
            <w:tcW w:w="996" w:type="dxa"/>
          </w:tcPr>
          <w:p w14:paraId="328ED33C" w14:textId="77777777" w:rsidR="00DD13BF" w:rsidRPr="00414A7F" w:rsidRDefault="00DD13BF" w:rsidP="00355A56">
            <w:pPr>
              <w:pStyle w:val="TableParagraph"/>
              <w:rPr>
                <w:rFonts w:cstheme="minorHAnsi"/>
                <w:sz w:val="20"/>
              </w:rPr>
            </w:pPr>
            <w:r w:rsidRPr="00414A7F">
              <w:rPr>
                <w:rFonts w:cstheme="minorHAnsi"/>
                <w:sz w:val="20"/>
              </w:rPr>
              <w:t>2</w:t>
            </w:r>
            <w:r>
              <w:rPr>
                <w:rFonts w:cstheme="minorHAnsi"/>
                <w:sz w:val="20"/>
              </w:rPr>
              <w:t>7</w:t>
            </w:r>
          </w:p>
        </w:tc>
      </w:tr>
      <w:tr w:rsidR="00DD13BF" w14:paraId="04CBC197" w14:textId="77777777" w:rsidTr="00355A56">
        <w:trPr>
          <w:trHeight w:val="339"/>
        </w:trPr>
        <w:tc>
          <w:tcPr>
            <w:tcW w:w="1134" w:type="dxa"/>
          </w:tcPr>
          <w:p w14:paraId="3FEEF023" w14:textId="77777777" w:rsidR="00DD13BF" w:rsidRPr="00BD3536" w:rsidRDefault="00DD13BF" w:rsidP="00355A56">
            <w:pPr>
              <w:pStyle w:val="TableParagraph"/>
              <w:rPr>
                <w:rFonts w:cstheme="minorHAnsi"/>
                <w:sz w:val="20"/>
              </w:rPr>
            </w:pPr>
            <w:r>
              <w:rPr>
                <w:rFonts w:cstheme="minorHAnsi"/>
                <w:sz w:val="20"/>
              </w:rPr>
              <w:t>1</w:t>
            </w:r>
          </w:p>
        </w:tc>
        <w:tc>
          <w:tcPr>
            <w:tcW w:w="1414" w:type="dxa"/>
          </w:tcPr>
          <w:p w14:paraId="4C7F555E" w14:textId="77777777" w:rsidR="00DD13BF" w:rsidRPr="00BD3536" w:rsidRDefault="00DD13BF" w:rsidP="00355A56">
            <w:pPr>
              <w:pStyle w:val="TableParagraph"/>
              <w:rPr>
                <w:rFonts w:cstheme="minorHAnsi"/>
                <w:sz w:val="20"/>
              </w:rPr>
            </w:pPr>
            <w:r w:rsidRPr="00554125">
              <w:rPr>
                <w:rFonts w:cstheme="minorHAnsi"/>
                <w:sz w:val="20"/>
              </w:rPr>
              <w:t>RSO1.1</w:t>
            </w:r>
          </w:p>
        </w:tc>
        <w:tc>
          <w:tcPr>
            <w:tcW w:w="712" w:type="dxa"/>
          </w:tcPr>
          <w:p w14:paraId="4BFACB25"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695" w:type="dxa"/>
          </w:tcPr>
          <w:p w14:paraId="6F5015AB" w14:textId="77777777" w:rsidR="00DD13BF" w:rsidRPr="00BD3536" w:rsidRDefault="00DD13BF" w:rsidP="00355A56">
            <w:pPr>
              <w:rPr>
                <w:rFonts w:cstheme="minorHAnsi"/>
                <w:sz w:val="20"/>
              </w:rPr>
            </w:pPr>
            <w:r>
              <w:rPr>
                <w:rFonts w:cstheme="minorHAnsi"/>
                <w:sz w:val="20"/>
              </w:rPr>
              <w:t>More developed</w:t>
            </w:r>
          </w:p>
        </w:tc>
        <w:tc>
          <w:tcPr>
            <w:tcW w:w="856" w:type="dxa"/>
          </w:tcPr>
          <w:p w14:paraId="6E5C290B" w14:textId="77777777" w:rsidR="00DD13BF" w:rsidRPr="00BD3536" w:rsidRDefault="00DD13BF" w:rsidP="00355A56">
            <w:pPr>
              <w:pStyle w:val="TableParagraph"/>
              <w:rPr>
                <w:rFonts w:cstheme="minorHAnsi"/>
                <w:sz w:val="20"/>
              </w:rPr>
            </w:pPr>
            <w:r>
              <w:rPr>
                <w:rFonts w:cstheme="minorHAnsi"/>
                <w:sz w:val="20"/>
              </w:rPr>
              <w:t>RCO1</w:t>
            </w:r>
            <w:r w:rsidRPr="00BD3536">
              <w:rPr>
                <w:rFonts w:cstheme="minorHAnsi"/>
                <w:sz w:val="20"/>
              </w:rPr>
              <w:t>0</w:t>
            </w:r>
          </w:p>
        </w:tc>
        <w:tc>
          <w:tcPr>
            <w:tcW w:w="4253" w:type="dxa"/>
          </w:tcPr>
          <w:p w14:paraId="609F88CD" w14:textId="77777777" w:rsidR="00DD13BF" w:rsidRPr="00972E8C" w:rsidRDefault="00DD13BF" w:rsidP="00355A56">
            <w:pPr>
              <w:pStyle w:val="TableParagraph"/>
              <w:rPr>
                <w:rFonts w:cstheme="minorHAnsi"/>
                <w:sz w:val="20"/>
                <w:lang w:bidi="sl-SI"/>
              </w:rPr>
            </w:pPr>
            <w:r w:rsidRPr="00972E8C">
              <w:rPr>
                <w:sz w:val="20"/>
              </w:rPr>
              <w:t>Enterprises cooperating with research organisations</w:t>
            </w:r>
          </w:p>
        </w:tc>
        <w:tc>
          <w:tcPr>
            <w:tcW w:w="1276" w:type="dxa"/>
          </w:tcPr>
          <w:p w14:paraId="634FF969" w14:textId="77777777" w:rsidR="00DD13BF" w:rsidRPr="00BD3536" w:rsidRDefault="00DD13BF" w:rsidP="00355A56">
            <w:pPr>
              <w:pStyle w:val="TableParagraph"/>
              <w:rPr>
                <w:rFonts w:cstheme="minorHAnsi"/>
                <w:sz w:val="20"/>
                <w:lang w:bidi="sl-SI"/>
              </w:rPr>
            </w:pPr>
            <w:r>
              <w:rPr>
                <w:color w:val="000000"/>
                <w:sz w:val="20"/>
              </w:rPr>
              <w:t>enterprises</w:t>
            </w:r>
          </w:p>
        </w:tc>
        <w:tc>
          <w:tcPr>
            <w:tcW w:w="1417" w:type="dxa"/>
          </w:tcPr>
          <w:p w14:paraId="0E20224A" w14:textId="77777777" w:rsidR="00DD13BF" w:rsidRPr="00BD3536" w:rsidRDefault="00DD13BF" w:rsidP="00355A56">
            <w:pPr>
              <w:pStyle w:val="TableParagraph"/>
              <w:rPr>
                <w:rFonts w:cstheme="minorHAnsi"/>
                <w:sz w:val="20"/>
              </w:rPr>
            </w:pPr>
            <w:r>
              <w:rPr>
                <w:color w:val="000000"/>
                <w:sz w:val="20"/>
              </w:rPr>
              <w:t>66</w:t>
            </w:r>
          </w:p>
        </w:tc>
        <w:tc>
          <w:tcPr>
            <w:tcW w:w="996" w:type="dxa"/>
          </w:tcPr>
          <w:p w14:paraId="01D02F01" w14:textId="77777777" w:rsidR="00DD13BF" w:rsidRPr="00414A7F" w:rsidRDefault="00DD13BF" w:rsidP="00355A56">
            <w:pPr>
              <w:pStyle w:val="TableParagraph"/>
              <w:rPr>
                <w:rFonts w:cstheme="minorHAnsi"/>
                <w:sz w:val="20"/>
              </w:rPr>
            </w:pPr>
            <w:r>
              <w:rPr>
                <w:rFonts w:cstheme="minorHAnsi"/>
                <w:sz w:val="20"/>
              </w:rPr>
              <w:t>66</w:t>
            </w:r>
          </w:p>
          <w:p w14:paraId="2AA7DCBB" w14:textId="77777777" w:rsidR="00DD13BF" w:rsidRPr="00414A7F" w:rsidRDefault="00DD13BF" w:rsidP="00355A56">
            <w:pPr>
              <w:pStyle w:val="TableParagraph"/>
              <w:rPr>
                <w:rFonts w:cstheme="minorHAnsi"/>
                <w:sz w:val="20"/>
              </w:rPr>
            </w:pPr>
          </w:p>
        </w:tc>
      </w:tr>
    </w:tbl>
    <w:p w14:paraId="17CE6532" w14:textId="77777777" w:rsidR="00DD13BF" w:rsidRDefault="00DD13BF" w:rsidP="00DD13BF">
      <w:pPr>
        <w:rPr>
          <w:sz w:val="24"/>
        </w:rPr>
      </w:pPr>
    </w:p>
    <w:p w14:paraId="640CF080" w14:textId="77777777" w:rsidR="00DD13BF" w:rsidRDefault="00DD13BF" w:rsidP="00DD13BF">
      <w:pPr>
        <w:ind w:left="379"/>
      </w:pPr>
      <w:r>
        <w:rPr>
          <w:spacing w:val="-6"/>
        </w:rPr>
        <w:t>Table 3:</w:t>
      </w:r>
      <w:r>
        <w:rPr>
          <w:spacing w:val="-7"/>
        </w:rPr>
        <w:t xml:space="preserve"> Result indicators</w:t>
      </w:r>
    </w:p>
    <w:p w14:paraId="5F734753" w14:textId="77777777" w:rsidR="00DD13BF" w:rsidRDefault="00DD13BF" w:rsidP="00DD13BF">
      <w:pPr>
        <w:rPr>
          <w:sz w:val="21"/>
        </w:rPr>
      </w:pPr>
    </w:p>
    <w:tbl>
      <w:tblPr>
        <w:tblStyle w:val="NormalTable0"/>
        <w:tblW w:w="13608"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992"/>
        <w:gridCol w:w="709"/>
        <w:gridCol w:w="1559"/>
        <w:gridCol w:w="850"/>
        <w:gridCol w:w="2410"/>
        <w:gridCol w:w="1418"/>
        <w:gridCol w:w="1134"/>
        <w:gridCol w:w="992"/>
        <w:gridCol w:w="709"/>
        <w:gridCol w:w="1134"/>
        <w:gridCol w:w="709"/>
      </w:tblGrid>
      <w:tr w:rsidR="00DD13BF" w14:paraId="6DC422D7" w14:textId="77777777" w:rsidTr="00355A56">
        <w:trPr>
          <w:trHeight w:val="353"/>
        </w:trPr>
        <w:tc>
          <w:tcPr>
            <w:tcW w:w="992" w:type="dxa"/>
          </w:tcPr>
          <w:p w14:paraId="64841969" w14:textId="77777777" w:rsidR="00DD13BF" w:rsidRPr="00BD3536" w:rsidRDefault="00DD13BF" w:rsidP="00355A56">
            <w:pPr>
              <w:pStyle w:val="TableParagraph"/>
              <w:rPr>
                <w:sz w:val="20"/>
              </w:rPr>
            </w:pPr>
            <w:r w:rsidRPr="00BD3536">
              <w:rPr>
                <w:rFonts w:cstheme="minorHAnsi"/>
                <w:sz w:val="20"/>
              </w:rPr>
              <w:t>Pr</w:t>
            </w:r>
            <w:r>
              <w:rPr>
                <w:rFonts w:cstheme="minorHAnsi"/>
                <w:sz w:val="20"/>
              </w:rPr>
              <w:t>iority</w:t>
            </w:r>
          </w:p>
        </w:tc>
        <w:tc>
          <w:tcPr>
            <w:tcW w:w="992" w:type="dxa"/>
          </w:tcPr>
          <w:p w14:paraId="3ACFBE51" w14:textId="77777777" w:rsidR="00DD13BF" w:rsidRPr="00BD3536" w:rsidRDefault="00DD13BF" w:rsidP="00355A56">
            <w:pPr>
              <w:pStyle w:val="TableParagraph"/>
              <w:rPr>
                <w:sz w:val="20"/>
              </w:rPr>
            </w:pPr>
            <w:r w:rsidRPr="00BD3536">
              <w:rPr>
                <w:rFonts w:cstheme="minorHAnsi"/>
                <w:sz w:val="20"/>
              </w:rPr>
              <w:t>Specifi</w:t>
            </w:r>
            <w:r>
              <w:rPr>
                <w:rFonts w:cstheme="minorHAnsi"/>
                <w:sz w:val="20"/>
              </w:rPr>
              <w:t>c objective</w:t>
            </w:r>
          </w:p>
        </w:tc>
        <w:tc>
          <w:tcPr>
            <w:tcW w:w="709" w:type="dxa"/>
          </w:tcPr>
          <w:p w14:paraId="4EC4F5DA" w14:textId="77777777" w:rsidR="00DD13BF" w:rsidRPr="00BD3536" w:rsidRDefault="00DD13BF" w:rsidP="00355A56">
            <w:pPr>
              <w:pStyle w:val="TableParagraph"/>
              <w:rPr>
                <w:sz w:val="20"/>
              </w:rPr>
            </w:pPr>
            <w:r>
              <w:rPr>
                <w:rFonts w:cstheme="minorHAnsi"/>
                <w:sz w:val="20"/>
              </w:rPr>
              <w:t>Fund</w:t>
            </w:r>
          </w:p>
        </w:tc>
        <w:tc>
          <w:tcPr>
            <w:tcW w:w="1559" w:type="dxa"/>
          </w:tcPr>
          <w:p w14:paraId="75189085" w14:textId="77777777" w:rsidR="00DD13BF" w:rsidRPr="00BD3536" w:rsidRDefault="00DD13BF" w:rsidP="00355A56">
            <w:pPr>
              <w:pStyle w:val="TableParagraph"/>
              <w:rPr>
                <w:sz w:val="20"/>
              </w:rPr>
            </w:pPr>
            <w:r>
              <w:rPr>
                <w:rFonts w:cstheme="minorHAnsi"/>
                <w:sz w:val="20"/>
              </w:rPr>
              <w:t>Category of region</w:t>
            </w:r>
          </w:p>
        </w:tc>
        <w:tc>
          <w:tcPr>
            <w:tcW w:w="850" w:type="dxa"/>
          </w:tcPr>
          <w:p w14:paraId="4A6D46D6" w14:textId="77777777" w:rsidR="00DD13BF" w:rsidRPr="00BD3536" w:rsidRDefault="00DD13BF" w:rsidP="00355A56">
            <w:pPr>
              <w:pStyle w:val="TableParagraph"/>
              <w:rPr>
                <w:sz w:val="20"/>
              </w:rPr>
            </w:pPr>
            <w:r>
              <w:rPr>
                <w:rFonts w:cstheme="minorHAnsi"/>
                <w:sz w:val="20"/>
              </w:rPr>
              <w:t>ID</w:t>
            </w:r>
          </w:p>
        </w:tc>
        <w:tc>
          <w:tcPr>
            <w:tcW w:w="2410" w:type="dxa"/>
          </w:tcPr>
          <w:p w14:paraId="5D4357C8" w14:textId="77777777" w:rsidR="00DD13BF" w:rsidRPr="00BD3536" w:rsidRDefault="00DD13BF" w:rsidP="00355A56">
            <w:pPr>
              <w:pStyle w:val="TableParagraph"/>
              <w:rPr>
                <w:sz w:val="20"/>
              </w:rPr>
            </w:pPr>
            <w:r>
              <w:rPr>
                <w:rFonts w:cstheme="minorHAnsi"/>
                <w:sz w:val="20"/>
              </w:rPr>
              <w:t>Indicator</w:t>
            </w:r>
          </w:p>
        </w:tc>
        <w:tc>
          <w:tcPr>
            <w:tcW w:w="1418" w:type="dxa"/>
          </w:tcPr>
          <w:p w14:paraId="7B8B7DE7" w14:textId="77777777" w:rsidR="00DD13BF" w:rsidRPr="00BD3536" w:rsidRDefault="00DD13BF" w:rsidP="00355A56">
            <w:pPr>
              <w:pStyle w:val="TableParagraph"/>
              <w:rPr>
                <w:sz w:val="20"/>
              </w:rPr>
            </w:pPr>
            <w:r>
              <w:rPr>
                <w:rFonts w:cstheme="minorHAnsi"/>
                <w:sz w:val="20"/>
              </w:rPr>
              <w:t>Measurement unit</w:t>
            </w:r>
          </w:p>
        </w:tc>
        <w:tc>
          <w:tcPr>
            <w:tcW w:w="1134" w:type="dxa"/>
          </w:tcPr>
          <w:p w14:paraId="3169F67D" w14:textId="77777777" w:rsidR="00DD13BF" w:rsidRPr="00BD3536" w:rsidRDefault="00DD13BF" w:rsidP="00355A56">
            <w:pPr>
              <w:pStyle w:val="TableParagraph"/>
              <w:rPr>
                <w:sz w:val="20"/>
              </w:rPr>
            </w:pPr>
            <w:r>
              <w:rPr>
                <w:rFonts w:cstheme="minorHAnsi"/>
                <w:sz w:val="20"/>
              </w:rPr>
              <w:t>Baseline or reference value</w:t>
            </w:r>
          </w:p>
        </w:tc>
        <w:tc>
          <w:tcPr>
            <w:tcW w:w="992" w:type="dxa"/>
          </w:tcPr>
          <w:p w14:paraId="4921DEB8" w14:textId="77777777" w:rsidR="00DD13BF" w:rsidRPr="00BD3536" w:rsidRDefault="00DD13BF" w:rsidP="00355A56">
            <w:pPr>
              <w:pStyle w:val="TableParagraph"/>
              <w:rPr>
                <w:sz w:val="20"/>
              </w:rPr>
            </w:pPr>
            <w:r>
              <w:rPr>
                <w:rFonts w:cstheme="minorHAnsi"/>
                <w:sz w:val="20"/>
              </w:rPr>
              <w:t>Reference year</w:t>
            </w:r>
          </w:p>
        </w:tc>
        <w:tc>
          <w:tcPr>
            <w:tcW w:w="709" w:type="dxa"/>
          </w:tcPr>
          <w:p w14:paraId="336A135C" w14:textId="77777777" w:rsidR="00DD13BF" w:rsidRPr="00BD3536" w:rsidRDefault="00DD13BF" w:rsidP="00355A56">
            <w:pPr>
              <w:pStyle w:val="TableParagraph"/>
              <w:rPr>
                <w:sz w:val="20"/>
              </w:rPr>
            </w:pPr>
            <w:r>
              <w:rPr>
                <w:rFonts w:cstheme="minorHAnsi"/>
                <w:sz w:val="20"/>
              </w:rPr>
              <w:t xml:space="preserve">Target </w:t>
            </w:r>
            <w:r w:rsidRPr="00BD3536">
              <w:rPr>
                <w:rFonts w:cstheme="minorHAnsi"/>
                <w:sz w:val="20"/>
              </w:rPr>
              <w:t>(2029)</w:t>
            </w:r>
          </w:p>
        </w:tc>
        <w:tc>
          <w:tcPr>
            <w:tcW w:w="1134" w:type="dxa"/>
          </w:tcPr>
          <w:p w14:paraId="07757416" w14:textId="77777777" w:rsidR="00DD13BF" w:rsidRPr="00BD3536" w:rsidRDefault="00DD13BF" w:rsidP="00355A56">
            <w:pPr>
              <w:pStyle w:val="TableParagraph"/>
              <w:rPr>
                <w:sz w:val="20"/>
              </w:rPr>
            </w:pPr>
            <w:r>
              <w:rPr>
                <w:rFonts w:cstheme="minorHAnsi"/>
                <w:sz w:val="20"/>
              </w:rPr>
              <w:t>Source of data</w:t>
            </w:r>
          </w:p>
        </w:tc>
        <w:tc>
          <w:tcPr>
            <w:tcW w:w="709" w:type="dxa"/>
          </w:tcPr>
          <w:p w14:paraId="3FF3244B" w14:textId="77777777" w:rsidR="00DD13BF" w:rsidRPr="00BD3536" w:rsidRDefault="00DD13BF" w:rsidP="00355A56">
            <w:pPr>
              <w:pStyle w:val="TableParagraph"/>
              <w:rPr>
                <w:sz w:val="20"/>
              </w:rPr>
            </w:pPr>
            <w:r>
              <w:rPr>
                <w:rFonts w:cstheme="minorHAnsi"/>
                <w:sz w:val="20"/>
              </w:rPr>
              <w:t>comments</w:t>
            </w:r>
          </w:p>
        </w:tc>
      </w:tr>
      <w:tr w:rsidR="00DD13BF" w14:paraId="1FA7A76A" w14:textId="77777777" w:rsidTr="00355A56">
        <w:trPr>
          <w:trHeight w:val="353"/>
        </w:trPr>
        <w:tc>
          <w:tcPr>
            <w:tcW w:w="992" w:type="dxa"/>
          </w:tcPr>
          <w:p w14:paraId="18798AE5" w14:textId="77777777" w:rsidR="00DD13BF" w:rsidRPr="00BD3536" w:rsidRDefault="00DD13BF" w:rsidP="00355A56">
            <w:pPr>
              <w:pStyle w:val="TableParagraph"/>
              <w:rPr>
                <w:rFonts w:cstheme="minorHAnsi"/>
                <w:sz w:val="20"/>
              </w:rPr>
            </w:pPr>
            <w:r>
              <w:rPr>
                <w:rFonts w:cstheme="minorHAnsi"/>
                <w:sz w:val="20"/>
              </w:rPr>
              <w:t>1</w:t>
            </w:r>
          </w:p>
        </w:tc>
        <w:tc>
          <w:tcPr>
            <w:tcW w:w="992" w:type="dxa"/>
          </w:tcPr>
          <w:p w14:paraId="09D21F2E" w14:textId="77777777" w:rsidR="00DD13BF" w:rsidRPr="00BD3536" w:rsidRDefault="00DD13BF" w:rsidP="00355A56">
            <w:pPr>
              <w:pStyle w:val="TableParagraph"/>
              <w:rPr>
                <w:rFonts w:cstheme="minorHAnsi"/>
                <w:sz w:val="20"/>
              </w:rPr>
            </w:pPr>
            <w:r w:rsidRPr="00BA42D5">
              <w:rPr>
                <w:rFonts w:cstheme="minorHAnsi"/>
                <w:sz w:val="20"/>
              </w:rPr>
              <w:t>RSO1.1</w:t>
            </w:r>
          </w:p>
        </w:tc>
        <w:tc>
          <w:tcPr>
            <w:tcW w:w="709" w:type="dxa"/>
          </w:tcPr>
          <w:p w14:paraId="5D02CCB9"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4F74CB12" w14:textId="77777777" w:rsidR="00DD13BF" w:rsidRPr="00BD3536" w:rsidRDefault="00DD13BF" w:rsidP="00355A56">
            <w:pPr>
              <w:rPr>
                <w:rFonts w:cstheme="minorHAnsi"/>
                <w:sz w:val="20"/>
              </w:rPr>
            </w:pPr>
            <w:r>
              <w:rPr>
                <w:rFonts w:cstheme="minorHAnsi"/>
                <w:sz w:val="20"/>
              </w:rPr>
              <w:t xml:space="preserve">Less developed </w:t>
            </w:r>
          </w:p>
        </w:tc>
        <w:tc>
          <w:tcPr>
            <w:tcW w:w="850" w:type="dxa"/>
          </w:tcPr>
          <w:p w14:paraId="4E9F40AA" w14:textId="77777777" w:rsidR="00DD13BF" w:rsidRPr="00BD3536" w:rsidRDefault="00DD13BF" w:rsidP="00355A56">
            <w:pPr>
              <w:pStyle w:val="TableParagraph"/>
              <w:rPr>
                <w:sz w:val="20"/>
              </w:rPr>
            </w:pPr>
            <w:r w:rsidRPr="0848C57F">
              <w:rPr>
                <w:rFonts w:cstheme="minorBidi"/>
                <w:sz w:val="20"/>
                <w:lang w:bidi="sl-SI"/>
              </w:rPr>
              <w:t>RCR03</w:t>
            </w:r>
          </w:p>
        </w:tc>
        <w:tc>
          <w:tcPr>
            <w:tcW w:w="2410" w:type="dxa"/>
          </w:tcPr>
          <w:p w14:paraId="4E808C67" w14:textId="77777777" w:rsidR="00DD13BF" w:rsidRPr="00036039" w:rsidRDefault="00DD13BF" w:rsidP="00355A56">
            <w:pPr>
              <w:pStyle w:val="TableParagraph"/>
              <w:rPr>
                <w:rFonts w:cstheme="minorHAnsi"/>
                <w:sz w:val="20"/>
              </w:rPr>
            </w:pPr>
            <w:r w:rsidRPr="00036039">
              <w:rPr>
                <w:sz w:val="20"/>
              </w:rPr>
              <w:t>Small and medium-sized enterprises (SMEs) introducing product or process innovation</w:t>
            </w:r>
          </w:p>
        </w:tc>
        <w:tc>
          <w:tcPr>
            <w:tcW w:w="1418" w:type="dxa"/>
          </w:tcPr>
          <w:p w14:paraId="349732AC" w14:textId="77777777" w:rsidR="00DD13BF" w:rsidRPr="00BD3536" w:rsidRDefault="00DD13BF" w:rsidP="00355A56">
            <w:pPr>
              <w:pStyle w:val="TableParagraph"/>
              <w:rPr>
                <w:rFonts w:cstheme="minorHAnsi"/>
                <w:sz w:val="20"/>
              </w:rPr>
            </w:pPr>
            <w:r>
              <w:rPr>
                <w:color w:val="000000"/>
                <w:sz w:val="20"/>
              </w:rPr>
              <w:t>enterprises</w:t>
            </w:r>
          </w:p>
        </w:tc>
        <w:tc>
          <w:tcPr>
            <w:tcW w:w="1134" w:type="dxa"/>
          </w:tcPr>
          <w:p w14:paraId="277FAF80" w14:textId="77777777" w:rsidR="00DD13BF" w:rsidRPr="00BD3536" w:rsidRDefault="00DD13BF" w:rsidP="00355A56">
            <w:pPr>
              <w:pStyle w:val="TableParagraph"/>
              <w:rPr>
                <w:sz w:val="20"/>
              </w:rPr>
            </w:pPr>
            <w:r>
              <w:rPr>
                <w:sz w:val="20"/>
              </w:rPr>
              <w:t>0</w:t>
            </w:r>
          </w:p>
        </w:tc>
        <w:tc>
          <w:tcPr>
            <w:tcW w:w="992" w:type="dxa"/>
          </w:tcPr>
          <w:p w14:paraId="687C921F" w14:textId="77777777" w:rsidR="00DD13BF" w:rsidRPr="00BD3536" w:rsidRDefault="00DD13BF" w:rsidP="00355A56">
            <w:pPr>
              <w:pStyle w:val="TableParagraph"/>
              <w:rPr>
                <w:sz w:val="20"/>
              </w:rPr>
            </w:pPr>
            <w:r>
              <w:rPr>
                <w:sz w:val="20"/>
              </w:rPr>
              <w:t>2022</w:t>
            </w:r>
          </w:p>
        </w:tc>
        <w:tc>
          <w:tcPr>
            <w:tcW w:w="709" w:type="dxa"/>
          </w:tcPr>
          <w:p w14:paraId="0DFE9A30" w14:textId="77777777" w:rsidR="00DD13BF" w:rsidRPr="00BD3536" w:rsidRDefault="00DD13BF" w:rsidP="00355A56">
            <w:pPr>
              <w:pStyle w:val="TableParagraph"/>
              <w:rPr>
                <w:rFonts w:cstheme="minorHAnsi"/>
                <w:sz w:val="20"/>
              </w:rPr>
            </w:pPr>
            <w:r>
              <w:rPr>
                <w:rFonts w:cstheme="minorHAnsi"/>
                <w:sz w:val="20"/>
              </w:rPr>
              <w:t>222</w:t>
            </w:r>
          </w:p>
        </w:tc>
        <w:tc>
          <w:tcPr>
            <w:tcW w:w="1134" w:type="dxa"/>
          </w:tcPr>
          <w:p w14:paraId="7B6DDEA1" w14:textId="77777777" w:rsidR="00DD13BF" w:rsidRPr="00BD3536" w:rsidRDefault="00DD13BF" w:rsidP="00355A56">
            <w:pPr>
              <w:pStyle w:val="TableParagraph"/>
              <w:rPr>
                <w:sz w:val="20"/>
              </w:rPr>
            </w:pPr>
            <w:r>
              <w:rPr>
                <w:sz w:val="20"/>
              </w:rPr>
              <w:t xml:space="preserve">MGRT </w:t>
            </w:r>
          </w:p>
        </w:tc>
        <w:tc>
          <w:tcPr>
            <w:tcW w:w="709" w:type="dxa"/>
          </w:tcPr>
          <w:p w14:paraId="4102B35C" w14:textId="77777777" w:rsidR="00DD13BF" w:rsidRPr="00BD3536" w:rsidRDefault="00DD13BF" w:rsidP="00355A56">
            <w:pPr>
              <w:pStyle w:val="TableParagraph"/>
              <w:rPr>
                <w:sz w:val="20"/>
              </w:rPr>
            </w:pPr>
          </w:p>
        </w:tc>
      </w:tr>
      <w:tr w:rsidR="00DD13BF" w14:paraId="7B063A18" w14:textId="77777777" w:rsidTr="00355A56">
        <w:trPr>
          <w:trHeight w:val="353"/>
        </w:trPr>
        <w:tc>
          <w:tcPr>
            <w:tcW w:w="992" w:type="dxa"/>
          </w:tcPr>
          <w:p w14:paraId="7DCE62EC" w14:textId="77777777" w:rsidR="00DD13BF" w:rsidRPr="00BD3536" w:rsidRDefault="00DD13BF" w:rsidP="00355A56">
            <w:pPr>
              <w:pStyle w:val="TableParagraph"/>
              <w:rPr>
                <w:rFonts w:cstheme="minorHAnsi"/>
                <w:sz w:val="20"/>
              </w:rPr>
            </w:pPr>
            <w:r>
              <w:rPr>
                <w:rFonts w:cstheme="minorHAnsi"/>
                <w:sz w:val="20"/>
              </w:rPr>
              <w:t>1</w:t>
            </w:r>
          </w:p>
        </w:tc>
        <w:tc>
          <w:tcPr>
            <w:tcW w:w="992" w:type="dxa"/>
          </w:tcPr>
          <w:p w14:paraId="71B5FAA2" w14:textId="77777777" w:rsidR="00DD13BF" w:rsidRPr="00BD3536" w:rsidRDefault="00DD13BF" w:rsidP="00355A56">
            <w:pPr>
              <w:pStyle w:val="TableParagraph"/>
              <w:rPr>
                <w:rFonts w:cstheme="minorHAnsi"/>
                <w:sz w:val="20"/>
              </w:rPr>
            </w:pPr>
            <w:r w:rsidRPr="00BA42D5">
              <w:rPr>
                <w:rFonts w:cstheme="minorHAnsi"/>
                <w:sz w:val="20"/>
              </w:rPr>
              <w:t>RSO1.1</w:t>
            </w:r>
          </w:p>
        </w:tc>
        <w:tc>
          <w:tcPr>
            <w:tcW w:w="709" w:type="dxa"/>
          </w:tcPr>
          <w:p w14:paraId="6D5CFF47"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23BA2C53" w14:textId="77777777" w:rsidR="00DD13BF" w:rsidRPr="00BD3536" w:rsidRDefault="00DD13BF" w:rsidP="00355A56">
            <w:pPr>
              <w:rPr>
                <w:rFonts w:cstheme="minorHAnsi"/>
                <w:sz w:val="20"/>
              </w:rPr>
            </w:pPr>
            <w:r>
              <w:rPr>
                <w:rFonts w:cstheme="minorHAnsi"/>
                <w:sz w:val="20"/>
              </w:rPr>
              <w:t xml:space="preserve">More developed </w:t>
            </w:r>
          </w:p>
        </w:tc>
        <w:tc>
          <w:tcPr>
            <w:tcW w:w="850" w:type="dxa"/>
          </w:tcPr>
          <w:p w14:paraId="3843246D" w14:textId="77777777" w:rsidR="00DD13BF" w:rsidRPr="00BD3536" w:rsidRDefault="00DD13BF" w:rsidP="00355A56">
            <w:pPr>
              <w:pStyle w:val="TableParagraph"/>
              <w:rPr>
                <w:sz w:val="20"/>
              </w:rPr>
            </w:pPr>
            <w:r w:rsidRPr="00BD3536">
              <w:rPr>
                <w:rFonts w:cstheme="minorHAnsi"/>
                <w:sz w:val="20"/>
                <w:lang w:bidi="sl-SI"/>
              </w:rPr>
              <w:t>RCR03</w:t>
            </w:r>
          </w:p>
        </w:tc>
        <w:tc>
          <w:tcPr>
            <w:tcW w:w="2410" w:type="dxa"/>
          </w:tcPr>
          <w:p w14:paraId="02D92CE3" w14:textId="77777777" w:rsidR="00DD13BF" w:rsidRPr="00036039" w:rsidRDefault="00DD13BF" w:rsidP="00355A56">
            <w:pPr>
              <w:pStyle w:val="TableParagraph"/>
              <w:rPr>
                <w:rFonts w:cstheme="minorHAnsi"/>
                <w:sz w:val="20"/>
              </w:rPr>
            </w:pPr>
            <w:r w:rsidRPr="00036039">
              <w:rPr>
                <w:sz w:val="20"/>
              </w:rPr>
              <w:t>Small and medium-sized enterprises (SMEs) introducing product or process innovation</w:t>
            </w:r>
          </w:p>
        </w:tc>
        <w:tc>
          <w:tcPr>
            <w:tcW w:w="1418" w:type="dxa"/>
          </w:tcPr>
          <w:p w14:paraId="609BB849" w14:textId="77777777" w:rsidR="00DD13BF" w:rsidRPr="00BD3536" w:rsidRDefault="00DD13BF" w:rsidP="00355A56">
            <w:pPr>
              <w:pStyle w:val="TableParagraph"/>
              <w:rPr>
                <w:rFonts w:cstheme="minorHAnsi"/>
                <w:sz w:val="20"/>
              </w:rPr>
            </w:pPr>
            <w:r>
              <w:rPr>
                <w:color w:val="000000"/>
                <w:sz w:val="20"/>
              </w:rPr>
              <w:t>enterprises</w:t>
            </w:r>
          </w:p>
        </w:tc>
        <w:tc>
          <w:tcPr>
            <w:tcW w:w="1134" w:type="dxa"/>
          </w:tcPr>
          <w:p w14:paraId="50F9AEB9" w14:textId="77777777" w:rsidR="00DD13BF" w:rsidRPr="00BD3536" w:rsidRDefault="00DD13BF" w:rsidP="00355A56">
            <w:pPr>
              <w:pStyle w:val="TableParagraph"/>
              <w:rPr>
                <w:sz w:val="20"/>
              </w:rPr>
            </w:pPr>
            <w:r>
              <w:rPr>
                <w:sz w:val="20"/>
              </w:rPr>
              <w:t>0</w:t>
            </w:r>
          </w:p>
        </w:tc>
        <w:tc>
          <w:tcPr>
            <w:tcW w:w="992" w:type="dxa"/>
          </w:tcPr>
          <w:p w14:paraId="15B0D6C3" w14:textId="77777777" w:rsidR="00DD13BF" w:rsidRPr="00BD3536" w:rsidRDefault="00DD13BF" w:rsidP="00355A56">
            <w:pPr>
              <w:pStyle w:val="TableParagraph"/>
              <w:rPr>
                <w:sz w:val="20"/>
              </w:rPr>
            </w:pPr>
            <w:r>
              <w:rPr>
                <w:sz w:val="20"/>
              </w:rPr>
              <w:t>2022</w:t>
            </w:r>
          </w:p>
        </w:tc>
        <w:tc>
          <w:tcPr>
            <w:tcW w:w="709" w:type="dxa"/>
          </w:tcPr>
          <w:p w14:paraId="3C2BAB5D" w14:textId="77777777" w:rsidR="00DD13BF" w:rsidRPr="00BD3536" w:rsidRDefault="00DD13BF" w:rsidP="00355A56">
            <w:pPr>
              <w:pStyle w:val="TableParagraph"/>
              <w:rPr>
                <w:rFonts w:cstheme="minorHAnsi"/>
                <w:sz w:val="20"/>
              </w:rPr>
            </w:pPr>
            <w:r>
              <w:rPr>
                <w:rFonts w:cstheme="minorHAnsi"/>
                <w:sz w:val="20"/>
              </w:rPr>
              <w:t>139</w:t>
            </w:r>
          </w:p>
        </w:tc>
        <w:tc>
          <w:tcPr>
            <w:tcW w:w="1134" w:type="dxa"/>
          </w:tcPr>
          <w:p w14:paraId="7259F549" w14:textId="77777777" w:rsidR="00DD13BF" w:rsidRPr="00BD3536" w:rsidRDefault="00DD13BF" w:rsidP="00355A56">
            <w:pPr>
              <w:pStyle w:val="TableParagraph"/>
              <w:rPr>
                <w:sz w:val="20"/>
              </w:rPr>
            </w:pPr>
            <w:r>
              <w:rPr>
                <w:sz w:val="20"/>
              </w:rPr>
              <w:t xml:space="preserve">MGRT </w:t>
            </w:r>
          </w:p>
        </w:tc>
        <w:tc>
          <w:tcPr>
            <w:tcW w:w="709" w:type="dxa"/>
          </w:tcPr>
          <w:p w14:paraId="0023DDF2" w14:textId="77777777" w:rsidR="00DD13BF" w:rsidRPr="00BD3536" w:rsidRDefault="00DD13BF" w:rsidP="00355A56">
            <w:pPr>
              <w:pStyle w:val="TableParagraph"/>
              <w:rPr>
                <w:sz w:val="20"/>
              </w:rPr>
            </w:pPr>
          </w:p>
        </w:tc>
      </w:tr>
      <w:tr w:rsidR="00DD13BF" w14:paraId="00988CCD" w14:textId="77777777" w:rsidTr="00355A56">
        <w:trPr>
          <w:trHeight w:val="353"/>
        </w:trPr>
        <w:tc>
          <w:tcPr>
            <w:tcW w:w="992" w:type="dxa"/>
          </w:tcPr>
          <w:p w14:paraId="38EF98DE" w14:textId="77777777" w:rsidR="00DD13BF" w:rsidRPr="00D52541" w:rsidRDefault="00DD13BF" w:rsidP="00355A56">
            <w:pPr>
              <w:pStyle w:val="TableParagraph"/>
              <w:rPr>
                <w:rFonts w:cstheme="minorHAnsi"/>
                <w:sz w:val="20"/>
              </w:rPr>
            </w:pPr>
            <w:r w:rsidRPr="00D52541">
              <w:rPr>
                <w:rFonts w:cstheme="minorHAnsi"/>
                <w:sz w:val="20"/>
                <w:lang w:bidi="sl-SI"/>
              </w:rPr>
              <w:t>1</w:t>
            </w:r>
          </w:p>
        </w:tc>
        <w:tc>
          <w:tcPr>
            <w:tcW w:w="992" w:type="dxa"/>
          </w:tcPr>
          <w:p w14:paraId="5AC83EF5" w14:textId="77777777" w:rsidR="00DD13BF" w:rsidRPr="00D52541" w:rsidRDefault="00DD13BF" w:rsidP="00355A56">
            <w:pPr>
              <w:pStyle w:val="TableParagraph"/>
              <w:rPr>
                <w:rFonts w:cstheme="minorHAnsi"/>
                <w:sz w:val="20"/>
              </w:rPr>
            </w:pPr>
            <w:r w:rsidRPr="00BA42D5">
              <w:rPr>
                <w:rFonts w:cstheme="minorHAnsi"/>
                <w:sz w:val="20"/>
              </w:rPr>
              <w:t>RSO1.1</w:t>
            </w:r>
          </w:p>
        </w:tc>
        <w:tc>
          <w:tcPr>
            <w:tcW w:w="709" w:type="dxa"/>
          </w:tcPr>
          <w:p w14:paraId="4F2433B1" w14:textId="77777777" w:rsidR="00DD13BF" w:rsidRPr="00D52541"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3ADFDC5A" w14:textId="77777777" w:rsidR="00DD13BF" w:rsidRPr="00D52541" w:rsidRDefault="00DD13BF" w:rsidP="00355A56">
            <w:pPr>
              <w:rPr>
                <w:rFonts w:cstheme="minorHAnsi"/>
                <w:sz w:val="20"/>
              </w:rPr>
            </w:pPr>
            <w:r>
              <w:rPr>
                <w:rFonts w:cstheme="minorHAnsi"/>
                <w:sz w:val="20"/>
              </w:rPr>
              <w:t xml:space="preserve">Less developed </w:t>
            </w:r>
          </w:p>
        </w:tc>
        <w:tc>
          <w:tcPr>
            <w:tcW w:w="850" w:type="dxa"/>
          </w:tcPr>
          <w:p w14:paraId="39153460" w14:textId="77777777" w:rsidR="00DD13BF" w:rsidRPr="00D52541" w:rsidRDefault="00DD13BF" w:rsidP="00355A56">
            <w:pPr>
              <w:pStyle w:val="TableParagraph"/>
              <w:rPr>
                <w:rFonts w:cstheme="minorHAnsi"/>
                <w:sz w:val="20"/>
                <w:lang w:bidi="sl-SI"/>
              </w:rPr>
            </w:pPr>
            <w:r w:rsidRPr="00D52541">
              <w:rPr>
                <w:rFonts w:cstheme="minorHAnsi"/>
                <w:sz w:val="20"/>
                <w:lang w:bidi="sl-SI"/>
              </w:rPr>
              <w:t>RCR06</w:t>
            </w:r>
          </w:p>
        </w:tc>
        <w:tc>
          <w:tcPr>
            <w:tcW w:w="2410" w:type="dxa"/>
          </w:tcPr>
          <w:p w14:paraId="7D870BE1" w14:textId="77777777" w:rsidR="00DD13BF" w:rsidRPr="00D52541" w:rsidRDefault="00DD13BF" w:rsidP="00355A56">
            <w:pPr>
              <w:pStyle w:val="TableParagraph"/>
              <w:rPr>
                <w:rFonts w:cstheme="minorHAnsi"/>
                <w:sz w:val="20"/>
                <w:lang w:bidi="sl-SI"/>
              </w:rPr>
            </w:pPr>
            <w:r>
              <w:rPr>
                <w:color w:val="000000"/>
                <w:sz w:val="20"/>
              </w:rPr>
              <w:t xml:space="preserve">Patent applications submitted </w:t>
            </w:r>
          </w:p>
        </w:tc>
        <w:tc>
          <w:tcPr>
            <w:tcW w:w="1418" w:type="dxa"/>
          </w:tcPr>
          <w:p w14:paraId="40DFC21B" w14:textId="77777777" w:rsidR="00DD13BF" w:rsidRPr="00D52541" w:rsidRDefault="00DD13BF" w:rsidP="00355A56">
            <w:pPr>
              <w:pStyle w:val="TableParagraph"/>
              <w:rPr>
                <w:rFonts w:cstheme="minorHAnsi"/>
                <w:sz w:val="20"/>
              </w:rPr>
            </w:pPr>
            <w:r>
              <w:rPr>
                <w:color w:val="000000"/>
                <w:sz w:val="20"/>
              </w:rPr>
              <w:t>patent applications</w:t>
            </w:r>
          </w:p>
        </w:tc>
        <w:tc>
          <w:tcPr>
            <w:tcW w:w="1134" w:type="dxa"/>
          </w:tcPr>
          <w:p w14:paraId="632659F4" w14:textId="77777777" w:rsidR="00DD13BF" w:rsidRPr="00D52541" w:rsidRDefault="00DD13BF" w:rsidP="00355A56">
            <w:pPr>
              <w:pStyle w:val="TableParagraph"/>
              <w:rPr>
                <w:sz w:val="20"/>
              </w:rPr>
            </w:pPr>
            <w:r>
              <w:rPr>
                <w:rFonts w:cstheme="minorHAnsi"/>
                <w:sz w:val="20"/>
                <w:lang w:bidi="sl-SI"/>
              </w:rPr>
              <w:t>0</w:t>
            </w:r>
          </w:p>
        </w:tc>
        <w:tc>
          <w:tcPr>
            <w:tcW w:w="992" w:type="dxa"/>
          </w:tcPr>
          <w:p w14:paraId="5155BECE" w14:textId="77777777" w:rsidR="00DD13BF" w:rsidRPr="00D52541" w:rsidRDefault="00DD13BF" w:rsidP="00355A56">
            <w:pPr>
              <w:pStyle w:val="TableParagraph"/>
              <w:rPr>
                <w:sz w:val="20"/>
              </w:rPr>
            </w:pPr>
            <w:r w:rsidRPr="00D52541">
              <w:rPr>
                <w:rFonts w:cstheme="minorHAnsi"/>
                <w:sz w:val="20"/>
                <w:lang w:bidi="sl-SI"/>
              </w:rPr>
              <w:t>2022</w:t>
            </w:r>
          </w:p>
        </w:tc>
        <w:tc>
          <w:tcPr>
            <w:tcW w:w="709" w:type="dxa"/>
          </w:tcPr>
          <w:p w14:paraId="6185C485" w14:textId="77777777" w:rsidR="00DD13BF" w:rsidRPr="00D52541" w:rsidRDefault="00DD13BF" w:rsidP="00355A56">
            <w:pPr>
              <w:pStyle w:val="TableParagraph"/>
              <w:rPr>
                <w:rFonts w:cstheme="minorHAnsi"/>
                <w:sz w:val="20"/>
              </w:rPr>
            </w:pPr>
            <w:r>
              <w:rPr>
                <w:rFonts w:cstheme="minorHAnsi"/>
                <w:sz w:val="20"/>
                <w:lang w:bidi="sl-SI"/>
              </w:rPr>
              <w:t>7</w:t>
            </w:r>
          </w:p>
        </w:tc>
        <w:tc>
          <w:tcPr>
            <w:tcW w:w="1134" w:type="dxa"/>
          </w:tcPr>
          <w:p w14:paraId="63D0FA6E" w14:textId="77777777" w:rsidR="00DD13BF" w:rsidRPr="00D52541" w:rsidRDefault="00DD13BF" w:rsidP="00355A56">
            <w:pPr>
              <w:pStyle w:val="TableParagraph"/>
              <w:rPr>
                <w:sz w:val="20"/>
              </w:rPr>
            </w:pPr>
            <w:r>
              <w:rPr>
                <w:sz w:val="20"/>
              </w:rPr>
              <w:t>beneficiary, MIZŠ</w:t>
            </w:r>
          </w:p>
        </w:tc>
        <w:tc>
          <w:tcPr>
            <w:tcW w:w="709" w:type="dxa"/>
          </w:tcPr>
          <w:p w14:paraId="63243F2D" w14:textId="77777777" w:rsidR="00DD13BF" w:rsidRPr="00D52541" w:rsidRDefault="00DD13BF" w:rsidP="00355A56">
            <w:pPr>
              <w:pStyle w:val="TableParagraph"/>
              <w:rPr>
                <w:sz w:val="20"/>
              </w:rPr>
            </w:pPr>
          </w:p>
        </w:tc>
      </w:tr>
      <w:tr w:rsidR="00DD13BF" w14:paraId="7784D33E" w14:textId="77777777" w:rsidTr="00355A56">
        <w:trPr>
          <w:trHeight w:val="353"/>
        </w:trPr>
        <w:tc>
          <w:tcPr>
            <w:tcW w:w="992" w:type="dxa"/>
          </w:tcPr>
          <w:p w14:paraId="775E33B7" w14:textId="77777777" w:rsidR="00DD13BF" w:rsidRPr="00D52541" w:rsidRDefault="00DD13BF" w:rsidP="00355A56">
            <w:pPr>
              <w:pStyle w:val="TableParagraph"/>
              <w:rPr>
                <w:rFonts w:cstheme="minorHAnsi"/>
                <w:sz w:val="20"/>
              </w:rPr>
            </w:pPr>
            <w:r w:rsidRPr="00D52541">
              <w:rPr>
                <w:rFonts w:cstheme="minorHAnsi"/>
                <w:sz w:val="20"/>
                <w:lang w:bidi="sl-SI"/>
              </w:rPr>
              <w:t>1</w:t>
            </w:r>
          </w:p>
        </w:tc>
        <w:tc>
          <w:tcPr>
            <w:tcW w:w="992" w:type="dxa"/>
          </w:tcPr>
          <w:p w14:paraId="73F2E9DE" w14:textId="77777777" w:rsidR="00DD13BF" w:rsidRPr="00D52541" w:rsidRDefault="00DD13BF" w:rsidP="00355A56">
            <w:pPr>
              <w:pStyle w:val="TableParagraph"/>
              <w:rPr>
                <w:rFonts w:cstheme="minorHAnsi"/>
                <w:sz w:val="20"/>
              </w:rPr>
            </w:pPr>
            <w:r w:rsidRPr="00BA42D5">
              <w:rPr>
                <w:rFonts w:cstheme="minorHAnsi"/>
                <w:sz w:val="20"/>
              </w:rPr>
              <w:t>RSO1.1</w:t>
            </w:r>
          </w:p>
        </w:tc>
        <w:tc>
          <w:tcPr>
            <w:tcW w:w="709" w:type="dxa"/>
          </w:tcPr>
          <w:p w14:paraId="4902CEBA" w14:textId="77777777" w:rsidR="00DD13BF" w:rsidRPr="00D52541"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0BC190C3" w14:textId="77777777" w:rsidR="00DD13BF" w:rsidRPr="00D52541" w:rsidRDefault="00DD13BF" w:rsidP="00355A56">
            <w:pPr>
              <w:rPr>
                <w:rFonts w:cstheme="minorHAnsi"/>
                <w:sz w:val="20"/>
              </w:rPr>
            </w:pPr>
            <w:r>
              <w:rPr>
                <w:rFonts w:cstheme="minorHAnsi"/>
                <w:sz w:val="20"/>
              </w:rPr>
              <w:t xml:space="preserve">More developed </w:t>
            </w:r>
          </w:p>
        </w:tc>
        <w:tc>
          <w:tcPr>
            <w:tcW w:w="850" w:type="dxa"/>
          </w:tcPr>
          <w:p w14:paraId="1BDB3E7E" w14:textId="77777777" w:rsidR="00DD13BF" w:rsidRPr="00D52541" w:rsidRDefault="00DD13BF" w:rsidP="00355A56">
            <w:pPr>
              <w:pStyle w:val="TableParagraph"/>
              <w:rPr>
                <w:rFonts w:cstheme="minorHAnsi"/>
                <w:sz w:val="20"/>
                <w:lang w:bidi="sl-SI"/>
              </w:rPr>
            </w:pPr>
            <w:r w:rsidRPr="00D52541">
              <w:rPr>
                <w:rFonts w:cstheme="minorHAnsi"/>
                <w:sz w:val="20"/>
                <w:lang w:bidi="sl-SI"/>
              </w:rPr>
              <w:t>RCR06</w:t>
            </w:r>
          </w:p>
        </w:tc>
        <w:tc>
          <w:tcPr>
            <w:tcW w:w="2410" w:type="dxa"/>
          </w:tcPr>
          <w:p w14:paraId="44F91D59" w14:textId="77777777" w:rsidR="00DD13BF" w:rsidRPr="00D52541" w:rsidRDefault="00DD13BF" w:rsidP="00355A56">
            <w:pPr>
              <w:pStyle w:val="TableParagraph"/>
              <w:rPr>
                <w:rFonts w:cstheme="minorHAnsi"/>
                <w:sz w:val="20"/>
                <w:lang w:bidi="sl-SI"/>
              </w:rPr>
            </w:pPr>
            <w:r>
              <w:rPr>
                <w:color w:val="000000"/>
                <w:sz w:val="20"/>
              </w:rPr>
              <w:t>Patent applications submitted</w:t>
            </w:r>
          </w:p>
        </w:tc>
        <w:tc>
          <w:tcPr>
            <w:tcW w:w="1418" w:type="dxa"/>
          </w:tcPr>
          <w:p w14:paraId="23E7B44E" w14:textId="77777777" w:rsidR="00DD13BF" w:rsidRPr="00D52541" w:rsidRDefault="00DD13BF" w:rsidP="00355A56">
            <w:pPr>
              <w:pStyle w:val="TableParagraph"/>
              <w:rPr>
                <w:rFonts w:cstheme="minorHAnsi"/>
                <w:sz w:val="20"/>
              </w:rPr>
            </w:pPr>
            <w:r>
              <w:rPr>
                <w:color w:val="000000"/>
                <w:sz w:val="20"/>
              </w:rPr>
              <w:t>patent applications</w:t>
            </w:r>
          </w:p>
        </w:tc>
        <w:tc>
          <w:tcPr>
            <w:tcW w:w="1134" w:type="dxa"/>
          </w:tcPr>
          <w:p w14:paraId="0AFCC711" w14:textId="77777777" w:rsidR="00DD13BF" w:rsidRPr="00D52541" w:rsidRDefault="00DD13BF" w:rsidP="00355A56">
            <w:pPr>
              <w:pStyle w:val="TableParagraph"/>
              <w:rPr>
                <w:sz w:val="20"/>
              </w:rPr>
            </w:pPr>
            <w:r>
              <w:rPr>
                <w:rFonts w:cstheme="minorHAnsi"/>
                <w:sz w:val="20"/>
                <w:lang w:bidi="sl-SI"/>
              </w:rPr>
              <w:t>0</w:t>
            </w:r>
          </w:p>
        </w:tc>
        <w:tc>
          <w:tcPr>
            <w:tcW w:w="992" w:type="dxa"/>
          </w:tcPr>
          <w:p w14:paraId="1E6D8988" w14:textId="77777777" w:rsidR="00DD13BF" w:rsidRPr="00D52541" w:rsidRDefault="00DD13BF" w:rsidP="00355A56">
            <w:pPr>
              <w:pStyle w:val="TableParagraph"/>
              <w:rPr>
                <w:sz w:val="20"/>
              </w:rPr>
            </w:pPr>
            <w:r w:rsidRPr="00D52541">
              <w:rPr>
                <w:rFonts w:cstheme="minorHAnsi"/>
                <w:sz w:val="20"/>
                <w:lang w:bidi="sl-SI"/>
              </w:rPr>
              <w:t>2022</w:t>
            </w:r>
          </w:p>
        </w:tc>
        <w:tc>
          <w:tcPr>
            <w:tcW w:w="709" w:type="dxa"/>
          </w:tcPr>
          <w:p w14:paraId="6B41DC47" w14:textId="77777777" w:rsidR="00DD13BF" w:rsidRPr="00D52541" w:rsidRDefault="00DD13BF" w:rsidP="00355A56">
            <w:pPr>
              <w:pStyle w:val="TableParagraph"/>
              <w:rPr>
                <w:rFonts w:cstheme="minorHAnsi"/>
                <w:sz w:val="20"/>
              </w:rPr>
            </w:pPr>
            <w:r>
              <w:rPr>
                <w:rFonts w:cstheme="minorHAnsi"/>
                <w:sz w:val="20"/>
                <w:lang w:bidi="sl-SI"/>
              </w:rPr>
              <w:t>18</w:t>
            </w:r>
          </w:p>
        </w:tc>
        <w:tc>
          <w:tcPr>
            <w:tcW w:w="1134" w:type="dxa"/>
          </w:tcPr>
          <w:p w14:paraId="58AC80A2" w14:textId="77777777" w:rsidR="00DD13BF" w:rsidRPr="00D52541" w:rsidRDefault="00DD13BF" w:rsidP="00355A56">
            <w:pPr>
              <w:pStyle w:val="TableParagraph"/>
              <w:rPr>
                <w:sz w:val="20"/>
              </w:rPr>
            </w:pPr>
            <w:r>
              <w:rPr>
                <w:sz w:val="20"/>
              </w:rPr>
              <w:t>beneficiary</w:t>
            </w:r>
            <w:r w:rsidRPr="0005252E">
              <w:rPr>
                <w:sz w:val="20"/>
              </w:rPr>
              <w:t>, MIZŠ</w:t>
            </w:r>
          </w:p>
        </w:tc>
        <w:tc>
          <w:tcPr>
            <w:tcW w:w="709" w:type="dxa"/>
          </w:tcPr>
          <w:p w14:paraId="6CCFB5F8" w14:textId="77777777" w:rsidR="00DD13BF" w:rsidRPr="00D52541" w:rsidRDefault="00DD13BF" w:rsidP="00355A56">
            <w:pPr>
              <w:pStyle w:val="TableParagraph"/>
              <w:rPr>
                <w:sz w:val="20"/>
              </w:rPr>
            </w:pPr>
          </w:p>
        </w:tc>
      </w:tr>
      <w:tr w:rsidR="00DD13BF" w14:paraId="25B1B104" w14:textId="77777777" w:rsidTr="00355A56">
        <w:trPr>
          <w:trHeight w:val="353"/>
        </w:trPr>
        <w:tc>
          <w:tcPr>
            <w:tcW w:w="992" w:type="dxa"/>
          </w:tcPr>
          <w:p w14:paraId="3DA8DDF2" w14:textId="77777777" w:rsidR="00DD13BF" w:rsidRPr="00BD3536" w:rsidRDefault="00DD13BF" w:rsidP="00355A56">
            <w:pPr>
              <w:pStyle w:val="TableParagraph"/>
              <w:rPr>
                <w:rFonts w:cstheme="minorHAnsi"/>
                <w:sz w:val="20"/>
              </w:rPr>
            </w:pPr>
            <w:r>
              <w:rPr>
                <w:rFonts w:cstheme="minorHAnsi"/>
                <w:sz w:val="20"/>
              </w:rPr>
              <w:t>1</w:t>
            </w:r>
          </w:p>
        </w:tc>
        <w:tc>
          <w:tcPr>
            <w:tcW w:w="992" w:type="dxa"/>
          </w:tcPr>
          <w:p w14:paraId="12576076" w14:textId="77777777" w:rsidR="00DD13BF" w:rsidRPr="00BD3536" w:rsidRDefault="00DD13BF" w:rsidP="00355A56">
            <w:pPr>
              <w:pStyle w:val="TableParagraph"/>
              <w:rPr>
                <w:rFonts w:cstheme="minorHAnsi"/>
                <w:sz w:val="20"/>
              </w:rPr>
            </w:pPr>
            <w:r w:rsidRPr="00BA42D5">
              <w:rPr>
                <w:rFonts w:cstheme="minorHAnsi"/>
                <w:sz w:val="20"/>
              </w:rPr>
              <w:t>RSO1.1</w:t>
            </w:r>
          </w:p>
        </w:tc>
        <w:tc>
          <w:tcPr>
            <w:tcW w:w="709" w:type="dxa"/>
          </w:tcPr>
          <w:p w14:paraId="3D1C56A6"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0334F899" w14:textId="77777777" w:rsidR="00DD13BF" w:rsidRPr="00BD3536" w:rsidRDefault="00DD13BF" w:rsidP="00355A56">
            <w:pPr>
              <w:rPr>
                <w:rFonts w:cstheme="minorHAnsi"/>
                <w:sz w:val="20"/>
              </w:rPr>
            </w:pPr>
            <w:r>
              <w:rPr>
                <w:rFonts w:cstheme="minorHAnsi"/>
                <w:sz w:val="20"/>
              </w:rPr>
              <w:t xml:space="preserve">More developed </w:t>
            </w:r>
          </w:p>
        </w:tc>
        <w:tc>
          <w:tcPr>
            <w:tcW w:w="850" w:type="dxa"/>
          </w:tcPr>
          <w:p w14:paraId="2231B457" w14:textId="77777777" w:rsidR="00DD13BF" w:rsidRPr="00BD3536" w:rsidRDefault="00DD13BF" w:rsidP="00355A56">
            <w:pPr>
              <w:pStyle w:val="TableParagraph"/>
              <w:rPr>
                <w:rFonts w:cstheme="minorHAnsi"/>
                <w:sz w:val="20"/>
                <w:lang w:bidi="sl-SI"/>
              </w:rPr>
            </w:pPr>
            <w:r w:rsidRPr="00BD3536">
              <w:rPr>
                <w:rFonts w:cstheme="minorHAnsi"/>
                <w:sz w:val="20"/>
              </w:rPr>
              <w:t>RCR</w:t>
            </w:r>
            <w:r>
              <w:rPr>
                <w:rFonts w:cstheme="minorHAnsi"/>
                <w:sz w:val="20"/>
              </w:rPr>
              <w:t>08</w:t>
            </w:r>
          </w:p>
        </w:tc>
        <w:tc>
          <w:tcPr>
            <w:tcW w:w="2410" w:type="dxa"/>
          </w:tcPr>
          <w:p w14:paraId="67E02E45" w14:textId="77777777" w:rsidR="00DD13BF" w:rsidRPr="00036039" w:rsidRDefault="00DD13BF" w:rsidP="00355A56">
            <w:pPr>
              <w:pStyle w:val="TableParagraph"/>
              <w:rPr>
                <w:rFonts w:cstheme="minorHAnsi"/>
                <w:sz w:val="20"/>
                <w:lang w:bidi="sl-SI"/>
              </w:rPr>
            </w:pPr>
            <w:r w:rsidRPr="00036039">
              <w:rPr>
                <w:sz w:val="20"/>
              </w:rPr>
              <w:t>Publications from supported projects</w:t>
            </w:r>
          </w:p>
        </w:tc>
        <w:tc>
          <w:tcPr>
            <w:tcW w:w="1418" w:type="dxa"/>
          </w:tcPr>
          <w:p w14:paraId="1E5BF48B" w14:textId="77777777" w:rsidR="00DD13BF" w:rsidRPr="00BD3536" w:rsidRDefault="00DD13BF" w:rsidP="00355A56">
            <w:pPr>
              <w:pStyle w:val="TableParagraph"/>
              <w:rPr>
                <w:rFonts w:cstheme="minorHAnsi"/>
                <w:sz w:val="20"/>
                <w:lang w:bidi="sl-SI"/>
              </w:rPr>
            </w:pPr>
            <w:r>
              <w:rPr>
                <w:color w:val="000000"/>
                <w:sz w:val="20"/>
              </w:rPr>
              <w:t>publications</w:t>
            </w:r>
          </w:p>
        </w:tc>
        <w:tc>
          <w:tcPr>
            <w:tcW w:w="1134" w:type="dxa"/>
          </w:tcPr>
          <w:p w14:paraId="48C14C6A" w14:textId="77777777" w:rsidR="00DD13BF" w:rsidRPr="00BD3536" w:rsidRDefault="00DD13BF" w:rsidP="00355A56">
            <w:pPr>
              <w:pStyle w:val="TableParagraph"/>
              <w:rPr>
                <w:sz w:val="20"/>
              </w:rPr>
            </w:pPr>
            <w:r w:rsidRPr="00894D3A">
              <w:rPr>
                <w:sz w:val="20"/>
              </w:rPr>
              <w:t>0</w:t>
            </w:r>
          </w:p>
        </w:tc>
        <w:tc>
          <w:tcPr>
            <w:tcW w:w="992" w:type="dxa"/>
          </w:tcPr>
          <w:p w14:paraId="3A9D6922" w14:textId="77777777" w:rsidR="00DD13BF" w:rsidRPr="00BD3536" w:rsidRDefault="00DD13BF" w:rsidP="00355A56">
            <w:pPr>
              <w:pStyle w:val="TableParagraph"/>
              <w:rPr>
                <w:sz w:val="20"/>
              </w:rPr>
            </w:pPr>
            <w:r>
              <w:rPr>
                <w:sz w:val="20"/>
              </w:rPr>
              <w:t>2020</w:t>
            </w:r>
          </w:p>
        </w:tc>
        <w:tc>
          <w:tcPr>
            <w:tcW w:w="709" w:type="dxa"/>
          </w:tcPr>
          <w:p w14:paraId="43D70309" w14:textId="77777777" w:rsidR="00DD13BF" w:rsidRPr="00BD3536" w:rsidRDefault="00DD13BF" w:rsidP="00355A56">
            <w:pPr>
              <w:pStyle w:val="TableParagraph"/>
              <w:rPr>
                <w:rFonts w:cstheme="minorHAnsi"/>
                <w:sz w:val="20"/>
              </w:rPr>
            </w:pPr>
            <w:r>
              <w:rPr>
                <w:rFonts w:cstheme="minorHAnsi"/>
                <w:sz w:val="20"/>
              </w:rPr>
              <w:t>68</w:t>
            </w:r>
          </w:p>
        </w:tc>
        <w:tc>
          <w:tcPr>
            <w:tcW w:w="1134" w:type="dxa"/>
          </w:tcPr>
          <w:p w14:paraId="2A9C4743" w14:textId="77777777" w:rsidR="00DD13BF" w:rsidRPr="00BD3536" w:rsidRDefault="00DD13BF" w:rsidP="00355A56">
            <w:pPr>
              <w:pStyle w:val="TableParagraph"/>
              <w:rPr>
                <w:sz w:val="20"/>
              </w:rPr>
            </w:pPr>
            <w:r>
              <w:rPr>
                <w:sz w:val="20"/>
              </w:rPr>
              <w:t>monitoring</w:t>
            </w:r>
          </w:p>
        </w:tc>
        <w:tc>
          <w:tcPr>
            <w:tcW w:w="709" w:type="dxa"/>
          </w:tcPr>
          <w:p w14:paraId="4866AAC2" w14:textId="77777777" w:rsidR="00DD13BF" w:rsidRPr="00BD3536" w:rsidRDefault="00DD13BF" w:rsidP="00355A56">
            <w:pPr>
              <w:pStyle w:val="TableParagraph"/>
              <w:rPr>
                <w:sz w:val="20"/>
              </w:rPr>
            </w:pPr>
          </w:p>
        </w:tc>
      </w:tr>
      <w:tr w:rsidR="00DD13BF" w14:paraId="479EC021" w14:textId="77777777" w:rsidTr="00355A56">
        <w:trPr>
          <w:trHeight w:val="353"/>
        </w:trPr>
        <w:tc>
          <w:tcPr>
            <w:tcW w:w="992" w:type="dxa"/>
          </w:tcPr>
          <w:p w14:paraId="2CE0A672" w14:textId="77777777" w:rsidR="00DD13BF" w:rsidRDefault="00DD13BF" w:rsidP="00355A56">
            <w:pPr>
              <w:pStyle w:val="TableParagraph"/>
              <w:rPr>
                <w:rFonts w:cstheme="minorHAnsi"/>
                <w:sz w:val="20"/>
              </w:rPr>
            </w:pPr>
            <w:r>
              <w:rPr>
                <w:rFonts w:cstheme="minorHAnsi"/>
                <w:sz w:val="20"/>
              </w:rPr>
              <w:t>1</w:t>
            </w:r>
          </w:p>
        </w:tc>
        <w:tc>
          <w:tcPr>
            <w:tcW w:w="992" w:type="dxa"/>
          </w:tcPr>
          <w:p w14:paraId="415E1B89" w14:textId="77777777" w:rsidR="00DD13BF" w:rsidRPr="00DB7947" w:rsidRDefault="00DD13BF" w:rsidP="00355A56">
            <w:pPr>
              <w:pStyle w:val="TableParagraph"/>
              <w:rPr>
                <w:rFonts w:cstheme="minorHAnsi"/>
                <w:sz w:val="20"/>
              </w:rPr>
            </w:pPr>
            <w:r w:rsidRPr="00BA42D5">
              <w:rPr>
                <w:rFonts w:cstheme="minorHAnsi"/>
                <w:sz w:val="20"/>
              </w:rPr>
              <w:t>RSO1.1</w:t>
            </w:r>
          </w:p>
        </w:tc>
        <w:tc>
          <w:tcPr>
            <w:tcW w:w="709" w:type="dxa"/>
          </w:tcPr>
          <w:p w14:paraId="5253327B"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5CC47F1C" w14:textId="77777777" w:rsidR="00DD13BF" w:rsidRPr="00BD3536" w:rsidRDefault="00DD13BF" w:rsidP="00355A56">
            <w:pPr>
              <w:rPr>
                <w:rFonts w:cstheme="minorHAnsi"/>
                <w:sz w:val="20"/>
              </w:rPr>
            </w:pPr>
            <w:r>
              <w:rPr>
                <w:rFonts w:cstheme="minorHAnsi"/>
                <w:sz w:val="20"/>
              </w:rPr>
              <w:t xml:space="preserve">Less developed </w:t>
            </w:r>
          </w:p>
        </w:tc>
        <w:tc>
          <w:tcPr>
            <w:tcW w:w="850" w:type="dxa"/>
          </w:tcPr>
          <w:p w14:paraId="794D3A9F" w14:textId="77777777" w:rsidR="00DD13BF" w:rsidRPr="00BD3536" w:rsidRDefault="00DD13BF" w:rsidP="00355A56">
            <w:pPr>
              <w:pStyle w:val="TableParagraph"/>
              <w:rPr>
                <w:sz w:val="20"/>
              </w:rPr>
            </w:pPr>
            <w:r>
              <w:rPr>
                <w:sz w:val="20"/>
              </w:rPr>
              <w:t>RCR102</w:t>
            </w:r>
          </w:p>
        </w:tc>
        <w:tc>
          <w:tcPr>
            <w:tcW w:w="2410" w:type="dxa"/>
          </w:tcPr>
          <w:p w14:paraId="22CEE3B8" w14:textId="77777777" w:rsidR="00DD13BF" w:rsidRPr="006A1097" w:rsidRDefault="00DD13BF" w:rsidP="00355A56">
            <w:pPr>
              <w:pStyle w:val="TableParagraph"/>
              <w:rPr>
                <w:rFonts w:cstheme="minorHAnsi"/>
                <w:sz w:val="20"/>
              </w:rPr>
            </w:pPr>
            <w:r w:rsidRPr="006A1097">
              <w:rPr>
                <w:sz w:val="20"/>
              </w:rPr>
              <w:t>Research jobs created in supported entities</w:t>
            </w:r>
          </w:p>
        </w:tc>
        <w:tc>
          <w:tcPr>
            <w:tcW w:w="1418" w:type="dxa"/>
          </w:tcPr>
          <w:p w14:paraId="7602CA5B" w14:textId="77777777" w:rsidR="00DD13BF" w:rsidRDefault="00DD13BF" w:rsidP="00355A56">
            <w:pPr>
              <w:pStyle w:val="TableParagraph"/>
              <w:rPr>
                <w:rFonts w:cstheme="minorHAnsi"/>
                <w:sz w:val="20"/>
              </w:rPr>
            </w:pPr>
            <w:r>
              <w:rPr>
                <w:color w:val="000000"/>
                <w:sz w:val="20"/>
              </w:rPr>
              <w:t>annual FTEs</w:t>
            </w:r>
          </w:p>
        </w:tc>
        <w:tc>
          <w:tcPr>
            <w:tcW w:w="1134" w:type="dxa"/>
          </w:tcPr>
          <w:p w14:paraId="6419EDF5" w14:textId="77777777" w:rsidR="00DD13BF" w:rsidRPr="00BD3536" w:rsidRDefault="00DD13BF" w:rsidP="00355A56">
            <w:pPr>
              <w:pStyle w:val="TableParagraph"/>
              <w:rPr>
                <w:sz w:val="20"/>
              </w:rPr>
            </w:pPr>
            <w:r>
              <w:rPr>
                <w:sz w:val="20"/>
              </w:rPr>
              <w:t>0</w:t>
            </w:r>
          </w:p>
        </w:tc>
        <w:tc>
          <w:tcPr>
            <w:tcW w:w="992" w:type="dxa"/>
          </w:tcPr>
          <w:p w14:paraId="51CAB53B" w14:textId="77777777" w:rsidR="00DD13BF" w:rsidRPr="00BD3536" w:rsidRDefault="00DD13BF" w:rsidP="00355A56">
            <w:pPr>
              <w:pStyle w:val="TableParagraph"/>
              <w:rPr>
                <w:sz w:val="20"/>
              </w:rPr>
            </w:pPr>
            <w:r>
              <w:rPr>
                <w:sz w:val="20"/>
              </w:rPr>
              <w:t>2022</w:t>
            </w:r>
          </w:p>
        </w:tc>
        <w:tc>
          <w:tcPr>
            <w:tcW w:w="709" w:type="dxa"/>
          </w:tcPr>
          <w:p w14:paraId="6897817B" w14:textId="77777777" w:rsidR="00DD13BF" w:rsidRPr="00BD3536" w:rsidRDefault="00DD13BF" w:rsidP="00355A56">
            <w:pPr>
              <w:pStyle w:val="TableParagraph"/>
              <w:rPr>
                <w:sz w:val="20"/>
              </w:rPr>
            </w:pPr>
            <w:r>
              <w:rPr>
                <w:sz w:val="20"/>
              </w:rPr>
              <w:t>41</w:t>
            </w:r>
          </w:p>
        </w:tc>
        <w:tc>
          <w:tcPr>
            <w:tcW w:w="1134" w:type="dxa"/>
          </w:tcPr>
          <w:p w14:paraId="174F3EDA" w14:textId="77777777" w:rsidR="00DD13BF" w:rsidRPr="00BD3536" w:rsidRDefault="00DD13BF" w:rsidP="00355A56">
            <w:pPr>
              <w:pStyle w:val="TableParagraph"/>
              <w:rPr>
                <w:sz w:val="20"/>
              </w:rPr>
            </w:pPr>
            <w:r>
              <w:rPr>
                <w:sz w:val="20"/>
              </w:rPr>
              <w:t>beneficiary</w:t>
            </w:r>
            <w:r w:rsidRPr="0005252E">
              <w:rPr>
                <w:sz w:val="20"/>
              </w:rPr>
              <w:t>, MIZŠ</w:t>
            </w:r>
          </w:p>
        </w:tc>
        <w:tc>
          <w:tcPr>
            <w:tcW w:w="709" w:type="dxa"/>
          </w:tcPr>
          <w:p w14:paraId="562AEBA3" w14:textId="77777777" w:rsidR="00DD13BF" w:rsidRPr="00BD3536" w:rsidRDefault="00DD13BF" w:rsidP="00355A56">
            <w:pPr>
              <w:pStyle w:val="TableParagraph"/>
              <w:rPr>
                <w:sz w:val="20"/>
              </w:rPr>
            </w:pPr>
          </w:p>
        </w:tc>
      </w:tr>
      <w:tr w:rsidR="00DD13BF" w14:paraId="386AD3E6" w14:textId="77777777" w:rsidTr="00355A56">
        <w:trPr>
          <w:trHeight w:val="353"/>
        </w:trPr>
        <w:tc>
          <w:tcPr>
            <w:tcW w:w="992" w:type="dxa"/>
          </w:tcPr>
          <w:p w14:paraId="303D8BC1" w14:textId="77777777" w:rsidR="00DD13BF" w:rsidRDefault="00DD13BF" w:rsidP="00355A56">
            <w:pPr>
              <w:pStyle w:val="TableParagraph"/>
              <w:rPr>
                <w:rFonts w:cstheme="minorHAnsi"/>
                <w:sz w:val="20"/>
              </w:rPr>
            </w:pPr>
            <w:r>
              <w:rPr>
                <w:rFonts w:cstheme="minorHAnsi"/>
                <w:sz w:val="20"/>
              </w:rPr>
              <w:t>1</w:t>
            </w:r>
          </w:p>
        </w:tc>
        <w:tc>
          <w:tcPr>
            <w:tcW w:w="992" w:type="dxa"/>
          </w:tcPr>
          <w:p w14:paraId="442735D1" w14:textId="77777777" w:rsidR="00DD13BF" w:rsidRPr="00DB7947" w:rsidRDefault="00DD13BF" w:rsidP="00355A56">
            <w:pPr>
              <w:pStyle w:val="TableParagraph"/>
              <w:rPr>
                <w:rFonts w:cstheme="minorHAnsi"/>
                <w:sz w:val="20"/>
              </w:rPr>
            </w:pPr>
            <w:r w:rsidRPr="00BA42D5">
              <w:rPr>
                <w:rFonts w:cstheme="minorHAnsi"/>
                <w:sz w:val="20"/>
              </w:rPr>
              <w:t>RSO1.1</w:t>
            </w:r>
          </w:p>
        </w:tc>
        <w:tc>
          <w:tcPr>
            <w:tcW w:w="709" w:type="dxa"/>
          </w:tcPr>
          <w:p w14:paraId="2F487070"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090E468B" w14:textId="77777777" w:rsidR="00DD13BF" w:rsidRPr="00BD3536" w:rsidRDefault="00DD13BF" w:rsidP="00355A56">
            <w:pPr>
              <w:rPr>
                <w:rFonts w:cstheme="minorHAnsi"/>
                <w:sz w:val="20"/>
              </w:rPr>
            </w:pPr>
            <w:r>
              <w:rPr>
                <w:rFonts w:cstheme="minorHAnsi"/>
                <w:sz w:val="20"/>
              </w:rPr>
              <w:t xml:space="preserve">More developed </w:t>
            </w:r>
          </w:p>
        </w:tc>
        <w:tc>
          <w:tcPr>
            <w:tcW w:w="850" w:type="dxa"/>
          </w:tcPr>
          <w:p w14:paraId="03B4EB69" w14:textId="77777777" w:rsidR="00DD13BF" w:rsidRPr="00BD3536" w:rsidRDefault="00DD13BF" w:rsidP="00355A56">
            <w:pPr>
              <w:pStyle w:val="TableParagraph"/>
              <w:rPr>
                <w:sz w:val="20"/>
              </w:rPr>
            </w:pPr>
            <w:r>
              <w:rPr>
                <w:sz w:val="20"/>
              </w:rPr>
              <w:t>RCR102</w:t>
            </w:r>
          </w:p>
        </w:tc>
        <w:tc>
          <w:tcPr>
            <w:tcW w:w="2410" w:type="dxa"/>
          </w:tcPr>
          <w:p w14:paraId="4EB7D55D" w14:textId="77777777" w:rsidR="00DD13BF" w:rsidRPr="006A1097" w:rsidRDefault="00DD13BF" w:rsidP="00355A56">
            <w:pPr>
              <w:pStyle w:val="TableParagraph"/>
              <w:rPr>
                <w:rFonts w:cstheme="minorHAnsi"/>
                <w:sz w:val="20"/>
              </w:rPr>
            </w:pPr>
            <w:r w:rsidRPr="006A1097">
              <w:rPr>
                <w:sz w:val="20"/>
              </w:rPr>
              <w:t>Research jobs created in supported entities</w:t>
            </w:r>
          </w:p>
        </w:tc>
        <w:tc>
          <w:tcPr>
            <w:tcW w:w="1418" w:type="dxa"/>
          </w:tcPr>
          <w:p w14:paraId="7D812FCA" w14:textId="77777777" w:rsidR="00DD13BF" w:rsidRDefault="00DD13BF" w:rsidP="00355A56">
            <w:pPr>
              <w:pStyle w:val="TableParagraph"/>
              <w:rPr>
                <w:rFonts w:cstheme="minorHAnsi"/>
                <w:sz w:val="20"/>
              </w:rPr>
            </w:pPr>
            <w:r>
              <w:rPr>
                <w:color w:val="000000"/>
                <w:sz w:val="20"/>
              </w:rPr>
              <w:t>annual FTEs</w:t>
            </w:r>
          </w:p>
        </w:tc>
        <w:tc>
          <w:tcPr>
            <w:tcW w:w="1134" w:type="dxa"/>
          </w:tcPr>
          <w:p w14:paraId="601364DF" w14:textId="77777777" w:rsidR="00DD13BF" w:rsidRPr="00BD3536" w:rsidRDefault="00DD13BF" w:rsidP="00355A56">
            <w:pPr>
              <w:pStyle w:val="TableParagraph"/>
              <w:rPr>
                <w:sz w:val="20"/>
              </w:rPr>
            </w:pPr>
            <w:r>
              <w:rPr>
                <w:sz w:val="20"/>
              </w:rPr>
              <w:t>0</w:t>
            </w:r>
          </w:p>
        </w:tc>
        <w:tc>
          <w:tcPr>
            <w:tcW w:w="992" w:type="dxa"/>
          </w:tcPr>
          <w:p w14:paraId="6311AF07" w14:textId="77777777" w:rsidR="00DD13BF" w:rsidRPr="00BD3536" w:rsidRDefault="00DD13BF" w:rsidP="00355A56">
            <w:pPr>
              <w:pStyle w:val="TableParagraph"/>
              <w:rPr>
                <w:sz w:val="20"/>
              </w:rPr>
            </w:pPr>
            <w:r>
              <w:rPr>
                <w:sz w:val="20"/>
              </w:rPr>
              <w:t>2022</w:t>
            </w:r>
          </w:p>
        </w:tc>
        <w:tc>
          <w:tcPr>
            <w:tcW w:w="709" w:type="dxa"/>
          </w:tcPr>
          <w:p w14:paraId="38748E96" w14:textId="77777777" w:rsidR="00DD13BF" w:rsidRPr="00BD3536" w:rsidRDefault="00DD13BF" w:rsidP="00355A56">
            <w:pPr>
              <w:pStyle w:val="TableParagraph"/>
              <w:rPr>
                <w:sz w:val="20"/>
              </w:rPr>
            </w:pPr>
            <w:r>
              <w:rPr>
                <w:sz w:val="20"/>
              </w:rPr>
              <w:t>45</w:t>
            </w:r>
          </w:p>
        </w:tc>
        <w:tc>
          <w:tcPr>
            <w:tcW w:w="1134" w:type="dxa"/>
          </w:tcPr>
          <w:p w14:paraId="6A8EF1AC" w14:textId="77777777" w:rsidR="00DD13BF" w:rsidRPr="00BD3536" w:rsidRDefault="00DD13BF" w:rsidP="00355A56">
            <w:pPr>
              <w:pStyle w:val="TableParagraph"/>
              <w:rPr>
                <w:sz w:val="20"/>
              </w:rPr>
            </w:pPr>
            <w:r>
              <w:rPr>
                <w:sz w:val="20"/>
              </w:rPr>
              <w:t>beneficiary</w:t>
            </w:r>
            <w:r w:rsidRPr="0005252E">
              <w:rPr>
                <w:sz w:val="20"/>
              </w:rPr>
              <w:t>, MIZŠ</w:t>
            </w:r>
          </w:p>
        </w:tc>
        <w:tc>
          <w:tcPr>
            <w:tcW w:w="709" w:type="dxa"/>
          </w:tcPr>
          <w:p w14:paraId="08DA43E1" w14:textId="77777777" w:rsidR="00DD13BF" w:rsidRPr="00BD3536" w:rsidRDefault="00DD13BF" w:rsidP="00355A56">
            <w:pPr>
              <w:pStyle w:val="TableParagraph"/>
              <w:rPr>
                <w:sz w:val="20"/>
              </w:rPr>
            </w:pPr>
          </w:p>
        </w:tc>
      </w:tr>
      <w:tr w:rsidR="00DD13BF" w14:paraId="4A2FE66D" w14:textId="77777777" w:rsidTr="00355A56">
        <w:trPr>
          <w:trHeight w:val="353"/>
        </w:trPr>
        <w:tc>
          <w:tcPr>
            <w:tcW w:w="992" w:type="dxa"/>
          </w:tcPr>
          <w:p w14:paraId="754FEB21" w14:textId="77777777" w:rsidR="00DD13BF" w:rsidRPr="00BD3536" w:rsidRDefault="00DD13BF" w:rsidP="00355A56">
            <w:pPr>
              <w:pStyle w:val="TableParagraph"/>
              <w:rPr>
                <w:sz w:val="20"/>
              </w:rPr>
            </w:pPr>
            <w:r>
              <w:rPr>
                <w:rFonts w:cstheme="minorHAnsi"/>
                <w:sz w:val="20"/>
              </w:rPr>
              <w:t>1</w:t>
            </w:r>
          </w:p>
        </w:tc>
        <w:tc>
          <w:tcPr>
            <w:tcW w:w="992" w:type="dxa"/>
          </w:tcPr>
          <w:p w14:paraId="15FC4342" w14:textId="77777777" w:rsidR="00DD13BF" w:rsidRPr="00BD3536" w:rsidRDefault="00DD13BF" w:rsidP="00355A56">
            <w:pPr>
              <w:pStyle w:val="TableParagraph"/>
              <w:rPr>
                <w:sz w:val="20"/>
              </w:rPr>
            </w:pPr>
            <w:r w:rsidRPr="00BA42D5">
              <w:rPr>
                <w:rFonts w:cstheme="minorHAnsi"/>
                <w:sz w:val="20"/>
              </w:rPr>
              <w:t>RSO1.1</w:t>
            </w:r>
          </w:p>
        </w:tc>
        <w:tc>
          <w:tcPr>
            <w:tcW w:w="709" w:type="dxa"/>
          </w:tcPr>
          <w:p w14:paraId="09ACEE9B" w14:textId="77777777" w:rsidR="00DD13BF" w:rsidRPr="00BD3536" w:rsidRDefault="00DD13BF" w:rsidP="00355A56">
            <w:pPr>
              <w:pStyle w:val="TableParagraph"/>
              <w:rPr>
                <w:sz w:val="20"/>
              </w:rPr>
            </w:pPr>
            <w:r>
              <w:rPr>
                <w:rFonts w:cstheme="minorHAnsi"/>
                <w:sz w:val="20"/>
              </w:rPr>
              <w:t>E</w:t>
            </w:r>
            <w:r w:rsidRPr="00BD3536">
              <w:rPr>
                <w:rFonts w:cstheme="minorHAnsi"/>
                <w:sz w:val="20"/>
              </w:rPr>
              <w:t>R</w:t>
            </w:r>
            <w:r>
              <w:rPr>
                <w:rFonts w:cstheme="minorHAnsi"/>
                <w:sz w:val="20"/>
              </w:rPr>
              <w:t>DF</w:t>
            </w:r>
          </w:p>
        </w:tc>
        <w:tc>
          <w:tcPr>
            <w:tcW w:w="1559" w:type="dxa"/>
          </w:tcPr>
          <w:p w14:paraId="4A4A698E" w14:textId="77777777" w:rsidR="00DD13BF" w:rsidRPr="00BD3536" w:rsidRDefault="00DD13BF" w:rsidP="00355A56">
            <w:pPr>
              <w:pStyle w:val="TableParagraph"/>
              <w:rPr>
                <w:sz w:val="20"/>
              </w:rPr>
            </w:pPr>
            <w:r>
              <w:rPr>
                <w:rFonts w:cstheme="minorHAnsi"/>
                <w:sz w:val="20"/>
              </w:rPr>
              <w:t xml:space="preserve">Less developed </w:t>
            </w:r>
          </w:p>
        </w:tc>
        <w:tc>
          <w:tcPr>
            <w:tcW w:w="850" w:type="dxa"/>
          </w:tcPr>
          <w:p w14:paraId="23C03DBC" w14:textId="77777777" w:rsidR="00DD13BF" w:rsidRPr="00BD3536" w:rsidRDefault="00DD13BF" w:rsidP="00355A56">
            <w:pPr>
              <w:pStyle w:val="TableParagraph"/>
              <w:rPr>
                <w:sz w:val="20"/>
              </w:rPr>
            </w:pPr>
            <w:r>
              <w:rPr>
                <w:sz w:val="20"/>
              </w:rPr>
              <w:t>15</w:t>
            </w:r>
          </w:p>
        </w:tc>
        <w:tc>
          <w:tcPr>
            <w:tcW w:w="2410" w:type="dxa"/>
          </w:tcPr>
          <w:p w14:paraId="210D2446" w14:textId="77777777" w:rsidR="00DD13BF" w:rsidRPr="00BD3536" w:rsidRDefault="00DD13BF" w:rsidP="00355A56">
            <w:pPr>
              <w:pStyle w:val="TableParagraph"/>
              <w:rPr>
                <w:sz w:val="20"/>
              </w:rPr>
            </w:pPr>
            <w:r>
              <w:rPr>
                <w:rFonts w:cstheme="minorHAnsi"/>
                <w:sz w:val="20"/>
              </w:rPr>
              <w:t xml:space="preserve">Share of innovation-active enterprises </w:t>
            </w:r>
          </w:p>
        </w:tc>
        <w:tc>
          <w:tcPr>
            <w:tcW w:w="1418" w:type="dxa"/>
          </w:tcPr>
          <w:p w14:paraId="10355624" w14:textId="77777777" w:rsidR="00DD13BF" w:rsidRPr="00BD3536" w:rsidRDefault="00DD13BF" w:rsidP="00355A56">
            <w:pPr>
              <w:pStyle w:val="TableParagraph"/>
              <w:rPr>
                <w:sz w:val="20"/>
              </w:rPr>
            </w:pPr>
            <w:r>
              <w:rPr>
                <w:rFonts w:cstheme="minorHAnsi"/>
                <w:sz w:val="20"/>
              </w:rPr>
              <w:t>percentage</w:t>
            </w:r>
          </w:p>
        </w:tc>
        <w:tc>
          <w:tcPr>
            <w:tcW w:w="1134" w:type="dxa"/>
          </w:tcPr>
          <w:p w14:paraId="69366C35" w14:textId="77777777" w:rsidR="00DD13BF" w:rsidRPr="00BD3536" w:rsidRDefault="00DD13BF" w:rsidP="00355A56">
            <w:pPr>
              <w:pStyle w:val="TableParagraph"/>
              <w:rPr>
                <w:sz w:val="20"/>
              </w:rPr>
            </w:pPr>
            <w:r>
              <w:rPr>
                <w:sz w:val="20"/>
              </w:rPr>
              <w:t>55%</w:t>
            </w:r>
          </w:p>
        </w:tc>
        <w:tc>
          <w:tcPr>
            <w:tcW w:w="992" w:type="dxa"/>
          </w:tcPr>
          <w:p w14:paraId="67E211E1" w14:textId="77777777" w:rsidR="00DD13BF" w:rsidRPr="00BD3536" w:rsidRDefault="00DD13BF" w:rsidP="00355A56">
            <w:pPr>
              <w:pStyle w:val="TableParagraph"/>
              <w:rPr>
                <w:sz w:val="20"/>
              </w:rPr>
            </w:pPr>
            <w:r>
              <w:rPr>
                <w:sz w:val="20"/>
              </w:rPr>
              <w:t>2020</w:t>
            </w:r>
          </w:p>
        </w:tc>
        <w:tc>
          <w:tcPr>
            <w:tcW w:w="709" w:type="dxa"/>
          </w:tcPr>
          <w:p w14:paraId="66D4E2C4" w14:textId="77777777" w:rsidR="00DD13BF" w:rsidRPr="00BD3536" w:rsidRDefault="00DD13BF" w:rsidP="00355A56">
            <w:pPr>
              <w:pStyle w:val="TableParagraph"/>
              <w:rPr>
                <w:sz w:val="20"/>
              </w:rPr>
            </w:pPr>
            <w:r>
              <w:rPr>
                <w:sz w:val="20"/>
              </w:rPr>
              <w:t>60%</w:t>
            </w:r>
          </w:p>
        </w:tc>
        <w:tc>
          <w:tcPr>
            <w:tcW w:w="1134" w:type="dxa"/>
          </w:tcPr>
          <w:p w14:paraId="100C66FA" w14:textId="77777777" w:rsidR="00DD13BF" w:rsidRPr="00BD3536" w:rsidRDefault="00DD13BF" w:rsidP="00355A56">
            <w:pPr>
              <w:pStyle w:val="TableParagraph"/>
              <w:rPr>
                <w:sz w:val="20"/>
              </w:rPr>
            </w:pPr>
            <w:r>
              <w:rPr>
                <w:sz w:val="20"/>
              </w:rPr>
              <w:t>SURS</w:t>
            </w:r>
          </w:p>
        </w:tc>
        <w:tc>
          <w:tcPr>
            <w:tcW w:w="709" w:type="dxa"/>
          </w:tcPr>
          <w:p w14:paraId="46D73C44" w14:textId="77777777" w:rsidR="00DD13BF" w:rsidRPr="00BD3536" w:rsidRDefault="00DD13BF" w:rsidP="00355A56">
            <w:pPr>
              <w:pStyle w:val="TableParagraph"/>
              <w:rPr>
                <w:sz w:val="20"/>
              </w:rPr>
            </w:pPr>
          </w:p>
        </w:tc>
      </w:tr>
      <w:tr w:rsidR="00DD13BF" w14:paraId="0895D953" w14:textId="77777777" w:rsidTr="00355A56">
        <w:trPr>
          <w:trHeight w:val="353"/>
        </w:trPr>
        <w:tc>
          <w:tcPr>
            <w:tcW w:w="992" w:type="dxa"/>
          </w:tcPr>
          <w:p w14:paraId="2AA7C8C1" w14:textId="77777777" w:rsidR="00DD13BF" w:rsidRDefault="00DD13BF" w:rsidP="00355A56">
            <w:pPr>
              <w:pStyle w:val="TableParagraph"/>
              <w:rPr>
                <w:rFonts w:cstheme="minorHAnsi"/>
                <w:sz w:val="20"/>
              </w:rPr>
            </w:pPr>
            <w:r>
              <w:rPr>
                <w:rFonts w:cstheme="minorHAnsi"/>
                <w:sz w:val="20"/>
              </w:rPr>
              <w:t>1</w:t>
            </w:r>
          </w:p>
        </w:tc>
        <w:tc>
          <w:tcPr>
            <w:tcW w:w="992" w:type="dxa"/>
          </w:tcPr>
          <w:p w14:paraId="01CD4FD6" w14:textId="77777777" w:rsidR="00DD13BF" w:rsidRDefault="00DD13BF" w:rsidP="00355A56">
            <w:pPr>
              <w:pStyle w:val="TableParagraph"/>
              <w:rPr>
                <w:rFonts w:cstheme="minorHAnsi"/>
                <w:sz w:val="20"/>
              </w:rPr>
            </w:pPr>
            <w:r w:rsidRPr="00BA42D5">
              <w:rPr>
                <w:rFonts w:cstheme="minorHAnsi"/>
                <w:sz w:val="20"/>
              </w:rPr>
              <w:t>RSO1.1</w:t>
            </w:r>
          </w:p>
        </w:tc>
        <w:tc>
          <w:tcPr>
            <w:tcW w:w="709" w:type="dxa"/>
          </w:tcPr>
          <w:p w14:paraId="3C7C6F4D" w14:textId="77777777" w:rsidR="00DD13BF" w:rsidRPr="00BD3536" w:rsidRDefault="00DD13BF" w:rsidP="00355A56">
            <w:pPr>
              <w:pStyle w:val="TableParagraph"/>
              <w:rPr>
                <w:rFonts w:cstheme="minorHAnsi"/>
                <w:sz w:val="20"/>
              </w:rPr>
            </w:pPr>
            <w:r>
              <w:rPr>
                <w:rFonts w:cstheme="minorHAnsi"/>
                <w:sz w:val="20"/>
              </w:rPr>
              <w:t>E</w:t>
            </w:r>
            <w:r w:rsidRPr="00BD3536">
              <w:rPr>
                <w:rFonts w:cstheme="minorHAnsi"/>
                <w:sz w:val="20"/>
              </w:rPr>
              <w:t>R</w:t>
            </w:r>
            <w:r>
              <w:rPr>
                <w:rFonts w:cstheme="minorHAnsi"/>
                <w:sz w:val="20"/>
              </w:rPr>
              <w:t>DF</w:t>
            </w:r>
          </w:p>
        </w:tc>
        <w:tc>
          <w:tcPr>
            <w:tcW w:w="1559" w:type="dxa"/>
          </w:tcPr>
          <w:p w14:paraId="0CC6BD69" w14:textId="77777777" w:rsidR="00DD13BF" w:rsidRPr="00BD3536" w:rsidRDefault="00DD13BF" w:rsidP="00355A56">
            <w:pPr>
              <w:rPr>
                <w:rFonts w:cstheme="minorHAnsi"/>
                <w:sz w:val="20"/>
              </w:rPr>
            </w:pPr>
            <w:r>
              <w:rPr>
                <w:rFonts w:cstheme="minorHAnsi"/>
                <w:sz w:val="20"/>
              </w:rPr>
              <w:t xml:space="preserve">More developed </w:t>
            </w:r>
          </w:p>
        </w:tc>
        <w:tc>
          <w:tcPr>
            <w:tcW w:w="850" w:type="dxa"/>
          </w:tcPr>
          <w:p w14:paraId="3F5D26DB" w14:textId="77777777" w:rsidR="00DD13BF" w:rsidRPr="00BD3536" w:rsidRDefault="00DD13BF" w:rsidP="00355A56">
            <w:pPr>
              <w:pStyle w:val="TableParagraph"/>
              <w:rPr>
                <w:sz w:val="20"/>
              </w:rPr>
            </w:pPr>
            <w:r>
              <w:rPr>
                <w:sz w:val="20"/>
              </w:rPr>
              <w:t>15</w:t>
            </w:r>
          </w:p>
        </w:tc>
        <w:tc>
          <w:tcPr>
            <w:tcW w:w="2410" w:type="dxa"/>
          </w:tcPr>
          <w:p w14:paraId="73A884DC" w14:textId="77777777" w:rsidR="00DD13BF" w:rsidRPr="00BD3536" w:rsidRDefault="00DD13BF" w:rsidP="00355A56">
            <w:pPr>
              <w:pStyle w:val="TableParagraph"/>
              <w:rPr>
                <w:rFonts w:cstheme="minorHAnsi"/>
                <w:sz w:val="20"/>
              </w:rPr>
            </w:pPr>
            <w:r>
              <w:rPr>
                <w:rFonts w:cstheme="minorHAnsi"/>
                <w:sz w:val="20"/>
              </w:rPr>
              <w:t xml:space="preserve">Share of innovation-active enterprises </w:t>
            </w:r>
          </w:p>
        </w:tc>
        <w:tc>
          <w:tcPr>
            <w:tcW w:w="1418" w:type="dxa"/>
          </w:tcPr>
          <w:p w14:paraId="22FDDBF1" w14:textId="77777777" w:rsidR="00DD13BF" w:rsidRDefault="00DD13BF" w:rsidP="00355A56">
            <w:pPr>
              <w:pStyle w:val="TableParagraph"/>
              <w:rPr>
                <w:rFonts w:cstheme="minorHAnsi"/>
                <w:sz w:val="20"/>
              </w:rPr>
            </w:pPr>
            <w:r>
              <w:rPr>
                <w:rFonts w:cstheme="minorHAnsi"/>
                <w:sz w:val="20"/>
              </w:rPr>
              <w:t>percentage</w:t>
            </w:r>
          </w:p>
        </w:tc>
        <w:tc>
          <w:tcPr>
            <w:tcW w:w="1134" w:type="dxa"/>
          </w:tcPr>
          <w:p w14:paraId="7FEB754D" w14:textId="77777777" w:rsidR="00DD13BF" w:rsidRDefault="00DD13BF" w:rsidP="00355A56">
            <w:pPr>
              <w:pStyle w:val="TableParagraph"/>
              <w:rPr>
                <w:sz w:val="20"/>
              </w:rPr>
            </w:pPr>
            <w:r>
              <w:rPr>
                <w:sz w:val="20"/>
              </w:rPr>
              <w:t>55%</w:t>
            </w:r>
          </w:p>
        </w:tc>
        <w:tc>
          <w:tcPr>
            <w:tcW w:w="992" w:type="dxa"/>
          </w:tcPr>
          <w:p w14:paraId="0700197D" w14:textId="77777777" w:rsidR="00DD13BF" w:rsidRDefault="00DD13BF" w:rsidP="00355A56">
            <w:pPr>
              <w:pStyle w:val="TableParagraph"/>
              <w:rPr>
                <w:sz w:val="20"/>
              </w:rPr>
            </w:pPr>
            <w:r>
              <w:rPr>
                <w:sz w:val="20"/>
              </w:rPr>
              <w:t>2020</w:t>
            </w:r>
          </w:p>
        </w:tc>
        <w:tc>
          <w:tcPr>
            <w:tcW w:w="709" w:type="dxa"/>
          </w:tcPr>
          <w:p w14:paraId="29DE9678" w14:textId="77777777" w:rsidR="00DD13BF" w:rsidRDefault="00DD13BF" w:rsidP="00355A56">
            <w:pPr>
              <w:pStyle w:val="TableParagraph"/>
              <w:rPr>
                <w:sz w:val="20"/>
              </w:rPr>
            </w:pPr>
            <w:r>
              <w:rPr>
                <w:sz w:val="20"/>
              </w:rPr>
              <w:t>60%</w:t>
            </w:r>
          </w:p>
        </w:tc>
        <w:tc>
          <w:tcPr>
            <w:tcW w:w="1134" w:type="dxa"/>
          </w:tcPr>
          <w:p w14:paraId="5B3F4D10" w14:textId="77777777" w:rsidR="00DD13BF" w:rsidRDefault="00DD13BF" w:rsidP="00355A56">
            <w:pPr>
              <w:pStyle w:val="TableParagraph"/>
              <w:rPr>
                <w:sz w:val="20"/>
              </w:rPr>
            </w:pPr>
            <w:r>
              <w:rPr>
                <w:sz w:val="20"/>
              </w:rPr>
              <w:t>SURS</w:t>
            </w:r>
          </w:p>
        </w:tc>
        <w:tc>
          <w:tcPr>
            <w:tcW w:w="709" w:type="dxa"/>
          </w:tcPr>
          <w:p w14:paraId="267C45FE" w14:textId="77777777" w:rsidR="00DD13BF" w:rsidRPr="00BD3536" w:rsidRDefault="00DD13BF" w:rsidP="00355A56">
            <w:pPr>
              <w:pStyle w:val="TableParagraph"/>
              <w:rPr>
                <w:sz w:val="20"/>
              </w:rPr>
            </w:pPr>
          </w:p>
        </w:tc>
      </w:tr>
    </w:tbl>
    <w:p w14:paraId="77BEF388" w14:textId="77777777" w:rsidR="00DD13BF" w:rsidRPr="00F81084" w:rsidRDefault="00DD13BF" w:rsidP="00DD13BF">
      <w:pPr>
        <w:pStyle w:val="Telobesedila"/>
      </w:pPr>
    </w:p>
    <w:p w14:paraId="739192F4" w14:textId="77777777" w:rsidR="00DD13BF" w:rsidRDefault="00DD13BF" w:rsidP="00DD13BF">
      <w:pPr>
        <w:pStyle w:val="Naslov5"/>
        <w:spacing w:before="0"/>
      </w:pPr>
      <w:r>
        <w:rPr>
          <w:spacing w:val="-4"/>
        </w:rPr>
        <w:t xml:space="preserve">Indicative breakdown of the programme resources (EU) by type of intervention </w:t>
      </w:r>
    </w:p>
    <w:p w14:paraId="32BF7FDF" w14:textId="77777777" w:rsidR="00DD13BF" w:rsidRDefault="00DD13BF" w:rsidP="00DD13BF">
      <w:pPr>
        <w:ind w:left="640"/>
        <w:rPr>
          <w:spacing w:val="-5"/>
        </w:rPr>
      </w:pPr>
    </w:p>
    <w:p w14:paraId="779950C5" w14:textId="77777777" w:rsidR="00DD13BF" w:rsidRPr="00673ADB" w:rsidRDefault="00DD13BF" w:rsidP="00DD13BF">
      <w:pPr>
        <w:ind w:left="339"/>
        <w:rPr>
          <w:spacing w:val="-7"/>
        </w:rPr>
      </w:pPr>
      <w:r>
        <w:rPr>
          <w:spacing w:val="-7"/>
        </w:rPr>
        <w:t>Table</w:t>
      </w:r>
      <w:r w:rsidRPr="00673ADB">
        <w:rPr>
          <w:spacing w:val="-7"/>
        </w:rPr>
        <w:t xml:space="preserve"> 4: </w:t>
      </w:r>
      <w:r>
        <w:rPr>
          <w:spacing w:val="-7"/>
        </w:rPr>
        <w:t>Dimension</w:t>
      </w:r>
      <w:r w:rsidRPr="00673ADB">
        <w:rPr>
          <w:spacing w:val="-7"/>
        </w:rPr>
        <w:t xml:space="preserve"> 1 – </w:t>
      </w:r>
      <w:r>
        <w:rPr>
          <w:spacing w:val="-7"/>
        </w:rPr>
        <w:t>intervention field</w:t>
      </w:r>
    </w:p>
    <w:p w14:paraId="4FBC8FB3"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3C540B1B" w14:textId="77777777" w:rsidTr="00355A56">
        <w:trPr>
          <w:trHeight w:val="353"/>
        </w:trPr>
        <w:tc>
          <w:tcPr>
            <w:tcW w:w="2088" w:type="dxa"/>
          </w:tcPr>
          <w:p w14:paraId="0FE1A2DE" w14:textId="77777777" w:rsidR="00DD13BF" w:rsidRDefault="00DD13BF" w:rsidP="00355A56">
            <w:pPr>
              <w:pStyle w:val="TableParagraph"/>
              <w:ind w:left="115"/>
              <w:jc w:val="center"/>
            </w:pPr>
            <w:r>
              <w:rPr>
                <w:spacing w:val="-2"/>
              </w:rPr>
              <w:t>Priority No</w:t>
            </w:r>
          </w:p>
        </w:tc>
        <w:tc>
          <w:tcPr>
            <w:tcW w:w="1133" w:type="dxa"/>
          </w:tcPr>
          <w:p w14:paraId="5E31D425" w14:textId="77777777" w:rsidR="00DD13BF" w:rsidRDefault="00DD13BF" w:rsidP="00355A56">
            <w:pPr>
              <w:pStyle w:val="TableParagraph"/>
              <w:jc w:val="center"/>
            </w:pPr>
            <w:r>
              <w:t>Fund</w:t>
            </w:r>
          </w:p>
        </w:tc>
        <w:tc>
          <w:tcPr>
            <w:tcW w:w="3249" w:type="dxa"/>
          </w:tcPr>
          <w:p w14:paraId="38A483CE" w14:textId="77777777" w:rsidR="00DD13BF" w:rsidRDefault="00DD13BF" w:rsidP="00355A56">
            <w:pPr>
              <w:pStyle w:val="TableParagraph"/>
              <w:jc w:val="center"/>
            </w:pPr>
            <w:r>
              <w:rPr>
                <w:spacing w:val="-3"/>
              </w:rPr>
              <w:t>Category of region</w:t>
            </w:r>
          </w:p>
        </w:tc>
        <w:tc>
          <w:tcPr>
            <w:tcW w:w="3099" w:type="dxa"/>
          </w:tcPr>
          <w:p w14:paraId="1A61530D" w14:textId="77777777" w:rsidR="00DD13BF" w:rsidRDefault="00DD13BF" w:rsidP="00355A56">
            <w:pPr>
              <w:pStyle w:val="TableParagraph"/>
              <w:jc w:val="center"/>
            </w:pPr>
            <w:r>
              <w:rPr>
                <w:spacing w:val="-4"/>
              </w:rPr>
              <w:t>Specific objective</w:t>
            </w:r>
          </w:p>
        </w:tc>
        <w:tc>
          <w:tcPr>
            <w:tcW w:w="1161" w:type="dxa"/>
          </w:tcPr>
          <w:p w14:paraId="22BBCBB4" w14:textId="77777777" w:rsidR="00DD13BF" w:rsidRDefault="00DD13BF" w:rsidP="00355A56">
            <w:pPr>
              <w:pStyle w:val="TableParagraph"/>
              <w:jc w:val="center"/>
            </w:pPr>
            <w:r>
              <w:t>Code</w:t>
            </w:r>
          </w:p>
        </w:tc>
        <w:tc>
          <w:tcPr>
            <w:tcW w:w="2731" w:type="dxa"/>
          </w:tcPr>
          <w:p w14:paraId="198271CA" w14:textId="77777777" w:rsidR="00DD13BF" w:rsidRDefault="00DD13BF" w:rsidP="00355A56">
            <w:pPr>
              <w:pStyle w:val="TableParagraph"/>
              <w:jc w:val="center"/>
            </w:pPr>
            <w:r>
              <w:t>Amount (in EUR)</w:t>
            </w:r>
          </w:p>
        </w:tc>
      </w:tr>
      <w:tr w:rsidR="00DD13BF" w14:paraId="718DAC70" w14:textId="77777777" w:rsidTr="00355A56">
        <w:trPr>
          <w:trHeight w:val="353"/>
        </w:trPr>
        <w:tc>
          <w:tcPr>
            <w:tcW w:w="2088" w:type="dxa"/>
          </w:tcPr>
          <w:p w14:paraId="7F3AD18A" w14:textId="77777777" w:rsidR="00DD13BF" w:rsidRDefault="00DD13BF" w:rsidP="00355A56">
            <w:pPr>
              <w:pStyle w:val="TableParagraph"/>
              <w:rPr>
                <w:sz w:val="20"/>
              </w:rPr>
            </w:pPr>
            <w:r>
              <w:rPr>
                <w:sz w:val="20"/>
              </w:rPr>
              <w:t>1</w:t>
            </w:r>
          </w:p>
        </w:tc>
        <w:tc>
          <w:tcPr>
            <w:tcW w:w="1133" w:type="dxa"/>
          </w:tcPr>
          <w:p w14:paraId="0E8586F5" w14:textId="77777777" w:rsidR="00DD13BF" w:rsidRDefault="00DD13BF" w:rsidP="00355A56">
            <w:pPr>
              <w:pStyle w:val="TableParagraph"/>
              <w:rPr>
                <w:sz w:val="20"/>
              </w:rPr>
            </w:pPr>
            <w:r>
              <w:rPr>
                <w:sz w:val="20"/>
              </w:rPr>
              <w:t>ERDF</w:t>
            </w:r>
          </w:p>
        </w:tc>
        <w:tc>
          <w:tcPr>
            <w:tcW w:w="3249" w:type="dxa"/>
          </w:tcPr>
          <w:p w14:paraId="3397272B" w14:textId="77777777" w:rsidR="00DD13BF" w:rsidRDefault="00DD13BF" w:rsidP="00355A56">
            <w:pPr>
              <w:pStyle w:val="TableParagraph"/>
              <w:rPr>
                <w:sz w:val="20"/>
              </w:rPr>
            </w:pPr>
            <w:r>
              <w:rPr>
                <w:rFonts w:cstheme="minorHAnsi"/>
                <w:sz w:val="20"/>
              </w:rPr>
              <w:t xml:space="preserve">Less developed </w:t>
            </w:r>
          </w:p>
        </w:tc>
        <w:tc>
          <w:tcPr>
            <w:tcW w:w="3099" w:type="dxa"/>
          </w:tcPr>
          <w:p w14:paraId="48C65F02" w14:textId="77777777" w:rsidR="00DD13BF" w:rsidRDefault="00DD13BF" w:rsidP="00355A56">
            <w:pPr>
              <w:pStyle w:val="TableParagraph"/>
              <w:rPr>
                <w:sz w:val="20"/>
              </w:rPr>
            </w:pPr>
            <w:r w:rsidRPr="003D08AE">
              <w:rPr>
                <w:rFonts w:cstheme="minorHAnsi"/>
                <w:sz w:val="20"/>
              </w:rPr>
              <w:t>RSO1.1</w:t>
            </w:r>
          </w:p>
        </w:tc>
        <w:tc>
          <w:tcPr>
            <w:tcW w:w="1161" w:type="dxa"/>
          </w:tcPr>
          <w:p w14:paraId="7D37A704" w14:textId="77777777" w:rsidR="00DD13BF" w:rsidRDefault="00DD13BF" w:rsidP="00355A56">
            <w:pPr>
              <w:pStyle w:val="TableParagraph"/>
              <w:rPr>
                <w:sz w:val="20"/>
              </w:rPr>
            </w:pPr>
            <w:r>
              <w:rPr>
                <w:sz w:val="20"/>
              </w:rPr>
              <w:t>002</w:t>
            </w:r>
          </w:p>
        </w:tc>
        <w:tc>
          <w:tcPr>
            <w:tcW w:w="2731" w:type="dxa"/>
          </w:tcPr>
          <w:p w14:paraId="5B0F35BE" w14:textId="77777777" w:rsidR="00DD13BF" w:rsidRDefault="00DD13BF" w:rsidP="00355A56">
            <w:pPr>
              <w:pStyle w:val="TableParagraph"/>
              <w:rPr>
                <w:sz w:val="20"/>
              </w:rPr>
            </w:pPr>
            <w:r>
              <w:rPr>
                <w:sz w:val="20"/>
              </w:rPr>
              <w:t>22,920,000</w:t>
            </w:r>
          </w:p>
        </w:tc>
      </w:tr>
      <w:tr w:rsidR="00DD13BF" w14:paraId="72293687" w14:textId="77777777" w:rsidTr="00355A56">
        <w:trPr>
          <w:trHeight w:val="353"/>
        </w:trPr>
        <w:tc>
          <w:tcPr>
            <w:tcW w:w="2088" w:type="dxa"/>
          </w:tcPr>
          <w:p w14:paraId="631D2C89" w14:textId="77777777" w:rsidR="00DD13BF" w:rsidRDefault="00DD13BF" w:rsidP="00355A56">
            <w:pPr>
              <w:pStyle w:val="TableParagraph"/>
              <w:rPr>
                <w:sz w:val="20"/>
              </w:rPr>
            </w:pPr>
            <w:r>
              <w:rPr>
                <w:sz w:val="20"/>
              </w:rPr>
              <w:t>1</w:t>
            </w:r>
          </w:p>
        </w:tc>
        <w:tc>
          <w:tcPr>
            <w:tcW w:w="1133" w:type="dxa"/>
          </w:tcPr>
          <w:p w14:paraId="71427AAE" w14:textId="77777777" w:rsidR="00DD13BF" w:rsidRDefault="00DD13BF" w:rsidP="00355A56">
            <w:pPr>
              <w:pStyle w:val="TableParagraph"/>
              <w:rPr>
                <w:sz w:val="20"/>
              </w:rPr>
            </w:pPr>
            <w:r>
              <w:rPr>
                <w:sz w:val="20"/>
              </w:rPr>
              <w:t>ERDF</w:t>
            </w:r>
          </w:p>
        </w:tc>
        <w:tc>
          <w:tcPr>
            <w:tcW w:w="3249" w:type="dxa"/>
          </w:tcPr>
          <w:p w14:paraId="1E69492B" w14:textId="77777777" w:rsidR="00DD13BF" w:rsidRDefault="00DD13BF" w:rsidP="00355A56">
            <w:pPr>
              <w:pStyle w:val="TableParagraph"/>
              <w:rPr>
                <w:sz w:val="20"/>
              </w:rPr>
            </w:pPr>
            <w:r>
              <w:rPr>
                <w:rFonts w:cstheme="minorHAnsi"/>
                <w:sz w:val="20"/>
              </w:rPr>
              <w:t xml:space="preserve">More developed </w:t>
            </w:r>
          </w:p>
        </w:tc>
        <w:tc>
          <w:tcPr>
            <w:tcW w:w="3099" w:type="dxa"/>
          </w:tcPr>
          <w:p w14:paraId="4828B616" w14:textId="77777777" w:rsidR="00DD13BF" w:rsidRDefault="00DD13BF" w:rsidP="00355A56">
            <w:pPr>
              <w:pStyle w:val="TableParagraph"/>
              <w:rPr>
                <w:sz w:val="20"/>
              </w:rPr>
            </w:pPr>
            <w:r w:rsidRPr="003D08AE">
              <w:rPr>
                <w:rFonts w:cstheme="minorHAnsi"/>
                <w:sz w:val="20"/>
              </w:rPr>
              <w:t>RSO1.1</w:t>
            </w:r>
          </w:p>
        </w:tc>
        <w:tc>
          <w:tcPr>
            <w:tcW w:w="1161" w:type="dxa"/>
          </w:tcPr>
          <w:p w14:paraId="5CDE3E0F" w14:textId="77777777" w:rsidR="00DD13BF" w:rsidRDefault="00DD13BF" w:rsidP="00355A56">
            <w:pPr>
              <w:pStyle w:val="TableParagraph"/>
              <w:rPr>
                <w:sz w:val="20"/>
              </w:rPr>
            </w:pPr>
            <w:r>
              <w:rPr>
                <w:sz w:val="20"/>
              </w:rPr>
              <w:t>002</w:t>
            </w:r>
          </w:p>
        </w:tc>
        <w:tc>
          <w:tcPr>
            <w:tcW w:w="2731" w:type="dxa"/>
          </w:tcPr>
          <w:p w14:paraId="54FFBE02" w14:textId="77777777" w:rsidR="00DD13BF" w:rsidRDefault="00DD13BF" w:rsidP="00355A56">
            <w:pPr>
              <w:pStyle w:val="TableParagraph"/>
              <w:rPr>
                <w:sz w:val="20"/>
              </w:rPr>
            </w:pPr>
            <w:r>
              <w:rPr>
                <w:sz w:val="20"/>
              </w:rPr>
              <w:t>8,930,000</w:t>
            </w:r>
          </w:p>
        </w:tc>
      </w:tr>
      <w:tr w:rsidR="00DD13BF" w14:paraId="236317DF" w14:textId="77777777" w:rsidTr="00355A56">
        <w:trPr>
          <w:trHeight w:val="353"/>
        </w:trPr>
        <w:tc>
          <w:tcPr>
            <w:tcW w:w="2088" w:type="dxa"/>
          </w:tcPr>
          <w:p w14:paraId="321DD726" w14:textId="77777777" w:rsidR="00DD13BF" w:rsidRDefault="00DD13BF" w:rsidP="00355A56">
            <w:pPr>
              <w:pStyle w:val="TableParagraph"/>
              <w:rPr>
                <w:sz w:val="20"/>
              </w:rPr>
            </w:pPr>
            <w:r>
              <w:rPr>
                <w:sz w:val="20"/>
              </w:rPr>
              <w:lastRenderedPageBreak/>
              <w:t>1</w:t>
            </w:r>
          </w:p>
        </w:tc>
        <w:tc>
          <w:tcPr>
            <w:tcW w:w="1133" w:type="dxa"/>
          </w:tcPr>
          <w:p w14:paraId="3DD39B41" w14:textId="77777777" w:rsidR="00DD13BF" w:rsidRDefault="00DD13BF" w:rsidP="00355A56">
            <w:pPr>
              <w:pStyle w:val="TableParagraph"/>
              <w:rPr>
                <w:sz w:val="20"/>
              </w:rPr>
            </w:pPr>
            <w:r>
              <w:rPr>
                <w:sz w:val="20"/>
              </w:rPr>
              <w:t>ERDF</w:t>
            </w:r>
          </w:p>
        </w:tc>
        <w:tc>
          <w:tcPr>
            <w:tcW w:w="3249" w:type="dxa"/>
          </w:tcPr>
          <w:p w14:paraId="79F7ED44" w14:textId="77777777" w:rsidR="00DD13BF" w:rsidRDefault="00DD13BF" w:rsidP="00355A56">
            <w:pPr>
              <w:pStyle w:val="TableParagraph"/>
              <w:rPr>
                <w:sz w:val="20"/>
              </w:rPr>
            </w:pPr>
            <w:r>
              <w:rPr>
                <w:rFonts w:cstheme="minorHAnsi"/>
                <w:sz w:val="20"/>
              </w:rPr>
              <w:t xml:space="preserve">Less developed </w:t>
            </w:r>
          </w:p>
        </w:tc>
        <w:tc>
          <w:tcPr>
            <w:tcW w:w="3099" w:type="dxa"/>
          </w:tcPr>
          <w:p w14:paraId="3756560B" w14:textId="77777777" w:rsidR="00DD13BF" w:rsidRDefault="00DD13BF" w:rsidP="00355A56">
            <w:pPr>
              <w:pStyle w:val="TableParagraph"/>
              <w:rPr>
                <w:sz w:val="20"/>
              </w:rPr>
            </w:pPr>
            <w:r w:rsidRPr="003D08AE">
              <w:rPr>
                <w:rFonts w:cstheme="minorHAnsi"/>
                <w:sz w:val="20"/>
              </w:rPr>
              <w:t>RSO1.1</w:t>
            </w:r>
          </w:p>
        </w:tc>
        <w:tc>
          <w:tcPr>
            <w:tcW w:w="1161" w:type="dxa"/>
          </w:tcPr>
          <w:p w14:paraId="062FC615" w14:textId="77777777" w:rsidR="00DD13BF" w:rsidRDefault="00DD13BF" w:rsidP="00355A56">
            <w:pPr>
              <w:pStyle w:val="TableParagraph"/>
              <w:rPr>
                <w:sz w:val="20"/>
              </w:rPr>
            </w:pPr>
            <w:r w:rsidRPr="000974EC">
              <w:rPr>
                <w:sz w:val="20"/>
              </w:rPr>
              <w:t>00</w:t>
            </w:r>
            <w:r>
              <w:rPr>
                <w:sz w:val="20"/>
              </w:rPr>
              <w:t>3</w:t>
            </w:r>
          </w:p>
        </w:tc>
        <w:tc>
          <w:tcPr>
            <w:tcW w:w="2731" w:type="dxa"/>
          </w:tcPr>
          <w:p w14:paraId="71CEBE2F" w14:textId="77777777" w:rsidR="00DD13BF" w:rsidRDefault="00DD13BF" w:rsidP="00355A56">
            <w:pPr>
              <w:pStyle w:val="TableParagraph"/>
              <w:rPr>
                <w:sz w:val="20"/>
              </w:rPr>
            </w:pPr>
            <w:r>
              <w:rPr>
                <w:sz w:val="20"/>
              </w:rPr>
              <w:t>7,380,000</w:t>
            </w:r>
          </w:p>
        </w:tc>
      </w:tr>
      <w:tr w:rsidR="00DD13BF" w14:paraId="21AA02D3" w14:textId="77777777" w:rsidTr="00355A56">
        <w:trPr>
          <w:trHeight w:val="353"/>
        </w:trPr>
        <w:tc>
          <w:tcPr>
            <w:tcW w:w="2088" w:type="dxa"/>
          </w:tcPr>
          <w:p w14:paraId="2B979729" w14:textId="77777777" w:rsidR="00DD13BF" w:rsidRDefault="00DD13BF" w:rsidP="00355A56">
            <w:pPr>
              <w:pStyle w:val="TableParagraph"/>
              <w:rPr>
                <w:sz w:val="20"/>
              </w:rPr>
            </w:pPr>
            <w:r>
              <w:rPr>
                <w:sz w:val="20"/>
              </w:rPr>
              <w:t>1</w:t>
            </w:r>
          </w:p>
        </w:tc>
        <w:tc>
          <w:tcPr>
            <w:tcW w:w="1133" w:type="dxa"/>
          </w:tcPr>
          <w:p w14:paraId="718ECEDE" w14:textId="77777777" w:rsidR="00DD13BF" w:rsidRDefault="00DD13BF" w:rsidP="00355A56">
            <w:pPr>
              <w:pStyle w:val="TableParagraph"/>
              <w:rPr>
                <w:sz w:val="20"/>
              </w:rPr>
            </w:pPr>
            <w:r>
              <w:rPr>
                <w:sz w:val="20"/>
              </w:rPr>
              <w:t>ERDF</w:t>
            </w:r>
          </w:p>
        </w:tc>
        <w:tc>
          <w:tcPr>
            <w:tcW w:w="3249" w:type="dxa"/>
          </w:tcPr>
          <w:p w14:paraId="0EA305B9" w14:textId="77777777" w:rsidR="00DD13BF" w:rsidRDefault="00DD13BF" w:rsidP="00355A56">
            <w:pPr>
              <w:pStyle w:val="TableParagraph"/>
              <w:rPr>
                <w:sz w:val="20"/>
              </w:rPr>
            </w:pPr>
            <w:r>
              <w:rPr>
                <w:rFonts w:cstheme="minorHAnsi"/>
                <w:sz w:val="20"/>
              </w:rPr>
              <w:t xml:space="preserve">More developed </w:t>
            </w:r>
          </w:p>
        </w:tc>
        <w:tc>
          <w:tcPr>
            <w:tcW w:w="3099" w:type="dxa"/>
          </w:tcPr>
          <w:p w14:paraId="1F1F536A" w14:textId="77777777" w:rsidR="00DD13BF" w:rsidRDefault="00DD13BF" w:rsidP="00355A56">
            <w:pPr>
              <w:pStyle w:val="TableParagraph"/>
              <w:rPr>
                <w:sz w:val="20"/>
              </w:rPr>
            </w:pPr>
            <w:r w:rsidRPr="003D08AE">
              <w:rPr>
                <w:rFonts w:cstheme="minorHAnsi"/>
                <w:sz w:val="20"/>
              </w:rPr>
              <w:t>RSO1.1</w:t>
            </w:r>
          </w:p>
        </w:tc>
        <w:tc>
          <w:tcPr>
            <w:tcW w:w="1161" w:type="dxa"/>
          </w:tcPr>
          <w:p w14:paraId="0FCFCEBF" w14:textId="77777777" w:rsidR="00DD13BF" w:rsidRDefault="00DD13BF" w:rsidP="00355A56">
            <w:pPr>
              <w:pStyle w:val="TableParagraph"/>
              <w:rPr>
                <w:sz w:val="20"/>
              </w:rPr>
            </w:pPr>
            <w:r w:rsidRPr="000974EC">
              <w:rPr>
                <w:sz w:val="20"/>
              </w:rPr>
              <w:t>00</w:t>
            </w:r>
            <w:r>
              <w:rPr>
                <w:sz w:val="20"/>
              </w:rPr>
              <w:t>3</w:t>
            </w:r>
          </w:p>
        </w:tc>
        <w:tc>
          <w:tcPr>
            <w:tcW w:w="2731" w:type="dxa"/>
          </w:tcPr>
          <w:p w14:paraId="323B2292" w14:textId="77777777" w:rsidR="00DD13BF" w:rsidRDefault="00DD13BF" w:rsidP="00355A56">
            <w:pPr>
              <w:pStyle w:val="TableParagraph"/>
              <w:rPr>
                <w:sz w:val="20"/>
              </w:rPr>
            </w:pPr>
            <w:r>
              <w:rPr>
                <w:sz w:val="20"/>
              </w:rPr>
              <w:t>3,230,000</w:t>
            </w:r>
          </w:p>
        </w:tc>
      </w:tr>
      <w:tr w:rsidR="00DD13BF" w14:paraId="6C659856" w14:textId="77777777" w:rsidTr="00355A56">
        <w:trPr>
          <w:trHeight w:val="353"/>
        </w:trPr>
        <w:tc>
          <w:tcPr>
            <w:tcW w:w="2088" w:type="dxa"/>
          </w:tcPr>
          <w:p w14:paraId="123B0C95" w14:textId="77777777" w:rsidR="00DD13BF" w:rsidRDefault="00DD13BF" w:rsidP="00355A56">
            <w:pPr>
              <w:pStyle w:val="TableParagraph"/>
              <w:rPr>
                <w:sz w:val="20"/>
              </w:rPr>
            </w:pPr>
            <w:r>
              <w:rPr>
                <w:sz w:val="20"/>
              </w:rPr>
              <w:t>1</w:t>
            </w:r>
          </w:p>
        </w:tc>
        <w:tc>
          <w:tcPr>
            <w:tcW w:w="1133" w:type="dxa"/>
          </w:tcPr>
          <w:p w14:paraId="7E5E5EE1" w14:textId="77777777" w:rsidR="00DD13BF" w:rsidRDefault="00DD13BF" w:rsidP="00355A56">
            <w:pPr>
              <w:pStyle w:val="TableParagraph"/>
              <w:rPr>
                <w:sz w:val="20"/>
              </w:rPr>
            </w:pPr>
            <w:r>
              <w:rPr>
                <w:sz w:val="20"/>
              </w:rPr>
              <w:t>ERDF</w:t>
            </w:r>
          </w:p>
        </w:tc>
        <w:tc>
          <w:tcPr>
            <w:tcW w:w="3249" w:type="dxa"/>
          </w:tcPr>
          <w:p w14:paraId="056AEB22" w14:textId="77777777" w:rsidR="00DD13BF" w:rsidRDefault="00DD13BF" w:rsidP="00355A56">
            <w:pPr>
              <w:pStyle w:val="TableParagraph"/>
              <w:rPr>
                <w:sz w:val="20"/>
              </w:rPr>
            </w:pPr>
            <w:r>
              <w:rPr>
                <w:rFonts w:cstheme="minorHAnsi"/>
                <w:sz w:val="20"/>
              </w:rPr>
              <w:t xml:space="preserve">Less developed </w:t>
            </w:r>
          </w:p>
        </w:tc>
        <w:tc>
          <w:tcPr>
            <w:tcW w:w="3099" w:type="dxa"/>
          </w:tcPr>
          <w:p w14:paraId="71CB2189" w14:textId="77777777" w:rsidR="00DD13BF" w:rsidRDefault="00DD13BF" w:rsidP="00355A56">
            <w:pPr>
              <w:pStyle w:val="TableParagraph"/>
              <w:rPr>
                <w:sz w:val="20"/>
              </w:rPr>
            </w:pPr>
            <w:r w:rsidRPr="003D08AE">
              <w:rPr>
                <w:rFonts w:cstheme="minorHAnsi"/>
                <w:sz w:val="20"/>
              </w:rPr>
              <w:t>RSO1.1</w:t>
            </w:r>
          </w:p>
        </w:tc>
        <w:tc>
          <w:tcPr>
            <w:tcW w:w="1161" w:type="dxa"/>
          </w:tcPr>
          <w:p w14:paraId="18D268BA" w14:textId="77777777" w:rsidR="00DD13BF" w:rsidRDefault="00DD13BF" w:rsidP="00355A56">
            <w:pPr>
              <w:pStyle w:val="TableParagraph"/>
              <w:rPr>
                <w:sz w:val="20"/>
              </w:rPr>
            </w:pPr>
            <w:r w:rsidRPr="002B36C0">
              <w:rPr>
                <w:sz w:val="20"/>
              </w:rPr>
              <w:t>00</w:t>
            </w:r>
            <w:r>
              <w:rPr>
                <w:sz w:val="20"/>
              </w:rPr>
              <w:t>4</w:t>
            </w:r>
          </w:p>
        </w:tc>
        <w:tc>
          <w:tcPr>
            <w:tcW w:w="2731" w:type="dxa"/>
          </w:tcPr>
          <w:p w14:paraId="5B086709" w14:textId="77777777" w:rsidR="00DD13BF" w:rsidRDefault="00DD13BF" w:rsidP="00355A56">
            <w:pPr>
              <w:pStyle w:val="TableParagraph"/>
              <w:rPr>
                <w:sz w:val="20"/>
              </w:rPr>
            </w:pPr>
            <w:r>
              <w:rPr>
                <w:sz w:val="20"/>
              </w:rPr>
              <w:t>33,575,000</w:t>
            </w:r>
          </w:p>
        </w:tc>
      </w:tr>
      <w:tr w:rsidR="00DD13BF" w14:paraId="4706736C" w14:textId="77777777" w:rsidTr="00355A56">
        <w:trPr>
          <w:trHeight w:val="353"/>
        </w:trPr>
        <w:tc>
          <w:tcPr>
            <w:tcW w:w="2088" w:type="dxa"/>
          </w:tcPr>
          <w:p w14:paraId="109213CE" w14:textId="77777777" w:rsidR="00DD13BF" w:rsidRDefault="00DD13BF" w:rsidP="00355A56">
            <w:pPr>
              <w:pStyle w:val="TableParagraph"/>
              <w:rPr>
                <w:sz w:val="20"/>
              </w:rPr>
            </w:pPr>
            <w:r>
              <w:rPr>
                <w:sz w:val="20"/>
              </w:rPr>
              <w:t>1</w:t>
            </w:r>
          </w:p>
        </w:tc>
        <w:tc>
          <w:tcPr>
            <w:tcW w:w="1133" w:type="dxa"/>
          </w:tcPr>
          <w:p w14:paraId="4F0E835A" w14:textId="77777777" w:rsidR="00DD13BF" w:rsidRDefault="00DD13BF" w:rsidP="00355A56">
            <w:pPr>
              <w:pStyle w:val="TableParagraph"/>
              <w:rPr>
                <w:sz w:val="20"/>
              </w:rPr>
            </w:pPr>
            <w:r>
              <w:rPr>
                <w:sz w:val="20"/>
              </w:rPr>
              <w:t>ERDF</w:t>
            </w:r>
          </w:p>
        </w:tc>
        <w:tc>
          <w:tcPr>
            <w:tcW w:w="3249" w:type="dxa"/>
          </w:tcPr>
          <w:p w14:paraId="7AD1F267" w14:textId="77777777" w:rsidR="00DD13BF" w:rsidRDefault="00DD13BF" w:rsidP="00355A56">
            <w:pPr>
              <w:pStyle w:val="TableParagraph"/>
              <w:rPr>
                <w:sz w:val="20"/>
              </w:rPr>
            </w:pPr>
            <w:r>
              <w:rPr>
                <w:rFonts w:cstheme="minorHAnsi"/>
                <w:sz w:val="20"/>
              </w:rPr>
              <w:t xml:space="preserve">More developed </w:t>
            </w:r>
          </w:p>
        </w:tc>
        <w:tc>
          <w:tcPr>
            <w:tcW w:w="3099" w:type="dxa"/>
          </w:tcPr>
          <w:p w14:paraId="634D4A09" w14:textId="77777777" w:rsidR="00DD13BF" w:rsidRDefault="00DD13BF" w:rsidP="00355A56">
            <w:pPr>
              <w:pStyle w:val="TableParagraph"/>
              <w:rPr>
                <w:sz w:val="20"/>
              </w:rPr>
            </w:pPr>
            <w:r w:rsidRPr="003D08AE">
              <w:rPr>
                <w:rFonts w:cstheme="minorHAnsi"/>
                <w:sz w:val="20"/>
              </w:rPr>
              <w:t>RSO1.1</w:t>
            </w:r>
          </w:p>
        </w:tc>
        <w:tc>
          <w:tcPr>
            <w:tcW w:w="1161" w:type="dxa"/>
          </w:tcPr>
          <w:p w14:paraId="271E1569" w14:textId="77777777" w:rsidR="00DD13BF" w:rsidRDefault="00DD13BF" w:rsidP="00355A56">
            <w:pPr>
              <w:pStyle w:val="TableParagraph"/>
              <w:rPr>
                <w:sz w:val="20"/>
              </w:rPr>
            </w:pPr>
            <w:r w:rsidRPr="002B36C0">
              <w:rPr>
                <w:sz w:val="20"/>
              </w:rPr>
              <w:t>00</w:t>
            </w:r>
            <w:r>
              <w:rPr>
                <w:sz w:val="20"/>
              </w:rPr>
              <w:t>4</w:t>
            </w:r>
          </w:p>
        </w:tc>
        <w:tc>
          <w:tcPr>
            <w:tcW w:w="2731" w:type="dxa"/>
          </w:tcPr>
          <w:p w14:paraId="48282454" w14:textId="77777777" w:rsidR="00DD13BF" w:rsidRDefault="00DD13BF" w:rsidP="00355A56">
            <w:pPr>
              <w:pStyle w:val="TableParagraph"/>
              <w:rPr>
                <w:sz w:val="20"/>
              </w:rPr>
            </w:pPr>
            <w:r>
              <w:rPr>
                <w:sz w:val="20"/>
              </w:rPr>
              <w:t>13,800,000</w:t>
            </w:r>
          </w:p>
        </w:tc>
      </w:tr>
      <w:tr w:rsidR="00DD13BF" w14:paraId="2CFA7540" w14:textId="77777777" w:rsidTr="00355A56">
        <w:trPr>
          <w:trHeight w:val="353"/>
        </w:trPr>
        <w:tc>
          <w:tcPr>
            <w:tcW w:w="2088" w:type="dxa"/>
          </w:tcPr>
          <w:p w14:paraId="5D86C5F5" w14:textId="77777777" w:rsidR="00DD13BF" w:rsidRDefault="00DD13BF" w:rsidP="00355A56">
            <w:pPr>
              <w:pStyle w:val="TableParagraph"/>
              <w:rPr>
                <w:sz w:val="20"/>
              </w:rPr>
            </w:pPr>
            <w:r>
              <w:rPr>
                <w:sz w:val="20"/>
              </w:rPr>
              <w:t>1</w:t>
            </w:r>
          </w:p>
        </w:tc>
        <w:tc>
          <w:tcPr>
            <w:tcW w:w="1133" w:type="dxa"/>
          </w:tcPr>
          <w:p w14:paraId="16652C09" w14:textId="77777777" w:rsidR="00DD13BF" w:rsidRDefault="00DD13BF" w:rsidP="00355A56">
            <w:pPr>
              <w:pStyle w:val="TableParagraph"/>
              <w:rPr>
                <w:sz w:val="20"/>
              </w:rPr>
            </w:pPr>
            <w:r>
              <w:rPr>
                <w:sz w:val="20"/>
              </w:rPr>
              <w:t>ERDF</w:t>
            </w:r>
          </w:p>
        </w:tc>
        <w:tc>
          <w:tcPr>
            <w:tcW w:w="3249" w:type="dxa"/>
          </w:tcPr>
          <w:p w14:paraId="42571B8D" w14:textId="77777777" w:rsidR="00DD13BF" w:rsidRDefault="00DD13BF" w:rsidP="00355A56">
            <w:pPr>
              <w:pStyle w:val="TableParagraph"/>
              <w:rPr>
                <w:sz w:val="20"/>
              </w:rPr>
            </w:pPr>
            <w:r>
              <w:rPr>
                <w:rFonts w:cstheme="minorHAnsi"/>
                <w:sz w:val="20"/>
              </w:rPr>
              <w:t xml:space="preserve">Less developed </w:t>
            </w:r>
          </w:p>
        </w:tc>
        <w:tc>
          <w:tcPr>
            <w:tcW w:w="3099" w:type="dxa"/>
          </w:tcPr>
          <w:p w14:paraId="22C8D89A" w14:textId="77777777" w:rsidR="00DD13BF" w:rsidRDefault="00DD13BF" w:rsidP="00355A56">
            <w:pPr>
              <w:pStyle w:val="TableParagraph"/>
              <w:rPr>
                <w:sz w:val="20"/>
              </w:rPr>
            </w:pPr>
            <w:r w:rsidRPr="003D08AE">
              <w:rPr>
                <w:rFonts w:cstheme="minorHAnsi"/>
                <w:sz w:val="20"/>
              </w:rPr>
              <w:t>RSO1.1</w:t>
            </w:r>
          </w:p>
        </w:tc>
        <w:tc>
          <w:tcPr>
            <w:tcW w:w="1161" w:type="dxa"/>
          </w:tcPr>
          <w:p w14:paraId="0E2A4066" w14:textId="77777777" w:rsidR="00DD13BF" w:rsidRDefault="00DD13BF" w:rsidP="00355A56">
            <w:pPr>
              <w:pStyle w:val="TableParagraph"/>
              <w:rPr>
                <w:sz w:val="20"/>
              </w:rPr>
            </w:pPr>
            <w:r>
              <w:rPr>
                <w:sz w:val="20"/>
              </w:rPr>
              <w:t>010</w:t>
            </w:r>
          </w:p>
        </w:tc>
        <w:tc>
          <w:tcPr>
            <w:tcW w:w="2731" w:type="dxa"/>
          </w:tcPr>
          <w:p w14:paraId="05F5423B" w14:textId="77777777" w:rsidR="00DD13BF" w:rsidRDefault="00DD13BF" w:rsidP="00355A56">
            <w:pPr>
              <w:pStyle w:val="TableParagraph"/>
              <w:rPr>
                <w:sz w:val="20"/>
              </w:rPr>
            </w:pPr>
            <w:r>
              <w:rPr>
                <w:sz w:val="20"/>
              </w:rPr>
              <w:t>88,980,000</w:t>
            </w:r>
          </w:p>
        </w:tc>
      </w:tr>
      <w:tr w:rsidR="00DD13BF" w14:paraId="5734CE97" w14:textId="77777777" w:rsidTr="00355A56">
        <w:trPr>
          <w:trHeight w:val="353"/>
        </w:trPr>
        <w:tc>
          <w:tcPr>
            <w:tcW w:w="2088" w:type="dxa"/>
          </w:tcPr>
          <w:p w14:paraId="1F70EB59" w14:textId="77777777" w:rsidR="00DD13BF" w:rsidRDefault="00DD13BF" w:rsidP="00355A56">
            <w:pPr>
              <w:pStyle w:val="TableParagraph"/>
              <w:rPr>
                <w:sz w:val="20"/>
              </w:rPr>
            </w:pPr>
            <w:r>
              <w:rPr>
                <w:sz w:val="20"/>
              </w:rPr>
              <w:t>1</w:t>
            </w:r>
          </w:p>
        </w:tc>
        <w:tc>
          <w:tcPr>
            <w:tcW w:w="1133" w:type="dxa"/>
          </w:tcPr>
          <w:p w14:paraId="4A0179AB" w14:textId="77777777" w:rsidR="00DD13BF" w:rsidRDefault="00DD13BF" w:rsidP="00355A56">
            <w:pPr>
              <w:pStyle w:val="TableParagraph"/>
              <w:rPr>
                <w:sz w:val="20"/>
              </w:rPr>
            </w:pPr>
            <w:r>
              <w:rPr>
                <w:sz w:val="20"/>
              </w:rPr>
              <w:t>ERDF</w:t>
            </w:r>
          </w:p>
        </w:tc>
        <w:tc>
          <w:tcPr>
            <w:tcW w:w="3249" w:type="dxa"/>
          </w:tcPr>
          <w:p w14:paraId="35A561C6" w14:textId="77777777" w:rsidR="00DD13BF" w:rsidRDefault="00DD13BF" w:rsidP="00355A56">
            <w:pPr>
              <w:pStyle w:val="TableParagraph"/>
              <w:rPr>
                <w:sz w:val="20"/>
              </w:rPr>
            </w:pPr>
            <w:r>
              <w:rPr>
                <w:rFonts w:cstheme="minorHAnsi"/>
                <w:sz w:val="20"/>
              </w:rPr>
              <w:t xml:space="preserve">More developed </w:t>
            </w:r>
          </w:p>
        </w:tc>
        <w:tc>
          <w:tcPr>
            <w:tcW w:w="3099" w:type="dxa"/>
          </w:tcPr>
          <w:p w14:paraId="24A4BBCD" w14:textId="77777777" w:rsidR="00DD13BF" w:rsidRDefault="00DD13BF" w:rsidP="00355A56">
            <w:pPr>
              <w:pStyle w:val="TableParagraph"/>
              <w:rPr>
                <w:sz w:val="20"/>
              </w:rPr>
            </w:pPr>
            <w:r w:rsidRPr="003D08AE">
              <w:rPr>
                <w:rFonts w:cstheme="minorHAnsi"/>
                <w:sz w:val="20"/>
              </w:rPr>
              <w:t>RSO1.1</w:t>
            </w:r>
          </w:p>
        </w:tc>
        <w:tc>
          <w:tcPr>
            <w:tcW w:w="1161" w:type="dxa"/>
          </w:tcPr>
          <w:p w14:paraId="5EC57D44" w14:textId="77777777" w:rsidR="00DD13BF" w:rsidRDefault="00DD13BF" w:rsidP="00355A56">
            <w:pPr>
              <w:pStyle w:val="TableParagraph"/>
              <w:rPr>
                <w:sz w:val="20"/>
              </w:rPr>
            </w:pPr>
            <w:r>
              <w:rPr>
                <w:sz w:val="20"/>
              </w:rPr>
              <w:t>010</w:t>
            </w:r>
          </w:p>
        </w:tc>
        <w:tc>
          <w:tcPr>
            <w:tcW w:w="2731" w:type="dxa"/>
          </w:tcPr>
          <w:p w14:paraId="596372B7" w14:textId="77777777" w:rsidR="00DD13BF" w:rsidRDefault="00DD13BF" w:rsidP="00355A56">
            <w:pPr>
              <w:pStyle w:val="TableParagraph"/>
              <w:rPr>
                <w:sz w:val="20"/>
              </w:rPr>
            </w:pPr>
            <w:r>
              <w:rPr>
                <w:sz w:val="20"/>
              </w:rPr>
              <w:t>32,960,000</w:t>
            </w:r>
          </w:p>
        </w:tc>
      </w:tr>
      <w:tr w:rsidR="00DD13BF" w14:paraId="0368D712" w14:textId="77777777" w:rsidTr="00355A56">
        <w:trPr>
          <w:trHeight w:val="353"/>
        </w:trPr>
        <w:tc>
          <w:tcPr>
            <w:tcW w:w="2088" w:type="dxa"/>
          </w:tcPr>
          <w:p w14:paraId="1FE65737" w14:textId="77777777" w:rsidR="00DD13BF" w:rsidRDefault="00DD13BF" w:rsidP="00355A56">
            <w:pPr>
              <w:pStyle w:val="TableParagraph"/>
              <w:rPr>
                <w:sz w:val="20"/>
              </w:rPr>
            </w:pPr>
            <w:r>
              <w:rPr>
                <w:sz w:val="20"/>
              </w:rPr>
              <w:t>1</w:t>
            </w:r>
          </w:p>
        </w:tc>
        <w:tc>
          <w:tcPr>
            <w:tcW w:w="1133" w:type="dxa"/>
          </w:tcPr>
          <w:p w14:paraId="62ACA315" w14:textId="77777777" w:rsidR="00DD13BF" w:rsidRDefault="00DD13BF" w:rsidP="00355A56">
            <w:pPr>
              <w:pStyle w:val="TableParagraph"/>
              <w:rPr>
                <w:sz w:val="20"/>
              </w:rPr>
            </w:pPr>
            <w:r>
              <w:rPr>
                <w:sz w:val="20"/>
              </w:rPr>
              <w:t>ERDF</w:t>
            </w:r>
          </w:p>
        </w:tc>
        <w:tc>
          <w:tcPr>
            <w:tcW w:w="3249" w:type="dxa"/>
          </w:tcPr>
          <w:p w14:paraId="13F94F1F" w14:textId="77777777" w:rsidR="00DD13BF" w:rsidRDefault="00DD13BF" w:rsidP="00355A56">
            <w:pPr>
              <w:pStyle w:val="TableParagraph"/>
              <w:rPr>
                <w:sz w:val="20"/>
              </w:rPr>
            </w:pPr>
            <w:r>
              <w:rPr>
                <w:rFonts w:cstheme="minorHAnsi"/>
                <w:sz w:val="20"/>
              </w:rPr>
              <w:t xml:space="preserve">Less developed </w:t>
            </w:r>
          </w:p>
        </w:tc>
        <w:tc>
          <w:tcPr>
            <w:tcW w:w="3099" w:type="dxa"/>
          </w:tcPr>
          <w:p w14:paraId="5E5D20B7" w14:textId="77777777" w:rsidR="00DD13BF" w:rsidRDefault="00DD13BF" w:rsidP="00355A56">
            <w:pPr>
              <w:pStyle w:val="TableParagraph"/>
              <w:rPr>
                <w:sz w:val="20"/>
              </w:rPr>
            </w:pPr>
            <w:r w:rsidRPr="003D08AE">
              <w:rPr>
                <w:rFonts w:cstheme="minorHAnsi"/>
                <w:sz w:val="20"/>
              </w:rPr>
              <w:t>RSO1.1</w:t>
            </w:r>
          </w:p>
        </w:tc>
        <w:tc>
          <w:tcPr>
            <w:tcW w:w="1161" w:type="dxa"/>
          </w:tcPr>
          <w:p w14:paraId="35BCFF1F" w14:textId="77777777" w:rsidR="00DD13BF" w:rsidRDefault="00DD13BF" w:rsidP="00355A56">
            <w:pPr>
              <w:pStyle w:val="TableParagraph"/>
              <w:rPr>
                <w:sz w:val="20"/>
              </w:rPr>
            </w:pPr>
            <w:r>
              <w:rPr>
                <w:sz w:val="20"/>
              </w:rPr>
              <w:t>011</w:t>
            </w:r>
          </w:p>
        </w:tc>
        <w:tc>
          <w:tcPr>
            <w:tcW w:w="2731" w:type="dxa"/>
          </w:tcPr>
          <w:p w14:paraId="2E941EA8" w14:textId="77777777" w:rsidR="00DD13BF" w:rsidRDefault="00DD13BF" w:rsidP="00355A56">
            <w:pPr>
              <w:pStyle w:val="TableParagraph"/>
              <w:rPr>
                <w:sz w:val="20"/>
              </w:rPr>
            </w:pPr>
            <w:r>
              <w:rPr>
                <w:sz w:val="20"/>
              </w:rPr>
              <w:t>18,389,000</w:t>
            </w:r>
          </w:p>
        </w:tc>
      </w:tr>
      <w:tr w:rsidR="00DD13BF" w14:paraId="5652DC13" w14:textId="77777777" w:rsidTr="00355A56">
        <w:trPr>
          <w:trHeight w:val="353"/>
        </w:trPr>
        <w:tc>
          <w:tcPr>
            <w:tcW w:w="2088" w:type="dxa"/>
          </w:tcPr>
          <w:p w14:paraId="680F7E51" w14:textId="77777777" w:rsidR="00DD13BF" w:rsidRDefault="00DD13BF" w:rsidP="00355A56">
            <w:pPr>
              <w:pStyle w:val="TableParagraph"/>
              <w:rPr>
                <w:sz w:val="20"/>
              </w:rPr>
            </w:pPr>
            <w:r>
              <w:rPr>
                <w:sz w:val="20"/>
              </w:rPr>
              <w:t>1</w:t>
            </w:r>
          </w:p>
        </w:tc>
        <w:tc>
          <w:tcPr>
            <w:tcW w:w="1133" w:type="dxa"/>
          </w:tcPr>
          <w:p w14:paraId="356DCCC8" w14:textId="77777777" w:rsidR="00DD13BF" w:rsidRDefault="00DD13BF" w:rsidP="00355A56">
            <w:pPr>
              <w:pStyle w:val="TableParagraph"/>
              <w:rPr>
                <w:sz w:val="20"/>
              </w:rPr>
            </w:pPr>
            <w:r>
              <w:rPr>
                <w:sz w:val="20"/>
              </w:rPr>
              <w:t>ERDF</w:t>
            </w:r>
          </w:p>
        </w:tc>
        <w:tc>
          <w:tcPr>
            <w:tcW w:w="3249" w:type="dxa"/>
          </w:tcPr>
          <w:p w14:paraId="5055E8F3" w14:textId="77777777" w:rsidR="00DD13BF" w:rsidRDefault="00DD13BF" w:rsidP="00355A56">
            <w:pPr>
              <w:pStyle w:val="TableParagraph"/>
              <w:rPr>
                <w:sz w:val="20"/>
              </w:rPr>
            </w:pPr>
            <w:r>
              <w:rPr>
                <w:rFonts w:cstheme="minorHAnsi"/>
                <w:sz w:val="20"/>
              </w:rPr>
              <w:t xml:space="preserve">More developed </w:t>
            </w:r>
          </w:p>
        </w:tc>
        <w:tc>
          <w:tcPr>
            <w:tcW w:w="3099" w:type="dxa"/>
          </w:tcPr>
          <w:p w14:paraId="0AD69962" w14:textId="77777777" w:rsidR="00DD13BF" w:rsidRDefault="00DD13BF" w:rsidP="00355A56">
            <w:pPr>
              <w:pStyle w:val="TableParagraph"/>
              <w:rPr>
                <w:sz w:val="20"/>
              </w:rPr>
            </w:pPr>
            <w:r w:rsidRPr="003D08AE">
              <w:rPr>
                <w:rFonts w:cstheme="minorHAnsi"/>
                <w:sz w:val="20"/>
              </w:rPr>
              <w:t>RSO1.1</w:t>
            </w:r>
          </w:p>
        </w:tc>
        <w:tc>
          <w:tcPr>
            <w:tcW w:w="1161" w:type="dxa"/>
          </w:tcPr>
          <w:p w14:paraId="65C6F5AD" w14:textId="77777777" w:rsidR="00DD13BF" w:rsidRDefault="00DD13BF" w:rsidP="00355A56">
            <w:pPr>
              <w:pStyle w:val="TableParagraph"/>
              <w:rPr>
                <w:sz w:val="20"/>
              </w:rPr>
            </w:pPr>
            <w:r>
              <w:rPr>
                <w:sz w:val="20"/>
              </w:rPr>
              <w:t>011</w:t>
            </w:r>
          </w:p>
        </w:tc>
        <w:tc>
          <w:tcPr>
            <w:tcW w:w="2731" w:type="dxa"/>
          </w:tcPr>
          <w:p w14:paraId="1CCBED14" w14:textId="77777777" w:rsidR="00DD13BF" w:rsidRDefault="00DD13BF" w:rsidP="00355A56">
            <w:pPr>
              <w:pStyle w:val="TableParagraph"/>
              <w:rPr>
                <w:sz w:val="20"/>
              </w:rPr>
            </w:pPr>
            <w:r>
              <w:rPr>
                <w:sz w:val="20"/>
              </w:rPr>
              <w:t>8,909,000</w:t>
            </w:r>
          </w:p>
        </w:tc>
      </w:tr>
      <w:tr w:rsidR="00DD13BF" w14:paraId="33F3C74E" w14:textId="77777777" w:rsidTr="00355A56">
        <w:trPr>
          <w:trHeight w:val="353"/>
        </w:trPr>
        <w:tc>
          <w:tcPr>
            <w:tcW w:w="2088" w:type="dxa"/>
          </w:tcPr>
          <w:p w14:paraId="43D1AD81" w14:textId="77777777" w:rsidR="00DD13BF" w:rsidRDefault="00DD13BF" w:rsidP="00355A56">
            <w:pPr>
              <w:pStyle w:val="TableParagraph"/>
              <w:rPr>
                <w:sz w:val="20"/>
              </w:rPr>
            </w:pPr>
            <w:r>
              <w:rPr>
                <w:sz w:val="20"/>
              </w:rPr>
              <w:t>1</w:t>
            </w:r>
          </w:p>
        </w:tc>
        <w:tc>
          <w:tcPr>
            <w:tcW w:w="1133" w:type="dxa"/>
          </w:tcPr>
          <w:p w14:paraId="5DF9F737" w14:textId="77777777" w:rsidR="00DD13BF" w:rsidRDefault="00DD13BF" w:rsidP="00355A56">
            <w:pPr>
              <w:pStyle w:val="TableParagraph"/>
              <w:rPr>
                <w:sz w:val="20"/>
              </w:rPr>
            </w:pPr>
            <w:r>
              <w:rPr>
                <w:sz w:val="20"/>
              </w:rPr>
              <w:t>ERDF</w:t>
            </w:r>
          </w:p>
        </w:tc>
        <w:tc>
          <w:tcPr>
            <w:tcW w:w="3249" w:type="dxa"/>
          </w:tcPr>
          <w:p w14:paraId="598DF283" w14:textId="77777777" w:rsidR="00DD13BF" w:rsidRDefault="00DD13BF" w:rsidP="00355A56">
            <w:pPr>
              <w:pStyle w:val="TableParagraph"/>
              <w:rPr>
                <w:sz w:val="20"/>
              </w:rPr>
            </w:pPr>
            <w:r>
              <w:rPr>
                <w:rFonts w:cstheme="minorHAnsi"/>
                <w:sz w:val="20"/>
              </w:rPr>
              <w:t xml:space="preserve">Less developed </w:t>
            </w:r>
          </w:p>
        </w:tc>
        <w:tc>
          <w:tcPr>
            <w:tcW w:w="3099" w:type="dxa"/>
          </w:tcPr>
          <w:p w14:paraId="359D7D42" w14:textId="77777777" w:rsidR="00DD13BF" w:rsidRDefault="00DD13BF" w:rsidP="00355A56">
            <w:pPr>
              <w:pStyle w:val="TableParagraph"/>
              <w:rPr>
                <w:sz w:val="20"/>
              </w:rPr>
            </w:pPr>
            <w:r w:rsidRPr="003D08AE">
              <w:rPr>
                <w:rFonts w:cstheme="minorHAnsi"/>
                <w:sz w:val="20"/>
              </w:rPr>
              <w:t>RSO1.1</w:t>
            </w:r>
          </w:p>
        </w:tc>
        <w:tc>
          <w:tcPr>
            <w:tcW w:w="1161" w:type="dxa"/>
          </w:tcPr>
          <w:p w14:paraId="75DB1581" w14:textId="77777777" w:rsidR="00DD13BF" w:rsidRDefault="00DD13BF" w:rsidP="00355A56">
            <w:pPr>
              <w:pStyle w:val="TableParagraph"/>
              <w:rPr>
                <w:sz w:val="20"/>
              </w:rPr>
            </w:pPr>
            <w:r>
              <w:rPr>
                <w:sz w:val="20"/>
              </w:rPr>
              <w:t>012</w:t>
            </w:r>
          </w:p>
        </w:tc>
        <w:tc>
          <w:tcPr>
            <w:tcW w:w="2731" w:type="dxa"/>
          </w:tcPr>
          <w:p w14:paraId="70D4EF78" w14:textId="77777777" w:rsidR="00DD13BF" w:rsidRDefault="00DD13BF" w:rsidP="00355A56">
            <w:pPr>
              <w:pStyle w:val="TableParagraph"/>
              <w:rPr>
                <w:sz w:val="20"/>
              </w:rPr>
            </w:pPr>
            <w:r>
              <w:rPr>
                <w:sz w:val="20"/>
              </w:rPr>
              <w:t>17,238,512</w:t>
            </w:r>
          </w:p>
        </w:tc>
      </w:tr>
      <w:tr w:rsidR="00DD13BF" w14:paraId="14B92BDC" w14:textId="77777777" w:rsidTr="00355A56">
        <w:trPr>
          <w:trHeight w:val="353"/>
        </w:trPr>
        <w:tc>
          <w:tcPr>
            <w:tcW w:w="2088" w:type="dxa"/>
          </w:tcPr>
          <w:p w14:paraId="2A31C6CA" w14:textId="77777777" w:rsidR="00DD13BF" w:rsidRDefault="00DD13BF" w:rsidP="00355A56">
            <w:pPr>
              <w:pStyle w:val="TableParagraph"/>
              <w:rPr>
                <w:sz w:val="20"/>
              </w:rPr>
            </w:pPr>
            <w:r>
              <w:rPr>
                <w:sz w:val="20"/>
              </w:rPr>
              <w:t>1</w:t>
            </w:r>
          </w:p>
        </w:tc>
        <w:tc>
          <w:tcPr>
            <w:tcW w:w="1133" w:type="dxa"/>
          </w:tcPr>
          <w:p w14:paraId="52A409D9" w14:textId="77777777" w:rsidR="00DD13BF" w:rsidRDefault="00DD13BF" w:rsidP="00355A56">
            <w:pPr>
              <w:pStyle w:val="TableParagraph"/>
              <w:rPr>
                <w:sz w:val="20"/>
              </w:rPr>
            </w:pPr>
            <w:r>
              <w:rPr>
                <w:sz w:val="20"/>
              </w:rPr>
              <w:t>ERDF</w:t>
            </w:r>
          </w:p>
        </w:tc>
        <w:tc>
          <w:tcPr>
            <w:tcW w:w="3249" w:type="dxa"/>
          </w:tcPr>
          <w:p w14:paraId="7A1ABB32" w14:textId="77777777" w:rsidR="00DD13BF" w:rsidRDefault="00DD13BF" w:rsidP="00355A56">
            <w:pPr>
              <w:pStyle w:val="TableParagraph"/>
              <w:rPr>
                <w:sz w:val="20"/>
              </w:rPr>
            </w:pPr>
            <w:r>
              <w:rPr>
                <w:rFonts w:cstheme="minorHAnsi"/>
                <w:sz w:val="20"/>
              </w:rPr>
              <w:t xml:space="preserve">More developed </w:t>
            </w:r>
          </w:p>
        </w:tc>
        <w:tc>
          <w:tcPr>
            <w:tcW w:w="3099" w:type="dxa"/>
          </w:tcPr>
          <w:p w14:paraId="6E8C668C" w14:textId="77777777" w:rsidR="00DD13BF" w:rsidRDefault="00DD13BF" w:rsidP="00355A56">
            <w:pPr>
              <w:pStyle w:val="TableParagraph"/>
              <w:rPr>
                <w:sz w:val="20"/>
              </w:rPr>
            </w:pPr>
            <w:r w:rsidRPr="003D08AE">
              <w:rPr>
                <w:rFonts w:cstheme="minorHAnsi"/>
                <w:sz w:val="20"/>
              </w:rPr>
              <w:t>RSO1.1</w:t>
            </w:r>
          </w:p>
        </w:tc>
        <w:tc>
          <w:tcPr>
            <w:tcW w:w="1161" w:type="dxa"/>
          </w:tcPr>
          <w:p w14:paraId="1B46EC97" w14:textId="77777777" w:rsidR="00DD13BF" w:rsidRDefault="00DD13BF" w:rsidP="00355A56">
            <w:pPr>
              <w:pStyle w:val="TableParagraph"/>
              <w:rPr>
                <w:sz w:val="20"/>
              </w:rPr>
            </w:pPr>
            <w:r>
              <w:rPr>
                <w:sz w:val="20"/>
              </w:rPr>
              <w:t>012</w:t>
            </w:r>
          </w:p>
        </w:tc>
        <w:tc>
          <w:tcPr>
            <w:tcW w:w="2731" w:type="dxa"/>
          </w:tcPr>
          <w:p w14:paraId="0AEF2DB5" w14:textId="77777777" w:rsidR="00DD13BF" w:rsidRDefault="00DD13BF" w:rsidP="00355A56">
            <w:pPr>
              <w:pStyle w:val="TableParagraph"/>
              <w:rPr>
                <w:sz w:val="20"/>
              </w:rPr>
            </w:pPr>
            <w:r>
              <w:rPr>
                <w:sz w:val="20"/>
              </w:rPr>
              <w:t>16,401,600</w:t>
            </w:r>
          </w:p>
        </w:tc>
      </w:tr>
      <w:tr w:rsidR="00DD13BF" w14:paraId="4AF8A2A1" w14:textId="77777777" w:rsidTr="00355A56">
        <w:trPr>
          <w:trHeight w:val="353"/>
        </w:trPr>
        <w:tc>
          <w:tcPr>
            <w:tcW w:w="2088" w:type="dxa"/>
          </w:tcPr>
          <w:p w14:paraId="1ED445C1" w14:textId="77777777" w:rsidR="00DD13BF" w:rsidRDefault="00DD13BF" w:rsidP="00355A56">
            <w:pPr>
              <w:pStyle w:val="TableParagraph"/>
              <w:rPr>
                <w:sz w:val="20"/>
              </w:rPr>
            </w:pPr>
            <w:r>
              <w:rPr>
                <w:sz w:val="20"/>
              </w:rPr>
              <w:t>1</w:t>
            </w:r>
          </w:p>
        </w:tc>
        <w:tc>
          <w:tcPr>
            <w:tcW w:w="1133" w:type="dxa"/>
          </w:tcPr>
          <w:p w14:paraId="5084C4BE" w14:textId="77777777" w:rsidR="00DD13BF" w:rsidRDefault="00DD13BF" w:rsidP="00355A56">
            <w:pPr>
              <w:pStyle w:val="TableParagraph"/>
              <w:rPr>
                <w:sz w:val="20"/>
              </w:rPr>
            </w:pPr>
            <w:r>
              <w:rPr>
                <w:sz w:val="20"/>
              </w:rPr>
              <w:t>ERDF</w:t>
            </w:r>
          </w:p>
        </w:tc>
        <w:tc>
          <w:tcPr>
            <w:tcW w:w="3249" w:type="dxa"/>
          </w:tcPr>
          <w:p w14:paraId="107C9FBE" w14:textId="77777777" w:rsidR="00DD13BF" w:rsidRDefault="00DD13BF" w:rsidP="00355A56">
            <w:pPr>
              <w:pStyle w:val="TableParagraph"/>
              <w:rPr>
                <w:sz w:val="20"/>
              </w:rPr>
            </w:pPr>
            <w:r>
              <w:rPr>
                <w:rFonts w:cstheme="minorHAnsi"/>
                <w:sz w:val="20"/>
              </w:rPr>
              <w:t xml:space="preserve">Less developed </w:t>
            </w:r>
          </w:p>
        </w:tc>
        <w:tc>
          <w:tcPr>
            <w:tcW w:w="3099" w:type="dxa"/>
          </w:tcPr>
          <w:p w14:paraId="1808F306" w14:textId="77777777" w:rsidR="00DD13BF" w:rsidRDefault="00DD13BF" w:rsidP="00355A56">
            <w:pPr>
              <w:pStyle w:val="TableParagraph"/>
              <w:rPr>
                <w:sz w:val="20"/>
              </w:rPr>
            </w:pPr>
            <w:r w:rsidRPr="00037CBB">
              <w:rPr>
                <w:rFonts w:cstheme="minorHAnsi"/>
                <w:sz w:val="20"/>
              </w:rPr>
              <w:t>RSO1.1</w:t>
            </w:r>
          </w:p>
        </w:tc>
        <w:tc>
          <w:tcPr>
            <w:tcW w:w="1161" w:type="dxa"/>
          </w:tcPr>
          <w:p w14:paraId="2A5FED18" w14:textId="77777777" w:rsidR="00DD13BF" w:rsidRDefault="00DD13BF" w:rsidP="00355A56">
            <w:pPr>
              <w:pStyle w:val="TableParagraph"/>
              <w:rPr>
                <w:sz w:val="20"/>
              </w:rPr>
            </w:pPr>
            <w:r>
              <w:rPr>
                <w:sz w:val="20"/>
              </w:rPr>
              <w:t>026</w:t>
            </w:r>
          </w:p>
        </w:tc>
        <w:tc>
          <w:tcPr>
            <w:tcW w:w="2731" w:type="dxa"/>
          </w:tcPr>
          <w:p w14:paraId="3D17893C" w14:textId="77777777" w:rsidR="00DD13BF" w:rsidRDefault="00DD13BF" w:rsidP="00355A56">
            <w:pPr>
              <w:pStyle w:val="TableParagraph"/>
              <w:rPr>
                <w:sz w:val="20"/>
              </w:rPr>
            </w:pPr>
            <w:r>
              <w:rPr>
                <w:sz w:val="20"/>
              </w:rPr>
              <w:t>6,500,000</w:t>
            </w:r>
          </w:p>
        </w:tc>
      </w:tr>
      <w:tr w:rsidR="00DD13BF" w14:paraId="1A115DA1" w14:textId="77777777" w:rsidTr="00355A56">
        <w:trPr>
          <w:trHeight w:val="353"/>
        </w:trPr>
        <w:tc>
          <w:tcPr>
            <w:tcW w:w="2088" w:type="dxa"/>
          </w:tcPr>
          <w:p w14:paraId="3F83E08A" w14:textId="77777777" w:rsidR="00DD13BF" w:rsidRDefault="00DD13BF" w:rsidP="00355A56">
            <w:pPr>
              <w:pStyle w:val="TableParagraph"/>
              <w:rPr>
                <w:sz w:val="20"/>
              </w:rPr>
            </w:pPr>
            <w:r>
              <w:rPr>
                <w:sz w:val="20"/>
              </w:rPr>
              <w:t>1</w:t>
            </w:r>
          </w:p>
        </w:tc>
        <w:tc>
          <w:tcPr>
            <w:tcW w:w="1133" w:type="dxa"/>
          </w:tcPr>
          <w:p w14:paraId="4149F71C" w14:textId="77777777" w:rsidR="00DD13BF" w:rsidRDefault="00DD13BF" w:rsidP="00355A56">
            <w:pPr>
              <w:pStyle w:val="TableParagraph"/>
              <w:rPr>
                <w:sz w:val="20"/>
              </w:rPr>
            </w:pPr>
            <w:r>
              <w:rPr>
                <w:sz w:val="20"/>
              </w:rPr>
              <w:t>ERDF</w:t>
            </w:r>
          </w:p>
        </w:tc>
        <w:tc>
          <w:tcPr>
            <w:tcW w:w="3249" w:type="dxa"/>
          </w:tcPr>
          <w:p w14:paraId="4D99B301" w14:textId="77777777" w:rsidR="00DD13BF" w:rsidRDefault="00DD13BF" w:rsidP="00355A56">
            <w:pPr>
              <w:pStyle w:val="TableParagraph"/>
              <w:rPr>
                <w:sz w:val="20"/>
              </w:rPr>
            </w:pPr>
            <w:r>
              <w:rPr>
                <w:rFonts w:cstheme="minorHAnsi"/>
                <w:sz w:val="20"/>
              </w:rPr>
              <w:t xml:space="preserve">More developed </w:t>
            </w:r>
          </w:p>
        </w:tc>
        <w:tc>
          <w:tcPr>
            <w:tcW w:w="3099" w:type="dxa"/>
          </w:tcPr>
          <w:p w14:paraId="1C75124B" w14:textId="77777777" w:rsidR="00DD13BF" w:rsidRDefault="00DD13BF" w:rsidP="00355A56">
            <w:pPr>
              <w:pStyle w:val="TableParagraph"/>
              <w:rPr>
                <w:sz w:val="20"/>
              </w:rPr>
            </w:pPr>
            <w:r w:rsidRPr="00037CBB">
              <w:rPr>
                <w:rFonts w:cstheme="minorHAnsi"/>
                <w:sz w:val="20"/>
              </w:rPr>
              <w:t>RSO1.1</w:t>
            </w:r>
          </w:p>
        </w:tc>
        <w:tc>
          <w:tcPr>
            <w:tcW w:w="1161" w:type="dxa"/>
          </w:tcPr>
          <w:p w14:paraId="524B946C" w14:textId="77777777" w:rsidR="00DD13BF" w:rsidRDefault="00DD13BF" w:rsidP="00355A56">
            <w:pPr>
              <w:pStyle w:val="TableParagraph"/>
              <w:rPr>
                <w:sz w:val="20"/>
              </w:rPr>
            </w:pPr>
            <w:r>
              <w:rPr>
                <w:sz w:val="20"/>
              </w:rPr>
              <w:t>026</w:t>
            </w:r>
          </w:p>
        </w:tc>
        <w:tc>
          <w:tcPr>
            <w:tcW w:w="2731" w:type="dxa"/>
          </w:tcPr>
          <w:p w14:paraId="3889D085" w14:textId="77777777" w:rsidR="00DD13BF" w:rsidRDefault="00DD13BF" w:rsidP="00355A56">
            <w:pPr>
              <w:pStyle w:val="TableParagraph"/>
              <w:rPr>
                <w:sz w:val="20"/>
              </w:rPr>
            </w:pPr>
            <w:r>
              <w:rPr>
                <w:sz w:val="20"/>
              </w:rPr>
              <w:t>6,500,</w:t>
            </w:r>
            <w:r w:rsidRPr="0848C57F">
              <w:rPr>
                <w:sz w:val="20"/>
              </w:rPr>
              <w:t>000</w:t>
            </w:r>
          </w:p>
        </w:tc>
      </w:tr>
      <w:tr w:rsidR="00DD13BF" w14:paraId="3B091039" w14:textId="77777777" w:rsidTr="00355A56">
        <w:trPr>
          <w:trHeight w:val="353"/>
        </w:trPr>
        <w:tc>
          <w:tcPr>
            <w:tcW w:w="2088" w:type="dxa"/>
          </w:tcPr>
          <w:p w14:paraId="27419EC4" w14:textId="77777777" w:rsidR="00DD13BF" w:rsidRDefault="00DD13BF" w:rsidP="00355A56">
            <w:pPr>
              <w:pStyle w:val="TableParagraph"/>
              <w:rPr>
                <w:sz w:val="20"/>
              </w:rPr>
            </w:pPr>
            <w:r>
              <w:rPr>
                <w:sz w:val="20"/>
              </w:rPr>
              <w:t>1</w:t>
            </w:r>
          </w:p>
        </w:tc>
        <w:tc>
          <w:tcPr>
            <w:tcW w:w="1133" w:type="dxa"/>
          </w:tcPr>
          <w:p w14:paraId="1B747E4D" w14:textId="77777777" w:rsidR="00DD13BF" w:rsidRDefault="00DD13BF" w:rsidP="00355A56">
            <w:pPr>
              <w:pStyle w:val="TableParagraph"/>
              <w:rPr>
                <w:sz w:val="20"/>
              </w:rPr>
            </w:pPr>
            <w:r>
              <w:rPr>
                <w:sz w:val="20"/>
              </w:rPr>
              <w:t>ERDF</w:t>
            </w:r>
          </w:p>
        </w:tc>
        <w:tc>
          <w:tcPr>
            <w:tcW w:w="3249" w:type="dxa"/>
          </w:tcPr>
          <w:p w14:paraId="5F1E132F" w14:textId="77777777" w:rsidR="00DD13BF" w:rsidRDefault="00DD13BF" w:rsidP="00355A56">
            <w:pPr>
              <w:pStyle w:val="TableParagraph"/>
              <w:rPr>
                <w:sz w:val="20"/>
              </w:rPr>
            </w:pPr>
            <w:r>
              <w:rPr>
                <w:rFonts w:cstheme="minorHAnsi"/>
                <w:sz w:val="20"/>
              </w:rPr>
              <w:t xml:space="preserve">Less developed </w:t>
            </w:r>
          </w:p>
        </w:tc>
        <w:tc>
          <w:tcPr>
            <w:tcW w:w="3099" w:type="dxa"/>
          </w:tcPr>
          <w:p w14:paraId="1FD2C94B" w14:textId="77777777" w:rsidR="00DD13BF" w:rsidRDefault="00DD13BF" w:rsidP="00355A56">
            <w:pPr>
              <w:pStyle w:val="TableParagraph"/>
              <w:rPr>
                <w:sz w:val="20"/>
              </w:rPr>
            </w:pPr>
            <w:r w:rsidRPr="00037CBB">
              <w:rPr>
                <w:rFonts w:cstheme="minorHAnsi"/>
                <w:sz w:val="20"/>
              </w:rPr>
              <w:t>RSO1.1</w:t>
            </w:r>
          </w:p>
        </w:tc>
        <w:tc>
          <w:tcPr>
            <w:tcW w:w="1161" w:type="dxa"/>
          </w:tcPr>
          <w:p w14:paraId="74810634" w14:textId="77777777" w:rsidR="00DD13BF" w:rsidRDefault="00DD13BF" w:rsidP="00355A56">
            <w:pPr>
              <w:pStyle w:val="TableParagraph"/>
              <w:rPr>
                <w:sz w:val="20"/>
              </w:rPr>
            </w:pPr>
            <w:r>
              <w:rPr>
                <w:sz w:val="20"/>
              </w:rPr>
              <w:t>028</w:t>
            </w:r>
          </w:p>
        </w:tc>
        <w:tc>
          <w:tcPr>
            <w:tcW w:w="2731" w:type="dxa"/>
          </w:tcPr>
          <w:p w14:paraId="14D7EF6E" w14:textId="77777777" w:rsidR="00DD13BF" w:rsidRDefault="00DD13BF" w:rsidP="00355A56">
            <w:pPr>
              <w:pStyle w:val="TableParagraph"/>
              <w:rPr>
                <w:sz w:val="20"/>
              </w:rPr>
            </w:pPr>
            <w:r>
              <w:rPr>
                <w:sz w:val="20"/>
              </w:rPr>
              <w:t>1,571,650</w:t>
            </w:r>
          </w:p>
        </w:tc>
      </w:tr>
      <w:tr w:rsidR="00DD13BF" w14:paraId="14B23A73" w14:textId="77777777" w:rsidTr="00355A56">
        <w:trPr>
          <w:trHeight w:val="353"/>
        </w:trPr>
        <w:tc>
          <w:tcPr>
            <w:tcW w:w="2088" w:type="dxa"/>
          </w:tcPr>
          <w:p w14:paraId="65C03C90" w14:textId="77777777" w:rsidR="00DD13BF" w:rsidRDefault="00DD13BF" w:rsidP="00355A56">
            <w:pPr>
              <w:pStyle w:val="TableParagraph"/>
              <w:rPr>
                <w:sz w:val="20"/>
              </w:rPr>
            </w:pPr>
            <w:r>
              <w:rPr>
                <w:sz w:val="20"/>
              </w:rPr>
              <w:t>1</w:t>
            </w:r>
          </w:p>
        </w:tc>
        <w:tc>
          <w:tcPr>
            <w:tcW w:w="1133" w:type="dxa"/>
          </w:tcPr>
          <w:p w14:paraId="1AE042B2" w14:textId="77777777" w:rsidR="00DD13BF" w:rsidRDefault="00DD13BF" w:rsidP="00355A56">
            <w:pPr>
              <w:pStyle w:val="TableParagraph"/>
              <w:rPr>
                <w:sz w:val="20"/>
              </w:rPr>
            </w:pPr>
            <w:r>
              <w:rPr>
                <w:sz w:val="20"/>
              </w:rPr>
              <w:t>ERDF</w:t>
            </w:r>
          </w:p>
        </w:tc>
        <w:tc>
          <w:tcPr>
            <w:tcW w:w="3249" w:type="dxa"/>
          </w:tcPr>
          <w:p w14:paraId="286B6D19" w14:textId="77777777" w:rsidR="00DD13BF" w:rsidRDefault="00DD13BF" w:rsidP="00355A56">
            <w:pPr>
              <w:pStyle w:val="TableParagraph"/>
              <w:rPr>
                <w:sz w:val="20"/>
              </w:rPr>
            </w:pPr>
            <w:r>
              <w:rPr>
                <w:rFonts w:cstheme="minorHAnsi"/>
                <w:sz w:val="20"/>
              </w:rPr>
              <w:t xml:space="preserve">More developed </w:t>
            </w:r>
          </w:p>
        </w:tc>
        <w:tc>
          <w:tcPr>
            <w:tcW w:w="3099" w:type="dxa"/>
          </w:tcPr>
          <w:p w14:paraId="3C452808" w14:textId="77777777" w:rsidR="00DD13BF" w:rsidRDefault="00DD13BF" w:rsidP="00355A56">
            <w:pPr>
              <w:pStyle w:val="TableParagraph"/>
              <w:rPr>
                <w:sz w:val="20"/>
              </w:rPr>
            </w:pPr>
            <w:r w:rsidRPr="00037CBB">
              <w:rPr>
                <w:rFonts w:cstheme="minorHAnsi"/>
                <w:sz w:val="20"/>
              </w:rPr>
              <w:t>RSO1.1</w:t>
            </w:r>
          </w:p>
        </w:tc>
        <w:tc>
          <w:tcPr>
            <w:tcW w:w="1161" w:type="dxa"/>
          </w:tcPr>
          <w:p w14:paraId="441D8D7A" w14:textId="77777777" w:rsidR="00DD13BF" w:rsidRDefault="00DD13BF" w:rsidP="00355A56">
            <w:pPr>
              <w:pStyle w:val="TableParagraph"/>
              <w:rPr>
                <w:sz w:val="20"/>
              </w:rPr>
            </w:pPr>
            <w:r>
              <w:rPr>
                <w:sz w:val="20"/>
              </w:rPr>
              <w:t>028</w:t>
            </w:r>
          </w:p>
        </w:tc>
        <w:tc>
          <w:tcPr>
            <w:tcW w:w="2731" w:type="dxa"/>
          </w:tcPr>
          <w:p w14:paraId="3CC9619B" w14:textId="77777777" w:rsidR="00DD13BF" w:rsidRDefault="00DD13BF" w:rsidP="00355A56">
            <w:pPr>
              <w:pStyle w:val="TableParagraph"/>
              <w:rPr>
                <w:sz w:val="20"/>
              </w:rPr>
            </w:pPr>
            <w:r>
              <w:rPr>
                <w:sz w:val="20"/>
              </w:rPr>
              <w:t>980,400</w:t>
            </w:r>
          </w:p>
        </w:tc>
      </w:tr>
      <w:tr w:rsidR="00DD13BF" w14:paraId="685A3406" w14:textId="77777777" w:rsidTr="00355A56">
        <w:trPr>
          <w:trHeight w:val="353"/>
        </w:trPr>
        <w:tc>
          <w:tcPr>
            <w:tcW w:w="2088" w:type="dxa"/>
          </w:tcPr>
          <w:p w14:paraId="1478F7AA" w14:textId="77777777" w:rsidR="00DD13BF" w:rsidRDefault="00DD13BF" w:rsidP="00355A56">
            <w:pPr>
              <w:pStyle w:val="TableParagraph"/>
              <w:rPr>
                <w:sz w:val="20"/>
              </w:rPr>
            </w:pPr>
            <w:r>
              <w:rPr>
                <w:sz w:val="20"/>
              </w:rPr>
              <w:t>1</w:t>
            </w:r>
          </w:p>
        </w:tc>
        <w:tc>
          <w:tcPr>
            <w:tcW w:w="1133" w:type="dxa"/>
          </w:tcPr>
          <w:p w14:paraId="7FC1FCD6" w14:textId="77777777" w:rsidR="00DD13BF" w:rsidRDefault="00DD13BF" w:rsidP="00355A56">
            <w:pPr>
              <w:pStyle w:val="TableParagraph"/>
              <w:rPr>
                <w:sz w:val="20"/>
              </w:rPr>
            </w:pPr>
            <w:r>
              <w:rPr>
                <w:sz w:val="20"/>
              </w:rPr>
              <w:t>ERDF</w:t>
            </w:r>
          </w:p>
        </w:tc>
        <w:tc>
          <w:tcPr>
            <w:tcW w:w="3249" w:type="dxa"/>
          </w:tcPr>
          <w:p w14:paraId="500D93E7" w14:textId="77777777" w:rsidR="00DD13BF" w:rsidRDefault="00DD13BF" w:rsidP="00355A56">
            <w:pPr>
              <w:pStyle w:val="TableParagraph"/>
              <w:rPr>
                <w:sz w:val="20"/>
              </w:rPr>
            </w:pPr>
            <w:r>
              <w:rPr>
                <w:rFonts w:cstheme="minorHAnsi"/>
                <w:sz w:val="20"/>
              </w:rPr>
              <w:t xml:space="preserve">Less developed </w:t>
            </w:r>
          </w:p>
        </w:tc>
        <w:tc>
          <w:tcPr>
            <w:tcW w:w="3099" w:type="dxa"/>
          </w:tcPr>
          <w:p w14:paraId="33EFEFFE" w14:textId="77777777" w:rsidR="00DD13BF" w:rsidRDefault="00DD13BF" w:rsidP="00355A56">
            <w:pPr>
              <w:pStyle w:val="TableParagraph"/>
              <w:rPr>
                <w:sz w:val="20"/>
              </w:rPr>
            </w:pPr>
            <w:r w:rsidRPr="00037CBB">
              <w:rPr>
                <w:rFonts w:cstheme="minorHAnsi"/>
                <w:sz w:val="20"/>
              </w:rPr>
              <w:t>RSO1.1</w:t>
            </w:r>
          </w:p>
        </w:tc>
        <w:tc>
          <w:tcPr>
            <w:tcW w:w="1161" w:type="dxa"/>
          </w:tcPr>
          <w:p w14:paraId="16D6AC68" w14:textId="77777777" w:rsidR="00DD13BF" w:rsidRDefault="00DD13BF" w:rsidP="00355A56">
            <w:pPr>
              <w:pStyle w:val="TableParagraph"/>
              <w:rPr>
                <w:sz w:val="20"/>
              </w:rPr>
            </w:pPr>
            <w:r>
              <w:rPr>
                <w:sz w:val="20"/>
              </w:rPr>
              <w:t>029</w:t>
            </w:r>
          </w:p>
        </w:tc>
        <w:tc>
          <w:tcPr>
            <w:tcW w:w="2731" w:type="dxa"/>
          </w:tcPr>
          <w:p w14:paraId="44A0D00C" w14:textId="77777777" w:rsidR="00DD13BF" w:rsidRDefault="00DD13BF" w:rsidP="00355A56">
            <w:pPr>
              <w:pStyle w:val="TableParagraph"/>
              <w:rPr>
                <w:sz w:val="20"/>
              </w:rPr>
            </w:pPr>
            <w:r>
              <w:rPr>
                <w:sz w:val="20"/>
              </w:rPr>
              <w:t>15,599,503</w:t>
            </w:r>
          </w:p>
        </w:tc>
      </w:tr>
      <w:tr w:rsidR="00DD13BF" w14:paraId="03C9C5D3" w14:textId="77777777" w:rsidTr="00355A56">
        <w:trPr>
          <w:trHeight w:val="353"/>
        </w:trPr>
        <w:tc>
          <w:tcPr>
            <w:tcW w:w="2088" w:type="dxa"/>
          </w:tcPr>
          <w:p w14:paraId="678AB7F3" w14:textId="77777777" w:rsidR="00DD13BF" w:rsidRDefault="00DD13BF" w:rsidP="00355A56">
            <w:pPr>
              <w:pStyle w:val="TableParagraph"/>
              <w:rPr>
                <w:sz w:val="20"/>
              </w:rPr>
            </w:pPr>
            <w:r>
              <w:rPr>
                <w:sz w:val="20"/>
              </w:rPr>
              <w:t>1</w:t>
            </w:r>
          </w:p>
        </w:tc>
        <w:tc>
          <w:tcPr>
            <w:tcW w:w="1133" w:type="dxa"/>
          </w:tcPr>
          <w:p w14:paraId="4FBFC316" w14:textId="77777777" w:rsidR="00DD13BF" w:rsidRDefault="00DD13BF" w:rsidP="00355A56">
            <w:pPr>
              <w:pStyle w:val="TableParagraph"/>
              <w:rPr>
                <w:sz w:val="20"/>
              </w:rPr>
            </w:pPr>
            <w:r>
              <w:rPr>
                <w:sz w:val="20"/>
              </w:rPr>
              <w:t>ERDF</w:t>
            </w:r>
          </w:p>
        </w:tc>
        <w:tc>
          <w:tcPr>
            <w:tcW w:w="3249" w:type="dxa"/>
          </w:tcPr>
          <w:p w14:paraId="0AAC0CB8" w14:textId="77777777" w:rsidR="00DD13BF" w:rsidRDefault="00DD13BF" w:rsidP="00355A56">
            <w:pPr>
              <w:pStyle w:val="TableParagraph"/>
              <w:rPr>
                <w:sz w:val="20"/>
              </w:rPr>
            </w:pPr>
            <w:r>
              <w:rPr>
                <w:rFonts w:cstheme="minorHAnsi"/>
                <w:sz w:val="20"/>
              </w:rPr>
              <w:t xml:space="preserve">More developed </w:t>
            </w:r>
          </w:p>
        </w:tc>
        <w:tc>
          <w:tcPr>
            <w:tcW w:w="3099" w:type="dxa"/>
          </w:tcPr>
          <w:p w14:paraId="0570ADA3" w14:textId="77777777" w:rsidR="00DD13BF" w:rsidRDefault="00DD13BF" w:rsidP="00355A56">
            <w:pPr>
              <w:pStyle w:val="TableParagraph"/>
              <w:rPr>
                <w:sz w:val="20"/>
              </w:rPr>
            </w:pPr>
            <w:r w:rsidRPr="00037CBB">
              <w:rPr>
                <w:rFonts w:cstheme="minorHAnsi"/>
                <w:sz w:val="20"/>
              </w:rPr>
              <w:t>RSO1.1</w:t>
            </w:r>
          </w:p>
        </w:tc>
        <w:tc>
          <w:tcPr>
            <w:tcW w:w="1161" w:type="dxa"/>
          </w:tcPr>
          <w:p w14:paraId="4EC201EF" w14:textId="77777777" w:rsidR="00DD13BF" w:rsidRDefault="00DD13BF" w:rsidP="00355A56">
            <w:pPr>
              <w:pStyle w:val="TableParagraph"/>
              <w:rPr>
                <w:sz w:val="20"/>
              </w:rPr>
            </w:pPr>
            <w:r>
              <w:rPr>
                <w:sz w:val="20"/>
              </w:rPr>
              <w:t>029</w:t>
            </w:r>
          </w:p>
        </w:tc>
        <w:tc>
          <w:tcPr>
            <w:tcW w:w="2731" w:type="dxa"/>
          </w:tcPr>
          <w:p w14:paraId="03D0FEC0" w14:textId="77777777" w:rsidR="00DD13BF" w:rsidRDefault="00DD13BF" w:rsidP="00355A56">
            <w:pPr>
              <w:pStyle w:val="TableParagraph"/>
              <w:rPr>
                <w:sz w:val="20"/>
              </w:rPr>
            </w:pPr>
            <w:r>
              <w:rPr>
                <w:sz w:val="20"/>
              </w:rPr>
              <w:t>9,390,120</w:t>
            </w:r>
          </w:p>
        </w:tc>
      </w:tr>
      <w:tr w:rsidR="00DD13BF" w14:paraId="1816C5DD" w14:textId="77777777" w:rsidTr="00355A56">
        <w:trPr>
          <w:trHeight w:val="353"/>
        </w:trPr>
        <w:tc>
          <w:tcPr>
            <w:tcW w:w="2088" w:type="dxa"/>
          </w:tcPr>
          <w:p w14:paraId="6EB6DA5C" w14:textId="77777777" w:rsidR="00DD13BF" w:rsidRDefault="00DD13BF" w:rsidP="00355A56">
            <w:pPr>
              <w:pStyle w:val="TableParagraph"/>
              <w:rPr>
                <w:sz w:val="20"/>
              </w:rPr>
            </w:pPr>
            <w:r>
              <w:rPr>
                <w:sz w:val="20"/>
              </w:rPr>
              <w:t>1</w:t>
            </w:r>
          </w:p>
        </w:tc>
        <w:tc>
          <w:tcPr>
            <w:tcW w:w="1133" w:type="dxa"/>
          </w:tcPr>
          <w:p w14:paraId="77E3E9CA" w14:textId="77777777" w:rsidR="00DD13BF" w:rsidRDefault="00DD13BF" w:rsidP="00355A56">
            <w:pPr>
              <w:pStyle w:val="TableParagraph"/>
              <w:rPr>
                <w:sz w:val="20"/>
              </w:rPr>
            </w:pPr>
            <w:r>
              <w:rPr>
                <w:sz w:val="20"/>
              </w:rPr>
              <w:t>ERDF</w:t>
            </w:r>
          </w:p>
        </w:tc>
        <w:tc>
          <w:tcPr>
            <w:tcW w:w="3249" w:type="dxa"/>
          </w:tcPr>
          <w:p w14:paraId="7D8CD9A6" w14:textId="77777777" w:rsidR="00DD13BF" w:rsidRDefault="00DD13BF" w:rsidP="00355A56">
            <w:pPr>
              <w:pStyle w:val="TableParagraph"/>
              <w:rPr>
                <w:sz w:val="20"/>
              </w:rPr>
            </w:pPr>
            <w:r>
              <w:rPr>
                <w:rFonts w:cstheme="minorHAnsi"/>
                <w:sz w:val="20"/>
              </w:rPr>
              <w:t xml:space="preserve">Less developed </w:t>
            </w:r>
          </w:p>
        </w:tc>
        <w:tc>
          <w:tcPr>
            <w:tcW w:w="3099" w:type="dxa"/>
          </w:tcPr>
          <w:p w14:paraId="1F86AB78" w14:textId="77777777" w:rsidR="00DD13BF" w:rsidRDefault="00DD13BF" w:rsidP="00355A56">
            <w:pPr>
              <w:pStyle w:val="TableParagraph"/>
              <w:rPr>
                <w:sz w:val="20"/>
              </w:rPr>
            </w:pPr>
            <w:r w:rsidRPr="00037CBB">
              <w:rPr>
                <w:rFonts w:cstheme="minorHAnsi"/>
                <w:sz w:val="20"/>
              </w:rPr>
              <w:t>RSO1.1</w:t>
            </w:r>
          </w:p>
        </w:tc>
        <w:tc>
          <w:tcPr>
            <w:tcW w:w="1161" w:type="dxa"/>
          </w:tcPr>
          <w:p w14:paraId="0C6CDF4E" w14:textId="77777777" w:rsidR="00DD13BF" w:rsidRDefault="00DD13BF" w:rsidP="00355A56">
            <w:pPr>
              <w:pStyle w:val="TableParagraph"/>
              <w:rPr>
                <w:sz w:val="20"/>
              </w:rPr>
            </w:pPr>
            <w:r>
              <w:rPr>
                <w:sz w:val="20"/>
              </w:rPr>
              <w:t>030</w:t>
            </w:r>
          </w:p>
        </w:tc>
        <w:tc>
          <w:tcPr>
            <w:tcW w:w="2731" w:type="dxa"/>
          </w:tcPr>
          <w:p w14:paraId="47BF7C77" w14:textId="77777777" w:rsidR="00DD13BF" w:rsidRDefault="00DD13BF" w:rsidP="00355A56">
            <w:pPr>
              <w:pStyle w:val="TableParagraph"/>
              <w:rPr>
                <w:sz w:val="20"/>
              </w:rPr>
            </w:pPr>
            <w:r>
              <w:rPr>
                <w:sz w:val="20"/>
              </w:rPr>
              <w:t>1,466,</w:t>
            </w:r>
            <w:r w:rsidRPr="002908E5">
              <w:rPr>
                <w:sz w:val="20"/>
              </w:rPr>
              <w:t>335</w:t>
            </w:r>
          </w:p>
        </w:tc>
      </w:tr>
      <w:tr w:rsidR="00DD13BF" w14:paraId="699FC2B3" w14:textId="77777777" w:rsidTr="00355A56">
        <w:trPr>
          <w:trHeight w:val="353"/>
        </w:trPr>
        <w:tc>
          <w:tcPr>
            <w:tcW w:w="2088" w:type="dxa"/>
          </w:tcPr>
          <w:p w14:paraId="3CB16097" w14:textId="77777777" w:rsidR="00DD13BF" w:rsidRDefault="00DD13BF" w:rsidP="00355A56">
            <w:pPr>
              <w:pStyle w:val="TableParagraph"/>
              <w:rPr>
                <w:sz w:val="20"/>
              </w:rPr>
            </w:pPr>
            <w:r>
              <w:rPr>
                <w:sz w:val="20"/>
              </w:rPr>
              <w:t>1</w:t>
            </w:r>
          </w:p>
        </w:tc>
        <w:tc>
          <w:tcPr>
            <w:tcW w:w="1133" w:type="dxa"/>
          </w:tcPr>
          <w:p w14:paraId="7BD34842" w14:textId="77777777" w:rsidR="00DD13BF" w:rsidRDefault="00DD13BF" w:rsidP="00355A56">
            <w:pPr>
              <w:pStyle w:val="TableParagraph"/>
              <w:rPr>
                <w:sz w:val="20"/>
              </w:rPr>
            </w:pPr>
            <w:r>
              <w:rPr>
                <w:sz w:val="20"/>
              </w:rPr>
              <w:t>ERDF</w:t>
            </w:r>
          </w:p>
        </w:tc>
        <w:tc>
          <w:tcPr>
            <w:tcW w:w="3249" w:type="dxa"/>
          </w:tcPr>
          <w:p w14:paraId="73881026" w14:textId="77777777" w:rsidR="00DD13BF" w:rsidRDefault="00DD13BF" w:rsidP="00355A56">
            <w:pPr>
              <w:pStyle w:val="TableParagraph"/>
              <w:rPr>
                <w:sz w:val="20"/>
              </w:rPr>
            </w:pPr>
            <w:r>
              <w:rPr>
                <w:rFonts w:cstheme="minorHAnsi"/>
                <w:sz w:val="20"/>
              </w:rPr>
              <w:t xml:space="preserve">More developed </w:t>
            </w:r>
          </w:p>
        </w:tc>
        <w:tc>
          <w:tcPr>
            <w:tcW w:w="3099" w:type="dxa"/>
          </w:tcPr>
          <w:p w14:paraId="45E06B87" w14:textId="77777777" w:rsidR="00DD13BF" w:rsidRDefault="00DD13BF" w:rsidP="00355A56">
            <w:pPr>
              <w:pStyle w:val="TableParagraph"/>
              <w:rPr>
                <w:sz w:val="20"/>
              </w:rPr>
            </w:pPr>
            <w:r w:rsidRPr="00037CBB">
              <w:rPr>
                <w:rFonts w:cstheme="minorHAnsi"/>
                <w:sz w:val="20"/>
              </w:rPr>
              <w:t>RSO1.1</w:t>
            </w:r>
          </w:p>
        </w:tc>
        <w:tc>
          <w:tcPr>
            <w:tcW w:w="1161" w:type="dxa"/>
          </w:tcPr>
          <w:p w14:paraId="4D89FF45" w14:textId="77777777" w:rsidR="00DD13BF" w:rsidRDefault="00DD13BF" w:rsidP="00355A56">
            <w:pPr>
              <w:pStyle w:val="TableParagraph"/>
              <w:rPr>
                <w:sz w:val="20"/>
              </w:rPr>
            </w:pPr>
            <w:r>
              <w:rPr>
                <w:sz w:val="20"/>
              </w:rPr>
              <w:t>030</w:t>
            </w:r>
          </w:p>
        </w:tc>
        <w:tc>
          <w:tcPr>
            <w:tcW w:w="2731" w:type="dxa"/>
          </w:tcPr>
          <w:p w14:paraId="4212E31E" w14:textId="77777777" w:rsidR="00DD13BF" w:rsidRDefault="00DD13BF" w:rsidP="00355A56">
            <w:pPr>
              <w:pStyle w:val="TableParagraph"/>
              <w:rPr>
                <w:sz w:val="20"/>
              </w:rPr>
            </w:pPr>
            <w:r>
              <w:rPr>
                <w:sz w:val="20"/>
              </w:rPr>
              <w:t>1,660,080</w:t>
            </w:r>
          </w:p>
        </w:tc>
      </w:tr>
      <w:tr w:rsidR="00DD13BF" w14:paraId="7A98A2C4" w14:textId="77777777" w:rsidTr="00355A56">
        <w:trPr>
          <w:trHeight w:val="353"/>
        </w:trPr>
        <w:tc>
          <w:tcPr>
            <w:tcW w:w="2088" w:type="dxa"/>
          </w:tcPr>
          <w:p w14:paraId="30FD2DD6" w14:textId="77777777" w:rsidR="00DD13BF" w:rsidRDefault="00DD13BF" w:rsidP="00355A56">
            <w:pPr>
              <w:pStyle w:val="TableParagraph"/>
              <w:rPr>
                <w:sz w:val="20"/>
              </w:rPr>
            </w:pPr>
            <w:r>
              <w:rPr>
                <w:sz w:val="20"/>
              </w:rPr>
              <w:t>1</w:t>
            </w:r>
          </w:p>
        </w:tc>
        <w:tc>
          <w:tcPr>
            <w:tcW w:w="1133" w:type="dxa"/>
          </w:tcPr>
          <w:p w14:paraId="7BD4384A" w14:textId="77777777" w:rsidR="00DD13BF" w:rsidRDefault="00DD13BF" w:rsidP="00355A56">
            <w:pPr>
              <w:pStyle w:val="TableParagraph"/>
              <w:rPr>
                <w:sz w:val="20"/>
              </w:rPr>
            </w:pPr>
            <w:r>
              <w:rPr>
                <w:sz w:val="20"/>
              </w:rPr>
              <w:t>ERDF</w:t>
            </w:r>
          </w:p>
        </w:tc>
        <w:tc>
          <w:tcPr>
            <w:tcW w:w="3249" w:type="dxa"/>
          </w:tcPr>
          <w:p w14:paraId="17806F03" w14:textId="77777777" w:rsidR="00DD13BF" w:rsidRDefault="00DD13BF" w:rsidP="00355A56">
            <w:pPr>
              <w:pStyle w:val="TableParagraph"/>
              <w:rPr>
                <w:sz w:val="20"/>
              </w:rPr>
            </w:pPr>
            <w:r>
              <w:rPr>
                <w:rFonts w:cstheme="minorHAnsi"/>
                <w:sz w:val="20"/>
              </w:rPr>
              <w:t xml:space="preserve">Less developed </w:t>
            </w:r>
          </w:p>
        </w:tc>
        <w:tc>
          <w:tcPr>
            <w:tcW w:w="3099" w:type="dxa"/>
          </w:tcPr>
          <w:p w14:paraId="352F90F2" w14:textId="77777777" w:rsidR="00DD13BF" w:rsidRDefault="00DD13BF" w:rsidP="00355A56">
            <w:pPr>
              <w:pStyle w:val="TableParagraph"/>
              <w:rPr>
                <w:sz w:val="20"/>
              </w:rPr>
            </w:pPr>
            <w:r w:rsidRPr="00037CBB">
              <w:rPr>
                <w:rFonts w:cstheme="minorHAnsi"/>
                <w:sz w:val="20"/>
              </w:rPr>
              <w:t>RSO1.1</w:t>
            </w:r>
          </w:p>
        </w:tc>
        <w:tc>
          <w:tcPr>
            <w:tcW w:w="1161" w:type="dxa"/>
          </w:tcPr>
          <w:p w14:paraId="7CD858FF" w14:textId="77777777" w:rsidR="00DD13BF" w:rsidRDefault="00DD13BF" w:rsidP="00355A56">
            <w:pPr>
              <w:pStyle w:val="TableParagraph"/>
              <w:rPr>
                <w:sz w:val="20"/>
              </w:rPr>
            </w:pPr>
            <w:r>
              <w:rPr>
                <w:sz w:val="20"/>
              </w:rPr>
              <w:t>043</w:t>
            </w:r>
          </w:p>
        </w:tc>
        <w:tc>
          <w:tcPr>
            <w:tcW w:w="2731" w:type="dxa"/>
          </w:tcPr>
          <w:p w14:paraId="12DB1A9D" w14:textId="77777777" w:rsidR="00DD13BF" w:rsidRDefault="00DD13BF" w:rsidP="00355A56">
            <w:pPr>
              <w:pStyle w:val="TableParagraph"/>
              <w:rPr>
                <w:sz w:val="20"/>
              </w:rPr>
            </w:pPr>
            <w:r>
              <w:rPr>
                <w:sz w:val="20"/>
              </w:rPr>
              <w:t>68,000,000</w:t>
            </w:r>
          </w:p>
        </w:tc>
      </w:tr>
      <w:tr w:rsidR="00DD13BF" w14:paraId="243CF127" w14:textId="77777777" w:rsidTr="00355A56">
        <w:trPr>
          <w:trHeight w:val="353"/>
        </w:trPr>
        <w:tc>
          <w:tcPr>
            <w:tcW w:w="2088" w:type="dxa"/>
          </w:tcPr>
          <w:p w14:paraId="4CA94013" w14:textId="77777777" w:rsidR="00DD13BF" w:rsidRDefault="00DD13BF" w:rsidP="00355A56">
            <w:pPr>
              <w:pStyle w:val="TableParagraph"/>
              <w:rPr>
                <w:sz w:val="20"/>
              </w:rPr>
            </w:pPr>
            <w:r>
              <w:rPr>
                <w:sz w:val="20"/>
              </w:rPr>
              <w:t>1</w:t>
            </w:r>
          </w:p>
        </w:tc>
        <w:tc>
          <w:tcPr>
            <w:tcW w:w="1133" w:type="dxa"/>
          </w:tcPr>
          <w:p w14:paraId="140BF0F2" w14:textId="77777777" w:rsidR="00DD13BF" w:rsidRDefault="00DD13BF" w:rsidP="00355A56">
            <w:pPr>
              <w:pStyle w:val="TableParagraph"/>
              <w:rPr>
                <w:sz w:val="20"/>
              </w:rPr>
            </w:pPr>
            <w:r>
              <w:rPr>
                <w:sz w:val="20"/>
              </w:rPr>
              <w:t>ERDF</w:t>
            </w:r>
          </w:p>
        </w:tc>
        <w:tc>
          <w:tcPr>
            <w:tcW w:w="3249" w:type="dxa"/>
          </w:tcPr>
          <w:p w14:paraId="292737CD" w14:textId="77777777" w:rsidR="00DD13BF" w:rsidRDefault="00DD13BF" w:rsidP="00355A56">
            <w:pPr>
              <w:pStyle w:val="TableParagraph"/>
              <w:rPr>
                <w:sz w:val="20"/>
              </w:rPr>
            </w:pPr>
            <w:r>
              <w:rPr>
                <w:rFonts w:cstheme="minorHAnsi"/>
                <w:sz w:val="20"/>
              </w:rPr>
              <w:t xml:space="preserve">More developed </w:t>
            </w:r>
          </w:p>
        </w:tc>
        <w:tc>
          <w:tcPr>
            <w:tcW w:w="3099" w:type="dxa"/>
          </w:tcPr>
          <w:p w14:paraId="60947CAD" w14:textId="77777777" w:rsidR="00DD13BF" w:rsidRDefault="00DD13BF" w:rsidP="00355A56">
            <w:pPr>
              <w:pStyle w:val="TableParagraph"/>
              <w:rPr>
                <w:sz w:val="20"/>
              </w:rPr>
            </w:pPr>
            <w:r w:rsidRPr="00037CBB">
              <w:rPr>
                <w:rFonts w:cstheme="minorHAnsi"/>
                <w:sz w:val="20"/>
              </w:rPr>
              <w:t>RSO1.1</w:t>
            </w:r>
          </w:p>
        </w:tc>
        <w:tc>
          <w:tcPr>
            <w:tcW w:w="1161" w:type="dxa"/>
          </w:tcPr>
          <w:p w14:paraId="3B7FE472" w14:textId="77777777" w:rsidR="00DD13BF" w:rsidRDefault="00DD13BF" w:rsidP="00355A56">
            <w:pPr>
              <w:pStyle w:val="TableParagraph"/>
              <w:rPr>
                <w:sz w:val="20"/>
              </w:rPr>
            </w:pPr>
            <w:r>
              <w:rPr>
                <w:sz w:val="20"/>
              </w:rPr>
              <w:t>043</w:t>
            </w:r>
          </w:p>
        </w:tc>
        <w:tc>
          <w:tcPr>
            <w:tcW w:w="2731" w:type="dxa"/>
          </w:tcPr>
          <w:p w14:paraId="346BBCF6" w14:textId="77777777" w:rsidR="00DD13BF" w:rsidRDefault="00DD13BF" w:rsidP="00355A56">
            <w:pPr>
              <w:pStyle w:val="TableParagraph"/>
              <w:rPr>
                <w:sz w:val="20"/>
              </w:rPr>
            </w:pPr>
            <w:r>
              <w:rPr>
                <w:sz w:val="20"/>
              </w:rPr>
              <w:t>20,000,000</w:t>
            </w:r>
          </w:p>
        </w:tc>
      </w:tr>
      <w:tr w:rsidR="00DD13BF" w14:paraId="17FF113C" w14:textId="77777777" w:rsidTr="00355A56">
        <w:trPr>
          <w:trHeight w:val="353"/>
        </w:trPr>
        <w:tc>
          <w:tcPr>
            <w:tcW w:w="2088" w:type="dxa"/>
          </w:tcPr>
          <w:p w14:paraId="50FC1918" w14:textId="77777777" w:rsidR="00DD13BF" w:rsidRDefault="00DD13BF" w:rsidP="00355A56">
            <w:pPr>
              <w:pStyle w:val="TableParagraph"/>
              <w:rPr>
                <w:sz w:val="20"/>
              </w:rPr>
            </w:pPr>
            <w:r>
              <w:rPr>
                <w:sz w:val="20"/>
              </w:rPr>
              <w:t>1</w:t>
            </w:r>
          </w:p>
        </w:tc>
        <w:tc>
          <w:tcPr>
            <w:tcW w:w="1133" w:type="dxa"/>
          </w:tcPr>
          <w:p w14:paraId="725B82D6" w14:textId="77777777" w:rsidR="00DD13BF" w:rsidRDefault="00DD13BF" w:rsidP="00355A56">
            <w:pPr>
              <w:pStyle w:val="TableParagraph"/>
              <w:rPr>
                <w:sz w:val="20"/>
              </w:rPr>
            </w:pPr>
            <w:r>
              <w:rPr>
                <w:sz w:val="20"/>
              </w:rPr>
              <w:t>ERDF</w:t>
            </w:r>
          </w:p>
        </w:tc>
        <w:tc>
          <w:tcPr>
            <w:tcW w:w="3249" w:type="dxa"/>
          </w:tcPr>
          <w:p w14:paraId="3BB732C5" w14:textId="77777777" w:rsidR="00DD13BF" w:rsidRDefault="00DD13BF" w:rsidP="00355A56">
            <w:pPr>
              <w:pStyle w:val="TableParagraph"/>
              <w:rPr>
                <w:sz w:val="20"/>
              </w:rPr>
            </w:pPr>
            <w:r>
              <w:rPr>
                <w:rFonts w:cstheme="minorHAnsi"/>
                <w:sz w:val="20"/>
              </w:rPr>
              <w:t xml:space="preserve">More developed </w:t>
            </w:r>
          </w:p>
        </w:tc>
        <w:tc>
          <w:tcPr>
            <w:tcW w:w="3099" w:type="dxa"/>
          </w:tcPr>
          <w:p w14:paraId="7E23801C" w14:textId="77777777" w:rsidR="00DD13BF" w:rsidRPr="00037CBB" w:rsidRDefault="00DD13BF" w:rsidP="00355A56">
            <w:pPr>
              <w:pStyle w:val="TableParagraph"/>
              <w:rPr>
                <w:rFonts w:cstheme="minorHAnsi"/>
                <w:sz w:val="20"/>
              </w:rPr>
            </w:pPr>
            <w:r w:rsidRPr="00037CBB">
              <w:rPr>
                <w:rFonts w:cstheme="minorHAnsi"/>
                <w:sz w:val="20"/>
              </w:rPr>
              <w:t>RSO1.1</w:t>
            </w:r>
          </w:p>
        </w:tc>
        <w:tc>
          <w:tcPr>
            <w:tcW w:w="1161" w:type="dxa"/>
          </w:tcPr>
          <w:p w14:paraId="32F6BC7E" w14:textId="77777777" w:rsidR="00DD13BF" w:rsidRDefault="00DD13BF" w:rsidP="00355A56">
            <w:pPr>
              <w:pStyle w:val="TableParagraph"/>
              <w:rPr>
                <w:sz w:val="20"/>
              </w:rPr>
            </w:pPr>
            <w:r>
              <w:rPr>
                <w:sz w:val="20"/>
              </w:rPr>
              <w:t>171</w:t>
            </w:r>
          </w:p>
        </w:tc>
        <w:tc>
          <w:tcPr>
            <w:tcW w:w="2731" w:type="dxa"/>
          </w:tcPr>
          <w:p w14:paraId="3EA9ED3D" w14:textId="77777777" w:rsidR="00DD13BF" w:rsidRDefault="00DD13BF" w:rsidP="00355A56">
            <w:pPr>
              <w:pStyle w:val="TableParagraph"/>
              <w:rPr>
                <w:sz w:val="20"/>
              </w:rPr>
            </w:pPr>
            <w:r>
              <w:rPr>
                <w:sz w:val="20"/>
              </w:rPr>
              <w:t>9,508,800</w:t>
            </w:r>
          </w:p>
        </w:tc>
      </w:tr>
    </w:tbl>
    <w:p w14:paraId="2F44D6A2" w14:textId="77777777" w:rsidR="00DD13BF" w:rsidRDefault="00DD13BF" w:rsidP="00DD13BF"/>
    <w:p w14:paraId="7EEAC24A" w14:textId="77777777" w:rsidR="00DD13BF" w:rsidRPr="007959C5" w:rsidRDefault="00DD13BF" w:rsidP="00DD13BF">
      <w:pPr>
        <w:ind w:left="339"/>
        <w:rPr>
          <w:spacing w:val="-7"/>
        </w:rPr>
      </w:pPr>
      <w:r>
        <w:rPr>
          <w:spacing w:val="-7"/>
        </w:rPr>
        <w:t>Table</w:t>
      </w:r>
      <w:r w:rsidRPr="007959C5">
        <w:rPr>
          <w:spacing w:val="-7"/>
        </w:rPr>
        <w:t xml:space="preserve"> 5: </w:t>
      </w:r>
      <w:r>
        <w:rPr>
          <w:spacing w:val="-7"/>
        </w:rPr>
        <w:t>Dimension</w:t>
      </w:r>
      <w:r w:rsidRPr="007959C5">
        <w:rPr>
          <w:spacing w:val="-7"/>
        </w:rPr>
        <w:t xml:space="preserve"> 2 – </w:t>
      </w:r>
      <w:r>
        <w:rPr>
          <w:spacing w:val="-7"/>
        </w:rPr>
        <w:t>form of financing</w:t>
      </w:r>
    </w:p>
    <w:p w14:paraId="0F2C8EFE"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FBE9477" w14:textId="77777777" w:rsidTr="00355A56">
        <w:trPr>
          <w:trHeight w:val="353"/>
        </w:trPr>
        <w:tc>
          <w:tcPr>
            <w:tcW w:w="2088" w:type="dxa"/>
          </w:tcPr>
          <w:p w14:paraId="3B764E5C" w14:textId="77777777" w:rsidR="00DD13BF" w:rsidRDefault="00DD13BF" w:rsidP="00355A56">
            <w:pPr>
              <w:pStyle w:val="TableParagraph"/>
              <w:ind w:left="115"/>
              <w:jc w:val="center"/>
            </w:pPr>
            <w:r>
              <w:rPr>
                <w:spacing w:val="-2"/>
              </w:rPr>
              <w:t>Priority No</w:t>
            </w:r>
          </w:p>
        </w:tc>
        <w:tc>
          <w:tcPr>
            <w:tcW w:w="1133" w:type="dxa"/>
          </w:tcPr>
          <w:p w14:paraId="44A90014" w14:textId="77777777" w:rsidR="00DD13BF" w:rsidRDefault="00DD13BF" w:rsidP="00355A56">
            <w:pPr>
              <w:pStyle w:val="TableParagraph"/>
              <w:ind w:left="320"/>
            </w:pPr>
            <w:r>
              <w:t>Fund</w:t>
            </w:r>
          </w:p>
        </w:tc>
        <w:tc>
          <w:tcPr>
            <w:tcW w:w="3249" w:type="dxa"/>
          </w:tcPr>
          <w:p w14:paraId="2274E53F" w14:textId="77777777" w:rsidR="00DD13BF" w:rsidRDefault="00DD13BF" w:rsidP="00355A56">
            <w:pPr>
              <w:pStyle w:val="TableParagraph"/>
              <w:ind w:left="907"/>
            </w:pPr>
            <w:r>
              <w:rPr>
                <w:spacing w:val="-3"/>
              </w:rPr>
              <w:t>Category of region</w:t>
            </w:r>
          </w:p>
        </w:tc>
        <w:tc>
          <w:tcPr>
            <w:tcW w:w="3099" w:type="dxa"/>
          </w:tcPr>
          <w:p w14:paraId="798B5D87" w14:textId="77777777" w:rsidR="00DD13BF" w:rsidRDefault="00DD13BF" w:rsidP="00355A56">
            <w:pPr>
              <w:pStyle w:val="TableParagraph"/>
              <w:ind w:left="948"/>
            </w:pPr>
            <w:r>
              <w:rPr>
                <w:spacing w:val="-4"/>
              </w:rPr>
              <w:t>Specific objective</w:t>
            </w:r>
          </w:p>
        </w:tc>
        <w:tc>
          <w:tcPr>
            <w:tcW w:w="1161" w:type="dxa"/>
          </w:tcPr>
          <w:p w14:paraId="728FF45C" w14:textId="77777777" w:rsidR="00DD13BF" w:rsidRDefault="00DD13BF" w:rsidP="00355A56">
            <w:pPr>
              <w:pStyle w:val="TableParagraph"/>
              <w:ind w:left="334"/>
            </w:pPr>
            <w:r>
              <w:t xml:space="preserve">Code </w:t>
            </w:r>
          </w:p>
        </w:tc>
        <w:tc>
          <w:tcPr>
            <w:tcW w:w="2731" w:type="dxa"/>
          </w:tcPr>
          <w:p w14:paraId="179E520E" w14:textId="77777777" w:rsidR="00DD13BF" w:rsidRDefault="00DD13BF" w:rsidP="00355A56">
            <w:pPr>
              <w:pStyle w:val="TableParagraph"/>
              <w:ind w:left="661"/>
            </w:pPr>
            <w:r>
              <w:t>Amount (in EUR)</w:t>
            </w:r>
          </w:p>
        </w:tc>
      </w:tr>
      <w:tr w:rsidR="00DD13BF" w14:paraId="37520D60" w14:textId="77777777" w:rsidTr="00355A56">
        <w:trPr>
          <w:trHeight w:val="353"/>
        </w:trPr>
        <w:tc>
          <w:tcPr>
            <w:tcW w:w="2088" w:type="dxa"/>
          </w:tcPr>
          <w:p w14:paraId="3D52679B" w14:textId="77777777" w:rsidR="00DD13BF" w:rsidRDefault="00DD13BF" w:rsidP="00355A56">
            <w:pPr>
              <w:pStyle w:val="TableParagraph"/>
              <w:rPr>
                <w:sz w:val="20"/>
              </w:rPr>
            </w:pPr>
            <w:r>
              <w:rPr>
                <w:sz w:val="20"/>
              </w:rPr>
              <w:lastRenderedPageBreak/>
              <w:t>1</w:t>
            </w:r>
          </w:p>
        </w:tc>
        <w:tc>
          <w:tcPr>
            <w:tcW w:w="1133" w:type="dxa"/>
          </w:tcPr>
          <w:p w14:paraId="1D5D7F00" w14:textId="77777777" w:rsidR="00DD13BF" w:rsidRDefault="00DD13BF" w:rsidP="00355A56">
            <w:pPr>
              <w:pStyle w:val="TableParagraph"/>
              <w:rPr>
                <w:sz w:val="20"/>
              </w:rPr>
            </w:pPr>
            <w:r>
              <w:rPr>
                <w:sz w:val="20"/>
              </w:rPr>
              <w:t>ERDF</w:t>
            </w:r>
          </w:p>
        </w:tc>
        <w:tc>
          <w:tcPr>
            <w:tcW w:w="3249" w:type="dxa"/>
          </w:tcPr>
          <w:p w14:paraId="26DDE6BD" w14:textId="77777777" w:rsidR="00DD13BF" w:rsidRDefault="00DD13BF" w:rsidP="00355A56">
            <w:pPr>
              <w:pStyle w:val="TableParagraph"/>
              <w:rPr>
                <w:sz w:val="20"/>
              </w:rPr>
            </w:pPr>
            <w:r>
              <w:rPr>
                <w:rFonts w:cstheme="minorHAnsi"/>
                <w:sz w:val="20"/>
              </w:rPr>
              <w:t xml:space="preserve">Less developed </w:t>
            </w:r>
          </w:p>
        </w:tc>
        <w:tc>
          <w:tcPr>
            <w:tcW w:w="3099" w:type="dxa"/>
          </w:tcPr>
          <w:p w14:paraId="29E99BEE" w14:textId="77777777" w:rsidR="00DD13BF" w:rsidRDefault="00DD13BF" w:rsidP="00355A56">
            <w:pPr>
              <w:pStyle w:val="TableParagraph"/>
              <w:rPr>
                <w:sz w:val="20"/>
              </w:rPr>
            </w:pPr>
            <w:r w:rsidRPr="00E328E1">
              <w:rPr>
                <w:rFonts w:cstheme="minorHAnsi"/>
                <w:sz w:val="20"/>
              </w:rPr>
              <w:t>RSO1.1</w:t>
            </w:r>
          </w:p>
        </w:tc>
        <w:tc>
          <w:tcPr>
            <w:tcW w:w="1161" w:type="dxa"/>
          </w:tcPr>
          <w:p w14:paraId="020FC6F1" w14:textId="77777777" w:rsidR="00DD13BF" w:rsidRDefault="00DD13BF" w:rsidP="00355A56">
            <w:pPr>
              <w:pStyle w:val="TableParagraph"/>
              <w:rPr>
                <w:sz w:val="20"/>
              </w:rPr>
            </w:pPr>
            <w:r>
              <w:rPr>
                <w:sz w:val="20"/>
              </w:rPr>
              <w:t>01</w:t>
            </w:r>
          </w:p>
        </w:tc>
        <w:tc>
          <w:tcPr>
            <w:tcW w:w="2731" w:type="dxa"/>
          </w:tcPr>
          <w:p w14:paraId="324FB7FC" w14:textId="77777777" w:rsidR="00DD13BF" w:rsidRDefault="00DD13BF" w:rsidP="00355A56">
            <w:pPr>
              <w:pStyle w:val="TableParagraph"/>
              <w:rPr>
                <w:sz w:val="20"/>
              </w:rPr>
            </w:pPr>
            <w:r>
              <w:rPr>
                <w:sz w:val="20"/>
              </w:rPr>
              <w:t>267,347,744</w:t>
            </w:r>
          </w:p>
        </w:tc>
      </w:tr>
      <w:tr w:rsidR="00DD13BF" w14:paraId="459A9E11" w14:textId="77777777" w:rsidTr="00355A56">
        <w:trPr>
          <w:trHeight w:val="353"/>
        </w:trPr>
        <w:tc>
          <w:tcPr>
            <w:tcW w:w="2088" w:type="dxa"/>
          </w:tcPr>
          <w:p w14:paraId="61D7E9A6" w14:textId="77777777" w:rsidR="00DD13BF" w:rsidRDefault="00DD13BF" w:rsidP="00355A56">
            <w:pPr>
              <w:pStyle w:val="TableParagraph"/>
              <w:rPr>
                <w:sz w:val="20"/>
              </w:rPr>
            </w:pPr>
            <w:r>
              <w:rPr>
                <w:sz w:val="20"/>
              </w:rPr>
              <w:t>1</w:t>
            </w:r>
          </w:p>
        </w:tc>
        <w:tc>
          <w:tcPr>
            <w:tcW w:w="1133" w:type="dxa"/>
          </w:tcPr>
          <w:p w14:paraId="332B73FA" w14:textId="77777777" w:rsidR="00DD13BF" w:rsidRDefault="00DD13BF" w:rsidP="00355A56">
            <w:pPr>
              <w:pStyle w:val="TableParagraph"/>
              <w:rPr>
                <w:sz w:val="20"/>
              </w:rPr>
            </w:pPr>
            <w:r>
              <w:rPr>
                <w:sz w:val="20"/>
              </w:rPr>
              <w:t>ERDF</w:t>
            </w:r>
          </w:p>
        </w:tc>
        <w:tc>
          <w:tcPr>
            <w:tcW w:w="3249" w:type="dxa"/>
          </w:tcPr>
          <w:p w14:paraId="250CFC2A" w14:textId="77777777" w:rsidR="00DD13BF" w:rsidRDefault="00DD13BF" w:rsidP="00355A56">
            <w:pPr>
              <w:pStyle w:val="TableParagraph"/>
              <w:rPr>
                <w:sz w:val="20"/>
              </w:rPr>
            </w:pPr>
            <w:r>
              <w:rPr>
                <w:rFonts w:cstheme="minorHAnsi"/>
                <w:sz w:val="20"/>
              </w:rPr>
              <w:t xml:space="preserve">More developed </w:t>
            </w:r>
          </w:p>
        </w:tc>
        <w:tc>
          <w:tcPr>
            <w:tcW w:w="3099" w:type="dxa"/>
          </w:tcPr>
          <w:p w14:paraId="7E328F87" w14:textId="77777777" w:rsidR="00DD13BF" w:rsidRDefault="00DD13BF" w:rsidP="00355A56">
            <w:pPr>
              <w:pStyle w:val="TableParagraph"/>
              <w:rPr>
                <w:sz w:val="20"/>
              </w:rPr>
            </w:pPr>
            <w:r w:rsidRPr="00E328E1">
              <w:rPr>
                <w:rFonts w:cstheme="minorHAnsi"/>
                <w:sz w:val="20"/>
              </w:rPr>
              <w:t>RSO1.1</w:t>
            </w:r>
          </w:p>
        </w:tc>
        <w:tc>
          <w:tcPr>
            <w:tcW w:w="1161" w:type="dxa"/>
          </w:tcPr>
          <w:p w14:paraId="74B917B0" w14:textId="77777777" w:rsidR="00DD13BF" w:rsidRDefault="00DD13BF" w:rsidP="00355A56">
            <w:pPr>
              <w:pStyle w:val="TableParagraph"/>
              <w:rPr>
                <w:sz w:val="20"/>
              </w:rPr>
            </w:pPr>
            <w:r>
              <w:rPr>
                <w:sz w:val="20"/>
              </w:rPr>
              <w:t>01</w:t>
            </w:r>
          </w:p>
        </w:tc>
        <w:tc>
          <w:tcPr>
            <w:tcW w:w="2731" w:type="dxa"/>
          </w:tcPr>
          <w:p w14:paraId="7BCEBFA2" w14:textId="77777777" w:rsidR="00DD13BF" w:rsidRDefault="00DD13BF" w:rsidP="00355A56">
            <w:pPr>
              <w:pStyle w:val="TableParagraph"/>
              <w:rPr>
                <w:sz w:val="20"/>
              </w:rPr>
            </w:pPr>
            <w:r>
              <w:rPr>
                <w:sz w:val="20"/>
              </w:rPr>
              <w:t>126,542,256</w:t>
            </w:r>
          </w:p>
        </w:tc>
      </w:tr>
      <w:tr w:rsidR="00DD13BF" w14:paraId="20631F04" w14:textId="77777777" w:rsidTr="00355A56">
        <w:trPr>
          <w:trHeight w:val="353"/>
        </w:trPr>
        <w:tc>
          <w:tcPr>
            <w:tcW w:w="2088" w:type="dxa"/>
          </w:tcPr>
          <w:p w14:paraId="57AEC186" w14:textId="77777777" w:rsidR="00DD13BF" w:rsidRDefault="00DD13BF" w:rsidP="00355A56">
            <w:pPr>
              <w:pStyle w:val="TableParagraph"/>
              <w:rPr>
                <w:sz w:val="20"/>
              </w:rPr>
            </w:pPr>
            <w:r>
              <w:rPr>
                <w:sz w:val="20"/>
              </w:rPr>
              <w:t>1</w:t>
            </w:r>
          </w:p>
        </w:tc>
        <w:tc>
          <w:tcPr>
            <w:tcW w:w="1133" w:type="dxa"/>
          </w:tcPr>
          <w:p w14:paraId="6643193B" w14:textId="77777777" w:rsidR="00DD13BF" w:rsidRDefault="00DD13BF" w:rsidP="00355A56">
            <w:pPr>
              <w:pStyle w:val="TableParagraph"/>
              <w:rPr>
                <w:sz w:val="20"/>
              </w:rPr>
            </w:pPr>
            <w:r>
              <w:rPr>
                <w:sz w:val="20"/>
              </w:rPr>
              <w:t>ERDF</w:t>
            </w:r>
          </w:p>
        </w:tc>
        <w:tc>
          <w:tcPr>
            <w:tcW w:w="3249" w:type="dxa"/>
          </w:tcPr>
          <w:p w14:paraId="372BC753" w14:textId="77777777" w:rsidR="00DD13BF" w:rsidRDefault="00DD13BF" w:rsidP="00355A56">
            <w:pPr>
              <w:pStyle w:val="TableParagraph"/>
              <w:rPr>
                <w:sz w:val="20"/>
              </w:rPr>
            </w:pPr>
            <w:r>
              <w:rPr>
                <w:rFonts w:cstheme="minorHAnsi"/>
                <w:sz w:val="20"/>
              </w:rPr>
              <w:t xml:space="preserve">Less developed </w:t>
            </w:r>
          </w:p>
        </w:tc>
        <w:tc>
          <w:tcPr>
            <w:tcW w:w="3099" w:type="dxa"/>
          </w:tcPr>
          <w:p w14:paraId="258A7B4B" w14:textId="77777777" w:rsidR="00DD13BF" w:rsidRPr="00E328E1" w:rsidRDefault="00DD13BF" w:rsidP="00355A56">
            <w:pPr>
              <w:pStyle w:val="TableParagraph"/>
              <w:rPr>
                <w:rFonts w:cstheme="minorHAnsi"/>
                <w:sz w:val="20"/>
              </w:rPr>
            </w:pPr>
            <w:r w:rsidRPr="00E328E1">
              <w:rPr>
                <w:rFonts w:cstheme="minorHAnsi"/>
                <w:sz w:val="20"/>
              </w:rPr>
              <w:t>RSO1.1</w:t>
            </w:r>
          </w:p>
        </w:tc>
        <w:tc>
          <w:tcPr>
            <w:tcW w:w="1161" w:type="dxa"/>
          </w:tcPr>
          <w:p w14:paraId="4CA8B24E" w14:textId="77777777" w:rsidR="00DD13BF" w:rsidRDefault="00DD13BF" w:rsidP="00355A56">
            <w:pPr>
              <w:pStyle w:val="TableParagraph"/>
              <w:rPr>
                <w:sz w:val="20"/>
              </w:rPr>
            </w:pPr>
            <w:r>
              <w:rPr>
                <w:sz w:val="20"/>
              </w:rPr>
              <w:t>03</w:t>
            </w:r>
          </w:p>
        </w:tc>
        <w:tc>
          <w:tcPr>
            <w:tcW w:w="2731" w:type="dxa"/>
          </w:tcPr>
          <w:p w14:paraId="7ECD2DCD" w14:textId="77777777" w:rsidR="00DD13BF" w:rsidRDefault="00DD13BF" w:rsidP="00355A56">
            <w:pPr>
              <w:pStyle w:val="TableParagraph"/>
              <w:rPr>
                <w:sz w:val="20"/>
              </w:rPr>
            </w:pPr>
            <w:r>
              <w:rPr>
                <w:sz w:val="20"/>
              </w:rPr>
              <w:t>14,272,256</w:t>
            </w:r>
          </w:p>
        </w:tc>
      </w:tr>
      <w:tr w:rsidR="00DD13BF" w14:paraId="4C000010" w14:textId="77777777" w:rsidTr="00355A56">
        <w:trPr>
          <w:trHeight w:val="353"/>
        </w:trPr>
        <w:tc>
          <w:tcPr>
            <w:tcW w:w="2088" w:type="dxa"/>
          </w:tcPr>
          <w:p w14:paraId="15A99494" w14:textId="77777777" w:rsidR="00DD13BF" w:rsidRDefault="00DD13BF" w:rsidP="00355A56">
            <w:pPr>
              <w:pStyle w:val="TableParagraph"/>
              <w:rPr>
                <w:sz w:val="20"/>
              </w:rPr>
            </w:pPr>
            <w:r>
              <w:rPr>
                <w:sz w:val="20"/>
              </w:rPr>
              <w:t>1</w:t>
            </w:r>
          </w:p>
        </w:tc>
        <w:tc>
          <w:tcPr>
            <w:tcW w:w="1133" w:type="dxa"/>
          </w:tcPr>
          <w:p w14:paraId="25B5A71E" w14:textId="77777777" w:rsidR="00DD13BF" w:rsidRDefault="00DD13BF" w:rsidP="00355A56">
            <w:pPr>
              <w:pStyle w:val="TableParagraph"/>
              <w:rPr>
                <w:sz w:val="20"/>
              </w:rPr>
            </w:pPr>
            <w:r>
              <w:rPr>
                <w:sz w:val="20"/>
              </w:rPr>
              <w:t>ERDF</w:t>
            </w:r>
          </w:p>
        </w:tc>
        <w:tc>
          <w:tcPr>
            <w:tcW w:w="3249" w:type="dxa"/>
          </w:tcPr>
          <w:p w14:paraId="44D8E9F6" w14:textId="77777777" w:rsidR="00DD13BF" w:rsidRDefault="00DD13BF" w:rsidP="00355A56">
            <w:pPr>
              <w:pStyle w:val="TableParagraph"/>
              <w:rPr>
                <w:sz w:val="20"/>
              </w:rPr>
            </w:pPr>
            <w:r>
              <w:rPr>
                <w:rFonts w:cstheme="minorHAnsi"/>
                <w:sz w:val="20"/>
              </w:rPr>
              <w:t xml:space="preserve">More developed </w:t>
            </w:r>
          </w:p>
        </w:tc>
        <w:tc>
          <w:tcPr>
            <w:tcW w:w="3099" w:type="dxa"/>
          </w:tcPr>
          <w:p w14:paraId="509467D2" w14:textId="77777777" w:rsidR="00DD13BF" w:rsidRPr="00E328E1" w:rsidRDefault="00DD13BF" w:rsidP="00355A56">
            <w:pPr>
              <w:pStyle w:val="TableParagraph"/>
              <w:rPr>
                <w:rFonts w:cstheme="minorHAnsi"/>
                <w:sz w:val="20"/>
              </w:rPr>
            </w:pPr>
            <w:r w:rsidRPr="00E328E1">
              <w:rPr>
                <w:rFonts w:cstheme="minorHAnsi"/>
                <w:sz w:val="20"/>
              </w:rPr>
              <w:t>RSO1.1</w:t>
            </w:r>
          </w:p>
        </w:tc>
        <w:tc>
          <w:tcPr>
            <w:tcW w:w="1161" w:type="dxa"/>
          </w:tcPr>
          <w:p w14:paraId="685FBAE1" w14:textId="77777777" w:rsidR="00DD13BF" w:rsidRDefault="00DD13BF" w:rsidP="00355A56">
            <w:pPr>
              <w:pStyle w:val="TableParagraph"/>
              <w:rPr>
                <w:sz w:val="20"/>
              </w:rPr>
            </w:pPr>
            <w:r>
              <w:rPr>
                <w:sz w:val="20"/>
              </w:rPr>
              <w:t>03</w:t>
            </w:r>
          </w:p>
        </w:tc>
        <w:tc>
          <w:tcPr>
            <w:tcW w:w="2731" w:type="dxa"/>
          </w:tcPr>
          <w:p w14:paraId="3B91308A" w14:textId="77777777" w:rsidR="00DD13BF" w:rsidRDefault="00DD13BF" w:rsidP="00355A56">
            <w:pPr>
              <w:pStyle w:val="TableParagraph"/>
              <w:rPr>
                <w:sz w:val="20"/>
              </w:rPr>
            </w:pPr>
            <w:r>
              <w:rPr>
                <w:sz w:val="20"/>
              </w:rPr>
              <w:t>5,727,744</w:t>
            </w:r>
          </w:p>
        </w:tc>
      </w:tr>
    </w:tbl>
    <w:p w14:paraId="370F4F2A" w14:textId="77777777" w:rsidR="00DD13BF" w:rsidRDefault="00DD13BF" w:rsidP="00DD13BF">
      <w:pPr>
        <w:rPr>
          <w:sz w:val="20"/>
        </w:rPr>
        <w:sectPr w:rsidR="00DD13BF" w:rsidSect="00972BC9">
          <w:headerReference w:type="default" r:id="rId14"/>
          <w:headerReference w:type="first" r:id="rId15"/>
          <w:footerReference w:type="first" r:id="rId16"/>
          <w:pgSz w:w="16840" w:h="11910" w:orient="landscape"/>
          <w:pgMar w:top="1418" w:right="851" w:bottom="1418" w:left="851" w:header="709" w:footer="709" w:gutter="0"/>
          <w:cols w:space="708"/>
          <w:titlePg/>
          <w:docGrid w:linePitch="299"/>
        </w:sectPr>
      </w:pPr>
    </w:p>
    <w:p w14:paraId="615CC091" w14:textId="77777777" w:rsidR="00DD13BF" w:rsidRDefault="00DD13BF" w:rsidP="00DD13BF">
      <w:pPr>
        <w:ind w:left="-284"/>
        <w:rPr>
          <w:spacing w:val="-7"/>
        </w:rPr>
      </w:pPr>
    </w:p>
    <w:p w14:paraId="3E54715D" w14:textId="77777777" w:rsidR="00DD13BF" w:rsidRDefault="00DD13BF" w:rsidP="00DD13BF">
      <w:pPr>
        <w:ind w:left="-284"/>
      </w:pPr>
      <w:r>
        <w:rPr>
          <w:spacing w:val="-7"/>
        </w:rPr>
        <w:t>Table 6: Dimension</w:t>
      </w:r>
      <w:r>
        <w:rPr>
          <w:spacing w:val="61"/>
        </w:rPr>
        <w:t xml:space="preserve"> </w:t>
      </w:r>
      <w:r>
        <w:rPr>
          <w:spacing w:val="-7"/>
        </w:rPr>
        <w:t>3</w:t>
      </w:r>
      <w:r>
        <w:rPr>
          <w:spacing w:val="-1"/>
        </w:rPr>
        <w:t xml:space="preserve"> </w:t>
      </w:r>
      <w:r>
        <w:rPr>
          <w:spacing w:val="-7"/>
        </w:rPr>
        <w:t>–</w:t>
      </w:r>
      <w:r>
        <w:rPr>
          <w:spacing w:val="-1"/>
        </w:rPr>
        <w:t xml:space="preserve"> territorial delivery mechanism and territorial focus </w:t>
      </w:r>
    </w:p>
    <w:p w14:paraId="488DCBD6" w14:textId="77777777" w:rsidR="00DD13BF" w:rsidRDefault="00DD13BF" w:rsidP="00DD13BF"/>
    <w:tbl>
      <w:tblPr>
        <w:tblStyle w:val="NormalTable0"/>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E8111DB" w14:textId="77777777" w:rsidTr="00355A56">
        <w:trPr>
          <w:trHeight w:val="353"/>
        </w:trPr>
        <w:tc>
          <w:tcPr>
            <w:tcW w:w="2088" w:type="dxa"/>
          </w:tcPr>
          <w:p w14:paraId="02D19C6C" w14:textId="77777777" w:rsidR="00DD13BF" w:rsidRDefault="00DD13BF" w:rsidP="00355A56">
            <w:pPr>
              <w:pStyle w:val="TableParagraph"/>
              <w:ind w:left="115"/>
              <w:jc w:val="center"/>
            </w:pPr>
            <w:r>
              <w:rPr>
                <w:spacing w:val="-2"/>
              </w:rPr>
              <w:t>Priority No</w:t>
            </w:r>
          </w:p>
        </w:tc>
        <w:tc>
          <w:tcPr>
            <w:tcW w:w="1132" w:type="dxa"/>
          </w:tcPr>
          <w:p w14:paraId="3E6AA03E" w14:textId="77777777" w:rsidR="00DD13BF" w:rsidRDefault="00DD13BF" w:rsidP="00355A56">
            <w:pPr>
              <w:pStyle w:val="TableParagraph"/>
              <w:ind w:left="320"/>
            </w:pPr>
            <w:r>
              <w:t>Fund</w:t>
            </w:r>
          </w:p>
        </w:tc>
        <w:tc>
          <w:tcPr>
            <w:tcW w:w="3248" w:type="dxa"/>
          </w:tcPr>
          <w:p w14:paraId="1B924F88" w14:textId="77777777" w:rsidR="00DD13BF" w:rsidRDefault="00DD13BF" w:rsidP="00355A56">
            <w:pPr>
              <w:pStyle w:val="TableParagraph"/>
              <w:ind w:left="908"/>
            </w:pPr>
            <w:r>
              <w:rPr>
                <w:spacing w:val="-3"/>
              </w:rPr>
              <w:t>Category of region</w:t>
            </w:r>
          </w:p>
        </w:tc>
        <w:tc>
          <w:tcPr>
            <w:tcW w:w="3098" w:type="dxa"/>
          </w:tcPr>
          <w:p w14:paraId="5701D930" w14:textId="77777777" w:rsidR="00DD13BF" w:rsidRDefault="00DD13BF" w:rsidP="00355A56">
            <w:pPr>
              <w:pStyle w:val="TableParagraph"/>
              <w:ind w:left="950"/>
            </w:pPr>
            <w:r>
              <w:rPr>
                <w:spacing w:val="-4"/>
              </w:rPr>
              <w:t>Specific objective</w:t>
            </w:r>
          </w:p>
        </w:tc>
        <w:tc>
          <w:tcPr>
            <w:tcW w:w="1160" w:type="dxa"/>
          </w:tcPr>
          <w:p w14:paraId="7CF5FCE5" w14:textId="77777777" w:rsidR="00DD13BF" w:rsidRDefault="00DD13BF" w:rsidP="00355A56">
            <w:pPr>
              <w:pStyle w:val="TableParagraph"/>
              <w:ind w:left="336"/>
            </w:pPr>
            <w:r>
              <w:t xml:space="preserve">Code </w:t>
            </w:r>
          </w:p>
        </w:tc>
        <w:tc>
          <w:tcPr>
            <w:tcW w:w="2730" w:type="dxa"/>
          </w:tcPr>
          <w:p w14:paraId="03F3E411" w14:textId="77777777" w:rsidR="00DD13BF" w:rsidRDefault="00DD13BF" w:rsidP="00355A56">
            <w:pPr>
              <w:pStyle w:val="TableParagraph"/>
              <w:ind w:left="664"/>
            </w:pPr>
            <w:r>
              <w:t>Amount (in EUR)</w:t>
            </w:r>
          </w:p>
        </w:tc>
      </w:tr>
      <w:tr w:rsidR="00DD13BF" w14:paraId="5F3FF478" w14:textId="77777777" w:rsidTr="00355A56">
        <w:trPr>
          <w:trHeight w:val="353"/>
        </w:trPr>
        <w:tc>
          <w:tcPr>
            <w:tcW w:w="2088" w:type="dxa"/>
          </w:tcPr>
          <w:p w14:paraId="7896C271" w14:textId="77777777" w:rsidR="00DD13BF" w:rsidRDefault="00DD13BF" w:rsidP="00355A56">
            <w:pPr>
              <w:pStyle w:val="TableParagraph"/>
              <w:rPr>
                <w:sz w:val="20"/>
              </w:rPr>
            </w:pPr>
            <w:r>
              <w:rPr>
                <w:sz w:val="20"/>
              </w:rPr>
              <w:t>1</w:t>
            </w:r>
          </w:p>
        </w:tc>
        <w:tc>
          <w:tcPr>
            <w:tcW w:w="1132" w:type="dxa"/>
          </w:tcPr>
          <w:p w14:paraId="4AAE589E" w14:textId="77777777" w:rsidR="00DD13BF" w:rsidRDefault="00DD13BF" w:rsidP="00355A56">
            <w:pPr>
              <w:pStyle w:val="TableParagraph"/>
              <w:rPr>
                <w:sz w:val="20"/>
              </w:rPr>
            </w:pPr>
            <w:r>
              <w:rPr>
                <w:sz w:val="20"/>
              </w:rPr>
              <w:t>ERDF</w:t>
            </w:r>
          </w:p>
        </w:tc>
        <w:tc>
          <w:tcPr>
            <w:tcW w:w="3248" w:type="dxa"/>
          </w:tcPr>
          <w:p w14:paraId="1D8A9113" w14:textId="77777777" w:rsidR="00DD13BF" w:rsidRDefault="00DD13BF" w:rsidP="00355A56">
            <w:pPr>
              <w:pStyle w:val="TableParagraph"/>
              <w:rPr>
                <w:sz w:val="20"/>
              </w:rPr>
            </w:pPr>
            <w:r>
              <w:rPr>
                <w:rFonts w:cstheme="minorHAnsi"/>
                <w:sz w:val="20"/>
              </w:rPr>
              <w:t xml:space="preserve">Less developed </w:t>
            </w:r>
          </w:p>
        </w:tc>
        <w:tc>
          <w:tcPr>
            <w:tcW w:w="3098" w:type="dxa"/>
          </w:tcPr>
          <w:p w14:paraId="67EC3A0D" w14:textId="77777777" w:rsidR="00DD13BF" w:rsidRDefault="00DD13BF" w:rsidP="00355A56">
            <w:pPr>
              <w:pStyle w:val="TableParagraph"/>
              <w:rPr>
                <w:sz w:val="20"/>
              </w:rPr>
            </w:pPr>
            <w:r w:rsidRPr="00F92705">
              <w:rPr>
                <w:rFonts w:cstheme="minorHAnsi"/>
                <w:sz w:val="20"/>
              </w:rPr>
              <w:t>RSO1.1</w:t>
            </w:r>
          </w:p>
        </w:tc>
        <w:tc>
          <w:tcPr>
            <w:tcW w:w="1160" w:type="dxa"/>
          </w:tcPr>
          <w:p w14:paraId="6C7BEEBE" w14:textId="77777777" w:rsidR="00DD13BF" w:rsidRDefault="00DD13BF" w:rsidP="00355A56">
            <w:pPr>
              <w:pStyle w:val="TableParagraph"/>
              <w:rPr>
                <w:sz w:val="20"/>
              </w:rPr>
            </w:pPr>
            <w:r>
              <w:rPr>
                <w:sz w:val="20"/>
              </w:rPr>
              <w:t>33</w:t>
            </w:r>
          </w:p>
        </w:tc>
        <w:tc>
          <w:tcPr>
            <w:tcW w:w="2730" w:type="dxa"/>
          </w:tcPr>
          <w:p w14:paraId="6982F00C" w14:textId="77777777" w:rsidR="00DD13BF" w:rsidRDefault="00DD13BF" w:rsidP="00355A56">
            <w:pPr>
              <w:pStyle w:val="TableParagraph"/>
              <w:rPr>
                <w:sz w:val="20"/>
              </w:rPr>
            </w:pPr>
            <w:r>
              <w:rPr>
                <w:sz w:val="20"/>
              </w:rPr>
              <w:t>281,620,000</w:t>
            </w:r>
          </w:p>
        </w:tc>
      </w:tr>
      <w:tr w:rsidR="00DD13BF" w14:paraId="16836187" w14:textId="77777777" w:rsidTr="00355A56">
        <w:trPr>
          <w:trHeight w:val="353"/>
        </w:trPr>
        <w:tc>
          <w:tcPr>
            <w:tcW w:w="2088" w:type="dxa"/>
          </w:tcPr>
          <w:p w14:paraId="33927FF4" w14:textId="77777777" w:rsidR="00DD13BF" w:rsidRDefault="00DD13BF" w:rsidP="00355A56">
            <w:pPr>
              <w:pStyle w:val="TableParagraph"/>
              <w:rPr>
                <w:sz w:val="20"/>
              </w:rPr>
            </w:pPr>
            <w:r>
              <w:rPr>
                <w:sz w:val="20"/>
              </w:rPr>
              <w:t>1</w:t>
            </w:r>
          </w:p>
        </w:tc>
        <w:tc>
          <w:tcPr>
            <w:tcW w:w="1132" w:type="dxa"/>
          </w:tcPr>
          <w:p w14:paraId="16437DBF" w14:textId="77777777" w:rsidR="00DD13BF" w:rsidRDefault="00DD13BF" w:rsidP="00355A56">
            <w:pPr>
              <w:pStyle w:val="TableParagraph"/>
              <w:rPr>
                <w:sz w:val="20"/>
              </w:rPr>
            </w:pPr>
            <w:r>
              <w:rPr>
                <w:sz w:val="20"/>
              </w:rPr>
              <w:t>ERDF</w:t>
            </w:r>
          </w:p>
        </w:tc>
        <w:tc>
          <w:tcPr>
            <w:tcW w:w="3248" w:type="dxa"/>
          </w:tcPr>
          <w:p w14:paraId="363BD484" w14:textId="77777777" w:rsidR="00DD13BF" w:rsidRDefault="00DD13BF" w:rsidP="00355A56">
            <w:pPr>
              <w:pStyle w:val="TableParagraph"/>
              <w:rPr>
                <w:sz w:val="20"/>
              </w:rPr>
            </w:pPr>
            <w:r>
              <w:rPr>
                <w:rFonts w:cstheme="minorHAnsi"/>
                <w:sz w:val="20"/>
              </w:rPr>
              <w:t xml:space="preserve">More developed </w:t>
            </w:r>
          </w:p>
        </w:tc>
        <w:tc>
          <w:tcPr>
            <w:tcW w:w="3098" w:type="dxa"/>
          </w:tcPr>
          <w:p w14:paraId="30549469" w14:textId="77777777" w:rsidR="00DD13BF" w:rsidRDefault="00DD13BF" w:rsidP="00355A56">
            <w:pPr>
              <w:pStyle w:val="TableParagraph"/>
              <w:rPr>
                <w:sz w:val="20"/>
              </w:rPr>
            </w:pPr>
            <w:r w:rsidRPr="00F92705">
              <w:rPr>
                <w:rFonts w:cstheme="minorHAnsi"/>
                <w:sz w:val="20"/>
              </w:rPr>
              <w:t>RSO1.1</w:t>
            </w:r>
          </w:p>
        </w:tc>
        <w:tc>
          <w:tcPr>
            <w:tcW w:w="1160" w:type="dxa"/>
          </w:tcPr>
          <w:p w14:paraId="37CE4C6C" w14:textId="77777777" w:rsidR="00DD13BF" w:rsidRDefault="00DD13BF" w:rsidP="00355A56">
            <w:pPr>
              <w:pStyle w:val="TableParagraph"/>
              <w:rPr>
                <w:sz w:val="20"/>
              </w:rPr>
            </w:pPr>
            <w:r>
              <w:rPr>
                <w:sz w:val="20"/>
              </w:rPr>
              <w:t>33</w:t>
            </w:r>
          </w:p>
        </w:tc>
        <w:tc>
          <w:tcPr>
            <w:tcW w:w="2730" w:type="dxa"/>
          </w:tcPr>
          <w:p w14:paraId="0056A1A2" w14:textId="77777777" w:rsidR="00DD13BF" w:rsidRDefault="00DD13BF" w:rsidP="00355A56">
            <w:pPr>
              <w:pStyle w:val="TableParagraph"/>
              <w:rPr>
                <w:sz w:val="20"/>
              </w:rPr>
            </w:pPr>
            <w:r>
              <w:rPr>
                <w:sz w:val="20"/>
              </w:rPr>
              <w:t>132,270,000</w:t>
            </w:r>
          </w:p>
        </w:tc>
      </w:tr>
    </w:tbl>
    <w:p w14:paraId="494128D3" w14:textId="77777777" w:rsidR="00DD13BF" w:rsidRDefault="00DD13BF" w:rsidP="00DD13BF"/>
    <w:p w14:paraId="63C7F202" w14:textId="77777777" w:rsidR="00DD13BF" w:rsidRDefault="00DD13BF" w:rsidP="00DD13BF">
      <w:pPr>
        <w:ind w:left="-284"/>
      </w:pPr>
      <w:r>
        <w:rPr>
          <w:spacing w:val="-5"/>
        </w:rPr>
        <w:t>Table 7:</w:t>
      </w:r>
      <w:r>
        <w:rPr>
          <w:spacing w:val="-9"/>
        </w:rPr>
        <w:t xml:space="preserve"> </w:t>
      </w:r>
      <w:r>
        <w:rPr>
          <w:spacing w:val="-5"/>
        </w:rPr>
        <w:t>Dimension 6</w:t>
      </w:r>
      <w:r>
        <w:rPr>
          <w:spacing w:val="-2"/>
        </w:rPr>
        <w:t xml:space="preserve"> </w:t>
      </w:r>
      <w:r>
        <w:rPr>
          <w:spacing w:val="-5"/>
        </w:rPr>
        <w:t>–</w:t>
      </w:r>
      <w:r>
        <w:rPr>
          <w:spacing w:val="-2"/>
        </w:rPr>
        <w:t xml:space="preserve"> ESF+ </w:t>
      </w:r>
      <w:r>
        <w:rPr>
          <w:spacing w:val="-5"/>
        </w:rPr>
        <w:t>secondary themes</w:t>
      </w:r>
    </w:p>
    <w:p w14:paraId="089C3476" w14:textId="77777777" w:rsidR="00DD13BF" w:rsidRDefault="00DD13BF" w:rsidP="00DD13BF"/>
    <w:tbl>
      <w:tblPr>
        <w:tblStyle w:val="NormalTable0"/>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BAED678" w14:textId="77777777" w:rsidTr="00355A56">
        <w:trPr>
          <w:trHeight w:val="353"/>
        </w:trPr>
        <w:tc>
          <w:tcPr>
            <w:tcW w:w="2088" w:type="dxa"/>
          </w:tcPr>
          <w:p w14:paraId="6B953E66" w14:textId="77777777" w:rsidR="00DD13BF" w:rsidRDefault="00DD13BF" w:rsidP="00355A56">
            <w:pPr>
              <w:pStyle w:val="TableParagraph"/>
              <w:ind w:left="115"/>
              <w:jc w:val="center"/>
            </w:pPr>
            <w:r>
              <w:rPr>
                <w:spacing w:val="-2"/>
              </w:rPr>
              <w:t>Priority No</w:t>
            </w:r>
          </w:p>
        </w:tc>
        <w:tc>
          <w:tcPr>
            <w:tcW w:w="1132" w:type="dxa"/>
          </w:tcPr>
          <w:p w14:paraId="5787BD59" w14:textId="77777777" w:rsidR="00DD13BF" w:rsidRDefault="00DD13BF" w:rsidP="00355A56">
            <w:pPr>
              <w:pStyle w:val="TableParagraph"/>
              <w:ind w:left="321"/>
            </w:pPr>
            <w:r>
              <w:t>Fund</w:t>
            </w:r>
          </w:p>
        </w:tc>
        <w:tc>
          <w:tcPr>
            <w:tcW w:w="3248" w:type="dxa"/>
          </w:tcPr>
          <w:p w14:paraId="0D77E790" w14:textId="77777777" w:rsidR="00DD13BF" w:rsidRDefault="00DD13BF" w:rsidP="00355A56">
            <w:pPr>
              <w:pStyle w:val="TableParagraph"/>
              <w:ind w:left="909"/>
            </w:pPr>
            <w:r>
              <w:rPr>
                <w:spacing w:val="-3"/>
              </w:rPr>
              <w:t>Category of region</w:t>
            </w:r>
          </w:p>
        </w:tc>
        <w:tc>
          <w:tcPr>
            <w:tcW w:w="3098" w:type="dxa"/>
          </w:tcPr>
          <w:p w14:paraId="4BFB25D3" w14:textId="77777777" w:rsidR="00DD13BF" w:rsidRDefault="00DD13BF" w:rsidP="00355A56">
            <w:pPr>
              <w:pStyle w:val="TableParagraph"/>
              <w:ind w:left="950"/>
            </w:pPr>
            <w:r>
              <w:rPr>
                <w:spacing w:val="-4"/>
              </w:rPr>
              <w:t>Specific objective</w:t>
            </w:r>
          </w:p>
        </w:tc>
        <w:tc>
          <w:tcPr>
            <w:tcW w:w="1160" w:type="dxa"/>
          </w:tcPr>
          <w:p w14:paraId="7CE6F76D" w14:textId="77777777" w:rsidR="00DD13BF" w:rsidRDefault="00DD13BF" w:rsidP="00355A56">
            <w:pPr>
              <w:pStyle w:val="TableParagraph"/>
              <w:ind w:left="337"/>
            </w:pPr>
            <w:r>
              <w:t xml:space="preserve">Code </w:t>
            </w:r>
          </w:p>
        </w:tc>
        <w:tc>
          <w:tcPr>
            <w:tcW w:w="2730" w:type="dxa"/>
          </w:tcPr>
          <w:p w14:paraId="43AF0064" w14:textId="77777777" w:rsidR="00DD13BF" w:rsidRDefault="00DD13BF" w:rsidP="00355A56">
            <w:pPr>
              <w:pStyle w:val="TableParagraph"/>
              <w:ind w:left="665"/>
            </w:pPr>
            <w:r>
              <w:t>Amount (in EUR)</w:t>
            </w:r>
          </w:p>
        </w:tc>
      </w:tr>
    </w:tbl>
    <w:p w14:paraId="6D6680C6" w14:textId="77777777" w:rsidR="00DD13BF" w:rsidRDefault="00DD13BF" w:rsidP="00DD13BF"/>
    <w:p w14:paraId="10671B34" w14:textId="77777777" w:rsidR="00DD13BF" w:rsidRDefault="00DD13BF" w:rsidP="00DD13BF"/>
    <w:p w14:paraId="5E8B4353" w14:textId="77777777" w:rsidR="00DD13BF" w:rsidRDefault="00DD13BF" w:rsidP="00DD13BF">
      <w:pPr>
        <w:ind w:left="-284"/>
      </w:pPr>
      <w:r>
        <w:rPr>
          <w:spacing w:val="-5"/>
        </w:rPr>
        <w:t>Table 8:</w:t>
      </w:r>
      <w:r>
        <w:rPr>
          <w:spacing w:val="-9"/>
        </w:rPr>
        <w:t xml:space="preserve"> </w:t>
      </w:r>
      <w:r>
        <w:rPr>
          <w:spacing w:val="-5"/>
        </w:rPr>
        <w:t>Dimension 7</w:t>
      </w:r>
      <w:r>
        <w:rPr>
          <w:spacing w:val="-3"/>
        </w:rPr>
        <w:t xml:space="preserve"> </w:t>
      </w:r>
      <w:r>
        <w:rPr>
          <w:spacing w:val="-5"/>
        </w:rPr>
        <w:t>– ESF+</w:t>
      </w:r>
      <w:r w:rsidRPr="0848C57F">
        <w:rPr>
          <w:b/>
          <w:bCs/>
          <w:spacing w:val="-5"/>
          <w:position w:val="7"/>
          <w:sz w:val="15"/>
          <w:szCs w:val="15"/>
        </w:rPr>
        <w:t>*</w:t>
      </w:r>
      <w:r>
        <w:rPr>
          <w:spacing w:val="-5"/>
        </w:rPr>
        <w:t>,</w:t>
      </w:r>
      <w:r>
        <w:rPr>
          <w:spacing w:val="-3"/>
        </w:rPr>
        <w:t xml:space="preserve"> </w:t>
      </w:r>
      <w:r>
        <w:rPr>
          <w:spacing w:val="-5"/>
        </w:rPr>
        <w:t>ERDF, Cohesion Fund and JTF gender equality dimension</w:t>
      </w:r>
    </w:p>
    <w:p w14:paraId="1FA2B227" w14:textId="77777777" w:rsidR="00DD13BF" w:rsidRDefault="00DD13BF" w:rsidP="00DD13BF">
      <w:pPr>
        <w:rPr>
          <w:sz w:val="21"/>
        </w:rPr>
      </w:pPr>
    </w:p>
    <w:tbl>
      <w:tblPr>
        <w:tblStyle w:val="NormalTable0"/>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747C3D5" w14:textId="77777777" w:rsidTr="00355A56">
        <w:trPr>
          <w:trHeight w:val="353"/>
        </w:trPr>
        <w:tc>
          <w:tcPr>
            <w:tcW w:w="2088" w:type="dxa"/>
          </w:tcPr>
          <w:p w14:paraId="3F994454" w14:textId="77777777" w:rsidR="00DD13BF" w:rsidRDefault="00DD13BF" w:rsidP="00355A56">
            <w:pPr>
              <w:pStyle w:val="TableParagraph"/>
              <w:ind w:left="115"/>
              <w:jc w:val="center"/>
            </w:pPr>
            <w:r>
              <w:rPr>
                <w:spacing w:val="-2"/>
              </w:rPr>
              <w:t>Priority No</w:t>
            </w:r>
          </w:p>
        </w:tc>
        <w:tc>
          <w:tcPr>
            <w:tcW w:w="1132" w:type="dxa"/>
          </w:tcPr>
          <w:p w14:paraId="75DF3343" w14:textId="77777777" w:rsidR="00DD13BF" w:rsidRDefault="00DD13BF" w:rsidP="00355A56">
            <w:pPr>
              <w:pStyle w:val="TableParagraph"/>
              <w:ind w:left="320"/>
            </w:pPr>
            <w:r>
              <w:t>Fund</w:t>
            </w:r>
          </w:p>
        </w:tc>
        <w:tc>
          <w:tcPr>
            <w:tcW w:w="3248" w:type="dxa"/>
          </w:tcPr>
          <w:p w14:paraId="0EBE8EFF" w14:textId="77777777" w:rsidR="00DD13BF" w:rsidRDefault="00DD13BF" w:rsidP="00355A56">
            <w:pPr>
              <w:pStyle w:val="TableParagraph"/>
              <w:ind w:left="908"/>
            </w:pPr>
            <w:r>
              <w:rPr>
                <w:spacing w:val="-3"/>
              </w:rPr>
              <w:t>Category of region</w:t>
            </w:r>
          </w:p>
        </w:tc>
        <w:tc>
          <w:tcPr>
            <w:tcW w:w="3098" w:type="dxa"/>
          </w:tcPr>
          <w:p w14:paraId="3F8097A4" w14:textId="77777777" w:rsidR="00DD13BF" w:rsidRDefault="00DD13BF" w:rsidP="00355A56">
            <w:pPr>
              <w:pStyle w:val="TableParagraph"/>
              <w:ind w:left="950"/>
            </w:pPr>
            <w:r>
              <w:rPr>
                <w:spacing w:val="-4"/>
              </w:rPr>
              <w:t>Specific objective</w:t>
            </w:r>
          </w:p>
        </w:tc>
        <w:tc>
          <w:tcPr>
            <w:tcW w:w="1160" w:type="dxa"/>
          </w:tcPr>
          <w:p w14:paraId="43464199" w14:textId="77777777" w:rsidR="00DD13BF" w:rsidRDefault="00DD13BF" w:rsidP="00355A56">
            <w:pPr>
              <w:pStyle w:val="TableParagraph"/>
              <w:ind w:left="336"/>
            </w:pPr>
            <w:r>
              <w:t xml:space="preserve">Code </w:t>
            </w:r>
          </w:p>
        </w:tc>
        <w:tc>
          <w:tcPr>
            <w:tcW w:w="2730" w:type="dxa"/>
          </w:tcPr>
          <w:p w14:paraId="794F6E4F" w14:textId="77777777" w:rsidR="00DD13BF" w:rsidRDefault="00DD13BF" w:rsidP="00355A56">
            <w:pPr>
              <w:pStyle w:val="TableParagraph"/>
              <w:ind w:left="664"/>
            </w:pPr>
            <w:r>
              <w:t>Amount (in EUR)</w:t>
            </w:r>
          </w:p>
        </w:tc>
      </w:tr>
      <w:tr w:rsidR="00DD13BF" w14:paraId="01B64CE1" w14:textId="77777777" w:rsidTr="00355A56">
        <w:trPr>
          <w:trHeight w:val="353"/>
        </w:trPr>
        <w:tc>
          <w:tcPr>
            <w:tcW w:w="2088" w:type="dxa"/>
          </w:tcPr>
          <w:p w14:paraId="1730BB64" w14:textId="77777777" w:rsidR="00DD13BF" w:rsidRDefault="00DD13BF" w:rsidP="00355A56">
            <w:pPr>
              <w:pStyle w:val="TableParagraph"/>
              <w:rPr>
                <w:sz w:val="20"/>
              </w:rPr>
            </w:pPr>
            <w:r>
              <w:rPr>
                <w:sz w:val="20"/>
              </w:rPr>
              <w:t>1</w:t>
            </w:r>
          </w:p>
        </w:tc>
        <w:tc>
          <w:tcPr>
            <w:tcW w:w="1132" w:type="dxa"/>
          </w:tcPr>
          <w:p w14:paraId="4391AC4B" w14:textId="77777777" w:rsidR="00DD13BF" w:rsidRDefault="00DD13BF" w:rsidP="00355A56">
            <w:pPr>
              <w:pStyle w:val="TableParagraph"/>
              <w:rPr>
                <w:sz w:val="20"/>
              </w:rPr>
            </w:pPr>
            <w:r>
              <w:rPr>
                <w:sz w:val="20"/>
              </w:rPr>
              <w:t>ERDF</w:t>
            </w:r>
          </w:p>
        </w:tc>
        <w:tc>
          <w:tcPr>
            <w:tcW w:w="3248" w:type="dxa"/>
          </w:tcPr>
          <w:p w14:paraId="468B7F3B" w14:textId="77777777" w:rsidR="00DD13BF" w:rsidRDefault="00DD13BF" w:rsidP="00355A56">
            <w:pPr>
              <w:pStyle w:val="TableParagraph"/>
              <w:rPr>
                <w:sz w:val="20"/>
              </w:rPr>
            </w:pPr>
            <w:r>
              <w:rPr>
                <w:rFonts w:cstheme="minorHAnsi"/>
                <w:sz w:val="20"/>
              </w:rPr>
              <w:t xml:space="preserve">Less developed </w:t>
            </w:r>
          </w:p>
        </w:tc>
        <w:tc>
          <w:tcPr>
            <w:tcW w:w="3098" w:type="dxa"/>
          </w:tcPr>
          <w:p w14:paraId="709CC6EF" w14:textId="77777777" w:rsidR="00DD13BF" w:rsidRDefault="00DD13BF" w:rsidP="00355A56">
            <w:pPr>
              <w:pStyle w:val="TableParagraph"/>
              <w:rPr>
                <w:sz w:val="20"/>
              </w:rPr>
            </w:pPr>
            <w:r w:rsidRPr="00027C09">
              <w:rPr>
                <w:rFonts w:cstheme="minorHAnsi"/>
                <w:sz w:val="20"/>
              </w:rPr>
              <w:t>RSO1.1</w:t>
            </w:r>
          </w:p>
        </w:tc>
        <w:tc>
          <w:tcPr>
            <w:tcW w:w="1160" w:type="dxa"/>
          </w:tcPr>
          <w:p w14:paraId="4988AA1F" w14:textId="77777777" w:rsidR="00DD13BF" w:rsidRDefault="00DD13BF" w:rsidP="00355A56">
            <w:pPr>
              <w:pStyle w:val="TableParagraph"/>
              <w:rPr>
                <w:sz w:val="20"/>
              </w:rPr>
            </w:pPr>
            <w:r>
              <w:rPr>
                <w:sz w:val="20"/>
              </w:rPr>
              <w:t>02</w:t>
            </w:r>
          </w:p>
        </w:tc>
        <w:tc>
          <w:tcPr>
            <w:tcW w:w="2730" w:type="dxa"/>
          </w:tcPr>
          <w:p w14:paraId="1AF3454D" w14:textId="77777777" w:rsidR="00DD13BF" w:rsidRDefault="00DD13BF" w:rsidP="00355A56">
            <w:pPr>
              <w:pStyle w:val="TableParagraph"/>
              <w:rPr>
                <w:sz w:val="20"/>
              </w:rPr>
            </w:pPr>
            <w:r>
              <w:rPr>
                <w:sz w:val="20"/>
              </w:rPr>
              <w:t>2,550,000</w:t>
            </w:r>
          </w:p>
        </w:tc>
      </w:tr>
      <w:tr w:rsidR="00DD13BF" w14:paraId="4E6BAEF4" w14:textId="77777777" w:rsidTr="00355A56">
        <w:trPr>
          <w:trHeight w:val="353"/>
        </w:trPr>
        <w:tc>
          <w:tcPr>
            <w:tcW w:w="2088" w:type="dxa"/>
          </w:tcPr>
          <w:p w14:paraId="49B0062A" w14:textId="77777777" w:rsidR="00DD13BF" w:rsidRDefault="00DD13BF" w:rsidP="00355A56">
            <w:pPr>
              <w:pStyle w:val="TableParagraph"/>
              <w:rPr>
                <w:sz w:val="20"/>
              </w:rPr>
            </w:pPr>
            <w:r>
              <w:rPr>
                <w:sz w:val="20"/>
              </w:rPr>
              <w:t>1</w:t>
            </w:r>
          </w:p>
        </w:tc>
        <w:tc>
          <w:tcPr>
            <w:tcW w:w="1132" w:type="dxa"/>
          </w:tcPr>
          <w:p w14:paraId="00E95C78" w14:textId="77777777" w:rsidR="00DD13BF" w:rsidRDefault="00DD13BF" w:rsidP="00355A56">
            <w:pPr>
              <w:pStyle w:val="TableParagraph"/>
              <w:rPr>
                <w:sz w:val="20"/>
              </w:rPr>
            </w:pPr>
            <w:r>
              <w:rPr>
                <w:sz w:val="20"/>
              </w:rPr>
              <w:t>ERDF</w:t>
            </w:r>
          </w:p>
        </w:tc>
        <w:tc>
          <w:tcPr>
            <w:tcW w:w="3248" w:type="dxa"/>
          </w:tcPr>
          <w:p w14:paraId="138D1E98" w14:textId="77777777" w:rsidR="00DD13BF" w:rsidRDefault="00DD13BF" w:rsidP="00355A56">
            <w:pPr>
              <w:pStyle w:val="TableParagraph"/>
              <w:rPr>
                <w:sz w:val="20"/>
              </w:rPr>
            </w:pPr>
            <w:r>
              <w:rPr>
                <w:rFonts w:cstheme="minorHAnsi"/>
                <w:sz w:val="20"/>
              </w:rPr>
              <w:t xml:space="preserve">More developed </w:t>
            </w:r>
          </w:p>
        </w:tc>
        <w:tc>
          <w:tcPr>
            <w:tcW w:w="3098" w:type="dxa"/>
          </w:tcPr>
          <w:p w14:paraId="27DB6D23" w14:textId="77777777" w:rsidR="00DD13BF" w:rsidRPr="00027C09" w:rsidRDefault="00DD13BF" w:rsidP="00355A56">
            <w:pPr>
              <w:pStyle w:val="TableParagraph"/>
              <w:rPr>
                <w:rFonts w:cstheme="minorHAnsi"/>
                <w:sz w:val="20"/>
              </w:rPr>
            </w:pPr>
            <w:r w:rsidRPr="00027C09">
              <w:rPr>
                <w:rFonts w:cstheme="minorHAnsi"/>
                <w:sz w:val="20"/>
              </w:rPr>
              <w:t>RSO1.1</w:t>
            </w:r>
          </w:p>
        </w:tc>
        <w:tc>
          <w:tcPr>
            <w:tcW w:w="1160" w:type="dxa"/>
          </w:tcPr>
          <w:p w14:paraId="27F6945F" w14:textId="77777777" w:rsidR="00DD13BF" w:rsidRDefault="00DD13BF" w:rsidP="00355A56">
            <w:pPr>
              <w:pStyle w:val="TableParagraph"/>
              <w:rPr>
                <w:sz w:val="20"/>
              </w:rPr>
            </w:pPr>
            <w:r>
              <w:rPr>
                <w:sz w:val="20"/>
              </w:rPr>
              <w:t>02</w:t>
            </w:r>
          </w:p>
        </w:tc>
        <w:tc>
          <w:tcPr>
            <w:tcW w:w="2730" w:type="dxa"/>
          </w:tcPr>
          <w:p w14:paraId="39A6C8A2" w14:textId="77777777" w:rsidR="00DD13BF" w:rsidRDefault="00DD13BF" w:rsidP="00355A56">
            <w:pPr>
              <w:pStyle w:val="TableParagraph"/>
              <w:rPr>
                <w:sz w:val="20"/>
              </w:rPr>
            </w:pPr>
            <w:r>
              <w:rPr>
                <w:sz w:val="20"/>
              </w:rPr>
              <w:t>2,800,000</w:t>
            </w:r>
          </w:p>
        </w:tc>
      </w:tr>
      <w:tr w:rsidR="00DD13BF" w14:paraId="08235BC4" w14:textId="77777777" w:rsidTr="00355A56">
        <w:trPr>
          <w:trHeight w:val="353"/>
        </w:trPr>
        <w:tc>
          <w:tcPr>
            <w:tcW w:w="2088" w:type="dxa"/>
          </w:tcPr>
          <w:p w14:paraId="14239C5D" w14:textId="77777777" w:rsidR="00DD13BF" w:rsidRDefault="00DD13BF" w:rsidP="00355A56">
            <w:pPr>
              <w:pStyle w:val="TableParagraph"/>
              <w:rPr>
                <w:sz w:val="20"/>
              </w:rPr>
            </w:pPr>
            <w:r>
              <w:rPr>
                <w:sz w:val="20"/>
              </w:rPr>
              <w:t>1</w:t>
            </w:r>
          </w:p>
        </w:tc>
        <w:tc>
          <w:tcPr>
            <w:tcW w:w="1132" w:type="dxa"/>
          </w:tcPr>
          <w:p w14:paraId="35324778" w14:textId="77777777" w:rsidR="00DD13BF" w:rsidRDefault="00DD13BF" w:rsidP="00355A56">
            <w:pPr>
              <w:pStyle w:val="TableParagraph"/>
              <w:rPr>
                <w:sz w:val="20"/>
              </w:rPr>
            </w:pPr>
            <w:r>
              <w:rPr>
                <w:sz w:val="20"/>
              </w:rPr>
              <w:t>ERDF</w:t>
            </w:r>
          </w:p>
        </w:tc>
        <w:tc>
          <w:tcPr>
            <w:tcW w:w="3248" w:type="dxa"/>
          </w:tcPr>
          <w:p w14:paraId="64EC9C76" w14:textId="77777777" w:rsidR="00DD13BF" w:rsidRDefault="00DD13BF" w:rsidP="00355A56">
            <w:pPr>
              <w:pStyle w:val="TableParagraph"/>
              <w:rPr>
                <w:sz w:val="20"/>
              </w:rPr>
            </w:pPr>
            <w:r>
              <w:rPr>
                <w:rFonts w:cstheme="minorHAnsi"/>
                <w:sz w:val="20"/>
              </w:rPr>
              <w:t xml:space="preserve">Less developed </w:t>
            </w:r>
          </w:p>
        </w:tc>
        <w:tc>
          <w:tcPr>
            <w:tcW w:w="3098" w:type="dxa"/>
          </w:tcPr>
          <w:p w14:paraId="643B3AD9" w14:textId="77777777" w:rsidR="00DD13BF" w:rsidRPr="00027C09" w:rsidRDefault="00DD13BF" w:rsidP="00355A56">
            <w:pPr>
              <w:pStyle w:val="TableParagraph"/>
              <w:rPr>
                <w:rFonts w:cstheme="minorHAnsi"/>
                <w:sz w:val="20"/>
              </w:rPr>
            </w:pPr>
            <w:r w:rsidRPr="00027C09">
              <w:rPr>
                <w:rFonts w:cstheme="minorHAnsi"/>
                <w:sz w:val="20"/>
              </w:rPr>
              <w:t>RSO1.1</w:t>
            </w:r>
          </w:p>
        </w:tc>
        <w:tc>
          <w:tcPr>
            <w:tcW w:w="1160" w:type="dxa"/>
          </w:tcPr>
          <w:p w14:paraId="4F4D8AD2" w14:textId="77777777" w:rsidR="00DD13BF" w:rsidRDefault="00DD13BF" w:rsidP="00355A56">
            <w:pPr>
              <w:pStyle w:val="TableParagraph"/>
              <w:rPr>
                <w:sz w:val="20"/>
              </w:rPr>
            </w:pPr>
            <w:r>
              <w:rPr>
                <w:sz w:val="20"/>
              </w:rPr>
              <w:t>03</w:t>
            </w:r>
          </w:p>
        </w:tc>
        <w:tc>
          <w:tcPr>
            <w:tcW w:w="2730" w:type="dxa"/>
          </w:tcPr>
          <w:p w14:paraId="6CD37B05" w14:textId="77777777" w:rsidR="00DD13BF" w:rsidRDefault="00DD13BF" w:rsidP="00355A56">
            <w:pPr>
              <w:pStyle w:val="TableParagraph"/>
              <w:rPr>
                <w:sz w:val="20"/>
              </w:rPr>
            </w:pPr>
            <w:r>
              <w:rPr>
                <w:sz w:val="20"/>
              </w:rPr>
              <w:t>279,070,000</w:t>
            </w:r>
          </w:p>
        </w:tc>
      </w:tr>
      <w:tr w:rsidR="00DD13BF" w14:paraId="5F07BAE3" w14:textId="77777777" w:rsidTr="00355A56">
        <w:trPr>
          <w:trHeight w:val="353"/>
        </w:trPr>
        <w:tc>
          <w:tcPr>
            <w:tcW w:w="2088" w:type="dxa"/>
          </w:tcPr>
          <w:p w14:paraId="4F8425E0" w14:textId="77777777" w:rsidR="00DD13BF" w:rsidRDefault="00DD13BF" w:rsidP="00355A56">
            <w:pPr>
              <w:pStyle w:val="TableParagraph"/>
              <w:rPr>
                <w:sz w:val="20"/>
              </w:rPr>
            </w:pPr>
            <w:r>
              <w:rPr>
                <w:sz w:val="20"/>
              </w:rPr>
              <w:t>1</w:t>
            </w:r>
          </w:p>
        </w:tc>
        <w:tc>
          <w:tcPr>
            <w:tcW w:w="1132" w:type="dxa"/>
          </w:tcPr>
          <w:p w14:paraId="1BADDAA5" w14:textId="77777777" w:rsidR="00DD13BF" w:rsidRDefault="00DD13BF" w:rsidP="00355A56">
            <w:pPr>
              <w:pStyle w:val="TableParagraph"/>
              <w:rPr>
                <w:sz w:val="20"/>
              </w:rPr>
            </w:pPr>
            <w:r>
              <w:rPr>
                <w:sz w:val="20"/>
              </w:rPr>
              <w:t>ERDF</w:t>
            </w:r>
          </w:p>
        </w:tc>
        <w:tc>
          <w:tcPr>
            <w:tcW w:w="3248" w:type="dxa"/>
          </w:tcPr>
          <w:p w14:paraId="77A99E5D" w14:textId="77777777" w:rsidR="00DD13BF" w:rsidRDefault="00DD13BF" w:rsidP="00355A56">
            <w:pPr>
              <w:pStyle w:val="TableParagraph"/>
              <w:rPr>
                <w:sz w:val="20"/>
              </w:rPr>
            </w:pPr>
            <w:r>
              <w:rPr>
                <w:rFonts w:cstheme="minorHAnsi"/>
                <w:sz w:val="20"/>
              </w:rPr>
              <w:t xml:space="preserve">More developed </w:t>
            </w:r>
          </w:p>
        </w:tc>
        <w:tc>
          <w:tcPr>
            <w:tcW w:w="3098" w:type="dxa"/>
          </w:tcPr>
          <w:p w14:paraId="412D5F5B" w14:textId="77777777" w:rsidR="00DD13BF" w:rsidRDefault="00DD13BF" w:rsidP="00355A56">
            <w:pPr>
              <w:pStyle w:val="TableParagraph"/>
              <w:rPr>
                <w:sz w:val="20"/>
              </w:rPr>
            </w:pPr>
            <w:r w:rsidRPr="00027C09">
              <w:rPr>
                <w:rFonts w:cstheme="minorHAnsi"/>
                <w:sz w:val="20"/>
              </w:rPr>
              <w:t>RSO1.1</w:t>
            </w:r>
          </w:p>
        </w:tc>
        <w:tc>
          <w:tcPr>
            <w:tcW w:w="1160" w:type="dxa"/>
          </w:tcPr>
          <w:p w14:paraId="04AFEC6C" w14:textId="77777777" w:rsidR="00DD13BF" w:rsidRDefault="00DD13BF" w:rsidP="00355A56">
            <w:pPr>
              <w:pStyle w:val="TableParagraph"/>
              <w:rPr>
                <w:sz w:val="20"/>
              </w:rPr>
            </w:pPr>
            <w:r>
              <w:rPr>
                <w:sz w:val="20"/>
              </w:rPr>
              <w:t>03</w:t>
            </w:r>
          </w:p>
        </w:tc>
        <w:tc>
          <w:tcPr>
            <w:tcW w:w="2730" w:type="dxa"/>
          </w:tcPr>
          <w:p w14:paraId="6C0D8DD9" w14:textId="77777777" w:rsidR="00DD13BF" w:rsidRDefault="00DD13BF" w:rsidP="00355A56">
            <w:pPr>
              <w:pStyle w:val="TableParagraph"/>
              <w:rPr>
                <w:sz w:val="20"/>
              </w:rPr>
            </w:pPr>
            <w:r>
              <w:rPr>
                <w:sz w:val="20"/>
              </w:rPr>
              <w:t>129,470,000</w:t>
            </w:r>
          </w:p>
        </w:tc>
      </w:tr>
    </w:tbl>
    <w:p w14:paraId="46997673" w14:textId="77777777" w:rsidR="00DD13BF" w:rsidRPr="00BF3782" w:rsidRDefault="00DD13BF" w:rsidP="00DD13BF">
      <w:pPr>
        <w:tabs>
          <w:tab w:val="left" w:pos="142"/>
        </w:tabs>
        <w:rPr>
          <w:sz w:val="16"/>
          <w:szCs w:val="16"/>
        </w:rPr>
        <w:sectPr w:rsidR="00DD13BF" w:rsidRPr="00BF3782" w:rsidSect="000B7B2B">
          <w:headerReference w:type="default" r:id="rId17"/>
          <w:footerReference w:type="first" r:id="rId18"/>
          <w:type w:val="continuous"/>
          <w:pgSz w:w="16840" w:h="11910" w:orient="landscape"/>
          <w:pgMar w:top="1418" w:right="1418" w:bottom="1418" w:left="1418" w:header="709" w:footer="709" w:gutter="0"/>
          <w:cols w:space="708"/>
        </w:sectPr>
      </w:pPr>
      <w:r w:rsidRPr="0848C57F">
        <w:rPr>
          <w:b/>
          <w:bCs/>
          <w:position w:val="7"/>
          <w:sz w:val="15"/>
          <w:szCs w:val="15"/>
        </w:rPr>
        <w:t>*</w:t>
      </w:r>
      <w:r>
        <w:rPr>
          <w:b/>
          <w:position w:val="7"/>
          <w:sz w:val="15"/>
        </w:rPr>
        <w:tab/>
      </w:r>
      <w:r>
        <w:rPr>
          <w:sz w:val="16"/>
          <w:szCs w:val="16"/>
        </w:rPr>
        <w:t>In principle, 40</w:t>
      </w:r>
      <w:r w:rsidRPr="00E0119B">
        <w:rPr>
          <w:sz w:val="16"/>
          <w:szCs w:val="16"/>
        </w:rPr>
        <w:t>% for the ESF+ contributes to gender tracking. 100% is applicable when Member State chooses to use Article 6 ESF+ Regulation as well as programme specific actions in gender equalit</w:t>
      </w:r>
      <w:r>
        <w:rPr>
          <w:spacing w:val="-4"/>
          <w:sz w:val="16"/>
          <w:szCs w:val="16"/>
        </w:rPr>
        <w:t>y.</w:t>
      </w:r>
    </w:p>
    <w:p w14:paraId="0861E768" w14:textId="77777777" w:rsidR="00DD13BF" w:rsidRDefault="00DD13BF" w:rsidP="00DD13BF">
      <w:pPr>
        <w:sectPr w:rsidR="00DD13BF" w:rsidSect="00FC3010">
          <w:headerReference w:type="default" r:id="rId19"/>
          <w:footerReference w:type="first" r:id="rId20"/>
          <w:type w:val="continuous"/>
          <w:pgSz w:w="16840" w:h="11910" w:orient="landscape"/>
          <w:pgMar w:top="1417" w:right="1417" w:bottom="1417" w:left="1417" w:header="708" w:footer="708" w:gutter="0"/>
          <w:cols w:space="708"/>
        </w:sectPr>
      </w:pPr>
    </w:p>
    <w:p w14:paraId="2EF73B27" w14:textId="77777777" w:rsidR="00DD13BF" w:rsidRDefault="00DD13BF" w:rsidP="00DD13BF"/>
    <w:p w14:paraId="5DA50DC0" w14:textId="77777777" w:rsidR="00DD13BF" w:rsidRPr="00BD3536" w:rsidRDefault="00DD13BF" w:rsidP="00DD13BF">
      <w:pPr>
        <w:pStyle w:val="Naslov4"/>
        <w:ind w:left="1134"/>
      </w:pPr>
      <w:bookmarkStart w:id="16" w:name="_Toc131161698"/>
      <w:r w:rsidRPr="006973E0">
        <w:t>RSO1.2</w:t>
      </w:r>
      <w:r>
        <w:t>. Reaping the benefits of digitisation for citizens, companies, research organisations and public authorities (ERDF)</w:t>
      </w:r>
      <w:bookmarkEnd w:id="16"/>
      <w:r>
        <w:t xml:space="preserve"> </w:t>
      </w:r>
    </w:p>
    <w:p w14:paraId="200D5CA3" w14:textId="77777777" w:rsidR="00DD13BF" w:rsidRDefault="00DD13BF" w:rsidP="00DD13BF">
      <w:pPr>
        <w:rPr>
          <w:sz w:val="30"/>
        </w:rPr>
      </w:pPr>
    </w:p>
    <w:p w14:paraId="3BA7A38B" w14:textId="77777777" w:rsidR="00DD13BF" w:rsidRPr="00C10464" w:rsidRDefault="00DD13BF" w:rsidP="00DD13BF">
      <w:pPr>
        <w:pStyle w:val="Naslov5"/>
        <w:spacing w:before="0"/>
      </w:pPr>
      <w:r>
        <w:lastRenderedPageBreak/>
        <w:t>Interventions of the Funds</w:t>
      </w:r>
    </w:p>
    <w:p w14:paraId="2939EC88" w14:textId="77777777" w:rsidR="00DD13BF" w:rsidRDefault="00DD13BF" w:rsidP="00DD13BF">
      <w:pPr>
        <w:rPr>
          <w:sz w:val="30"/>
        </w:rPr>
      </w:pPr>
    </w:p>
    <w:p w14:paraId="2E33D980" w14:textId="77777777" w:rsidR="00DD13BF" w:rsidRDefault="00DD13BF" w:rsidP="00DD13BF">
      <w:pPr>
        <w:ind w:left="1349"/>
        <w:rPr>
          <w:spacing w:val="-2"/>
        </w:rPr>
      </w:pPr>
      <w:r>
        <w:rPr>
          <w:spacing w:val="-2"/>
        </w:rPr>
        <w:t>The related types of actions:</w:t>
      </w:r>
    </w:p>
    <w:p w14:paraId="162BD0E7" w14:textId="77777777" w:rsidR="00DD13BF" w:rsidRPr="00D361C8"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882C5C" w14:paraId="7FEE5FCD" w14:textId="77777777" w:rsidTr="00355A56">
        <w:trPr>
          <w:trHeight w:val="316"/>
        </w:trPr>
        <w:tc>
          <w:tcPr>
            <w:tcW w:w="12758" w:type="dxa"/>
          </w:tcPr>
          <w:p w14:paraId="29F9F9BF" w14:textId="77777777" w:rsidR="00DD13BF" w:rsidRPr="00882C5C" w:rsidRDefault="00DD13BF" w:rsidP="00355A56">
            <w:pPr>
              <w:jc w:val="both"/>
              <w:rPr>
                <w:lang w:val="en-US"/>
              </w:rPr>
            </w:pPr>
            <w:r w:rsidRPr="00882C5C">
              <w:rPr>
                <w:lang w:val="en-US"/>
              </w:rPr>
              <w:t xml:space="preserve">The digital transformation of the economy, society and public administration is essential for Slovenia's long-term development and competitiveness. In order to improve its DESI scores, Annex D of the 2019 Country Report </w:t>
            </w:r>
            <w:r>
              <w:rPr>
                <w:lang w:val="en-US"/>
              </w:rPr>
              <w:t xml:space="preserve">for Slovenia </w:t>
            </w:r>
            <w:r w:rsidRPr="00882C5C">
              <w:rPr>
                <w:lang w:val="en-US"/>
              </w:rPr>
              <w:t>highlights that Slovenia should:</w:t>
            </w:r>
          </w:p>
          <w:p w14:paraId="75EEE754" w14:textId="77777777" w:rsidR="00DD13BF" w:rsidRPr="00882C5C" w:rsidRDefault="00DD13BF" w:rsidP="00DD13BF">
            <w:pPr>
              <w:pStyle w:val="Odstavekseznama"/>
              <w:widowControl/>
              <w:numPr>
                <w:ilvl w:val="0"/>
                <w:numId w:val="12"/>
              </w:numPr>
              <w:autoSpaceDE/>
              <w:autoSpaceDN/>
              <w:ind w:left="714" w:hanging="357"/>
              <w:jc w:val="both"/>
              <w:rPr>
                <w:rFonts w:ascii="Times New Roman" w:eastAsia="Times New Roman" w:hAnsi="Times New Roman" w:cs="Times New Roman"/>
                <w:lang w:val="en-US"/>
              </w:rPr>
            </w:pPr>
            <w:r w:rsidRPr="00882C5C">
              <w:rPr>
                <w:rFonts w:ascii="Times New Roman" w:hAnsi="Times New Roman" w:cs="Times New Roman"/>
                <w:lang w:val="en-US"/>
              </w:rPr>
              <w:t>increase the uptake of ICT in SMEs, including by supporting infrastructures and services, with a view to improving the number of enterprises reaching a high digital intensity</w:t>
            </w:r>
            <w:r w:rsidRPr="00882C5C">
              <w:rPr>
                <w:rFonts w:ascii="Times New Roman" w:eastAsia="Times New Roman" w:hAnsi="Times New Roman" w:cs="Times New Roman"/>
                <w:lang w:val="en-US"/>
              </w:rPr>
              <w:t>, and</w:t>
            </w:r>
          </w:p>
          <w:p w14:paraId="692D84A3" w14:textId="77777777" w:rsidR="00DD13BF" w:rsidRPr="00882C5C" w:rsidRDefault="00DD13BF" w:rsidP="00DD13BF">
            <w:pPr>
              <w:pStyle w:val="Odstavekseznama"/>
              <w:widowControl/>
              <w:numPr>
                <w:ilvl w:val="0"/>
                <w:numId w:val="12"/>
              </w:numPr>
              <w:autoSpaceDE/>
              <w:autoSpaceDN/>
              <w:ind w:left="714" w:hanging="357"/>
              <w:jc w:val="both"/>
              <w:rPr>
                <w:rFonts w:ascii="Times New Roman" w:hAnsi="Times New Roman" w:cs="Times New Roman"/>
                <w:lang w:val="en-US"/>
              </w:rPr>
            </w:pPr>
            <w:r w:rsidRPr="00882C5C">
              <w:rPr>
                <w:rFonts w:ascii="Times New Roman" w:hAnsi="Times New Roman" w:cs="Times New Roman"/>
                <w:lang w:val="en-US"/>
              </w:rPr>
              <w:t xml:space="preserve">increase the use of e-Government services, i.e. digital public services, by citizens, businesses, research organisations and public authorities. </w:t>
            </w:r>
          </w:p>
          <w:p w14:paraId="12465CA0" w14:textId="77777777" w:rsidR="00DD13BF" w:rsidRPr="00882C5C" w:rsidRDefault="00DD13BF" w:rsidP="00355A56">
            <w:pPr>
              <w:jc w:val="both"/>
              <w:rPr>
                <w:lang w:val="en-US"/>
              </w:rPr>
            </w:pPr>
            <w:r w:rsidRPr="00882C5C">
              <w:rPr>
                <w:lang w:val="en-US"/>
              </w:rPr>
              <w:t>The country will speed up the digital transformation by introducing new business models and state-of-the-art technologies (</w:t>
            </w:r>
            <w:r>
              <w:rPr>
                <w:lang w:val="en-US"/>
              </w:rPr>
              <w:t>AI</w:t>
            </w:r>
            <w:r w:rsidRPr="00882C5C">
              <w:rPr>
                <w:lang w:val="en-US"/>
              </w:rPr>
              <w:t>, distributed ledger technology, big d</w:t>
            </w:r>
            <w:r>
              <w:rPr>
                <w:lang w:val="en-US"/>
              </w:rPr>
              <w:t>ata, quantum techno</w:t>
            </w:r>
            <w:r w:rsidRPr="00882C5C">
              <w:rPr>
                <w:lang w:val="en-US"/>
              </w:rPr>
              <w:t xml:space="preserve">logies, Internet of Things, etc.). </w:t>
            </w:r>
          </w:p>
          <w:p w14:paraId="305C1FD2" w14:textId="77777777" w:rsidR="00DD13BF" w:rsidRPr="00882C5C" w:rsidRDefault="00DD13BF" w:rsidP="00355A56">
            <w:pPr>
              <w:jc w:val="both"/>
              <w:rPr>
                <w:lang w:val="en-US"/>
              </w:rPr>
            </w:pPr>
          </w:p>
          <w:p w14:paraId="593D8FE2" w14:textId="77777777" w:rsidR="00DD13BF" w:rsidRPr="00882C5C" w:rsidRDefault="00DD13BF" w:rsidP="00355A56">
            <w:pPr>
              <w:jc w:val="both"/>
              <w:rPr>
                <w:highlight w:val="yellow"/>
                <w:lang w:val="en-US"/>
              </w:rPr>
            </w:pPr>
            <w:r w:rsidRPr="00882C5C">
              <w:rPr>
                <w:lang w:val="en-US"/>
              </w:rPr>
              <w:t xml:space="preserve">Slovenia's RRP identifies digital transformation actions for the economy, public sector and public administration that will help scale up digital infrastructure and support the development of advanced technological solutions and next-generation services. The actions supported by Cohesion Policy will complement the abovementioned actions. </w:t>
            </w:r>
          </w:p>
          <w:p w14:paraId="29C5ADB7" w14:textId="77777777" w:rsidR="00DD13BF" w:rsidRPr="00882C5C" w:rsidRDefault="00DD13BF" w:rsidP="00355A56">
            <w:pPr>
              <w:jc w:val="both"/>
              <w:rPr>
                <w:lang w:val="en-US"/>
              </w:rPr>
            </w:pPr>
          </w:p>
          <w:p w14:paraId="1FA60C71" w14:textId="77777777" w:rsidR="00DD13BF" w:rsidRPr="00882C5C" w:rsidRDefault="00DD13BF" w:rsidP="00355A56">
            <w:pPr>
              <w:jc w:val="both"/>
              <w:rPr>
                <w:i/>
                <w:lang w:val="en-US"/>
              </w:rPr>
            </w:pPr>
            <w:r w:rsidRPr="00882C5C">
              <w:rPr>
                <w:lang w:val="en-US"/>
              </w:rPr>
              <w:t>The investments will focus on the following:</w:t>
            </w:r>
          </w:p>
          <w:p w14:paraId="4037FF0D" w14:textId="77777777" w:rsidR="00DD13BF" w:rsidRPr="00882C5C" w:rsidRDefault="00DD13BF" w:rsidP="00DD13BF">
            <w:pPr>
              <w:pStyle w:val="Odstavekseznama"/>
              <w:widowControl/>
              <w:numPr>
                <w:ilvl w:val="0"/>
                <w:numId w:val="11"/>
              </w:numPr>
              <w:autoSpaceDE/>
              <w:autoSpaceDN/>
              <w:jc w:val="both"/>
              <w:rPr>
                <w:i/>
                <w:lang w:val="en-US"/>
              </w:rPr>
            </w:pPr>
            <w:r w:rsidRPr="00882C5C">
              <w:rPr>
                <w:rFonts w:ascii="Times New Roman" w:hAnsi="Times New Roman" w:cs="Times New Roman"/>
                <w:i/>
                <w:lang w:val="en-US"/>
              </w:rPr>
              <w:t xml:space="preserve">digitalisation of society and public administration services </w:t>
            </w:r>
            <w:r w:rsidRPr="00882C5C">
              <w:rPr>
                <w:rFonts w:ascii="Times New Roman" w:hAnsi="Times New Roman" w:cs="Times New Roman"/>
                <w:lang w:val="en-US"/>
              </w:rPr>
              <w:t>in accordance with the Digital Slovenia 2030 Strategy and the Digital Public Services Strategy 2030</w:t>
            </w:r>
            <w:r w:rsidRPr="00882C5C">
              <w:rPr>
                <w:rStyle w:val="Sprotnaopomba-sklic"/>
                <w:rFonts w:ascii="Times New Roman" w:hAnsi="Times New Roman" w:cs="Times New Roman"/>
                <w:iCs/>
                <w:lang w:val="en-US"/>
              </w:rPr>
              <w:footnoteReference w:id="135"/>
            </w:r>
            <w:r w:rsidRPr="00882C5C">
              <w:rPr>
                <w:rFonts w:ascii="Times New Roman" w:hAnsi="Times New Roman" w:cs="Times New Roman"/>
                <w:i/>
                <w:lang w:val="en-US"/>
              </w:rPr>
              <w:t>:</w:t>
            </w:r>
            <w:r w:rsidRPr="00882C5C">
              <w:rPr>
                <w:rFonts w:ascii="Times New Roman" w:hAnsi="Times New Roman" w:cs="Times New Roman"/>
                <w:lang w:val="en-US"/>
              </w:rPr>
              <w:t xml:space="preserve"> </w:t>
            </w:r>
            <w:r>
              <w:rPr>
                <w:rFonts w:ascii="Times New Roman" w:hAnsi="Times New Roman" w:cs="Times New Roman"/>
                <w:lang w:val="en-US"/>
              </w:rPr>
              <w:t>measure</w:t>
            </w:r>
            <w:r w:rsidRPr="00882C5C">
              <w:rPr>
                <w:rFonts w:ascii="Times New Roman" w:hAnsi="Times New Roman" w:cs="Times New Roman"/>
                <w:lang w:val="en-US"/>
              </w:rPr>
              <w:t>s to ensure comprehensive public services for businesses, citizens and public institutions – these measures will be co-designed with users in accordance with the principle of co-creation to ensure a secure and user-friendly experience. Data</w:t>
            </w:r>
            <w:r w:rsidRPr="00882C5C">
              <w:rPr>
                <w:rStyle w:val="Sprotnaopomba-sklic"/>
                <w:rFonts w:ascii="Times New Roman" w:hAnsi="Times New Roman" w:cs="Times New Roman"/>
                <w:lang w:val="en-US"/>
              </w:rPr>
              <w:footnoteReference w:id="136"/>
            </w:r>
            <w:r w:rsidRPr="00882C5C">
              <w:rPr>
                <w:rFonts w:ascii="Times New Roman" w:hAnsi="Times New Roman" w:cs="Times New Roman"/>
                <w:lang w:val="en-US"/>
              </w:rPr>
              <w:t xml:space="preserve"> and advanced digital technologies will be harnessed and building blocks for the development of smart public services ensured with the aim of building trust in digital transformation, e-commerce, a better business environment and the functioning of the EU digital single market.</w:t>
            </w:r>
            <w:r w:rsidRPr="00882C5C">
              <w:rPr>
                <w:rStyle w:val="Sprotnaopomba-sklic"/>
                <w:rFonts w:ascii="Times New Roman" w:hAnsi="Times New Roman" w:cs="Times New Roman"/>
                <w:lang w:val="en-US"/>
              </w:rPr>
              <w:footnoteReference w:id="137"/>
            </w:r>
          </w:p>
          <w:p w14:paraId="3F4071CF"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Enhancing digital inclusion and digital competences:</w:t>
            </w:r>
          </w:p>
          <w:p w14:paraId="265AF51B"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actively promote the safe use of digital technologies, the Internet and digital public services (e-services for citizens and businesses, e-inclusion, e-learning, etc.) and foster the digitalisation of public services;  </w:t>
            </w:r>
          </w:p>
          <w:p w14:paraId="0A79DDA9"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improve digital literacy, in particular among population groups that are identified as having lowest digital literacy levels and biggest gaps in line with the situation analysis;  </w:t>
            </w:r>
          </w:p>
          <w:p w14:paraId="00394F80"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optimise processes in the NGOs to make their work more efficient and effective; </w:t>
            </w:r>
          </w:p>
          <w:p w14:paraId="31AB9055"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lastRenderedPageBreak/>
              <w:t xml:space="preserve">e-learning: the project Smart School that is implemented under the 2014-2020 Cohesion Policy will be upgraded to ensure further development of integrated and interoperable IT solutions in administrative management of schools and the relevant line ministry by standardising their processes, unifying data, fostering debureaucratisation and digitalising the way they work. </w:t>
            </w:r>
          </w:p>
          <w:p w14:paraId="1DCCD484"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Smart cities, communities, and villages:  </w:t>
            </w:r>
          </w:p>
          <w:p w14:paraId="56018054"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bolster the supportive environment for the digital transformation of processes, systems and services of local communities, including the strategic project of connectivity platform for local communities;  </w:t>
            </w:r>
          </w:p>
          <w:p w14:paraId="12A4EF15"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improve digital competences in local communities; </w:t>
            </w:r>
          </w:p>
          <w:p w14:paraId="5C74C6ED" w14:textId="77777777" w:rsidR="00DD13BF" w:rsidRPr="00882C5C" w:rsidRDefault="00DD13BF" w:rsidP="00DD13BF">
            <w:pPr>
              <w:pStyle w:val="Odstavekseznama"/>
              <w:widowControl/>
              <w:numPr>
                <w:ilvl w:val="2"/>
                <w:numId w:val="11"/>
              </w:numPr>
              <w:autoSpaceDE/>
              <w:autoSpaceDN/>
              <w:jc w:val="both"/>
              <w:rPr>
                <w:rFonts w:ascii="Times New Roman" w:hAnsi="Times New Roman"/>
                <w:lang w:val="en-US"/>
              </w:rPr>
            </w:pPr>
            <w:r w:rsidRPr="00882C5C">
              <w:rPr>
                <w:rFonts w:ascii="Times New Roman" w:hAnsi="Times New Roman" w:cs="Times New Roman"/>
                <w:lang w:val="en-US"/>
              </w:rPr>
              <w:t xml:space="preserve">measures will be carried out to foster the participation of local communities in sharing or using and managing data through a shared data infrastructure, which will pave the way towards the deployment of local digital twins and harnessing of synergies resulting from integration with state-led digital solutions.  </w:t>
            </w:r>
          </w:p>
          <w:p w14:paraId="07006B30"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Digital innovation in spatial planning and the environment: the digital transformation </w:t>
            </w:r>
            <w:r>
              <w:rPr>
                <w:rFonts w:ascii="Times New Roman" w:hAnsi="Times New Roman" w:cs="Times New Roman"/>
                <w:lang w:val="en-US"/>
              </w:rPr>
              <w:t>measure</w:t>
            </w:r>
            <w:r w:rsidRPr="00882C5C">
              <w:rPr>
                <w:rFonts w:ascii="Times New Roman" w:hAnsi="Times New Roman" w:cs="Times New Roman"/>
                <w:lang w:val="en-US"/>
              </w:rPr>
              <w:t>s aimed at spatial planning and set out in the 2014-2020 Operational Programme and the RRP will be upgraded with AI building blocks in accordance with the guidelines of the Natio</w:t>
            </w:r>
            <w:r>
              <w:rPr>
                <w:rFonts w:ascii="Times New Roman" w:hAnsi="Times New Roman" w:cs="Times New Roman"/>
                <w:lang w:val="en-US"/>
              </w:rPr>
              <w:t>nal Programme on the Development and U</w:t>
            </w:r>
            <w:r w:rsidRPr="00882C5C">
              <w:rPr>
                <w:rFonts w:ascii="Times New Roman" w:hAnsi="Times New Roman" w:cs="Times New Roman"/>
                <w:lang w:val="en-US"/>
              </w:rPr>
              <w:t xml:space="preserve">ptake of AI by 2025, virtual and augmented reality, multi-dimensionality, deployment of new Building Information Modelling (BIM) technologies, big data, etc. We will make sure these state-of-the-art technologies are integrated in accordance with the concept of Geospatial Knowledge Infrastructure that will deliver location-based knowledge and help businesses and other stakeholders use data and services to improve operation, RDI, production and marketing of globally competitive high-tech solutions in all sectors where real-time geospatial data analytics is key. We will build a digital data ecosystem to enable faster and automated monitoring and planning of relevant measures on the basis of data-driven modelling and prediction. </w:t>
            </w:r>
          </w:p>
          <w:p w14:paraId="361CB1EE"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Digitalisation of public services for businesses and citizens: we will deliver integrated smart mobile public services or mGovernment, widen and improve access to public records, allowing users to better manage personal data from various public records. We will ensure accessibility, coherence and interoperability of digital services with data sources that the competent institutions can independently model using high-performance and smart tools. A single advanced platform enabling login to e-services, e-authorisation, creation and verification of e-signature and e-serving will be set up.</w:t>
            </w:r>
            <w:r w:rsidRPr="00882C5C">
              <w:rPr>
                <w:rStyle w:val="Sprotnaopomba-sklic"/>
                <w:rFonts w:ascii="Times New Roman" w:hAnsi="Times New Roman" w:cs="Times New Roman"/>
                <w:lang w:val="en-US"/>
              </w:rPr>
              <w:footnoteReference w:id="138"/>
            </w:r>
            <w:r w:rsidRPr="00882C5C">
              <w:rPr>
                <w:rFonts w:ascii="Times New Roman" w:hAnsi="Times New Roman" w:cs="Times New Roman"/>
                <w:lang w:val="en-US"/>
              </w:rPr>
              <w:t xml:space="preserve"> It will be easily accessible from mobile phones and it will work across borders. We will upgrade the building blocks of the interoperable ecosystem (platform), the algorithms and data analytics tools with the use of advanced technologies as well as the public administration data space</w:t>
            </w:r>
            <w:r w:rsidRPr="00882C5C">
              <w:rPr>
                <w:rStyle w:val="Sprotnaopomba-sklic"/>
                <w:rFonts w:ascii="Times New Roman" w:hAnsi="Times New Roman" w:cs="Times New Roman"/>
                <w:lang w:val="en-US"/>
              </w:rPr>
              <w:footnoteReference w:id="139"/>
            </w:r>
            <w:r w:rsidRPr="00882C5C">
              <w:rPr>
                <w:rFonts w:ascii="Times New Roman" w:hAnsi="Times New Roman" w:cs="Times New Roman"/>
                <w:lang w:val="en-US"/>
              </w:rPr>
              <w:t xml:space="preserve"> for the processing and sharing of data to support digital public services. </w:t>
            </w:r>
          </w:p>
          <w:p w14:paraId="05E2D8B9" w14:textId="77777777" w:rsidR="00DD13BF" w:rsidRPr="00882C5C" w:rsidRDefault="00DD13BF" w:rsidP="00DD13BF">
            <w:pPr>
              <w:pStyle w:val="Odstavekseznama"/>
              <w:widowControl/>
              <w:numPr>
                <w:ilvl w:val="1"/>
                <w:numId w:val="11"/>
              </w:numPr>
              <w:autoSpaceDE/>
              <w:autoSpaceDN/>
              <w:jc w:val="both"/>
              <w:rPr>
                <w:rFonts w:ascii="Times New Roman" w:hAnsi="Times New Roman"/>
                <w:lang w:val="en-US"/>
              </w:rPr>
            </w:pPr>
            <w:r w:rsidRPr="00882C5C">
              <w:rPr>
                <w:rFonts w:ascii="Times New Roman" w:hAnsi="Times New Roman"/>
                <w:lang w:val="en-US"/>
              </w:rPr>
              <w:t xml:space="preserve">Digitalisation of the Slovenian language and cultural heritage, and support to vulnerable groups: development and upgrading of the corpora of processed spoken language that underpin the development of speech technologies; development of models, tools and applications to improve the accessibility, distribution and competitiveness of the cultural sector, conservation of cultural heritage, in particular of endangered cultural heritage, facilitating access to cultural heritage contents and their re-use, </w:t>
            </w:r>
            <w:r w:rsidRPr="00882C5C">
              <w:rPr>
                <w:rFonts w:ascii="Times New Roman" w:hAnsi="Times New Roman"/>
                <w:lang w:val="en-US"/>
              </w:rPr>
              <w:lastRenderedPageBreak/>
              <w:t xml:space="preserve">strengthening ICT skills of </w:t>
            </w:r>
            <w:r>
              <w:rPr>
                <w:rFonts w:ascii="Times New Roman" w:hAnsi="Times New Roman"/>
                <w:lang w:val="en-US"/>
              </w:rPr>
              <w:t>employees</w:t>
            </w:r>
            <w:r w:rsidRPr="00882C5C">
              <w:rPr>
                <w:rFonts w:ascii="Times New Roman" w:hAnsi="Times New Roman"/>
                <w:lang w:val="en-US"/>
              </w:rPr>
              <w:t xml:space="preserve"> and users in the relevant sectors and ensuring accessibility of contents tailored to the needs of the deaf and hard-of-hearing.</w:t>
            </w:r>
          </w:p>
          <w:p w14:paraId="6AA0DBD7"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Supporting the uptake of AI-based solutions in the economy, public administration and society in accordance with the National programme on the development and uptake of AI by 2025: </w:t>
            </w:r>
          </w:p>
          <w:p w14:paraId="381EAE82"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support the projects of development and uptake of AI in the economy and public sector; </w:t>
            </w:r>
          </w:p>
          <w:p w14:paraId="0C197E2E"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measures will be carried out to support reference projects for the deployment of AI in concrete solutions to support the digitalisation of the economy and public sector and transform the way they work, including ensuring an appropriate legal environment and support activities to build public trust;  </w:t>
            </w:r>
          </w:p>
          <w:p w14:paraId="490A7317" w14:textId="77777777" w:rsidR="00DD13BF" w:rsidRPr="00882C5C" w:rsidRDefault="00DD13BF" w:rsidP="00DD13BF">
            <w:pPr>
              <w:pStyle w:val="Odstavekseznama"/>
              <w:widowControl/>
              <w:numPr>
                <w:ilvl w:val="2"/>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establishment of the relevant technological infrastructure, including testing and data infrastructure.  </w:t>
            </w:r>
          </w:p>
          <w:p w14:paraId="30EE2507"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rPr>
            </w:pPr>
            <w:r w:rsidRPr="00882C5C">
              <w:rPr>
                <w:rFonts w:ascii="Times New Roman" w:hAnsi="Times New Roman" w:cs="Times New Roman"/>
                <w:lang w:val="en-US"/>
              </w:rPr>
              <w:t xml:space="preserve">Digitalisation of services and processes in the field of justice by deploying integrated IT solutions that will modernise court operations with digital innovation and provide fully digital judicial services (both in concrete proceedings and by ensuring online information about the judiciary, procedures and rule of law), notarial services and services of other judicial authorities (inter alia, by </w:t>
            </w:r>
            <w:r>
              <w:rPr>
                <w:rFonts w:ascii="Times New Roman" w:hAnsi="Times New Roman" w:cs="Times New Roman"/>
                <w:lang w:val="en-US"/>
              </w:rPr>
              <w:t>setting up a</w:t>
            </w:r>
            <w:r w:rsidRPr="00882C5C">
              <w:rPr>
                <w:rFonts w:ascii="Times New Roman" w:hAnsi="Times New Roman" w:cs="Times New Roman"/>
                <w:lang w:val="en-US"/>
              </w:rPr>
              <w:t xml:space="preserve"> </w:t>
            </w:r>
            <w:r>
              <w:rPr>
                <w:rFonts w:ascii="Times New Roman" w:hAnsi="Times New Roman" w:cs="Times New Roman"/>
                <w:lang w:val="en-US"/>
              </w:rPr>
              <w:t>digital entry/exit point at</w:t>
            </w:r>
            <w:r w:rsidRPr="00882C5C">
              <w:rPr>
                <w:rFonts w:ascii="Times New Roman" w:hAnsi="Times New Roman" w:cs="Times New Roman"/>
                <w:lang w:val="en-US"/>
              </w:rPr>
              <w:t xml:space="preserve"> the State Attorney's Office, designing technological solutions to facilitate the implementation of the Minor Offence Act, etc.);</w:t>
            </w:r>
          </w:p>
          <w:p w14:paraId="3B0F580F" w14:textId="77777777" w:rsidR="00DD13BF" w:rsidRPr="00882C5C" w:rsidRDefault="00DD13BF" w:rsidP="00355A56">
            <w:pPr>
              <w:pStyle w:val="Odstavekseznama"/>
              <w:ind w:left="720"/>
              <w:jc w:val="both"/>
              <w:rPr>
                <w:lang w:val="en-US"/>
              </w:rPr>
            </w:pPr>
          </w:p>
          <w:p w14:paraId="56B1FB1C" w14:textId="77777777" w:rsidR="00DD13BF" w:rsidRPr="00882C5C" w:rsidRDefault="00DD13BF" w:rsidP="00DD13BF">
            <w:pPr>
              <w:pStyle w:val="Odstavekseznama"/>
              <w:widowControl/>
              <w:numPr>
                <w:ilvl w:val="0"/>
                <w:numId w:val="11"/>
              </w:numPr>
              <w:autoSpaceDE/>
              <w:autoSpaceDN/>
              <w:jc w:val="both"/>
              <w:rPr>
                <w:rFonts w:ascii="Times New Roman" w:hAnsi="Times New Roman" w:cs="Times New Roman"/>
                <w:i/>
                <w:lang w:val="en-US"/>
              </w:rPr>
            </w:pPr>
            <w:r w:rsidRPr="00882C5C">
              <w:rPr>
                <w:rFonts w:ascii="Times New Roman" w:hAnsi="Times New Roman" w:cs="Times New Roman"/>
                <w:i/>
                <w:lang w:val="en-US"/>
              </w:rPr>
              <w:t>fostering the digital transformation of SMEs</w:t>
            </w:r>
            <w:r w:rsidRPr="00882C5C">
              <w:rPr>
                <w:rFonts w:ascii="Times New Roman" w:hAnsi="Times New Roman" w:cs="Times New Roman"/>
                <w:lang w:val="en-US" w:bidi="sl-SI"/>
              </w:rPr>
              <w:t xml:space="preserve"> in accordance with the Strategy of Digital Transformation of the Economy where Slovenia needs to upgrade the supportive environment and the targeted instruments to support businesses; in this context, the actions will focus on the following: </w:t>
            </w:r>
          </w:p>
          <w:p w14:paraId="04FB3BD7"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bidi="sl-SI"/>
              </w:rPr>
            </w:pPr>
            <w:r w:rsidRPr="00882C5C">
              <w:rPr>
                <w:rFonts w:ascii="Times New Roman" w:hAnsi="Times New Roman" w:cs="Times New Roman"/>
                <w:lang w:val="en-US" w:bidi="sl-SI"/>
              </w:rPr>
              <w:t xml:space="preserve">fostering full-scale digital transformation of SMEs </w:t>
            </w:r>
            <w:r>
              <w:rPr>
                <w:rFonts w:ascii="Times New Roman" w:hAnsi="Times New Roman" w:cs="Times New Roman"/>
                <w:lang w:val="en-US" w:bidi="sl-SI"/>
              </w:rPr>
              <w:t>to address</w:t>
            </w:r>
            <w:r w:rsidRPr="00882C5C">
              <w:rPr>
                <w:rFonts w:ascii="Times New Roman" w:hAnsi="Times New Roman" w:cs="Times New Roman"/>
                <w:lang w:val="en-US" w:bidi="sl-SI"/>
              </w:rPr>
              <w:t xml:space="preserve"> poor integration of digital technologies in business processes of SMEs. The country will support the development and implementation of digital strategies for businesses, fully encouraging the renewal of business models and processes, even in traditional economic sectors that face the toughest competition in the market, and delivering digitalisation measures to make the SMEs ready to enter and compete on foreign markets (e-commerce).  </w:t>
            </w:r>
          </w:p>
          <w:p w14:paraId="35335257"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bidi="sl-SI"/>
              </w:rPr>
            </w:pPr>
            <w:r w:rsidRPr="00882C5C">
              <w:rPr>
                <w:rFonts w:ascii="Times New Roman" w:hAnsi="Times New Roman" w:cs="Times New Roman"/>
                <w:lang w:val="en-US" w:bidi="sl-SI"/>
              </w:rPr>
              <w:t xml:space="preserve">Fostering digital transformation to improve the entrepreneurship, innovation, finance and research environment (relating to S5) – implementation of digital transformation (uptake of advanced technologies) of services for S5 areas and beyond. The actions will seek to promote the development and uptake of AI and other advanced digital technologies (e.g. distributed ledger technology) and ensure that the businesses are provided with the relevant support, human resources and competences, that they learn about best practices from abroad and embrace the necessary changes.  </w:t>
            </w:r>
          </w:p>
          <w:p w14:paraId="0CEAA608" w14:textId="77777777" w:rsidR="00DD13BF" w:rsidRPr="00882C5C" w:rsidRDefault="00DD13BF" w:rsidP="00DD13BF">
            <w:pPr>
              <w:pStyle w:val="Odstavekseznama"/>
              <w:widowControl/>
              <w:numPr>
                <w:ilvl w:val="1"/>
                <w:numId w:val="11"/>
              </w:numPr>
              <w:autoSpaceDE/>
              <w:autoSpaceDN/>
              <w:jc w:val="both"/>
              <w:rPr>
                <w:rFonts w:ascii="Times New Roman" w:hAnsi="Times New Roman" w:cs="Times New Roman"/>
                <w:lang w:val="en-US" w:bidi="sl-SI"/>
              </w:rPr>
            </w:pPr>
            <w:r w:rsidRPr="00882C5C">
              <w:rPr>
                <w:rFonts w:ascii="Times New Roman" w:hAnsi="Times New Roman" w:cs="Times New Roman"/>
                <w:lang w:val="en-US" w:bidi="sl-SI"/>
              </w:rPr>
              <w:t>Fostering secure digital transformation that builds on certification, standardisation and accreditation of products, data, processes and technol</w:t>
            </w:r>
            <w:r>
              <w:rPr>
                <w:rFonts w:ascii="Times New Roman" w:hAnsi="Times New Roman" w:cs="Times New Roman"/>
                <w:lang w:val="en-US" w:bidi="sl-SI"/>
              </w:rPr>
              <w:t>o</w:t>
            </w:r>
            <w:r w:rsidRPr="00882C5C">
              <w:rPr>
                <w:rFonts w:ascii="Times New Roman" w:hAnsi="Times New Roman" w:cs="Times New Roman"/>
                <w:lang w:val="en-US" w:bidi="sl-SI"/>
              </w:rPr>
              <w:t xml:space="preserve">gies as well as integration with public administration data and services; </w:t>
            </w:r>
          </w:p>
          <w:p w14:paraId="20F02CE4" w14:textId="77777777" w:rsidR="00DD13BF" w:rsidRPr="00882C5C" w:rsidRDefault="00DD13BF" w:rsidP="00355A56">
            <w:pPr>
              <w:pStyle w:val="Odstavekseznama"/>
              <w:ind w:left="1440"/>
              <w:jc w:val="both"/>
              <w:rPr>
                <w:rFonts w:ascii="Times New Roman" w:hAnsi="Times New Roman" w:cs="Times New Roman"/>
                <w:lang w:val="en-US" w:bidi="sl-SI"/>
              </w:rPr>
            </w:pPr>
            <w:r w:rsidRPr="00882C5C">
              <w:rPr>
                <w:rFonts w:ascii="Times New Roman" w:hAnsi="Times New Roman" w:cs="Times New Roman"/>
                <w:lang w:val="en-US" w:bidi="sl-SI"/>
              </w:rPr>
              <w:t xml:space="preserve"> </w:t>
            </w:r>
          </w:p>
          <w:p w14:paraId="38F6F235" w14:textId="77777777" w:rsidR="00DD13BF" w:rsidRPr="00882C5C" w:rsidRDefault="00DD13BF" w:rsidP="00DD13BF">
            <w:pPr>
              <w:pStyle w:val="Odstavekseznama"/>
              <w:widowControl/>
              <w:numPr>
                <w:ilvl w:val="0"/>
                <w:numId w:val="11"/>
              </w:numPr>
              <w:autoSpaceDE/>
              <w:autoSpaceDN/>
              <w:jc w:val="both"/>
              <w:rPr>
                <w:rFonts w:asciiTheme="minorHAnsi" w:hAnsiTheme="minorHAnsi"/>
                <w:lang w:val="en-US"/>
              </w:rPr>
            </w:pPr>
            <w:r>
              <w:rPr>
                <w:rFonts w:ascii="Times New Roman" w:hAnsi="Times New Roman" w:cs="Times New Roman"/>
                <w:lang w:val="en-US" w:bidi="sl-SI"/>
              </w:rPr>
              <w:t>Promoting the</w:t>
            </w:r>
            <w:r w:rsidRPr="00882C5C">
              <w:rPr>
                <w:rFonts w:ascii="Times New Roman" w:hAnsi="Times New Roman" w:cs="Times New Roman"/>
                <w:lang w:val="en-US" w:bidi="sl-SI"/>
              </w:rPr>
              <w:t xml:space="preserve"> supportive and business environment for the digital transformation of the society,</w:t>
            </w:r>
            <w:r>
              <w:rPr>
                <w:rFonts w:ascii="Times New Roman" w:hAnsi="Times New Roman" w:cs="Times New Roman"/>
                <w:lang w:val="en-US" w:bidi="sl-SI"/>
              </w:rPr>
              <w:t xml:space="preserve"> businesses and</w:t>
            </w:r>
            <w:r w:rsidRPr="00882C5C">
              <w:rPr>
                <w:rFonts w:ascii="Times New Roman" w:hAnsi="Times New Roman" w:cs="Times New Roman"/>
                <w:lang w:val="en-US" w:bidi="sl-SI"/>
              </w:rPr>
              <w:t xml:space="preserve"> public sector, which includes enhancing the ope</w:t>
            </w:r>
            <w:r>
              <w:rPr>
                <w:rFonts w:ascii="Times New Roman" w:hAnsi="Times New Roman" w:cs="Times New Roman"/>
                <w:lang w:val="en-US" w:bidi="sl-SI"/>
              </w:rPr>
              <w:t xml:space="preserve">ration and services of SMEs, </w:t>
            </w:r>
            <w:r w:rsidRPr="00882C5C">
              <w:rPr>
                <w:rFonts w:ascii="Times New Roman" w:hAnsi="Times New Roman" w:cs="Times New Roman"/>
                <w:lang w:val="en-US" w:bidi="sl-SI"/>
              </w:rPr>
              <w:t xml:space="preserve">existing and new mechanisms and institutions for digital transformation (digital innovation hubs, chambers and other stakeholders, Fablab networks, platforms supporting value chains, digital creativity centres – design, etc.) and improving links between the economy and the public sector in accordance with the Strategy of Digital Transformation of the Economy, the Digital Slovenia 2030 Strategy and the </w:t>
            </w:r>
            <w:r w:rsidRPr="00882C5C">
              <w:rPr>
                <w:rFonts w:ascii="Times New Roman" w:hAnsi="Times New Roman" w:cs="Times New Roman"/>
                <w:lang w:val="en-US"/>
              </w:rPr>
              <w:t>Digital Public Services Strategy 20</w:t>
            </w:r>
            <w:r w:rsidRPr="00882C5C">
              <w:rPr>
                <w:rFonts w:ascii="Times New Roman" w:hAnsi="Times New Roman" w:cs="Times New Roman"/>
                <w:lang w:val="en-US" w:bidi="sl-SI"/>
              </w:rPr>
              <w:t xml:space="preserve">30.  </w:t>
            </w:r>
          </w:p>
          <w:p w14:paraId="74B6AAC0" w14:textId="77777777" w:rsidR="00DD13BF" w:rsidRPr="00882C5C" w:rsidRDefault="00DD13BF" w:rsidP="00355A56">
            <w:pPr>
              <w:jc w:val="both"/>
              <w:rPr>
                <w:rFonts w:cstheme="minorHAnsi"/>
                <w:b/>
                <w:i/>
                <w:lang w:val="en-US"/>
              </w:rPr>
            </w:pPr>
          </w:p>
          <w:p w14:paraId="1EC17D3D" w14:textId="77777777" w:rsidR="00DD13BF" w:rsidRPr="00A34C5F" w:rsidRDefault="00DD13BF" w:rsidP="00355A56">
            <w:pPr>
              <w:jc w:val="both"/>
            </w:pPr>
            <w:r w:rsidRPr="00497378">
              <w:rPr>
                <w:lang w:val="en-US"/>
              </w:rPr>
              <w:t xml:space="preserve">The final design of measures and the formulation of </w:t>
            </w:r>
            <w:r>
              <w:rPr>
                <w:lang w:val="en-US"/>
              </w:rPr>
              <w:t xml:space="preserve">their </w:t>
            </w:r>
            <w:r w:rsidRPr="00497378">
              <w:rPr>
                <w:lang w:val="en-US"/>
              </w:rPr>
              <w:t>selection and implementation criteria will take into due account t</w:t>
            </w:r>
            <w:r>
              <w:rPr>
                <w:lang w:val="en-US"/>
              </w:rPr>
              <w:t>he relevant mitigation measures</w:t>
            </w:r>
            <w:r w:rsidRPr="00497378">
              <w:rPr>
                <w:lang w:val="en-US"/>
              </w:rPr>
              <w:t xml:space="preserve"> and, to the greatest extent possible, the relevant recommendations stemming from the strategic environmental assessment (</w:t>
            </w:r>
            <w:r>
              <w:rPr>
                <w:lang w:val="en-US"/>
              </w:rPr>
              <w:t>a</w:t>
            </w:r>
            <w:r w:rsidRPr="00497378">
              <w:rPr>
                <w:lang w:val="en-US"/>
              </w:rPr>
              <w:t>nnex</w:t>
            </w:r>
            <w:r>
              <w:rPr>
                <w:lang w:val="en-US"/>
              </w:rPr>
              <w:t xml:space="preserve"> Mitigation Measures and R</w:t>
            </w:r>
            <w:r w:rsidRPr="00497378">
              <w:rPr>
                <w:lang w:val="en-US"/>
              </w:rPr>
              <w:t xml:space="preserve">ecommendations). </w:t>
            </w:r>
            <w:r w:rsidRPr="00A34C5F">
              <w:rPr>
                <w:lang w:val="en-US"/>
              </w:rPr>
              <w:t xml:space="preserve">None of the planned measures </w:t>
            </w:r>
            <w:r>
              <w:rPr>
                <w:lang w:val="en-US"/>
              </w:rPr>
              <w:t>has</w:t>
            </w:r>
            <w:r w:rsidRPr="00A34C5F">
              <w:rPr>
                <w:lang w:val="en-US"/>
              </w:rPr>
              <w:t xml:space="preserve"> a significant adverse </w:t>
            </w:r>
            <w:r>
              <w:rPr>
                <w:lang w:val="en-US"/>
              </w:rPr>
              <w:t>impact</w:t>
            </w:r>
            <w:r w:rsidRPr="00A34C5F">
              <w:rPr>
                <w:lang w:val="en-US"/>
              </w:rPr>
              <w:t xml:space="preserve"> on any of the six environmental objectives</w:t>
            </w:r>
            <w:r>
              <w:rPr>
                <w:lang w:val="en-US"/>
              </w:rPr>
              <w:t>, taking into account</w:t>
            </w:r>
            <w:r w:rsidRPr="00A34C5F">
              <w:rPr>
                <w:lang w:val="en-US"/>
              </w:rPr>
              <w:t xml:space="preserve"> the technical scre</w:t>
            </w:r>
            <w:r>
              <w:rPr>
                <w:lang w:val="en-US"/>
              </w:rPr>
              <w:t>ening criteria set out in annex</w:t>
            </w:r>
            <w:r w:rsidRPr="00A34C5F">
              <w:rPr>
                <w:lang w:val="en-US"/>
              </w:rPr>
              <w:t xml:space="preserve"> DNSH.</w:t>
            </w:r>
          </w:p>
        </w:tc>
      </w:tr>
    </w:tbl>
    <w:p w14:paraId="76DE4916" w14:textId="77777777" w:rsidR="00DD13BF" w:rsidRPr="00882C5C" w:rsidRDefault="00DD13BF" w:rsidP="00DD13BF">
      <w:pPr>
        <w:ind w:left="1349"/>
        <w:rPr>
          <w:spacing w:val="-6"/>
        </w:rPr>
      </w:pPr>
    </w:p>
    <w:p w14:paraId="48A6B685" w14:textId="77777777" w:rsidR="00DD13BF" w:rsidRPr="00882C5C" w:rsidRDefault="00DD13BF" w:rsidP="00DD13BF">
      <w:pPr>
        <w:ind w:left="1349"/>
      </w:pPr>
      <w:r w:rsidRPr="00882C5C">
        <w:rPr>
          <w:spacing w:val="-6"/>
        </w:rPr>
        <w:t>The main target groups:</w:t>
      </w:r>
    </w:p>
    <w:p w14:paraId="3EB4EAF4" w14:textId="77777777" w:rsidR="00DD13BF" w:rsidRPr="00882C5C"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882C5C" w14:paraId="5BD424F8" w14:textId="77777777" w:rsidTr="00355A56">
        <w:tc>
          <w:tcPr>
            <w:tcW w:w="12763" w:type="dxa"/>
          </w:tcPr>
          <w:p w14:paraId="3DA655ED" w14:textId="77777777" w:rsidR="00DD13BF" w:rsidRPr="00882C5C" w:rsidRDefault="00DD13BF" w:rsidP="00355A56">
            <w:pPr>
              <w:jc w:val="both"/>
              <w:rPr>
                <w:rFonts w:cstheme="minorHAnsi"/>
                <w:lang w:val="en-US"/>
              </w:rPr>
            </w:pPr>
            <w:r w:rsidRPr="00882C5C">
              <w:rPr>
                <w:rFonts w:cstheme="minorHAnsi"/>
                <w:lang w:val="en-US"/>
              </w:rPr>
              <w:t>Target groups: SMEs, public administration and justice system, local self-government, local communities, NGOs, research organisatio</w:t>
            </w:r>
            <w:r>
              <w:rPr>
                <w:rFonts w:cstheme="minorHAnsi"/>
                <w:lang w:val="en-US"/>
              </w:rPr>
              <w:t>ns, cultural entities, citizens</w:t>
            </w:r>
            <w:r w:rsidRPr="00882C5C">
              <w:rPr>
                <w:rFonts w:cstheme="minorHAnsi"/>
                <w:lang w:val="en-US"/>
              </w:rPr>
              <w:t xml:space="preserve"> and others. </w:t>
            </w:r>
          </w:p>
          <w:p w14:paraId="313B4349" w14:textId="77777777" w:rsidR="00DD13BF" w:rsidRPr="00882C5C" w:rsidRDefault="00DD13BF" w:rsidP="00355A56">
            <w:pPr>
              <w:jc w:val="both"/>
              <w:rPr>
                <w:rFonts w:cstheme="minorHAnsi"/>
                <w:lang w:val="en-US"/>
              </w:rPr>
            </w:pPr>
          </w:p>
          <w:p w14:paraId="4991075C" w14:textId="77777777" w:rsidR="00DD13BF" w:rsidRPr="00882C5C" w:rsidRDefault="00DD13BF" w:rsidP="00355A56">
            <w:pPr>
              <w:jc w:val="both"/>
              <w:rPr>
                <w:rFonts w:cstheme="minorHAnsi"/>
                <w:lang w:val="en-US"/>
              </w:rPr>
            </w:pPr>
            <w:r w:rsidRPr="00882C5C">
              <w:rPr>
                <w:rFonts w:cstheme="minorHAnsi"/>
                <w:lang w:val="en-US"/>
              </w:rPr>
              <w:t xml:space="preserve">Beneficiaries: SMEs, supportive environment institutions, implementing institutions, organisations providing informal training, NGOs, institutions </w:t>
            </w:r>
            <w:r>
              <w:rPr>
                <w:rFonts w:cstheme="minorHAnsi"/>
                <w:lang w:val="en-US"/>
              </w:rPr>
              <w:t>working</w:t>
            </w:r>
            <w:r w:rsidRPr="00882C5C">
              <w:rPr>
                <w:rFonts w:cstheme="minorHAnsi"/>
                <w:lang w:val="en-US"/>
              </w:rPr>
              <w:t xml:space="preserve"> with disadvantaged groups and people with disabilities, educational institutions, bodies governed by public law, local communities, public institutes or agencies, higher education institutions, research organisations, state administration bodies, chambers and other stakeholders </w:t>
            </w:r>
            <w:r>
              <w:rPr>
                <w:rFonts w:cstheme="minorHAnsi"/>
                <w:lang w:val="en-US"/>
              </w:rPr>
              <w:t>identified</w:t>
            </w:r>
            <w:r w:rsidRPr="00882C5C">
              <w:rPr>
                <w:rFonts w:cstheme="minorHAnsi"/>
                <w:lang w:val="en-US"/>
              </w:rPr>
              <w:t xml:space="preserve"> as beneficiaries. </w:t>
            </w:r>
          </w:p>
        </w:tc>
      </w:tr>
    </w:tbl>
    <w:p w14:paraId="749B220C" w14:textId="77777777" w:rsidR="00DD13BF" w:rsidRPr="00882C5C" w:rsidRDefault="00DD13BF" w:rsidP="00DD13BF">
      <w:pPr>
        <w:ind w:left="1349"/>
      </w:pPr>
    </w:p>
    <w:p w14:paraId="7E760C09" w14:textId="77777777" w:rsidR="00DD13BF" w:rsidRPr="00882C5C" w:rsidRDefault="00DD13BF" w:rsidP="00DD13BF">
      <w:pPr>
        <w:ind w:left="1349"/>
        <w:rPr>
          <w:spacing w:val="-2"/>
        </w:rPr>
      </w:pPr>
      <w:r w:rsidRPr="00882C5C">
        <w:t xml:space="preserve">Actions safeguarding equality, inclusion and non-discrimination: </w:t>
      </w:r>
    </w:p>
    <w:p w14:paraId="11B8A1D8" w14:textId="77777777" w:rsidR="00DD13BF" w:rsidRPr="00882C5C" w:rsidRDefault="00DD13BF" w:rsidP="00DD13BF"/>
    <w:tbl>
      <w:tblPr>
        <w:tblStyle w:val="Tabelamrea"/>
        <w:tblW w:w="12715" w:type="dxa"/>
        <w:tblInd w:w="1314" w:type="dxa"/>
        <w:tblLook w:val="04A0" w:firstRow="1" w:lastRow="0" w:firstColumn="1" w:lastColumn="0" w:noHBand="0" w:noVBand="1"/>
      </w:tblPr>
      <w:tblGrid>
        <w:gridCol w:w="12715"/>
      </w:tblGrid>
      <w:tr w:rsidR="00DD13BF" w:rsidRPr="00933AA6" w14:paraId="67740B02" w14:textId="77777777" w:rsidTr="00355A56">
        <w:trPr>
          <w:trHeight w:val="557"/>
        </w:trPr>
        <w:tc>
          <w:tcPr>
            <w:tcW w:w="12715" w:type="dxa"/>
          </w:tcPr>
          <w:p w14:paraId="73259696" w14:textId="77777777" w:rsidR="00DD13BF" w:rsidRPr="00933AA6" w:rsidRDefault="00DD13BF" w:rsidP="00355A56">
            <w:pPr>
              <w:jc w:val="both"/>
              <w:rPr>
                <w:rFonts w:cstheme="minorHAnsi"/>
                <w:lang w:val="en-US"/>
              </w:rPr>
            </w:pPr>
            <w:r w:rsidRPr="00933AA6">
              <w:rPr>
                <w:rFonts w:cstheme="minorHAnsi"/>
                <w:lang w:val="en-US"/>
              </w:rPr>
              <w:t>The principles of equality and equal opportunities will be respected in the implementation of all activities at all levels in accordance with national legislation (</w:t>
            </w:r>
            <w:r w:rsidRPr="00933AA6">
              <w:rPr>
                <w:color w:val="000000" w:themeColor="text1"/>
                <w:shd w:val="clear" w:color="auto" w:fill="FFFFFF"/>
                <w:lang w:val="en-US"/>
              </w:rPr>
              <w:t>Equal Opportunities for Women and Men Act</w:t>
            </w:r>
            <w:r w:rsidRPr="00933AA6">
              <w:rPr>
                <w:color w:val="000000" w:themeColor="text1"/>
                <w:lang w:val="en-US"/>
              </w:rPr>
              <w:t xml:space="preserve">, </w:t>
            </w:r>
            <w:r w:rsidRPr="00933AA6">
              <w:rPr>
                <w:color w:val="000000" w:themeColor="text1"/>
                <w:shd w:val="clear" w:color="auto" w:fill="FFFFFF"/>
                <w:lang w:val="en-US"/>
              </w:rPr>
              <w:t>Protection Against Discrimination Act,</w:t>
            </w:r>
            <w:r w:rsidRPr="00933AA6">
              <w:rPr>
                <w:color w:val="000000" w:themeColor="text1"/>
                <w:lang w:val="en-US"/>
              </w:rPr>
              <w:t xml:space="preserve"> </w:t>
            </w:r>
            <w:r w:rsidRPr="00933AA6">
              <w:rPr>
                <w:color w:val="000000" w:themeColor="text1"/>
                <w:shd w:val="clear" w:color="auto" w:fill="FFFFFF"/>
                <w:lang w:val="en-US"/>
              </w:rPr>
              <w:t>Equalisation of Opportunities for Persons with Disabilities Act</w:t>
            </w:r>
            <w:r w:rsidRPr="00933AA6">
              <w:rPr>
                <w:rFonts w:ascii="Arial" w:hAnsi="Arial" w:cs="Arial"/>
                <w:color w:val="626060"/>
                <w:sz w:val="18"/>
                <w:szCs w:val="18"/>
                <w:shd w:val="clear" w:color="auto" w:fill="FFFFFF"/>
                <w:lang w:val="en-US"/>
              </w:rPr>
              <w:t>),</w:t>
            </w:r>
            <w:r w:rsidRPr="00933AA6">
              <w:rPr>
                <w:rFonts w:cstheme="minorHAnsi"/>
                <w:lang w:val="en-US"/>
              </w:rPr>
              <w:t xml:space="preserve"> the EU acquis, particularly the </w:t>
            </w:r>
            <w:r w:rsidRPr="00933AA6">
              <w:rPr>
                <w:rStyle w:val="Poudarek"/>
                <w:bCs/>
                <w:color w:val="000000" w:themeColor="text1"/>
                <w:shd w:val="clear" w:color="auto" w:fill="FFFFFF"/>
                <w:lang w:val="en-US"/>
              </w:rPr>
              <w:t>Treaty on the Functioning of the European Union</w:t>
            </w:r>
            <w:r w:rsidRPr="00933AA6">
              <w:rPr>
                <w:rStyle w:val="Poudarek"/>
                <w:rFonts w:ascii="Arial" w:hAnsi="Arial" w:cs="Arial"/>
                <w:b/>
                <w:bCs/>
                <w:color w:val="5F6368"/>
                <w:sz w:val="21"/>
                <w:szCs w:val="21"/>
                <w:shd w:val="clear" w:color="auto" w:fill="FFFFFF"/>
                <w:lang w:val="en-US"/>
              </w:rPr>
              <w:t xml:space="preserve">, </w:t>
            </w:r>
            <w:r w:rsidRPr="00933AA6">
              <w:rPr>
                <w:rFonts w:cstheme="minorHAnsi"/>
                <w:lang w:val="en-US"/>
              </w:rPr>
              <w:t xml:space="preserve">Charter of fundamental rights, the principles of the European Pillar of Social Rights and the relevant international human rights instruments, particularly the UN Convention on the Rights of Persons with Disabilities and the UN Convention on the Rights of the Child. Equal opportunities and fight against discrimination based on characteristics, such as gender, age, race, ethnicity, disability, religion, sexual orientation will be advocated and ensured both horizontally and vertically as far as possible. In this context, the Rules on ensuring the horizontal enabling condition Effective application and implementation of the Charter of fundamental rights, and the Action Programme for Persons with Disabilities 2022-2030, as well as other relevant documents that will be developed during the implementation of measures will also be fully observed. If relevant, administrative capacity building training will be carried out to foster equal opportunities and non-discrimination. The principle will likewise be respected in the scope of the management and control system. The Monitoring Committee will be notified of any inconsistencies that will potentially arise at least once a year.   </w:t>
            </w:r>
          </w:p>
          <w:p w14:paraId="040EDE66" w14:textId="77777777" w:rsidR="00DD13BF" w:rsidRPr="00933AA6" w:rsidRDefault="00DD13BF" w:rsidP="00355A56">
            <w:pPr>
              <w:jc w:val="both"/>
              <w:rPr>
                <w:lang w:val="en-US"/>
              </w:rPr>
            </w:pPr>
          </w:p>
          <w:p w14:paraId="4976A3BB" w14:textId="77777777" w:rsidR="00DD13BF" w:rsidRPr="00933AA6" w:rsidRDefault="00DD13BF" w:rsidP="00355A56">
            <w:pPr>
              <w:jc w:val="both"/>
              <w:rPr>
                <w:lang w:val="en-US"/>
              </w:rPr>
            </w:pPr>
            <w:r w:rsidRPr="00933AA6">
              <w:rPr>
                <w:lang w:val="en-US"/>
              </w:rPr>
              <w:t xml:space="preserve">Actions targeting vulnerable groups are planned mainly in the context of digitalisation of the Slovenian language with a view to making the relevant contents (e.g. subtitles in TV programmes) more easily accessible to vulnerable groups, and in the area of digital inclusion, etc. Actions aimed at increasing digital inclusion will target different groups (e.g. NGOs, citizens, etc.), seeking to reduce the differences in terms of access to the Internet and equipment, and in terms of security and digital literacy, which will, in turn, help improve overall situation in the society and </w:t>
            </w:r>
            <w:r w:rsidRPr="00933AA6">
              <w:rPr>
                <w:lang w:val="en-US"/>
              </w:rPr>
              <w:lastRenderedPageBreak/>
              <w:t xml:space="preserve">contribute to reducing inequalities.    </w:t>
            </w:r>
          </w:p>
        </w:tc>
      </w:tr>
    </w:tbl>
    <w:p w14:paraId="69D72FE7" w14:textId="77777777" w:rsidR="00DD13BF" w:rsidRPr="00933AA6" w:rsidRDefault="00DD13BF" w:rsidP="00DD13BF">
      <w:pPr>
        <w:rPr>
          <w:sz w:val="20"/>
        </w:rPr>
      </w:pPr>
    </w:p>
    <w:p w14:paraId="7F55AB7F" w14:textId="77777777" w:rsidR="00DD13BF" w:rsidRPr="00933AA6" w:rsidRDefault="00DD13BF" w:rsidP="00DD13BF">
      <w:pPr>
        <w:ind w:left="1415"/>
        <w:rPr>
          <w:spacing w:val="-4"/>
        </w:rPr>
      </w:pPr>
      <w:r w:rsidRPr="00933AA6">
        <w:rPr>
          <w:spacing w:val="-4"/>
        </w:rPr>
        <w:t xml:space="preserve">Indication of the specific territories targeted, including the planned use of territorial tools: </w:t>
      </w:r>
    </w:p>
    <w:p w14:paraId="14A12DA3" w14:textId="77777777" w:rsidR="00DD13BF" w:rsidRPr="00933AA6" w:rsidRDefault="00DD13BF" w:rsidP="00DD13BF"/>
    <w:tbl>
      <w:tblPr>
        <w:tblStyle w:val="Tabelamrea"/>
        <w:tblW w:w="12763" w:type="dxa"/>
        <w:tblInd w:w="1266" w:type="dxa"/>
        <w:tblLook w:val="04A0" w:firstRow="1" w:lastRow="0" w:firstColumn="1" w:lastColumn="0" w:noHBand="0" w:noVBand="1"/>
      </w:tblPr>
      <w:tblGrid>
        <w:gridCol w:w="12763"/>
      </w:tblGrid>
      <w:tr w:rsidR="00DD13BF" w:rsidRPr="00933AA6" w14:paraId="3E6E49DF" w14:textId="77777777" w:rsidTr="00355A56">
        <w:tc>
          <w:tcPr>
            <w:tcW w:w="12763" w:type="dxa"/>
          </w:tcPr>
          <w:p w14:paraId="06607B7E" w14:textId="77777777" w:rsidR="00DD13BF" w:rsidRPr="00933AA6" w:rsidRDefault="00DD13BF" w:rsidP="00355A56">
            <w:pPr>
              <w:jc w:val="both"/>
              <w:rPr>
                <w:rFonts w:cstheme="minorHAnsi"/>
                <w:lang w:val="en-US"/>
              </w:rPr>
            </w:pPr>
            <w:r w:rsidRPr="00933AA6">
              <w:rPr>
                <w:rFonts w:cstheme="minorHAnsi"/>
                <w:lang w:val="en-US"/>
              </w:rPr>
              <w:t>No territorial tools are planned to be used under this specific objective.</w:t>
            </w:r>
          </w:p>
        </w:tc>
      </w:tr>
    </w:tbl>
    <w:p w14:paraId="2814B339" w14:textId="77777777" w:rsidR="00DD13BF" w:rsidRPr="00933AA6" w:rsidRDefault="00DD13BF" w:rsidP="00DD13BF">
      <w:pPr>
        <w:rPr>
          <w:sz w:val="18"/>
        </w:rPr>
      </w:pPr>
    </w:p>
    <w:p w14:paraId="3D2C68ED" w14:textId="77777777" w:rsidR="00DD13BF" w:rsidRPr="00933AA6" w:rsidRDefault="00DD13BF" w:rsidP="00DD13BF">
      <w:pPr>
        <w:ind w:left="1415"/>
      </w:pPr>
      <w:r w:rsidRPr="00933AA6">
        <w:rPr>
          <w:spacing w:val="-4"/>
        </w:rPr>
        <w:t xml:space="preserve">The interregional, cross-border and transnational actions: </w:t>
      </w:r>
    </w:p>
    <w:p w14:paraId="6BC2100E" w14:textId="77777777" w:rsidR="00DD13BF" w:rsidRPr="00933AA6"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933AA6" w14:paraId="3A3003D2" w14:textId="77777777" w:rsidTr="00355A56">
        <w:tc>
          <w:tcPr>
            <w:tcW w:w="12763" w:type="dxa"/>
          </w:tcPr>
          <w:p w14:paraId="0EEEDFA0" w14:textId="77777777" w:rsidR="00DD13BF" w:rsidRPr="00933AA6" w:rsidRDefault="00DD13BF" w:rsidP="00355A56">
            <w:pPr>
              <w:jc w:val="both"/>
              <w:rPr>
                <w:lang w:val="en-US"/>
              </w:rPr>
            </w:pPr>
            <w:r w:rsidRPr="00933AA6">
              <w:rPr>
                <w:rFonts w:cstheme="minorHAnsi"/>
                <w:lang w:val="en-US"/>
              </w:rPr>
              <w:t>No interregional, cross-border or transnational measures are planned under this specific objective as the relevant actions seek to improve the national, i.e. Slovenian ecosystem, which can act as the springboard for penetration of Slovenian businesses in foreign markets. As three cross-border projects will already be supported under the RRP, more specifically its Programme of digital transformation of industry/businesses (</w:t>
            </w:r>
            <w:r w:rsidRPr="00933AA6">
              <w:rPr>
                <w:color w:val="000000" w:themeColor="text1"/>
                <w:lang w:val="en-US"/>
              </w:rPr>
              <w:t>European Common Data Infrastructure and Services (IPCEI-CIS), European Blockchain Services Infrastructure (EBSI) and multi-country project Low-Power Processors and Semiconductor Chips</w:t>
            </w:r>
            <w:r w:rsidRPr="00933AA6">
              <w:rPr>
                <w:rFonts w:cstheme="minorHAnsi"/>
                <w:lang w:val="en-US"/>
              </w:rPr>
              <w:t xml:space="preserve">), no cooperation is currently planned under the Programme. </w:t>
            </w:r>
          </w:p>
          <w:p w14:paraId="7D05BE62" w14:textId="77777777" w:rsidR="00DD13BF" w:rsidRPr="00933AA6" w:rsidRDefault="00DD13BF" w:rsidP="00355A56">
            <w:pPr>
              <w:jc w:val="both"/>
              <w:rPr>
                <w:lang w:val="en-US"/>
              </w:rPr>
            </w:pPr>
          </w:p>
          <w:p w14:paraId="6065BDD2" w14:textId="77777777" w:rsidR="00DD13BF" w:rsidRPr="00933AA6" w:rsidRDefault="00DD13BF" w:rsidP="00355A56">
            <w:pPr>
              <w:jc w:val="both"/>
              <w:rPr>
                <w:rFonts w:cstheme="minorHAnsi"/>
                <w:lang w:val="en-US"/>
              </w:rPr>
            </w:pPr>
            <w:r w:rsidRPr="00933AA6">
              <w:rPr>
                <w:rFonts w:cstheme="minorHAnsi"/>
                <w:lang w:val="en-US"/>
              </w:rPr>
              <w:t xml:space="preserve">Slovenia will continue to support RDI stakeholders through the complementary funding of membership in the Vanguard Initiative, an effective mechanism for interregional cooperation and project generation. The membership in the Vanguard Initiative is directly managed by three line ministries that are key intermediaries responsible for the implementation of RDI-related activities.  </w:t>
            </w:r>
          </w:p>
        </w:tc>
      </w:tr>
    </w:tbl>
    <w:p w14:paraId="5F0F63A8" w14:textId="77777777" w:rsidR="00DD13BF" w:rsidRDefault="00DD13BF" w:rsidP="00DD13BF">
      <w:pPr>
        <w:rPr>
          <w:sz w:val="17"/>
        </w:rPr>
      </w:pPr>
    </w:p>
    <w:p w14:paraId="6C6F1219" w14:textId="77777777" w:rsidR="00DD13BF" w:rsidRDefault="00DD13BF" w:rsidP="00DD13BF">
      <w:pPr>
        <w:ind w:left="1415"/>
        <w:rPr>
          <w:spacing w:val="-3"/>
        </w:rPr>
      </w:pPr>
      <w:r>
        <w:rPr>
          <w:spacing w:val="-4"/>
        </w:rPr>
        <w:t>The planned use of financial instruments</w:t>
      </w:r>
      <w:r>
        <w:rPr>
          <w:spacing w:val="34"/>
        </w:rPr>
        <w:t>:</w:t>
      </w:r>
    </w:p>
    <w:p w14:paraId="7C1642C3"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96495F" w14:paraId="57F7FFC7" w14:textId="77777777" w:rsidTr="00355A56">
        <w:tc>
          <w:tcPr>
            <w:tcW w:w="12758" w:type="dxa"/>
          </w:tcPr>
          <w:p w14:paraId="7D0C3270" w14:textId="77777777" w:rsidR="00DD13BF" w:rsidRPr="00933AA6" w:rsidRDefault="00DD13BF" w:rsidP="00355A56">
            <w:pPr>
              <w:jc w:val="both"/>
              <w:rPr>
                <w:rFonts w:cstheme="minorHAnsi"/>
              </w:rPr>
            </w:pPr>
            <w:r>
              <w:rPr>
                <w:lang w:val="en-US"/>
              </w:rPr>
              <w:t>T</w:t>
            </w:r>
            <w:r w:rsidRPr="007750BB">
              <w:rPr>
                <w:lang w:val="en-US"/>
              </w:rPr>
              <w:t xml:space="preserve">he preliminary assessment of market needs and funding gaps in the market for the implementation of financial instruments in the 2021–2027 programming period (July 2022) </w:t>
            </w:r>
            <w:r w:rsidRPr="00933AA6">
              <w:rPr>
                <w:rFonts w:cstheme="minorHAnsi"/>
              </w:rPr>
              <w:t>revealed a significant funding gap in</w:t>
            </w:r>
            <w:r>
              <w:rPr>
                <w:rFonts w:cstheme="minorHAnsi"/>
              </w:rPr>
              <w:t xml:space="preserve"> particular in</w:t>
            </w:r>
            <w:r w:rsidRPr="00933AA6">
              <w:rPr>
                <w:rFonts w:cstheme="minorHAnsi"/>
              </w:rPr>
              <w:t xml:space="preserve"> the area of digitalisat</w:t>
            </w:r>
            <w:r>
              <w:rPr>
                <w:rFonts w:cstheme="minorHAnsi"/>
              </w:rPr>
              <w:t>ion of the economy. Nevertheless</w:t>
            </w:r>
            <w:r w:rsidRPr="00933AA6">
              <w:rPr>
                <w:rFonts w:cstheme="minorHAnsi"/>
              </w:rPr>
              <w:t>, the</w:t>
            </w:r>
            <w:r>
              <w:rPr>
                <w:rFonts w:cstheme="minorHAnsi"/>
              </w:rPr>
              <w:t xml:space="preserve"> use of financial instruments is not foreseen under the</w:t>
            </w:r>
            <w:r w:rsidRPr="00933AA6">
              <w:rPr>
                <w:rFonts w:cstheme="minorHAnsi"/>
              </w:rPr>
              <w:t xml:space="preserve"> Programme</w:t>
            </w:r>
            <w:r>
              <w:rPr>
                <w:rFonts w:cstheme="minorHAnsi"/>
              </w:rPr>
              <w:t>. Instead</w:t>
            </w:r>
            <w:r w:rsidRPr="00933AA6">
              <w:rPr>
                <w:rFonts w:cstheme="minorHAnsi"/>
              </w:rPr>
              <w:t xml:space="preserve">, </w:t>
            </w:r>
            <w:r>
              <w:rPr>
                <w:rFonts w:cstheme="minorHAnsi"/>
              </w:rPr>
              <w:t xml:space="preserve">the projects of </w:t>
            </w:r>
            <w:r w:rsidRPr="00933AA6">
              <w:rPr>
                <w:rFonts w:cstheme="minorHAnsi"/>
              </w:rPr>
              <w:t xml:space="preserve">digitalisation development will </w:t>
            </w:r>
            <w:r>
              <w:rPr>
                <w:rFonts w:cstheme="minorHAnsi"/>
              </w:rPr>
              <w:t>be supported with</w:t>
            </w:r>
            <w:r w:rsidRPr="00933AA6">
              <w:rPr>
                <w:rFonts w:cstheme="minorHAnsi"/>
              </w:rPr>
              <w:t xml:space="preserve"> a</w:t>
            </w:r>
            <w:r>
              <w:rPr>
                <w:rFonts w:cstheme="minorHAnsi"/>
              </w:rPr>
              <w:t xml:space="preserve"> combination of grants under this</w:t>
            </w:r>
            <w:r w:rsidRPr="00933AA6">
              <w:rPr>
                <w:rFonts w:cstheme="minorHAnsi"/>
              </w:rPr>
              <w:t xml:space="preserve"> </w:t>
            </w:r>
            <w:r>
              <w:rPr>
                <w:rFonts w:cstheme="minorHAnsi"/>
              </w:rPr>
              <w:t xml:space="preserve">specific </w:t>
            </w:r>
            <w:r w:rsidRPr="00933AA6">
              <w:rPr>
                <w:rFonts w:cstheme="minorHAnsi"/>
              </w:rPr>
              <w:t xml:space="preserve">objective and reimbursable funds from national sources, i.e. </w:t>
            </w:r>
            <w:r>
              <w:rPr>
                <w:rFonts w:cstheme="minorHAnsi"/>
              </w:rPr>
              <w:t xml:space="preserve">dedicated </w:t>
            </w:r>
            <w:r w:rsidRPr="00933AA6">
              <w:rPr>
                <w:rFonts w:cstheme="minorHAnsi"/>
              </w:rPr>
              <w:t xml:space="preserve">assets of the </w:t>
            </w:r>
            <w:r>
              <w:rPr>
                <w:rFonts w:cstheme="minorHAnsi"/>
              </w:rPr>
              <w:t>Slovene</w:t>
            </w:r>
            <w:r w:rsidRPr="00933AA6">
              <w:rPr>
                <w:rFonts w:cstheme="minorHAnsi"/>
              </w:rPr>
              <w:t xml:space="preserve"> Enterprise Fund or revolving</w:t>
            </w:r>
            <w:r>
              <w:rPr>
                <w:rFonts w:cstheme="minorHAnsi"/>
              </w:rPr>
              <w:t xml:space="preserve"> funds</w:t>
            </w:r>
            <w:r w:rsidRPr="00933AA6">
              <w:rPr>
                <w:rFonts w:cstheme="minorHAnsi"/>
              </w:rPr>
              <w:t xml:space="preserve">, with grants accounting for 30% and loans 70% </w:t>
            </w:r>
            <w:r>
              <w:rPr>
                <w:rFonts w:cstheme="minorHAnsi"/>
              </w:rPr>
              <w:t xml:space="preserve">of the support provided </w:t>
            </w:r>
            <w:r w:rsidRPr="00933AA6">
              <w:rPr>
                <w:rFonts w:cstheme="minorHAnsi"/>
              </w:rPr>
              <w:t xml:space="preserve">(loans will be </w:t>
            </w:r>
            <w:r>
              <w:rPr>
                <w:rFonts w:cstheme="minorHAnsi"/>
              </w:rPr>
              <w:t xml:space="preserve">granted </w:t>
            </w:r>
            <w:r w:rsidRPr="00933AA6">
              <w:rPr>
                <w:rFonts w:cstheme="minorHAnsi"/>
              </w:rPr>
              <w:t xml:space="preserve">to final recipients under equal conditions </w:t>
            </w:r>
            <w:r>
              <w:rPr>
                <w:rFonts w:cstheme="minorHAnsi"/>
              </w:rPr>
              <w:t xml:space="preserve">applied </w:t>
            </w:r>
            <w:r w:rsidRPr="00933AA6">
              <w:rPr>
                <w:rFonts w:cstheme="minorHAnsi"/>
              </w:rPr>
              <w:t xml:space="preserve">across the country). The funds are expected to multiply, which will help </w:t>
            </w:r>
            <w:r>
              <w:rPr>
                <w:rFonts w:cstheme="minorHAnsi"/>
              </w:rPr>
              <w:t>meet</w:t>
            </w:r>
            <w:r w:rsidRPr="00933AA6">
              <w:rPr>
                <w:rFonts w:cstheme="minorHAnsi"/>
              </w:rPr>
              <w:t xml:space="preserve"> emerging needs to finance SME digitalisation.</w:t>
            </w:r>
            <w:r>
              <w:rPr>
                <w:rFonts w:cstheme="minorHAnsi"/>
              </w:rPr>
              <w:t xml:space="preserve">   </w:t>
            </w:r>
          </w:p>
        </w:tc>
      </w:tr>
    </w:tbl>
    <w:p w14:paraId="601C5054" w14:textId="77777777" w:rsidR="00DD13BF" w:rsidRPr="0096495F" w:rsidRDefault="00DD13BF" w:rsidP="00DD13BF">
      <w:pPr>
        <w:rPr>
          <w:sz w:val="20"/>
        </w:rPr>
      </w:pPr>
    </w:p>
    <w:p w14:paraId="39429AF4" w14:textId="77777777" w:rsidR="00DD13BF" w:rsidRDefault="00DD13BF" w:rsidP="00DD13BF">
      <w:pPr>
        <w:rPr>
          <w:sz w:val="20"/>
        </w:rPr>
      </w:pPr>
    </w:p>
    <w:p w14:paraId="4B3F66D2" w14:textId="77777777" w:rsidR="00DD13BF" w:rsidRDefault="00DD13BF" w:rsidP="00DD13BF">
      <w:pPr>
        <w:rPr>
          <w:sz w:val="20"/>
        </w:rPr>
      </w:pPr>
    </w:p>
    <w:p w14:paraId="5A585A82" w14:textId="77777777" w:rsidR="00DD13BF" w:rsidRDefault="00DD13BF" w:rsidP="00DD13BF">
      <w:pPr>
        <w:pStyle w:val="Naslov5"/>
      </w:pPr>
      <w:r>
        <w:t>Indicators</w:t>
      </w:r>
    </w:p>
    <w:p w14:paraId="0A950D5D" w14:textId="77777777" w:rsidR="00DD13BF" w:rsidRPr="0096495F" w:rsidRDefault="00DD13BF" w:rsidP="00DD13BF"/>
    <w:p w14:paraId="132E5DFD" w14:textId="77777777" w:rsidR="00DD13BF" w:rsidRPr="00320244" w:rsidRDefault="00DD13BF" w:rsidP="00DD13BF">
      <w:pPr>
        <w:rPr>
          <w:spacing w:val="-6"/>
        </w:rPr>
      </w:pPr>
      <w:r>
        <w:rPr>
          <w:spacing w:val="-7"/>
        </w:rPr>
        <w:t>Table</w:t>
      </w:r>
      <w:r w:rsidRPr="0096495F">
        <w:rPr>
          <w:spacing w:val="20"/>
        </w:rPr>
        <w:t xml:space="preserve"> </w:t>
      </w:r>
      <w:r w:rsidRPr="0096495F">
        <w:rPr>
          <w:spacing w:val="-6"/>
        </w:rPr>
        <w:t>2:</w:t>
      </w:r>
      <w:r w:rsidRPr="0096495F">
        <w:rPr>
          <w:spacing w:val="-7"/>
        </w:rPr>
        <w:t xml:space="preserve"> </w:t>
      </w:r>
      <w:r>
        <w:rPr>
          <w:spacing w:val="-7"/>
        </w:rPr>
        <w:t xml:space="preserve">Output indicators </w:t>
      </w:r>
    </w:p>
    <w:p w14:paraId="74D86509" w14:textId="77777777" w:rsidR="00DD13BF" w:rsidRPr="0096495F" w:rsidRDefault="00DD13BF" w:rsidP="00DD13BF">
      <w:pPr>
        <w:rPr>
          <w:sz w:val="21"/>
        </w:rPr>
      </w:pPr>
    </w:p>
    <w:tbl>
      <w:tblPr>
        <w:tblStyle w:val="NormalTable0"/>
        <w:tblW w:w="14051" w:type="dxa"/>
        <w:tblInd w:w="1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34"/>
        <w:gridCol w:w="1415"/>
        <w:gridCol w:w="707"/>
        <w:gridCol w:w="1699"/>
        <w:gridCol w:w="777"/>
        <w:gridCol w:w="4049"/>
        <w:gridCol w:w="1275"/>
        <w:gridCol w:w="1557"/>
        <w:gridCol w:w="1438"/>
      </w:tblGrid>
      <w:tr w:rsidR="00DD13BF" w14:paraId="492D02FB" w14:textId="77777777" w:rsidTr="00355A56">
        <w:trPr>
          <w:trHeight w:val="254"/>
        </w:trPr>
        <w:tc>
          <w:tcPr>
            <w:tcW w:w="1134" w:type="dxa"/>
            <w:vAlign w:val="center"/>
          </w:tcPr>
          <w:p w14:paraId="2CA8F7F7" w14:textId="77777777" w:rsidR="00DD13BF" w:rsidRPr="0096495F" w:rsidRDefault="00DD13BF" w:rsidP="00355A56">
            <w:r>
              <w:t>Priority</w:t>
            </w:r>
          </w:p>
        </w:tc>
        <w:tc>
          <w:tcPr>
            <w:tcW w:w="1415" w:type="dxa"/>
            <w:vAlign w:val="center"/>
          </w:tcPr>
          <w:p w14:paraId="693D9592" w14:textId="77777777" w:rsidR="00DD13BF" w:rsidRPr="0096495F" w:rsidRDefault="00DD13BF" w:rsidP="00355A56">
            <w:r>
              <w:t xml:space="preserve">Specific </w:t>
            </w:r>
            <w:r>
              <w:lastRenderedPageBreak/>
              <w:t>objective</w:t>
            </w:r>
          </w:p>
        </w:tc>
        <w:tc>
          <w:tcPr>
            <w:tcW w:w="707" w:type="dxa"/>
            <w:vAlign w:val="center"/>
          </w:tcPr>
          <w:p w14:paraId="7A9FEFE1" w14:textId="77777777" w:rsidR="00DD13BF" w:rsidRPr="0096495F" w:rsidRDefault="00DD13BF" w:rsidP="00355A56">
            <w:r>
              <w:lastRenderedPageBreak/>
              <w:t>Fund</w:t>
            </w:r>
          </w:p>
        </w:tc>
        <w:tc>
          <w:tcPr>
            <w:tcW w:w="1699" w:type="dxa"/>
            <w:vAlign w:val="center"/>
          </w:tcPr>
          <w:p w14:paraId="64C295E1" w14:textId="77777777" w:rsidR="00DD13BF" w:rsidRPr="0096495F" w:rsidRDefault="00DD13BF" w:rsidP="00355A56">
            <w:r>
              <w:t>Category of region</w:t>
            </w:r>
          </w:p>
        </w:tc>
        <w:tc>
          <w:tcPr>
            <w:tcW w:w="777" w:type="dxa"/>
            <w:vAlign w:val="center"/>
          </w:tcPr>
          <w:p w14:paraId="17FCBE6B" w14:textId="77777777" w:rsidR="00DD13BF" w:rsidRPr="0096495F" w:rsidRDefault="00DD13BF" w:rsidP="00355A56">
            <w:pPr>
              <w:rPr>
                <w:sz w:val="20"/>
              </w:rPr>
            </w:pPr>
            <w:r w:rsidRPr="0096495F">
              <w:t>ID</w:t>
            </w:r>
          </w:p>
        </w:tc>
        <w:tc>
          <w:tcPr>
            <w:tcW w:w="4049" w:type="dxa"/>
            <w:vAlign w:val="center"/>
          </w:tcPr>
          <w:p w14:paraId="5621D501" w14:textId="77777777" w:rsidR="00DD13BF" w:rsidRPr="0096495F" w:rsidRDefault="00DD13BF" w:rsidP="00355A56">
            <w:pPr>
              <w:rPr>
                <w:sz w:val="20"/>
              </w:rPr>
            </w:pPr>
            <w:r>
              <w:t>Indicator</w:t>
            </w:r>
          </w:p>
        </w:tc>
        <w:tc>
          <w:tcPr>
            <w:tcW w:w="1275" w:type="dxa"/>
            <w:vAlign w:val="center"/>
          </w:tcPr>
          <w:p w14:paraId="6AF561CD" w14:textId="77777777" w:rsidR="00DD13BF" w:rsidRPr="00347461" w:rsidRDefault="00DD13BF" w:rsidP="00355A56">
            <w:pPr>
              <w:pStyle w:val="TableParagraph"/>
              <w:rPr>
                <w:sz w:val="20"/>
              </w:rPr>
            </w:pPr>
            <w:r>
              <w:t xml:space="preserve">Measurement </w:t>
            </w:r>
            <w:r>
              <w:lastRenderedPageBreak/>
              <w:t>unit</w:t>
            </w:r>
          </w:p>
        </w:tc>
        <w:tc>
          <w:tcPr>
            <w:tcW w:w="1557" w:type="dxa"/>
            <w:vAlign w:val="center"/>
          </w:tcPr>
          <w:p w14:paraId="62B5D887" w14:textId="77777777" w:rsidR="00DD13BF" w:rsidRPr="00347461" w:rsidRDefault="00DD13BF" w:rsidP="00355A56">
            <w:pPr>
              <w:pStyle w:val="TableParagraph"/>
              <w:rPr>
                <w:sz w:val="20"/>
              </w:rPr>
            </w:pPr>
            <w:r>
              <w:lastRenderedPageBreak/>
              <w:t>Milestone (2024)</w:t>
            </w:r>
          </w:p>
        </w:tc>
        <w:tc>
          <w:tcPr>
            <w:tcW w:w="1438" w:type="dxa"/>
            <w:vAlign w:val="center"/>
          </w:tcPr>
          <w:p w14:paraId="754091F9" w14:textId="77777777" w:rsidR="00DD13BF" w:rsidRDefault="00DD13BF" w:rsidP="00355A56">
            <w:pPr>
              <w:pStyle w:val="TableParagraph"/>
            </w:pPr>
            <w:r>
              <w:t>Target (2029)</w:t>
            </w:r>
          </w:p>
        </w:tc>
      </w:tr>
      <w:tr w:rsidR="00DD13BF" w14:paraId="272C088B" w14:textId="77777777" w:rsidTr="00355A56">
        <w:trPr>
          <w:trHeight w:val="367"/>
        </w:trPr>
        <w:tc>
          <w:tcPr>
            <w:tcW w:w="1134" w:type="dxa"/>
          </w:tcPr>
          <w:p w14:paraId="5ED82508" w14:textId="77777777" w:rsidR="00DD13BF" w:rsidRPr="00205FF2" w:rsidRDefault="00DD13BF" w:rsidP="00355A56">
            <w:pPr>
              <w:pStyle w:val="TableParagraph"/>
              <w:rPr>
                <w:sz w:val="20"/>
              </w:rPr>
            </w:pPr>
            <w:r w:rsidRPr="00205FF2">
              <w:rPr>
                <w:sz w:val="20"/>
              </w:rPr>
              <w:t>1</w:t>
            </w:r>
          </w:p>
        </w:tc>
        <w:tc>
          <w:tcPr>
            <w:tcW w:w="1415" w:type="dxa"/>
          </w:tcPr>
          <w:p w14:paraId="2511998C" w14:textId="77777777" w:rsidR="00DD13BF" w:rsidRPr="00205FF2" w:rsidRDefault="00DD13BF" w:rsidP="00355A56">
            <w:pPr>
              <w:pStyle w:val="TableParagraph"/>
              <w:rPr>
                <w:sz w:val="20"/>
              </w:rPr>
            </w:pPr>
            <w:r w:rsidRPr="006973E0">
              <w:rPr>
                <w:sz w:val="20"/>
              </w:rPr>
              <w:t>RSO1.2</w:t>
            </w:r>
          </w:p>
        </w:tc>
        <w:tc>
          <w:tcPr>
            <w:tcW w:w="707" w:type="dxa"/>
          </w:tcPr>
          <w:p w14:paraId="2F3C4A14"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36F2C047" w14:textId="77777777" w:rsidR="00DD13BF" w:rsidRPr="00205FF2" w:rsidRDefault="00DD13BF" w:rsidP="00355A56">
            <w:pPr>
              <w:pStyle w:val="TableParagraph"/>
              <w:rPr>
                <w:sz w:val="20"/>
              </w:rPr>
            </w:pPr>
            <w:r>
              <w:rPr>
                <w:sz w:val="20"/>
              </w:rPr>
              <w:t xml:space="preserve">Less developed </w:t>
            </w:r>
          </w:p>
        </w:tc>
        <w:tc>
          <w:tcPr>
            <w:tcW w:w="777" w:type="dxa"/>
          </w:tcPr>
          <w:p w14:paraId="19C7238F" w14:textId="77777777" w:rsidR="00DD13BF" w:rsidRPr="00205FF2" w:rsidRDefault="00DD13BF" w:rsidP="00355A56">
            <w:pPr>
              <w:pStyle w:val="TableParagraph"/>
              <w:rPr>
                <w:sz w:val="20"/>
              </w:rPr>
            </w:pPr>
            <w:r w:rsidRPr="00205FF2">
              <w:rPr>
                <w:sz w:val="20"/>
                <w:lang w:bidi="sl-SI"/>
              </w:rPr>
              <w:t>RCO01</w:t>
            </w:r>
          </w:p>
        </w:tc>
        <w:tc>
          <w:tcPr>
            <w:tcW w:w="4049" w:type="dxa"/>
          </w:tcPr>
          <w:p w14:paraId="07ABEE88" w14:textId="77777777" w:rsidR="00DD13BF" w:rsidRPr="00CF5052" w:rsidRDefault="00DD13BF" w:rsidP="00355A56">
            <w:pPr>
              <w:pStyle w:val="TableParagraph"/>
              <w:rPr>
                <w:sz w:val="20"/>
              </w:rPr>
            </w:pPr>
            <w:r w:rsidRPr="00CF5052">
              <w:rPr>
                <w:sz w:val="20"/>
              </w:rPr>
              <w:t>Enterprises supported (of which: micro, small, medium, large)</w:t>
            </w:r>
          </w:p>
        </w:tc>
        <w:tc>
          <w:tcPr>
            <w:tcW w:w="1275" w:type="dxa"/>
          </w:tcPr>
          <w:p w14:paraId="69EA991E" w14:textId="77777777" w:rsidR="00DD13BF" w:rsidRPr="00205FF2" w:rsidRDefault="00DD13BF" w:rsidP="00355A56">
            <w:pPr>
              <w:pStyle w:val="TableParagraph"/>
              <w:rPr>
                <w:sz w:val="20"/>
              </w:rPr>
            </w:pPr>
            <w:r>
              <w:rPr>
                <w:color w:val="000000"/>
                <w:sz w:val="20"/>
              </w:rPr>
              <w:t>enterprises</w:t>
            </w:r>
          </w:p>
        </w:tc>
        <w:tc>
          <w:tcPr>
            <w:tcW w:w="1557" w:type="dxa"/>
          </w:tcPr>
          <w:p w14:paraId="6800F933" w14:textId="77777777" w:rsidR="00DD13BF" w:rsidRPr="00205FF2" w:rsidRDefault="00DD13BF" w:rsidP="00355A56">
            <w:pPr>
              <w:pStyle w:val="TableParagraph"/>
              <w:rPr>
                <w:sz w:val="20"/>
              </w:rPr>
            </w:pPr>
            <w:r>
              <w:rPr>
                <w:sz w:val="20"/>
              </w:rPr>
              <w:t>112</w:t>
            </w:r>
          </w:p>
        </w:tc>
        <w:tc>
          <w:tcPr>
            <w:tcW w:w="1438" w:type="dxa"/>
          </w:tcPr>
          <w:p w14:paraId="0865098D" w14:textId="77777777" w:rsidR="00DD13BF" w:rsidRPr="00205FF2" w:rsidRDefault="00DD13BF" w:rsidP="00355A56">
            <w:pPr>
              <w:pStyle w:val="TableParagraph"/>
              <w:rPr>
                <w:sz w:val="20"/>
              </w:rPr>
            </w:pPr>
            <w:r>
              <w:rPr>
                <w:sz w:val="20"/>
              </w:rPr>
              <w:t>1,230</w:t>
            </w:r>
          </w:p>
        </w:tc>
      </w:tr>
      <w:tr w:rsidR="00DD13BF" w14:paraId="70781FD8" w14:textId="77777777" w:rsidTr="00355A56">
        <w:trPr>
          <w:trHeight w:val="367"/>
        </w:trPr>
        <w:tc>
          <w:tcPr>
            <w:tcW w:w="1134" w:type="dxa"/>
          </w:tcPr>
          <w:p w14:paraId="5F507750" w14:textId="77777777" w:rsidR="00DD13BF" w:rsidRPr="00205FF2" w:rsidRDefault="00DD13BF" w:rsidP="00355A56">
            <w:pPr>
              <w:pStyle w:val="TableParagraph"/>
              <w:rPr>
                <w:sz w:val="20"/>
              </w:rPr>
            </w:pPr>
            <w:r w:rsidRPr="00205FF2">
              <w:rPr>
                <w:sz w:val="20"/>
              </w:rPr>
              <w:t>1</w:t>
            </w:r>
          </w:p>
        </w:tc>
        <w:tc>
          <w:tcPr>
            <w:tcW w:w="1415" w:type="dxa"/>
          </w:tcPr>
          <w:p w14:paraId="2CFE2875" w14:textId="77777777" w:rsidR="00DD13BF" w:rsidRPr="00205FF2" w:rsidRDefault="00DD13BF" w:rsidP="00355A56">
            <w:pPr>
              <w:pStyle w:val="TableParagraph"/>
              <w:rPr>
                <w:sz w:val="20"/>
              </w:rPr>
            </w:pPr>
            <w:r w:rsidRPr="00CF1AD6">
              <w:rPr>
                <w:color w:val="000000"/>
                <w:sz w:val="20"/>
              </w:rPr>
              <w:t>RSO1.2</w:t>
            </w:r>
          </w:p>
        </w:tc>
        <w:tc>
          <w:tcPr>
            <w:tcW w:w="707" w:type="dxa"/>
          </w:tcPr>
          <w:p w14:paraId="2D62D5AA"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43ABA756" w14:textId="77777777" w:rsidR="00DD13BF" w:rsidRPr="00205FF2" w:rsidRDefault="00DD13BF" w:rsidP="00355A56">
            <w:pPr>
              <w:rPr>
                <w:sz w:val="20"/>
              </w:rPr>
            </w:pPr>
            <w:r>
              <w:rPr>
                <w:sz w:val="20"/>
              </w:rPr>
              <w:t xml:space="preserve">More developed </w:t>
            </w:r>
          </w:p>
        </w:tc>
        <w:tc>
          <w:tcPr>
            <w:tcW w:w="777" w:type="dxa"/>
          </w:tcPr>
          <w:p w14:paraId="2B3F5A25" w14:textId="77777777" w:rsidR="00DD13BF" w:rsidRPr="00205FF2" w:rsidRDefault="00DD13BF" w:rsidP="00355A56">
            <w:pPr>
              <w:pStyle w:val="TableParagraph"/>
              <w:rPr>
                <w:sz w:val="20"/>
                <w:lang w:bidi="sl-SI"/>
              </w:rPr>
            </w:pPr>
            <w:r w:rsidRPr="00205FF2">
              <w:rPr>
                <w:sz w:val="20"/>
                <w:lang w:bidi="sl-SI"/>
              </w:rPr>
              <w:t>RCO01</w:t>
            </w:r>
          </w:p>
        </w:tc>
        <w:tc>
          <w:tcPr>
            <w:tcW w:w="4049" w:type="dxa"/>
          </w:tcPr>
          <w:p w14:paraId="3872175B" w14:textId="77777777" w:rsidR="00DD13BF" w:rsidRPr="00205FF2" w:rsidRDefault="00DD13BF" w:rsidP="00355A56">
            <w:pPr>
              <w:pStyle w:val="TableParagraph"/>
              <w:rPr>
                <w:noProof/>
                <w:sz w:val="20"/>
              </w:rPr>
            </w:pPr>
            <w:r w:rsidRPr="00CF5052">
              <w:rPr>
                <w:sz w:val="20"/>
              </w:rPr>
              <w:t>Enterprises supported (of which: micro, small, medium, large)</w:t>
            </w:r>
          </w:p>
        </w:tc>
        <w:tc>
          <w:tcPr>
            <w:tcW w:w="1275" w:type="dxa"/>
          </w:tcPr>
          <w:p w14:paraId="0BF6D6B4" w14:textId="77777777" w:rsidR="00DD13BF" w:rsidRPr="00205FF2" w:rsidRDefault="00DD13BF" w:rsidP="00355A56">
            <w:pPr>
              <w:pStyle w:val="TableParagraph"/>
              <w:rPr>
                <w:sz w:val="20"/>
              </w:rPr>
            </w:pPr>
            <w:r>
              <w:rPr>
                <w:color w:val="000000"/>
                <w:sz w:val="20"/>
              </w:rPr>
              <w:t>enterprises</w:t>
            </w:r>
          </w:p>
        </w:tc>
        <w:tc>
          <w:tcPr>
            <w:tcW w:w="1557" w:type="dxa"/>
          </w:tcPr>
          <w:p w14:paraId="1797664C" w14:textId="77777777" w:rsidR="00DD13BF" w:rsidRPr="00205FF2" w:rsidRDefault="00DD13BF" w:rsidP="00355A56">
            <w:pPr>
              <w:pStyle w:val="TableParagraph"/>
              <w:rPr>
                <w:sz w:val="20"/>
              </w:rPr>
            </w:pPr>
            <w:r>
              <w:rPr>
                <w:sz w:val="20"/>
              </w:rPr>
              <w:t>88</w:t>
            </w:r>
          </w:p>
        </w:tc>
        <w:tc>
          <w:tcPr>
            <w:tcW w:w="1438" w:type="dxa"/>
          </w:tcPr>
          <w:p w14:paraId="263C4036" w14:textId="77777777" w:rsidR="00DD13BF" w:rsidRPr="00205FF2" w:rsidRDefault="00DD13BF" w:rsidP="00355A56">
            <w:pPr>
              <w:pStyle w:val="TableParagraph"/>
              <w:rPr>
                <w:sz w:val="20"/>
              </w:rPr>
            </w:pPr>
            <w:r>
              <w:rPr>
                <w:sz w:val="20"/>
              </w:rPr>
              <w:t>950</w:t>
            </w:r>
          </w:p>
        </w:tc>
      </w:tr>
      <w:tr w:rsidR="00DD13BF" w14:paraId="3193D42E" w14:textId="77777777" w:rsidTr="00355A56">
        <w:trPr>
          <w:trHeight w:val="367"/>
        </w:trPr>
        <w:tc>
          <w:tcPr>
            <w:tcW w:w="1134" w:type="dxa"/>
          </w:tcPr>
          <w:p w14:paraId="4B6AA591" w14:textId="77777777" w:rsidR="00DD13BF" w:rsidRPr="00205FF2" w:rsidRDefault="00DD13BF" w:rsidP="00355A56">
            <w:pPr>
              <w:pStyle w:val="TableParagraph"/>
              <w:rPr>
                <w:sz w:val="20"/>
              </w:rPr>
            </w:pPr>
            <w:r w:rsidRPr="00205FF2">
              <w:rPr>
                <w:sz w:val="20"/>
              </w:rPr>
              <w:t>1</w:t>
            </w:r>
          </w:p>
        </w:tc>
        <w:tc>
          <w:tcPr>
            <w:tcW w:w="1415" w:type="dxa"/>
          </w:tcPr>
          <w:p w14:paraId="555E8E81" w14:textId="77777777" w:rsidR="00DD13BF" w:rsidRPr="00205FF2" w:rsidRDefault="00DD13BF" w:rsidP="00355A56">
            <w:pPr>
              <w:pStyle w:val="TableParagraph"/>
              <w:rPr>
                <w:sz w:val="20"/>
              </w:rPr>
            </w:pPr>
            <w:r w:rsidRPr="00CF1AD6">
              <w:rPr>
                <w:color w:val="000000"/>
                <w:sz w:val="20"/>
              </w:rPr>
              <w:t>RSO1.2</w:t>
            </w:r>
          </w:p>
        </w:tc>
        <w:tc>
          <w:tcPr>
            <w:tcW w:w="707" w:type="dxa"/>
          </w:tcPr>
          <w:p w14:paraId="278DDB1C"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081B7866" w14:textId="77777777" w:rsidR="00DD13BF" w:rsidRPr="00205FF2" w:rsidRDefault="00DD13BF" w:rsidP="00355A56">
            <w:pPr>
              <w:rPr>
                <w:sz w:val="20"/>
              </w:rPr>
            </w:pPr>
            <w:r>
              <w:rPr>
                <w:sz w:val="20"/>
              </w:rPr>
              <w:t xml:space="preserve">Less developed </w:t>
            </w:r>
          </w:p>
        </w:tc>
        <w:tc>
          <w:tcPr>
            <w:tcW w:w="777" w:type="dxa"/>
          </w:tcPr>
          <w:p w14:paraId="20E68F83" w14:textId="77777777" w:rsidR="00DD13BF" w:rsidRPr="00205FF2" w:rsidRDefault="00DD13BF" w:rsidP="00355A56">
            <w:pPr>
              <w:pStyle w:val="TableParagraph"/>
              <w:rPr>
                <w:sz w:val="20"/>
                <w:lang w:bidi="sl-SI"/>
              </w:rPr>
            </w:pPr>
            <w:r w:rsidRPr="00205FF2">
              <w:rPr>
                <w:sz w:val="20"/>
                <w:lang w:bidi="sl-SI"/>
              </w:rPr>
              <w:t>RCO02</w:t>
            </w:r>
          </w:p>
        </w:tc>
        <w:tc>
          <w:tcPr>
            <w:tcW w:w="4049" w:type="dxa"/>
          </w:tcPr>
          <w:p w14:paraId="481C5FBE" w14:textId="77777777" w:rsidR="00DD13BF" w:rsidRPr="00CF5052" w:rsidRDefault="00DD13BF" w:rsidP="00355A56">
            <w:pPr>
              <w:pStyle w:val="TableParagraph"/>
              <w:rPr>
                <w:noProof/>
                <w:sz w:val="20"/>
              </w:rPr>
            </w:pPr>
            <w:r w:rsidRPr="00CF5052">
              <w:rPr>
                <w:sz w:val="20"/>
              </w:rPr>
              <w:t>Enterprises supported by grants</w:t>
            </w:r>
          </w:p>
        </w:tc>
        <w:tc>
          <w:tcPr>
            <w:tcW w:w="1275" w:type="dxa"/>
          </w:tcPr>
          <w:p w14:paraId="0391DCFC" w14:textId="77777777" w:rsidR="00DD13BF" w:rsidRPr="00205FF2" w:rsidRDefault="00DD13BF" w:rsidP="00355A56">
            <w:pPr>
              <w:pStyle w:val="TableParagraph"/>
              <w:rPr>
                <w:sz w:val="20"/>
              </w:rPr>
            </w:pPr>
            <w:r>
              <w:rPr>
                <w:color w:val="000000"/>
                <w:sz w:val="20"/>
              </w:rPr>
              <w:t>enterprises</w:t>
            </w:r>
          </w:p>
        </w:tc>
        <w:tc>
          <w:tcPr>
            <w:tcW w:w="1557" w:type="dxa"/>
          </w:tcPr>
          <w:p w14:paraId="0DD764AD" w14:textId="77777777" w:rsidR="00DD13BF" w:rsidRPr="00205FF2" w:rsidRDefault="00DD13BF" w:rsidP="00355A56">
            <w:pPr>
              <w:pStyle w:val="TableParagraph"/>
              <w:rPr>
                <w:color w:val="000000"/>
                <w:sz w:val="20"/>
              </w:rPr>
            </w:pPr>
            <w:r>
              <w:rPr>
                <w:color w:val="000000"/>
                <w:sz w:val="20"/>
              </w:rPr>
              <w:t>0</w:t>
            </w:r>
          </w:p>
        </w:tc>
        <w:tc>
          <w:tcPr>
            <w:tcW w:w="1438" w:type="dxa"/>
          </w:tcPr>
          <w:p w14:paraId="1B3DEC02" w14:textId="77777777" w:rsidR="00DD13BF" w:rsidRPr="00205FF2" w:rsidRDefault="00DD13BF" w:rsidP="00355A56">
            <w:pPr>
              <w:pStyle w:val="TableParagraph"/>
              <w:rPr>
                <w:color w:val="000000"/>
                <w:sz w:val="20"/>
              </w:rPr>
            </w:pPr>
            <w:r>
              <w:rPr>
                <w:color w:val="000000"/>
                <w:sz w:val="20"/>
              </w:rPr>
              <w:t>82</w:t>
            </w:r>
          </w:p>
        </w:tc>
      </w:tr>
      <w:tr w:rsidR="00DD13BF" w14:paraId="58F01A47" w14:textId="77777777" w:rsidTr="00355A56">
        <w:trPr>
          <w:trHeight w:val="367"/>
        </w:trPr>
        <w:tc>
          <w:tcPr>
            <w:tcW w:w="1134" w:type="dxa"/>
          </w:tcPr>
          <w:p w14:paraId="0F3FBF2E" w14:textId="77777777" w:rsidR="00DD13BF" w:rsidRPr="00205FF2" w:rsidRDefault="00DD13BF" w:rsidP="00355A56">
            <w:pPr>
              <w:pStyle w:val="TableParagraph"/>
              <w:rPr>
                <w:sz w:val="20"/>
              </w:rPr>
            </w:pPr>
            <w:r w:rsidRPr="00205FF2">
              <w:rPr>
                <w:sz w:val="20"/>
              </w:rPr>
              <w:t>1</w:t>
            </w:r>
          </w:p>
        </w:tc>
        <w:tc>
          <w:tcPr>
            <w:tcW w:w="1415" w:type="dxa"/>
          </w:tcPr>
          <w:p w14:paraId="1B9612B7" w14:textId="77777777" w:rsidR="00DD13BF" w:rsidRPr="00205FF2" w:rsidRDefault="00DD13BF" w:rsidP="00355A56">
            <w:pPr>
              <w:pStyle w:val="TableParagraph"/>
              <w:rPr>
                <w:sz w:val="20"/>
              </w:rPr>
            </w:pPr>
            <w:r w:rsidRPr="00CF1AD6">
              <w:rPr>
                <w:color w:val="000000"/>
                <w:sz w:val="20"/>
              </w:rPr>
              <w:t>RSO1.2</w:t>
            </w:r>
          </w:p>
        </w:tc>
        <w:tc>
          <w:tcPr>
            <w:tcW w:w="707" w:type="dxa"/>
          </w:tcPr>
          <w:p w14:paraId="6758C980"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5437173B" w14:textId="77777777" w:rsidR="00DD13BF" w:rsidRPr="00205FF2" w:rsidRDefault="00DD13BF" w:rsidP="00355A56">
            <w:pPr>
              <w:rPr>
                <w:sz w:val="20"/>
              </w:rPr>
            </w:pPr>
            <w:r>
              <w:rPr>
                <w:sz w:val="20"/>
              </w:rPr>
              <w:t xml:space="preserve">More developed </w:t>
            </w:r>
          </w:p>
        </w:tc>
        <w:tc>
          <w:tcPr>
            <w:tcW w:w="777" w:type="dxa"/>
          </w:tcPr>
          <w:p w14:paraId="60830334" w14:textId="77777777" w:rsidR="00DD13BF" w:rsidRPr="00205FF2" w:rsidRDefault="00DD13BF" w:rsidP="00355A56">
            <w:pPr>
              <w:pStyle w:val="TableParagraph"/>
              <w:rPr>
                <w:sz w:val="20"/>
                <w:lang w:bidi="sl-SI"/>
              </w:rPr>
            </w:pPr>
            <w:r w:rsidRPr="00205FF2">
              <w:rPr>
                <w:sz w:val="20"/>
                <w:lang w:bidi="sl-SI"/>
              </w:rPr>
              <w:t>RCO02</w:t>
            </w:r>
          </w:p>
        </w:tc>
        <w:tc>
          <w:tcPr>
            <w:tcW w:w="4049" w:type="dxa"/>
          </w:tcPr>
          <w:p w14:paraId="1D1EDAC1" w14:textId="77777777" w:rsidR="00DD13BF" w:rsidRPr="00205FF2" w:rsidRDefault="00DD13BF" w:rsidP="00355A56">
            <w:pPr>
              <w:pStyle w:val="TableParagraph"/>
              <w:rPr>
                <w:noProof/>
                <w:sz w:val="20"/>
              </w:rPr>
            </w:pPr>
            <w:r w:rsidRPr="00CF5052">
              <w:rPr>
                <w:sz w:val="20"/>
              </w:rPr>
              <w:t>Enterprises supported by grants</w:t>
            </w:r>
          </w:p>
        </w:tc>
        <w:tc>
          <w:tcPr>
            <w:tcW w:w="1275" w:type="dxa"/>
          </w:tcPr>
          <w:p w14:paraId="43BAD111" w14:textId="77777777" w:rsidR="00DD13BF" w:rsidRPr="00205FF2" w:rsidRDefault="00DD13BF" w:rsidP="00355A56">
            <w:pPr>
              <w:pStyle w:val="TableParagraph"/>
              <w:rPr>
                <w:sz w:val="20"/>
              </w:rPr>
            </w:pPr>
            <w:r>
              <w:rPr>
                <w:color w:val="000000"/>
                <w:sz w:val="20"/>
              </w:rPr>
              <w:t>enterprises</w:t>
            </w:r>
          </w:p>
        </w:tc>
        <w:tc>
          <w:tcPr>
            <w:tcW w:w="1557" w:type="dxa"/>
          </w:tcPr>
          <w:p w14:paraId="70F3406E" w14:textId="77777777" w:rsidR="00DD13BF" w:rsidRPr="00205FF2" w:rsidRDefault="00DD13BF" w:rsidP="00355A56">
            <w:pPr>
              <w:pStyle w:val="TableParagraph"/>
              <w:rPr>
                <w:color w:val="000000"/>
                <w:sz w:val="20"/>
              </w:rPr>
            </w:pPr>
            <w:r>
              <w:rPr>
                <w:color w:val="000000"/>
                <w:sz w:val="20"/>
              </w:rPr>
              <w:t>0</w:t>
            </w:r>
          </w:p>
        </w:tc>
        <w:tc>
          <w:tcPr>
            <w:tcW w:w="1438" w:type="dxa"/>
          </w:tcPr>
          <w:p w14:paraId="3EFBB233" w14:textId="77777777" w:rsidR="00DD13BF" w:rsidRPr="00205FF2" w:rsidRDefault="00DD13BF" w:rsidP="00355A56">
            <w:pPr>
              <w:pStyle w:val="TableParagraph"/>
              <w:rPr>
                <w:color w:val="000000"/>
                <w:sz w:val="20"/>
              </w:rPr>
            </w:pPr>
            <w:r>
              <w:rPr>
                <w:color w:val="000000"/>
                <w:sz w:val="20"/>
              </w:rPr>
              <w:t>48</w:t>
            </w:r>
          </w:p>
        </w:tc>
      </w:tr>
      <w:tr w:rsidR="00DD13BF" w14:paraId="643C6308" w14:textId="77777777" w:rsidTr="00355A56">
        <w:trPr>
          <w:trHeight w:val="367"/>
        </w:trPr>
        <w:tc>
          <w:tcPr>
            <w:tcW w:w="1134" w:type="dxa"/>
          </w:tcPr>
          <w:p w14:paraId="0E2D0823" w14:textId="77777777" w:rsidR="00DD13BF" w:rsidRPr="00205FF2" w:rsidRDefault="00DD13BF" w:rsidP="00355A56">
            <w:pPr>
              <w:pStyle w:val="TableParagraph"/>
              <w:rPr>
                <w:sz w:val="20"/>
              </w:rPr>
            </w:pPr>
            <w:r w:rsidRPr="00205FF2">
              <w:rPr>
                <w:sz w:val="20"/>
              </w:rPr>
              <w:t>1</w:t>
            </w:r>
          </w:p>
        </w:tc>
        <w:tc>
          <w:tcPr>
            <w:tcW w:w="1415" w:type="dxa"/>
          </w:tcPr>
          <w:p w14:paraId="709DE13B" w14:textId="77777777" w:rsidR="00DD13BF" w:rsidRPr="00205FF2" w:rsidRDefault="00DD13BF" w:rsidP="00355A56">
            <w:pPr>
              <w:pStyle w:val="TableParagraph"/>
              <w:rPr>
                <w:sz w:val="20"/>
              </w:rPr>
            </w:pPr>
            <w:r w:rsidRPr="00CF1AD6">
              <w:rPr>
                <w:color w:val="000000"/>
                <w:sz w:val="20"/>
              </w:rPr>
              <w:t>RSO1.2</w:t>
            </w:r>
          </w:p>
        </w:tc>
        <w:tc>
          <w:tcPr>
            <w:tcW w:w="707" w:type="dxa"/>
          </w:tcPr>
          <w:p w14:paraId="73D68F50"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0944EC13" w14:textId="77777777" w:rsidR="00DD13BF" w:rsidRPr="00205FF2" w:rsidRDefault="00DD13BF" w:rsidP="00355A56">
            <w:pPr>
              <w:rPr>
                <w:sz w:val="20"/>
              </w:rPr>
            </w:pPr>
            <w:r>
              <w:rPr>
                <w:sz w:val="20"/>
              </w:rPr>
              <w:t xml:space="preserve">Less developed </w:t>
            </w:r>
          </w:p>
        </w:tc>
        <w:tc>
          <w:tcPr>
            <w:tcW w:w="777" w:type="dxa"/>
          </w:tcPr>
          <w:p w14:paraId="342139B1" w14:textId="77777777" w:rsidR="00DD13BF" w:rsidRPr="00205FF2" w:rsidRDefault="00DD13BF" w:rsidP="00355A56">
            <w:pPr>
              <w:pStyle w:val="TableParagraph"/>
              <w:rPr>
                <w:sz w:val="20"/>
                <w:lang w:bidi="sl-SI"/>
              </w:rPr>
            </w:pPr>
            <w:r w:rsidRPr="00205FF2">
              <w:rPr>
                <w:sz w:val="20"/>
                <w:lang w:bidi="sl-SI"/>
              </w:rPr>
              <w:t>RCO04</w:t>
            </w:r>
          </w:p>
        </w:tc>
        <w:tc>
          <w:tcPr>
            <w:tcW w:w="4049" w:type="dxa"/>
          </w:tcPr>
          <w:p w14:paraId="79AF1C41" w14:textId="77777777" w:rsidR="00DD13BF" w:rsidRPr="00CF5052" w:rsidRDefault="00DD13BF" w:rsidP="00355A56">
            <w:pPr>
              <w:pStyle w:val="TableParagraph"/>
              <w:rPr>
                <w:noProof/>
                <w:sz w:val="20"/>
              </w:rPr>
            </w:pPr>
            <w:r w:rsidRPr="00CF5052">
              <w:rPr>
                <w:sz w:val="20"/>
              </w:rPr>
              <w:t>Enterprises with non-financial support</w:t>
            </w:r>
          </w:p>
        </w:tc>
        <w:tc>
          <w:tcPr>
            <w:tcW w:w="1275" w:type="dxa"/>
          </w:tcPr>
          <w:p w14:paraId="4DDBEB77" w14:textId="77777777" w:rsidR="00DD13BF" w:rsidRPr="00205FF2" w:rsidRDefault="00DD13BF" w:rsidP="00355A56">
            <w:pPr>
              <w:pStyle w:val="TableParagraph"/>
              <w:rPr>
                <w:sz w:val="20"/>
              </w:rPr>
            </w:pPr>
            <w:r>
              <w:rPr>
                <w:color w:val="000000"/>
                <w:sz w:val="20"/>
              </w:rPr>
              <w:t>enterprises</w:t>
            </w:r>
          </w:p>
        </w:tc>
        <w:tc>
          <w:tcPr>
            <w:tcW w:w="1557" w:type="dxa"/>
          </w:tcPr>
          <w:p w14:paraId="08E505D5" w14:textId="77777777" w:rsidR="00DD13BF" w:rsidRPr="00205FF2" w:rsidRDefault="00DD13BF" w:rsidP="00355A56">
            <w:pPr>
              <w:pStyle w:val="TableParagraph"/>
              <w:rPr>
                <w:color w:val="000000"/>
                <w:sz w:val="20"/>
              </w:rPr>
            </w:pPr>
            <w:r>
              <w:rPr>
                <w:color w:val="000000"/>
                <w:sz w:val="20"/>
              </w:rPr>
              <w:t>112</w:t>
            </w:r>
          </w:p>
        </w:tc>
        <w:tc>
          <w:tcPr>
            <w:tcW w:w="1438" w:type="dxa"/>
          </w:tcPr>
          <w:p w14:paraId="551D6870" w14:textId="77777777" w:rsidR="00DD13BF" w:rsidRPr="00205FF2" w:rsidRDefault="00DD13BF" w:rsidP="00355A56">
            <w:pPr>
              <w:pStyle w:val="TableParagraph"/>
              <w:rPr>
                <w:color w:val="000000"/>
                <w:sz w:val="20"/>
              </w:rPr>
            </w:pPr>
            <w:r>
              <w:rPr>
                <w:color w:val="000000"/>
                <w:sz w:val="20"/>
              </w:rPr>
              <w:t>1,148</w:t>
            </w:r>
          </w:p>
        </w:tc>
      </w:tr>
      <w:tr w:rsidR="00DD13BF" w14:paraId="0EB20985" w14:textId="77777777" w:rsidTr="00355A56">
        <w:trPr>
          <w:trHeight w:val="367"/>
        </w:trPr>
        <w:tc>
          <w:tcPr>
            <w:tcW w:w="1134" w:type="dxa"/>
          </w:tcPr>
          <w:p w14:paraId="7BB01BA5" w14:textId="77777777" w:rsidR="00DD13BF" w:rsidRPr="00205FF2" w:rsidRDefault="00DD13BF" w:rsidP="00355A56">
            <w:pPr>
              <w:pStyle w:val="TableParagraph"/>
              <w:rPr>
                <w:sz w:val="20"/>
              </w:rPr>
            </w:pPr>
            <w:r w:rsidRPr="00205FF2">
              <w:rPr>
                <w:sz w:val="20"/>
              </w:rPr>
              <w:t>1</w:t>
            </w:r>
          </w:p>
        </w:tc>
        <w:tc>
          <w:tcPr>
            <w:tcW w:w="1415" w:type="dxa"/>
          </w:tcPr>
          <w:p w14:paraId="2E217ECE" w14:textId="77777777" w:rsidR="00DD13BF" w:rsidRPr="00205FF2" w:rsidRDefault="00DD13BF" w:rsidP="00355A56">
            <w:pPr>
              <w:pStyle w:val="TableParagraph"/>
              <w:rPr>
                <w:sz w:val="20"/>
              </w:rPr>
            </w:pPr>
            <w:r w:rsidRPr="00CF1AD6">
              <w:rPr>
                <w:color w:val="000000"/>
                <w:sz w:val="20"/>
              </w:rPr>
              <w:t>RSO1.2</w:t>
            </w:r>
          </w:p>
        </w:tc>
        <w:tc>
          <w:tcPr>
            <w:tcW w:w="707" w:type="dxa"/>
          </w:tcPr>
          <w:p w14:paraId="560A7409"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6A1256E2" w14:textId="77777777" w:rsidR="00DD13BF" w:rsidRPr="00205FF2" w:rsidRDefault="00DD13BF" w:rsidP="00355A56">
            <w:pPr>
              <w:rPr>
                <w:sz w:val="20"/>
              </w:rPr>
            </w:pPr>
            <w:r>
              <w:rPr>
                <w:sz w:val="20"/>
              </w:rPr>
              <w:t xml:space="preserve">More developed </w:t>
            </w:r>
          </w:p>
        </w:tc>
        <w:tc>
          <w:tcPr>
            <w:tcW w:w="777" w:type="dxa"/>
          </w:tcPr>
          <w:p w14:paraId="5C9BFF3B" w14:textId="77777777" w:rsidR="00DD13BF" w:rsidRPr="00205FF2" w:rsidRDefault="00DD13BF" w:rsidP="00355A56">
            <w:pPr>
              <w:pStyle w:val="TableParagraph"/>
              <w:rPr>
                <w:sz w:val="20"/>
                <w:lang w:bidi="sl-SI"/>
              </w:rPr>
            </w:pPr>
            <w:r w:rsidRPr="00205FF2">
              <w:rPr>
                <w:sz w:val="20"/>
                <w:lang w:bidi="sl-SI"/>
              </w:rPr>
              <w:t>RCO04</w:t>
            </w:r>
          </w:p>
        </w:tc>
        <w:tc>
          <w:tcPr>
            <w:tcW w:w="4049" w:type="dxa"/>
          </w:tcPr>
          <w:p w14:paraId="679B602F" w14:textId="77777777" w:rsidR="00DD13BF" w:rsidRPr="00CF5052" w:rsidRDefault="00DD13BF" w:rsidP="00355A56">
            <w:pPr>
              <w:pStyle w:val="TableParagraph"/>
              <w:rPr>
                <w:noProof/>
                <w:sz w:val="20"/>
              </w:rPr>
            </w:pPr>
            <w:r w:rsidRPr="00CF5052">
              <w:rPr>
                <w:sz w:val="20"/>
              </w:rPr>
              <w:t>Enterprises with non-financial support</w:t>
            </w:r>
          </w:p>
        </w:tc>
        <w:tc>
          <w:tcPr>
            <w:tcW w:w="1275" w:type="dxa"/>
          </w:tcPr>
          <w:p w14:paraId="4EC5DE8A" w14:textId="77777777" w:rsidR="00DD13BF" w:rsidRPr="00205FF2" w:rsidRDefault="00DD13BF" w:rsidP="00355A56">
            <w:pPr>
              <w:pStyle w:val="TableParagraph"/>
              <w:rPr>
                <w:sz w:val="20"/>
              </w:rPr>
            </w:pPr>
            <w:r>
              <w:rPr>
                <w:color w:val="000000"/>
                <w:sz w:val="20"/>
              </w:rPr>
              <w:t>enterprises</w:t>
            </w:r>
          </w:p>
        </w:tc>
        <w:tc>
          <w:tcPr>
            <w:tcW w:w="1557" w:type="dxa"/>
          </w:tcPr>
          <w:p w14:paraId="17F72A74" w14:textId="77777777" w:rsidR="00DD13BF" w:rsidRPr="00205FF2" w:rsidRDefault="00DD13BF" w:rsidP="00355A56">
            <w:pPr>
              <w:pStyle w:val="TableParagraph"/>
              <w:rPr>
                <w:color w:val="000000"/>
                <w:sz w:val="20"/>
              </w:rPr>
            </w:pPr>
            <w:r>
              <w:rPr>
                <w:color w:val="000000"/>
                <w:sz w:val="20"/>
              </w:rPr>
              <w:t>88</w:t>
            </w:r>
          </w:p>
        </w:tc>
        <w:tc>
          <w:tcPr>
            <w:tcW w:w="1438" w:type="dxa"/>
          </w:tcPr>
          <w:p w14:paraId="00246136" w14:textId="77777777" w:rsidR="00DD13BF" w:rsidRPr="00205FF2" w:rsidRDefault="00DD13BF" w:rsidP="00355A56">
            <w:pPr>
              <w:pStyle w:val="TableParagraph"/>
              <w:rPr>
                <w:color w:val="000000"/>
                <w:sz w:val="20"/>
              </w:rPr>
            </w:pPr>
            <w:r>
              <w:rPr>
                <w:color w:val="000000"/>
                <w:sz w:val="20"/>
              </w:rPr>
              <w:t>902</w:t>
            </w:r>
          </w:p>
        </w:tc>
      </w:tr>
      <w:tr w:rsidR="00DD13BF" w:rsidRPr="00B8001C" w14:paraId="77DE0772" w14:textId="77777777" w:rsidTr="00355A56">
        <w:trPr>
          <w:trHeight w:val="367"/>
        </w:trPr>
        <w:tc>
          <w:tcPr>
            <w:tcW w:w="1134" w:type="dxa"/>
          </w:tcPr>
          <w:p w14:paraId="5F23EFEF" w14:textId="77777777" w:rsidR="00DD13BF" w:rsidRPr="00205FF2" w:rsidRDefault="00DD13BF" w:rsidP="00355A56">
            <w:pPr>
              <w:pStyle w:val="TableParagraph"/>
              <w:rPr>
                <w:sz w:val="20"/>
              </w:rPr>
            </w:pPr>
            <w:r w:rsidRPr="00205FF2">
              <w:rPr>
                <w:sz w:val="20"/>
              </w:rPr>
              <w:t>1</w:t>
            </w:r>
          </w:p>
        </w:tc>
        <w:tc>
          <w:tcPr>
            <w:tcW w:w="1415" w:type="dxa"/>
          </w:tcPr>
          <w:p w14:paraId="00B88A03" w14:textId="77777777" w:rsidR="00DD13BF" w:rsidRPr="00205FF2" w:rsidRDefault="00DD13BF" w:rsidP="00355A56">
            <w:pPr>
              <w:pStyle w:val="TableParagraph"/>
              <w:rPr>
                <w:sz w:val="20"/>
              </w:rPr>
            </w:pPr>
            <w:r w:rsidRPr="00CF1AD6">
              <w:rPr>
                <w:color w:val="000000"/>
                <w:sz w:val="20"/>
              </w:rPr>
              <w:t>RSO1.2</w:t>
            </w:r>
          </w:p>
        </w:tc>
        <w:tc>
          <w:tcPr>
            <w:tcW w:w="707" w:type="dxa"/>
          </w:tcPr>
          <w:p w14:paraId="42934724"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271D16CF" w14:textId="77777777" w:rsidR="00DD13BF" w:rsidRPr="00205FF2" w:rsidRDefault="00DD13BF" w:rsidP="00355A56">
            <w:pPr>
              <w:rPr>
                <w:sz w:val="20"/>
              </w:rPr>
            </w:pPr>
            <w:r>
              <w:rPr>
                <w:sz w:val="20"/>
              </w:rPr>
              <w:t xml:space="preserve">Less developed </w:t>
            </w:r>
          </w:p>
        </w:tc>
        <w:tc>
          <w:tcPr>
            <w:tcW w:w="777" w:type="dxa"/>
          </w:tcPr>
          <w:p w14:paraId="2200C344" w14:textId="77777777" w:rsidR="00DD13BF" w:rsidRPr="00205FF2" w:rsidRDefault="00DD13BF" w:rsidP="00355A56">
            <w:pPr>
              <w:pStyle w:val="TableParagraph"/>
              <w:rPr>
                <w:sz w:val="20"/>
              </w:rPr>
            </w:pPr>
            <w:r w:rsidRPr="00205FF2">
              <w:rPr>
                <w:sz w:val="20"/>
              </w:rPr>
              <w:t>RCO13</w:t>
            </w:r>
          </w:p>
        </w:tc>
        <w:tc>
          <w:tcPr>
            <w:tcW w:w="4049" w:type="dxa"/>
          </w:tcPr>
          <w:p w14:paraId="124FC6CC" w14:textId="77777777" w:rsidR="00DD13BF" w:rsidRPr="00CF5052" w:rsidRDefault="00DD13BF" w:rsidP="00355A56">
            <w:pPr>
              <w:pStyle w:val="TableParagraph"/>
              <w:rPr>
                <w:sz w:val="20"/>
              </w:rPr>
            </w:pPr>
            <w:r w:rsidRPr="00CF5052">
              <w:rPr>
                <w:sz w:val="20"/>
              </w:rPr>
              <w:t>Value of digital services, products and processes developed for enterprises</w:t>
            </w:r>
          </w:p>
        </w:tc>
        <w:tc>
          <w:tcPr>
            <w:tcW w:w="1275" w:type="dxa"/>
          </w:tcPr>
          <w:p w14:paraId="198A3157" w14:textId="77777777" w:rsidR="00DD13BF" w:rsidRPr="00205FF2" w:rsidRDefault="00DD13BF" w:rsidP="00355A56">
            <w:pPr>
              <w:pStyle w:val="TableParagraph"/>
              <w:spacing w:line="259" w:lineRule="auto"/>
              <w:rPr>
                <w:sz w:val="20"/>
              </w:rPr>
            </w:pPr>
            <w:r w:rsidRPr="000B4440">
              <w:rPr>
                <w:color w:val="000000"/>
                <w:sz w:val="20"/>
              </w:rPr>
              <w:t>euro</w:t>
            </w:r>
          </w:p>
        </w:tc>
        <w:tc>
          <w:tcPr>
            <w:tcW w:w="1557" w:type="dxa"/>
          </w:tcPr>
          <w:p w14:paraId="6593970B" w14:textId="77777777" w:rsidR="00DD13BF" w:rsidRPr="00205FF2" w:rsidRDefault="00DD13BF" w:rsidP="00355A56">
            <w:pPr>
              <w:pStyle w:val="TableParagraph"/>
              <w:spacing w:line="259" w:lineRule="auto"/>
              <w:rPr>
                <w:sz w:val="20"/>
              </w:rPr>
            </w:pPr>
            <w:r>
              <w:rPr>
                <w:sz w:val="20"/>
              </w:rPr>
              <w:t>0</w:t>
            </w:r>
          </w:p>
        </w:tc>
        <w:tc>
          <w:tcPr>
            <w:tcW w:w="1438" w:type="dxa"/>
          </w:tcPr>
          <w:p w14:paraId="6A1662ED" w14:textId="77777777" w:rsidR="00DD13BF" w:rsidRPr="00205FF2" w:rsidRDefault="00DD13BF" w:rsidP="00355A56">
            <w:pPr>
              <w:pStyle w:val="TableParagraph"/>
              <w:rPr>
                <w:sz w:val="20"/>
              </w:rPr>
            </w:pPr>
            <w:r>
              <w:rPr>
                <w:sz w:val="20"/>
              </w:rPr>
              <w:t>6,033,884</w:t>
            </w:r>
          </w:p>
        </w:tc>
      </w:tr>
      <w:tr w:rsidR="00DD13BF" w:rsidRPr="00B8001C" w14:paraId="4A68AA58" w14:textId="77777777" w:rsidTr="00355A56">
        <w:trPr>
          <w:trHeight w:val="367"/>
        </w:trPr>
        <w:tc>
          <w:tcPr>
            <w:tcW w:w="1134" w:type="dxa"/>
          </w:tcPr>
          <w:p w14:paraId="1BD08917" w14:textId="77777777" w:rsidR="00DD13BF" w:rsidRPr="00205FF2" w:rsidRDefault="00DD13BF" w:rsidP="00355A56">
            <w:pPr>
              <w:pStyle w:val="TableParagraph"/>
              <w:rPr>
                <w:sz w:val="20"/>
              </w:rPr>
            </w:pPr>
            <w:r w:rsidRPr="00205FF2">
              <w:rPr>
                <w:sz w:val="20"/>
              </w:rPr>
              <w:t>1</w:t>
            </w:r>
          </w:p>
        </w:tc>
        <w:tc>
          <w:tcPr>
            <w:tcW w:w="1415" w:type="dxa"/>
          </w:tcPr>
          <w:p w14:paraId="2A2807C1" w14:textId="77777777" w:rsidR="00DD13BF" w:rsidRPr="00205FF2" w:rsidRDefault="00DD13BF" w:rsidP="00355A56">
            <w:pPr>
              <w:pStyle w:val="TableParagraph"/>
              <w:rPr>
                <w:sz w:val="20"/>
              </w:rPr>
            </w:pPr>
            <w:r w:rsidRPr="00CF1AD6">
              <w:rPr>
                <w:color w:val="000000"/>
                <w:sz w:val="20"/>
              </w:rPr>
              <w:t>RSO1.2</w:t>
            </w:r>
          </w:p>
        </w:tc>
        <w:tc>
          <w:tcPr>
            <w:tcW w:w="707" w:type="dxa"/>
          </w:tcPr>
          <w:p w14:paraId="5CBE4D21"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0BA1D8E9" w14:textId="77777777" w:rsidR="00DD13BF" w:rsidRPr="00205FF2" w:rsidRDefault="00DD13BF" w:rsidP="00355A56">
            <w:pPr>
              <w:rPr>
                <w:sz w:val="20"/>
              </w:rPr>
            </w:pPr>
            <w:r>
              <w:rPr>
                <w:sz w:val="20"/>
              </w:rPr>
              <w:t xml:space="preserve">More developed </w:t>
            </w:r>
          </w:p>
        </w:tc>
        <w:tc>
          <w:tcPr>
            <w:tcW w:w="777" w:type="dxa"/>
          </w:tcPr>
          <w:p w14:paraId="5B0B2807" w14:textId="77777777" w:rsidR="00DD13BF" w:rsidRPr="00205FF2" w:rsidRDefault="00DD13BF" w:rsidP="00355A56">
            <w:pPr>
              <w:pStyle w:val="TableParagraph"/>
              <w:rPr>
                <w:sz w:val="20"/>
              </w:rPr>
            </w:pPr>
            <w:r w:rsidRPr="00205FF2">
              <w:rPr>
                <w:sz w:val="20"/>
              </w:rPr>
              <w:t>RCO13</w:t>
            </w:r>
          </w:p>
        </w:tc>
        <w:tc>
          <w:tcPr>
            <w:tcW w:w="4049" w:type="dxa"/>
          </w:tcPr>
          <w:p w14:paraId="560B7606" w14:textId="77777777" w:rsidR="00DD13BF" w:rsidRPr="00CF5052" w:rsidRDefault="00DD13BF" w:rsidP="00355A56">
            <w:pPr>
              <w:pStyle w:val="TableParagraph"/>
              <w:rPr>
                <w:sz w:val="20"/>
              </w:rPr>
            </w:pPr>
            <w:r w:rsidRPr="00CF5052">
              <w:rPr>
                <w:sz w:val="20"/>
              </w:rPr>
              <w:t>Value of digital services, products and processes developed for enterprises</w:t>
            </w:r>
          </w:p>
        </w:tc>
        <w:tc>
          <w:tcPr>
            <w:tcW w:w="1275" w:type="dxa"/>
          </w:tcPr>
          <w:p w14:paraId="10BBAA16" w14:textId="77777777" w:rsidR="00DD13BF" w:rsidRPr="00205FF2" w:rsidRDefault="00DD13BF" w:rsidP="00355A56">
            <w:pPr>
              <w:pStyle w:val="TableParagraph"/>
              <w:spacing w:line="259" w:lineRule="auto"/>
              <w:rPr>
                <w:sz w:val="20"/>
              </w:rPr>
            </w:pPr>
            <w:r w:rsidRPr="000B4440">
              <w:rPr>
                <w:color w:val="000000"/>
                <w:sz w:val="20"/>
              </w:rPr>
              <w:t>euro</w:t>
            </w:r>
          </w:p>
        </w:tc>
        <w:tc>
          <w:tcPr>
            <w:tcW w:w="1557" w:type="dxa"/>
          </w:tcPr>
          <w:p w14:paraId="0A78C2AC" w14:textId="77777777" w:rsidR="00DD13BF" w:rsidRPr="00205FF2" w:rsidRDefault="00DD13BF" w:rsidP="00355A56">
            <w:pPr>
              <w:pStyle w:val="TableParagraph"/>
              <w:spacing w:line="259" w:lineRule="auto"/>
              <w:rPr>
                <w:sz w:val="20"/>
              </w:rPr>
            </w:pPr>
            <w:r>
              <w:rPr>
                <w:sz w:val="20"/>
              </w:rPr>
              <w:t>0</w:t>
            </w:r>
          </w:p>
        </w:tc>
        <w:tc>
          <w:tcPr>
            <w:tcW w:w="1438" w:type="dxa"/>
          </w:tcPr>
          <w:p w14:paraId="55D0E832" w14:textId="77777777" w:rsidR="00DD13BF" w:rsidRPr="00205FF2" w:rsidRDefault="00DD13BF" w:rsidP="00355A56">
            <w:pPr>
              <w:pStyle w:val="TableParagraph"/>
              <w:rPr>
                <w:sz w:val="20"/>
              </w:rPr>
            </w:pPr>
            <w:r>
              <w:rPr>
                <w:sz w:val="20"/>
              </w:rPr>
              <w:t>9,172,478</w:t>
            </w:r>
          </w:p>
        </w:tc>
      </w:tr>
      <w:tr w:rsidR="00DD13BF" w:rsidRPr="00B8001C" w14:paraId="0AB3D919" w14:textId="77777777" w:rsidTr="00355A56">
        <w:trPr>
          <w:trHeight w:val="367"/>
        </w:trPr>
        <w:tc>
          <w:tcPr>
            <w:tcW w:w="1134" w:type="dxa"/>
          </w:tcPr>
          <w:p w14:paraId="2C5BC631" w14:textId="77777777" w:rsidR="00DD13BF" w:rsidRPr="00205FF2" w:rsidRDefault="00DD13BF" w:rsidP="00355A56">
            <w:pPr>
              <w:pStyle w:val="TableParagraph"/>
              <w:rPr>
                <w:sz w:val="20"/>
              </w:rPr>
            </w:pPr>
            <w:r w:rsidRPr="00205FF2">
              <w:rPr>
                <w:sz w:val="20"/>
              </w:rPr>
              <w:t>1</w:t>
            </w:r>
          </w:p>
        </w:tc>
        <w:tc>
          <w:tcPr>
            <w:tcW w:w="1415" w:type="dxa"/>
          </w:tcPr>
          <w:p w14:paraId="57CEFF92" w14:textId="77777777" w:rsidR="00DD13BF" w:rsidRPr="00205FF2" w:rsidRDefault="00DD13BF" w:rsidP="00355A56">
            <w:pPr>
              <w:pStyle w:val="TableParagraph"/>
              <w:rPr>
                <w:sz w:val="20"/>
              </w:rPr>
            </w:pPr>
            <w:r w:rsidRPr="00CF1AD6">
              <w:rPr>
                <w:color w:val="000000"/>
                <w:sz w:val="20"/>
              </w:rPr>
              <w:t>RSO1.2</w:t>
            </w:r>
          </w:p>
        </w:tc>
        <w:tc>
          <w:tcPr>
            <w:tcW w:w="707" w:type="dxa"/>
          </w:tcPr>
          <w:p w14:paraId="3B2F5F9A"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23736F70" w14:textId="77777777" w:rsidR="00DD13BF" w:rsidRPr="00205FF2" w:rsidRDefault="00DD13BF" w:rsidP="00355A56">
            <w:pPr>
              <w:rPr>
                <w:sz w:val="20"/>
              </w:rPr>
            </w:pPr>
            <w:r>
              <w:rPr>
                <w:sz w:val="20"/>
              </w:rPr>
              <w:t xml:space="preserve">Less developed </w:t>
            </w:r>
          </w:p>
        </w:tc>
        <w:tc>
          <w:tcPr>
            <w:tcW w:w="777" w:type="dxa"/>
          </w:tcPr>
          <w:p w14:paraId="1E86E306" w14:textId="77777777" w:rsidR="00DD13BF" w:rsidRPr="00205FF2" w:rsidRDefault="00DD13BF" w:rsidP="00355A56">
            <w:pPr>
              <w:pStyle w:val="TableParagraph"/>
              <w:rPr>
                <w:sz w:val="20"/>
              </w:rPr>
            </w:pPr>
            <w:r w:rsidRPr="00205FF2">
              <w:rPr>
                <w:sz w:val="20"/>
              </w:rPr>
              <w:t>RCO14</w:t>
            </w:r>
          </w:p>
        </w:tc>
        <w:tc>
          <w:tcPr>
            <w:tcW w:w="4049" w:type="dxa"/>
          </w:tcPr>
          <w:p w14:paraId="37C00DA9" w14:textId="77777777" w:rsidR="00DD13BF" w:rsidRPr="00493C4F" w:rsidRDefault="00DD13BF" w:rsidP="00355A56">
            <w:pPr>
              <w:pStyle w:val="TableParagraph"/>
              <w:rPr>
                <w:sz w:val="20"/>
              </w:rPr>
            </w:pPr>
            <w:r w:rsidRPr="00493C4F">
              <w:rPr>
                <w:sz w:val="20"/>
              </w:rPr>
              <w:t>Public institutions supported to develop digital services, products and processes</w:t>
            </w:r>
          </w:p>
        </w:tc>
        <w:tc>
          <w:tcPr>
            <w:tcW w:w="1275" w:type="dxa"/>
          </w:tcPr>
          <w:p w14:paraId="5DD8D3E0" w14:textId="77777777" w:rsidR="00DD13BF" w:rsidRPr="00205FF2" w:rsidRDefault="00DD13BF" w:rsidP="00355A56">
            <w:pPr>
              <w:pStyle w:val="TableParagraph"/>
              <w:rPr>
                <w:sz w:val="20"/>
              </w:rPr>
            </w:pPr>
            <w:r>
              <w:rPr>
                <w:color w:val="000000"/>
                <w:sz w:val="20"/>
              </w:rPr>
              <w:t>public institutions</w:t>
            </w:r>
          </w:p>
        </w:tc>
        <w:tc>
          <w:tcPr>
            <w:tcW w:w="1557" w:type="dxa"/>
          </w:tcPr>
          <w:p w14:paraId="62451D27" w14:textId="77777777" w:rsidR="00DD13BF" w:rsidRPr="00205FF2" w:rsidRDefault="00DD13BF" w:rsidP="00355A56">
            <w:pPr>
              <w:pStyle w:val="TableParagraph"/>
              <w:spacing w:line="259" w:lineRule="auto"/>
              <w:rPr>
                <w:sz w:val="20"/>
              </w:rPr>
            </w:pPr>
            <w:r>
              <w:rPr>
                <w:sz w:val="20"/>
              </w:rPr>
              <w:t>1</w:t>
            </w:r>
          </w:p>
        </w:tc>
        <w:tc>
          <w:tcPr>
            <w:tcW w:w="1438" w:type="dxa"/>
          </w:tcPr>
          <w:p w14:paraId="107C46C6" w14:textId="77777777" w:rsidR="00DD13BF" w:rsidRPr="00205FF2" w:rsidRDefault="00DD13BF" w:rsidP="00355A56">
            <w:pPr>
              <w:pStyle w:val="TableParagraph"/>
              <w:rPr>
                <w:sz w:val="20"/>
              </w:rPr>
            </w:pPr>
            <w:r>
              <w:rPr>
                <w:sz w:val="20"/>
              </w:rPr>
              <w:t>96</w:t>
            </w:r>
          </w:p>
        </w:tc>
      </w:tr>
      <w:tr w:rsidR="00DD13BF" w:rsidRPr="00C360FB" w14:paraId="20B2CFA8" w14:textId="77777777" w:rsidTr="00355A56">
        <w:trPr>
          <w:trHeight w:val="367"/>
        </w:trPr>
        <w:tc>
          <w:tcPr>
            <w:tcW w:w="1134" w:type="dxa"/>
          </w:tcPr>
          <w:p w14:paraId="309C4C48" w14:textId="77777777" w:rsidR="00DD13BF" w:rsidRPr="00205FF2" w:rsidRDefault="00DD13BF" w:rsidP="00355A56">
            <w:pPr>
              <w:pStyle w:val="TableParagraph"/>
              <w:rPr>
                <w:sz w:val="20"/>
              </w:rPr>
            </w:pPr>
            <w:r w:rsidRPr="00205FF2">
              <w:rPr>
                <w:sz w:val="20"/>
              </w:rPr>
              <w:t>1</w:t>
            </w:r>
          </w:p>
        </w:tc>
        <w:tc>
          <w:tcPr>
            <w:tcW w:w="1415" w:type="dxa"/>
          </w:tcPr>
          <w:p w14:paraId="77272278" w14:textId="77777777" w:rsidR="00DD13BF" w:rsidRPr="00205FF2" w:rsidRDefault="00DD13BF" w:rsidP="00355A56">
            <w:pPr>
              <w:pStyle w:val="TableParagraph"/>
              <w:rPr>
                <w:sz w:val="20"/>
              </w:rPr>
            </w:pPr>
            <w:r w:rsidRPr="00CF1AD6">
              <w:rPr>
                <w:color w:val="000000"/>
                <w:sz w:val="20"/>
              </w:rPr>
              <w:t>RSO1.2</w:t>
            </w:r>
          </w:p>
        </w:tc>
        <w:tc>
          <w:tcPr>
            <w:tcW w:w="707" w:type="dxa"/>
          </w:tcPr>
          <w:p w14:paraId="33625E44" w14:textId="77777777" w:rsidR="00DD13BF" w:rsidRPr="00205FF2" w:rsidRDefault="00DD13BF" w:rsidP="00355A56">
            <w:pPr>
              <w:pStyle w:val="TableParagraph"/>
              <w:rPr>
                <w:sz w:val="20"/>
              </w:rPr>
            </w:pPr>
            <w:r>
              <w:rPr>
                <w:sz w:val="20"/>
              </w:rPr>
              <w:t>E</w:t>
            </w:r>
            <w:r w:rsidRPr="00205FF2">
              <w:rPr>
                <w:sz w:val="20"/>
              </w:rPr>
              <w:t>R</w:t>
            </w:r>
            <w:r>
              <w:rPr>
                <w:sz w:val="20"/>
              </w:rPr>
              <w:t>DF</w:t>
            </w:r>
          </w:p>
        </w:tc>
        <w:tc>
          <w:tcPr>
            <w:tcW w:w="1699" w:type="dxa"/>
          </w:tcPr>
          <w:p w14:paraId="5FC7162A" w14:textId="77777777" w:rsidR="00DD13BF" w:rsidRPr="00205FF2" w:rsidRDefault="00DD13BF" w:rsidP="00355A56">
            <w:pPr>
              <w:rPr>
                <w:sz w:val="20"/>
              </w:rPr>
            </w:pPr>
            <w:r>
              <w:rPr>
                <w:sz w:val="20"/>
              </w:rPr>
              <w:t xml:space="preserve">More developed </w:t>
            </w:r>
          </w:p>
        </w:tc>
        <w:tc>
          <w:tcPr>
            <w:tcW w:w="777" w:type="dxa"/>
          </w:tcPr>
          <w:p w14:paraId="73AA43B0" w14:textId="77777777" w:rsidR="00DD13BF" w:rsidRPr="00205FF2" w:rsidRDefault="00DD13BF" w:rsidP="00355A56">
            <w:pPr>
              <w:pStyle w:val="TableParagraph"/>
              <w:rPr>
                <w:sz w:val="20"/>
              </w:rPr>
            </w:pPr>
            <w:r w:rsidRPr="00205FF2">
              <w:rPr>
                <w:sz w:val="20"/>
              </w:rPr>
              <w:t>RCO14</w:t>
            </w:r>
          </w:p>
        </w:tc>
        <w:tc>
          <w:tcPr>
            <w:tcW w:w="4049" w:type="dxa"/>
          </w:tcPr>
          <w:p w14:paraId="65F3AF7F" w14:textId="77777777" w:rsidR="00DD13BF" w:rsidRPr="00493C4F" w:rsidRDefault="00DD13BF" w:rsidP="00355A56">
            <w:pPr>
              <w:pStyle w:val="TableParagraph"/>
              <w:rPr>
                <w:sz w:val="20"/>
              </w:rPr>
            </w:pPr>
            <w:r w:rsidRPr="00493C4F">
              <w:rPr>
                <w:sz w:val="20"/>
              </w:rPr>
              <w:t>Public institutions supported to develop digital services, products and processes</w:t>
            </w:r>
          </w:p>
        </w:tc>
        <w:tc>
          <w:tcPr>
            <w:tcW w:w="1275" w:type="dxa"/>
          </w:tcPr>
          <w:p w14:paraId="50A07F04" w14:textId="77777777" w:rsidR="00DD13BF" w:rsidRPr="00205FF2" w:rsidRDefault="00DD13BF" w:rsidP="00355A56">
            <w:pPr>
              <w:pStyle w:val="TableParagraph"/>
              <w:rPr>
                <w:sz w:val="20"/>
              </w:rPr>
            </w:pPr>
            <w:r>
              <w:rPr>
                <w:color w:val="000000"/>
                <w:sz w:val="20"/>
              </w:rPr>
              <w:t>public institutions</w:t>
            </w:r>
          </w:p>
        </w:tc>
        <w:tc>
          <w:tcPr>
            <w:tcW w:w="1557" w:type="dxa"/>
          </w:tcPr>
          <w:p w14:paraId="38359B2A" w14:textId="77777777" w:rsidR="00DD13BF" w:rsidRPr="00205FF2" w:rsidRDefault="00DD13BF" w:rsidP="00355A56">
            <w:pPr>
              <w:pStyle w:val="TableParagraph"/>
              <w:spacing w:line="259" w:lineRule="auto"/>
              <w:rPr>
                <w:sz w:val="20"/>
              </w:rPr>
            </w:pPr>
            <w:r>
              <w:rPr>
                <w:sz w:val="20"/>
              </w:rPr>
              <w:t>4</w:t>
            </w:r>
          </w:p>
        </w:tc>
        <w:tc>
          <w:tcPr>
            <w:tcW w:w="1438" w:type="dxa"/>
          </w:tcPr>
          <w:p w14:paraId="7B8E6482" w14:textId="77777777" w:rsidR="00DD13BF" w:rsidRPr="00205FF2" w:rsidRDefault="00DD13BF" w:rsidP="00355A56">
            <w:pPr>
              <w:pStyle w:val="TableParagraph"/>
              <w:rPr>
                <w:sz w:val="20"/>
              </w:rPr>
            </w:pPr>
            <w:r>
              <w:rPr>
                <w:sz w:val="20"/>
              </w:rPr>
              <w:t>117</w:t>
            </w:r>
          </w:p>
        </w:tc>
      </w:tr>
    </w:tbl>
    <w:p w14:paraId="06D52066" w14:textId="77777777" w:rsidR="00DD13BF" w:rsidRDefault="00DD13BF" w:rsidP="00DD13BF">
      <w:pPr>
        <w:rPr>
          <w:sz w:val="24"/>
        </w:rPr>
      </w:pPr>
    </w:p>
    <w:p w14:paraId="39489DA8" w14:textId="77777777" w:rsidR="00DD13BF" w:rsidRDefault="00DD13BF" w:rsidP="00DD13BF">
      <w:r>
        <w:rPr>
          <w:spacing w:val="-6"/>
        </w:rPr>
        <w:t>Table</w:t>
      </w:r>
      <w:r w:rsidRPr="00281FA0">
        <w:rPr>
          <w:spacing w:val="-6"/>
        </w:rPr>
        <w:t xml:space="preserve"> </w:t>
      </w:r>
      <w:r>
        <w:rPr>
          <w:spacing w:val="-6"/>
        </w:rPr>
        <w:t>3:</w:t>
      </w:r>
      <w:r>
        <w:rPr>
          <w:spacing w:val="-7"/>
        </w:rPr>
        <w:t xml:space="preserve"> Result indicators </w:t>
      </w:r>
    </w:p>
    <w:p w14:paraId="31D4FD24" w14:textId="77777777" w:rsidR="00DD13BF" w:rsidRPr="00281FA0" w:rsidRDefault="00DD13BF" w:rsidP="00DD13BF">
      <w:pPr>
        <w:rPr>
          <w:sz w:val="21"/>
        </w:rPr>
      </w:pPr>
    </w:p>
    <w:tbl>
      <w:tblPr>
        <w:tblStyle w:val="NormalTable0"/>
        <w:tblW w:w="14033"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992"/>
        <w:gridCol w:w="851"/>
        <w:gridCol w:w="1417"/>
        <w:gridCol w:w="851"/>
        <w:gridCol w:w="2977"/>
        <w:gridCol w:w="971"/>
        <w:gridCol w:w="1013"/>
        <w:gridCol w:w="970"/>
        <w:gridCol w:w="849"/>
        <w:gridCol w:w="1158"/>
        <w:gridCol w:w="850"/>
      </w:tblGrid>
      <w:tr w:rsidR="00DD13BF" w:rsidRPr="00230DD7" w14:paraId="64D604CF" w14:textId="77777777" w:rsidTr="00355A56">
        <w:trPr>
          <w:trHeight w:val="353"/>
        </w:trPr>
        <w:tc>
          <w:tcPr>
            <w:tcW w:w="1134" w:type="dxa"/>
          </w:tcPr>
          <w:p w14:paraId="53001004" w14:textId="77777777" w:rsidR="00DD13BF" w:rsidRPr="00230DD7" w:rsidRDefault="00DD13BF" w:rsidP="00355A56">
            <w:pPr>
              <w:pStyle w:val="TableParagraph"/>
            </w:pPr>
            <w:r>
              <w:t>Priority</w:t>
            </w:r>
          </w:p>
        </w:tc>
        <w:tc>
          <w:tcPr>
            <w:tcW w:w="992" w:type="dxa"/>
          </w:tcPr>
          <w:p w14:paraId="44733D4C" w14:textId="77777777" w:rsidR="00DD13BF" w:rsidRPr="00230DD7" w:rsidRDefault="00DD13BF" w:rsidP="00355A56">
            <w:pPr>
              <w:pStyle w:val="TableParagraph"/>
            </w:pPr>
            <w:r w:rsidRPr="00230DD7">
              <w:t>S</w:t>
            </w:r>
            <w:r>
              <w:t>pecific objective</w:t>
            </w:r>
          </w:p>
        </w:tc>
        <w:tc>
          <w:tcPr>
            <w:tcW w:w="851" w:type="dxa"/>
          </w:tcPr>
          <w:p w14:paraId="14037044" w14:textId="77777777" w:rsidR="00DD13BF" w:rsidRPr="00230DD7" w:rsidRDefault="00DD13BF" w:rsidP="00355A56">
            <w:pPr>
              <w:pStyle w:val="TableParagraph"/>
            </w:pPr>
            <w:r>
              <w:t>Fund</w:t>
            </w:r>
          </w:p>
        </w:tc>
        <w:tc>
          <w:tcPr>
            <w:tcW w:w="1417" w:type="dxa"/>
          </w:tcPr>
          <w:p w14:paraId="62F6AA81" w14:textId="77777777" w:rsidR="00DD13BF" w:rsidRPr="00230DD7" w:rsidRDefault="00DD13BF" w:rsidP="00355A56">
            <w:pPr>
              <w:pStyle w:val="TableParagraph"/>
            </w:pPr>
            <w:r>
              <w:t>Category of region</w:t>
            </w:r>
          </w:p>
        </w:tc>
        <w:tc>
          <w:tcPr>
            <w:tcW w:w="851" w:type="dxa"/>
          </w:tcPr>
          <w:p w14:paraId="2BF813D8" w14:textId="77777777" w:rsidR="00DD13BF" w:rsidRPr="00230DD7" w:rsidRDefault="00DD13BF" w:rsidP="00355A56">
            <w:pPr>
              <w:pStyle w:val="TableParagraph"/>
            </w:pPr>
            <w:r w:rsidRPr="00230DD7">
              <w:t>ID</w:t>
            </w:r>
          </w:p>
        </w:tc>
        <w:tc>
          <w:tcPr>
            <w:tcW w:w="2977" w:type="dxa"/>
          </w:tcPr>
          <w:p w14:paraId="671E1E68" w14:textId="77777777" w:rsidR="00DD13BF" w:rsidRPr="00230DD7" w:rsidRDefault="00DD13BF" w:rsidP="00355A56">
            <w:pPr>
              <w:pStyle w:val="TableParagraph"/>
            </w:pPr>
            <w:r>
              <w:t>Indicator</w:t>
            </w:r>
          </w:p>
        </w:tc>
        <w:tc>
          <w:tcPr>
            <w:tcW w:w="971" w:type="dxa"/>
          </w:tcPr>
          <w:p w14:paraId="09816CED" w14:textId="77777777" w:rsidR="00DD13BF" w:rsidRPr="00230DD7" w:rsidRDefault="00DD13BF" w:rsidP="00355A56">
            <w:pPr>
              <w:pStyle w:val="TableParagraph"/>
            </w:pPr>
            <w:r>
              <w:t>Measurement unit</w:t>
            </w:r>
          </w:p>
        </w:tc>
        <w:tc>
          <w:tcPr>
            <w:tcW w:w="1013" w:type="dxa"/>
          </w:tcPr>
          <w:p w14:paraId="453C7E37" w14:textId="77777777" w:rsidR="00DD13BF" w:rsidRPr="00230DD7" w:rsidRDefault="00DD13BF" w:rsidP="00355A56">
            <w:pPr>
              <w:pStyle w:val="TableParagraph"/>
            </w:pPr>
            <w:r>
              <w:t>Baseline or target value</w:t>
            </w:r>
          </w:p>
        </w:tc>
        <w:tc>
          <w:tcPr>
            <w:tcW w:w="970" w:type="dxa"/>
          </w:tcPr>
          <w:p w14:paraId="3CC2CDB6" w14:textId="77777777" w:rsidR="00DD13BF" w:rsidRPr="00230DD7" w:rsidRDefault="00DD13BF" w:rsidP="00355A56">
            <w:pPr>
              <w:pStyle w:val="TableParagraph"/>
            </w:pPr>
            <w:r w:rsidRPr="00230DD7">
              <w:t>Referen</w:t>
            </w:r>
            <w:r>
              <w:t>ce year</w:t>
            </w:r>
          </w:p>
        </w:tc>
        <w:tc>
          <w:tcPr>
            <w:tcW w:w="849" w:type="dxa"/>
          </w:tcPr>
          <w:p w14:paraId="185A8EC5" w14:textId="77777777" w:rsidR="00DD13BF" w:rsidRPr="00230DD7" w:rsidRDefault="00DD13BF" w:rsidP="00355A56">
            <w:pPr>
              <w:pStyle w:val="TableParagraph"/>
            </w:pPr>
            <w:r>
              <w:t xml:space="preserve">Target </w:t>
            </w:r>
            <w:r w:rsidRPr="00230DD7">
              <w:t>(2029)</w:t>
            </w:r>
          </w:p>
        </w:tc>
        <w:tc>
          <w:tcPr>
            <w:tcW w:w="1158" w:type="dxa"/>
          </w:tcPr>
          <w:p w14:paraId="6523D243" w14:textId="77777777" w:rsidR="00DD13BF" w:rsidRPr="00230DD7" w:rsidRDefault="00DD13BF" w:rsidP="00355A56">
            <w:pPr>
              <w:pStyle w:val="TableParagraph"/>
            </w:pPr>
            <w:r>
              <w:t>Source of data</w:t>
            </w:r>
          </w:p>
        </w:tc>
        <w:tc>
          <w:tcPr>
            <w:tcW w:w="850" w:type="dxa"/>
          </w:tcPr>
          <w:p w14:paraId="2A46451C" w14:textId="77777777" w:rsidR="00DD13BF" w:rsidRPr="00230DD7" w:rsidRDefault="00DD13BF" w:rsidP="00355A56">
            <w:pPr>
              <w:pStyle w:val="TableParagraph"/>
            </w:pPr>
            <w:r>
              <w:t>Comments</w:t>
            </w:r>
          </w:p>
        </w:tc>
      </w:tr>
      <w:tr w:rsidR="00DD13BF" w14:paraId="145FA3E6" w14:textId="77777777" w:rsidTr="00355A56">
        <w:trPr>
          <w:trHeight w:val="353"/>
        </w:trPr>
        <w:tc>
          <w:tcPr>
            <w:tcW w:w="1134" w:type="dxa"/>
          </w:tcPr>
          <w:p w14:paraId="0183578A" w14:textId="77777777" w:rsidR="00DD13BF" w:rsidRDefault="00DD13BF" w:rsidP="00355A56">
            <w:pPr>
              <w:pStyle w:val="TableParagraph"/>
              <w:rPr>
                <w:rFonts w:cstheme="minorHAnsi"/>
                <w:sz w:val="20"/>
              </w:rPr>
            </w:pPr>
            <w:r>
              <w:rPr>
                <w:rFonts w:cstheme="minorHAnsi"/>
                <w:sz w:val="20"/>
              </w:rPr>
              <w:t>1</w:t>
            </w:r>
          </w:p>
        </w:tc>
        <w:tc>
          <w:tcPr>
            <w:tcW w:w="992" w:type="dxa"/>
          </w:tcPr>
          <w:p w14:paraId="26C1F08C" w14:textId="77777777" w:rsidR="00DD13BF" w:rsidRDefault="00DD13BF" w:rsidP="00355A56">
            <w:pPr>
              <w:pStyle w:val="TableParagraph"/>
              <w:rPr>
                <w:rFonts w:cstheme="minorHAnsi"/>
                <w:sz w:val="20"/>
              </w:rPr>
            </w:pPr>
            <w:r w:rsidRPr="00552A49">
              <w:rPr>
                <w:color w:val="000000"/>
                <w:sz w:val="20"/>
              </w:rPr>
              <w:t>RSO1.2</w:t>
            </w:r>
          </w:p>
        </w:tc>
        <w:tc>
          <w:tcPr>
            <w:tcW w:w="851" w:type="dxa"/>
          </w:tcPr>
          <w:p w14:paraId="7935F32A" w14:textId="77777777" w:rsidR="00DD13BF" w:rsidRPr="00A66B5B" w:rsidRDefault="00DD13BF" w:rsidP="00355A56">
            <w:pPr>
              <w:pStyle w:val="TableParagraph"/>
              <w:rPr>
                <w:rFonts w:cstheme="minorHAnsi"/>
                <w:sz w:val="20"/>
              </w:rPr>
            </w:pPr>
            <w:r>
              <w:rPr>
                <w:sz w:val="20"/>
              </w:rPr>
              <w:t>E</w:t>
            </w:r>
            <w:r w:rsidRPr="00205FF2">
              <w:rPr>
                <w:sz w:val="20"/>
              </w:rPr>
              <w:t>R</w:t>
            </w:r>
            <w:r>
              <w:rPr>
                <w:sz w:val="20"/>
              </w:rPr>
              <w:t>DF</w:t>
            </w:r>
          </w:p>
        </w:tc>
        <w:tc>
          <w:tcPr>
            <w:tcW w:w="1417" w:type="dxa"/>
          </w:tcPr>
          <w:p w14:paraId="25BE8277" w14:textId="77777777" w:rsidR="00DD13BF" w:rsidRPr="00A66B5B" w:rsidRDefault="00DD13BF" w:rsidP="00355A56">
            <w:pPr>
              <w:rPr>
                <w:rFonts w:cstheme="minorHAnsi"/>
                <w:sz w:val="20"/>
              </w:rPr>
            </w:pPr>
            <w:r>
              <w:rPr>
                <w:sz w:val="20"/>
              </w:rPr>
              <w:t xml:space="preserve">Less developed </w:t>
            </w:r>
          </w:p>
        </w:tc>
        <w:tc>
          <w:tcPr>
            <w:tcW w:w="851" w:type="dxa"/>
          </w:tcPr>
          <w:p w14:paraId="189FD631" w14:textId="77777777" w:rsidR="00DD13BF" w:rsidRDefault="00DD13BF" w:rsidP="00355A56">
            <w:pPr>
              <w:pStyle w:val="TableParagraph"/>
              <w:rPr>
                <w:rFonts w:cstheme="minorHAnsi"/>
                <w:noProof/>
                <w:sz w:val="20"/>
              </w:rPr>
            </w:pPr>
            <w:r>
              <w:rPr>
                <w:rFonts w:cstheme="minorHAnsi"/>
                <w:noProof/>
                <w:sz w:val="20"/>
              </w:rPr>
              <w:t>RCR02</w:t>
            </w:r>
          </w:p>
        </w:tc>
        <w:tc>
          <w:tcPr>
            <w:tcW w:w="2977" w:type="dxa"/>
          </w:tcPr>
          <w:p w14:paraId="46E8C9CD" w14:textId="77777777" w:rsidR="00DD13BF" w:rsidRPr="00493C4F" w:rsidRDefault="00DD13BF" w:rsidP="00355A56">
            <w:pPr>
              <w:pStyle w:val="TableParagraph"/>
              <w:rPr>
                <w:rFonts w:cstheme="minorHAnsi"/>
                <w:noProof/>
                <w:sz w:val="20"/>
              </w:rPr>
            </w:pPr>
            <w:r w:rsidRPr="00493C4F">
              <w:rPr>
                <w:sz w:val="20"/>
              </w:rPr>
              <w:t>Private investments matching public support (of which: grants, financial instruments)</w:t>
            </w:r>
          </w:p>
        </w:tc>
        <w:tc>
          <w:tcPr>
            <w:tcW w:w="971" w:type="dxa"/>
          </w:tcPr>
          <w:p w14:paraId="6B92998F" w14:textId="77777777" w:rsidR="00DD13BF" w:rsidRDefault="00DD13BF" w:rsidP="00355A56">
            <w:pPr>
              <w:pStyle w:val="TableParagraph"/>
              <w:rPr>
                <w:rFonts w:cstheme="minorHAnsi"/>
                <w:sz w:val="20"/>
                <w:lang w:bidi="sl-SI"/>
              </w:rPr>
            </w:pPr>
            <w:r>
              <w:rPr>
                <w:color w:val="000000"/>
                <w:sz w:val="20"/>
              </w:rPr>
              <w:t>euro</w:t>
            </w:r>
          </w:p>
        </w:tc>
        <w:tc>
          <w:tcPr>
            <w:tcW w:w="1013" w:type="dxa"/>
          </w:tcPr>
          <w:p w14:paraId="7219E5DA" w14:textId="77777777" w:rsidR="00DD13BF" w:rsidRDefault="00DD13BF" w:rsidP="00355A56">
            <w:pPr>
              <w:pStyle w:val="TableParagraph"/>
              <w:rPr>
                <w:sz w:val="20"/>
              </w:rPr>
            </w:pPr>
            <w:r>
              <w:rPr>
                <w:sz w:val="20"/>
              </w:rPr>
              <w:t>0</w:t>
            </w:r>
          </w:p>
        </w:tc>
        <w:tc>
          <w:tcPr>
            <w:tcW w:w="970" w:type="dxa"/>
          </w:tcPr>
          <w:p w14:paraId="6693D367" w14:textId="77777777" w:rsidR="00DD13BF" w:rsidRPr="00AC1416" w:rsidRDefault="00DD13BF" w:rsidP="00355A56">
            <w:pPr>
              <w:pStyle w:val="TableParagraph"/>
              <w:rPr>
                <w:sz w:val="20"/>
              </w:rPr>
            </w:pPr>
            <w:r w:rsidRPr="00AC1416">
              <w:rPr>
                <w:sz w:val="20"/>
              </w:rPr>
              <w:t>2022</w:t>
            </w:r>
          </w:p>
        </w:tc>
        <w:tc>
          <w:tcPr>
            <w:tcW w:w="849" w:type="dxa"/>
          </w:tcPr>
          <w:p w14:paraId="50221652" w14:textId="77777777" w:rsidR="00DD13BF" w:rsidRPr="00AC1416" w:rsidRDefault="00DD13BF" w:rsidP="00355A56">
            <w:pPr>
              <w:pStyle w:val="TableParagraph"/>
              <w:rPr>
                <w:rFonts w:cstheme="minorHAnsi"/>
                <w:sz w:val="20"/>
              </w:rPr>
            </w:pPr>
            <w:r>
              <w:rPr>
                <w:rFonts w:cstheme="minorHAnsi"/>
                <w:sz w:val="20"/>
              </w:rPr>
              <w:t>5,440,</w:t>
            </w:r>
            <w:r w:rsidRPr="00AC1416">
              <w:rPr>
                <w:rFonts w:cstheme="minorHAnsi"/>
                <w:sz w:val="20"/>
              </w:rPr>
              <w:t>000</w:t>
            </w:r>
          </w:p>
        </w:tc>
        <w:tc>
          <w:tcPr>
            <w:tcW w:w="1158" w:type="dxa"/>
          </w:tcPr>
          <w:p w14:paraId="46BF23F3" w14:textId="77777777" w:rsidR="00DD13BF" w:rsidRPr="00473493" w:rsidRDefault="00DD13BF" w:rsidP="00355A56">
            <w:pPr>
              <w:pStyle w:val="TableParagraph"/>
              <w:rPr>
                <w:sz w:val="20"/>
              </w:rPr>
            </w:pPr>
            <w:r>
              <w:rPr>
                <w:sz w:val="20"/>
              </w:rPr>
              <w:t>beneficiaries</w:t>
            </w:r>
            <w:r w:rsidRPr="00473493">
              <w:rPr>
                <w:sz w:val="20"/>
              </w:rPr>
              <w:t xml:space="preserve">, </w:t>
            </w:r>
            <w:r>
              <w:rPr>
                <w:sz w:val="20"/>
              </w:rPr>
              <w:t>MGRT</w:t>
            </w:r>
          </w:p>
        </w:tc>
        <w:tc>
          <w:tcPr>
            <w:tcW w:w="850" w:type="dxa"/>
          </w:tcPr>
          <w:p w14:paraId="2DD30B27" w14:textId="77777777" w:rsidR="00DD13BF" w:rsidRPr="00A66B5B" w:rsidRDefault="00DD13BF" w:rsidP="00355A56">
            <w:pPr>
              <w:pStyle w:val="TableParagraph"/>
              <w:rPr>
                <w:sz w:val="20"/>
              </w:rPr>
            </w:pPr>
          </w:p>
        </w:tc>
      </w:tr>
      <w:tr w:rsidR="00DD13BF" w14:paraId="167813DA" w14:textId="77777777" w:rsidTr="00355A56">
        <w:trPr>
          <w:trHeight w:val="353"/>
        </w:trPr>
        <w:tc>
          <w:tcPr>
            <w:tcW w:w="1134" w:type="dxa"/>
          </w:tcPr>
          <w:p w14:paraId="341F6208" w14:textId="77777777" w:rsidR="00DD13BF" w:rsidRDefault="00DD13BF" w:rsidP="00355A56">
            <w:pPr>
              <w:pStyle w:val="TableParagraph"/>
              <w:rPr>
                <w:rFonts w:cstheme="minorHAnsi"/>
                <w:sz w:val="20"/>
              </w:rPr>
            </w:pPr>
            <w:r>
              <w:rPr>
                <w:rFonts w:cstheme="minorHAnsi"/>
                <w:sz w:val="20"/>
              </w:rPr>
              <w:t>1</w:t>
            </w:r>
          </w:p>
        </w:tc>
        <w:tc>
          <w:tcPr>
            <w:tcW w:w="992" w:type="dxa"/>
          </w:tcPr>
          <w:p w14:paraId="33009E94" w14:textId="77777777" w:rsidR="00DD13BF" w:rsidRDefault="00DD13BF" w:rsidP="00355A56">
            <w:pPr>
              <w:pStyle w:val="TableParagraph"/>
              <w:rPr>
                <w:rFonts w:cstheme="minorHAnsi"/>
                <w:sz w:val="20"/>
              </w:rPr>
            </w:pPr>
            <w:r w:rsidRPr="00552A49">
              <w:rPr>
                <w:color w:val="000000"/>
                <w:sz w:val="20"/>
              </w:rPr>
              <w:t>RSO1.2</w:t>
            </w:r>
          </w:p>
        </w:tc>
        <w:tc>
          <w:tcPr>
            <w:tcW w:w="851" w:type="dxa"/>
          </w:tcPr>
          <w:p w14:paraId="39D06D28" w14:textId="77777777" w:rsidR="00DD13BF" w:rsidRPr="00A66B5B" w:rsidRDefault="00DD13BF" w:rsidP="00355A56">
            <w:pPr>
              <w:pStyle w:val="TableParagraph"/>
              <w:rPr>
                <w:rFonts w:cstheme="minorHAnsi"/>
                <w:sz w:val="20"/>
              </w:rPr>
            </w:pPr>
            <w:r>
              <w:rPr>
                <w:sz w:val="20"/>
              </w:rPr>
              <w:t>E</w:t>
            </w:r>
            <w:r w:rsidRPr="00205FF2">
              <w:rPr>
                <w:sz w:val="20"/>
              </w:rPr>
              <w:t>R</w:t>
            </w:r>
            <w:r>
              <w:rPr>
                <w:sz w:val="20"/>
              </w:rPr>
              <w:t>DF</w:t>
            </w:r>
          </w:p>
        </w:tc>
        <w:tc>
          <w:tcPr>
            <w:tcW w:w="1417" w:type="dxa"/>
          </w:tcPr>
          <w:p w14:paraId="0BF865C3" w14:textId="77777777" w:rsidR="00DD13BF" w:rsidRPr="00205FF2" w:rsidRDefault="00DD13BF" w:rsidP="00355A56">
            <w:pPr>
              <w:rPr>
                <w:sz w:val="20"/>
              </w:rPr>
            </w:pPr>
            <w:r>
              <w:rPr>
                <w:sz w:val="20"/>
              </w:rPr>
              <w:t xml:space="preserve">More developed </w:t>
            </w:r>
          </w:p>
          <w:p w14:paraId="53648F3A" w14:textId="77777777" w:rsidR="00DD13BF" w:rsidRPr="00A66B5B" w:rsidRDefault="00DD13BF" w:rsidP="00355A56">
            <w:pPr>
              <w:rPr>
                <w:rFonts w:cstheme="minorHAnsi"/>
                <w:sz w:val="20"/>
              </w:rPr>
            </w:pPr>
          </w:p>
        </w:tc>
        <w:tc>
          <w:tcPr>
            <w:tcW w:w="851" w:type="dxa"/>
          </w:tcPr>
          <w:p w14:paraId="53D79669" w14:textId="77777777" w:rsidR="00DD13BF" w:rsidRDefault="00DD13BF" w:rsidP="00355A56">
            <w:pPr>
              <w:pStyle w:val="TableParagraph"/>
              <w:rPr>
                <w:rFonts w:cstheme="minorHAnsi"/>
                <w:noProof/>
                <w:sz w:val="20"/>
              </w:rPr>
            </w:pPr>
            <w:r>
              <w:rPr>
                <w:rFonts w:cstheme="minorHAnsi"/>
                <w:noProof/>
                <w:sz w:val="20"/>
              </w:rPr>
              <w:t>RCR02</w:t>
            </w:r>
          </w:p>
        </w:tc>
        <w:tc>
          <w:tcPr>
            <w:tcW w:w="2977" w:type="dxa"/>
          </w:tcPr>
          <w:p w14:paraId="10B21B08" w14:textId="77777777" w:rsidR="00DD13BF" w:rsidRPr="00493C4F" w:rsidRDefault="00DD13BF" w:rsidP="00355A56">
            <w:pPr>
              <w:pStyle w:val="TableParagraph"/>
              <w:rPr>
                <w:rFonts w:cstheme="minorHAnsi"/>
                <w:noProof/>
                <w:sz w:val="20"/>
              </w:rPr>
            </w:pPr>
            <w:r w:rsidRPr="00493C4F">
              <w:rPr>
                <w:sz w:val="20"/>
              </w:rPr>
              <w:t>Private investments matching public support (of which: grants, financial instruments)</w:t>
            </w:r>
          </w:p>
        </w:tc>
        <w:tc>
          <w:tcPr>
            <w:tcW w:w="971" w:type="dxa"/>
          </w:tcPr>
          <w:p w14:paraId="1BC3B011" w14:textId="77777777" w:rsidR="00DD13BF" w:rsidRDefault="00DD13BF" w:rsidP="00355A56">
            <w:pPr>
              <w:pStyle w:val="TableParagraph"/>
              <w:rPr>
                <w:rFonts w:cstheme="minorHAnsi"/>
                <w:sz w:val="20"/>
                <w:lang w:bidi="sl-SI"/>
              </w:rPr>
            </w:pPr>
            <w:r>
              <w:rPr>
                <w:color w:val="000000"/>
                <w:sz w:val="20"/>
              </w:rPr>
              <w:t>euro</w:t>
            </w:r>
          </w:p>
        </w:tc>
        <w:tc>
          <w:tcPr>
            <w:tcW w:w="1013" w:type="dxa"/>
          </w:tcPr>
          <w:p w14:paraId="3D462B75" w14:textId="77777777" w:rsidR="00DD13BF" w:rsidRDefault="00DD13BF" w:rsidP="00355A56">
            <w:pPr>
              <w:pStyle w:val="TableParagraph"/>
              <w:rPr>
                <w:sz w:val="20"/>
              </w:rPr>
            </w:pPr>
            <w:r>
              <w:rPr>
                <w:sz w:val="20"/>
              </w:rPr>
              <w:t>0</w:t>
            </w:r>
          </w:p>
        </w:tc>
        <w:tc>
          <w:tcPr>
            <w:tcW w:w="970" w:type="dxa"/>
          </w:tcPr>
          <w:p w14:paraId="47FDF295" w14:textId="77777777" w:rsidR="00DD13BF" w:rsidRDefault="00DD13BF" w:rsidP="00355A56">
            <w:pPr>
              <w:pStyle w:val="TableParagraph"/>
              <w:rPr>
                <w:sz w:val="20"/>
              </w:rPr>
            </w:pPr>
            <w:r w:rsidRPr="00AC1416">
              <w:rPr>
                <w:sz w:val="20"/>
              </w:rPr>
              <w:t>2022</w:t>
            </w:r>
          </w:p>
        </w:tc>
        <w:tc>
          <w:tcPr>
            <w:tcW w:w="849" w:type="dxa"/>
          </w:tcPr>
          <w:p w14:paraId="7450181D" w14:textId="77777777" w:rsidR="00DD13BF" w:rsidRPr="00E769DB" w:rsidRDefault="00DD13BF" w:rsidP="00355A56">
            <w:pPr>
              <w:pStyle w:val="TableParagraph"/>
              <w:rPr>
                <w:rFonts w:cstheme="minorHAnsi"/>
                <w:sz w:val="18"/>
                <w:szCs w:val="18"/>
              </w:rPr>
            </w:pPr>
            <w:r>
              <w:rPr>
                <w:rFonts w:cstheme="minorHAnsi"/>
                <w:sz w:val="20"/>
              </w:rPr>
              <w:t>3,240,</w:t>
            </w:r>
            <w:r w:rsidRPr="00AC1416">
              <w:rPr>
                <w:rFonts w:cstheme="minorHAnsi"/>
                <w:sz w:val="20"/>
              </w:rPr>
              <w:t>000</w:t>
            </w:r>
          </w:p>
        </w:tc>
        <w:tc>
          <w:tcPr>
            <w:tcW w:w="1158" w:type="dxa"/>
          </w:tcPr>
          <w:p w14:paraId="3FBA1682" w14:textId="77777777" w:rsidR="00DD13BF" w:rsidRPr="00473493" w:rsidRDefault="00DD13BF" w:rsidP="00355A56">
            <w:pPr>
              <w:pStyle w:val="TableParagraph"/>
              <w:rPr>
                <w:sz w:val="20"/>
              </w:rPr>
            </w:pPr>
            <w:r>
              <w:rPr>
                <w:sz w:val="20"/>
              </w:rPr>
              <w:t>beneficiaries</w:t>
            </w:r>
            <w:r w:rsidRPr="00473493">
              <w:rPr>
                <w:sz w:val="20"/>
              </w:rPr>
              <w:t xml:space="preserve">, </w:t>
            </w:r>
            <w:r>
              <w:rPr>
                <w:sz w:val="20"/>
              </w:rPr>
              <w:t>MGRT</w:t>
            </w:r>
          </w:p>
        </w:tc>
        <w:tc>
          <w:tcPr>
            <w:tcW w:w="850" w:type="dxa"/>
          </w:tcPr>
          <w:p w14:paraId="60FE4A5F" w14:textId="77777777" w:rsidR="00DD13BF" w:rsidRPr="00A66B5B" w:rsidRDefault="00DD13BF" w:rsidP="00355A56">
            <w:pPr>
              <w:pStyle w:val="TableParagraph"/>
              <w:rPr>
                <w:sz w:val="20"/>
              </w:rPr>
            </w:pPr>
          </w:p>
        </w:tc>
      </w:tr>
      <w:tr w:rsidR="00DD13BF" w14:paraId="715FBB48" w14:textId="77777777" w:rsidTr="00355A56">
        <w:trPr>
          <w:trHeight w:val="353"/>
        </w:trPr>
        <w:tc>
          <w:tcPr>
            <w:tcW w:w="1134" w:type="dxa"/>
          </w:tcPr>
          <w:p w14:paraId="179E56E8" w14:textId="77777777" w:rsidR="00DD13BF" w:rsidRDefault="00DD13BF" w:rsidP="00355A56">
            <w:pPr>
              <w:pStyle w:val="TableParagraph"/>
              <w:rPr>
                <w:rFonts w:cstheme="minorHAnsi"/>
                <w:sz w:val="20"/>
              </w:rPr>
            </w:pPr>
            <w:r>
              <w:rPr>
                <w:sz w:val="20"/>
              </w:rPr>
              <w:t>1</w:t>
            </w:r>
          </w:p>
        </w:tc>
        <w:tc>
          <w:tcPr>
            <w:tcW w:w="992" w:type="dxa"/>
          </w:tcPr>
          <w:p w14:paraId="3078CB6A" w14:textId="77777777" w:rsidR="00DD13BF" w:rsidRDefault="00DD13BF" w:rsidP="00355A56">
            <w:pPr>
              <w:pStyle w:val="TableParagraph"/>
              <w:rPr>
                <w:rFonts w:cstheme="minorHAnsi"/>
                <w:sz w:val="20"/>
              </w:rPr>
            </w:pPr>
            <w:r w:rsidRPr="00552A49">
              <w:rPr>
                <w:color w:val="000000"/>
                <w:sz w:val="20"/>
              </w:rPr>
              <w:t>RSO1.2</w:t>
            </w:r>
          </w:p>
        </w:tc>
        <w:tc>
          <w:tcPr>
            <w:tcW w:w="851" w:type="dxa"/>
          </w:tcPr>
          <w:p w14:paraId="25205FC6" w14:textId="77777777" w:rsidR="00DD13BF" w:rsidRPr="00A66B5B" w:rsidRDefault="00DD13BF" w:rsidP="00355A56">
            <w:pPr>
              <w:pStyle w:val="TableParagraph"/>
              <w:rPr>
                <w:rFonts w:cstheme="minorHAnsi"/>
                <w:sz w:val="20"/>
              </w:rPr>
            </w:pPr>
            <w:r>
              <w:rPr>
                <w:sz w:val="20"/>
              </w:rPr>
              <w:t>E</w:t>
            </w:r>
            <w:r w:rsidRPr="00205FF2">
              <w:rPr>
                <w:sz w:val="20"/>
              </w:rPr>
              <w:t>R</w:t>
            </w:r>
            <w:r>
              <w:rPr>
                <w:sz w:val="20"/>
              </w:rPr>
              <w:t>DF</w:t>
            </w:r>
          </w:p>
        </w:tc>
        <w:tc>
          <w:tcPr>
            <w:tcW w:w="1417" w:type="dxa"/>
          </w:tcPr>
          <w:p w14:paraId="66070698" w14:textId="77777777" w:rsidR="00DD13BF" w:rsidRPr="00A66B5B" w:rsidRDefault="00DD13BF" w:rsidP="00355A56">
            <w:pPr>
              <w:rPr>
                <w:rFonts w:cstheme="minorHAnsi"/>
                <w:sz w:val="20"/>
              </w:rPr>
            </w:pPr>
            <w:r>
              <w:rPr>
                <w:sz w:val="20"/>
              </w:rPr>
              <w:t xml:space="preserve">Less developed </w:t>
            </w:r>
            <w:r w:rsidRPr="00B8001C">
              <w:rPr>
                <w:sz w:val="20"/>
              </w:rPr>
              <w:t xml:space="preserve"> </w:t>
            </w:r>
          </w:p>
        </w:tc>
        <w:tc>
          <w:tcPr>
            <w:tcW w:w="851" w:type="dxa"/>
          </w:tcPr>
          <w:p w14:paraId="3694E2FD" w14:textId="77777777" w:rsidR="00DD13BF" w:rsidRDefault="00DD13BF" w:rsidP="00355A56">
            <w:pPr>
              <w:pStyle w:val="TableParagraph"/>
              <w:rPr>
                <w:rFonts w:cstheme="minorHAnsi"/>
                <w:noProof/>
                <w:sz w:val="20"/>
              </w:rPr>
            </w:pPr>
            <w:r w:rsidRPr="00B8001C">
              <w:rPr>
                <w:sz w:val="20"/>
              </w:rPr>
              <w:t>RCR11</w:t>
            </w:r>
          </w:p>
        </w:tc>
        <w:tc>
          <w:tcPr>
            <w:tcW w:w="2977" w:type="dxa"/>
          </w:tcPr>
          <w:p w14:paraId="08D4E1B9" w14:textId="77777777" w:rsidR="00DD13BF" w:rsidRPr="001A4077" w:rsidRDefault="00DD13BF" w:rsidP="00355A56">
            <w:pPr>
              <w:pStyle w:val="TableParagraph"/>
              <w:rPr>
                <w:rFonts w:cstheme="minorHAnsi"/>
                <w:noProof/>
                <w:sz w:val="20"/>
              </w:rPr>
            </w:pPr>
            <w:r w:rsidRPr="001A4077">
              <w:rPr>
                <w:sz w:val="20"/>
              </w:rPr>
              <w:t>Users of new and upgraded public digital services, products and processes</w:t>
            </w:r>
          </w:p>
        </w:tc>
        <w:tc>
          <w:tcPr>
            <w:tcW w:w="971" w:type="dxa"/>
          </w:tcPr>
          <w:p w14:paraId="69E43991" w14:textId="77777777" w:rsidR="00DD13BF" w:rsidRDefault="00DD13BF" w:rsidP="00355A56">
            <w:pPr>
              <w:pStyle w:val="TableParagraph"/>
              <w:rPr>
                <w:rFonts w:cstheme="minorHAnsi"/>
                <w:sz w:val="20"/>
                <w:lang w:bidi="sl-SI"/>
              </w:rPr>
            </w:pPr>
            <w:r>
              <w:rPr>
                <w:color w:val="000000"/>
                <w:sz w:val="20"/>
              </w:rPr>
              <w:t>users/year</w:t>
            </w:r>
          </w:p>
        </w:tc>
        <w:tc>
          <w:tcPr>
            <w:tcW w:w="1013" w:type="dxa"/>
          </w:tcPr>
          <w:p w14:paraId="738154D3" w14:textId="77777777" w:rsidR="00DD13BF" w:rsidRPr="00A66B5B" w:rsidRDefault="00DD13BF" w:rsidP="00355A56">
            <w:pPr>
              <w:pStyle w:val="TableParagraph"/>
              <w:rPr>
                <w:sz w:val="20"/>
              </w:rPr>
            </w:pPr>
            <w:r>
              <w:rPr>
                <w:sz w:val="20"/>
              </w:rPr>
              <w:t>0</w:t>
            </w:r>
          </w:p>
        </w:tc>
        <w:tc>
          <w:tcPr>
            <w:tcW w:w="970" w:type="dxa"/>
          </w:tcPr>
          <w:p w14:paraId="43A02B19" w14:textId="77777777" w:rsidR="00DD13BF" w:rsidRPr="00A66B5B" w:rsidRDefault="00DD13BF" w:rsidP="00355A56">
            <w:pPr>
              <w:pStyle w:val="TableParagraph"/>
              <w:rPr>
                <w:sz w:val="20"/>
              </w:rPr>
            </w:pPr>
            <w:r>
              <w:rPr>
                <w:sz w:val="20"/>
              </w:rPr>
              <w:t>2022</w:t>
            </w:r>
          </w:p>
        </w:tc>
        <w:tc>
          <w:tcPr>
            <w:tcW w:w="849" w:type="dxa"/>
          </w:tcPr>
          <w:p w14:paraId="72A22F14" w14:textId="77777777" w:rsidR="00DD13BF" w:rsidRPr="00F11D69" w:rsidRDefault="00DD13BF" w:rsidP="00355A56">
            <w:pPr>
              <w:pStyle w:val="TableParagraph"/>
              <w:rPr>
                <w:sz w:val="20"/>
              </w:rPr>
            </w:pPr>
            <w:r>
              <w:rPr>
                <w:sz w:val="20"/>
              </w:rPr>
              <w:t>591,463</w:t>
            </w:r>
          </w:p>
        </w:tc>
        <w:tc>
          <w:tcPr>
            <w:tcW w:w="1158" w:type="dxa"/>
          </w:tcPr>
          <w:p w14:paraId="52F4F9AA" w14:textId="77777777" w:rsidR="00DD13BF" w:rsidRPr="00A66B5B" w:rsidRDefault="00DD13BF" w:rsidP="00355A56">
            <w:pPr>
              <w:pStyle w:val="TableParagraph"/>
              <w:rPr>
                <w:sz w:val="20"/>
              </w:rPr>
            </w:pPr>
            <w:r>
              <w:rPr>
                <w:sz w:val="20"/>
              </w:rPr>
              <w:t>beneficiaries</w:t>
            </w:r>
            <w:r w:rsidRPr="00473493">
              <w:rPr>
                <w:sz w:val="20"/>
              </w:rPr>
              <w:t xml:space="preserve">, </w:t>
            </w:r>
            <w:r>
              <w:rPr>
                <w:sz w:val="20"/>
              </w:rPr>
              <w:t>ministry</w:t>
            </w:r>
            <w:r w:rsidRPr="004E3674">
              <w:rPr>
                <w:sz w:val="20"/>
              </w:rPr>
              <w:tab/>
            </w:r>
          </w:p>
        </w:tc>
        <w:tc>
          <w:tcPr>
            <w:tcW w:w="850" w:type="dxa"/>
          </w:tcPr>
          <w:p w14:paraId="1B1AE213" w14:textId="77777777" w:rsidR="00DD13BF" w:rsidRPr="001A4077" w:rsidRDefault="00DD13BF" w:rsidP="00355A56">
            <w:pPr>
              <w:pStyle w:val="TableParagraph"/>
              <w:rPr>
                <w:sz w:val="20"/>
                <w:highlight w:val="yellow"/>
              </w:rPr>
            </w:pPr>
            <w:r w:rsidRPr="00CF081E">
              <w:rPr>
                <w:sz w:val="20"/>
              </w:rPr>
              <w:t xml:space="preserve">Number of digital data downloads and service </w:t>
            </w:r>
            <w:r w:rsidRPr="00CF081E">
              <w:rPr>
                <w:sz w:val="20"/>
              </w:rPr>
              <w:lastRenderedPageBreak/>
              <w:t>use</w:t>
            </w:r>
          </w:p>
        </w:tc>
      </w:tr>
      <w:tr w:rsidR="00DD13BF" w14:paraId="3114A223" w14:textId="77777777" w:rsidTr="00355A56">
        <w:trPr>
          <w:trHeight w:val="353"/>
        </w:trPr>
        <w:tc>
          <w:tcPr>
            <w:tcW w:w="1134" w:type="dxa"/>
          </w:tcPr>
          <w:p w14:paraId="00A0A4D5" w14:textId="77777777" w:rsidR="00DD13BF" w:rsidRDefault="00DD13BF" w:rsidP="00355A56">
            <w:pPr>
              <w:pStyle w:val="TableParagraph"/>
              <w:rPr>
                <w:sz w:val="20"/>
              </w:rPr>
            </w:pPr>
            <w:r>
              <w:rPr>
                <w:sz w:val="20"/>
              </w:rPr>
              <w:lastRenderedPageBreak/>
              <w:t>1</w:t>
            </w:r>
          </w:p>
        </w:tc>
        <w:tc>
          <w:tcPr>
            <w:tcW w:w="992" w:type="dxa"/>
          </w:tcPr>
          <w:p w14:paraId="2DE0339B" w14:textId="77777777" w:rsidR="00DD13BF" w:rsidRDefault="00DD13BF" w:rsidP="00355A56">
            <w:pPr>
              <w:pStyle w:val="TableParagraph"/>
              <w:rPr>
                <w:sz w:val="20"/>
              </w:rPr>
            </w:pPr>
            <w:r w:rsidRPr="00552A49">
              <w:rPr>
                <w:color w:val="000000"/>
                <w:sz w:val="20"/>
              </w:rPr>
              <w:t>RSO1.2</w:t>
            </w:r>
          </w:p>
        </w:tc>
        <w:tc>
          <w:tcPr>
            <w:tcW w:w="851" w:type="dxa"/>
          </w:tcPr>
          <w:p w14:paraId="0D288BF1" w14:textId="77777777" w:rsidR="00DD13BF" w:rsidRDefault="00DD13BF" w:rsidP="00355A56">
            <w:pPr>
              <w:pStyle w:val="TableParagraph"/>
              <w:rPr>
                <w:rFonts w:cstheme="minorHAnsi"/>
                <w:sz w:val="20"/>
              </w:rPr>
            </w:pPr>
            <w:r>
              <w:rPr>
                <w:sz w:val="20"/>
              </w:rPr>
              <w:t>E</w:t>
            </w:r>
            <w:r w:rsidRPr="00205FF2">
              <w:rPr>
                <w:sz w:val="20"/>
              </w:rPr>
              <w:t>R</w:t>
            </w:r>
            <w:r>
              <w:rPr>
                <w:sz w:val="20"/>
              </w:rPr>
              <w:t>DF</w:t>
            </w:r>
          </w:p>
        </w:tc>
        <w:tc>
          <w:tcPr>
            <w:tcW w:w="1417" w:type="dxa"/>
          </w:tcPr>
          <w:p w14:paraId="678D583B" w14:textId="77777777" w:rsidR="00DD13BF" w:rsidRPr="00205FF2" w:rsidRDefault="00DD13BF" w:rsidP="00355A56">
            <w:pPr>
              <w:rPr>
                <w:sz w:val="20"/>
              </w:rPr>
            </w:pPr>
            <w:r>
              <w:rPr>
                <w:sz w:val="20"/>
              </w:rPr>
              <w:t xml:space="preserve">More developed </w:t>
            </w:r>
          </w:p>
          <w:p w14:paraId="347EB00E" w14:textId="77777777" w:rsidR="00DD13BF" w:rsidRPr="00B8001C" w:rsidRDefault="00DD13BF" w:rsidP="00355A56">
            <w:pPr>
              <w:rPr>
                <w:sz w:val="20"/>
              </w:rPr>
            </w:pPr>
          </w:p>
        </w:tc>
        <w:tc>
          <w:tcPr>
            <w:tcW w:w="851" w:type="dxa"/>
          </w:tcPr>
          <w:p w14:paraId="7B34D85B" w14:textId="77777777" w:rsidR="00DD13BF" w:rsidRPr="00B8001C" w:rsidRDefault="00DD13BF" w:rsidP="00355A56">
            <w:pPr>
              <w:pStyle w:val="TableParagraph"/>
              <w:rPr>
                <w:sz w:val="20"/>
              </w:rPr>
            </w:pPr>
            <w:r w:rsidRPr="00B8001C">
              <w:rPr>
                <w:sz w:val="20"/>
              </w:rPr>
              <w:t>RCR11</w:t>
            </w:r>
          </w:p>
        </w:tc>
        <w:tc>
          <w:tcPr>
            <w:tcW w:w="2977" w:type="dxa"/>
          </w:tcPr>
          <w:p w14:paraId="355D2201" w14:textId="77777777" w:rsidR="00DD13BF" w:rsidRPr="001A4077" w:rsidRDefault="00DD13BF" w:rsidP="00355A56">
            <w:pPr>
              <w:pStyle w:val="TableParagraph"/>
              <w:rPr>
                <w:sz w:val="20"/>
              </w:rPr>
            </w:pPr>
            <w:r w:rsidRPr="001A4077">
              <w:rPr>
                <w:sz w:val="20"/>
              </w:rPr>
              <w:t>Users of new and upgraded public digital services, products and processes</w:t>
            </w:r>
          </w:p>
        </w:tc>
        <w:tc>
          <w:tcPr>
            <w:tcW w:w="971" w:type="dxa"/>
          </w:tcPr>
          <w:p w14:paraId="50EE5F72" w14:textId="77777777" w:rsidR="00DD13BF" w:rsidRDefault="00DD13BF" w:rsidP="00355A56">
            <w:pPr>
              <w:pStyle w:val="TableParagraph"/>
              <w:rPr>
                <w:sz w:val="20"/>
              </w:rPr>
            </w:pPr>
            <w:r>
              <w:rPr>
                <w:color w:val="000000"/>
                <w:sz w:val="20"/>
              </w:rPr>
              <w:t>users/year</w:t>
            </w:r>
          </w:p>
        </w:tc>
        <w:tc>
          <w:tcPr>
            <w:tcW w:w="1013" w:type="dxa"/>
          </w:tcPr>
          <w:p w14:paraId="63D08582" w14:textId="77777777" w:rsidR="00DD13BF" w:rsidRDefault="00DD13BF" w:rsidP="00355A56">
            <w:pPr>
              <w:pStyle w:val="TableParagraph"/>
              <w:rPr>
                <w:sz w:val="20"/>
              </w:rPr>
            </w:pPr>
            <w:r>
              <w:rPr>
                <w:sz w:val="20"/>
              </w:rPr>
              <w:t>0</w:t>
            </w:r>
          </w:p>
        </w:tc>
        <w:tc>
          <w:tcPr>
            <w:tcW w:w="970" w:type="dxa"/>
          </w:tcPr>
          <w:p w14:paraId="519EB80C" w14:textId="77777777" w:rsidR="00DD13BF" w:rsidRDefault="00DD13BF" w:rsidP="00355A56">
            <w:pPr>
              <w:pStyle w:val="TableParagraph"/>
              <w:rPr>
                <w:sz w:val="20"/>
              </w:rPr>
            </w:pPr>
            <w:r>
              <w:rPr>
                <w:sz w:val="20"/>
              </w:rPr>
              <w:t>2022</w:t>
            </w:r>
          </w:p>
        </w:tc>
        <w:tc>
          <w:tcPr>
            <w:tcW w:w="849" w:type="dxa"/>
          </w:tcPr>
          <w:p w14:paraId="51078CCF" w14:textId="77777777" w:rsidR="00DD13BF" w:rsidRPr="00F11D69" w:rsidRDefault="00DD13BF" w:rsidP="00355A56">
            <w:pPr>
              <w:pStyle w:val="TableParagraph"/>
              <w:rPr>
                <w:sz w:val="20"/>
              </w:rPr>
            </w:pPr>
            <w:r>
              <w:rPr>
                <w:sz w:val="20"/>
              </w:rPr>
              <w:t>779,257</w:t>
            </w:r>
          </w:p>
        </w:tc>
        <w:tc>
          <w:tcPr>
            <w:tcW w:w="1158" w:type="dxa"/>
          </w:tcPr>
          <w:p w14:paraId="29B1C2FB" w14:textId="77777777" w:rsidR="00DD13BF" w:rsidRPr="004E3674" w:rsidRDefault="00DD13BF" w:rsidP="00355A56">
            <w:pPr>
              <w:pStyle w:val="TableParagraph"/>
              <w:rPr>
                <w:sz w:val="20"/>
              </w:rPr>
            </w:pPr>
            <w:r>
              <w:rPr>
                <w:sz w:val="20"/>
              </w:rPr>
              <w:t>beneficiaries</w:t>
            </w:r>
            <w:r w:rsidRPr="00473493">
              <w:rPr>
                <w:sz w:val="20"/>
              </w:rPr>
              <w:t xml:space="preserve">, </w:t>
            </w:r>
            <w:r>
              <w:rPr>
                <w:sz w:val="20"/>
              </w:rPr>
              <w:t>ministry</w:t>
            </w:r>
            <w:r w:rsidRPr="004E3674">
              <w:rPr>
                <w:sz w:val="20"/>
              </w:rPr>
              <w:tab/>
            </w:r>
            <w:r w:rsidRPr="004E3674">
              <w:rPr>
                <w:sz w:val="20"/>
              </w:rPr>
              <w:tab/>
            </w:r>
          </w:p>
        </w:tc>
        <w:tc>
          <w:tcPr>
            <w:tcW w:w="850" w:type="dxa"/>
          </w:tcPr>
          <w:p w14:paraId="2391F299" w14:textId="77777777" w:rsidR="00DD13BF" w:rsidRPr="001A4077" w:rsidRDefault="00DD13BF" w:rsidP="00355A56">
            <w:pPr>
              <w:pStyle w:val="TableParagraph"/>
              <w:rPr>
                <w:sz w:val="20"/>
                <w:highlight w:val="yellow"/>
              </w:rPr>
            </w:pPr>
            <w:r w:rsidRPr="00CF081E">
              <w:rPr>
                <w:sz w:val="20"/>
              </w:rPr>
              <w:t>Number of digital data downloads and service use</w:t>
            </w:r>
          </w:p>
        </w:tc>
      </w:tr>
      <w:tr w:rsidR="00DD13BF" w14:paraId="4FE34852" w14:textId="77777777" w:rsidTr="00355A56">
        <w:trPr>
          <w:trHeight w:val="353"/>
        </w:trPr>
        <w:tc>
          <w:tcPr>
            <w:tcW w:w="1134" w:type="dxa"/>
          </w:tcPr>
          <w:p w14:paraId="7F9CE849" w14:textId="77777777" w:rsidR="00DD13BF" w:rsidRDefault="00DD13BF" w:rsidP="00355A56">
            <w:pPr>
              <w:pStyle w:val="TableParagraph"/>
              <w:rPr>
                <w:sz w:val="20"/>
              </w:rPr>
            </w:pPr>
            <w:r>
              <w:rPr>
                <w:sz w:val="20"/>
              </w:rPr>
              <w:t>1</w:t>
            </w:r>
          </w:p>
        </w:tc>
        <w:tc>
          <w:tcPr>
            <w:tcW w:w="992" w:type="dxa"/>
          </w:tcPr>
          <w:p w14:paraId="418834FA" w14:textId="77777777" w:rsidR="00DD13BF" w:rsidRDefault="00DD13BF" w:rsidP="00355A56">
            <w:pPr>
              <w:pStyle w:val="TableParagraph"/>
              <w:rPr>
                <w:sz w:val="20"/>
              </w:rPr>
            </w:pPr>
            <w:r w:rsidRPr="00552A49">
              <w:rPr>
                <w:color w:val="000000"/>
                <w:sz w:val="20"/>
              </w:rPr>
              <w:t>RSO1.2</w:t>
            </w:r>
          </w:p>
        </w:tc>
        <w:tc>
          <w:tcPr>
            <w:tcW w:w="851" w:type="dxa"/>
          </w:tcPr>
          <w:p w14:paraId="2165296C" w14:textId="77777777" w:rsidR="00DD13BF" w:rsidRPr="00A13357" w:rsidRDefault="00DD13BF" w:rsidP="00355A56">
            <w:pPr>
              <w:pStyle w:val="TableParagraph"/>
              <w:rPr>
                <w:sz w:val="20"/>
              </w:rPr>
            </w:pPr>
            <w:r>
              <w:rPr>
                <w:sz w:val="20"/>
              </w:rPr>
              <w:t>E</w:t>
            </w:r>
            <w:r w:rsidRPr="00205FF2">
              <w:rPr>
                <w:sz w:val="20"/>
              </w:rPr>
              <w:t>R</w:t>
            </w:r>
            <w:r>
              <w:rPr>
                <w:sz w:val="20"/>
              </w:rPr>
              <w:t>DF</w:t>
            </w:r>
          </w:p>
        </w:tc>
        <w:tc>
          <w:tcPr>
            <w:tcW w:w="1417" w:type="dxa"/>
          </w:tcPr>
          <w:p w14:paraId="40F2DC77" w14:textId="77777777" w:rsidR="00DD13BF" w:rsidRPr="00A13357" w:rsidRDefault="00DD13BF" w:rsidP="00355A56">
            <w:pPr>
              <w:rPr>
                <w:sz w:val="20"/>
              </w:rPr>
            </w:pPr>
            <w:r>
              <w:rPr>
                <w:sz w:val="20"/>
              </w:rPr>
              <w:t xml:space="preserve">Less developed </w:t>
            </w:r>
          </w:p>
        </w:tc>
        <w:tc>
          <w:tcPr>
            <w:tcW w:w="851" w:type="dxa"/>
          </w:tcPr>
          <w:p w14:paraId="40009EF7" w14:textId="77777777" w:rsidR="00DD13BF" w:rsidRPr="00A13357" w:rsidRDefault="00DD13BF" w:rsidP="00355A56">
            <w:pPr>
              <w:pStyle w:val="TableParagraph"/>
              <w:rPr>
                <w:sz w:val="20"/>
              </w:rPr>
            </w:pPr>
            <w:r w:rsidRPr="00A13357">
              <w:rPr>
                <w:sz w:val="20"/>
              </w:rPr>
              <w:t>RCR</w:t>
            </w:r>
            <w:r>
              <w:rPr>
                <w:sz w:val="20"/>
              </w:rPr>
              <w:t>12</w:t>
            </w:r>
          </w:p>
        </w:tc>
        <w:tc>
          <w:tcPr>
            <w:tcW w:w="2977" w:type="dxa"/>
          </w:tcPr>
          <w:p w14:paraId="72DF4C7C" w14:textId="77777777" w:rsidR="00DD13BF" w:rsidRPr="001A4077" w:rsidRDefault="00DD13BF" w:rsidP="00355A56">
            <w:pPr>
              <w:pStyle w:val="TableParagraph"/>
              <w:rPr>
                <w:sz w:val="20"/>
              </w:rPr>
            </w:pPr>
            <w:r w:rsidRPr="001A4077">
              <w:rPr>
                <w:sz w:val="20"/>
              </w:rPr>
              <w:t>Users of new and upgraded digital services, products and processes developed by enterprises</w:t>
            </w:r>
          </w:p>
        </w:tc>
        <w:tc>
          <w:tcPr>
            <w:tcW w:w="971" w:type="dxa"/>
          </w:tcPr>
          <w:p w14:paraId="7B861A51" w14:textId="77777777" w:rsidR="00DD13BF" w:rsidRDefault="00DD13BF" w:rsidP="00355A56">
            <w:pPr>
              <w:pStyle w:val="TableParagraph"/>
              <w:rPr>
                <w:sz w:val="20"/>
              </w:rPr>
            </w:pPr>
            <w:r>
              <w:rPr>
                <w:color w:val="000000"/>
                <w:sz w:val="20"/>
              </w:rPr>
              <w:t>users/year</w:t>
            </w:r>
          </w:p>
        </w:tc>
        <w:tc>
          <w:tcPr>
            <w:tcW w:w="1013" w:type="dxa"/>
          </w:tcPr>
          <w:p w14:paraId="62AC9D92" w14:textId="77777777" w:rsidR="00DD13BF" w:rsidRDefault="00DD13BF" w:rsidP="00355A56">
            <w:pPr>
              <w:pStyle w:val="TableParagraph"/>
              <w:rPr>
                <w:sz w:val="20"/>
              </w:rPr>
            </w:pPr>
            <w:r>
              <w:rPr>
                <w:sz w:val="20"/>
              </w:rPr>
              <w:t>0</w:t>
            </w:r>
          </w:p>
        </w:tc>
        <w:tc>
          <w:tcPr>
            <w:tcW w:w="970" w:type="dxa"/>
          </w:tcPr>
          <w:p w14:paraId="1325C588" w14:textId="77777777" w:rsidR="00DD13BF" w:rsidRDefault="00DD13BF" w:rsidP="00355A56">
            <w:pPr>
              <w:pStyle w:val="TableParagraph"/>
              <w:rPr>
                <w:sz w:val="20"/>
              </w:rPr>
            </w:pPr>
            <w:r w:rsidRPr="00AC1416">
              <w:rPr>
                <w:sz w:val="20"/>
              </w:rPr>
              <w:t>2022</w:t>
            </w:r>
          </w:p>
        </w:tc>
        <w:tc>
          <w:tcPr>
            <w:tcW w:w="849" w:type="dxa"/>
          </w:tcPr>
          <w:p w14:paraId="2B179D91" w14:textId="77777777" w:rsidR="00DD13BF" w:rsidRPr="001A4077" w:rsidRDefault="00DD13BF" w:rsidP="00355A56">
            <w:pPr>
              <w:pStyle w:val="TableParagraph"/>
              <w:rPr>
                <w:rFonts w:cstheme="minorHAnsi"/>
                <w:sz w:val="20"/>
              </w:rPr>
            </w:pPr>
            <w:r w:rsidRPr="001A4077">
              <w:rPr>
                <w:rFonts w:cstheme="minorHAnsi"/>
                <w:sz w:val="20"/>
              </w:rPr>
              <w:t>262,000</w:t>
            </w:r>
          </w:p>
        </w:tc>
        <w:tc>
          <w:tcPr>
            <w:tcW w:w="1158" w:type="dxa"/>
          </w:tcPr>
          <w:p w14:paraId="44048F21" w14:textId="77777777" w:rsidR="00DD13BF" w:rsidRDefault="00DD13BF" w:rsidP="00355A56">
            <w:pPr>
              <w:pStyle w:val="TableParagraph"/>
              <w:rPr>
                <w:sz w:val="20"/>
              </w:rPr>
            </w:pPr>
            <w:r>
              <w:rPr>
                <w:sz w:val="20"/>
              </w:rPr>
              <w:t>public institutions, enterprises</w:t>
            </w:r>
          </w:p>
          <w:p w14:paraId="7DF3BB74" w14:textId="77777777" w:rsidR="00DD13BF" w:rsidRPr="00473493" w:rsidRDefault="00DD13BF" w:rsidP="00355A56">
            <w:pPr>
              <w:pStyle w:val="TableParagraph"/>
              <w:rPr>
                <w:sz w:val="20"/>
              </w:rPr>
            </w:pPr>
          </w:p>
        </w:tc>
        <w:tc>
          <w:tcPr>
            <w:tcW w:w="850" w:type="dxa"/>
          </w:tcPr>
          <w:p w14:paraId="0A6B4283" w14:textId="77777777" w:rsidR="00DD13BF" w:rsidRPr="00A66B5B" w:rsidRDefault="00DD13BF" w:rsidP="00355A56">
            <w:pPr>
              <w:pStyle w:val="TableParagraph"/>
              <w:rPr>
                <w:sz w:val="20"/>
              </w:rPr>
            </w:pPr>
          </w:p>
        </w:tc>
      </w:tr>
      <w:tr w:rsidR="00DD13BF" w14:paraId="0173D048" w14:textId="77777777" w:rsidTr="00355A56">
        <w:trPr>
          <w:trHeight w:val="353"/>
        </w:trPr>
        <w:tc>
          <w:tcPr>
            <w:tcW w:w="1134" w:type="dxa"/>
          </w:tcPr>
          <w:p w14:paraId="5D5A5C7C" w14:textId="77777777" w:rsidR="00DD13BF" w:rsidRDefault="00DD13BF" w:rsidP="00355A56">
            <w:pPr>
              <w:pStyle w:val="TableParagraph"/>
              <w:rPr>
                <w:sz w:val="20"/>
              </w:rPr>
            </w:pPr>
            <w:r>
              <w:rPr>
                <w:sz w:val="20"/>
              </w:rPr>
              <w:t>1</w:t>
            </w:r>
          </w:p>
        </w:tc>
        <w:tc>
          <w:tcPr>
            <w:tcW w:w="992" w:type="dxa"/>
          </w:tcPr>
          <w:p w14:paraId="6E9AF40F" w14:textId="77777777" w:rsidR="00DD13BF" w:rsidRDefault="00DD13BF" w:rsidP="00355A56">
            <w:pPr>
              <w:pStyle w:val="TableParagraph"/>
              <w:rPr>
                <w:sz w:val="20"/>
              </w:rPr>
            </w:pPr>
            <w:r w:rsidRPr="00552A49">
              <w:rPr>
                <w:color w:val="000000"/>
                <w:sz w:val="20"/>
              </w:rPr>
              <w:t>RSO1.2</w:t>
            </w:r>
          </w:p>
        </w:tc>
        <w:tc>
          <w:tcPr>
            <w:tcW w:w="851" w:type="dxa"/>
          </w:tcPr>
          <w:p w14:paraId="4991DCAF" w14:textId="77777777" w:rsidR="00DD13BF" w:rsidRPr="00A13357" w:rsidRDefault="00DD13BF" w:rsidP="00355A56">
            <w:pPr>
              <w:pStyle w:val="TableParagraph"/>
              <w:rPr>
                <w:sz w:val="20"/>
              </w:rPr>
            </w:pPr>
            <w:r>
              <w:rPr>
                <w:sz w:val="20"/>
              </w:rPr>
              <w:t>E</w:t>
            </w:r>
            <w:r w:rsidRPr="00205FF2">
              <w:rPr>
                <w:sz w:val="20"/>
              </w:rPr>
              <w:t>R</w:t>
            </w:r>
            <w:r>
              <w:rPr>
                <w:sz w:val="20"/>
              </w:rPr>
              <w:t>DF</w:t>
            </w:r>
          </w:p>
        </w:tc>
        <w:tc>
          <w:tcPr>
            <w:tcW w:w="1417" w:type="dxa"/>
          </w:tcPr>
          <w:p w14:paraId="7BCBFB83" w14:textId="77777777" w:rsidR="00DD13BF" w:rsidRPr="00205FF2" w:rsidRDefault="00DD13BF" w:rsidP="00355A56">
            <w:pPr>
              <w:rPr>
                <w:sz w:val="20"/>
              </w:rPr>
            </w:pPr>
            <w:r>
              <w:rPr>
                <w:sz w:val="20"/>
              </w:rPr>
              <w:t xml:space="preserve">More developed </w:t>
            </w:r>
          </w:p>
          <w:p w14:paraId="5B7CDDE7" w14:textId="77777777" w:rsidR="00DD13BF" w:rsidRPr="00A13357" w:rsidRDefault="00DD13BF" w:rsidP="00355A56">
            <w:pPr>
              <w:rPr>
                <w:sz w:val="20"/>
              </w:rPr>
            </w:pPr>
          </w:p>
        </w:tc>
        <w:tc>
          <w:tcPr>
            <w:tcW w:w="851" w:type="dxa"/>
          </w:tcPr>
          <w:p w14:paraId="6059D6EF" w14:textId="77777777" w:rsidR="00DD13BF" w:rsidRPr="00A13357" w:rsidRDefault="00DD13BF" w:rsidP="00355A56">
            <w:pPr>
              <w:pStyle w:val="TableParagraph"/>
              <w:rPr>
                <w:sz w:val="20"/>
              </w:rPr>
            </w:pPr>
            <w:r w:rsidRPr="00A13357">
              <w:rPr>
                <w:sz w:val="20"/>
              </w:rPr>
              <w:t>RCR</w:t>
            </w:r>
            <w:r>
              <w:rPr>
                <w:sz w:val="20"/>
              </w:rPr>
              <w:t>12</w:t>
            </w:r>
          </w:p>
        </w:tc>
        <w:tc>
          <w:tcPr>
            <w:tcW w:w="2977" w:type="dxa"/>
          </w:tcPr>
          <w:p w14:paraId="71977DDE" w14:textId="77777777" w:rsidR="00DD13BF" w:rsidRPr="001A4077" w:rsidRDefault="00DD13BF" w:rsidP="00355A56">
            <w:pPr>
              <w:pStyle w:val="TableParagraph"/>
              <w:rPr>
                <w:sz w:val="20"/>
              </w:rPr>
            </w:pPr>
            <w:r w:rsidRPr="001A4077">
              <w:rPr>
                <w:sz w:val="20"/>
              </w:rPr>
              <w:t>Users of new and upgraded digital services, products and processes developed by enterprises</w:t>
            </w:r>
          </w:p>
        </w:tc>
        <w:tc>
          <w:tcPr>
            <w:tcW w:w="971" w:type="dxa"/>
          </w:tcPr>
          <w:p w14:paraId="5BC48ED4" w14:textId="77777777" w:rsidR="00DD13BF" w:rsidRDefault="00DD13BF" w:rsidP="00355A56">
            <w:pPr>
              <w:pStyle w:val="TableParagraph"/>
              <w:rPr>
                <w:sz w:val="20"/>
              </w:rPr>
            </w:pPr>
            <w:r w:rsidRPr="009B5336">
              <w:rPr>
                <w:sz w:val="20"/>
              </w:rPr>
              <w:t xml:space="preserve"> </w:t>
            </w:r>
            <w:r>
              <w:rPr>
                <w:color w:val="000000"/>
                <w:sz w:val="20"/>
              </w:rPr>
              <w:t>users/year</w:t>
            </w:r>
          </w:p>
        </w:tc>
        <w:tc>
          <w:tcPr>
            <w:tcW w:w="1013" w:type="dxa"/>
          </w:tcPr>
          <w:p w14:paraId="1EA84B7C" w14:textId="77777777" w:rsidR="00DD13BF" w:rsidRDefault="00DD13BF" w:rsidP="00355A56">
            <w:pPr>
              <w:pStyle w:val="TableParagraph"/>
              <w:rPr>
                <w:sz w:val="20"/>
              </w:rPr>
            </w:pPr>
            <w:r>
              <w:rPr>
                <w:sz w:val="20"/>
              </w:rPr>
              <w:t>0</w:t>
            </w:r>
          </w:p>
        </w:tc>
        <w:tc>
          <w:tcPr>
            <w:tcW w:w="970" w:type="dxa"/>
          </w:tcPr>
          <w:p w14:paraId="3964A02D" w14:textId="77777777" w:rsidR="00DD13BF" w:rsidRDefault="00DD13BF" w:rsidP="00355A56">
            <w:pPr>
              <w:pStyle w:val="TableParagraph"/>
              <w:rPr>
                <w:sz w:val="20"/>
              </w:rPr>
            </w:pPr>
            <w:r w:rsidRPr="00AC1416">
              <w:rPr>
                <w:sz w:val="20"/>
              </w:rPr>
              <w:t>2022</w:t>
            </w:r>
          </w:p>
        </w:tc>
        <w:tc>
          <w:tcPr>
            <w:tcW w:w="849" w:type="dxa"/>
          </w:tcPr>
          <w:p w14:paraId="6461A6CD" w14:textId="77777777" w:rsidR="00DD13BF" w:rsidRPr="001A4077" w:rsidRDefault="00DD13BF" w:rsidP="00355A56">
            <w:pPr>
              <w:pStyle w:val="TableParagraph"/>
              <w:rPr>
                <w:rFonts w:cstheme="minorHAnsi"/>
                <w:sz w:val="20"/>
              </w:rPr>
            </w:pPr>
            <w:r w:rsidRPr="001A4077">
              <w:rPr>
                <w:rFonts w:cstheme="minorHAnsi"/>
                <w:sz w:val="20"/>
              </w:rPr>
              <w:t>238,000</w:t>
            </w:r>
          </w:p>
        </w:tc>
        <w:tc>
          <w:tcPr>
            <w:tcW w:w="1158" w:type="dxa"/>
          </w:tcPr>
          <w:p w14:paraId="1148F91E" w14:textId="77777777" w:rsidR="00DD13BF" w:rsidRDefault="00DD13BF" w:rsidP="00355A56">
            <w:pPr>
              <w:pStyle w:val="TableParagraph"/>
              <w:rPr>
                <w:sz w:val="20"/>
              </w:rPr>
            </w:pPr>
            <w:r>
              <w:rPr>
                <w:sz w:val="20"/>
              </w:rPr>
              <w:t>public institutions, enterprises</w:t>
            </w:r>
          </w:p>
          <w:p w14:paraId="3789A3EE" w14:textId="77777777" w:rsidR="00DD13BF" w:rsidRPr="00473493" w:rsidRDefault="00DD13BF" w:rsidP="00355A56">
            <w:pPr>
              <w:pStyle w:val="TableParagraph"/>
              <w:rPr>
                <w:sz w:val="20"/>
              </w:rPr>
            </w:pPr>
          </w:p>
        </w:tc>
        <w:tc>
          <w:tcPr>
            <w:tcW w:w="850" w:type="dxa"/>
          </w:tcPr>
          <w:p w14:paraId="3662A57F" w14:textId="77777777" w:rsidR="00DD13BF" w:rsidRPr="00A66B5B" w:rsidRDefault="00DD13BF" w:rsidP="00355A56">
            <w:pPr>
              <w:pStyle w:val="TableParagraph"/>
              <w:rPr>
                <w:sz w:val="20"/>
              </w:rPr>
            </w:pPr>
          </w:p>
        </w:tc>
      </w:tr>
    </w:tbl>
    <w:p w14:paraId="530A1726" w14:textId="77777777" w:rsidR="00DD13BF" w:rsidRPr="00F81084" w:rsidRDefault="00DD13BF" w:rsidP="00DD13BF">
      <w:pPr>
        <w:pStyle w:val="Telobesedila"/>
      </w:pPr>
    </w:p>
    <w:p w14:paraId="4526E11A" w14:textId="77777777" w:rsidR="00DD13BF" w:rsidRPr="00F81084" w:rsidRDefault="00DD13BF" w:rsidP="00DD13BF">
      <w:pPr>
        <w:pStyle w:val="Telobesedila"/>
      </w:pPr>
    </w:p>
    <w:p w14:paraId="7F966EA5" w14:textId="77777777" w:rsidR="00DD13BF" w:rsidRDefault="00DD13BF" w:rsidP="00DD13BF">
      <w:pPr>
        <w:pStyle w:val="Naslov5"/>
        <w:spacing w:before="0"/>
      </w:pPr>
      <w:r>
        <w:t>Indicative breakdown of the programmed resources (EU) by type of intervention</w:t>
      </w:r>
      <w:r>
        <w:rPr>
          <w:spacing w:val="-4"/>
        </w:rPr>
        <w:t xml:space="preserve"> </w:t>
      </w:r>
    </w:p>
    <w:p w14:paraId="491FA5BA" w14:textId="77777777" w:rsidR="00DD13BF" w:rsidRDefault="00DD13BF" w:rsidP="00DD13BF">
      <w:pPr>
        <w:ind w:left="640"/>
        <w:rPr>
          <w:spacing w:val="-5"/>
        </w:rPr>
      </w:pPr>
    </w:p>
    <w:p w14:paraId="5E25BF17" w14:textId="77777777" w:rsidR="00DD13BF" w:rsidRPr="00673ADB" w:rsidRDefault="00DD13BF" w:rsidP="00DD13BF">
      <w:pPr>
        <w:ind w:left="339"/>
        <w:rPr>
          <w:spacing w:val="-7"/>
        </w:rPr>
      </w:pPr>
      <w:r>
        <w:rPr>
          <w:spacing w:val="-7"/>
        </w:rPr>
        <w:t>Table</w:t>
      </w:r>
      <w:r w:rsidRPr="00673ADB">
        <w:rPr>
          <w:spacing w:val="-7"/>
        </w:rPr>
        <w:t xml:space="preserve"> 4: </w:t>
      </w:r>
      <w:r>
        <w:rPr>
          <w:spacing w:val="-7"/>
        </w:rPr>
        <w:t xml:space="preserve">Dimension 1 – intervention field </w:t>
      </w:r>
    </w:p>
    <w:p w14:paraId="6920AC1F"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52C48AA" w14:textId="77777777" w:rsidTr="00355A56">
        <w:trPr>
          <w:trHeight w:val="353"/>
        </w:trPr>
        <w:tc>
          <w:tcPr>
            <w:tcW w:w="2088" w:type="dxa"/>
          </w:tcPr>
          <w:p w14:paraId="25780824" w14:textId="77777777" w:rsidR="00DD13BF" w:rsidRDefault="00DD13BF" w:rsidP="00355A56">
            <w:pPr>
              <w:pStyle w:val="TableParagraph"/>
              <w:ind w:left="115"/>
              <w:jc w:val="center"/>
            </w:pPr>
            <w:r>
              <w:rPr>
                <w:spacing w:val="-2"/>
              </w:rPr>
              <w:t>Priority No</w:t>
            </w:r>
          </w:p>
        </w:tc>
        <w:tc>
          <w:tcPr>
            <w:tcW w:w="1133" w:type="dxa"/>
          </w:tcPr>
          <w:p w14:paraId="08DD0F9E" w14:textId="77777777" w:rsidR="00DD13BF" w:rsidRDefault="00DD13BF" w:rsidP="00355A56">
            <w:pPr>
              <w:pStyle w:val="TableParagraph"/>
              <w:ind w:left="320"/>
            </w:pPr>
            <w:r>
              <w:t>Fund</w:t>
            </w:r>
          </w:p>
        </w:tc>
        <w:tc>
          <w:tcPr>
            <w:tcW w:w="3249" w:type="dxa"/>
          </w:tcPr>
          <w:p w14:paraId="23ACDF44" w14:textId="77777777" w:rsidR="00DD13BF" w:rsidRDefault="00DD13BF" w:rsidP="00355A56">
            <w:pPr>
              <w:pStyle w:val="TableParagraph"/>
              <w:ind w:left="907"/>
            </w:pPr>
            <w:r>
              <w:rPr>
                <w:spacing w:val="-3"/>
              </w:rPr>
              <w:t>Category of region</w:t>
            </w:r>
          </w:p>
        </w:tc>
        <w:tc>
          <w:tcPr>
            <w:tcW w:w="3099" w:type="dxa"/>
          </w:tcPr>
          <w:p w14:paraId="39FDF664" w14:textId="77777777" w:rsidR="00DD13BF" w:rsidRDefault="00DD13BF" w:rsidP="00355A56">
            <w:pPr>
              <w:pStyle w:val="TableParagraph"/>
              <w:ind w:left="948"/>
            </w:pPr>
            <w:r>
              <w:rPr>
                <w:spacing w:val="-4"/>
              </w:rPr>
              <w:t>Specific objective</w:t>
            </w:r>
          </w:p>
        </w:tc>
        <w:tc>
          <w:tcPr>
            <w:tcW w:w="1161" w:type="dxa"/>
          </w:tcPr>
          <w:p w14:paraId="5EE22721" w14:textId="77777777" w:rsidR="00DD13BF" w:rsidRDefault="00DD13BF" w:rsidP="00355A56">
            <w:pPr>
              <w:pStyle w:val="TableParagraph"/>
              <w:ind w:left="333"/>
            </w:pPr>
            <w:r>
              <w:t xml:space="preserve">Code </w:t>
            </w:r>
          </w:p>
        </w:tc>
        <w:tc>
          <w:tcPr>
            <w:tcW w:w="2731" w:type="dxa"/>
          </w:tcPr>
          <w:p w14:paraId="2503FDCC" w14:textId="77777777" w:rsidR="00DD13BF" w:rsidRDefault="00DD13BF" w:rsidP="00355A56">
            <w:pPr>
              <w:pStyle w:val="TableParagraph"/>
              <w:ind w:left="660"/>
            </w:pPr>
            <w:r>
              <w:t>Amount (in EUR)</w:t>
            </w:r>
          </w:p>
        </w:tc>
      </w:tr>
      <w:tr w:rsidR="00DD13BF" w14:paraId="5188A4B6" w14:textId="77777777" w:rsidTr="00355A56">
        <w:trPr>
          <w:trHeight w:val="353"/>
        </w:trPr>
        <w:tc>
          <w:tcPr>
            <w:tcW w:w="2088" w:type="dxa"/>
          </w:tcPr>
          <w:p w14:paraId="2EEC5529" w14:textId="77777777" w:rsidR="00DD13BF" w:rsidRDefault="00DD13BF" w:rsidP="00355A56">
            <w:pPr>
              <w:pStyle w:val="TableParagraph"/>
              <w:rPr>
                <w:sz w:val="20"/>
              </w:rPr>
            </w:pPr>
            <w:r>
              <w:rPr>
                <w:sz w:val="20"/>
              </w:rPr>
              <w:t>1</w:t>
            </w:r>
          </w:p>
        </w:tc>
        <w:tc>
          <w:tcPr>
            <w:tcW w:w="1133" w:type="dxa"/>
          </w:tcPr>
          <w:p w14:paraId="3B8BD099"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7DCE5B17" w14:textId="77777777" w:rsidR="00DD13BF" w:rsidRDefault="00DD13BF" w:rsidP="00355A56">
            <w:r>
              <w:rPr>
                <w:sz w:val="20"/>
              </w:rPr>
              <w:t>Less developed</w:t>
            </w:r>
          </w:p>
        </w:tc>
        <w:tc>
          <w:tcPr>
            <w:tcW w:w="3099" w:type="dxa"/>
          </w:tcPr>
          <w:p w14:paraId="70897591" w14:textId="77777777" w:rsidR="00DD13BF" w:rsidRDefault="00DD13BF" w:rsidP="00355A56">
            <w:pPr>
              <w:pStyle w:val="TableParagraph"/>
              <w:rPr>
                <w:sz w:val="20"/>
              </w:rPr>
            </w:pPr>
            <w:r w:rsidRPr="0089527B">
              <w:rPr>
                <w:color w:val="000000"/>
                <w:sz w:val="20"/>
              </w:rPr>
              <w:t>RSO1.2</w:t>
            </w:r>
          </w:p>
        </w:tc>
        <w:tc>
          <w:tcPr>
            <w:tcW w:w="1161" w:type="dxa"/>
          </w:tcPr>
          <w:p w14:paraId="64703163" w14:textId="77777777" w:rsidR="00DD13BF" w:rsidRDefault="00DD13BF" w:rsidP="00355A56">
            <w:pPr>
              <w:pStyle w:val="TableParagraph"/>
              <w:rPr>
                <w:sz w:val="20"/>
              </w:rPr>
            </w:pPr>
            <w:r>
              <w:rPr>
                <w:sz w:val="20"/>
              </w:rPr>
              <w:t>013</w:t>
            </w:r>
          </w:p>
        </w:tc>
        <w:tc>
          <w:tcPr>
            <w:tcW w:w="2731" w:type="dxa"/>
          </w:tcPr>
          <w:p w14:paraId="3F238A97" w14:textId="77777777" w:rsidR="00DD13BF" w:rsidRDefault="00DD13BF" w:rsidP="00355A56">
            <w:pPr>
              <w:pStyle w:val="TableParagraph"/>
              <w:rPr>
                <w:sz w:val="20"/>
              </w:rPr>
            </w:pPr>
            <w:r>
              <w:rPr>
                <w:sz w:val="20"/>
              </w:rPr>
              <w:t>14,855,292</w:t>
            </w:r>
          </w:p>
        </w:tc>
      </w:tr>
      <w:tr w:rsidR="00DD13BF" w14:paraId="61916B07" w14:textId="77777777" w:rsidTr="00355A56">
        <w:trPr>
          <w:trHeight w:val="353"/>
        </w:trPr>
        <w:tc>
          <w:tcPr>
            <w:tcW w:w="2088" w:type="dxa"/>
          </w:tcPr>
          <w:p w14:paraId="0223BC81" w14:textId="77777777" w:rsidR="00DD13BF" w:rsidRDefault="00DD13BF" w:rsidP="00355A56">
            <w:pPr>
              <w:pStyle w:val="TableParagraph"/>
              <w:rPr>
                <w:sz w:val="20"/>
              </w:rPr>
            </w:pPr>
            <w:r>
              <w:rPr>
                <w:sz w:val="20"/>
              </w:rPr>
              <w:t>1</w:t>
            </w:r>
          </w:p>
        </w:tc>
        <w:tc>
          <w:tcPr>
            <w:tcW w:w="1133" w:type="dxa"/>
          </w:tcPr>
          <w:p w14:paraId="300340EF"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07DEE0C7" w14:textId="77777777" w:rsidR="00DD13BF" w:rsidRPr="00FC2CB0" w:rsidRDefault="00DD13BF" w:rsidP="00355A56">
            <w:pPr>
              <w:rPr>
                <w:sz w:val="20"/>
              </w:rPr>
            </w:pPr>
            <w:r>
              <w:rPr>
                <w:sz w:val="20"/>
              </w:rPr>
              <w:t>More developed</w:t>
            </w:r>
          </w:p>
        </w:tc>
        <w:tc>
          <w:tcPr>
            <w:tcW w:w="3099" w:type="dxa"/>
          </w:tcPr>
          <w:p w14:paraId="0C61F582" w14:textId="77777777" w:rsidR="00DD13BF" w:rsidRDefault="00DD13BF" w:rsidP="00355A56">
            <w:pPr>
              <w:pStyle w:val="TableParagraph"/>
              <w:rPr>
                <w:sz w:val="20"/>
              </w:rPr>
            </w:pPr>
            <w:r w:rsidRPr="0089527B">
              <w:rPr>
                <w:color w:val="000000"/>
                <w:sz w:val="20"/>
              </w:rPr>
              <w:t>RSO1.2</w:t>
            </w:r>
          </w:p>
        </w:tc>
        <w:tc>
          <w:tcPr>
            <w:tcW w:w="1161" w:type="dxa"/>
          </w:tcPr>
          <w:p w14:paraId="25142D15" w14:textId="77777777" w:rsidR="00DD13BF" w:rsidRDefault="00DD13BF" w:rsidP="00355A56">
            <w:pPr>
              <w:pStyle w:val="TableParagraph"/>
              <w:rPr>
                <w:sz w:val="20"/>
              </w:rPr>
            </w:pPr>
            <w:r>
              <w:rPr>
                <w:sz w:val="20"/>
              </w:rPr>
              <w:t>013</w:t>
            </w:r>
          </w:p>
        </w:tc>
        <w:tc>
          <w:tcPr>
            <w:tcW w:w="2731" w:type="dxa"/>
          </w:tcPr>
          <w:p w14:paraId="12124298" w14:textId="77777777" w:rsidR="00DD13BF" w:rsidRDefault="00DD13BF" w:rsidP="00355A56">
            <w:pPr>
              <w:pStyle w:val="TableParagraph"/>
              <w:rPr>
                <w:sz w:val="20"/>
              </w:rPr>
            </w:pPr>
            <w:r>
              <w:rPr>
                <w:sz w:val="20"/>
              </w:rPr>
              <w:t>9,638,074</w:t>
            </w:r>
          </w:p>
        </w:tc>
      </w:tr>
      <w:tr w:rsidR="00DD13BF" w14:paraId="45FB8AED" w14:textId="77777777" w:rsidTr="00355A56">
        <w:trPr>
          <w:trHeight w:val="353"/>
        </w:trPr>
        <w:tc>
          <w:tcPr>
            <w:tcW w:w="2088" w:type="dxa"/>
          </w:tcPr>
          <w:p w14:paraId="22C3D305" w14:textId="77777777" w:rsidR="00DD13BF" w:rsidRDefault="00DD13BF" w:rsidP="00355A56">
            <w:pPr>
              <w:pStyle w:val="TableParagraph"/>
              <w:rPr>
                <w:sz w:val="20"/>
              </w:rPr>
            </w:pPr>
            <w:r>
              <w:rPr>
                <w:sz w:val="20"/>
              </w:rPr>
              <w:t>1</w:t>
            </w:r>
          </w:p>
        </w:tc>
        <w:tc>
          <w:tcPr>
            <w:tcW w:w="1133" w:type="dxa"/>
          </w:tcPr>
          <w:p w14:paraId="4D833ABC"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3E7128EC" w14:textId="77777777" w:rsidR="00DD13BF" w:rsidRDefault="00DD13BF" w:rsidP="00355A56">
            <w:r>
              <w:rPr>
                <w:sz w:val="20"/>
              </w:rPr>
              <w:t xml:space="preserve">Less developed  </w:t>
            </w:r>
          </w:p>
        </w:tc>
        <w:tc>
          <w:tcPr>
            <w:tcW w:w="3099" w:type="dxa"/>
          </w:tcPr>
          <w:p w14:paraId="163BAB6C" w14:textId="77777777" w:rsidR="00DD13BF" w:rsidRDefault="00DD13BF" w:rsidP="00355A56">
            <w:pPr>
              <w:pStyle w:val="TableParagraph"/>
              <w:rPr>
                <w:sz w:val="20"/>
              </w:rPr>
            </w:pPr>
            <w:r w:rsidRPr="0089527B">
              <w:rPr>
                <w:color w:val="000000"/>
                <w:sz w:val="20"/>
              </w:rPr>
              <w:t>RSO1.2</w:t>
            </w:r>
          </w:p>
        </w:tc>
        <w:tc>
          <w:tcPr>
            <w:tcW w:w="1161" w:type="dxa"/>
          </w:tcPr>
          <w:p w14:paraId="0A2BFEDE" w14:textId="77777777" w:rsidR="00DD13BF" w:rsidRDefault="00DD13BF" w:rsidP="00355A56">
            <w:pPr>
              <w:pStyle w:val="TableParagraph"/>
              <w:rPr>
                <w:sz w:val="20"/>
              </w:rPr>
            </w:pPr>
            <w:r>
              <w:rPr>
                <w:sz w:val="20"/>
              </w:rPr>
              <w:t>016</w:t>
            </w:r>
          </w:p>
        </w:tc>
        <w:tc>
          <w:tcPr>
            <w:tcW w:w="2731" w:type="dxa"/>
          </w:tcPr>
          <w:p w14:paraId="54DD39B4" w14:textId="77777777" w:rsidR="00DD13BF" w:rsidRDefault="00DD13BF" w:rsidP="00355A56">
            <w:pPr>
              <w:pStyle w:val="TableParagraph"/>
              <w:rPr>
                <w:sz w:val="20"/>
              </w:rPr>
            </w:pPr>
            <w:r>
              <w:rPr>
                <w:sz w:val="20"/>
              </w:rPr>
              <w:t>25,060,934</w:t>
            </w:r>
          </w:p>
        </w:tc>
      </w:tr>
      <w:tr w:rsidR="00DD13BF" w14:paraId="5550E07A" w14:textId="77777777" w:rsidTr="00355A56">
        <w:trPr>
          <w:trHeight w:val="353"/>
        </w:trPr>
        <w:tc>
          <w:tcPr>
            <w:tcW w:w="2088" w:type="dxa"/>
          </w:tcPr>
          <w:p w14:paraId="5E0D8C73" w14:textId="77777777" w:rsidR="00DD13BF" w:rsidRDefault="00DD13BF" w:rsidP="00355A56">
            <w:pPr>
              <w:pStyle w:val="TableParagraph"/>
              <w:rPr>
                <w:sz w:val="20"/>
              </w:rPr>
            </w:pPr>
            <w:r>
              <w:rPr>
                <w:sz w:val="20"/>
              </w:rPr>
              <w:t>1</w:t>
            </w:r>
          </w:p>
        </w:tc>
        <w:tc>
          <w:tcPr>
            <w:tcW w:w="1133" w:type="dxa"/>
          </w:tcPr>
          <w:p w14:paraId="48D1F643"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39E1440E" w14:textId="77777777" w:rsidR="00DD13BF" w:rsidRPr="00FC2CB0" w:rsidRDefault="00DD13BF" w:rsidP="00355A56">
            <w:pPr>
              <w:rPr>
                <w:sz w:val="20"/>
              </w:rPr>
            </w:pPr>
            <w:r>
              <w:rPr>
                <w:sz w:val="20"/>
              </w:rPr>
              <w:t xml:space="preserve">More developed </w:t>
            </w:r>
          </w:p>
        </w:tc>
        <w:tc>
          <w:tcPr>
            <w:tcW w:w="3099" w:type="dxa"/>
          </w:tcPr>
          <w:p w14:paraId="11FC8D27" w14:textId="77777777" w:rsidR="00DD13BF" w:rsidRDefault="00DD13BF" w:rsidP="00355A56">
            <w:pPr>
              <w:pStyle w:val="TableParagraph"/>
              <w:rPr>
                <w:sz w:val="20"/>
              </w:rPr>
            </w:pPr>
            <w:r w:rsidRPr="0089527B">
              <w:rPr>
                <w:color w:val="000000"/>
                <w:sz w:val="20"/>
              </w:rPr>
              <w:t>RSO1.2</w:t>
            </w:r>
          </w:p>
        </w:tc>
        <w:tc>
          <w:tcPr>
            <w:tcW w:w="1161" w:type="dxa"/>
          </w:tcPr>
          <w:p w14:paraId="20BFD043" w14:textId="77777777" w:rsidR="00DD13BF" w:rsidRDefault="00DD13BF" w:rsidP="00355A56">
            <w:pPr>
              <w:pStyle w:val="TableParagraph"/>
              <w:rPr>
                <w:sz w:val="20"/>
              </w:rPr>
            </w:pPr>
            <w:r>
              <w:rPr>
                <w:sz w:val="20"/>
              </w:rPr>
              <w:t>016</w:t>
            </w:r>
          </w:p>
        </w:tc>
        <w:tc>
          <w:tcPr>
            <w:tcW w:w="2731" w:type="dxa"/>
          </w:tcPr>
          <w:p w14:paraId="79A54B91" w14:textId="77777777" w:rsidR="00DD13BF" w:rsidRDefault="00DD13BF" w:rsidP="00355A56">
            <w:pPr>
              <w:pStyle w:val="TableParagraph"/>
              <w:rPr>
                <w:sz w:val="20"/>
              </w:rPr>
            </w:pPr>
            <w:r>
              <w:rPr>
                <w:sz w:val="20"/>
              </w:rPr>
              <w:t>18,849,114</w:t>
            </w:r>
          </w:p>
        </w:tc>
      </w:tr>
      <w:tr w:rsidR="00DD13BF" w14:paraId="6A6F1EEE" w14:textId="77777777" w:rsidTr="00355A56">
        <w:trPr>
          <w:trHeight w:val="353"/>
        </w:trPr>
        <w:tc>
          <w:tcPr>
            <w:tcW w:w="2088" w:type="dxa"/>
          </w:tcPr>
          <w:p w14:paraId="1AC08A41" w14:textId="77777777" w:rsidR="00DD13BF" w:rsidRDefault="00DD13BF" w:rsidP="00355A56">
            <w:pPr>
              <w:pStyle w:val="TableParagraph"/>
              <w:rPr>
                <w:sz w:val="20"/>
              </w:rPr>
            </w:pPr>
            <w:r>
              <w:rPr>
                <w:sz w:val="20"/>
              </w:rPr>
              <w:t>1</w:t>
            </w:r>
          </w:p>
        </w:tc>
        <w:tc>
          <w:tcPr>
            <w:tcW w:w="1133" w:type="dxa"/>
          </w:tcPr>
          <w:p w14:paraId="6784A299"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665EB041" w14:textId="77777777" w:rsidR="00DD13BF" w:rsidRDefault="00DD13BF" w:rsidP="00355A56">
            <w:r>
              <w:rPr>
                <w:sz w:val="20"/>
              </w:rPr>
              <w:t xml:space="preserve">Less developed </w:t>
            </w:r>
          </w:p>
        </w:tc>
        <w:tc>
          <w:tcPr>
            <w:tcW w:w="3099" w:type="dxa"/>
          </w:tcPr>
          <w:p w14:paraId="599CA44C" w14:textId="77777777" w:rsidR="00DD13BF" w:rsidRDefault="00DD13BF" w:rsidP="00355A56">
            <w:pPr>
              <w:pStyle w:val="TableParagraph"/>
              <w:rPr>
                <w:sz w:val="20"/>
              </w:rPr>
            </w:pPr>
            <w:r w:rsidRPr="0089527B">
              <w:rPr>
                <w:color w:val="000000"/>
                <w:sz w:val="20"/>
              </w:rPr>
              <w:t>RSO1.2</w:t>
            </w:r>
          </w:p>
        </w:tc>
        <w:tc>
          <w:tcPr>
            <w:tcW w:w="1161" w:type="dxa"/>
          </w:tcPr>
          <w:p w14:paraId="6957ED05" w14:textId="77777777" w:rsidR="00DD13BF" w:rsidRDefault="00DD13BF" w:rsidP="00355A56">
            <w:pPr>
              <w:pStyle w:val="TableParagraph"/>
              <w:rPr>
                <w:sz w:val="20"/>
              </w:rPr>
            </w:pPr>
            <w:r>
              <w:rPr>
                <w:sz w:val="20"/>
              </w:rPr>
              <w:t>018</w:t>
            </w:r>
          </w:p>
        </w:tc>
        <w:tc>
          <w:tcPr>
            <w:tcW w:w="2731" w:type="dxa"/>
          </w:tcPr>
          <w:p w14:paraId="6D2CCADB" w14:textId="77777777" w:rsidR="00DD13BF" w:rsidRDefault="00DD13BF" w:rsidP="00355A56">
            <w:pPr>
              <w:pStyle w:val="TableParagraph"/>
              <w:rPr>
                <w:sz w:val="20"/>
              </w:rPr>
            </w:pPr>
            <w:r>
              <w:rPr>
                <w:sz w:val="20"/>
              </w:rPr>
              <w:t>11,674,546</w:t>
            </w:r>
          </w:p>
        </w:tc>
      </w:tr>
      <w:tr w:rsidR="00DD13BF" w14:paraId="572464B7" w14:textId="77777777" w:rsidTr="00355A56">
        <w:trPr>
          <w:trHeight w:val="353"/>
        </w:trPr>
        <w:tc>
          <w:tcPr>
            <w:tcW w:w="2088" w:type="dxa"/>
          </w:tcPr>
          <w:p w14:paraId="4402758A" w14:textId="77777777" w:rsidR="00DD13BF" w:rsidRDefault="00DD13BF" w:rsidP="00355A56">
            <w:pPr>
              <w:pStyle w:val="TableParagraph"/>
              <w:rPr>
                <w:sz w:val="20"/>
              </w:rPr>
            </w:pPr>
            <w:r>
              <w:rPr>
                <w:sz w:val="20"/>
              </w:rPr>
              <w:t>1</w:t>
            </w:r>
          </w:p>
        </w:tc>
        <w:tc>
          <w:tcPr>
            <w:tcW w:w="1133" w:type="dxa"/>
          </w:tcPr>
          <w:p w14:paraId="2D640A3F"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71E9E7ED" w14:textId="77777777" w:rsidR="00DD13BF" w:rsidRPr="00FC2CB0" w:rsidRDefault="00DD13BF" w:rsidP="00355A56">
            <w:pPr>
              <w:rPr>
                <w:sz w:val="20"/>
              </w:rPr>
            </w:pPr>
            <w:r>
              <w:rPr>
                <w:sz w:val="20"/>
              </w:rPr>
              <w:t xml:space="preserve">More developed </w:t>
            </w:r>
          </w:p>
        </w:tc>
        <w:tc>
          <w:tcPr>
            <w:tcW w:w="3099" w:type="dxa"/>
          </w:tcPr>
          <w:p w14:paraId="35737585" w14:textId="77777777" w:rsidR="00DD13BF" w:rsidRDefault="00DD13BF" w:rsidP="00355A56">
            <w:pPr>
              <w:pStyle w:val="TableParagraph"/>
              <w:rPr>
                <w:sz w:val="20"/>
              </w:rPr>
            </w:pPr>
            <w:r w:rsidRPr="0089527B">
              <w:rPr>
                <w:color w:val="000000"/>
                <w:sz w:val="20"/>
              </w:rPr>
              <w:t>RSO1.2</w:t>
            </w:r>
          </w:p>
        </w:tc>
        <w:tc>
          <w:tcPr>
            <w:tcW w:w="1161" w:type="dxa"/>
          </w:tcPr>
          <w:p w14:paraId="29704410" w14:textId="77777777" w:rsidR="00DD13BF" w:rsidRDefault="00DD13BF" w:rsidP="00355A56">
            <w:pPr>
              <w:pStyle w:val="TableParagraph"/>
              <w:rPr>
                <w:sz w:val="20"/>
              </w:rPr>
            </w:pPr>
            <w:r>
              <w:rPr>
                <w:sz w:val="20"/>
              </w:rPr>
              <w:t>018</w:t>
            </w:r>
          </w:p>
        </w:tc>
        <w:tc>
          <w:tcPr>
            <w:tcW w:w="2731" w:type="dxa"/>
          </w:tcPr>
          <w:p w14:paraId="52EFDDFF" w14:textId="77777777" w:rsidR="00DD13BF" w:rsidRDefault="00DD13BF" w:rsidP="00355A56">
            <w:pPr>
              <w:pStyle w:val="TableParagraph"/>
              <w:rPr>
                <w:sz w:val="20"/>
              </w:rPr>
            </w:pPr>
            <w:r>
              <w:rPr>
                <w:sz w:val="20"/>
              </w:rPr>
              <w:t>7,841,184</w:t>
            </w:r>
          </w:p>
        </w:tc>
      </w:tr>
    </w:tbl>
    <w:p w14:paraId="2A389B98" w14:textId="77777777" w:rsidR="00DD13BF" w:rsidRDefault="00DD13BF" w:rsidP="00DD13BF"/>
    <w:p w14:paraId="58B5EB43" w14:textId="77777777" w:rsidR="00DD13BF" w:rsidRPr="00673ADB" w:rsidRDefault="00DD13BF" w:rsidP="00DD13BF">
      <w:pPr>
        <w:ind w:left="339"/>
        <w:rPr>
          <w:spacing w:val="-7"/>
        </w:rPr>
      </w:pPr>
      <w:r>
        <w:rPr>
          <w:spacing w:val="-7"/>
        </w:rPr>
        <w:t>Table</w:t>
      </w:r>
      <w:r w:rsidRPr="00673ADB">
        <w:rPr>
          <w:spacing w:val="-7"/>
        </w:rPr>
        <w:t xml:space="preserve"> 5:</w:t>
      </w:r>
      <w:r>
        <w:rPr>
          <w:spacing w:val="-7"/>
        </w:rPr>
        <w:t xml:space="preserve"> Dimension</w:t>
      </w:r>
      <w:r w:rsidRPr="00673ADB">
        <w:rPr>
          <w:spacing w:val="-7"/>
        </w:rPr>
        <w:t xml:space="preserve"> 2 – </w:t>
      </w:r>
      <w:r>
        <w:rPr>
          <w:spacing w:val="-7"/>
        </w:rPr>
        <w:t>form of financing</w:t>
      </w:r>
    </w:p>
    <w:p w14:paraId="560F4966"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D5302BD" w14:textId="77777777" w:rsidTr="00355A56">
        <w:trPr>
          <w:trHeight w:val="353"/>
        </w:trPr>
        <w:tc>
          <w:tcPr>
            <w:tcW w:w="2088" w:type="dxa"/>
          </w:tcPr>
          <w:p w14:paraId="237FA2A7" w14:textId="77777777" w:rsidR="00DD13BF" w:rsidRDefault="00DD13BF" w:rsidP="00355A56">
            <w:pPr>
              <w:pStyle w:val="TableParagraph"/>
              <w:ind w:left="115"/>
              <w:jc w:val="center"/>
            </w:pPr>
            <w:r>
              <w:rPr>
                <w:spacing w:val="-2"/>
              </w:rPr>
              <w:t>Priority No</w:t>
            </w:r>
          </w:p>
        </w:tc>
        <w:tc>
          <w:tcPr>
            <w:tcW w:w="1133" w:type="dxa"/>
          </w:tcPr>
          <w:p w14:paraId="728F96EA" w14:textId="77777777" w:rsidR="00DD13BF" w:rsidRDefault="00DD13BF" w:rsidP="00355A56">
            <w:pPr>
              <w:pStyle w:val="TableParagraph"/>
              <w:ind w:left="320"/>
            </w:pPr>
            <w:r>
              <w:t>Fund</w:t>
            </w:r>
          </w:p>
        </w:tc>
        <w:tc>
          <w:tcPr>
            <w:tcW w:w="3249" w:type="dxa"/>
          </w:tcPr>
          <w:p w14:paraId="099D7C55" w14:textId="77777777" w:rsidR="00DD13BF" w:rsidRDefault="00DD13BF" w:rsidP="00355A56">
            <w:pPr>
              <w:pStyle w:val="TableParagraph"/>
              <w:ind w:left="907"/>
            </w:pPr>
            <w:r>
              <w:rPr>
                <w:spacing w:val="-3"/>
              </w:rPr>
              <w:t>Category of region</w:t>
            </w:r>
          </w:p>
        </w:tc>
        <w:tc>
          <w:tcPr>
            <w:tcW w:w="3099" w:type="dxa"/>
          </w:tcPr>
          <w:p w14:paraId="79B77CF3" w14:textId="77777777" w:rsidR="00DD13BF" w:rsidRDefault="00DD13BF" w:rsidP="00355A56">
            <w:pPr>
              <w:pStyle w:val="TableParagraph"/>
              <w:ind w:left="948"/>
            </w:pPr>
            <w:r>
              <w:rPr>
                <w:spacing w:val="-4"/>
              </w:rPr>
              <w:t>Specific objective</w:t>
            </w:r>
          </w:p>
        </w:tc>
        <w:tc>
          <w:tcPr>
            <w:tcW w:w="1161" w:type="dxa"/>
          </w:tcPr>
          <w:p w14:paraId="0F417FB3" w14:textId="77777777" w:rsidR="00DD13BF" w:rsidRDefault="00DD13BF" w:rsidP="00355A56">
            <w:pPr>
              <w:pStyle w:val="TableParagraph"/>
              <w:ind w:left="334"/>
            </w:pPr>
            <w:r>
              <w:t xml:space="preserve">Code </w:t>
            </w:r>
          </w:p>
        </w:tc>
        <w:tc>
          <w:tcPr>
            <w:tcW w:w="2731" w:type="dxa"/>
          </w:tcPr>
          <w:p w14:paraId="5ECCAE99" w14:textId="77777777" w:rsidR="00DD13BF" w:rsidRDefault="00DD13BF" w:rsidP="00355A56">
            <w:pPr>
              <w:pStyle w:val="TableParagraph"/>
              <w:ind w:left="661"/>
            </w:pPr>
            <w:r>
              <w:t>Amount (in EUR)</w:t>
            </w:r>
          </w:p>
        </w:tc>
      </w:tr>
      <w:tr w:rsidR="00DD13BF" w14:paraId="09B283B7" w14:textId="77777777" w:rsidTr="00355A56">
        <w:trPr>
          <w:trHeight w:val="353"/>
        </w:trPr>
        <w:tc>
          <w:tcPr>
            <w:tcW w:w="2088" w:type="dxa"/>
          </w:tcPr>
          <w:p w14:paraId="249D00BA" w14:textId="77777777" w:rsidR="00DD13BF" w:rsidRDefault="00DD13BF" w:rsidP="00355A56">
            <w:pPr>
              <w:pStyle w:val="TableParagraph"/>
              <w:rPr>
                <w:sz w:val="20"/>
              </w:rPr>
            </w:pPr>
            <w:r>
              <w:rPr>
                <w:sz w:val="20"/>
              </w:rPr>
              <w:lastRenderedPageBreak/>
              <w:t>1</w:t>
            </w:r>
          </w:p>
        </w:tc>
        <w:tc>
          <w:tcPr>
            <w:tcW w:w="1133" w:type="dxa"/>
          </w:tcPr>
          <w:p w14:paraId="3631A0FC"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28F9ACFA" w14:textId="77777777" w:rsidR="00DD13BF" w:rsidRDefault="00DD13BF" w:rsidP="00355A56">
            <w:pPr>
              <w:pStyle w:val="TableParagraph"/>
              <w:rPr>
                <w:sz w:val="20"/>
              </w:rPr>
            </w:pPr>
            <w:r>
              <w:rPr>
                <w:sz w:val="20"/>
              </w:rPr>
              <w:t xml:space="preserve">Less developed </w:t>
            </w:r>
          </w:p>
        </w:tc>
        <w:tc>
          <w:tcPr>
            <w:tcW w:w="3099" w:type="dxa"/>
          </w:tcPr>
          <w:p w14:paraId="0D6DCCF6" w14:textId="77777777" w:rsidR="00DD13BF" w:rsidRDefault="00DD13BF" w:rsidP="00355A56">
            <w:pPr>
              <w:pStyle w:val="TableParagraph"/>
              <w:rPr>
                <w:sz w:val="20"/>
              </w:rPr>
            </w:pPr>
            <w:r w:rsidRPr="00E54B38">
              <w:rPr>
                <w:color w:val="000000"/>
                <w:sz w:val="20"/>
              </w:rPr>
              <w:t>RSO1.2</w:t>
            </w:r>
          </w:p>
        </w:tc>
        <w:tc>
          <w:tcPr>
            <w:tcW w:w="1161" w:type="dxa"/>
          </w:tcPr>
          <w:p w14:paraId="485CC08D" w14:textId="77777777" w:rsidR="00DD13BF" w:rsidRDefault="00DD13BF" w:rsidP="00355A56">
            <w:pPr>
              <w:pStyle w:val="TableParagraph"/>
              <w:rPr>
                <w:sz w:val="20"/>
              </w:rPr>
            </w:pPr>
            <w:r>
              <w:rPr>
                <w:sz w:val="20"/>
              </w:rPr>
              <w:t>01</w:t>
            </w:r>
          </w:p>
        </w:tc>
        <w:tc>
          <w:tcPr>
            <w:tcW w:w="2731" w:type="dxa"/>
          </w:tcPr>
          <w:p w14:paraId="2953AA21" w14:textId="77777777" w:rsidR="00DD13BF" w:rsidRDefault="00DD13BF" w:rsidP="00355A56">
            <w:pPr>
              <w:pStyle w:val="TableParagraph"/>
              <w:rPr>
                <w:sz w:val="20"/>
              </w:rPr>
            </w:pPr>
            <w:r>
              <w:rPr>
                <w:sz w:val="20"/>
              </w:rPr>
              <w:t>51,590,772</w:t>
            </w:r>
          </w:p>
        </w:tc>
      </w:tr>
      <w:tr w:rsidR="00DD13BF" w14:paraId="50B7A80B" w14:textId="77777777" w:rsidTr="00355A56">
        <w:trPr>
          <w:trHeight w:val="353"/>
        </w:trPr>
        <w:tc>
          <w:tcPr>
            <w:tcW w:w="2088" w:type="dxa"/>
          </w:tcPr>
          <w:p w14:paraId="2073C126" w14:textId="77777777" w:rsidR="00DD13BF" w:rsidRDefault="00DD13BF" w:rsidP="00355A56">
            <w:pPr>
              <w:pStyle w:val="TableParagraph"/>
              <w:rPr>
                <w:sz w:val="20"/>
              </w:rPr>
            </w:pPr>
            <w:r>
              <w:rPr>
                <w:sz w:val="20"/>
              </w:rPr>
              <w:t>1</w:t>
            </w:r>
          </w:p>
        </w:tc>
        <w:tc>
          <w:tcPr>
            <w:tcW w:w="1133" w:type="dxa"/>
          </w:tcPr>
          <w:p w14:paraId="13C59517"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1DF5555F" w14:textId="77777777" w:rsidR="00DD13BF" w:rsidRPr="00205FF2" w:rsidRDefault="00DD13BF" w:rsidP="00355A56">
            <w:pPr>
              <w:rPr>
                <w:sz w:val="20"/>
              </w:rPr>
            </w:pPr>
            <w:r>
              <w:rPr>
                <w:sz w:val="20"/>
              </w:rPr>
              <w:t xml:space="preserve">More developed </w:t>
            </w:r>
          </w:p>
          <w:p w14:paraId="67D8D1F6" w14:textId="77777777" w:rsidR="00DD13BF" w:rsidRDefault="00DD13BF" w:rsidP="00355A56">
            <w:pPr>
              <w:pStyle w:val="TableParagraph"/>
              <w:rPr>
                <w:sz w:val="20"/>
              </w:rPr>
            </w:pPr>
          </w:p>
        </w:tc>
        <w:tc>
          <w:tcPr>
            <w:tcW w:w="3099" w:type="dxa"/>
          </w:tcPr>
          <w:p w14:paraId="03FBA9E8" w14:textId="77777777" w:rsidR="00DD13BF" w:rsidRDefault="00DD13BF" w:rsidP="00355A56">
            <w:pPr>
              <w:pStyle w:val="TableParagraph"/>
              <w:rPr>
                <w:sz w:val="20"/>
              </w:rPr>
            </w:pPr>
            <w:r w:rsidRPr="00E54B38">
              <w:rPr>
                <w:color w:val="000000"/>
                <w:sz w:val="20"/>
              </w:rPr>
              <w:t>RSO1.2</w:t>
            </w:r>
          </w:p>
        </w:tc>
        <w:tc>
          <w:tcPr>
            <w:tcW w:w="1161" w:type="dxa"/>
          </w:tcPr>
          <w:p w14:paraId="68B1CD18" w14:textId="77777777" w:rsidR="00DD13BF" w:rsidRDefault="00DD13BF" w:rsidP="00355A56">
            <w:pPr>
              <w:pStyle w:val="TableParagraph"/>
              <w:rPr>
                <w:sz w:val="20"/>
              </w:rPr>
            </w:pPr>
            <w:r>
              <w:rPr>
                <w:sz w:val="20"/>
              </w:rPr>
              <w:t>01</w:t>
            </w:r>
          </w:p>
        </w:tc>
        <w:tc>
          <w:tcPr>
            <w:tcW w:w="2731" w:type="dxa"/>
          </w:tcPr>
          <w:p w14:paraId="08160B2E" w14:textId="77777777" w:rsidR="00DD13BF" w:rsidRDefault="00DD13BF" w:rsidP="00355A56">
            <w:pPr>
              <w:pStyle w:val="TableParagraph"/>
              <w:rPr>
                <w:sz w:val="20"/>
              </w:rPr>
            </w:pPr>
            <w:r>
              <w:rPr>
                <w:sz w:val="20"/>
              </w:rPr>
              <w:t>36,328,372</w:t>
            </w:r>
          </w:p>
        </w:tc>
      </w:tr>
    </w:tbl>
    <w:p w14:paraId="30B6A103" w14:textId="77777777" w:rsidR="00DD13BF" w:rsidRDefault="00DD13BF" w:rsidP="00DD13BF">
      <w:pPr>
        <w:rPr>
          <w:sz w:val="20"/>
        </w:rPr>
        <w:sectPr w:rsidR="00DD13BF" w:rsidSect="00BD3536">
          <w:headerReference w:type="default" r:id="rId21"/>
          <w:footerReference w:type="first" r:id="rId22"/>
          <w:type w:val="continuous"/>
          <w:pgSz w:w="16840" w:h="11910" w:orient="landscape"/>
          <w:pgMar w:top="1417" w:right="1417" w:bottom="1417" w:left="1417" w:header="708" w:footer="708" w:gutter="0"/>
          <w:cols w:space="708"/>
          <w:titlePg/>
          <w:docGrid w:linePitch="299"/>
        </w:sectPr>
      </w:pPr>
    </w:p>
    <w:p w14:paraId="694BC2F5" w14:textId="77777777" w:rsidR="00DD13BF" w:rsidRDefault="00DD13BF" w:rsidP="00DD13BF">
      <w:pPr>
        <w:ind w:left="339"/>
      </w:pPr>
      <w:r>
        <w:rPr>
          <w:spacing w:val="-7"/>
        </w:rPr>
        <w:t>Table 6: Dimension 3</w:t>
      </w:r>
      <w:r>
        <w:rPr>
          <w:spacing w:val="-1"/>
        </w:rPr>
        <w:t xml:space="preserve"> </w:t>
      </w:r>
      <w:r>
        <w:rPr>
          <w:spacing w:val="-7"/>
        </w:rPr>
        <w:t>–</w:t>
      </w:r>
      <w:r>
        <w:rPr>
          <w:spacing w:val="-1"/>
        </w:rPr>
        <w:t xml:space="preserve"> </w:t>
      </w:r>
      <w:r>
        <w:t>territorial delivery mechanism and territorial focu</w:t>
      </w:r>
      <w:r>
        <w:rPr>
          <w:spacing w:val="-7"/>
        </w:rPr>
        <w:t>s</w:t>
      </w:r>
    </w:p>
    <w:p w14:paraId="1A832D2A"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BACB850" w14:textId="77777777" w:rsidTr="00355A56">
        <w:trPr>
          <w:trHeight w:val="353"/>
        </w:trPr>
        <w:tc>
          <w:tcPr>
            <w:tcW w:w="2088" w:type="dxa"/>
          </w:tcPr>
          <w:p w14:paraId="356856E9" w14:textId="77777777" w:rsidR="00DD13BF" w:rsidRDefault="00DD13BF" w:rsidP="00355A56">
            <w:pPr>
              <w:pStyle w:val="TableParagraph"/>
              <w:ind w:left="115"/>
              <w:jc w:val="center"/>
            </w:pPr>
            <w:r>
              <w:rPr>
                <w:spacing w:val="-2"/>
              </w:rPr>
              <w:t>Priority No</w:t>
            </w:r>
          </w:p>
        </w:tc>
        <w:tc>
          <w:tcPr>
            <w:tcW w:w="1133" w:type="dxa"/>
          </w:tcPr>
          <w:p w14:paraId="7EDAFA63" w14:textId="77777777" w:rsidR="00DD13BF" w:rsidRDefault="00DD13BF" w:rsidP="00355A56">
            <w:pPr>
              <w:pStyle w:val="TableParagraph"/>
              <w:ind w:left="320"/>
            </w:pPr>
            <w:r>
              <w:t>Fund</w:t>
            </w:r>
          </w:p>
        </w:tc>
        <w:tc>
          <w:tcPr>
            <w:tcW w:w="3249" w:type="dxa"/>
          </w:tcPr>
          <w:p w14:paraId="31C4AEB0" w14:textId="77777777" w:rsidR="00DD13BF" w:rsidRDefault="00DD13BF" w:rsidP="00355A56">
            <w:pPr>
              <w:pStyle w:val="TableParagraph"/>
              <w:ind w:left="908"/>
            </w:pPr>
            <w:r>
              <w:rPr>
                <w:spacing w:val="-3"/>
              </w:rPr>
              <w:t>Category of region</w:t>
            </w:r>
          </w:p>
        </w:tc>
        <w:tc>
          <w:tcPr>
            <w:tcW w:w="3099" w:type="dxa"/>
          </w:tcPr>
          <w:p w14:paraId="616E6031" w14:textId="77777777" w:rsidR="00DD13BF" w:rsidRDefault="00DD13BF" w:rsidP="00355A56">
            <w:pPr>
              <w:pStyle w:val="TableParagraph"/>
              <w:ind w:left="950"/>
            </w:pPr>
            <w:r>
              <w:rPr>
                <w:spacing w:val="-4"/>
              </w:rPr>
              <w:t>Specific objective</w:t>
            </w:r>
          </w:p>
        </w:tc>
        <w:tc>
          <w:tcPr>
            <w:tcW w:w="1161" w:type="dxa"/>
          </w:tcPr>
          <w:p w14:paraId="626D11DD" w14:textId="77777777" w:rsidR="00DD13BF" w:rsidRDefault="00DD13BF" w:rsidP="00355A56">
            <w:pPr>
              <w:pStyle w:val="TableParagraph"/>
              <w:ind w:left="336"/>
            </w:pPr>
            <w:r>
              <w:t xml:space="preserve">Code </w:t>
            </w:r>
          </w:p>
        </w:tc>
        <w:tc>
          <w:tcPr>
            <w:tcW w:w="2731" w:type="dxa"/>
          </w:tcPr>
          <w:p w14:paraId="0D5331DE" w14:textId="77777777" w:rsidR="00DD13BF" w:rsidRDefault="00DD13BF" w:rsidP="00355A56">
            <w:pPr>
              <w:pStyle w:val="TableParagraph"/>
              <w:ind w:left="664"/>
            </w:pPr>
            <w:r>
              <w:t>Amount (in EUR)</w:t>
            </w:r>
          </w:p>
        </w:tc>
      </w:tr>
      <w:tr w:rsidR="00DD13BF" w14:paraId="6C78B72E" w14:textId="77777777" w:rsidTr="00355A56">
        <w:trPr>
          <w:trHeight w:val="353"/>
        </w:trPr>
        <w:tc>
          <w:tcPr>
            <w:tcW w:w="2088" w:type="dxa"/>
          </w:tcPr>
          <w:p w14:paraId="3C27A46A" w14:textId="77777777" w:rsidR="00DD13BF" w:rsidRDefault="00DD13BF" w:rsidP="00355A56">
            <w:pPr>
              <w:pStyle w:val="TableParagraph"/>
              <w:rPr>
                <w:sz w:val="20"/>
              </w:rPr>
            </w:pPr>
            <w:r>
              <w:rPr>
                <w:sz w:val="20"/>
              </w:rPr>
              <w:t>1</w:t>
            </w:r>
          </w:p>
        </w:tc>
        <w:tc>
          <w:tcPr>
            <w:tcW w:w="1133" w:type="dxa"/>
          </w:tcPr>
          <w:p w14:paraId="57DB37B2"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0FF4828E" w14:textId="77777777" w:rsidR="00DD13BF" w:rsidRDefault="00DD13BF" w:rsidP="00355A56">
            <w:pPr>
              <w:pStyle w:val="TableParagraph"/>
              <w:rPr>
                <w:sz w:val="20"/>
              </w:rPr>
            </w:pPr>
            <w:r>
              <w:rPr>
                <w:sz w:val="20"/>
              </w:rPr>
              <w:t xml:space="preserve">Less developed </w:t>
            </w:r>
          </w:p>
        </w:tc>
        <w:tc>
          <w:tcPr>
            <w:tcW w:w="3099" w:type="dxa"/>
          </w:tcPr>
          <w:p w14:paraId="324141BA" w14:textId="77777777" w:rsidR="00DD13BF" w:rsidRDefault="00DD13BF" w:rsidP="00355A56">
            <w:pPr>
              <w:pStyle w:val="TableParagraph"/>
              <w:rPr>
                <w:sz w:val="20"/>
              </w:rPr>
            </w:pPr>
            <w:r w:rsidRPr="002D4CC1">
              <w:rPr>
                <w:color w:val="000000"/>
                <w:sz w:val="20"/>
              </w:rPr>
              <w:t>RSO1.2</w:t>
            </w:r>
          </w:p>
        </w:tc>
        <w:tc>
          <w:tcPr>
            <w:tcW w:w="1161" w:type="dxa"/>
          </w:tcPr>
          <w:p w14:paraId="0C8342A2" w14:textId="77777777" w:rsidR="00DD13BF" w:rsidRDefault="00DD13BF" w:rsidP="00355A56">
            <w:pPr>
              <w:pStyle w:val="TableParagraph"/>
              <w:rPr>
                <w:sz w:val="20"/>
              </w:rPr>
            </w:pPr>
            <w:r>
              <w:rPr>
                <w:sz w:val="20"/>
              </w:rPr>
              <w:t>33</w:t>
            </w:r>
          </w:p>
        </w:tc>
        <w:tc>
          <w:tcPr>
            <w:tcW w:w="2731" w:type="dxa"/>
          </w:tcPr>
          <w:p w14:paraId="229FEDF6" w14:textId="77777777" w:rsidR="00DD13BF" w:rsidRDefault="00DD13BF" w:rsidP="00355A56">
            <w:pPr>
              <w:pStyle w:val="TableParagraph"/>
              <w:rPr>
                <w:sz w:val="20"/>
              </w:rPr>
            </w:pPr>
            <w:r>
              <w:rPr>
                <w:sz w:val="20"/>
              </w:rPr>
              <w:t>51,590,772</w:t>
            </w:r>
          </w:p>
        </w:tc>
      </w:tr>
      <w:tr w:rsidR="00DD13BF" w14:paraId="6251E030" w14:textId="77777777" w:rsidTr="00355A56">
        <w:trPr>
          <w:trHeight w:val="353"/>
        </w:trPr>
        <w:tc>
          <w:tcPr>
            <w:tcW w:w="2088" w:type="dxa"/>
          </w:tcPr>
          <w:p w14:paraId="6E183E1E" w14:textId="77777777" w:rsidR="00DD13BF" w:rsidRDefault="00DD13BF" w:rsidP="00355A56">
            <w:pPr>
              <w:pStyle w:val="TableParagraph"/>
              <w:rPr>
                <w:sz w:val="20"/>
              </w:rPr>
            </w:pPr>
            <w:r>
              <w:rPr>
                <w:sz w:val="20"/>
              </w:rPr>
              <w:t>1</w:t>
            </w:r>
          </w:p>
        </w:tc>
        <w:tc>
          <w:tcPr>
            <w:tcW w:w="1133" w:type="dxa"/>
          </w:tcPr>
          <w:p w14:paraId="33140002" w14:textId="77777777" w:rsidR="00DD13BF" w:rsidRDefault="00DD13BF" w:rsidP="00355A56">
            <w:pPr>
              <w:pStyle w:val="TableParagraph"/>
              <w:rPr>
                <w:sz w:val="20"/>
              </w:rPr>
            </w:pPr>
            <w:r>
              <w:rPr>
                <w:sz w:val="20"/>
              </w:rPr>
              <w:t>E</w:t>
            </w:r>
            <w:r w:rsidRPr="00205FF2">
              <w:rPr>
                <w:sz w:val="20"/>
              </w:rPr>
              <w:t>R</w:t>
            </w:r>
            <w:r>
              <w:rPr>
                <w:sz w:val="20"/>
              </w:rPr>
              <w:t>DF</w:t>
            </w:r>
          </w:p>
        </w:tc>
        <w:tc>
          <w:tcPr>
            <w:tcW w:w="3249" w:type="dxa"/>
          </w:tcPr>
          <w:p w14:paraId="215110FD" w14:textId="77777777" w:rsidR="00DD13BF" w:rsidRPr="00205FF2" w:rsidRDefault="00DD13BF" w:rsidP="00355A56">
            <w:pPr>
              <w:rPr>
                <w:sz w:val="20"/>
              </w:rPr>
            </w:pPr>
            <w:r>
              <w:rPr>
                <w:sz w:val="20"/>
              </w:rPr>
              <w:t xml:space="preserve">More developed </w:t>
            </w:r>
          </w:p>
          <w:p w14:paraId="3E057F98" w14:textId="77777777" w:rsidR="00DD13BF" w:rsidRDefault="00DD13BF" w:rsidP="00355A56">
            <w:pPr>
              <w:pStyle w:val="TableParagraph"/>
              <w:rPr>
                <w:sz w:val="20"/>
              </w:rPr>
            </w:pPr>
          </w:p>
        </w:tc>
        <w:tc>
          <w:tcPr>
            <w:tcW w:w="3099" w:type="dxa"/>
          </w:tcPr>
          <w:p w14:paraId="73FCC135" w14:textId="77777777" w:rsidR="00DD13BF" w:rsidRDefault="00DD13BF" w:rsidP="00355A56">
            <w:pPr>
              <w:pStyle w:val="TableParagraph"/>
              <w:rPr>
                <w:sz w:val="20"/>
              </w:rPr>
            </w:pPr>
            <w:r w:rsidRPr="002D4CC1">
              <w:rPr>
                <w:color w:val="000000"/>
                <w:sz w:val="20"/>
              </w:rPr>
              <w:t>RSO1.2</w:t>
            </w:r>
          </w:p>
        </w:tc>
        <w:tc>
          <w:tcPr>
            <w:tcW w:w="1161" w:type="dxa"/>
          </w:tcPr>
          <w:p w14:paraId="428D0A09" w14:textId="77777777" w:rsidR="00DD13BF" w:rsidRDefault="00DD13BF" w:rsidP="00355A56">
            <w:pPr>
              <w:pStyle w:val="TableParagraph"/>
              <w:rPr>
                <w:sz w:val="20"/>
              </w:rPr>
            </w:pPr>
            <w:r>
              <w:rPr>
                <w:sz w:val="20"/>
              </w:rPr>
              <w:t>33</w:t>
            </w:r>
          </w:p>
        </w:tc>
        <w:tc>
          <w:tcPr>
            <w:tcW w:w="2731" w:type="dxa"/>
          </w:tcPr>
          <w:p w14:paraId="37C6D7CF" w14:textId="77777777" w:rsidR="00DD13BF" w:rsidRDefault="00DD13BF" w:rsidP="00355A56">
            <w:pPr>
              <w:pStyle w:val="TableParagraph"/>
              <w:rPr>
                <w:sz w:val="20"/>
              </w:rPr>
            </w:pPr>
            <w:r>
              <w:rPr>
                <w:sz w:val="20"/>
              </w:rPr>
              <w:t>36,328,372</w:t>
            </w:r>
          </w:p>
        </w:tc>
      </w:tr>
    </w:tbl>
    <w:p w14:paraId="7A126FEB" w14:textId="77777777" w:rsidR="00DD13BF" w:rsidRDefault="00DD13BF" w:rsidP="00DD13BF"/>
    <w:p w14:paraId="305C8C73" w14:textId="77777777" w:rsidR="00DD13BF" w:rsidRDefault="00DD13BF" w:rsidP="00DD13BF">
      <w:pPr>
        <w:ind w:left="339"/>
      </w:pPr>
      <w:r>
        <w:rPr>
          <w:spacing w:val="-5"/>
        </w:rPr>
        <w:t>Table 7:</w:t>
      </w:r>
      <w:r>
        <w:rPr>
          <w:spacing w:val="-9"/>
        </w:rPr>
        <w:t xml:space="preserve"> Dimension</w:t>
      </w:r>
      <w:r>
        <w:rPr>
          <w:spacing w:val="-5"/>
        </w:rPr>
        <w:t xml:space="preserve"> 6</w:t>
      </w:r>
      <w:r>
        <w:rPr>
          <w:spacing w:val="-2"/>
        </w:rPr>
        <w:t xml:space="preserve"> </w:t>
      </w:r>
      <w:r>
        <w:rPr>
          <w:spacing w:val="-5"/>
        </w:rPr>
        <w:t>–</w:t>
      </w:r>
      <w:r>
        <w:rPr>
          <w:spacing w:val="-2"/>
        </w:rPr>
        <w:t xml:space="preserve"> ESF+ secondary themes </w:t>
      </w:r>
    </w:p>
    <w:p w14:paraId="6984D7D7"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6C86042" w14:textId="77777777" w:rsidTr="00355A56">
        <w:trPr>
          <w:trHeight w:val="353"/>
        </w:trPr>
        <w:tc>
          <w:tcPr>
            <w:tcW w:w="2088" w:type="dxa"/>
          </w:tcPr>
          <w:p w14:paraId="2859388F" w14:textId="77777777" w:rsidR="00DD13BF" w:rsidRDefault="00DD13BF" w:rsidP="00355A56">
            <w:pPr>
              <w:pStyle w:val="TableParagraph"/>
              <w:ind w:left="115"/>
              <w:jc w:val="center"/>
            </w:pPr>
            <w:r>
              <w:rPr>
                <w:spacing w:val="-2"/>
              </w:rPr>
              <w:t>Priority No</w:t>
            </w:r>
          </w:p>
        </w:tc>
        <w:tc>
          <w:tcPr>
            <w:tcW w:w="1132" w:type="dxa"/>
          </w:tcPr>
          <w:p w14:paraId="01DB9D8B" w14:textId="77777777" w:rsidR="00DD13BF" w:rsidRDefault="00DD13BF" w:rsidP="00355A56">
            <w:pPr>
              <w:pStyle w:val="TableParagraph"/>
              <w:ind w:left="321"/>
            </w:pPr>
            <w:r>
              <w:t>Fund</w:t>
            </w:r>
          </w:p>
        </w:tc>
        <w:tc>
          <w:tcPr>
            <w:tcW w:w="3248" w:type="dxa"/>
          </w:tcPr>
          <w:p w14:paraId="61379DEF" w14:textId="77777777" w:rsidR="00DD13BF" w:rsidRDefault="00DD13BF" w:rsidP="00355A56">
            <w:pPr>
              <w:pStyle w:val="TableParagraph"/>
              <w:ind w:left="909"/>
            </w:pPr>
            <w:r>
              <w:rPr>
                <w:spacing w:val="-3"/>
              </w:rPr>
              <w:t>Category of region</w:t>
            </w:r>
          </w:p>
        </w:tc>
        <w:tc>
          <w:tcPr>
            <w:tcW w:w="3098" w:type="dxa"/>
          </w:tcPr>
          <w:p w14:paraId="2DB2BBC2" w14:textId="77777777" w:rsidR="00DD13BF" w:rsidRDefault="00DD13BF" w:rsidP="00355A56">
            <w:pPr>
              <w:pStyle w:val="TableParagraph"/>
              <w:ind w:left="950"/>
            </w:pPr>
            <w:r>
              <w:rPr>
                <w:spacing w:val="-4"/>
              </w:rPr>
              <w:t>Specific objective</w:t>
            </w:r>
          </w:p>
        </w:tc>
        <w:tc>
          <w:tcPr>
            <w:tcW w:w="1160" w:type="dxa"/>
          </w:tcPr>
          <w:p w14:paraId="3CD9DB77" w14:textId="77777777" w:rsidR="00DD13BF" w:rsidRDefault="00DD13BF" w:rsidP="00355A56">
            <w:pPr>
              <w:pStyle w:val="TableParagraph"/>
              <w:ind w:left="337"/>
            </w:pPr>
            <w:r>
              <w:t xml:space="preserve">Code </w:t>
            </w:r>
          </w:p>
        </w:tc>
        <w:tc>
          <w:tcPr>
            <w:tcW w:w="2730" w:type="dxa"/>
          </w:tcPr>
          <w:p w14:paraId="0CC543D8" w14:textId="77777777" w:rsidR="00DD13BF" w:rsidRDefault="00DD13BF" w:rsidP="00355A56">
            <w:pPr>
              <w:pStyle w:val="TableParagraph"/>
              <w:ind w:left="665"/>
            </w:pPr>
            <w:r>
              <w:t>Amount (in EUR)</w:t>
            </w:r>
          </w:p>
        </w:tc>
      </w:tr>
    </w:tbl>
    <w:p w14:paraId="50216C96" w14:textId="77777777" w:rsidR="00DD13BF" w:rsidRPr="00673ADB" w:rsidRDefault="00DD13BF" w:rsidP="00DD13BF"/>
    <w:p w14:paraId="2D4FA191" w14:textId="77777777" w:rsidR="00DD13BF" w:rsidRDefault="00DD13BF" w:rsidP="00DD13BF">
      <w:pPr>
        <w:ind w:left="339"/>
      </w:pPr>
      <w:r>
        <w:rPr>
          <w:spacing w:val="-5"/>
        </w:rPr>
        <w:t>Table 8:</w:t>
      </w:r>
      <w:r>
        <w:rPr>
          <w:spacing w:val="-9"/>
        </w:rPr>
        <w:t xml:space="preserve"> Dimension</w:t>
      </w:r>
      <w:r>
        <w:rPr>
          <w:spacing w:val="-5"/>
        </w:rPr>
        <w:t xml:space="preserve"> 7</w:t>
      </w:r>
      <w:r>
        <w:rPr>
          <w:spacing w:val="-3"/>
        </w:rPr>
        <w:t xml:space="preserve"> </w:t>
      </w:r>
      <w:r>
        <w:rPr>
          <w:spacing w:val="-5"/>
        </w:rPr>
        <w:t>–</w:t>
      </w:r>
      <w:r>
        <w:rPr>
          <w:spacing w:val="-3"/>
        </w:rPr>
        <w:t xml:space="preserve"> </w:t>
      </w:r>
      <w:r>
        <w:t>ESF+*, ERDF, Cohesion Fund and JTF gender equality dimension</w:t>
      </w:r>
    </w:p>
    <w:p w14:paraId="62F600CE"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AE29740" w14:textId="77777777" w:rsidTr="00355A56">
        <w:trPr>
          <w:trHeight w:val="353"/>
        </w:trPr>
        <w:tc>
          <w:tcPr>
            <w:tcW w:w="2088" w:type="dxa"/>
          </w:tcPr>
          <w:p w14:paraId="1289C378" w14:textId="77777777" w:rsidR="00DD13BF" w:rsidRDefault="00DD13BF" w:rsidP="00355A56">
            <w:pPr>
              <w:pStyle w:val="TableParagraph"/>
              <w:ind w:left="115"/>
              <w:jc w:val="center"/>
            </w:pPr>
            <w:r>
              <w:rPr>
                <w:spacing w:val="-2"/>
              </w:rPr>
              <w:t>Priority No</w:t>
            </w:r>
          </w:p>
        </w:tc>
        <w:tc>
          <w:tcPr>
            <w:tcW w:w="1132" w:type="dxa"/>
          </w:tcPr>
          <w:p w14:paraId="4A1C83E5" w14:textId="77777777" w:rsidR="00DD13BF" w:rsidRDefault="00DD13BF" w:rsidP="00355A56">
            <w:pPr>
              <w:pStyle w:val="TableParagraph"/>
              <w:ind w:left="320"/>
            </w:pPr>
            <w:r>
              <w:t>Fund</w:t>
            </w:r>
          </w:p>
        </w:tc>
        <w:tc>
          <w:tcPr>
            <w:tcW w:w="3248" w:type="dxa"/>
          </w:tcPr>
          <w:p w14:paraId="42FCD5F6" w14:textId="77777777" w:rsidR="00DD13BF" w:rsidRDefault="00DD13BF" w:rsidP="00355A56">
            <w:pPr>
              <w:pStyle w:val="TableParagraph"/>
              <w:ind w:left="908"/>
            </w:pPr>
            <w:r>
              <w:rPr>
                <w:spacing w:val="-3"/>
              </w:rPr>
              <w:t>Category of region</w:t>
            </w:r>
          </w:p>
        </w:tc>
        <w:tc>
          <w:tcPr>
            <w:tcW w:w="3098" w:type="dxa"/>
          </w:tcPr>
          <w:p w14:paraId="78A91C2D" w14:textId="77777777" w:rsidR="00DD13BF" w:rsidRDefault="00DD13BF" w:rsidP="00355A56">
            <w:pPr>
              <w:pStyle w:val="TableParagraph"/>
              <w:ind w:left="950"/>
            </w:pPr>
            <w:r>
              <w:rPr>
                <w:spacing w:val="-4"/>
              </w:rPr>
              <w:t>Specific objective</w:t>
            </w:r>
          </w:p>
        </w:tc>
        <w:tc>
          <w:tcPr>
            <w:tcW w:w="1160" w:type="dxa"/>
          </w:tcPr>
          <w:p w14:paraId="0AAAD413" w14:textId="77777777" w:rsidR="00DD13BF" w:rsidRDefault="00DD13BF" w:rsidP="00355A56">
            <w:pPr>
              <w:pStyle w:val="TableParagraph"/>
              <w:ind w:left="336"/>
            </w:pPr>
            <w:r>
              <w:t xml:space="preserve">Code </w:t>
            </w:r>
          </w:p>
        </w:tc>
        <w:tc>
          <w:tcPr>
            <w:tcW w:w="2730" w:type="dxa"/>
          </w:tcPr>
          <w:p w14:paraId="56969BC4" w14:textId="77777777" w:rsidR="00DD13BF" w:rsidRDefault="00DD13BF" w:rsidP="00355A56">
            <w:pPr>
              <w:pStyle w:val="TableParagraph"/>
              <w:ind w:left="664"/>
            </w:pPr>
            <w:r>
              <w:t>Amount (in EUR)</w:t>
            </w:r>
          </w:p>
        </w:tc>
      </w:tr>
      <w:tr w:rsidR="00DD13BF" w14:paraId="1CD51D9B" w14:textId="77777777" w:rsidTr="00355A56">
        <w:trPr>
          <w:trHeight w:val="353"/>
        </w:trPr>
        <w:tc>
          <w:tcPr>
            <w:tcW w:w="2088" w:type="dxa"/>
          </w:tcPr>
          <w:p w14:paraId="11D1656B" w14:textId="77777777" w:rsidR="00DD13BF" w:rsidRDefault="00DD13BF" w:rsidP="00355A56">
            <w:pPr>
              <w:pStyle w:val="TableParagraph"/>
              <w:rPr>
                <w:sz w:val="20"/>
              </w:rPr>
            </w:pPr>
            <w:r>
              <w:rPr>
                <w:sz w:val="20"/>
              </w:rPr>
              <w:t>1</w:t>
            </w:r>
          </w:p>
        </w:tc>
        <w:tc>
          <w:tcPr>
            <w:tcW w:w="1132" w:type="dxa"/>
          </w:tcPr>
          <w:p w14:paraId="292C7464" w14:textId="77777777" w:rsidR="00DD13BF" w:rsidRDefault="00DD13BF" w:rsidP="00355A56">
            <w:pPr>
              <w:pStyle w:val="TableParagraph"/>
              <w:rPr>
                <w:sz w:val="20"/>
              </w:rPr>
            </w:pPr>
            <w:r>
              <w:rPr>
                <w:sz w:val="20"/>
              </w:rPr>
              <w:t>E</w:t>
            </w:r>
            <w:r w:rsidRPr="00205FF2">
              <w:rPr>
                <w:sz w:val="20"/>
              </w:rPr>
              <w:t>R</w:t>
            </w:r>
            <w:r>
              <w:rPr>
                <w:sz w:val="20"/>
              </w:rPr>
              <w:t>DF</w:t>
            </w:r>
          </w:p>
        </w:tc>
        <w:tc>
          <w:tcPr>
            <w:tcW w:w="3248" w:type="dxa"/>
          </w:tcPr>
          <w:p w14:paraId="2979F4D9" w14:textId="77777777" w:rsidR="00DD13BF" w:rsidRDefault="00DD13BF" w:rsidP="00355A56">
            <w:pPr>
              <w:pStyle w:val="TableParagraph"/>
              <w:rPr>
                <w:sz w:val="20"/>
              </w:rPr>
            </w:pPr>
            <w:r>
              <w:rPr>
                <w:sz w:val="20"/>
              </w:rPr>
              <w:t xml:space="preserve">Less developed </w:t>
            </w:r>
          </w:p>
        </w:tc>
        <w:tc>
          <w:tcPr>
            <w:tcW w:w="3098" w:type="dxa"/>
          </w:tcPr>
          <w:p w14:paraId="46B2FE7A" w14:textId="77777777" w:rsidR="00DD13BF" w:rsidRDefault="00DD13BF" w:rsidP="00355A56">
            <w:pPr>
              <w:pStyle w:val="TableParagraph"/>
              <w:rPr>
                <w:sz w:val="20"/>
              </w:rPr>
            </w:pPr>
            <w:r w:rsidRPr="00B76FB7">
              <w:rPr>
                <w:color w:val="000000"/>
                <w:sz w:val="20"/>
              </w:rPr>
              <w:t>RSO1.2</w:t>
            </w:r>
          </w:p>
        </w:tc>
        <w:tc>
          <w:tcPr>
            <w:tcW w:w="1160" w:type="dxa"/>
          </w:tcPr>
          <w:p w14:paraId="5BD95966" w14:textId="77777777" w:rsidR="00DD13BF" w:rsidRDefault="00DD13BF" w:rsidP="00355A56">
            <w:pPr>
              <w:pStyle w:val="TableParagraph"/>
              <w:rPr>
                <w:sz w:val="20"/>
              </w:rPr>
            </w:pPr>
            <w:r>
              <w:rPr>
                <w:sz w:val="20"/>
              </w:rPr>
              <w:t>03</w:t>
            </w:r>
          </w:p>
        </w:tc>
        <w:tc>
          <w:tcPr>
            <w:tcW w:w="2730" w:type="dxa"/>
          </w:tcPr>
          <w:p w14:paraId="3C47780B" w14:textId="77777777" w:rsidR="00DD13BF" w:rsidRDefault="00DD13BF" w:rsidP="00355A56">
            <w:pPr>
              <w:pStyle w:val="TableParagraph"/>
              <w:rPr>
                <w:sz w:val="20"/>
              </w:rPr>
            </w:pPr>
            <w:r>
              <w:rPr>
                <w:sz w:val="20"/>
              </w:rPr>
              <w:t>51,590,772</w:t>
            </w:r>
          </w:p>
        </w:tc>
      </w:tr>
      <w:tr w:rsidR="00DD13BF" w14:paraId="6A2347F6" w14:textId="77777777" w:rsidTr="00355A56">
        <w:trPr>
          <w:trHeight w:val="353"/>
        </w:trPr>
        <w:tc>
          <w:tcPr>
            <w:tcW w:w="2088" w:type="dxa"/>
          </w:tcPr>
          <w:p w14:paraId="36DD9475" w14:textId="77777777" w:rsidR="00DD13BF" w:rsidRDefault="00DD13BF" w:rsidP="00355A56">
            <w:pPr>
              <w:pStyle w:val="TableParagraph"/>
              <w:rPr>
                <w:sz w:val="20"/>
              </w:rPr>
            </w:pPr>
            <w:r>
              <w:rPr>
                <w:sz w:val="20"/>
              </w:rPr>
              <w:t>1</w:t>
            </w:r>
          </w:p>
        </w:tc>
        <w:tc>
          <w:tcPr>
            <w:tcW w:w="1132" w:type="dxa"/>
          </w:tcPr>
          <w:p w14:paraId="6D951B7A" w14:textId="77777777" w:rsidR="00DD13BF" w:rsidRDefault="00DD13BF" w:rsidP="00355A56">
            <w:pPr>
              <w:pStyle w:val="TableParagraph"/>
              <w:rPr>
                <w:sz w:val="20"/>
              </w:rPr>
            </w:pPr>
            <w:r>
              <w:rPr>
                <w:sz w:val="20"/>
              </w:rPr>
              <w:t>E</w:t>
            </w:r>
            <w:r w:rsidRPr="00205FF2">
              <w:rPr>
                <w:sz w:val="20"/>
              </w:rPr>
              <w:t>R</w:t>
            </w:r>
            <w:r>
              <w:rPr>
                <w:sz w:val="20"/>
              </w:rPr>
              <w:t>DF</w:t>
            </w:r>
          </w:p>
        </w:tc>
        <w:tc>
          <w:tcPr>
            <w:tcW w:w="3248" w:type="dxa"/>
          </w:tcPr>
          <w:p w14:paraId="0C4C0265" w14:textId="77777777" w:rsidR="00DD13BF" w:rsidRPr="00205FF2" w:rsidRDefault="00DD13BF" w:rsidP="00355A56">
            <w:pPr>
              <w:rPr>
                <w:sz w:val="20"/>
              </w:rPr>
            </w:pPr>
            <w:r>
              <w:rPr>
                <w:sz w:val="20"/>
              </w:rPr>
              <w:t xml:space="preserve">More developed </w:t>
            </w:r>
          </w:p>
          <w:p w14:paraId="5B04A5E5" w14:textId="77777777" w:rsidR="00DD13BF" w:rsidRDefault="00DD13BF" w:rsidP="00355A56">
            <w:pPr>
              <w:pStyle w:val="TableParagraph"/>
              <w:rPr>
                <w:sz w:val="20"/>
              </w:rPr>
            </w:pPr>
          </w:p>
        </w:tc>
        <w:tc>
          <w:tcPr>
            <w:tcW w:w="3098" w:type="dxa"/>
          </w:tcPr>
          <w:p w14:paraId="5C5D2DC9" w14:textId="77777777" w:rsidR="00DD13BF" w:rsidRDefault="00DD13BF" w:rsidP="00355A56">
            <w:pPr>
              <w:pStyle w:val="TableParagraph"/>
              <w:rPr>
                <w:sz w:val="20"/>
              </w:rPr>
            </w:pPr>
            <w:r w:rsidRPr="00B76FB7">
              <w:rPr>
                <w:color w:val="000000"/>
                <w:sz w:val="20"/>
              </w:rPr>
              <w:t>RSO1.2</w:t>
            </w:r>
          </w:p>
        </w:tc>
        <w:tc>
          <w:tcPr>
            <w:tcW w:w="1160" w:type="dxa"/>
          </w:tcPr>
          <w:p w14:paraId="7DB271ED" w14:textId="77777777" w:rsidR="00DD13BF" w:rsidRDefault="00DD13BF" w:rsidP="00355A56">
            <w:pPr>
              <w:pStyle w:val="TableParagraph"/>
              <w:rPr>
                <w:sz w:val="20"/>
              </w:rPr>
            </w:pPr>
            <w:r>
              <w:rPr>
                <w:sz w:val="20"/>
              </w:rPr>
              <w:t>03</w:t>
            </w:r>
          </w:p>
        </w:tc>
        <w:tc>
          <w:tcPr>
            <w:tcW w:w="2730" w:type="dxa"/>
          </w:tcPr>
          <w:p w14:paraId="41C97F3E" w14:textId="77777777" w:rsidR="00DD13BF" w:rsidRDefault="00DD13BF" w:rsidP="00355A56">
            <w:pPr>
              <w:pStyle w:val="TableParagraph"/>
              <w:rPr>
                <w:sz w:val="20"/>
              </w:rPr>
            </w:pPr>
            <w:r>
              <w:rPr>
                <w:sz w:val="20"/>
              </w:rPr>
              <w:t>36,328,372</w:t>
            </w:r>
          </w:p>
        </w:tc>
      </w:tr>
    </w:tbl>
    <w:p w14:paraId="668C8B6C" w14:textId="77777777" w:rsidR="00DD13BF" w:rsidRPr="003E7652" w:rsidRDefault="00DD13BF" w:rsidP="00DD13BF">
      <w:pPr>
        <w:tabs>
          <w:tab w:val="left" w:pos="426"/>
        </w:tabs>
        <w:ind w:left="284"/>
        <w:rPr>
          <w:sz w:val="16"/>
          <w:szCs w:val="16"/>
        </w:rPr>
      </w:pPr>
      <w:r>
        <w:rPr>
          <w:b/>
          <w:position w:val="7"/>
          <w:sz w:val="15"/>
        </w:rPr>
        <w:t>*</w:t>
      </w:r>
      <w:r w:rsidRPr="003E7652">
        <w:rPr>
          <w:b/>
          <w:position w:val="7"/>
          <w:sz w:val="16"/>
          <w:szCs w:val="16"/>
        </w:rPr>
        <w:tab/>
      </w:r>
      <w:r w:rsidRPr="003E7652">
        <w:rPr>
          <w:spacing w:val="-4"/>
          <w:sz w:val="16"/>
          <w:szCs w:val="16"/>
        </w:rPr>
        <w:t>I</w:t>
      </w:r>
      <w:r w:rsidRPr="003E7652">
        <w:rPr>
          <w:sz w:val="16"/>
          <w:szCs w:val="16"/>
        </w:rPr>
        <w:t>n principle, 40 % for the ESF+ contributes to gender tracking. 100 % is applicable when Member State chooses to use Article 6 ESF+ Regulation as well as programme specific actions in gender equality.</w:t>
      </w:r>
    </w:p>
    <w:p w14:paraId="38CD8D05" w14:textId="77777777" w:rsidR="00DD13BF" w:rsidRDefault="00DD13BF" w:rsidP="00DD13BF">
      <w:pPr>
        <w:sectPr w:rsidR="00DD13BF" w:rsidSect="00FC3010">
          <w:headerReference w:type="default" r:id="rId23"/>
          <w:footerReference w:type="first" r:id="rId24"/>
          <w:type w:val="continuous"/>
          <w:pgSz w:w="16840" w:h="11910" w:orient="landscape"/>
          <w:pgMar w:top="1417" w:right="1417" w:bottom="1417" w:left="1417" w:header="708" w:footer="708" w:gutter="0"/>
          <w:cols w:space="708"/>
        </w:sectPr>
      </w:pPr>
    </w:p>
    <w:p w14:paraId="40A7CA0A" w14:textId="77777777" w:rsidR="00DD13BF" w:rsidRPr="001F2C7D" w:rsidRDefault="00DD13BF" w:rsidP="00DD13BF">
      <w:pPr>
        <w:tabs>
          <w:tab w:val="left" w:pos="426"/>
        </w:tabs>
        <w:spacing w:before="90" w:line="254" w:lineRule="exact"/>
        <w:ind w:left="284"/>
        <w:rPr>
          <w:sz w:val="16"/>
          <w:szCs w:val="16"/>
        </w:rPr>
      </w:pPr>
    </w:p>
    <w:p w14:paraId="7FFEB792" w14:textId="77777777" w:rsidR="00DD13BF" w:rsidRDefault="00DD13BF" w:rsidP="00DD13BF">
      <w:pPr>
        <w:spacing w:line="249" w:lineRule="exact"/>
      </w:pPr>
    </w:p>
    <w:p w14:paraId="69D5695A" w14:textId="77777777" w:rsidR="00DD13BF" w:rsidRDefault="00DD13BF" w:rsidP="00DD13BF">
      <w:pPr>
        <w:spacing w:line="249" w:lineRule="exact"/>
      </w:pPr>
    </w:p>
    <w:p w14:paraId="3B3791B7" w14:textId="77777777" w:rsidR="00DD13BF" w:rsidRDefault="00DD13BF" w:rsidP="00DD13BF">
      <w:pPr>
        <w:spacing w:line="249" w:lineRule="exact"/>
      </w:pPr>
    </w:p>
    <w:p w14:paraId="5DDDE229" w14:textId="3D88EE82" w:rsidR="00DD13BF" w:rsidRDefault="00DD13BF" w:rsidP="00DD13BF">
      <w:pPr>
        <w:spacing w:line="249" w:lineRule="exact"/>
      </w:pPr>
    </w:p>
    <w:p w14:paraId="4932BB55" w14:textId="63188BF5" w:rsidR="001364A9" w:rsidRDefault="001364A9" w:rsidP="00DD13BF">
      <w:pPr>
        <w:spacing w:line="249" w:lineRule="exact"/>
      </w:pPr>
    </w:p>
    <w:p w14:paraId="3FBE335C" w14:textId="77777777" w:rsidR="001364A9" w:rsidRDefault="001364A9" w:rsidP="00DD13BF">
      <w:pPr>
        <w:spacing w:line="249" w:lineRule="exact"/>
      </w:pPr>
    </w:p>
    <w:p w14:paraId="243A2014" w14:textId="77777777" w:rsidR="00DD13BF" w:rsidRDefault="00DD13BF" w:rsidP="00DD13BF">
      <w:pPr>
        <w:spacing w:line="249" w:lineRule="exact"/>
      </w:pPr>
    </w:p>
    <w:p w14:paraId="64ED694B" w14:textId="77777777" w:rsidR="00DD13BF" w:rsidRPr="001F2C7D" w:rsidRDefault="00DD13BF" w:rsidP="00DD13BF">
      <w:pPr>
        <w:spacing w:line="249" w:lineRule="exact"/>
        <w:sectPr w:rsidR="00DD13BF" w:rsidRPr="001F2C7D" w:rsidSect="00FC3010">
          <w:headerReference w:type="default" r:id="rId25"/>
          <w:footerReference w:type="first" r:id="rId26"/>
          <w:type w:val="continuous"/>
          <w:pgSz w:w="16840" w:h="11910" w:orient="landscape"/>
          <w:pgMar w:top="1417" w:right="1417" w:bottom="1417" w:left="1417" w:header="708" w:footer="708" w:gutter="0"/>
          <w:cols w:space="708"/>
        </w:sectPr>
      </w:pPr>
    </w:p>
    <w:p w14:paraId="02ED4DC6" w14:textId="77777777" w:rsidR="00DD13BF" w:rsidRPr="00BD3536" w:rsidRDefault="00DD13BF" w:rsidP="00DD13BF">
      <w:pPr>
        <w:pStyle w:val="Naslov4"/>
        <w:ind w:left="1134"/>
      </w:pPr>
      <w:bookmarkStart w:id="17" w:name="_Toc131161699"/>
      <w:r>
        <w:lastRenderedPageBreak/>
        <w:t xml:space="preserve">Specific objective </w:t>
      </w:r>
      <w:r w:rsidRPr="00C0049B">
        <w:t>RSO1.3</w:t>
      </w:r>
      <w:r>
        <w:t>.</w:t>
      </w:r>
      <w:r w:rsidRPr="00C0049B">
        <w:t xml:space="preserve"> </w:t>
      </w:r>
      <w:r>
        <w:t>Enhancing sustainable growth and competitiveness of SMEs and job creation in SMEs, including by productive investments (E</w:t>
      </w:r>
      <w:r w:rsidRPr="00C0049B">
        <w:t>R</w:t>
      </w:r>
      <w:r>
        <w:t>DF</w:t>
      </w:r>
      <w:r w:rsidRPr="00C0049B">
        <w:t>)</w:t>
      </w:r>
      <w:bookmarkEnd w:id="17"/>
    </w:p>
    <w:p w14:paraId="64CD4B24" w14:textId="77777777" w:rsidR="00DD13BF" w:rsidRDefault="00DD13BF" w:rsidP="00DD13BF">
      <w:pPr>
        <w:rPr>
          <w:sz w:val="30"/>
        </w:rPr>
      </w:pPr>
    </w:p>
    <w:p w14:paraId="32C89659" w14:textId="77777777" w:rsidR="00DD13BF" w:rsidRPr="00C10464" w:rsidRDefault="00DD13BF" w:rsidP="00DD13BF">
      <w:pPr>
        <w:pStyle w:val="Naslov5"/>
        <w:spacing w:before="0"/>
      </w:pPr>
      <w:r>
        <w:t>Interventions of the Funds</w:t>
      </w:r>
    </w:p>
    <w:p w14:paraId="543C9EE3" w14:textId="77777777" w:rsidR="00DD13BF" w:rsidRDefault="00DD13BF" w:rsidP="00DD13BF">
      <w:pPr>
        <w:rPr>
          <w:sz w:val="30"/>
        </w:rPr>
      </w:pPr>
    </w:p>
    <w:p w14:paraId="34A83A0A" w14:textId="77777777" w:rsidR="00DD13BF" w:rsidRDefault="00DD13BF" w:rsidP="00DD13BF">
      <w:pPr>
        <w:ind w:left="1349"/>
        <w:rPr>
          <w:spacing w:val="-2"/>
        </w:rPr>
      </w:pPr>
      <w:r>
        <w:rPr>
          <w:spacing w:val="-2"/>
        </w:rPr>
        <w:t>The related types of actions:</w:t>
      </w:r>
    </w:p>
    <w:p w14:paraId="34C767BA" w14:textId="77777777" w:rsidR="00DD13BF" w:rsidRDefault="00DD13BF" w:rsidP="00DD13BF">
      <w:pPr>
        <w:ind w:left="1349"/>
      </w:pPr>
    </w:p>
    <w:tbl>
      <w:tblPr>
        <w:tblStyle w:val="Tabelamrea"/>
        <w:tblW w:w="12844" w:type="dxa"/>
        <w:tblInd w:w="1271" w:type="dxa"/>
        <w:tblLook w:val="04A0" w:firstRow="1" w:lastRow="0" w:firstColumn="1" w:lastColumn="0" w:noHBand="0" w:noVBand="1"/>
      </w:tblPr>
      <w:tblGrid>
        <w:gridCol w:w="12844"/>
      </w:tblGrid>
      <w:tr w:rsidR="00DD13BF" w:rsidRPr="00B3569A" w14:paraId="69D1BDB6" w14:textId="77777777" w:rsidTr="00355A56">
        <w:trPr>
          <w:trHeight w:val="316"/>
        </w:trPr>
        <w:tc>
          <w:tcPr>
            <w:tcW w:w="12844" w:type="dxa"/>
          </w:tcPr>
          <w:p w14:paraId="60E31918" w14:textId="77777777" w:rsidR="00DD13BF" w:rsidRPr="00C4671C" w:rsidRDefault="00DD13BF" w:rsidP="00355A56">
            <w:pPr>
              <w:jc w:val="both"/>
              <w:rPr>
                <w:lang w:val="en-US" w:bidi="sl-SI"/>
              </w:rPr>
            </w:pPr>
            <w:r w:rsidRPr="00C4671C">
              <w:rPr>
                <w:lang w:val="en-US" w:bidi="sl-SI"/>
              </w:rPr>
              <w:t xml:space="preserve">The specific objective </w:t>
            </w:r>
            <w:r>
              <w:rPr>
                <w:lang w:val="en-US" w:bidi="sl-SI"/>
              </w:rPr>
              <w:t>a</w:t>
            </w:r>
            <w:r w:rsidRPr="00C4671C">
              <w:rPr>
                <w:lang w:val="en-US" w:bidi="sl-SI"/>
              </w:rPr>
              <w:t>i</w:t>
            </w:r>
            <w:r>
              <w:rPr>
                <w:lang w:val="en-US" w:bidi="sl-SI"/>
              </w:rPr>
              <w:t>m</w:t>
            </w:r>
            <w:r w:rsidRPr="00C4671C">
              <w:rPr>
                <w:lang w:val="en-US" w:bidi="sl-SI"/>
              </w:rPr>
              <w:t xml:space="preserve">s to enhance the competitiveness of the economy by creating products and services with high added value and to improve the corporate social responsibility of the businesses that will facilitate and speed up the transition to a climate-neutral society. Creation of high added value will be supported by innovations, promotion of creativity and harnessing of all opportunities of the Fourth Industrial Revolution. Particular attention in this context will be given to ensuring a stimulating and predictable environment that allows doing business and making investments by taking into account the specific needs and characteristics of small enterprises, and to promoting collaboration with cultural and creative industries and fostering internationalisation of businesses. </w:t>
            </w:r>
          </w:p>
          <w:p w14:paraId="03469559" w14:textId="77777777" w:rsidR="00DD13BF" w:rsidRPr="00C4671C" w:rsidRDefault="00DD13BF" w:rsidP="00355A56">
            <w:pPr>
              <w:rPr>
                <w:lang w:val="en-US" w:bidi="sl-SI"/>
              </w:rPr>
            </w:pPr>
          </w:p>
          <w:p w14:paraId="45DC32D3" w14:textId="77777777" w:rsidR="00DD13BF" w:rsidRPr="00C4671C" w:rsidRDefault="00DD13BF" w:rsidP="00355A56">
            <w:pPr>
              <w:jc w:val="both"/>
              <w:rPr>
                <w:lang w:val="en-US" w:bidi="sl-SI"/>
              </w:rPr>
            </w:pPr>
            <w:r w:rsidRPr="00C4671C">
              <w:rPr>
                <w:lang w:val="en-US" w:bidi="sl-SI"/>
              </w:rPr>
              <w:t>In order to boost growth and competitiveness of SMEs, the investments and actions will build on S5 focusing on the following:</w:t>
            </w:r>
          </w:p>
          <w:p w14:paraId="2B96AB09" w14:textId="77777777" w:rsidR="00DD13BF" w:rsidRPr="00C4671C" w:rsidRDefault="00DD13BF" w:rsidP="00DD13BF">
            <w:pPr>
              <w:pStyle w:val="Odstavekseznama"/>
              <w:widowControl/>
              <w:numPr>
                <w:ilvl w:val="0"/>
                <w:numId w:val="8"/>
              </w:numPr>
              <w:autoSpaceDE/>
              <w:autoSpaceDN/>
              <w:jc w:val="both"/>
              <w:rPr>
                <w:rFonts w:ascii="Times New Roman" w:hAnsi="Times New Roman" w:cs="Times New Roman"/>
                <w:i/>
                <w:lang w:val="en-US" w:bidi="sl-SI"/>
              </w:rPr>
            </w:pPr>
            <w:r w:rsidRPr="00C4671C">
              <w:rPr>
                <w:rFonts w:ascii="Times New Roman" w:hAnsi="Times New Roman" w:cs="Times New Roman"/>
                <w:i/>
                <w:lang w:val="en-US" w:bidi="sl-SI"/>
              </w:rPr>
              <w:t xml:space="preserve">development and optimisation of the ecosystem to support entrepreneurship and innovations </w:t>
            </w:r>
            <w:r w:rsidRPr="00C4671C">
              <w:rPr>
                <w:rFonts w:ascii="Times New Roman" w:hAnsi="Times New Roman" w:cs="Times New Roman"/>
                <w:lang w:val="en-US" w:bidi="sl-SI"/>
              </w:rPr>
              <w:t>through:</w:t>
            </w:r>
          </w:p>
          <w:p w14:paraId="4E2C55B4" w14:textId="77777777" w:rsidR="00DD13BF" w:rsidRPr="00C4671C"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C4671C">
              <w:rPr>
                <w:rFonts w:ascii="Times New Roman" w:hAnsi="Times New Roman" w:cs="Times New Roman"/>
                <w:lang w:val="en-US"/>
              </w:rPr>
              <w:t>upgrading and implementing comprehensive services to support businesses in their creation, growth and development, and in their transition to a low-carbon circular economy (e.g. in the scope of SPOT consulting points</w:t>
            </w:r>
            <w:r w:rsidRPr="00C4671C">
              <w:rPr>
                <w:rFonts w:ascii="Times New Roman" w:hAnsi="Times New Roman" w:cs="Times New Roman"/>
                <w:lang w:val="en-US" w:bidi="sl-SI"/>
              </w:rPr>
              <w:t xml:space="preserve">, innovation environment actors: university and business incubators, technology parks, accelerators, co-working spaces, learning labs, project PONI (An entrepreneurial approach to challenges)). Attention will also be given to specific target groups (e.g. young people, women) that will be able to receive incentives to start their career path in entrepreneurship.  </w:t>
            </w:r>
          </w:p>
          <w:p w14:paraId="15E0C7A4" w14:textId="77777777" w:rsidR="00DD13BF" w:rsidRPr="00C4671C" w:rsidRDefault="00DD13BF" w:rsidP="00DD13BF">
            <w:pPr>
              <w:pStyle w:val="Odstavekseznama"/>
              <w:widowControl/>
              <w:numPr>
                <w:ilvl w:val="1"/>
                <w:numId w:val="8"/>
              </w:numPr>
              <w:autoSpaceDE/>
              <w:autoSpaceDN/>
              <w:jc w:val="both"/>
              <w:rPr>
                <w:rFonts w:ascii="Times New Roman" w:hAnsi="Times New Roman" w:cs="Times New Roman"/>
                <w:lang w:val="en-US"/>
              </w:rPr>
            </w:pPr>
            <w:r w:rsidRPr="00C4671C">
              <w:rPr>
                <w:rFonts w:ascii="Times New Roman" w:hAnsi="Times New Roman" w:cs="Times New Roman"/>
                <w:lang w:val="en-US"/>
              </w:rPr>
              <w:t>Upgrading the SPOT Global system for domestic exporters and foreign investors to make the support offered more efficient and tailored to international business (e.g. relevant informa</w:t>
            </w:r>
            <w:r>
              <w:rPr>
                <w:rFonts w:ascii="Times New Roman" w:hAnsi="Times New Roman" w:cs="Times New Roman"/>
                <w:lang w:val="en-US"/>
              </w:rPr>
              <w:t>tion, presentations, advisory services, offices abroad, partner matchmaking and business opportunity database</w:t>
            </w:r>
            <w:r w:rsidRPr="00C4671C">
              <w:rPr>
                <w:rFonts w:ascii="Times New Roman" w:hAnsi="Times New Roman" w:cs="Times New Roman"/>
                <w:lang w:val="en-US"/>
              </w:rPr>
              <w:t xml:space="preserve">, tailored mentoring and training programmes in the area of international business to strengthen the potentials of businesses). </w:t>
            </w:r>
          </w:p>
          <w:p w14:paraId="6B578B9C" w14:textId="77777777" w:rsidR="00DD13BF" w:rsidRPr="00C4671C"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C4671C">
              <w:rPr>
                <w:rFonts w:ascii="Times New Roman" w:hAnsi="Times New Roman" w:cs="Times New Roman"/>
                <w:lang w:val="en-US"/>
              </w:rPr>
              <w:t>Upgrading the economic and business infrastructure to cater to the needs of RDI, help improve governance, strengthen cooperation and synergy effects of collaboration between businesses in business zones and to cater to the needs of specialisation</w:t>
            </w:r>
            <w:r>
              <w:rPr>
                <w:rFonts w:ascii="Times New Roman" w:hAnsi="Times New Roman" w:cs="Times New Roman"/>
                <w:lang w:val="en-US"/>
              </w:rPr>
              <w:t xml:space="preserve"> in S5 priority areas. D</w:t>
            </w:r>
            <w:r w:rsidRPr="00C4671C">
              <w:rPr>
                <w:rFonts w:ascii="Times New Roman" w:hAnsi="Times New Roman" w:cs="Times New Roman"/>
                <w:lang w:val="en-US"/>
              </w:rPr>
              <w:t xml:space="preserve">eveloping business and economic infrastructure necessary </w:t>
            </w:r>
            <w:r>
              <w:rPr>
                <w:rFonts w:ascii="Times New Roman" w:hAnsi="Times New Roman" w:cs="Times New Roman"/>
                <w:lang w:val="en-US"/>
              </w:rPr>
              <w:t>for the operation of incubators. T</w:t>
            </w:r>
            <w:r w:rsidRPr="00C4671C">
              <w:rPr>
                <w:rFonts w:ascii="Times New Roman" w:hAnsi="Times New Roman" w:cs="Times New Roman"/>
                <w:lang w:val="en-US"/>
              </w:rPr>
              <w:t xml:space="preserve">hese actions will complement the support provided under the RRP and the JTF to facilitate and scale up productivity and innovations of local businesses and the entrepreneurship ecosystem towards greening and digitalisation of business process with a clear focus on priority areas.  </w:t>
            </w:r>
          </w:p>
          <w:p w14:paraId="1893BFE2" w14:textId="77777777" w:rsidR="00DD13BF" w:rsidRPr="003B570B" w:rsidRDefault="00DD13BF" w:rsidP="00DD13BF">
            <w:pPr>
              <w:pStyle w:val="Odstavekseznama"/>
              <w:widowControl/>
              <w:numPr>
                <w:ilvl w:val="1"/>
                <w:numId w:val="8"/>
              </w:numPr>
              <w:autoSpaceDE/>
              <w:autoSpaceDN/>
              <w:jc w:val="both"/>
              <w:rPr>
                <w:rFonts w:ascii="Times New Roman" w:hAnsi="Times New Roman"/>
                <w:lang w:val="en-US"/>
              </w:rPr>
            </w:pPr>
            <w:r w:rsidRPr="00C4671C">
              <w:rPr>
                <w:rFonts w:ascii="Times New Roman" w:hAnsi="Times New Roman"/>
                <w:lang w:val="en-US"/>
              </w:rPr>
              <w:t>Smart management of Slovenian tourism destinations and actions for integration and promotion of the potentials of culture and cultural and natural heritage for entrepreneurship and tourism. Attention will be given to the development of tourism destinations and their active management at the destination and entrepreneurship level (strategic planning and coordination of destination</w:t>
            </w:r>
            <w:r>
              <w:rPr>
                <w:rFonts w:ascii="Times New Roman" w:hAnsi="Times New Roman"/>
              </w:rPr>
              <w:t xml:space="preserve"> </w:t>
            </w:r>
            <w:r w:rsidRPr="003B570B">
              <w:rPr>
                <w:rFonts w:ascii="Times New Roman" w:hAnsi="Times New Roman"/>
                <w:lang w:val="en-US"/>
              </w:rPr>
              <w:lastRenderedPageBreak/>
              <w:t xml:space="preserve">management, development and promotion of tourism products at the ecosystem level, including valorisation of cultural and natural heritage, integration of tourism offer, promotion, digitalisation, mobility, better quality of tourism services, improved competences of destination organisations). Destination management is one of the key elements of the success and competitiveness of tourism; as such, it indirectly addresses all development objectives.   </w:t>
            </w:r>
          </w:p>
          <w:p w14:paraId="7734FD44" w14:textId="77777777" w:rsidR="00DD13BF" w:rsidRPr="003B570B" w:rsidRDefault="00DD13BF" w:rsidP="00DD13BF">
            <w:pPr>
              <w:pStyle w:val="Odstavekseznama"/>
              <w:widowControl/>
              <w:numPr>
                <w:ilvl w:val="1"/>
                <w:numId w:val="8"/>
              </w:numPr>
              <w:autoSpaceDE/>
              <w:autoSpaceDN/>
              <w:jc w:val="both"/>
              <w:rPr>
                <w:rFonts w:ascii="Times New Roman" w:hAnsi="Times New Roman"/>
                <w:lang w:val="en-US"/>
              </w:rPr>
            </w:pPr>
            <w:r w:rsidRPr="003B570B">
              <w:rPr>
                <w:rFonts w:ascii="Times New Roman" w:hAnsi="Times New Roman"/>
                <w:lang w:val="en-US"/>
              </w:rPr>
              <w:t xml:space="preserve">Supporting the national platform of cultural and creative industries (cultural and creative sectors). The country needs to foster the use and integration of new knowledge, artistic achievements and cultural and creative industries with the other sectors of the economy and the society as well as with </w:t>
            </w:r>
            <w:r>
              <w:rPr>
                <w:rFonts w:ascii="Times New Roman" w:hAnsi="Times New Roman"/>
                <w:lang w:val="en-US"/>
              </w:rPr>
              <w:t xml:space="preserve">the </w:t>
            </w:r>
            <w:r w:rsidRPr="003B570B">
              <w:rPr>
                <w:rFonts w:ascii="Times New Roman" w:hAnsi="Times New Roman"/>
                <w:lang w:val="en-US"/>
              </w:rPr>
              <w:t xml:space="preserve">state-of-the-art technologies to build a stronger knowledge-based society and boost innovation and creativity.  </w:t>
            </w:r>
          </w:p>
          <w:p w14:paraId="46E51470" w14:textId="77777777" w:rsidR="00DD13BF" w:rsidRPr="003B570B"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3B570B">
              <w:rPr>
                <w:rFonts w:ascii="Times New Roman" w:hAnsi="Times New Roman" w:cs="Times New Roman"/>
                <w:lang w:val="en-US" w:bidi="sl-SI"/>
              </w:rPr>
              <w:t>Building administrative capacities of businesses in the area of e-procurement;</w:t>
            </w:r>
          </w:p>
          <w:p w14:paraId="5D4DD48B" w14:textId="77777777" w:rsidR="00DD13BF" w:rsidRPr="003B570B" w:rsidRDefault="00DD13BF" w:rsidP="00355A56">
            <w:pPr>
              <w:jc w:val="both"/>
              <w:rPr>
                <w:i/>
                <w:lang w:val="en-US" w:bidi="sl-SI"/>
              </w:rPr>
            </w:pPr>
          </w:p>
          <w:p w14:paraId="0DDFB9C2" w14:textId="77777777" w:rsidR="00DD13BF" w:rsidRPr="003B570B" w:rsidRDefault="00DD13BF" w:rsidP="00DD13BF">
            <w:pPr>
              <w:pStyle w:val="Odstavekseznama"/>
              <w:widowControl/>
              <w:numPr>
                <w:ilvl w:val="0"/>
                <w:numId w:val="8"/>
              </w:numPr>
              <w:autoSpaceDE/>
              <w:autoSpaceDN/>
              <w:jc w:val="both"/>
              <w:rPr>
                <w:rFonts w:ascii="Times New Roman" w:hAnsi="Times New Roman" w:cs="Times New Roman"/>
                <w:i/>
                <w:lang w:val="en-US" w:bidi="sl-SI"/>
              </w:rPr>
            </w:pPr>
            <w:r w:rsidRPr="003B570B">
              <w:rPr>
                <w:rFonts w:ascii="Times New Roman" w:hAnsi="Times New Roman" w:cs="Times New Roman"/>
                <w:i/>
                <w:lang w:val="en-US" w:bidi="sl-SI"/>
              </w:rPr>
              <w:t>transition of new business ventures and newly born enterprises to a faster growth phase (start-ups and enterprises undergoing transition to the next growth stage) and measures for fast-growing enterprises (scale-ups</w:t>
            </w:r>
            <w:r w:rsidRPr="003B570B">
              <w:rPr>
                <w:rFonts w:ascii="Times New Roman" w:hAnsi="Times New Roman" w:cs="Times New Roman"/>
                <w:i/>
                <w:lang w:val="en-US"/>
              </w:rPr>
              <w:t>)</w:t>
            </w:r>
            <w:r w:rsidRPr="003B570B">
              <w:rPr>
                <w:rFonts w:ascii="Times New Roman" w:hAnsi="Times New Roman" w:cs="Times New Roman"/>
                <w:lang w:val="en-US" w:bidi="sl-SI"/>
              </w:rPr>
              <w:t xml:space="preserve"> through: </w:t>
            </w:r>
          </w:p>
          <w:p w14:paraId="5AE5F21C" w14:textId="77777777" w:rsidR="00DD13BF" w:rsidRPr="003B570B" w:rsidRDefault="00DD13BF" w:rsidP="00DD13BF">
            <w:pPr>
              <w:pStyle w:val="Odstavekseznama"/>
              <w:widowControl/>
              <w:numPr>
                <w:ilvl w:val="1"/>
                <w:numId w:val="8"/>
              </w:numPr>
              <w:autoSpaceDE/>
              <w:autoSpaceDN/>
              <w:jc w:val="both"/>
              <w:rPr>
                <w:rFonts w:ascii="Times New Roman" w:hAnsi="Times New Roman" w:cs="Times New Roman"/>
                <w:lang w:val="en-US" w:bidi="sl-SI"/>
              </w:rPr>
            </w:pPr>
            <w:r>
              <w:rPr>
                <w:rFonts w:ascii="Times New Roman" w:hAnsi="Times New Roman" w:cs="Times New Roman"/>
                <w:lang w:val="en-US"/>
              </w:rPr>
              <w:t>s</w:t>
            </w:r>
            <w:r w:rsidRPr="003B570B">
              <w:rPr>
                <w:rFonts w:ascii="Times New Roman" w:hAnsi="Times New Roman" w:cs="Times New Roman"/>
                <w:lang w:val="en-US"/>
              </w:rPr>
              <w:t xml:space="preserve">upporting young enterprises and new business ventures (start-ups) in their initial </w:t>
            </w:r>
            <w:r>
              <w:rPr>
                <w:rFonts w:ascii="Times New Roman" w:hAnsi="Times New Roman" w:cs="Times New Roman"/>
                <w:lang w:val="en-US"/>
              </w:rPr>
              <w:t>operations</w:t>
            </w:r>
            <w:r w:rsidRPr="003B570B">
              <w:rPr>
                <w:rFonts w:ascii="Times New Roman" w:hAnsi="Times New Roman" w:cs="Times New Roman"/>
                <w:lang w:val="en-US"/>
              </w:rPr>
              <w:t>. As a priority, support will focus on business areas that comply with the principles of climate neutrality and cir</w:t>
            </w:r>
            <w:r>
              <w:rPr>
                <w:rFonts w:ascii="Times New Roman" w:hAnsi="Times New Roman" w:cs="Times New Roman"/>
                <w:lang w:val="en-US"/>
              </w:rPr>
              <w:t>cu</w:t>
            </w:r>
            <w:r w:rsidRPr="003B570B">
              <w:rPr>
                <w:rFonts w:ascii="Times New Roman" w:hAnsi="Times New Roman" w:cs="Times New Roman"/>
                <w:lang w:val="en-US"/>
              </w:rPr>
              <w:t xml:space="preserve">lar economy. We will improve the processes relating to starting an enterprise, operation of an enterprise and harnessing of their development potentials as well as the processes relating to their competitiveness in domestic or foreign markets, which will help reduce mortality rates among enterprises in the initial lifecycle stages and increase their survival rates while boosting their growth.    </w:t>
            </w:r>
          </w:p>
          <w:p w14:paraId="42860393" w14:textId="77777777" w:rsidR="00DD13BF" w:rsidRPr="003B570B"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3B570B">
              <w:rPr>
                <w:rFonts w:ascii="Times New Roman" w:hAnsi="Times New Roman" w:cs="Times New Roman"/>
                <w:lang w:val="en-US"/>
              </w:rPr>
              <w:t xml:space="preserve">Mix of measures targeting fast-growing enterprises (scale-ups and scale-outs) that will include the identification of (potential) fast-growing enterprises, setting-up of an experienced mentoring team providing coaching and mentoring to support the growth and development of enterprises (training of enterprises held abroad), experience sharing with seasoned entrepreneurs (at promotional and networking events), cooperation with educational and research institutions and providers of </w:t>
            </w:r>
            <w:r>
              <w:rPr>
                <w:rFonts w:ascii="Times New Roman" w:hAnsi="Times New Roman" w:cs="Times New Roman"/>
                <w:lang w:val="en-US"/>
              </w:rPr>
              <w:t>advisory se</w:t>
            </w:r>
            <w:r w:rsidRPr="003B570B">
              <w:rPr>
                <w:rFonts w:ascii="Times New Roman" w:hAnsi="Times New Roman" w:cs="Times New Roman"/>
                <w:lang w:val="en-US"/>
              </w:rPr>
              <w:t>rvices, close cooperation with financial institutions and investors (</w:t>
            </w:r>
            <w:r w:rsidRPr="003B570B">
              <w:rPr>
                <w:rFonts w:ascii="Times New Roman" w:hAnsi="Times New Roman"/>
                <w:lang w:val="en-US"/>
              </w:rPr>
              <w:t>scale-up financing, particularly equity</w:t>
            </w:r>
            <w:r w:rsidRPr="003B570B">
              <w:rPr>
                <w:rFonts w:ascii="Times New Roman" w:hAnsi="Times New Roman" w:cs="Times New Roman"/>
                <w:lang w:val="en-US" w:bidi="sl-SI"/>
              </w:rPr>
              <w:t>);</w:t>
            </w:r>
          </w:p>
          <w:p w14:paraId="2A43EB5B" w14:textId="77777777" w:rsidR="00DD13BF" w:rsidRPr="003B570B" w:rsidRDefault="00DD13BF" w:rsidP="00355A56">
            <w:pPr>
              <w:jc w:val="both"/>
              <w:rPr>
                <w:lang w:val="en-US" w:bidi="sl-SI"/>
              </w:rPr>
            </w:pPr>
          </w:p>
          <w:p w14:paraId="0AA8CA71" w14:textId="77777777" w:rsidR="00DD13BF" w:rsidRPr="003B570B" w:rsidRDefault="00DD13BF" w:rsidP="00DD13BF">
            <w:pPr>
              <w:pStyle w:val="Odstavekseznama"/>
              <w:widowControl/>
              <w:numPr>
                <w:ilvl w:val="0"/>
                <w:numId w:val="8"/>
              </w:numPr>
              <w:autoSpaceDE/>
              <w:autoSpaceDN/>
              <w:jc w:val="both"/>
              <w:rPr>
                <w:rFonts w:ascii="Times New Roman" w:hAnsi="Times New Roman" w:cs="Times New Roman"/>
                <w:i/>
                <w:lang w:val="en-US" w:bidi="sl-SI"/>
              </w:rPr>
            </w:pPr>
            <w:r w:rsidRPr="003B570B">
              <w:rPr>
                <w:rFonts w:ascii="Times New Roman" w:hAnsi="Times New Roman" w:cs="Times New Roman"/>
                <w:i/>
                <w:lang w:val="en-US" w:bidi="sl-SI"/>
              </w:rPr>
              <w:t xml:space="preserve">growth and development of enterprises (various incentives, e.g. incentives for innovation, including social innovation, etc.) </w:t>
            </w:r>
            <w:r w:rsidRPr="003B570B">
              <w:rPr>
                <w:rFonts w:ascii="Times New Roman" w:hAnsi="Times New Roman" w:cs="Times New Roman"/>
                <w:lang w:val="en-US" w:bidi="sl-SI"/>
              </w:rPr>
              <w:t>with measures for adopting innovative approaches across various business segments, as dictated by global trends (transition to a low-carbon economy, population ageing, etc.). These actions will ensure further growth and development of enterprises, boosting their innovation and competitiveness. In this context, the country intends to carry out the following actions:</w:t>
            </w:r>
          </w:p>
          <w:p w14:paraId="086B165D" w14:textId="77777777" w:rsidR="00DD13BF" w:rsidRPr="003B570B" w:rsidRDefault="00DD13BF" w:rsidP="00DD13BF">
            <w:pPr>
              <w:pStyle w:val="Odstavekseznama"/>
              <w:widowControl/>
              <w:numPr>
                <w:ilvl w:val="1"/>
                <w:numId w:val="8"/>
              </w:numPr>
              <w:autoSpaceDE/>
              <w:autoSpaceDN/>
              <w:jc w:val="both"/>
              <w:rPr>
                <w:rFonts w:ascii="Times New Roman" w:hAnsi="Times New Roman" w:cs="Times New Roman"/>
                <w:i/>
                <w:lang w:val="en-US" w:bidi="sl-SI"/>
              </w:rPr>
            </w:pPr>
            <w:r w:rsidRPr="003B570B">
              <w:rPr>
                <w:rFonts w:ascii="Times New Roman" w:hAnsi="Times New Roman" w:cs="Times New Roman"/>
                <w:lang w:val="en-US"/>
              </w:rPr>
              <w:t>supporting business process improvement, business process renewal, strategic transformation and new business models that are relevant for the transition to a low-carbon circular economy, and bringing business excellence to enterprises, including by putting in place an internal service quality assurance system.</w:t>
            </w:r>
          </w:p>
          <w:p w14:paraId="0F45A1F0" w14:textId="77777777" w:rsidR="00DD13BF" w:rsidRPr="003B570B" w:rsidRDefault="00DD13BF" w:rsidP="00DD13BF">
            <w:pPr>
              <w:pStyle w:val="Odstavekseznama"/>
              <w:widowControl/>
              <w:numPr>
                <w:ilvl w:val="1"/>
                <w:numId w:val="8"/>
              </w:numPr>
              <w:autoSpaceDE/>
              <w:autoSpaceDN/>
              <w:jc w:val="both"/>
              <w:rPr>
                <w:rFonts w:ascii="Times New Roman" w:hAnsi="Times New Roman" w:cs="Times New Roman"/>
                <w:i/>
                <w:lang w:val="en-US" w:bidi="sl-SI"/>
              </w:rPr>
            </w:pPr>
            <w:r w:rsidRPr="003B570B">
              <w:rPr>
                <w:rFonts w:ascii="Times New Roman" w:hAnsi="Times New Roman" w:cs="Times New Roman"/>
                <w:lang w:val="en-US"/>
              </w:rPr>
              <w:t xml:space="preserve">Developing new and improved products and services with a view to increasing added value or creating jobs, including the development of products and services </w:t>
            </w:r>
            <w:r w:rsidRPr="003B570B">
              <w:rPr>
                <w:rFonts w:ascii="Times New Roman" w:hAnsi="Times New Roman"/>
                <w:lang w:val="en-US"/>
              </w:rPr>
              <w:t>in the field of silver economy and use of natural renewable materials that facilitate a green transition</w:t>
            </w:r>
            <w:r w:rsidRPr="003B570B">
              <w:rPr>
                <w:rFonts w:ascii="Times New Roman" w:hAnsi="Times New Roman" w:cs="Times New Roman"/>
                <w:lang w:val="en-US"/>
              </w:rPr>
              <w:t>.</w:t>
            </w:r>
          </w:p>
          <w:p w14:paraId="7D6237D8"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i/>
                <w:iCs/>
                <w:lang w:val="en-US" w:bidi="sl-SI"/>
              </w:rPr>
            </w:pPr>
            <w:r w:rsidRPr="00ED2886">
              <w:rPr>
                <w:rFonts w:ascii="Times New Roman" w:hAnsi="Times New Roman" w:cs="Times New Roman"/>
                <w:lang w:val="en-US"/>
              </w:rPr>
              <w:lastRenderedPageBreak/>
              <w:t xml:space="preserve">Small-scale incentives (vouchers) in specific areas that are characterised by knowledge and skills gaps, which will allow SMEs to boost their competitiveness, competences and innovation in the areas </w:t>
            </w:r>
            <w:r>
              <w:rPr>
                <w:rFonts w:ascii="Times New Roman" w:hAnsi="Times New Roman" w:cs="Times New Roman"/>
                <w:lang w:val="en-US"/>
              </w:rPr>
              <w:t>based on</w:t>
            </w:r>
            <w:r w:rsidRPr="00ED2886">
              <w:rPr>
                <w:rFonts w:ascii="Times New Roman" w:hAnsi="Times New Roman" w:cs="Times New Roman"/>
                <w:lang w:val="en-US"/>
              </w:rPr>
              <w:t xml:space="preserve"> their needs (e.g. intellectual property protection, certification, eco-labels, quality standards, ownership transfer, internationalisation, business e</w:t>
            </w:r>
            <w:r>
              <w:rPr>
                <w:rFonts w:ascii="Times New Roman" w:hAnsi="Times New Roman" w:cs="Times New Roman"/>
                <w:lang w:val="en-US"/>
              </w:rPr>
              <w:t>x</w:t>
            </w:r>
            <w:r w:rsidRPr="00ED2886">
              <w:rPr>
                <w:rFonts w:ascii="Times New Roman" w:hAnsi="Times New Roman" w:cs="Times New Roman"/>
                <w:lang w:val="en-US"/>
              </w:rPr>
              <w:t xml:space="preserve">cellence). </w:t>
            </w:r>
          </w:p>
          <w:p w14:paraId="3C055A7F"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i/>
                <w:lang w:val="en-US" w:bidi="sl-SI"/>
              </w:rPr>
            </w:pPr>
            <w:r w:rsidRPr="00ED2886">
              <w:rPr>
                <w:rFonts w:ascii="Times New Roman" w:hAnsi="Times New Roman" w:cs="Times New Roman"/>
                <w:lang w:val="en-US"/>
              </w:rPr>
              <w:t>Promoting social innovations and social enterprises</w:t>
            </w:r>
            <w:r>
              <w:rPr>
                <w:rFonts w:ascii="Times New Roman" w:hAnsi="Times New Roman" w:cs="Times New Roman"/>
                <w:lang w:val="en-US"/>
              </w:rPr>
              <w:t xml:space="preserve"> to address</w:t>
            </w:r>
            <w:r w:rsidRPr="00ED2886">
              <w:rPr>
                <w:rFonts w:ascii="Times New Roman" w:hAnsi="Times New Roman" w:cs="Times New Roman"/>
                <w:lang w:val="en-US"/>
              </w:rPr>
              <w:t xml:space="preserve"> societal needs through the development of new products, services and models (direct incentives, development of a supportive environment for social innovations, competence centres, development of tools measuring social impact, social innovation platforms, etc.).  </w:t>
            </w:r>
          </w:p>
          <w:p w14:paraId="346D8BE2"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i/>
                <w:lang w:val="en-US" w:bidi="sl-SI"/>
              </w:rPr>
            </w:pPr>
            <w:r w:rsidRPr="00ED2886">
              <w:rPr>
                <w:rFonts w:ascii="Times New Roman" w:hAnsi="Times New Roman" w:cs="Times New Roman"/>
                <w:lang w:val="en-US"/>
              </w:rPr>
              <w:t>Promoting investments and investment-related working capital in the form of guarantees (possibly with interest rate subsidies);</w:t>
            </w:r>
          </w:p>
          <w:p w14:paraId="699C3D75" w14:textId="77777777" w:rsidR="00DD13BF" w:rsidRPr="00ED2886" w:rsidRDefault="00DD13BF" w:rsidP="00355A56">
            <w:pPr>
              <w:jc w:val="both"/>
              <w:rPr>
                <w:lang w:val="en-US"/>
              </w:rPr>
            </w:pPr>
          </w:p>
          <w:p w14:paraId="29EEA1F9" w14:textId="77777777" w:rsidR="00DD13BF" w:rsidRPr="00ED2886" w:rsidRDefault="00DD13BF" w:rsidP="00DD13BF">
            <w:pPr>
              <w:pStyle w:val="Odstavekseznama"/>
              <w:widowControl/>
              <w:numPr>
                <w:ilvl w:val="0"/>
                <w:numId w:val="8"/>
              </w:numPr>
              <w:autoSpaceDE/>
              <w:autoSpaceDN/>
              <w:jc w:val="both"/>
              <w:rPr>
                <w:rFonts w:ascii="Times New Roman" w:hAnsi="Times New Roman" w:cs="Times New Roman"/>
                <w:i/>
                <w:lang w:val="en-US" w:bidi="sl-SI"/>
              </w:rPr>
            </w:pPr>
            <w:r w:rsidRPr="00ED2886">
              <w:rPr>
                <w:rFonts w:ascii="Times New Roman" w:hAnsi="Times New Roman" w:cs="Times New Roman"/>
                <w:i/>
                <w:lang w:val="en-US" w:bidi="sl-SI"/>
              </w:rPr>
              <w:t xml:space="preserve">internationalisation and cooperation in the macro-regional area by establishing partnerships with enterprises in foreign markets, promoting and strengthening brands of products and services of Slovenian enterprises abroad and supporting joint ventures in foreign markets; </w:t>
            </w:r>
            <w:r w:rsidRPr="00ED2886">
              <w:rPr>
                <w:rFonts w:ascii="Times New Roman" w:hAnsi="Times New Roman" w:cs="Times New Roman"/>
                <w:lang w:val="en-US" w:bidi="sl-SI"/>
              </w:rPr>
              <w:t>in this context, the country intends to carry out actions to provide a comprehensive support for the integration of enterprises in global value chains or internationalisation of the Slovenian economy in accordance with S5 goals:</w:t>
            </w:r>
          </w:p>
          <w:p w14:paraId="42C89996"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lang w:val="en-US"/>
              </w:rPr>
            </w:pPr>
            <w:r w:rsidRPr="00ED2886">
              <w:rPr>
                <w:rFonts w:ascii="Times New Roman" w:hAnsi="Times New Roman" w:cs="Times New Roman"/>
                <w:lang w:val="en-US"/>
              </w:rPr>
              <w:t>fostering the diversification of Slovenian exports to third markets to cut reliance on traditional trade partners in the EU. We will support the export of knowledge through new innovative measures, such as international development cooperation, joint ventures in foreign markets and mentoring for enterprises abroad.</w:t>
            </w:r>
          </w:p>
          <w:p w14:paraId="24B8D7F3"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ED2886">
              <w:rPr>
                <w:rFonts w:ascii="Times New Roman" w:hAnsi="Times New Roman" w:cs="Times New Roman"/>
                <w:lang w:val="en-US"/>
              </w:rPr>
              <w:t xml:space="preserve">Developing and strengthening brands with a view to increasing added value and upgrading the position of enterprises in global value chains. Promoting pilot and demonstration projects aimed at testing new concepts. </w:t>
            </w:r>
          </w:p>
          <w:p w14:paraId="6241518D"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ED2886">
              <w:rPr>
                <w:rFonts w:ascii="Times New Roman" w:hAnsi="Times New Roman" w:cs="Times New Roman"/>
                <w:lang w:val="en-US" w:bidi="sl-SI"/>
              </w:rPr>
              <w:t>Supporting the development of feasibility studies and export plans that address main challenges, opportunities, threats and risks faced by Slovenian enterprises with new and existing products/services in foreign markets in order to reduce business risks for Slovenian enterprises in foreign markets.</w:t>
            </w:r>
          </w:p>
          <w:p w14:paraId="7EE28AFA" w14:textId="77777777" w:rsidR="00DD13BF" w:rsidRPr="00ED2886" w:rsidRDefault="00DD13BF" w:rsidP="00DD13BF">
            <w:pPr>
              <w:pStyle w:val="Odstavekseznama"/>
              <w:widowControl/>
              <w:numPr>
                <w:ilvl w:val="1"/>
                <w:numId w:val="8"/>
              </w:numPr>
              <w:autoSpaceDE/>
              <w:autoSpaceDN/>
              <w:jc w:val="both"/>
              <w:rPr>
                <w:rFonts w:ascii="Times New Roman" w:hAnsi="Times New Roman" w:cs="Times New Roman"/>
                <w:lang w:val="en-US" w:bidi="sl-SI"/>
              </w:rPr>
            </w:pPr>
            <w:r w:rsidRPr="00ED2886">
              <w:rPr>
                <w:rFonts w:ascii="Times New Roman" w:hAnsi="Times New Roman" w:cs="Times New Roman"/>
                <w:lang w:val="en-US" w:bidi="sl-SI"/>
              </w:rPr>
              <w:t xml:space="preserve">Supporting business and development partnerships to strengthen participation in global value chains by engaging in international processes and building critical mass at the regional level to allow for global breakthroughs on the basis of integration of stakeholders' competences and potentials (adoption of modern business models, entry into international markets, niche breakthroughs, etc.), thus enhancing synergies between Slovenian exporters and reducing the risks associated with foreign market entry. </w:t>
            </w:r>
          </w:p>
          <w:p w14:paraId="53FA8338" w14:textId="77777777" w:rsidR="00DD13BF" w:rsidRPr="00ED2886" w:rsidRDefault="00DD13BF" w:rsidP="00DD13BF">
            <w:pPr>
              <w:pStyle w:val="Odstavekseznama"/>
              <w:widowControl/>
              <w:numPr>
                <w:ilvl w:val="1"/>
                <w:numId w:val="8"/>
              </w:numPr>
              <w:autoSpaceDE/>
              <w:autoSpaceDN/>
              <w:jc w:val="both"/>
              <w:rPr>
                <w:rFonts w:cstheme="minorHAnsi"/>
                <w:lang w:val="en-US"/>
              </w:rPr>
            </w:pPr>
            <w:r w:rsidRPr="00ED2886">
              <w:rPr>
                <w:rFonts w:ascii="Times New Roman" w:hAnsi="Times New Roman" w:cs="Times New Roman"/>
                <w:lang w:val="en-US" w:bidi="sl-SI"/>
              </w:rPr>
              <w:t>Organising activities at international specialised fairs and other events held at home and abroad to facilitate the search for new international market opportunities for a successful positioning of enterprises in the market. We will support the transfer of good international business practices, innovative ways of finding foreign business partners and activities to increase the visibility of Slovenia and its economy.</w:t>
            </w:r>
          </w:p>
          <w:p w14:paraId="4C88D27C" w14:textId="77777777" w:rsidR="00DD13BF" w:rsidRPr="00ED2886" w:rsidRDefault="00DD13BF" w:rsidP="00355A56">
            <w:pPr>
              <w:rPr>
                <w:lang w:val="en-US"/>
              </w:rPr>
            </w:pPr>
          </w:p>
          <w:p w14:paraId="37FFC267" w14:textId="77777777" w:rsidR="00DD13BF" w:rsidRPr="006127C4" w:rsidRDefault="00DD13BF" w:rsidP="00355A56">
            <w:pPr>
              <w:jc w:val="both"/>
              <w:rPr>
                <w:rFonts w:eastAsia="Calibri"/>
              </w:rPr>
            </w:pPr>
            <w:r w:rsidRPr="00497378">
              <w:rPr>
                <w:lang w:val="en-US"/>
              </w:rPr>
              <w:t xml:space="preserve">The final design of measures and the formulation of </w:t>
            </w:r>
            <w:r>
              <w:rPr>
                <w:lang w:val="en-US"/>
              </w:rPr>
              <w:t xml:space="preserve">their </w:t>
            </w:r>
            <w:r w:rsidRPr="00497378">
              <w:rPr>
                <w:lang w:val="en-US"/>
              </w:rPr>
              <w:t>selection and implementation criteria will take into due account t</w:t>
            </w:r>
            <w:r>
              <w:rPr>
                <w:lang w:val="en-US"/>
              </w:rPr>
              <w:t>he relevant mitigation measures</w:t>
            </w:r>
            <w:r w:rsidRPr="00497378">
              <w:rPr>
                <w:lang w:val="en-US"/>
              </w:rPr>
              <w:t xml:space="preserve"> and, to the greatest extent possible, the relevant recommendations stemming from the strategic environmental assessment (</w:t>
            </w:r>
            <w:r>
              <w:rPr>
                <w:lang w:val="en-US"/>
              </w:rPr>
              <w:t>a</w:t>
            </w:r>
            <w:r w:rsidRPr="00497378">
              <w:rPr>
                <w:lang w:val="en-US"/>
              </w:rPr>
              <w:t>nnex</w:t>
            </w:r>
            <w:r>
              <w:rPr>
                <w:lang w:val="en-US"/>
              </w:rPr>
              <w:t xml:space="preserve"> Mitigation Measures and R</w:t>
            </w:r>
            <w:r w:rsidRPr="00497378">
              <w:rPr>
                <w:lang w:val="en-US"/>
              </w:rPr>
              <w:t xml:space="preserve">ecommendations). </w:t>
            </w:r>
            <w:r w:rsidRPr="00A34C5F">
              <w:rPr>
                <w:lang w:val="en-US"/>
              </w:rPr>
              <w:t xml:space="preserve">None of the planned measures </w:t>
            </w:r>
            <w:r>
              <w:rPr>
                <w:lang w:val="en-US"/>
              </w:rPr>
              <w:t>has</w:t>
            </w:r>
            <w:r w:rsidRPr="00A34C5F">
              <w:rPr>
                <w:lang w:val="en-US"/>
              </w:rPr>
              <w:t xml:space="preserve"> a significant adverse </w:t>
            </w:r>
            <w:r>
              <w:rPr>
                <w:lang w:val="en-US"/>
              </w:rPr>
              <w:t>impact</w:t>
            </w:r>
            <w:r w:rsidRPr="00A34C5F">
              <w:rPr>
                <w:lang w:val="en-US"/>
              </w:rPr>
              <w:t xml:space="preserve"> on any of the six environmental objectives</w:t>
            </w:r>
            <w:r>
              <w:rPr>
                <w:lang w:val="en-US"/>
              </w:rPr>
              <w:t>, taking into account</w:t>
            </w:r>
            <w:r w:rsidRPr="00A34C5F">
              <w:rPr>
                <w:lang w:val="en-US"/>
              </w:rPr>
              <w:t xml:space="preserve"> the technical scre</w:t>
            </w:r>
            <w:r>
              <w:rPr>
                <w:lang w:val="en-US"/>
              </w:rPr>
              <w:t>ening criteria set out in annex</w:t>
            </w:r>
            <w:r w:rsidRPr="00A34C5F">
              <w:rPr>
                <w:lang w:val="en-US"/>
              </w:rPr>
              <w:t xml:space="preserve"> DNSH.</w:t>
            </w:r>
          </w:p>
        </w:tc>
      </w:tr>
    </w:tbl>
    <w:p w14:paraId="2E67D638" w14:textId="77777777" w:rsidR="00DD13BF" w:rsidRDefault="00DD13BF" w:rsidP="00DD13BF">
      <w:pPr>
        <w:ind w:left="1349"/>
        <w:rPr>
          <w:spacing w:val="-6"/>
        </w:rPr>
      </w:pPr>
    </w:p>
    <w:p w14:paraId="6091F9C9" w14:textId="77777777" w:rsidR="00DD13BF" w:rsidRDefault="00DD13BF" w:rsidP="00DD13BF">
      <w:pPr>
        <w:ind w:left="1349"/>
      </w:pPr>
      <w:r>
        <w:rPr>
          <w:spacing w:val="-6"/>
        </w:rPr>
        <w:lastRenderedPageBreak/>
        <w:t>The main target groups:</w:t>
      </w:r>
    </w:p>
    <w:p w14:paraId="5B286CE2"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835F17" w14:paraId="43DE9396" w14:textId="77777777" w:rsidTr="00355A56">
        <w:tc>
          <w:tcPr>
            <w:tcW w:w="12763" w:type="dxa"/>
          </w:tcPr>
          <w:p w14:paraId="38E60447" w14:textId="77777777" w:rsidR="00DD13BF" w:rsidRPr="00835F17" w:rsidRDefault="00DD13BF" w:rsidP="00355A56">
            <w:pPr>
              <w:jc w:val="both"/>
              <w:rPr>
                <w:rFonts w:cstheme="minorHAnsi"/>
                <w:lang w:val="en-US" w:bidi="sl-SI"/>
              </w:rPr>
            </w:pPr>
            <w:r w:rsidRPr="00835F17">
              <w:rPr>
                <w:rFonts w:cstheme="minorHAnsi"/>
                <w:lang w:val="en-US" w:bidi="sl-SI"/>
              </w:rPr>
              <w:t>Target groups: potential entrepreneurs, micro enterprises and SMEs, social enterprises, entrepreneurship and innovation ecosystem actors, NGOs, cooperatives, self-employed professionals in culture, ministries, implementing institutions.</w:t>
            </w:r>
          </w:p>
          <w:p w14:paraId="6B3EDA07" w14:textId="77777777" w:rsidR="00DD13BF" w:rsidRPr="00835F17" w:rsidRDefault="00DD13BF" w:rsidP="00355A56">
            <w:pPr>
              <w:jc w:val="both"/>
              <w:rPr>
                <w:rFonts w:cstheme="minorHAnsi"/>
                <w:lang w:val="en-US" w:bidi="sl-SI"/>
              </w:rPr>
            </w:pPr>
          </w:p>
          <w:p w14:paraId="653F2E42" w14:textId="77777777" w:rsidR="00DD13BF" w:rsidRPr="00835F17" w:rsidRDefault="00DD13BF" w:rsidP="00355A56">
            <w:pPr>
              <w:jc w:val="both"/>
              <w:rPr>
                <w:rFonts w:cstheme="minorHAnsi"/>
                <w:lang w:val="en-US"/>
              </w:rPr>
            </w:pPr>
            <w:r w:rsidRPr="00835F17">
              <w:rPr>
                <w:rFonts w:cstheme="minorHAnsi"/>
                <w:lang w:val="en-US" w:bidi="sl-SI"/>
              </w:rPr>
              <w:t xml:space="preserve">Beneficiaries: SMEs, entrepreneurship and innovation ecosystem actors, regional development agencies, implementing institutions, NGOs, public institutes, self-employed professionals in culture, chambers, cooperatives, associations, destination management organisations and private institutes.   </w:t>
            </w:r>
          </w:p>
        </w:tc>
      </w:tr>
    </w:tbl>
    <w:p w14:paraId="4CD0B3C3" w14:textId="77777777" w:rsidR="00DD13BF" w:rsidRPr="00835F17" w:rsidRDefault="00DD13BF" w:rsidP="00DD13BF">
      <w:pPr>
        <w:ind w:left="1349"/>
      </w:pPr>
    </w:p>
    <w:p w14:paraId="7D8D2A9C" w14:textId="77777777" w:rsidR="00DD13BF" w:rsidRPr="00835F17" w:rsidRDefault="00DD13BF" w:rsidP="00DD13BF">
      <w:pPr>
        <w:ind w:left="1349"/>
        <w:rPr>
          <w:spacing w:val="-2"/>
        </w:rPr>
      </w:pPr>
      <w:r w:rsidRPr="00835F17">
        <w:t>Actions safeguarding equality, inclusion and non-discrimination</w:t>
      </w:r>
      <w:r w:rsidRPr="00835F17">
        <w:rPr>
          <w:spacing w:val="44"/>
        </w:rPr>
        <w:t>:</w:t>
      </w:r>
    </w:p>
    <w:p w14:paraId="2BA89CA8" w14:textId="77777777" w:rsidR="00DD13BF" w:rsidRPr="00835F17" w:rsidRDefault="00DD13BF" w:rsidP="00DD13BF"/>
    <w:tbl>
      <w:tblPr>
        <w:tblStyle w:val="Tabelamrea"/>
        <w:tblW w:w="12715" w:type="dxa"/>
        <w:tblInd w:w="1314" w:type="dxa"/>
        <w:tblLook w:val="04A0" w:firstRow="1" w:lastRow="0" w:firstColumn="1" w:lastColumn="0" w:noHBand="0" w:noVBand="1"/>
      </w:tblPr>
      <w:tblGrid>
        <w:gridCol w:w="12715"/>
      </w:tblGrid>
      <w:tr w:rsidR="00DD13BF" w:rsidRPr="00835F17" w14:paraId="446953B0" w14:textId="77777777" w:rsidTr="00355A56">
        <w:tc>
          <w:tcPr>
            <w:tcW w:w="12715" w:type="dxa"/>
          </w:tcPr>
          <w:p w14:paraId="7E8EA7C7" w14:textId="77777777" w:rsidR="00DD13BF" w:rsidRPr="00835F17" w:rsidRDefault="00DD13BF" w:rsidP="00355A56">
            <w:pPr>
              <w:jc w:val="both"/>
              <w:rPr>
                <w:rFonts w:cstheme="minorHAnsi"/>
                <w:lang w:val="en-US"/>
              </w:rPr>
            </w:pPr>
            <w:r w:rsidRPr="00835F17">
              <w:rPr>
                <w:rFonts w:cstheme="minorHAnsi"/>
                <w:lang w:val="en-US"/>
              </w:rPr>
              <w:t>The principles of equality, inclusion and non-discrimination will be respected at all levels in accordance with the national legislation</w:t>
            </w:r>
            <w:r w:rsidRPr="00835F17">
              <w:rPr>
                <w:rFonts w:ascii="Arial" w:hAnsi="Arial" w:cs="Arial"/>
                <w:color w:val="626060"/>
                <w:sz w:val="18"/>
                <w:szCs w:val="18"/>
                <w:shd w:val="clear" w:color="auto" w:fill="FFFFFF"/>
                <w:lang w:val="en-US"/>
              </w:rPr>
              <w:t>,</w:t>
            </w:r>
            <w:r w:rsidRPr="00835F17">
              <w:rPr>
                <w:rFonts w:cstheme="minorHAnsi"/>
                <w:lang w:val="en-US"/>
              </w:rPr>
              <w:t xml:space="preserve"> the EU acquis, particularly the </w:t>
            </w:r>
            <w:r w:rsidRPr="00835F17">
              <w:rPr>
                <w:rStyle w:val="Poudarek"/>
                <w:bCs/>
                <w:color w:val="000000" w:themeColor="text1"/>
                <w:shd w:val="clear" w:color="auto" w:fill="FFFFFF"/>
                <w:lang w:val="en-US"/>
              </w:rPr>
              <w:t>Treaty on the Functioning of the European Union</w:t>
            </w:r>
            <w:r w:rsidRPr="00835F17">
              <w:rPr>
                <w:rStyle w:val="Poudarek"/>
                <w:rFonts w:ascii="Arial" w:hAnsi="Arial" w:cs="Arial"/>
                <w:b/>
                <w:bCs/>
                <w:color w:val="5F6368"/>
                <w:sz w:val="21"/>
                <w:szCs w:val="21"/>
                <w:shd w:val="clear" w:color="auto" w:fill="FFFFFF"/>
                <w:lang w:val="en-US"/>
              </w:rPr>
              <w:t xml:space="preserve">, </w:t>
            </w:r>
            <w:r w:rsidRPr="00835F17">
              <w:rPr>
                <w:rFonts w:cstheme="minorHAnsi"/>
                <w:lang w:val="en-US"/>
              </w:rPr>
              <w:t xml:space="preserve">Charter of fundamental rights, the principles of the European Pillar of Social Rights and the relevant international human rights instruments, particularly the UN Convention on the Rights of Persons with Disabilities and the UN Convention on the Rights of the Child. Equal opportunities and fight against discrimination based on characteristics, such as gender, age, race, ethnicity, disability, religion, sexual orientation will be advocated and ensured both horizontally and vertically as far as possible in the scope of Slovenia's Cohesion Policy Programme 2021-2027. In this context, the Rules on ensuring the horizontal enabling condition Effective application and implementation of the Charter of fundamental rights, and the Action Programme for Persons with Disabilities 2022-2030, as well as other relevant documents that will be developed during the implementation of measures will be fully observed. The principle will likewise be respected in the context of the management and control system. </w:t>
            </w:r>
          </w:p>
          <w:p w14:paraId="41C779D3" w14:textId="77777777" w:rsidR="00DD13BF" w:rsidRPr="00835F17" w:rsidRDefault="00DD13BF" w:rsidP="00355A56">
            <w:pPr>
              <w:jc w:val="both"/>
              <w:rPr>
                <w:lang w:val="en-US"/>
              </w:rPr>
            </w:pPr>
          </w:p>
          <w:p w14:paraId="1C99694C" w14:textId="77777777" w:rsidR="00DD13BF" w:rsidRPr="00835F17" w:rsidRDefault="00DD13BF" w:rsidP="00355A56">
            <w:pPr>
              <w:jc w:val="both"/>
              <w:rPr>
                <w:rFonts w:cstheme="minorBidi"/>
                <w:lang w:val="en-US"/>
              </w:rPr>
            </w:pPr>
            <w:r w:rsidRPr="00835F17">
              <w:rPr>
                <w:rFonts w:cstheme="minorBidi"/>
                <w:lang w:val="en-US"/>
              </w:rPr>
              <w:t>Both in entrepreneurship and society as a whole can potentials be fully realised if all talents and diversity are fully harnessed. Gender equality brings more jobs and higher productivity.</w:t>
            </w:r>
            <w:r w:rsidRPr="00835F17">
              <w:rPr>
                <w:rStyle w:val="Sprotnaopomba-sklic"/>
                <w:rFonts w:cstheme="minorBidi"/>
                <w:lang w:val="en-US"/>
              </w:rPr>
              <w:footnoteReference w:id="140"/>
            </w:r>
            <w:r w:rsidRPr="00835F17">
              <w:rPr>
                <w:noProof/>
                <w:sz w:val="24"/>
                <w:szCs w:val="24"/>
                <w:lang w:val="en-US"/>
              </w:rPr>
              <w:t xml:space="preserve"> </w:t>
            </w:r>
            <w:r w:rsidRPr="00835F17">
              <w:rPr>
                <w:noProof/>
                <w:lang w:val="en-US"/>
              </w:rPr>
              <w:t>Women entrepreneurs</w:t>
            </w:r>
            <w:r w:rsidRPr="00835F17">
              <w:rPr>
                <w:rFonts w:cstheme="minorBidi"/>
                <w:lang w:val="en-US"/>
              </w:rPr>
              <w:t xml:space="preserve"> need to be fully supported before embarking on </w:t>
            </w:r>
            <w:r>
              <w:rPr>
                <w:rFonts w:cstheme="minorBidi"/>
                <w:lang w:val="en-US"/>
              </w:rPr>
              <w:t xml:space="preserve">the </w:t>
            </w:r>
            <w:r w:rsidRPr="00835F17">
              <w:rPr>
                <w:rFonts w:cstheme="minorBidi"/>
                <w:lang w:val="en-US"/>
              </w:rPr>
              <w:t xml:space="preserve">career path in entrepreneurship as well as after they have created their own enterprise. Therefore, a set of measures will be designed to support training and provide financial support. More often than men, women are faced with a number of challenges as they embark on their own career path, in particular with respect to access to finance, training, integration in networks and work-life balance. In addition to women, other vulnerable target groups need additional support in starting their own business (e.g. young people); these individuals can make an important contribution to the development of social innovations thanks to their experience. Social innovations help improve (social) inclusion, and enhance accessibility while advocating non-discrimination in all walks of life through a diverse range of products and services. The actions will also focus on breaking the cycle of inter-generational disadvantage, in particular in the area of fostering silver economy.  </w:t>
            </w:r>
          </w:p>
        </w:tc>
      </w:tr>
    </w:tbl>
    <w:p w14:paraId="17BC60EE" w14:textId="77777777" w:rsidR="00DD13BF" w:rsidRDefault="00DD13BF" w:rsidP="00DD13BF">
      <w:pPr>
        <w:rPr>
          <w:sz w:val="20"/>
        </w:rPr>
      </w:pPr>
    </w:p>
    <w:p w14:paraId="30DF43B5" w14:textId="77777777" w:rsidR="00DD13BF" w:rsidRDefault="00DD13BF" w:rsidP="00DD13BF">
      <w:pPr>
        <w:ind w:left="1415"/>
        <w:rPr>
          <w:spacing w:val="-4"/>
        </w:rPr>
      </w:pPr>
      <w:r>
        <w:t>Indication of the specific territories targeted, including the planned use of territorial tools</w:t>
      </w:r>
      <w:r>
        <w:rPr>
          <w:spacing w:val="-4"/>
        </w:rPr>
        <w:t>:</w:t>
      </w:r>
    </w:p>
    <w:p w14:paraId="003547E8"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F0710A" w14:paraId="7DB110E6" w14:textId="77777777" w:rsidTr="00355A56">
        <w:trPr>
          <w:trHeight w:val="256"/>
        </w:trPr>
        <w:tc>
          <w:tcPr>
            <w:tcW w:w="12763" w:type="dxa"/>
          </w:tcPr>
          <w:p w14:paraId="171437E5" w14:textId="77777777" w:rsidR="00DD13BF" w:rsidRPr="00F0710A" w:rsidRDefault="00DD13BF" w:rsidP="00355A56">
            <w:pPr>
              <w:jc w:val="both"/>
              <w:rPr>
                <w:rFonts w:cstheme="minorHAnsi"/>
                <w:lang w:val="en-US"/>
              </w:rPr>
            </w:pPr>
            <w:r w:rsidRPr="00F0710A">
              <w:rPr>
                <w:rFonts w:cstheme="minorHAnsi"/>
                <w:lang w:val="en-US"/>
              </w:rPr>
              <w:t xml:space="preserve">Under this specific objective, we plan to use the regional development approach </w:t>
            </w:r>
            <w:r>
              <w:rPr>
                <w:rFonts w:cstheme="minorHAnsi"/>
                <w:lang w:val="en-US"/>
              </w:rPr>
              <w:t>in accordance with</w:t>
            </w:r>
            <w:r w:rsidRPr="00F0710A">
              <w:rPr>
                <w:rFonts w:cstheme="minorHAnsi"/>
                <w:lang w:val="en-US"/>
              </w:rPr>
              <w:t xml:space="preserve"> the needs identified in the prepared territorial strategies (regional development programmes) of all 12 regions to address the area of upgrading and ensuring supportive environment and entrepreneurship environment at the regional level and entrepreneurship training. The said strategies will be developed in accordance with the provisions of Article 29 </w:t>
            </w:r>
            <w:r>
              <w:rPr>
                <w:rFonts w:cstheme="minorHAnsi"/>
                <w:lang w:val="en-US"/>
              </w:rPr>
              <w:t>of the Regulation</w:t>
            </w:r>
            <w:r w:rsidRPr="00F0710A">
              <w:rPr>
                <w:rFonts w:cstheme="minorHAnsi"/>
                <w:lang w:val="en-US"/>
              </w:rPr>
              <w:t xml:space="preserve"> (EU) 2021/1060. The first phase of operation selection will involve decision-makers and representatives of regions (in the framework of regional councils). </w:t>
            </w:r>
          </w:p>
        </w:tc>
      </w:tr>
    </w:tbl>
    <w:p w14:paraId="0CE2456B" w14:textId="77777777" w:rsidR="00DD13BF" w:rsidRPr="00F0710A" w:rsidRDefault="00DD13BF" w:rsidP="00DD13BF">
      <w:pPr>
        <w:rPr>
          <w:sz w:val="18"/>
        </w:rPr>
      </w:pPr>
    </w:p>
    <w:p w14:paraId="5F8DDB48" w14:textId="77777777" w:rsidR="00DD13BF" w:rsidRPr="00F0710A" w:rsidRDefault="00DD13BF" w:rsidP="00DD13BF">
      <w:pPr>
        <w:ind w:left="1415"/>
      </w:pPr>
      <w:r w:rsidRPr="00F0710A">
        <w:t>The interregional, cross-border and transnational actions</w:t>
      </w:r>
      <w:r w:rsidRPr="00F0710A">
        <w:rPr>
          <w:spacing w:val="7"/>
        </w:rPr>
        <w:t>:</w:t>
      </w:r>
    </w:p>
    <w:p w14:paraId="602248F3" w14:textId="77777777" w:rsidR="00DD13BF" w:rsidRPr="00F0710A" w:rsidRDefault="00DD13BF" w:rsidP="00DD13BF"/>
    <w:tbl>
      <w:tblPr>
        <w:tblStyle w:val="Tabelamrea"/>
        <w:tblW w:w="12763" w:type="dxa"/>
        <w:tblInd w:w="1266" w:type="dxa"/>
        <w:tblLook w:val="04A0" w:firstRow="1" w:lastRow="0" w:firstColumn="1" w:lastColumn="0" w:noHBand="0" w:noVBand="1"/>
      </w:tblPr>
      <w:tblGrid>
        <w:gridCol w:w="12763"/>
      </w:tblGrid>
      <w:tr w:rsidR="00DD13BF" w:rsidRPr="009320C8" w14:paraId="69D42067" w14:textId="77777777" w:rsidTr="00355A56">
        <w:tc>
          <w:tcPr>
            <w:tcW w:w="12763" w:type="dxa"/>
          </w:tcPr>
          <w:p w14:paraId="1E556C6B" w14:textId="77777777" w:rsidR="00DD13BF" w:rsidRPr="009320C8" w:rsidRDefault="00DD13BF" w:rsidP="00355A56">
            <w:pPr>
              <w:jc w:val="both"/>
              <w:rPr>
                <w:lang w:val="en-US"/>
              </w:rPr>
            </w:pPr>
            <w:r w:rsidRPr="009320C8">
              <w:rPr>
                <w:lang w:val="en-US"/>
              </w:rPr>
              <w:t xml:space="preserve">Interregional and cross-border networking will be carried out by entrepreneurship and innovation environment actors that will be brought together to work together with other similar institutions in cross-border projects, ensuring exchange of good practices and strengthening the participation of different stakeholders.  </w:t>
            </w:r>
          </w:p>
          <w:p w14:paraId="4E2D0C0D" w14:textId="77777777" w:rsidR="00DD13BF" w:rsidRPr="009320C8" w:rsidRDefault="00DD13BF" w:rsidP="00355A56">
            <w:pPr>
              <w:jc w:val="both"/>
              <w:rPr>
                <w:lang w:val="en-US"/>
              </w:rPr>
            </w:pPr>
          </w:p>
          <w:p w14:paraId="31343DFE" w14:textId="77777777" w:rsidR="00DD13BF" w:rsidRPr="009320C8" w:rsidRDefault="00DD13BF" w:rsidP="00355A56">
            <w:pPr>
              <w:jc w:val="both"/>
              <w:rPr>
                <w:rFonts w:cstheme="minorHAnsi"/>
                <w:lang w:val="en-US"/>
              </w:rPr>
            </w:pPr>
            <w:r w:rsidRPr="009320C8">
              <w:rPr>
                <w:rFonts w:cstheme="minorHAnsi"/>
                <w:lang w:val="en-US"/>
              </w:rPr>
              <w:t>In order to foster a diversified tourism offer, including varied and customised products and services under sustainable tourism, two macro-regional strategies, i.e. EUSAIR and EUSDR, support flagship projects: Develop sustainable and thematic cultural routes/Connect cultural routes in EUSAIR (AIR Cultural Routes), and Sustain and better connect EUSDR cultural routes. The content of the action has a similar thematic basis planned in all cross-border Interreg programmes and transnational programmes (Central Europe, Interreg IPA Adrion and Euro-MED).</w:t>
            </w:r>
          </w:p>
          <w:p w14:paraId="3C3B08FF" w14:textId="77777777" w:rsidR="00DD13BF" w:rsidRPr="009320C8" w:rsidRDefault="00DD13BF" w:rsidP="00355A56">
            <w:pPr>
              <w:jc w:val="both"/>
              <w:rPr>
                <w:rFonts w:cstheme="minorHAnsi"/>
                <w:lang w:val="en-US"/>
              </w:rPr>
            </w:pPr>
          </w:p>
          <w:p w14:paraId="3FD502AB" w14:textId="77777777" w:rsidR="00DD13BF" w:rsidRPr="009320C8" w:rsidRDefault="00DD13BF" w:rsidP="00355A56">
            <w:pPr>
              <w:jc w:val="both"/>
              <w:rPr>
                <w:rFonts w:cstheme="minorHAnsi"/>
                <w:lang w:val="en-US"/>
              </w:rPr>
            </w:pPr>
            <w:r w:rsidRPr="009320C8">
              <w:rPr>
                <w:rFonts w:cstheme="minorHAnsi"/>
                <w:lang w:val="en-US"/>
              </w:rPr>
              <w:t xml:space="preserve">Cooperation and synergies between Interreg programmes and specific objective RSO1.3 will be fostered through the participation of the representative of the managing authority under Objective 1 in macro-regional strategies and through participation of the members of the monitoring committees in Interreg programmes. </w:t>
            </w:r>
          </w:p>
        </w:tc>
      </w:tr>
    </w:tbl>
    <w:p w14:paraId="09EBF7CC" w14:textId="77777777" w:rsidR="00DD13BF" w:rsidRPr="009320C8" w:rsidRDefault="00DD13BF" w:rsidP="00DD13BF">
      <w:pPr>
        <w:rPr>
          <w:sz w:val="17"/>
        </w:rPr>
      </w:pPr>
    </w:p>
    <w:p w14:paraId="3C8E018F" w14:textId="77777777" w:rsidR="00DD13BF" w:rsidRPr="009320C8" w:rsidRDefault="00DD13BF" w:rsidP="00DD13BF">
      <w:pPr>
        <w:ind w:left="1415"/>
        <w:rPr>
          <w:spacing w:val="-3"/>
        </w:rPr>
      </w:pPr>
      <w:r w:rsidRPr="009320C8">
        <w:rPr>
          <w:spacing w:val="-4"/>
        </w:rPr>
        <w:t>The planned use of financial instruments</w:t>
      </w:r>
      <w:r w:rsidRPr="009320C8">
        <w:rPr>
          <w:spacing w:val="34"/>
        </w:rPr>
        <w:t>:</w:t>
      </w:r>
    </w:p>
    <w:p w14:paraId="2EDEAA7C" w14:textId="77777777" w:rsidR="00DD13BF" w:rsidRPr="009320C8"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9320C8" w14:paraId="23EA812B" w14:textId="77777777" w:rsidTr="00355A56">
        <w:tc>
          <w:tcPr>
            <w:tcW w:w="12758" w:type="dxa"/>
          </w:tcPr>
          <w:p w14:paraId="2F3F213A" w14:textId="77777777" w:rsidR="00DD13BF" w:rsidRPr="009320C8" w:rsidRDefault="00DD13BF" w:rsidP="00355A56">
            <w:pPr>
              <w:jc w:val="both"/>
              <w:rPr>
                <w:rFonts w:cstheme="minorHAnsi"/>
                <w:lang w:val="en-US"/>
              </w:rPr>
            </w:pPr>
            <w:r w:rsidRPr="009320C8">
              <w:rPr>
                <w:lang w:val="en-US"/>
              </w:rPr>
              <w:t xml:space="preserve">The preliminary assessment of market needs and funding gaps in the market for the implementation of financial instruments in the 2021–2027 programming period (July 2022) </w:t>
            </w:r>
            <w:r w:rsidRPr="009320C8">
              <w:rPr>
                <w:rFonts w:cstheme="minorHAnsi"/>
                <w:lang w:val="en-US"/>
              </w:rPr>
              <w:t xml:space="preserve">revealed a significant funding gap in this particular investment area. Financial instruments are planned to be used. The Programme provides only an indicative amount of </w:t>
            </w:r>
            <w:r>
              <w:rPr>
                <w:rFonts w:cstheme="minorHAnsi"/>
                <w:lang w:val="en-US"/>
              </w:rPr>
              <w:t xml:space="preserve">the </w:t>
            </w:r>
            <w:r w:rsidRPr="009320C8">
              <w:rPr>
                <w:rFonts w:cstheme="minorHAnsi"/>
                <w:lang w:val="en-US"/>
              </w:rPr>
              <w:t>funding earmarked for financial instruments. The actual scope and type of the individual financial instrument and t</w:t>
            </w:r>
            <w:r>
              <w:rPr>
                <w:rFonts w:cstheme="minorHAnsi"/>
                <w:lang w:val="en-US"/>
              </w:rPr>
              <w:t>he optimal allocation of funds</w:t>
            </w:r>
            <w:r w:rsidRPr="009320C8">
              <w:rPr>
                <w:rFonts w:cstheme="minorHAnsi"/>
                <w:lang w:val="en-US"/>
              </w:rPr>
              <w:t xml:space="preserve"> will be defined at a later stage once the </w:t>
            </w:r>
            <w:r>
              <w:rPr>
                <w:rFonts w:cstheme="minorHAnsi"/>
                <w:lang w:val="en-US"/>
              </w:rPr>
              <w:t xml:space="preserve">decision is made on the </w:t>
            </w:r>
            <w:r w:rsidRPr="009320C8">
              <w:rPr>
                <w:rFonts w:cstheme="minorHAnsi"/>
                <w:lang w:val="en-US"/>
              </w:rPr>
              <w:t>financial instrument governance structure and the</w:t>
            </w:r>
            <w:r>
              <w:rPr>
                <w:rFonts w:cstheme="minorHAnsi"/>
                <w:lang w:val="en-US"/>
              </w:rPr>
              <w:t xml:space="preserve"> scope </w:t>
            </w:r>
            <w:r w:rsidRPr="009320C8">
              <w:rPr>
                <w:rFonts w:cstheme="minorHAnsi"/>
                <w:lang w:val="en-US"/>
              </w:rPr>
              <w:t xml:space="preserve">of funds </w:t>
            </w:r>
            <w:r>
              <w:rPr>
                <w:rFonts w:cstheme="minorHAnsi"/>
                <w:lang w:val="en-US"/>
              </w:rPr>
              <w:t>to be ring-fenced</w:t>
            </w:r>
            <w:r w:rsidRPr="009320C8">
              <w:rPr>
                <w:rFonts w:cstheme="minorHAnsi"/>
                <w:lang w:val="en-US"/>
              </w:rPr>
              <w:t xml:space="preserve"> for financial instruments as counterpart to national sources. </w:t>
            </w:r>
          </w:p>
        </w:tc>
      </w:tr>
    </w:tbl>
    <w:p w14:paraId="766A12F4" w14:textId="77777777" w:rsidR="00DD13BF" w:rsidRDefault="00DD13BF" w:rsidP="00DD13BF">
      <w:pPr>
        <w:rPr>
          <w:sz w:val="20"/>
        </w:rPr>
      </w:pPr>
    </w:p>
    <w:p w14:paraId="5E660DA7" w14:textId="77777777" w:rsidR="00DD13BF" w:rsidRDefault="00DD13BF" w:rsidP="00DD13BF">
      <w:pPr>
        <w:rPr>
          <w:sz w:val="20"/>
        </w:rPr>
      </w:pPr>
    </w:p>
    <w:p w14:paraId="0C26B8FB" w14:textId="77777777" w:rsidR="00DD13BF" w:rsidRDefault="00DD13BF" w:rsidP="00DD13BF">
      <w:pPr>
        <w:pStyle w:val="Naslov5"/>
        <w:spacing w:before="0"/>
      </w:pPr>
      <w:r>
        <w:t>Indicators</w:t>
      </w:r>
    </w:p>
    <w:p w14:paraId="44932B95" w14:textId="77777777" w:rsidR="00DD13BF" w:rsidRDefault="00DD13BF" w:rsidP="00DD13BF"/>
    <w:p w14:paraId="5CFBC805" w14:textId="77777777" w:rsidR="00DD13BF" w:rsidRPr="00D740B8" w:rsidRDefault="00DD13BF" w:rsidP="00DD13BF">
      <w:pPr>
        <w:ind w:left="379"/>
      </w:pPr>
      <w:r>
        <w:rPr>
          <w:spacing w:val="-7"/>
        </w:rPr>
        <w:t xml:space="preserve">Table </w:t>
      </w:r>
      <w:r>
        <w:rPr>
          <w:spacing w:val="-6"/>
        </w:rPr>
        <w:t>2:</w:t>
      </w:r>
      <w:r>
        <w:rPr>
          <w:spacing w:val="-7"/>
        </w:rPr>
        <w:t xml:space="preserve"> Output indicators</w:t>
      </w:r>
    </w:p>
    <w:p w14:paraId="4235604D" w14:textId="77777777" w:rsidR="00DD13BF" w:rsidRPr="001F3D67" w:rsidRDefault="00DD13BF" w:rsidP="00DD13BF">
      <w:pPr>
        <w:ind w:left="380"/>
      </w:pPr>
    </w:p>
    <w:tbl>
      <w:tblPr>
        <w:tblStyle w:val="NormalTable0"/>
        <w:tblW w:w="13741"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417"/>
        <w:gridCol w:w="696"/>
        <w:gridCol w:w="12"/>
        <w:gridCol w:w="1701"/>
        <w:gridCol w:w="778"/>
        <w:gridCol w:w="4042"/>
        <w:gridCol w:w="1276"/>
        <w:gridCol w:w="1418"/>
        <w:gridCol w:w="1276"/>
      </w:tblGrid>
      <w:tr w:rsidR="00DD13BF" w14:paraId="4D37BBA0" w14:textId="77777777" w:rsidTr="00355A56">
        <w:trPr>
          <w:trHeight w:val="339"/>
        </w:trPr>
        <w:tc>
          <w:tcPr>
            <w:tcW w:w="1125" w:type="dxa"/>
          </w:tcPr>
          <w:p w14:paraId="14BC46D0" w14:textId="77777777" w:rsidR="00DD13BF" w:rsidRPr="001F3D67" w:rsidRDefault="00DD13BF" w:rsidP="00355A56">
            <w:pPr>
              <w:pStyle w:val="TableParagraph"/>
              <w:ind w:right="82"/>
            </w:pPr>
            <w:r>
              <w:rPr>
                <w:rFonts w:cstheme="minorHAnsi"/>
              </w:rPr>
              <w:lastRenderedPageBreak/>
              <w:t>Priority</w:t>
            </w:r>
          </w:p>
        </w:tc>
        <w:tc>
          <w:tcPr>
            <w:tcW w:w="1417" w:type="dxa"/>
          </w:tcPr>
          <w:p w14:paraId="15F54F10" w14:textId="77777777" w:rsidR="00DD13BF" w:rsidRPr="001F3D67" w:rsidRDefault="00DD13BF" w:rsidP="00355A56">
            <w:pPr>
              <w:pStyle w:val="TableParagraph"/>
            </w:pPr>
            <w:r>
              <w:rPr>
                <w:rFonts w:cstheme="minorHAnsi"/>
              </w:rPr>
              <w:t>Specific objective</w:t>
            </w:r>
          </w:p>
        </w:tc>
        <w:tc>
          <w:tcPr>
            <w:tcW w:w="696" w:type="dxa"/>
          </w:tcPr>
          <w:p w14:paraId="7EE6E6CF" w14:textId="77777777" w:rsidR="00DD13BF" w:rsidRPr="001F3D67" w:rsidRDefault="00DD13BF" w:rsidP="00355A56">
            <w:pPr>
              <w:pStyle w:val="TableParagraph"/>
            </w:pPr>
            <w:r>
              <w:rPr>
                <w:rFonts w:cstheme="minorHAnsi"/>
              </w:rPr>
              <w:t>Fund</w:t>
            </w:r>
          </w:p>
        </w:tc>
        <w:tc>
          <w:tcPr>
            <w:tcW w:w="1713" w:type="dxa"/>
            <w:gridSpan w:val="2"/>
          </w:tcPr>
          <w:p w14:paraId="7B3196C5" w14:textId="77777777" w:rsidR="00DD13BF" w:rsidRPr="001F3D67" w:rsidRDefault="00DD13BF" w:rsidP="00355A56">
            <w:pPr>
              <w:pStyle w:val="TableParagraph"/>
            </w:pPr>
            <w:r>
              <w:rPr>
                <w:rFonts w:cstheme="minorHAnsi"/>
              </w:rPr>
              <w:t>Categorry of region</w:t>
            </w:r>
          </w:p>
        </w:tc>
        <w:tc>
          <w:tcPr>
            <w:tcW w:w="778" w:type="dxa"/>
          </w:tcPr>
          <w:p w14:paraId="38720245" w14:textId="77777777" w:rsidR="00DD13BF" w:rsidRDefault="00DD13BF" w:rsidP="00355A56">
            <w:pPr>
              <w:pStyle w:val="TableParagraph"/>
              <w:rPr>
                <w:sz w:val="20"/>
              </w:rPr>
            </w:pPr>
            <w:r>
              <w:rPr>
                <w:rFonts w:cstheme="minorHAnsi"/>
              </w:rPr>
              <w:t>ID</w:t>
            </w:r>
          </w:p>
        </w:tc>
        <w:tc>
          <w:tcPr>
            <w:tcW w:w="4042" w:type="dxa"/>
          </w:tcPr>
          <w:p w14:paraId="08CDF0E7" w14:textId="77777777" w:rsidR="00DD13BF" w:rsidRDefault="00DD13BF" w:rsidP="00355A56">
            <w:pPr>
              <w:pStyle w:val="TableParagraph"/>
              <w:rPr>
                <w:sz w:val="20"/>
              </w:rPr>
            </w:pPr>
            <w:r>
              <w:rPr>
                <w:rFonts w:cstheme="minorHAnsi"/>
              </w:rPr>
              <w:t>Indicator</w:t>
            </w:r>
          </w:p>
        </w:tc>
        <w:tc>
          <w:tcPr>
            <w:tcW w:w="1276" w:type="dxa"/>
          </w:tcPr>
          <w:p w14:paraId="5F9F8D9B" w14:textId="77777777" w:rsidR="00DD13BF" w:rsidRDefault="00DD13BF" w:rsidP="00355A56">
            <w:pPr>
              <w:pStyle w:val="TableParagraph"/>
              <w:rPr>
                <w:sz w:val="20"/>
              </w:rPr>
            </w:pPr>
            <w:r>
              <w:rPr>
                <w:rFonts w:cstheme="minorHAnsi"/>
              </w:rPr>
              <w:t>Measurement unit</w:t>
            </w:r>
          </w:p>
        </w:tc>
        <w:tc>
          <w:tcPr>
            <w:tcW w:w="1418" w:type="dxa"/>
          </w:tcPr>
          <w:p w14:paraId="07085C49" w14:textId="77777777" w:rsidR="00DD13BF" w:rsidRDefault="00DD13BF" w:rsidP="00355A56">
            <w:pPr>
              <w:pStyle w:val="TableParagraph"/>
              <w:rPr>
                <w:sz w:val="20"/>
              </w:rPr>
            </w:pPr>
            <w:r>
              <w:rPr>
                <w:rFonts w:cstheme="minorHAnsi"/>
              </w:rPr>
              <w:t>Milestone</w:t>
            </w:r>
            <w:r w:rsidRPr="00B3569A">
              <w:rPr>
                <w:rFonts w:cstheme="minorHAnsi"/>
              </w:rPr>
              <w:t xml:space="preserve"> (2024)</w:t>
            </w:r>
          </w:p>
        </w:tc>
        <w:tc>
          <w:tcPr>
            <w:tcW w:w="1276" w:type="dxa"/>
          </w:tcPr>
          <w:p w14:paraId="66C9225A" w14:textId="77777777" w:rsidR="00DD13BF" w:rsidRPr="001F3D67" w:rsidRDefault="00DD13BF" w:rsidP="00355A56">
            <w:pPr>
              <w:pStyle w:val="TableParagraph"/>
            </w:pPr>
            <w:r>
              <w:rPr>
                <w:rFonts w:cstheme="minorHAnsi"/>
              </w:rPr>
              <w:t>Target</w:t>
            </w:r>
            <w:r w:rsidRPr="00B3569A">
              <w:rPr>
                <w:rFonts w:cstheme="minorHAnsi"/>
              </w:rPr>
              <w:t xml:space="preserve"> (2029)</w:t>
            </w:r>
          </w:p>
        </w:tc>
      </w:tr>
      <w:tr w:rsidR="00DD13BF" w14:paraId="1A23EE40" w14:textId="77777777" w:rsidTr="00355A56">
        <w:trPr>
          <w:trHeight w:val="367"/>
        </w:trPr>
        <w:tc>
          <w:tcPr>
            <w:tcW w:w="1125" w:type="dxa"/>
          </w:tcPr>
          <w:p w14:paraId="6E25B64C"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37CF8542"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2F38145D" w14:textId="77777777" w:rsidR="00DD13BF" w:rsidRDefault="00DD13BF" w:rsidP="00355A56">
            <w:pPr>
              <w:pStyle w:val="TableParagraph"/>
              <w:rPr>
                <w:sz w:val="20"/>
              </w:rPr>
            </w:pPr>
            <w:r>
              <w:rPr>
                <w:sz w:val="20"/>
              </w:rPr>
              <w:t>ERDF</w:t>
            </w:r>
          </w:p>
        </w:tc>
        <w:tc>
          <w:tcPr>
            <w:tcW w:w="1701" w:type="dxa"/>
          </w:tcPr>
          <w:p w14:paraId="1571F008" w14:textId="77777777" w:rsidR="00DD13BF" w:rsidRDefault="00DD13BF" w:rsidP="00355A56">
            <w:pPr>
              <w:pStyle w:val="TableParagraph"/>
              <w:rPr>
                <w:sz w:val="20"/>
              </w:rPr>
            </w:pPr>
            <w:r>
              <w:rPr>
                <w:sz w:val="20"/>
              </w:rPr>
              <w:t>Less developed</w:t>
            </w:r>
          </w:p>
        </w:tc>
        <w:tc>
          <w:tcPr>
            <w:tcW w:w="778" w:type="dxa"/>
          </w:tcPr>
          <w:p w14:paraId="4F1217E1" w14:textId="77777777" w:rsidR="00DD13BF" w:rsidRPr="00347461" w:rsidRDefault="00DD13BF" w:rsidP="00355A56">
            <w:pPr>
              <w:pStyle w:val="TableParagraph"/>
              <w:rPr>
                <w:sz w:val="20"/>
              </w:rPr>
            </w:pPr>
            <w:r w:rsidRPr="00347461">
              <w:rPr>
                <w:rFonts w:cstheme="minorHAnsi"/>
                <w:sz w:val="20"/>
                <w:lang w:bidi="sl-SI"/>
              </w:rPr>
              <w:t>RCO01</w:t>
            </w:r>
          </w:p>
        </w:tc>
        <w:tc>
          <w:tcPr>
            <w:tcW w:w="4042" w:type="dxa"/>
          </w:tcPr>
          <w:p w14:paraId="042AFCB1" w14:textId="77777777" w:rsidR="00DD13BF" w:rsidRPr="001E0450" w:rsidRDefault="00DD13BF" w:rsidP="00355A56">
            <w:pPr>
              <w:pStyle w:val="TableParagraph"/>
              <w:rPr>
                <w:sz w:val="20"/>
              </w:rPr>
            </w:pPr>
            <w:r w:rsidRPr="001E0450">
              <w:rPr>
                <w:sz w:val="20"/>
              </w:rPr>
              <w:t>Enterprises supported (of which: micro, small, medium, large)</w:t>
            </w:r>
          </w:p>
        </w:tc>
        <w:tc>
          <w:tcPr>
            <w:tcW w:w="1276" w:type="dxa"/>
          </w:tcPr>
          <w:p w14:paraId="002CBFA3" w14:textId="77777777" w:rsidR="00DD13BF" w:rsidRPr="00347461" w:rsidRDefault="00DD13BF" w:rsidP="00355A56">
            <w:pPr>
              <w:pStyle w:val="TableParagraph"/>
              <w:rPr>
                <w:sz w:val="20"/>
              </w:rPr>
            </w:pPr>
            <w:r>
              <w:rPr>
                <w:color w:val="000000"/>
                <w:sz w:val="20"/>
              </w:rPr>
              <w:t>enterprises</w:t>
            </w:r>
          </w:p>
        </w:tc>
        <w:tc>
          <w:tcPr>
            <w:tcW w:w="1418" w:type="dxa"/>
          </w:tcPr>
          <w:p w14:paraId="4FC07F92" w14:textId="77777777" w:rsidR="00DD13BF" w:rsidRPr="00347461" w:rsidRDefault="00DD13BF" w:rsidP="00355A56">
            <w:pPr>
              <w:pStyle w:val="TableParagraph"/>
              <w:rPr>
                <w:sz w:val="20"/>
              </w:rPr>
            </w:pPr>
            <w:r>
              <w:rPr>
                <w:sz w:val="20"/>
              </w:rPr>
              <w:t>534</w:t>
            </w:r>
          </w:p>
        </w:tc>
        <w:tc>
          <w:tcPr>
            <w:tcW w:w="1276" w:type="dxa"/>
          </w:tcPr>
          <w:p w14:paraId="26EAD617" w14:textId="77777777" w:rsidR="00DD13BF" w:rsidRDefault="00DD13BF" w:rsidP="00355A56">
            <w:pPr>
              <w:pStyle w:val="TableParagraph"/>
              <w:rPr>
                <w:sz w:val="20"/>
              </w:rPr>
            </w:pPr>
            <w:r>
              <w:rPr>
                <w:sz w:val="20"/>
              </w:rPr>
              <w:t>5,093</w:t>
            </w:r>
          </w:p>
        </w:tc>
      </w:tr>
      <w:tr w:rsidR="00DD13BF" w14:paraId="09C4C5DF" w14:textId="77777777" w:rsidTr="00355A56">
        <w:trPr>
          <w:trHeight w:val="367"/>
        </w:trPr>
        <w:tc>
          <w:tcPr>
            <w:tcW w:w="1125" w:type="dxa"/>
          </w:tcPr>
          <w:p w14:paraId="6F77C212"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605D2EEA"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71DDA2F1" w14:textId="77777777" w:rsidR="00DD13BF" w:rsidRDefault="00DD13BF" w:rsidP="00355A56">
            <w:pPr>
              <w:pStyle w:val="TableParagraph"/>
              <w:rPr>
                <w:sz w:val="20"/>
              </w:rPr>
            </w:pPr>
            <w:r>
              <w:rPr>
                <w:sz w:val="20"/>
              </w:rPr>
              <w:t>ERDF</w:t>
            </w:r>
          </w:p>
        </w:tc>
        <w:tc>
          <w:tcPr>
            <w:tcW w:w="1701" w:type="dxa"/>
          </w:tcPr>
          <w:p w14:paraId="5EC0F2E2" w14:textId="77777777" w:rsidR="00DD13BF" w:rsidRDefault="00DD13BF" w:rsidP="00355A56">
            <w:pPr>
              <w:pStyle w:val="TableParagraph"/>
              <w:rPr>
                <w:sz w:val="20"/>
              </w:rPr>
            </w:pPr>
            <w:r>
              <w:rPr>
                <w:sz w:val="20"/>
              </w:rPr>
              <w:t>More developed</w:t>
            </w:r>
          </w:p>
        </w:tc>
        <w:tc>
          <w:tcPr>
            <w:tcW w:w="778" w:type="dxa"/>
          </w:tcPr>
          <w:p w14:paraId="2B32A158" w14:textId="77777777" w:rsidR="00DD13BF" w:rsidRPr="00347461" w:rsidRDefault="00DD13BF" w:rsidP="00355A56">
            <w:pPr>
              <w:pStyle w:val="TableParagraph"/>
              <w:rPr>
                <w:sz w:val="20"/>
              </w:rPr>
            </w:pPr>
            <w:r w:rsidRPr="00347461">
              <w:rPr>
                <w:rFonts w:cstheme="minorHAnsi"/>
                <w:sz w:val="20"/>
                <w:lang w:bidi="sl-SI"/>
              </w:rPr>
              <w:t>RCO01</w:t>
            </w:r>
          </w:p>
        </w:tc>
        <w:tc>
          <w:tcPr>
            <w:tcW w:w="4042" w:type="dxa"/>
          </w:tcPr>
          <w:p w14:paraId="50646D42" w14:textId="77777777" w:rsidR="00DD13BF" w:rsidRPr="00347461" w:rsidRDefault="00DD13BF" w:rsidP="00355A56">
            <w:pPr>
              <w:pStyle w:val="TableParagraph"/>
              <w:rPr>
                <w:sz w:val="20"/>
              </w:rPr>
            </w:pPr>
            <w:r w:rsidRPr="001E0450">
              <w:rPr>
                <w:sz w:val="20"/>
              </w:rPr>
              <w:t>Enterprises supported (of which: micro, small, medium, large)</w:t>
            </w:r>
          </w:p>
        </w:tc>
        <w:tc>
          <w:tcPr>
            <w:tcW w:w="1276" w:type="dxa"/>
          </w:tcPr>
          <w:p w14:paraId="37C050F9"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67EF2BAF" w14:textId="77777777" w:rsidR="00DD13BF" w:rsidRPr="00347461" w:rsidRDefault="00DD13BF" w:rsidP="00355A56">
            <w:pPr>
              <w:pStyle w:val="TableParagraph"/>
              <w:rPr>
                <w:sz w:val="20"/>
              </w:rPr>
            </w:pPr>
            <w:r>
              <w:rPr>
                <w:sz w:val="20"/>
              </w:rPr>
              <w:t>388</w:t>
            </w:r>
          </w:p>
        </w:tc>
        <w:tc>
          <w:tcPr>
            <w:tcW w:w="1276" w:type="dxa"/>
          </w:tcPr>
          <w:p w14:paraId="5D6BC080" w14:textId="77777777" w:rsidR="00DD13BF" w:rsidRDefault="00DD13BF" w:rsidP="00355A56">
            <w:pPr>
              <w:pStyle w:val="TableParagraph"/>
              <w:rPr>
                <w:sz w:val="20"/>
              </w:rPr>
            </w:pPr>
            <w:r>
              <w:rPr>
                <w:sz w:val="20"/>
              </w:rPr>
              <w:t>3,691</w:t>
            </w:r>
          </w:p>
        </w:tc>
      </w:tr>
      <w:tr w:rsidR="00DD13BF" w14:paraId="3F8D9251" w14:textId="77777777" w:rsidTr="00355A56">
        <w:trPr>
          <w:trHeight w:val="367"/>
        </w:trPr>
        <w:tc>
          <w:tcPr>
            <w:tcW w:w="1125" w:type="dxa"/>
          </w:tcPr>
          <w:p w14:paraId="5CE7A78B"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3E136DCA"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0A67C69D" w14:textId="77777777" w:rsidR="00DD13BF" w:rsidRDefault="00DD13BF" w:rsidP="00355A56">
            <w:pPr>
              <w:pStyle w:val="TableParagraph"/>
              <w:rPr>
                <w:sz w:val="20"/>
              </w:rPr>
            </w:pPr>
            <w:r>
              <w:rPr>
                <w:sz w:val="20"/>
              </w:rPr>
              <w:t>ERDF</w:t>
            </w:r>
          </w:p>
        </w:tc>
        <w:tc>
          <w:tcPr>
            <w:tcW w:w="1701" w:type="dxa"/>
          </w:tcPr>
          <w:p w14:paraId="4A3B1B8C" w14:textId="77777777" w:rsidR="00DD13BF" w:rsidRDefault="00DD13BF" w:rsidP="00355A56">
            <w:pPr>
              <w:pStyle w:val="TableParagraph"/>
              <w:rPr>
                <w:sz w:val="20"/>
              </w:rPr>
            </w:pPr>
            <w:r>
              <w:rPr>
                <w:sz w:val="20"/>
              </w:rPr>
              <w:t>Less developed</w:t>
            </w:r>
          </w:p>
        </w:tc>
        <w:tc>
          <w:tcPr>
            <w:tcW w:w="778" w:type="dxa"/>
          </w:tcPr>
          <w:p w14:paraId="589CB1A2" w14:textId="77777777" w:rsidR="00DD13BF" w:rsidRPr="00347461" w:rsidRDefault="00DD13BF" w:rsidP="00355A56">
            <w:pPr>
              <w:pStyle w:val="TableParagraph"/>
              <w:rPr>
                <w:sz w:val="20"/>
              </w:rPr>
            </w:pPr>
            <w:r w:rsidRPr="00347461">
              <w:rPr>
                <w:rFonts w:cstheme="minorHAnsi"/>
                <w:sz w:val="20"/>
                <w:lang w:bidi="sl-SI"/>
              </w:rPr>
              <w:t>RCO02</w:t>
            </w:r>
          </w:p>
        </w:tc>
        <w:tc>
          <w:tcPr>
            <w:tcW w:w="4042" w:type="dxa"/>
          </w:tcPr>
          <w:p w14:paraId="0E5783A6" w14:textId="77777777" w:rsidR="00DD13BF" w:rsidRPr="009D450B" w:rsidRDefault="00DD13BF" w:rsidP="00355A56">
            <w:pPr>
              <w:pStyle w:val="TableParagraph"/>
              <w:rPr>
                <w:sz w:val="20"/>
              </w:rPr>
            </w:pPr>
            <w:r w:rsidRPr="009D450B">
              <w:rPr>
                <w:sz w:val="20"/>
              </w:rPr>
              <w:t>Enterprises supported by grants</w:t>
            </w:r>
          </w:p>
        </w:tc>
        <w:tc>
          <w:tcPr>
            <w:tcW w:w="1276" w:type="dxa"/>
          </w:tcPr>
          <w:p w14:paraId="4E622B14"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271B8BD0" w14:textId="77777777" w:rsidR="00DD13BF" w:rsidRPr="00347461" w:rsidRDefault="00DD13BF" w:rsidP="00355A56">
            <w:pPr>
              <w:pStyle w:val="TableParagraph"/>
              <w:rPr>
                <w:sz w:val="20"/>
              </w:rPr>
            </w:pPr>
            <w:r>
              <w:rPr>
                <w:sz w:val="20"/>
              </w:rPr>
              <w:t>128</w:t>
            </w:r>
          </w:p>
        </w:tc>
        <w:tc>
          <w:tcPr>
            <w:tcW w:w="1276" w:type="dxa"/>
          </w:tcPr>
          <w:p w14:paraId="66CF7377" w14:textId="77777777" w:rsidR="00DD13BF" w:rsidRDefault="00DD13BF" w:rsidP="00355A56">
            <w:pPr>
              <w:pStyle w:val="TableParagraph"/>
              <w:rPr>
                <w:sz w:val="20"/>
              </w:rPr>
            </w:pPr>
            <w:r>
              <w:rPr>
                <w:sz w:val="20"/>
              </w:rPr>
              <w:t>2,880</w:t>
            </w:r>
          </w:p>
        </w:tc>
      </w:tr>
      <w:tr w:rsidR="00DD13BF" w14:paraId="6646F3DF" w14:textId="77777777" w:rsidTr="00355A56">
        <w:trPr>
          <w:trHeight w:val="367"/>
        </w:trPr>
        <w:tc>
          <w:tcPr>
            <w:tcW w:w="1125" w:type="dxa"/>
          </w:tcPr>
          <w:p w14:paraId="35331175"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03317BCA"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1C66B666" w14:textId="77777777" w:rsidR="00DD13BF" w:rsidRDefault="00DD13BF" w:rsidP="00355A56">
            <w:pPr>
              <w:pStyle w:val="TableParagraph"/>
              <w:rPr>
                <w:sz w:val="20"/>
              </w:rPr>
            </w:pPr>
            <w:r>
              <w:rPr>
                <w:sz w:val="20"/>
              </w:rPr>
              <w:t>ERDF</w:t>
            </w:r>
          </w:p>
        </w:tc>
        <w:tc>
          <w:tcPr>
            <w:tcW w:w="1701" w:type="dxa"/>
          </w:tcPr>
          <w:p w14:paraId="2B701B82" w14:textId="77777777" w:rsidR="00DD13BF" w:rsidRDefault="00DD13BF" w:rsidP="00355A56">
            <w:pPr>
              <w:pStyle w:val="TableParagraph"/>
              <w:rPr>
                <w:sz w:val="20"/>
              </w:rPr>
            </w:pPr>
            <w:r>
              <w:rPr>
                <w:sz w:val="20"/>
              </w:rPr>
              <w:t>More developed</w:t>
            </w:r>
          </w:p>
        </w:tc>
        <w:tc>
          <w:tcPr>
            <w:tcW w:w="778" w:type="dxa"/>
          </w:tcPr>
          <w:p w14:paraId="06DC1A67" w14:textId="77777777" w:rsidR="00DD13BF" w:rsidRPr="00347461" w:rsidRDefault="00DD13BF" w:rsidP="00355A56">
            <w:pPr>
              <w:pStyle w:val="TableParagraph"/>
              <w:rPr>
                <w:sz w:val="20"/>
              </w:rPr>
            </w:pPr>
            <w:r w:rsidRPr="00347461">
              <w:rPr>
                <w:rFonts w:cstheme="minorHAnsi"/>
                <w:sz w:val="20"/>
                <w:lang w:bidi="sl-SI"/>
              </w:rPr>
              <w:t>RCO02</w:t>
            </w:r>
          </w:p>
        </w:tc>
        <w:tc>
          <w:tcPr>
            <w:tcW w:w="4042" w:type="dxa"/>
          </w:tcPr>
          <w:p w14:paraId="44EDA288" w14:textId="77777777" w:rsidR="00DD13BF" w:rsidRPr="009D450B" w:rsidRDefault="00DD13BF" w:rsidP="00355A56">
            <w:pPr>
              <w:pStyle w:val="TableParagraph"/>
              <w:rPr>
                <w:sz w:val="20"/>
              </w:rPr>
            </w:pPr>
            <w:r w:rsidRPr="009D450B">
              <w:rPr>
                <w:sz w:val="20"/>
              </w:rPr>
              <w:t>Enterprises supported by grants</w:t>
            </w:r>
          </w:p>
        </w:tc>
        <w:tc>
          <w:tcPr>
            <w:tcW w:w="1276" w:type="dxa"/>
          </w:tcPr>
          <w:p w14:paraId="6B810F53"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5135CDC6" w14:textId="77777777" w:rsidR="00DD13BF" w:rsidRPr="00347461" w:rsidRDefault="00DD13BF" w:rsidP="00355A56">
            <w:pPr>
              <w:pStyle w:val="TableParagraph"/>
              <w:rPr>
                <w:sz w:val="20"/>
              </w:rPr>
            </w:pPr>
            <w:r>
              <w:rPr>
                <w:sz w:val="20"/>
              </w:rPr>
              <w:t>89</w:t>
            </w:r>
          </w:p>
        </w:tc>
        <w:tc>
          <w:tcPr>
            <w:tcW w:w="1276" w:type="dxa"/>
          </w:tcPr>
          <w:p w14:paraId="1824110E" w14:textId="77777777" w:rsidR="00DD13BF" w:rsidRPr="001F3D67" w:rsidRDefault="00DD13BF" w:rsidP="00355A56">
            <w:pPr>
              <w:pStyle w:val="TableParagraph"/>
              <w:rPr>
                <w:sz w:val="20"/>
              </w:rPr>
            </w:pPr>
            <w:r>
              <w:rPr>
                <w:sz w:val="20"/>
              </w:rPr>
              <w:t>2,154</w:t>
            </w:r>
          </w:p>
          <w:p w14:paraId="3AAEFDAF" w14:textId="77777777" w:rsidR="00DD13BF" w:rsidRDefault="00DD13BF" w:rsidP="00355A56">
            <w:pPr>
              <w:pStyle w:val="TableParagraph"/>
              <w:rPr>
                <w:sz w:val="20"/>
              </w:rPr>
            </w:pPr>
          </w:p>
        </w:tc>
      </w:tr>
      <w:tr w:rsidR="00DD13BF" w14:paraId="64B81DD0" w14:textId="77777777" w:rsidTr="00355A56">
        <w:trPr>
          <w:trHeight w:val="367"/>
        </w:trPr>
        <w:tc>
          <w:tcPr>
            <w:tcW w:w="1125" w:type="dxa"/>
          </w:tcPr>
          <w:p w14:paraId="4B068EEC"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55A5D690"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5625428E" w14:textId="77777777" w:rsidR="00DD13BF" w:rsidRDefault="00DD13BF" w:rsidP="00355A56">
            <w:pPr>
              <w:pStyle w:val="TableParagraph"/>
              <w:rPr>
                <w:sz w:val="20"/>
              </w:rPr>
            </w:pPr>
            <w:r>
              <w:rPr>
                <w:sz w:val="20"/>
              </w:rPr>
              <w:t>ERDF</w:t>
            </w:r>
          </w:p>
        </w:tc>
        <w:tc>
          <w:tcPr>
            <w:tcW w:w="1701" w:type="dxa"/>
          </w:tcPr>
          <w:p w14:paraId="6E771F2B" w14:textId="77777777" w:rsidR="00DD13BF" w:rsidRDefault="00DD13BF" w:rsidP="00355A56">
            <w:pPr>
              <w:pStyle w:val="TableParagraph"/>
              <w:rPr>
                <w:sz w:val="20"/>
              </w:rPr>
            </w:pPr>
            <w:r>
              <w:rPr>
                <w:sz w:val="20"/>
              </w:rPr>
              <w:t>Less developed</w:t>
            </w:r>
          </w:p>
        </w:tc>
        <w:tc>
          <w:tcPr>
            <w:tcW w:w="778" w:type="dxa"/>
          </w:tcPr>
          <w:p w14:paraId="6AF3AFCD" w14:textId="77777777" w:rsidR="00DD13BF" w:rsidRPr="00347461" w:rsidRDefault="00DD13BF" w:rsidP="00355A56">
            <w:pPr>
              <w:pStyle w:val="TableParagraph"/>
              <w:rPr>
                <w:sz w:val="20"/>
              </w:rPr>
            </w:pPr>
            <w:r w:rsidRPr="00347461">
              <w:rPr>
                <w:rFonts w:cstheme="minorHAnsi"/>
                <w:sz w:val="20"/>
                <w:lang w:bidi="sl-SI"/>
              </w:rPr>
              <w:t>RCO03</w:t>
            </w:r>
          </w:p>
        </w:tc>
        <w:tc>
          <w:tcPr>
            <w:tcW w:w="4042" w:type="dxa"/>
          </w:tcPr>
          <w:p w14:paraId="21AC3CFE" w14:textId="77777777" w:rsidR="00DD13BF" w:rsidRPr="009D450B" w:rsidRDefault="00DD13BF" w:rsidP="00355A56">
            <w:pPr>
              <w:pStyle w:val="TableParagraph"/>
              <w:rPr>
                <w:sz w:val="20"/>
              </w:rPr>
            </w:pPr>
            <w:r w:rsidRPr="009D450B">
              <w:rPr>
                <w:sz w:val="20"/>
              </w:rPr>
              <w:t>Enterprises supported by financial instruments</w:t>
            </w:r>
          </w:p>
        </w:tc>
        <w:tc>
          <w:tcPr>
            <w:tcW w:w="1276" w:type="dxa"/>
          </w:tcPr>
          <w:p w14:paraId="67AC96F1"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63277E01" w14:textId="77777777" w:rsidR="00DD13BF" w:rsidRPr="00347461" w:rsidRDefault="00DD13BF" w:rsidP="00355A56">
            <w:pPr>
              <w:pStyle w:val="TableParagraph"/>
              <w:rPr>
                <w:sz w:val="20"/>
              </w:rPr>
            </w:pPr>
            <w:r>
              <w:rPr>
                <w:sz w:val="20"/>
              </w:rPr>
              <w:t>0</w:t>
            </w:r>
          </w:p>
        </w:tc>
        <w:tc>
          <w:tcPr>
            <w:tcW w:w="1276" w:type="dxa"/>
          </w:tcPr>
          <w:p w14:paraId="7D19E020" w14:textId="77777777" w:rsidR="00DD13BF" w:rsidRDefault="00DD13BF" w:rsidP="00355A56">
            <w:pPr>
              <w:pStyle w:val="TableParagraph"/>
              <w:rPr>
                <w:sz w:val="20"/>
              </w:rPr>
            </w:pPr>
            <w:r>
              <w:rPr>
                <w:sz w:val="20"/>
              </w:rPr>
              <w:t>297</w:t>
            </w:r>
          </w:p>
        </w:tc>
      </w:tr>
      <w:tr w:rsidR="00DD13BF" w14:paraId="43BE38C1" w14:textId="77777777" w:rsidTr="00355A56">
        <w:trPr>
          <w:trHeight w:val="367"/>
        </w:trPr>
        <w:tc>
          <w:tcPr>
            <w:tcW w:w="1125" w:type="dxa"/>
          </w:tcPr>
          <w:p w14:paraId="065CADE0"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2C8720C6"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570120D3" w14:textId="77777777" w:rsidR="00DD13BF" w:rsidRDefault="00DD13BF" w:rsidP="00355A56">
            <w:pPr>
              <w:pStyle w:val="TableParagraph"/>
              <w:rPr>
                <w:sz w:val="20"/>
              </w:rPr>
            </w:pPr>
            <w:r>
              <w:rPr>
                <w:sz w:val="20"/>
              </w:rPr>
              <w:t>ERDF</w:t>
            </w:r>
          </w:p>
        </w:tc>
        <w:tc>
          <w:tcPr>
            <w:tcW w:w="1701" w:type="dxa"/>
          </w:tcPr>
          <w:p w14:paraId="615510C6" w14:textId="77777777" w:rsidR="00DD13BF" w:rsidRDefault="00DD13BF" w:rsidP="00355A56">
            <w:pPr>
              <w:pStyle w:val="TableParagraph"/>
              <w:rPr>
                <w:sz w:val="20"/>
              </w:rPr>
            </w:pPr>
            <w:r>
              <w:rPr>
                <w:sz w:val="20"/>
              </w:rPr>
              <w:t>More developed</w:t>
            </w:r>
          </w:p>
        </w:tc>
        <w:tc>
          <w:tcPr>
            <w:tcW w:w="778" w:type="dxa"/>
          </w:tcPr>
          <w:p w14:paraId="177158C5" w14:textId="77777777" w:rsidR="00DD13BF" w:rsidRPr="00347461" w:rsidRDefault="00DD13BF" w:rsidP="00355A56">
            <w:pPr>
              <w:pStyle w:val="TableParagraph"/>
              <w:rPr>
                <w:sz w:val="20"/>
              </w:rPr>
            </w:pPr>
            <w:r w:rsidRPr="00347461">
              <w:rPr>
                <w:rFonts w:cstheme="minorHAnsi"/>
                <w:sz w:val="20"/>
                <w:lang w:bidi="sl-SI"/>
              </w:rPr>
              <w:t>RCO03</w:t>
            </w:r>
          </w:p>
        </w:tc>
        <w:tc>
          <w:tcPr>
            <w:tcW w:w="4042" w:type="dxa"/>
          </w:tcPr>
          <w:p w14:paraId="72673310" w14:textId="77777777" w:rsidR="00DD13BF" w:rsidRPr="009D450B" w:rsidRDefault="00DD13BF" w:rsidP="00355A56">
            <w:pPr>
              <w:pStyle w:val="TableParagraph"/>
              <w:rPr>
                <w:sz w:val="20"/>
              </w:rPr>
            </w:pPr>
            <w:r w:rsidRPr="009D450B">
              <w:rPr>
                <w:sz w:val="20"/>
              </w:rPr>
              <w:t>Enterprises supported by financial instruments</w:t>
            </w:r>
          </w:p>
        </w:tc>
        <w:tc>
          <w:tcPr>
            <w:tcW w:w="1276" w:type="dxa"/>
          </w:tcPr>
          <w:p w14:paraId="7C1EE12C"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47B158A2" w14:textId="77777777" w:rsidR="00DD13BF" w:rsidRDefault="00DD13BF" w:rsidP="00355A56">
            <w:pPr>
              <w:pStyle w:val="TableParagraph"/>
              <w:rPr>
                <w:sz w:val="20"/>
              </w:rPr>
            </w:pPr>
            <w:r>
              <w:rPr>
                <w:sz w:val="20"/>
              </w:rPr>
              <w:t>0</w:t>
            </w:r>
          </w:p>
          <w:p w14:paraId="79A21E3B" w14:textId="77777777" w:rsidR="00DD13BF" w:rsidRPr="00347461" w:rsidRDefault="00DD13BF" w:rsidP="00355A56">
            <w:pPr>
              <w:pStyle w:val="TableParagraph"/>
              <w:rPr>
                <w:sz w:val="20"/>
              </w:rPr>
            </w:pPr>
          </w:p>
        </w:tc>
        <w:tc>
          <w:tcPr>
            <w:tcW w:w="1276" w:type="dxa"/>
          </w:tcPr>
          <w:p w14:paraId="5B6EC667" w14:textId="77777777" w:rsidR="00DD13BF" w:rsidRDefault="00DD13BF" w:rsidP="00355A56">
            <w:pPr>
              <w:pStyle w:val="TableParagraph"/>
              <w:rPr>
                <w:sz w:val="20"/>
              </w:rPr>
            </w:pPr>
            <w:r>
              <w:rPr>
                <w:sz w:val="20"/>
              </w:rPr>
              <w:t>193</w:t>
            </w:r>
          </w:p>
        </w:tc>
      </w:tr>
      <w:tr w:rsidR="00DD13BF" w14:paraId="0C5E3C08" w14:textId="77777777" w:rsidTr="00355A56">
        <w:trPr>
          <w:trHeight w:val="367"/>
        </w:trPr>
        <w:tc>
          <w:tcPr>
            <w:tcW w:w="1125" w:type="dxa"/>
          </w:tcPr>
          <w:p w14:paraId="73942E0F"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16B7EF83"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296C2405" w14:textId="77777777" w:rsidR="00DD13BF" w:rsidRDefault="00DD13BF" w:rsidP="00355A56">
            <w:pPr>
              <w:pStyle w:val="TableParagraph"/>
              <w:rPr>
                <w:sz w:val="20"/>
              </w:rPr>
            </w:pPr>
            <w:r>
              <w:rPr>
                <w:sz w:val="20"/>
              </w:rPr>
              <w:t>ERDF</w:t>
            </w:r>
          </w:p>
        </w:tc>
        <w:tc>
          <w:tcPr>
            <w:tcW w:w="1701" w:type="dxa"/>
          </w:tcPr>
          <w:p w14:paraId="34AEACD5" w14:textId="77777777" w:rsidR="00DD13BF" w:rsidRDefault="00DD13BF" w:rsidP="00355A56">
            <w:pPr>
              <w:pStyle w:val="TableParagraph"/>
              <w:rPr>
                <w:sz w:val="20"/>
              </w:rPr>
            </w:pPr>
            <w:r>
              <w:rPr>
                <w:sz w:val="20"/>
              </w:rPr>
              <w:t>Less developed</w:t>
            </w:r>
          </w:p>
        </w:tc>
        <w:tc>
          <w:tcPr>
            <w:tcW w:w="778" w:type="dxa"/>
          </w:tcPr>
          <w:p w14:paraId="2C293921" w14:textId="77777777" w:rsidR="00DD13BF" w:rsidRPr="00347461" w:rsidRDefault="00DD13BF" w:rsidP="00355A56">
            <w:pPr>
              <w:pStyle w:val="TableParagraph"/>
              <w:rPr>
                <w:sz w:val="20"/>
              </w:rPr>
            </w:pPr>
            <w:r w:rsidRPr="00347461">
              <w:rPr>
                <w:rFonts w:cstheme="minorHAnsi"/>
                <w:sz w:val="20"/>
                <w:lang w:bidi="sl-SI"/>
              </w:rPr>
              <w:t>RCO04</w:t>
            </w:r>
          </w:p>
        </w:tc>
        <w:tc>
          <w:tcPr>
            <w:tcW w:w="4042" w:type="dxa"/>
          </w:tcPr>
          <w:p w14:paraId="448160FC" w14:textId="77777777" w:rsidR="00DD13BF" w:rsidRPr="009D450B" w:rsidRDefault="00DD13BF" w:rsidP="00355A56">
            <w:pPr>
              <w:pStyle w:val="TableParagraph"/>
              <w:rPr>
                <w:sz w:val="20"/>
              </w:rPr>
            </w:pPr>
            <w:r w:rsidRPr="009D450B">
              <w:rPr>
                <w:sz w:val="20"/>
              </w:rPr>
              <w:t>Enterprises with non-financial support</w:t>
            </w:r>
          </w:p>
        </w:tc>
        <w:tc>
          <w:tcPr>
            <w:tcW w:w="1276" w:type="dxa"/>
          </w:tcPr>
          <w:p w14:paraId="32726DA7"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6AE56BCB" w14:textId="77777777" w:rsidR="00DD13BF" w:rsidRPr="00347461" w:rsidRDefault="00DD13BF" w:rsidP="00355A56">
            <w:pPr>
              <w:pStyle w:val="TableParagraph"/>
              <w:rPr>
                <w:sz w:val="20"/>
              </w:rPr>
            </w:pPr>
            <w:r>
              <w:rPr>
                <w:sz w:val="20"/>
              </w:rPr>
              <w:t>625</w:t>
            </w:r>
          </w:p>
        </w:tc>
        <w:tc>
          <w:tcPr>
            <w:tcW w:w="1276" w:type="dxa"/>
          </w:tcPr>
          <w:p w14:paraId="7E653990" w14:textId="77777777" w:rsidR="00DD13BF" w:rsidRDefault="00DD13BF" w:rsidP="00355A56">
            <w:pPr>
              <w:pStyle w:val="TableParagraph"/>
              <w:rPr>
                <w:sz w:val="20"/>
              </w:rPr>
            </w:pPr>
            <w:r>
              <w:rPr>
                <w:sz w:val="20"/>
              </w:rPr>
              <w:t>3,173</w:t>
            </w:r>
          </w:p>
        </w:tc>
      </w:tr>
      <w:tr w:rsidR="00DD13BF" w14:paraId="0538F56D" w14:textId="77777777" w:rsidTr="00355A56">
        <w:trPr>
          <w:trHeight w:val="367"/>
        </w:trPr>
        <w:tc>
          <w:tcPr>
            <w:tcW w:w="1125" w:type="dxa"/>
          </w:tcPr>
          <w:p w14:paraId="1631B5FB"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0C1F2512"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21DDD093" w14:textId="77777777" w:rsidR="00DD13BF" w:rsidRDefault="00DD13BF" w:rsidP="00355A56">
            <w:pPr>
              <w:pStyle w:val="TableParagraph"/>
              <w:rPr>
                <w:sz w:val="20"/>
              </w:rPr>
            </w:pPr>
            <w:r>
              <w:rPr>
                <w:sz w:val="20"/>
              </w:rPr>
              <w:t>ERDF</w:t>
            </w:r>
          </w:p>
        </w:tc>
        <w:tc>
          <w:tcPr>
            <w:tcW w:w="1701" w:type="dxa"/>
          </w:tcPr>
          <w:p w14:paraId="5597513F" w14:textId="77777777" w:rsidR="00DD13BF" w:rsidRDefault="00DD13BF" w:rsidP="00355A56">
            <w:pPr>
              <w:pStyle w:val="TableParagraph"/>
              <w:rPr>
                <w:sz w:val="20"/>
              </w:rPr>
            </w:pPr>
            <w:r>
              <w:rPr>
                <w:sz w:val="20"/>
              </w:rPr>
              <w:t>More developed</w:t>
            </w:r>
          </w:p>
        </w:tc>
        <w:tc>
          <w:tcPr>
            <w:tcW w:w="778" w:type="dxa"/>
          </w:tcPr>
          <w:p w14:paraId="2914C06B" w14:textId="77777777" w:rsidR="00DD13BF" w:rsidRPr="00347461" w:rsidRDefault="00DD13BF" w:rsidP="00355A56">
            <w:pPr>
              <w:pStyle w:val="TableParagraph"/>
              <w:rPr>
                <w:sz w:val="20"/>
              </w:rPr>
            </w:pPr>
            <w:r w:rsidRPr="00347461">
              <w:rPr>
                <w:rFonts w:cstheme="minorHAnsi"/>
                <w:sz w:val="20"/>
                <w:lang w:bidi="sl-SI"/>
              </w:rPr>
              <w:t>RCO04</w:t>
            </w:r>
          </w:p>
        </w:tc>
        <w:tc>
          <w:tcPr>
            <w:tcW w:w="4042" w:type="dxa"/>
          </w:tcPr>
          <w:p w14:paraId="1C269D3E" w14:textId="77777777" w:rsidR="00DD13BF" w:rsidRPr="009D450B" w:rsidRDefault="00DD13BF" w:rsidP="00355A56">
            <w:pPr>
              <w:pStyle w:val="TableParagraph"/>
              <w:rPr>
                <w:sz w:val="20"/>
              </w:rPr>
            </w:pPr>
            <w:r w:rsidRPr="009D450B">
              <w:rPr>
                <w:sz w:val="20"/>
              </w:rPr>
              <w:t>Enterprises with non-financial support</w:t>
            </w:r>
          </w:p>
        </w:tc>
        <w:tc>
          <w:tcPr>
            <w:tcW w:w="1276" w:type="dxa"/>
          </w:tcPr>
          <w:p w14:paraId="106B1B3C"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780079C0" w14:textId="77777777" w:rsidR="00DD13BF" w:rsidRPr="00347461" w:rsidRDefault="00DD13BF" w:rsidP="00355A56">
            <w:pPr>
              <w:pStyle w:val="TableParagraph"/>
              <w:rPr>
                <w:sz w:val="20"/>
              </w:rPr>
            </w:pPr>
            <w:r>
              <w:rPr>
                <w:sz w:val="20"/>
              </w:rPr>
              <w:t>445</w:t>
            </w:r>
          </w:p>
        </w:tc>
        <w:tc>
          <w:tcPr>
            <w:tcW w:w="1276" w:type="dxa"/>
          </w:tcPr>
          <w:p w14:paraId="454BBA5A" w14:textId="77777777" w:rsidR="00DD13BF" w:rsidRDefault="00DD13BF" w:rsidP="00355A56">
            <w:pPr>
              <w:pStyle w:val="TableParagraph"/>
              <w:rPr>
                <w:sz w:val="20"/>
              </w:rPr>
            </w:pPr>
            <w:r>
              <w:rPr>
                <w:sz w:val="20"/>
              </w:rPr>
              <w:t>2,220</w:t>
            </w:r>
          </w:p>
        </w:tc>
      </w:tr>
      <w:tr w:rsidR="00DD13BF" w14:paraId="2E3D1E61" w14:textId="77777777" w:rsidTr="00355A56">
        <w:trPr>
          <w:trHeight w:val="367"/>
        </w:trPr>
        <w:tc>
          <w:tcPr>
            <w:tcW w:w="1125" w:type="dxa"/>
          </w:tcPr>
          <w:p w14:paraId="752C0B32"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35B66AA3"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3225B13A" w14:textId="77777777" w:rsidR="00DD13BF" w:rsidRDefault="00DD13BF" w:rsidP="00355A56">
            <w:pPr>
              <w:pStyle w:val="TableParagraph"/>
              <w:rPr>
                <w:sz w:val="20"/>
              </w:rPr>
            </w:pPr>
            <w:r>
              <w:rPr>
                <w:sz w:val="20"/>
              </w:rPr>
              <w:t>ERDF</w:t>
            </w:r>
          </w:p>
        </w:tc>
        <w:tc>
          <w:tcPr>
            <w:tcW w:w="1701" w:type="dxa"/>
          </w:tcPr>
          <w:p w14:paraId="6B0CD8E2" w14:textId="77777777" w:rsidR="00DD13BF" w:rsidRDefault="00DD13BF" w:rsidP="00355A56">
            <w:pPr>
              <w:pStyle w:val="TableParagraph"/>
              <w:rPr>
                <w:sz w:val="20"/>
              </w:rPr>
            </w:pPr>
            <w:r>
              <w:rPr>
                <w:sz w:val="20"/>
              </w:rPr>
              <w:t>Less developed</w:t>
            </w:r>
          </w:p>
        </w:tc>
        <w:tc>
          <w:tcPr>
            <w:tcW w:w="778" w:type="dxa"/>
          </w:tcPr>
          <w:p w14:paraId="66E935A2" w14:textId="77777777" w:rsidR="00DD13BF" w:rsidRPr="00347461" w:rsidRDefault="00DD13BF" w:rsidP="00355A56">
            <w:pPr>
              <w:pStyle w:val="TableParagraph"/>
              <w:rPr>
                <w:sz w:val="20"/>
              </w:rPr>
            </w:pPr>
            <w:r w:rsidRPr="00347461">
              <w:rPr>
                <w:rFonts w:cstheme="minorHAnsi"/>
                <w:sz w:val="20"/>
                <w:lang w:bidi="sl-SI"/>
              </w:rPr>
              <w:t>RCO05</w:t>
            </w:r>
          </w:p>
        </w:tc>
        <w:tc>
          <w:tcPr>
            <w:tcW w:w="4042" w:type="dxa"/>
          </w:tcPr>
          <w:p w14:paraId="1BBB7879" w14:textId="77777777" w:rsidR="00DD13BF" w:rsidRPr="009D450B" w:rsidRDefault="00DD13BF" w:rsidP="00355A56">
            <w:pPr>
              <w:pStyle w:val="TableParagraph"/>
              <w:rPr>
                <w:sz w:val="20"/>
              </w:rPr>
            </w:pPr>
            <w:r w:rsidRPr="009D450B">
              <w:rPr>
                <w:sz w:val="20"/>
              </w:rPr>
              <w:t>New enterprises supported</w:t>
            </w:r>
          </w:p>
        </w:tc>
        <w:tc>
          <w:tcPr>
            <w:tcW w:w="1276" w:type="dxa"/>
          </w:tcPr>
          <w:p w14:paraId="02096DA9"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3EC0AC9C" w14:textId="77777777" w:rsidR="00DD13BF" w:rsidRPr="00347461" w:rsidRDefault="00DD13BF" w:rsidP="00355A56">
            <w:pPr>
              <w:pStyle w:val="TableParagraph"/>
              <w:rPr>
                <w:sz w:val="20"/>
              </w:rPr>
            </w:pPr>
            <w:r>
              <w:rPr>
                <w:sz w:val="20"/>
              </w:rPr>
              <w:t>36</w:t>
            </w:r>
          </w:p>
        </w:tc>
        <w:tc>
          <w:tcPr>
            <w:tcW w:w="1276" w:type="dxa"/>
          </w:tcPr>
          <w:p w14:paraId="00AAA9B4" w14:textId="77777777" w:rsidR="00DD13BF" w:rsidRDefault="00DD13BF" w:rsidP="00355A56">
            <w:pPr>
              <w:pStyle w:val="TableParagraph"/>
              <w:rPr>
                <w:sz w:val="20"/>
              </w:rPr>
            </w:pPr>
            <w:r>
              <w:rPr>
                <w:sz w:val="20"/>
              </w:rPr>
              <w:t>1,198</w:t>
            </w:r>
          </w:p>
        </w:tc>
      </w:tr>
      <w:tr w:rsidR="00DD13BF" w14:paraId="2D30096C" w14:textId="77777777" w:rsidTr="00355A56">
        <w:trPr>
          <w:trHeight w:val="367"/>
        </w:trPr>
        <w:tc>
          <w:tcPr>
            <w:tcW w:w="1125" w:type="dxa"/>
          </w:tcPr>
          <w:p w14:paraId="79C34DB9" w14:textId="77777777" w:rsidR="00DD13BF" w:rsidRPr="00BD3536" w:rsidRDefault="00DD13BF" w:rsidP="00355A56">
            <w:pPr>
              <w:pStyle w:val="TableParagraph"/>
              <w:rPr>
                <w:rFonts w:cstheme="minorHAnsi"/>
                <w:sz w:val="20"/>
              </w:rPr>
            </w:pPr>
            <w:r>
              <w:rPr>
                <w:rFonts w:cstheme="minorHAnsi"/>
                <w:sz w:val="20"/>
              </w:rPr>
              <w:t>1</w:t>
            </w:r>
          </w:p>
        </w:tc>
        <w:tc>
          <w:tcPr>
            <w:tcW w:w="1417" w:type="dxa"/>
          </w:tcPr>
          <w:p w14:paraId="5489996B" w14:textId="77777777" w:rsidR="00DD13BF" w:rsidRPr="00347461" w:rsidRDefault="00DD13BF" w:rsidP="00355A56">
            <w:pPr>
              <w:pStyle w:val="TableParagraph"/>
              <w:rPr>
                <w:iCs/>
                <w:sz w:val="20"/>
                <w:lang w:bidi="sl-SI"/>
              </w:rPr>
            </w:pPr>
            <w:r w:rsidRPr="005854BD">
              <w:rPr>
                <w:color w:val="000000"/>
                <w:sz w:val="20"/>
              </w:rPr>
              <w:t>RSO1.3</w:t>
            </w:r>
          </w:p>
        </w:tc>
        <w:tc>
          <w:tcPr>
            <w:tcW w:w="708" w:type="dxa"/>
            <w:gridSpan w:val="2"/>
          </w:tcPr>
          <w:p w14:paraId="3DCF92FC" w14:textId="77777777" w:rsidR="00DD13BF" w:rsidRDefault="00DD13BF" w:rsidP="00355A56">
            <w:pPr>
              <w:pStyle w:val="TableParagraph"/>
              <w:rPr>
                <w:sz w:val="20"/>
              </w:rPr>
            </w:pPr>
            <w:r>
              <w:rPr>
                <w:sz w:val="20"/>
              </w:rPr>
              <w:t>ERDF</w:t>
            </w:r>
          </w:p>
        </w:tc>
        <w:tc>
          <w:tcPr>
            <w:tcW w:w="1701" w:type="dxa"/>
          </w:tcPr>
          <w:p w14:paraId="5F46A3B6" w14:textId="77777777" w:rsidR="00DD13BF" w:rsidRDefault="00DD13BF" w:rsidP="00355A56">
            <w:pPr>
              <w:pStyle w:val="TableParagraph"/>
              <w:rPr>
                <w:sz w:val="20"/>
              </w:rPr>
            </w:pPr>
            <w:r>
              <w:rPr>
                <w:sz w:val="20"/>
              </w:rPr>
              <w:t xml:space="preserve">More developed </w:t>
            </w:r>
          </w:p>
        </w:tc>
        <w:tc>
          <w:tcPr>
            <w:tcW w:w="778" w:type="dxa"/>
          </w:tcPr>
          <w:p w14:paraId="340378FA" w14:textId="77777777" w:rsidR="00DD13BF" w:rsidRPr="00347461" w:rsidRDefault="00DD13BF" w:rsidP="00355A56">
            <w:pPr>
              <w:pStyle w:val="TableParagraph"/>
              <w:rPr>
                <w:sz w:val="20"/>
              </w:rPr>
            </w:pPr>
            <w:r w:rsidRPr="00347461">
              <w:rPr>
                <w:rFonts w:cstheme="minorHAnsi"/>
                <w:sz w:val="20"/>
                <w:lang w:bidi="sl-SI"/>
              </w:rPr>
              <w:t>RCO05</w:t>
            </w:r>
          </w:p>
        </w:tc>
        <w:tc>
          <w:tcPr>
            <w:tcW w:w="4042" w:type="dxa"/>
          </w:tcPr>
          <w:p w14:paraId="0444CBF7" w14:textId="77777777" w:rsidR="00DD13BF" w:rsidRPr="009D450B" w:rsidRDefault="00DD13BF" w:rsidP="00355A56">
            <w:pPr>
              <w:pStyle w:val="TableParagraph"/>
              <w:rPr>
                <w:sz w:val="20"/>
              </w:rPr>
            </w:pPr>
            <w:r w:rsidRPr="009D450B">
              <w:rPr>
                <w:sz w:val="20"/>
              </w:rPr>
              <w:t>New enterprises supported</w:t>
            </w:r>
          </w:p>
        </w:tc>
        <w:tc>
          <w:tcPr>
            <w:tcW w:w="1276" w:type="dxa"/>
          </w:tcPr>
          <w:p w14:paraId="5E517E99" w14:textId="77777777" w:rsidR="00DD13BF" w:rsidRPr="00347461" w:rsidRDefault="00DD13BF" w:rsidP="00355A56">
            <w:pPr>
              <w:pStyle w:val="TableParagraph"/>
              <w:rPr>
                <w:sz w:val="20"/>
              </w:rPr>
            </w:pPr>
            <w:r w:rsidRPr="007839F5">
              <w:rPr>
                <w:color w:val="000000"/>
                <w:sz w:val="20"/>
              </w:rPr>
              <w:t>enterprises</w:t>
            </w:r>
          </w:p>
        </w:tc>
        <w:tc>
          <w:tcPr>
            <w:tcW w:w="1418" w:type="dxa"/>
          </w:tcPr>
          <w:p w14:paraId="77729270" w14:textId="77777777" w:rsidR="00DD13BF" w:rsidRPr="00347461" w:rsidRDefault="00DD13BF" w:rsidP="00355A56">
            <w:pPr>
              <w:pStyle w:val="TableParagraph"/>
              <w:rPr>
                <w:sz w:val="20"/>
              </w:rPr>
            </w:pPr>
            <w:r>
              <w:rPr>
                <w:sz w:val="20"/>
              </w:rPr>
              <w:t>20</w:t>
            </w:r>
          </w:p>
        </w:tc>
        <w:tc>
          <w:tcPr>
            <w:tcW w:w="1276" w:type="dxa"/>
          </w:tcPr>
          <w:p w14:paraId="0168D13F" w14:textId="77777777" w:rsidR="00DD13BF" w:rsidRDefault="00DD13BF" w:rsidP="00355A56">
            <w:pPr>
              <w:pStyle w:val="TableParagraph"/>
              <w:rPr>
                <w:sz w:val="20"/>
              </w:rPr>
            </w:pPr>
            <w:r>
              <w:rPr>
                <w:sz w:val="20"/>
              </w:rPr>
              <w:t>675</w:t>
            </w:r>
          </w:p>
        </w:tc>
      </w:tr>
      <w:tr w:rsidR="00DD13BF" w:rsidRPr="00152DF6" w14:paraId="72F44037" w14:textId="77777777" w:rsidTr="00355A56">
        <w:trPr>
          <w:trHeight w:val="367"/>
        </w:trPr>
        <w:tc>
          <w:tcPr>
            <w:tcW w:w="1125" w:type="dxa"/>
          </w:tcPr>
          <w:p w14:paraId="26E63C2B" w14:textId="77777777" w:rsidR="00DD13BF" w:rsidRPr="00152DF6" w:rsidRDefault="00DD13BF" w:rsidP="00355A56">
            <w:pPr>
              <w:pStyle w:val="TableParagraph"/>
              <w:rPr>
                <w:sz w:val="20"/>
              </w:rPr>
            </w:pPr>
            <w:r w:rsidRPr="00152DF6">
              <w:rPr>
                <w:sz w:val="20"/>
              </w:rPr>
              <w:t>1</w:t>
            </w:r>
          </w:p>
        </w:tc>
        <w:tc>
          <w:tcPr>
            <w:tcW w:w="1417" w:type="dxa"/>
          </w:tcPr>
          <w:p w14:paraId="699F0AFB" w14:textId="77777777" w:rsidR="00DD13BF" w:rsidRPr="00152DF6" w:rsidRDefault="00DD13BF" w:rsidP="00355A56">
            <w:pPr>
              <w:pStyle w:val="TableParagraph"/>
              <w:rPr>
                <w:sz w:val="20"/>
                <w:lang w:bidi="sl-SI"/>
              </w:rPr>
            </w:pPr>
            <w:r w:rsidRPr="005854BD">
              <w:rPr>
                <w:color w:val="000000"/>
                <w:sz w:val="20"/>
              </w:rPr>
              <w:t>RSO1.3</w:t>
            </w:r>
          </w:p>
        </w:tc>
        <w:tc>
          <w:tcPr>
            <w:tcW w:w="708" w:type="dxa"/>
            <w:gridSpan w:val="2"/>
          </w:tcPr>
          <w:p w14:paraId="15754113" w14:textId="77777777" w:rsidR="00DD13BF" w:rsidRPr="00152DF6" w:rsidRDefault="00DD13BF" w:rsidP="00355A56">
            <w:pPr>
              <w:pStyle w:val="TableParagraph"/>
              <w:rPr>
                <w:sz w:val="20"/>
              </w:rPr>
            </w:pPr>
            <w:r>
              <w:rPr>
                <w:sz w:val="20"/>
              </w:rPr>
              <w:t>ERDF</w:t>
            </w:r>
          </w:p>
        </w:tc>
        <w:tc>
          <w:tcPr>
            <w:tcW w:w="1701" w:type="dxa"/>
          </w:tcPr>
          <w:p w14:paraId="4E4E37B0" w14:textId="77777777" w:rsidR="00DD13BF" w:rsidRPr="00152DF6" w:rsidRDefault="00DD13BF" w:rsidP="00355A56">
            <w:pPr>
              <w:pStyle w:val="TableParagraph"/>
              <w:rPr>
                <w:sz w:val="20"/>
              </w:rPr>
            </w:pPr>
            <w:r>
              <w:rPr>
                <w:sz w:val="20"/>
              </w:rPr>
              <w:t>Less developed</w:t>
            </w:r>
          </w:p>
        </w:tc>
        <w:tc>
          <w:tcPr>
            <w:tcW w:w="778" w:type="dxa"/>
          </w:tcPr>
          <w:p w14:paraId="29BB4736" w14:textId="77777777" w:rsidR="00DD13BF" w:rsidRPr="00152DF6" w:rsidRDefault="00DD13BF" w:rsidP="00355A56">
            <w:pPr>
              <w:pStyle w:val="TableParagraph"/>
              <w:rPr>
                <w:sz w:val="20"/>
                <w:lang w:bidi="sl-SI"/>
              </w:rPr>
            </w:pPr>
            <w:r w:rsidRPr="00152DF6">
              <w:rPr>
                <w:sz w:val="20"/>
                <w:lang w:bidi="sl-SI"/>
              </w:rPr>
              <w:t>RCO</w:t>
            </w:r>
            <w:r>
              <w:rPr>
                <w:sz w:val="20"/>
                <w:lang w:bidi="sl-SI"/>
              </w:rPr>
              <w:t>103</w:t>
            </w:r>
          </w:p>
        </w:tc>
        <w:tc>
          <w:tcPr>
            <w:tcW w:w="4042" w:type="dxa"/>
          </w:tcPr>
          <w:p w14:paraId="10A7A827" w14:textId="77777777" w:rsidR="00DD13BF" w:rsidRPr="009D450B" w:rsidRDefault="00DD13BF" w:rsidP="00355A56">
            <w:pPr>
              <w:pStyle w:val="TableParagraph"/>
              <w:rPr>
                <w:noProof/>
                <w:sz w:val="20"/>
              </w:rPr>
            </w:pPr>
            <w:r w:rsidRPr="009D450B">
              <w:rPr>
                <w:sz w:val="20"/>
              </w:rPr>
              <w:t>High growth enterprises supported</w:t>
            </w:r>
          </w:p>
        </w:tc>
        <w:tc>
          <w:tcPr>
            <w:tcW w:w="1276" w:type="dxa"/>
          </w:tcPr>
          <w:p w14:paraId="0AEAA93A" w14:textId="77777777" w:rsidR="00DD13BF" w:rsidRPr="00152DF6" w:rsidRDefault="00DD13BF" w:rsidP="00355A56">
            <w:pPr>
              <w:pStyle w:val="TableParagraph"/>
              <w:rPr>
                <w:sz w:val="20"/>
                <w:lang w:bidi="sl-SI"/>
              </w:rPr>
            </w:pPr>
            <w:r w:rsidRPr="007839F5">
              <w:rPr>
                <w:color w:val="000000"/>
                <w:sz w:val="20"/>
              </w:rPr>
              <w:t>enterprises</w:t>
            </w:r>
          </w:p>
        </w:tc>
        <w:tc>
          <w:tcPr>
            <w:tcW w:w="1418" w:type="dxa"/>
          </w:tcPr>
          <w:p w14:paraId="676ACD5E" w14:textId="77777777" w:rsidR="00DD13BF" w:rsidRPr="00152DF6" w:rsidRDefault="00DD13BF" w:rsidP="00355A56">
            <w:pPr>
              <w:pStyle w:val="TableParagraph"/>
              <w:rPr>
                <w:sz w:val="20"/>
              </w:rPr>
            </w:pPr>
            <w:r>
              <w:rPr>
                <w:sz w:val="20"/>
              </w:rPr>
              <w:t>0</w:t>
            </w:r>
          </w:p>
        </w:tc>
        <w:tc>
          <w:tcPr>
            <w:tcW w:w="1276" w:type="dxa"/>
          </w:tcPr>
          <w:p w14:paraId="07556AF0" w14:textId="77777777" w:rsidR="00DD13BF" w:rsidRPr="00152DF6" w:rsidRDefault="00DD13BF" w:rsidP="00355A56">
            <w:pPr>
              <w:pStyle w:val="TableParagraph"/>
              <w:rPr>
                <w:sz w:val="20"/>
              </w:rPr>
            </w:pPr>
            <w:r>
              <w:rPr>
                <w:sz w:val="20"/>
              </w:rPr>
              <w:t>8</w:t>
            </w:r>
          </w:p>
        </w:tc>
      </w:tr>
      <w:tr w:rsidR="00DD13BF" w:rsidRPr="00152DF6" w14:paraId="2903C254" w14:textId="77777777" w:rsidTr="00355A56">
        <w:trPr>
          <w:trHeight w:val="367"/>
        </w:trPr>
        <w:tc>
          <w:tcPr>
            <w:tcW w:w="1125" w:type="dxa"/>
          </w:tcPr>
          <w:p w14:paraId="1F5085AE" w14:textId="77777777" w:rsidR="00DD13BF" w:rsidRPr="00152DF6" w:rsidRDefault="00DD13BF" w:rsidP="00355A56">
            <w:pPr>
              <w:pStyle w:val="TableParagraph"/>
              <w:rPr>
                <w:sz w:val="20"/>
              </w:rPr>
            </w:pPr>
            <w:r w:rsidRPr="00152DF6">
              <w:rPr>
                <w:sz w:val="20"/>
              </w:rPr>
              <w:t>1</w:t>
            </w:r>
          </w:p>
        </w:tc>
        <w:tc>
          <w:tcPr>
            <w:tcW w:w="1417" w:type="dxa"/>
          </w:tcPr>
          <w:p w14:paraId="6F2515E3" w14:textId="77777777" w:rsidR="00DD13BF" w:rsidRPr="00152DF6" w:rsidRDefault="00DD13BF" w:rsidP="00355A56">
            <w:pPr>
              <w:pStyle w:val="TableParagraph"/>
              <w:rPr>
                <w:sz w:val="20"/>
                <w:lang w:bidi="sl-SI"/>
              </w:rPr>
            </w:pPr>
            <w:r w:rsidRPr="005854BD">
              <w:rPr>
                <w:color w:val="000000"/>
                <w:sz w:val="20"/>
              </w:rPr>
              <w:t>RSO1.3</w:t>
            </w:r>
          </w:p>
        </w:tc>
        <w:tc>
          <w:tcPr>
            <w:tcW w:w="708" w:type="dxa"/>
            <w:gridSpan w:val="2"/>
          </w:tcPr>
          <w:p w14:paraId="7CC58FB6" w14:textId="77777777" w:rsidR="00DD13BF" w:rsidRPr="00152DF6" w:rsidRDefault="00DD13BF" w:rsidP="00355A56">
            <w:pPr>
              <w:pStyle w:val="TableParagraph"/>
              <w:rPr>
                <w:sz w:val="20"/>
              </w:rPr>
            </w:pPr>
            <w:r>
              <w:rPr>
                <w:sz w:val="20"/>
              </w:rPr>
              <w:t>ERDF</w:t>
            </w:r>
          </w:p>
        </w:tc>
        <w:tc>
          <w:tcPr>
            <w:tcW w:w="1701" w:type="dxa"/>
          </w:tcPr>
          <w:p w14:paraId="422728D6" w14:textId="77777777" w:rsidR="00DD13BF" w:rsidRPr="00152DF6" w:rsidRDefault="00DD13BF" w:rsidP="00355A56">
            <w:pPr>
              <w:pStyle w:val="TableParagraph"/>
              <w:rPr>
                <w:sz w:val="20"/>
              </w:rPr>
            </w:pPr>
            <w:r>
              <w:rPr>
                <w:sz w:val="20"/>
              </w:rPr>
              <w:t>More developed</w:t>
            </w:r>
          </w:p>
        </w:tc>
        <w:tc>
          <w:tcPr>
            <w:tcW w:w="778" w:type="dxa"/>
          </w:tcPr>
          <w:p w14:paraId="73566CFC" w14:textId="77777777" w:rsidR="00DD13BF" w:rsidRPr="00152DF6" w:rsidRDefault="00DD13BF" w:rsidP="00355A56">
            <w:pPr>
              <w:pStyle w:val="TableParagraph"/>
              <w:rPr>
                <w:sz w:val="20"/>
                <w:lang w:bidi="sl-SI"/>
              </w:rPr>
            </w:pPr>
            <w:r w:rsidRPr="00152DF6">
              <w:rPr>
                <w:sz w:val="20"/>
                <w:lang w:bidi="sl-SI"/>
              </w:rPr>
              <w:t>RCO1</w:t>
            </w:r>
            <w:r>
              <w:rPr>
                <w:sz w:val="20"/>
                <w:lang w:bidi="sl-SI"/>
              </w:rPr>
              <w:t>03</w:t>
            </w:r>
          </w:p>
        </w:tc>
        <w:tc>
          <w:tcPr>
            <w:tcW w:w="4042" w:type="dxa"/>
          </w:tcPr>
          <w:p w14:paraId="559FF82E" w14:textId="77777777" w:rsidR="00DD13BF" w:rsidRPr="009D450B" w:rsidRDefault="00DD13BF" w:rsidP="00355A56">
            <w:pPr>
              <w:pStyle w:val="TableParagraph"/>
              <w:rPr>
                <w:noProof/>
                <w:sz w:val="20"/>
              </w:rPr>
            </w:pPr>
            <w:r w:rsidRPr="009D450B">
              <w:rPr>
                <w:sz w:val="20"/>
              </w:rPr>
              <w:t>High growth enterprises supported</w:t>
            </w:r>
          </w:p>
        </w:tc>
        <w:tc>
          <w:tcPr>
            <w:tcW w:w="1276" w:type="dxa"/>
          </w:tcPr>
          <w:p w14:paraId="7500E7A1" w14:textId="77777777" w:rsidR="00DD13BF" w:rsidRPr="00152DF6" w:rsidRDefault="00DD13BF" w:rsidP="00355A56">
            <w:pPr>
              <w:pStyle w:val="TableParagraph"/>
              <w:rPr>
                <w:sz w:val="20"/>
                <w:lang w:bidi="sl-SI"/>
              </w:rPr>
            </w:pPr>
            <w:r w:rsidRPr="007839F5">
              <w:rPr>
                <w:color w:val="000000"/>
                <w:sz w:val="20"/>
              </w:rPr>
              <w:t>enterprises</w:t>
            </w:r>
          </w:p>
        </w:tc>
        <w:tc>
          <w:tcPr>
            <w:tcW w:w="1418" w:type="dxa"/>
          </w:tcPr>
          <w:p w14:paraId="3EC31369" w14:textId="77777777" w:rsidR="00DD13BF" w:rsidRPr="00152DF6" w:rsidRDefault="00DD13BF" w:rsidP="00355A56">
            <w:pPr>
              <w:pStyle w:val="TableParagraph"/>
              <w:rPr>
                <w:sz w:val="20"/>
              </w:rPr>
            </w:pPr>
            <w:r>
              <w:rPr>
                <w:sz w:val="20"/>
              </w:rPr>
              <w:t>0</w:t>
            </w:r>
          </w:p>
        </w:tc>
        <w:tc>
          <w:tcPr>
            <w:tcW w:w="1276" w:type="dxa"/>
          </w:tcPr>
          <w:p w14:paraId="5CCC69CD" w14:textId="77777777" w:rsidR="00DD13BF" w:rsidRPr="00152DF6" w:rsidRDefault="00DD13BF" w:rsidP="00355A56">
            <w:pPr>
              <w:pStyle w:val="TableParagraph"/>
              <w:rPr>
                <w:sz w:val="20"/>
              </w:rPr>
            </w:pPr>
            <w:r>
              <w:rPr>
                <w:sz w:val="20"/>
              </w:rPr>
              <w:t>7</w:t>
            </w:r>
          </w:p>
        </w:tc>
      </w:tr>
      <w:tr w:rsidR="00DD13BF" w14:paraId="487FD551" w14:textId="77777777" w:rsidTr="00355A56">
        <w:trPr>
          <w:trHeight w:val="339"/>
        </w:trPr>
        <w:tc>
          <w:tcPr>
            <w:tcW w:w="1125" w:type="dxa"/>
          </w:tcPr>
          <w:p w14:paraId="1042D6BA" w14:textId="77777777" w:rsidR="00DD13BF" w:rsidRDefault="00DD13BF" w:rsidP="00355A56">
            <w:pPr>
              <w:pStyle w:val="TableParagraph"/>
              <w:rPr>
                <w:sz w:val="20"/>
              </w:rPr>
            </w:pPr>
            <w:r>
              <w:rPr>
                <w:rFonts w:cstheme="minorHAnsi"/>
                <w:sz w:val="20"/>
              </w:rPr>
              <w:t>1</w:t>
            </w:r>
          </w:p>
        </w:tc>
        <w:tc>
          <w:tcPr>
            <w:tcW w:w="1417" w:type="dxa"/>
          </w:tcPr>
          <w:p w14:paraId="6F34589C" w14:textId="77777777" w:rsidR="00DD13BF" w:rsidRDefault="00DD13BF" w:rsidP="00355A56">
            <w:pPr>
              <w:pStyle w:val="TableParagraph"/>
              <w:rPr>
                <w:sz w:val="20"/>
              </w:rPr>
            </w:pPr>
            <w:r w:rsidRPr="005854BD">
              <w:rPr>
                <w:color w:val="000000"/>
                <w:sz w:val="20"/>
              </w:rPr>
              <w:t>RSO1.3</w:t>
            </w:r>
          </w:p>
        </w:tc>
        <w:tc>
          <w:tcPr>
            <w:tcW w:w="708" w:type="dxa"/>
            <w:gridSpan w:val="2"/>
          </w:tcPr>
          <w:p w14:paraId="46385DF8" w14:textId="77777777" w:rsidR="00DD13BF" w:rsidRDefault="00DD13BF" w:rsidP="00355A56">
            <w:pPr>
              <w:pStyle w:val="TableParagraph"/>
              <w:rPr>
                <w:sz w:val="20"/>
              </w:rPr>
            </w:pPr>
            <w:r>
              <w:rPr>
                <w:sz w:val="20"/>
              </w:rPr>
              <w:t>ERDF</w:t>
            </w:r>
          </w:p>
        </w:tc>
        <w:tc>
          <w:tcPr>
            <w:tcW w:w="1701" w:type="dxa"/>
          </w:tcPr>
          <w:p w14:paraId="7B79D253" w14:textId="77777777" w:rsidR="00DD13BF" w:rsidRDefault="00DD13BF" w:rsidP="00355A56">
            <w:pPr>
              <w:pStyle w:val="TableParagraph"/>
              <w:rPr>
                <w:sz w:val="20"/>
              </w:rPr>
            </w:pPr>
            <w:r>
              <w:rPr>
                <w:sz w:val="20"/>
              </w:rPr>
              <w:t>Less developed</w:t>
            </w:r>
          </w:p>
        </w:tc>
        <w:tc>
          <w:tcPr>
            <w:tcW w:w="778" w:type="dxa"/>
          </w:tcPr>
          <w:p w14:paraId="0B86B530" w14:textId="77777777" w:rsidR="00DD13BF" w:rsidRPr="00347461" w:rsidRDefault="00DD13BF" w:rsidP="00355A56">
            <w:pPr>
              <w:pStyle w:val="TableParagraph"/>
              <w:rPr>
                <w:sz w:val="20"/>
              </w:rPr>
            </w:pPr>
            <w:r>
              <w:rPr>
                <w:color w:val="000000"/>
                <w:sz w:val="20"/>
              </w:rPr>
              <w:t>1</w:t>
            </w:r>
          </w:p>
        </w:tc>
        <w:tc>
          <w:tcPr>
            <w:tcW w:w="4042" w:type="dxa"/>
          </w:tcPr>
          <w:p w14:paraId="49E1AFCE" w14:textId="77777777" w:rsidR="00DD13BF" w:rsidRPr="00347461" w:rsidRDefault="00DD13BF" w:rsidP="00355A56">
            <w:pPr>
              <w:pStyle w:val="TableParagraph"/>
              <w:rPr>
                <w:sz w:val="20"/>
              </w:rPr>
            </w:pPr>
            <w:r>
              <w:rPr>
                <w:color w:val="000000"/>
                <w:sz w:val="20"/>
              </w:rPr>
              <w:t>Tourism destination products</w:t>
            </w:r>
          </w:p>
        </w:tc>
        <w:tc>
          <w:tcPr>
            <w:tcW w:w="1276" w:type="dxa"/>
          </w:tcPr>
          <w:p w14:paraId="7222429B" w14:textId="77777777" w:rsidR="00DD13BF" w:rsidRPr="00347461" w:rsidRDefault="00DD13BF" w:rsidP="00355A56">
            <w:pPr>
              <w:pStyle w:val="TableParagraph"/>
              <w:rPr>
                <w:sz w:val="20"/>
              </w:rPr>
            </w:pPr>
            <w:r>
              <w:rPr>
                <w:color w:val="000000"/>
                <w:sz w:val="20"/>
              </w:rPr>
              <w:t>number</w:t>
            </w:r>
          </w:p>
        </w:tc>
        <w:tc>
          <w:tcPr>
            <w:tcW w:w="1418" w:type="dxa"/>
          </w:tcPr>
          <w:p w14:paraId="27622D2B" w14:textId="77777777" w:rsidR="00DD13BF" w:rsidRPr="00347461" w:rsidRDefault="00DD13BF" w:rsidP="00355A56">
            <w:pPr>
              <w:pStyle w:val="TableParagraph"/>
              <w:rPr>
                <w:sz w:val="20"/>
              </w:rPr>
            </w:pPr>
            <w:r>
              <w:rPr>
                <w:sz w:val="20"/>
              </w:rPr>
              <w:t>15</w:t>
            </w:r>
          </w:p>
        </w:tc>
        <w:tc>
          <w:tcPr>
            <w:tcW w:w="1276" w:type="dxa"/>
          </w:tcPr>
          <w:p w14:paraId="7C6BA402" w14:textId="77777777" w:rsidR="00DD13BF" w:rsidRDefault="00DD13BF" w:rsidP="00355A56">
            <w:pPr>
              <w:pStyle w:val="TableParagraph"/>
              <w:rPr>
                <w:sz w:val="20"/>
              </w:rPr>
            </w:pPr>
            <w:r>
              <w:rPr>
                <w:sz w:val="20"/>
              </w:rPr>
              <w:t>15</w:t>
            </w:r>
          </w:p>
        </w:tc>
      </w:tr>
      <w:tr w:rsidR="00DD13BF" w14:paraId="04F6AC18" w14:textId="77777777" w:rsidTr="00355A56">
        <w:trPr>
          <w:trHeight w:val="339"/>
        </w:trPr>
        <w:tc>
          <w:tcPr>
            <w:tcW w:w="1125" w:type="dxa"/>
          </w:tcPr>
          <w:p w14:paraId="6B27502D" w14:textId="77777777" w:rsidR="00DD13BF" w:rsidRDefault="00DD13BF" w:rsidP="00355A56">
            <w:pPr>
              <w:pStyle w:val="TableParagraph"/>
              <w:rPr>
                <w:sz w:val="20"/>
              </w:rPr>
            </w:pPr>
            <w:r>
              <w:rPr>
                <w:rFonts w:cstheme="minorHAnsi"/>
                <w:sz w:val="20"/>
              </w:rPr>
              <w:t>1</w:t>
            </w:r>
          </w:p>
        </w:tc>
        <w:tc>
          <w:tcPr>
            <w:tcW w:w="1417" w:type="dxa"/>
          </w:tcPr>
          <w:p w14:paraId="5E3BC0B0" w14:textId="77777777" w:rsidR="00DD13BF" w:rsidRDefault="00DD13BF" w:rsidP="00355A56">
            <w:pPr>
              <w:pStyle w:val="TableParagraph"/>
              <w:rPr>
                <w:sz w:val="20"/>
              </w:rPr>
            </w:pPr>
            <w:r w:rsidRPr="005854BD">
              <w:rPr>
                <w:color w:val="000000"/>
                <w:sz w:val="20"/>
              </w:rPr>
              <w:t>RSO1.3</w:t>
            </w:r>
          </w:p>
        </w:tc>
        <w:tc>
          <w:tcPr>
            <w:tcW w:w="708" w:type="dxa"/>
            <w:gridSpan w:val="2"/>
          </w:tcPr>
          <w:p w14:paraId="355C00F8" w14:textId="77777777" w:rsidR="00DD13BF" w:rsidRDefault="00DD13BF" w:rsidP="00355A56">
            <w:pPr>
              <w:pStyle w:val="TableParagraph"/>
              <w:rPr>
                <w:sz w:val="20"/>
              </w:rPr>
            </w:pPr>
            <w:r>
              <w:rPr>
                <w:sz w:val="20"/>
              </w:rPr>
              <w:t>ERDF</w:t>
            </w:r>
          </w:p>
        </w:tc>
        <w:tc>
          <w:tcPr>
            <w:tcW w:w="1701" w:type="dxa"/>
          </w:tcPr>
          <w:p w14:paraId="259E0C8D" w14:textId="77777777" w:rsidR="00DD13BF" w:rsidRDefault="00DD13BF" w:rsidP="00355A56">
            <w:pPr>
              <w:pStyle w:val="TableParagraph"/>
              <w:rPr>
                <w:sz w:val="20"/>
              </w:rPr>
            </w:pPr>
            <w:r>
              <w:rPr>
                <w:sz w:val="20"/>
              </w:rPr>
              <w:t>More developed</w:t>
            </w:r>
          </w:p>
        </w:tc>
        <w:tc>
          <w:tcPr>
            <w:tcW w:w="778" w:type="dxa"/>
          </w:tcPr>
          <w:p w14:paraId="3B544AA0" w14:textId="77777777" w:rsidR="00DD13BF" w:rsidRPr="00347461" w:rsidRDefault="00DD13BF" w:rsidP="00355A56">
            <w:pPr>
              <w:pStyle w:val="TableParagraph"/>
              <w:rPr>
                <w:sz w:val="20"/>
              </w:rPr>
            </w:pPr>
            <w:r>
              <w:rPr>
                <w:color w:val="000000"/>
                <w:sz w:val="20"/>
              </w:rPr>
              <w:t>1</w:t>
            </w:r>
          </w:p>
        </w:tc>
        <w:tc>
          <w:tcPr>
            <w:tcW w:w="4042" w:type="dxa"/>
          </w:tcPr>
          <w:p w14:paraId="2BBFA7F4" w14:textId="77777777" w:rsidR="00DD13BF" w:rsidRPr="00347461" w:rsidRDefault="00DD13BF" w:rsidP="00355A56">
            <w:pPr>
              <w:pStyle w:val="TableParagraph"/>
              <w:rPr>
                <w:sz w:val="20"/>
              </w:rPr>
            </w:pPr>
            <w:r>
              <w:rPr>
                <w:color w:val="000000"/>
                <w:sz w:val="20"/>
              </w:rPr>
              <w:t>Tourism destination products</w:t>
            </w:r>
          </w:p>
        </w:tc>
        <w:tc>
          <w:tcPr>
            <w:tcW w:w="1276" w:type="dxa"/>
          </w:tcPr>
          <w:p w14:paraId="729B0E95" w14:textId="77777777" w:rsidR="00DD13BF" w:rsidRPr="00347461" w:rsidRDefault="00DD13BF" w:rsidP="00355A56">
            <w:pPr>
              <w:pStyle w:val="TableParagraph"/>
              <w:rPr>
                <w:sz w:val="20"/>
              </w:rPr>
            </w:pPr>
            <w:r>
              <w:rPr>
                <w:color w:val="000000"/>
                <w:sz w:val="20"/>
              </w:rPr>
              <w:t>number</w:t>
            </w:r>
          </w:p>
        </w:tc>
        <w:tc>
          <w:tcPr>
            <w:tcW w:w="1418" w:type="dxa"/>
          </w:tcPr>
          <w:p w14:paraId="418B6D41" w14:textId="77777777" w:rsidR="00DD13BF" w:rsidRPr="00347461" w:rsidRDefault="00DD13BF" w:rsidP="00355A56">
            <w:pPr>
              <w:pStyle w:val="TableParagraph"/>
              <w:rPr>
                <w:sz w:val="20"/>
              </w:rPr>
            </w:pPr>
            <w:r>
              <w:rPr>
                <w:sz w:val="20"/>
              </w:rPr>
              <w:t>15</w:t>
            </w:r>
          </w:p>
        </w:tc>
        <w:tc>
          <w:tcPr>
            <w:tcW w:w="1276" w:type="dxa"/>
          </w:tcPr>
          <w:p w14:paraId="1CEB2BA9" w14:textId="77777777" w:rsidR="00DD13BF" w:rsidRDefault="00DD13BF" w:rsidP="00355A56">
            <w:pPr>
              <w:pStyle w:val="TableParagraph"/>
              <w:rPr>
                <w:sz w:val="20"/>
              </w:rPr>
            </w:pPr>
            <w:r>
              <w:rPr>
                <w:sz w:val="20"/>
              </w:rPr>
              <w:t>15</w:t>
            </w:r>
          </w:p>
        </w:tc>
      </w:tr>
    </w:tbl>
    <w:p w14:paraId="0634C2F4" w14:textId="77777777" w:rsidR="00DD13BF" w:rsidRDefault="00DD13BF" w:rsidP="00DD13BF">
      <w:pPr>
        <w:rPr>
          <w:sz w:val="24"/>
        </w:rPr>
      </w:pPr>
    </w:p>
    <w:p w14:paraId="3127C0E4" w14:textId="77777777" w:rsidR="00DD13BF" w:rsidRDefault="00DD13BF" w:rsidP="00DD13BF">
      <w:pPr>
        <w:ind w:left="379"/>
      </w:pPr>
      <w:r>
        <w:rPr>
          <w:spacing w:val="-6"/>
        </w:rPr>
        <w:t>Table 3:</w:t>
      </w:r>
      <w:r>
        <w:rPr>
          <w:spacing w:val="-7"/>
        </w:rPr>
        <w:t xml:space="preserve"> Output indicators </w:t>
      </w:r>
    </w:p>
    <w:p w14:paraId="5D1FB1C9" w14:textId="77777777" w:rsidR="00DD13BF" w:rsidRDefault="00DD13BF" w:rsidP="00DD13BF">
      <w:pPr>
        <w:rPr>
          <w:sz w:val="21"/>
        </w:rPr>
      </w:pPr>
    </w:p>
    <w:tbl>
      <w:tblPr>
        <w:tblStyle w:val="NormalTable0"/>
        <w:tblW w:w="13740"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276"/>
        <w:gridCol w:w="696"/>
        <w:gridCol w:w="1430"/>
        <w:gridCol w:w="709"/>
        <w:gridCol w:w="2976"/>
        <w:gridCol w:w="993"/>
        <w:gridCol w:w="708"/>
        <w:gridCol w:w="851"/>
        <w:gridCol w:w="1134"/>
        <w:gridCol w:w="1134"/>
        <w:gridCol w:w="708"/>
      </w:tblGrid>
      <w:tr w:rsidR="00DD13BF" w14:paraId="74B9F133" w14:textId="77777777" w:rsidTr="00355A56">
        <w:trPr>
          <w:trHeight w:val="353"/>
        </w:trPr>
        <w:tc>
          <w:tcPr>
            <w:tcW w:w="1125" w:type="dxa"/>
          </w:tcPr>
          <w:p w14:paraId="23F44663" w14:textId="77777777" w:rsidR="00DD13BF" w:rsidRPr="00347461" w:rsidRDefault="00DD13BF" w:rsidP="00355A56">
            <w:pPr>
              <w:pStyle w:val="TableParagraph"/>
              <w:rPr>
                <w:sz w:val="20"/>
              </w:rPr>
            </w:pPr>
            <w:r>
              <w:rPr>
                <w:sz w:val="20"/>
              </w:rPr>
              <w:t>Priority</w:t>
            </w:r>
          </w:p>
        </w:tc>
        <w:tc>
          <w:tcPr>
            <w:tcW w:w="1276" w:type="dxa"/>
          </w:tcPr>
          <w:p w14:paraId="6D3CF9B0" w14:textId="77777777" w:rsidR="00DD13BF" w:rsidRPr="00347461" w:rsidRDefault="00DD13BF" w:rsidP="00355A56">
            <w:pPr>
              <w:pStyle w:val="TableParagraph"/>
              <w:rPr>
                <w:sz w:val="20"/>
              </w:rPr>
            </w:pPr>
            <w:r w:rsidRPr="00347461">
              <w:rPr>
                <w:sz w:val="20"/>
              </w:rPr>
              <w:t>Specifi</w:t>
            </w:r>
            <w:r>
              <w:rPr>
                <w:sz w:val="20"/>
              </w:rPr>
              <w:t>c objective</w:t>
            </w:r>
          </w:p>
        </w:tc>
        <w:tc>
          <w:tcPr>
            <w:tcW w:w="696" w:type="dxa"/>
          </w:tcPr>
          <w:p w14:paraId="5743B7D7" w14:textId="77777777" w:rsidR="00DD13BF" w:rsidRPr="00347461" w:rsidRDefault="00DD13BF" w:rsidP="00355A56">
            <w:pPr>
              <w:pStyle w:val="TableParagraph"/>
              <w:rPr>
                <w:sz w:val="20"/>
              </w:rPr>
            </w:pPr>
            <w:r>
              <w:rPr>
                <w:sz w:val="20"/>
              </w:rPr>
              <w:t>Fund</w:t>
            </w:r>
          </w:p>
        </w:tc>
        <w:tc>
          <w:tcPr>
            <w:tcW w:w="1430" w:type="dxa"/>
          </w:tcPr>
          <w:p w14:paraId="5BF0AA51" w14:textId="77777777" w:rsidR="00DD13BF" w:rsidRPr="00347461" w:rsidRDefault="00DD13BF" w:rsidP="00355A56">
            <w:pPr>
              <w:pStyle w:val="TableParagraph"/>
              <w:rPr>
                <w:sz w:val="20"/>
              </w:rPr>
            </w:pPr>
            <w:r>
              <w:rPr>
                <w:sz w:val="20"/>
              </w:rPr>
              <w:t>Category of region</w:t>
            </w:r>
          </w:p>
        </w:tc>
        <w:tc>
          <w:tcPr>
            <w:tcW w:w="709" w:type="dxa"/>
          </w:tcPr>
          <w:p w14:paraId="3AC2BEE4" w14:textId="77777777" w:rsidR="00DD13BF" w:rsidRPr="00347461" w:rsidRDefault="00DD13BF" w:rsidP="00355A56">
            <w:pPr>
              <w:pStyle w:val="TableParagraph"/>
              <w:rPr>
                <w:sz w:val="20"/>
              </w:rPr>
            </w:pPr>
            <w:r w:rsidRPr="00347461">
              <w:rPr>
                <w:sz w:val="20"/>
              </w:rPr>
              <w:t>ID</w:t>
            </w:r>
          </w:p>
        </w:tc>
        <w:tc>
          <w:tcPr>
            <w:tcW w:w="2976" w:type="dxa"/>
          </w:tcPr>
          <w:p w14:paraId="5C220605" w14:textId="77777777" w:rsidR="00DD13BF" w:rsidRPr="00347461" w:rsidRDefault="00DD13BF" w:rsidP="00355A56">
            <w:pPr>
              <w:pStyle w:val="TableParagraph"/>
              <w:rPr>
                <w:sz w:val="20"/>
              </w:rPr>
            </w:pPr>
            <w:r>
              <w:rPr>
                <w:sz w:val="20"/>
              </w:rPr>
              <w:t>Indicator</w:t>
            </w:r>
          </w:p>
        </w:tc>
        <w:tc>
          <w:tcPr>
            <w:tcW w:w="993" w:type="dxa"/>
          </w:tcPr>
          <w:p w14:paraId="204DDBD0" w14:textId="77777777" w:rsidR="00DD13BF" w:rsidRPr="00347461" w:rsidRDefault="00DD13BF" w:rsidP="00355A56">
            <w:pPr>
              <w:pStyle w:val="TableParagraph"/>
              <w:rPr>
                <w:sz w:val="20"/>
              </w:rPr>
            </w:pPr>
            <w:r>
              <w:rPr>
                <w:sz w:val="20"/>
              </w:rPr>
              <w:t>Measurement unit</w:t>
            </w:r>
          </w:p>
        </w:tc>
        <w:tc>
          <w:tcPr>
            <w:tcW w:w="708" w:type="dxa"/>
          </w:tcPr>
          <w:p w14:paraId="65F686EA" w14:textId="77777777" w:rsidR="00DD13BF" w:rsidRPr="00347461" w:rsidRDefault="00DD13BF" w:rsidP="00355A56">
            <w:pPr>
              <w:pStyle w:val="TableParagraph"/>
              <w:rPr>
                <w:sz w:val="20"/>
              </w:rPr>
            </w:pPr>
            <w:r>
              <w:rPr>
                <w:sz w:val="20"/>
              </w:rPr>
              <w:t>Baseline or reference value</w:t>
            </w:r>
          </w:p>
        </w:tc>
        <w:tc>
          <w:tcPr>
            <w:tcW w:w="851" w:type="dxa"/>
          </w:tcPr>
          <w:p w14:paraId="3DA29C5E" w14:textId="77777777" w:rsidR="00DD13BF" w:rsidRPr="00347461" w:rsidRDefault="00DD13BF" w:rsidP="00355A56">
            <w:pPr>
              <w:pStyle w:val="TableParagraph"/>
              <w:rPr>
                <w:sz w:val="20"/>
              </w:rPr>
            </w:pPr>
            <w:r>
              <w:rPr>
                <w:sz w:val="20"/>
              </w:rPr>
              <w:t>Reference year</w:t>
            </w:r>
          </w:p>
        </w:tc>
        <w:tc>
          <w:tcPr>
            <w:tcW w:w="1134" w:type="dxa"/>
          </w:tcPr>
          <w:p w14:paraId="2255A86D" w14:textId="77777777" w:rsidR="00DD13BF" w:rsidRPr="00347461" w:rsidRDefault="00DD13BF" w:rsidP="00355A56">
            <w:pPr>
              <w:pStyle w:val="TableParagraph"/>
              <w:rPr>
                <w:sz w:val="20"/>
              </w:rPr>
            </w:pPr>
            <w:r>
              <w:rPr>
                <w:sz w:val="20"/>
              </w:rPr>
              <w:t xml:space="preserve">Target </w:t>
            </w:r>
            <w:r w:rsidRPr="00347461">
              <w:rPr>
                <w:sz w:val="20"/>
              </w:rPr>
              <w:t>(2029)</w:t>
            </w:r>
          </w:p>
        </w:tc>
        <w:tc>
          <w:tcPr>
            <w:tcW w:w="1134" w:type="dxa"/>
          </w:tcPr>
          <w:p w14:paraId="4B2B351D" w14:textId="77777777" w:rsidR="00DD13BF" w:rsidRPr="00347461" w:rsidRDefault="00DD13BF" w:rsidP="00355A56">
            <w:pPr>
              <w:pStyle w:val="TableParagraph"/>
              <w:rPr>
                <w:sz w:val="20"/>
              </w:rPr>
            </w:pPr>
            <w:r>
              <w:rPr>
                <w:sz w:val="20"/>
              </w:rPr>
              <w:t>Source of data</w:t>
            </w:r>
          </w:p>
        </w:tc>
        <w:tc>
          <w:tcPr>
            <w:tcW w:w="708" w:type="dxa"/>
          </w:tcPr>
          <w:p w14:paraId="53A1795E" w14:textId="77777777" w:rsidR="00DD13BF" w:rsidRPr="00347461" w:rsidRDefault="00DD13BF" w:rsidP="00355A56">
            <w:pPr>
              <w:pStyle w:val="TableParagraph"/>
              <w:rPr>
                <w:sz w:val="20"/>
              </w:rPr>
            </w:pPr>
            <w:r>
              <w:rPr>
                <w:sz w:val="20"/>
              </w:rPr>
              <w:t xml:space="preserve">Comments </w:t>
            </w:r>
          </w:p>
        </w:tc>
      </w:tr>
      <w:tr w:rsidR="00DD13BF" w14:paraId="38F43B55" w14:textId="77777777" w:rsidTr="00355A56">
        <w:trPr>
          <w:trHeight w:val="353"/>
        </w:trPr>
        <w:tc>
          <w:tcPr>
            <w:tcW w:w="1125" w:type="dxa"/>
          </w:tcPr>
          <w:p w14:paraId="1C671A81" w14:textId="77777777" w:rsidR="00DD13BF" w:rsidRPr="00347461" w:rsidRDefault="00DD13BF" w:rsidP="00355A56">
            <w:pPr>
              <w:pStyle w:val="TableParagraph"/>
              <w:rPr>
                <w:sz w:val="20"/>
              </w:rPr>
            </w:pPr>
            <w:r>
              <w:rPr>
                <w:rFonts w:cstheme="minorHAnsi"/>
                <w:sz w:val="20"/>
              </w:rPr>
              <w:t>1</w:t>
            </w:r>
          </w:p>
        </w:tc>
        <w:tc>
          <w:tcPr>
            <w:tcW w:w="1276" w:type="dxa"/>
          </w:tcPr>
          <w:p w14:paraId="3A708CC6" w14:textId="77777777" w:rsidR="00DD13BF" w:rsidRPr="00347461" w:rsidRDefault="00DD13BF" w:rsidP="00355A56">
            <w:pPr>
              <w:pStyle w:val="TableParagraph"/>
              <w:rPr>
                <w:sz w:val="20"/>
              </w:rPr>
            </w:pPr>
            <w:r w:rsidRPr="00AB732B">
              <w:rPr>
                <w:color w:val="000000"/>
                <w:sz w:val="20"/>
              </w:rPr>
              <w:t>RSO1.3</w:t>
            </w:r>
          </w:p>
        </w:tc>
        <w:tc>
          <w:tcPr>
            <w:tcW w:w="696" w:type="dxa"/>
          </w:tcPr>
          <w:p w14:paraId="0AD54D77" w14:textId="77777777" w:rsidR="00DD13BF" w:rsidRPr="00347461" w:rsidRDefault="00DD13BF" w:rsidP="00355A56">
            <w:pPr>
              <w:pStyle w:val="TableParagraph"/>
              <w:rPr>
                <w:sz w:val="20"/>
              </w:rPr>
            </w:pPr>
            <w:r>
              <w:rPr>
                <w:sz w:val="20"/>
              </w:rPr>
              <w:t>ERDF</w:t>
            </w:r>
          </w:p>
        </w:tc>
        <w:tc>
          <w:tcPr>
            <w:tcW w:w="1430" w:type="dxa"/>
          </w:tcPr>
          <w:p w14:paraId="34099749" w14:textId="77777777" w:rsidR="00DD13BF" w:rsidRPr="00347461" w:rsidRDefault="00DD13BF" w:rsidP="00355A56">
            <w:pPr>
              <w:rPr>
                <w:sz w:val="20"/>
              </w:rPr>
            </w:pPr>
            <w:r>
              <w:rPr>
                <w:sz w:val="20"/>
              </w:rPr>
              <w:t>Less developed</w:t>
            </w:r>
          </w:p>
        </w:tc>
        <w:tc>
          <w:tcPr>
            <w:tcW w:w="709" w:type="dxa"/>
          </w:tcPr>
          <w:p w14:paraId="6EFDA92D" w14:textId="77777777" w:rsidR="00DD13BF" w:rsidRPr="00347461" w:rsidRDefault="00DD13BF" w:rsidP="00355A56">
            <w:pPr>
              <w:pStyle w:val="TableParagraph"/>
              <w:rPr>
                <w:sz w:val="20"/>
                <w:lang w:bidi="sl-SI"/>
              </w:rPr>
            </w:pPr>
            <w:r w:rsidRPr="00347461">
              <w:rPr>
                <w:sz w:val="20"/>
                <w:lang w:bidi="sl-SI"/>
              </w:rPr>
              <w:t>RCR02</w:t>
            </w:r>
          </w:p>
        </w:tc>
        <w:tc>
          <w:tcPr>
            <w:tcW w:w="2976" w:type="dxa"/>
          </w:tcPr>
          <w:p w14:paraId="14502580" w14:textId="77777777" w:rsidR="00DD13BF" w:rsidRPr="001F7573" w:rsidRDefault="00DD13BF" w:rsidP="00355A56">
            <w:pPr>
              <w:rPr>
                <w:noProof/>
                <w:sz w:val="20"/>
              </w:rPr>
            </w:pPr>
            <w:r w:rsidRPr="001F7573">
              <w:rPr>
                <w:sz w:val="20"/>
              </w:rPr>
              <w:t>Private investments matching public support (of which: grants, financial instruments)</w:t>
            </w:r>
          </w:p>
        </w:tc>
        <w:tc>
          <w:tcPr>
            <w:tcW w:w="993" w:type="dxa"/>
          </w:tcPr>
          <w:p w14:paraId="61BB669B" w14:textId="77777777" w:rsidR="00DD13BF" w:rsidRPr="00347461" w:rsidRDefault="00DD13BF" w:rsidP="00355A56">
            <w:pPr>
              <w:pStyle w:val="TableParagraph"/>
              <w:rPr>
                <w:sz w:val="20"/>
                <w:lang w:bidi="sl-SI"/>
              </w:rPr>
            </w:pPr>
            <w:r>
              <w:rPr>
                <w:color w:val="000000"/>
                <w:sz w:val="20"/>
              </w:rPr>
              <w:t>euro</w:t>
            </w:r>
          </w:p>
        </w:tc>
        <w:tc>
          <w:tcPr>
            <w:tcW w:w="708" w:type="dxa"/>
          </w:tcPr>
          <w:p w14:paraId="6D5C309B" w14:textId="77777777" w:rsidR="00DD13BF" w:rsidRPr="00347461" w:rsidRDefault="00DD13BF" w:rsidP="00355A56">
            <w:pPr>
              <w:pStyle w:val="TableParagraph"/>
              <w:rPr>
                <w:sz w:val="20"/>
              </w:rPr>
            </w:pPr>
            <w:r>
              <w:rPr>
                <w:sz w:val="20"/>
              </w:rPr>
              <w:t>0</w:t>
            </w:r>
          </w:p>
        </w:tc>
        <w:tc>
          <w:tcPr>
            <w:tcW w:w="851" w:type="dxa"/>
          </w:tcPr>
          <w:p w14:paraId="04C1A485" w14:textId="77777777" w:rsidR="00DD13BF" w:rsidRPr="00347461" w:rsidRDefault="00DD13BF" w:rsidP="00355A56">
            <w:pPr>
              <w:pStyle w:val="TableParagraph"/>
              <w:rPr>
                <w:sz w:val="20"/>
              </w:rPr>
            </w:pPr>
            <w:r>
              <w:rPr>
                <w:sz w:val="20"/>
              </w:rPr>
              <w:t>2022</w:t>
            </w:r>
          </w:p>
        </w:tc>
        <w:tc>
          <w:tcPr>
            <w:tcW w:w="1134" w:type="dxa"/>
          </w:tcPr>
          <w:p w14:paraId="13D13FB0" w14:textId="77777777" w:rsidR="00DD13BF" w:rsidRPr="00347461" w:rsidRDefault="00DD13BF" w:rsidP="00355A56">
            <w:pPr>
              <w:pStyle w:val="TableParagraph"/>
              <w:rPr>
                <w:sz w:val="20"/>
              </w:rPr>
            </w:pPr>
            <w:r>
              <w:rPr>
                <w:sz w:val="20"/>
              </w:rPr>
              <w:t>155,246,</w:t>
            </w:r>
            <w:r w:rsidRPr="00CD552E">
              <w:rPr>
                <w:sz w:val="20"/>
              </w:rPr>
              <w:t>000</w:t>
            </w:r>
          </w:p>
        </w:tc>
        <w:tc>
          <w:tcPr>
            <w:tcW w:w="1134" w:type="dxa"/>
          </w:tcPr>
          <w:p w14:paraId="5D84ED58" w14:textId="77777777" w:rsidR="00DD13BF" w:rsidRPr="00347461" w:rsidRDefault="00DD13BF" w:rsidP="00355A56">
            <w:pPr>
              <w:pStyle w:val="TableParagraph"/>
              <w:rPr>
                <w:sz w:val="20"/>
              </w:rPr>
            </w:pPr>
            <w:r>
              <w:rPr>
                <w:sz w:val="20"/>
              </w:rPr>
              <w:t xml:space="preserve">IS eMA, implementing body, MGRT, </w:t>
            </w:r>
            <w:r>
              <w:rPr>
                <w:sz w:val="20"/>
              </w:rPr>
              <w:lastRenderedPageBreak/>
              <w:t>MGRT</w:t>
            </w:r>
          </w:p>
        </w:tc>
        <w:tc>
          <w:tcPr>
            <w:tcW w:w="708" w:type="dxa"/>
          </w:tcPr>
          <w:p w14:paraId="4F9241D4" w14:textId="77777777" w:rsidR="00DD13BF" w:rsidRPr="00347461" w:rsidRDefault="00DD13BF" w:rsidP="00355A56">
            <w:pPr>
              <w:pStyle w:val="TableParagraph"/>
              <w:rPr>
                <w:sz w:val="20"/>
              </w:rPr>
            </w:pPr>
          </w:p>
        </w:tc>
      </w:tr>
      <w:tr w:rsidR="00DD13BF" w14:paraId="64ED1C32" w14:textId="77777777" w:rsidTr="00355A56">
        <w:trPr>
          <w:trHeight w:val="353"/>
        </w:trPr>
        <w:tc>
          <w:tcPr>
            <w:tcW w:w="1125" w:type="dxa"/>
          </w:tcPr>
          <w:p w14:paraId="0C94F324" w14:textId="77777777" w:rsidR="00DD13BF" w:rsidRPr="00347461" w:rsidRDefault="00DD13BF" w:rsidP="00355A56">
            <w:pPr>
              <w:pStyle w:val="TableParagraph"/>
              <w:rPr>
                <w:sz w:val="20"/>
              </w:rPr>
            </w:pPr>
            <w:r>
              <w:rPr>
                <w:rFonts w:cstheme="minorHAnsi"/>
                <w:sz w:val="20"/>
              </w:rPr>
              <w:t>1</w:t>
            </w:r>
          </w:p>
        </w:tc>
        <w:tc>
          <w:tcPr>
            <w:tcW w:w="1276" w:type="dxa"/>
          </w:tcPr>
          <w:p w14:paraId="49405597" w14:textId="77777777" w:rsidR="00DD13BF" w:rsidRPr="00347461" w:rsidRDefault="00DD13BF" w:rsidP="00355A56">
            <w:pPr>
              <w:pStyle w:val="TableParagraph"/>
              <w:rPr>
                <w:sz w:val="20"/>
              </w:rPr>
            </w:pPr>
            <w:r w:rsidRPr="00AB732B">
              <w:rPr>
                <w:color w:val="000000"/>
                <w:sz w:val="20"/>
              </w:rPr>
              <w:t>RSO1.3</w:t>
            </w:r>
          </w:p>
        </w:tc>
        <w:tc>
          <w:tcPr>
            <w:tcW w:w="696" w:type="dxa"/>
          </w:tcPr>
          <w:p w14:paraId="44204D75" w14:textId="77777777" w:rsidR="00DD13BF" w:rsidRPr="00347461" w:rsidRDefault="00DD13BF" w:rsidP="00355A56">
            <w:pPr>
              <w:pStyle w:val="TableParagraph"/>
              <w:rPr>
                <w:sz w:val="20"/>
              </w:rPr>
            </w:pPr>
            <w:r>
              <w:rPr>
                <w:sz w:val="20"/>
              </w:rPr>
              <w:t>ERDF</w:t>
            </w:r>
          </w:p>
        </w:tc>
        <w:tc>
          <w:tcPr>
            <w:tcW w:w="1430" w:type="dxa"/>
          </w:tcPr>
          <w:p w14:paraId="264865E9" w14:textId="77777777" w:rsidR="00DD13BF" w:rsidRPr="00347461" w:rsidRDefault="00DD13BF" w:rsidP="00355A56">
            <w:pPr>
              <w:rPr>
                <w:sz w:val="20"/>
              </w:rPr>
            </w:pPr>
            <w:r>
              <w:rPr>
                <w:sz w:val="20"/>
              </w:rPr>
              <w:t>More developed</w:t>
            </w:r>
          </w:p>
        </w:tc>
        <w:tc>
          <w:tcPr>
            <w:tcW w:w="709" w:type="dxa"/>
          </w:tcPr>
          <w:p w14:paraId="427A5E68" w14:textId="77777777" w:rsidR="00DD13BF" w:rsidRPr="00347461" w:rsidRDefault="00DD13BF" w:rsidP="00355A56">
            <w:pPr>
              <w:pStyle w:val="TableParagraph"/>
              <w:rPr>
                <w:sz w:val="20"/>
                <w:lang w:bidi="sl-SI"/>
              </w:rPr>
            </w:pPr>
            <w:r w:rsidRPr="00347461">
              <w:rPr>
                <w:sz w:val="20"/>
                <w:lang w:bidi="sl-SI"/>
              </w:rPr>
              <w:t>RCR02</w:t>
            </w:r>
          </w:p>
        </w:tc>
        <w:tc>
          <w:tcPr>
            <w:tcW w:w="2976" w:type="dxa"/>
          </w:tcPr>
          <w:p w14:paraId="6B848F8C" w14:textId="77777777" w:rsidR="00DD13BF" w:rsidRPr="001F7573" w:rsidRDefault="00DD13BF" w:rsidP="00355A56">
            <w:pPr>
              <w:rPr>
                <w:noProof/>
                <w:sz w:val="20"/>
              </w:rPr>
            </w:pPr>
            <w:r w:rsidRPr="001F7573">
              <w:rPr>
                <w:sz w:val="20"/>
              </w:rPr>
              <w:t>Private investments matching public support (of which: grants, financial instruments)</w:t>
            </w:r>
          </w:p>
        </w:tc>
        <w:tc>
          <w:tcPr>
            <w:tcW w:w="993" w:type="dxa"/>
          </w:tcPr>
          <w:p w14:paraId="5783F0E8" w14:textId="77777777" w:rsidR="00DD13BF" w:rsidRPr="00347461" w:rsidRDefault="00DD13BF" w:rsidP="00355A56">
            <w:pPr>
              <w:pStyle w:val="TableParagraph"/>
              <w:rPr>
                <w:sz w:val="20"/>
                <w:lang w:bidi="sl-SI"/>
              </w:rPr>
            </w:pPr>
            <w:r>
              <w:rPr>
                <w:color w:val="000000"/>
                <w:sz w:val="20"/>
              </w:rPr>
              <w:t>euro</w:t>
            </w:r>
          </w:p>
        </w:tc>
        <w:tc>
          <w:tcPr>
            <w:tcW w:w="708" w:type="dxa"/>
          </w:tcPr>
          <w:p w14:paraId="7BBDE8A4" w14:textId="77777777" w:rsidR="00DD13BF" w:rsidRPr="00347461" w:rsidRDefault="00DD13BF" w:rsidP="00355A56">
            <w:pPr>
              <w:pStyle w:val="TableParagraph"/>
              <w:rPr>
                <w:sz w:val="20"/>
              </w:rPr>
            </w:pPr>
            <w:r>
              <w:rPr>
                <w:sz w:val="20"/>
              </w:rPr>
              <w:t>0</w:t>
            </w:r>
          </w:p>
        </w:tc>
        <w:tc>
          <w:tcPr>
            <w:tcW w:w="851" w:type="dxa"/>
          </w:tcPr>
          <w:p w14:paraId="3F92DF27" w14:textId="77777777" w:rsidR="00DD13BF" w:rsidRPr="00347461" w:rsidRDefault="00DD13BF" w:rsidP="00355A56">
            <w:pPr>
              <w:pStyle w:val="TableParagraph"/>
              <w:rPr>
                <w:sz w:val="20"/>
              </w:rPr>
            </w:pPr>
            <w:r>
              <w:rPr>
                <w:sz w:val="20"/>
              </w:rPr>
              <w:t>2022</w:t>
            </w:r>
          </w:p>
        </w:tc>
        <w:tc>
          <w:tcPr>
            <w:tcW w:w="1134" w:type="dxa"/>
          </w:tcPr>
          <w:p w14:paraId="0087B383" w14:textId="77777777" w:rsidR="00DD13BF" w:rsidRPr="00347461" w:rsidRDefault="00DD13BF" w:rsidP="00355A56">
            <w:pPr>
              <w:pStyle w:val="TableParagraph"/>
              <w:rPr>
                <w:sz w:val="20"/>
              </w:rPr>
            </w:pPr>
            <w:r>
              <w:rPr>
                <w:sz w:val="20"/>
              </w:rPr>
              <w:t>101,354,</w:t>
            </w:r>
            <w:r w:rsidRPr="00DC2FA8">
              <w:rPr>
                <w:sz w:val="20"/>
              </w:rPr>
              <w:t>000</w:t>
            </w:r>
          </w:p>
        </w:tc>
        <w:tc>
          <w:tcPr>
            <w:tcW w:w="1134" w:type="dxa"/>
          </w:tcPr>
          <w:p w14:paraId="70FE61FB" w14:textId="77777777" w:rsidR="00DD13BF" w:rsidRPr="00347461" w:rsidRDefault="00DD13BF" w:rsidP="00355A56">
            <w:pPr>
              <w:pStyle w:val="TableParagraph"/>
              <w:rPr>
                <w:sz w:val="20"/>
              </w:rPr>
            </w:pPr>
            <w:r>
              <w:rPr>
                <w:sz w:val="20"/>
              </w:rPr>
              <w:t>IS eMA, implementing body, MGRT, MGRT</w:t>
            </w:r>
          </w:p>
        </w:tc>
        <w:tc>
          <w:tcPr>
            <w:tcW w:w="708" w:type="dxa"/>
          </w:tcPr>
          <w:p w14:paraId="6A01DFA1" w14:textId="77777777" w:rsidR="00DD13BF" w:rsidRPr="00347461" w:rsidRDefault="00DD13BF" w:rsidP="00355A56">
            <w:pPr>
              <w:pStyle w:val="TableParagraph"/>
              <w:rPr>
                <w:sz w:val="20"/>
              </w:rPr>
            </w:pPr>
          </w:p>
        </w:tc>
      </w:tr>
      <w:tr w:rsidR="00DD13BF" w:rsidRPr="00152DF6" w14:paraId="035E4CD7" w14:textId="77777777" w:rsidTr="00355A56">
        <w:trPr>
          <w:trHeight w:val="353"/>
        </w:trPr>
        <w:tc>
          <w:tcPr>
            <w:tcW w:w="1125" w:type="dxa"/>
          </w:tcPr>
          <w:p w14:paraId="775F9BE7" w14:textId="77777777" w:rsidR="00DD13BF" w:rsidRPr="00152DF6" w:rsidRDefault="00DD13BF" w:rsidP="00355A56">
            <w:pPr>
              <w:pStyle w:val="TableParagraph"/>
              <w:rPr>
                <w:sz w:val="20"/>
              </w:rPr>
            </w:pPr>
            <w:r w:rsidRPr="00152DF6">
              <w:rPr>
                <w:sz w:val="20"/>
              </w:rPr>
              <w:t>1</w:t>
            </w:r>
          </w:p>
        </w:tc>
        <w:tc>
          <w:tcPr>
            <w:tcW w:w="1276" w:type="dxa"/>
          </w:tcPr>
          <w:p w14:paraId="29ECE2C8" w14:textId="77777777" w:rsidR="00DD13BF" w:rsidRPr="00152DF6" w:rsidRDefault="00DD13BF" w:rsidP="00355A56">
            <w:pPr>
              <w:pStyle w:val="TableParagraph"/>
              <w:rPr>
                <w:sz w:val="20"/>
                <w:lang w:bidi="sl-SI"/>
              </w:rPr>
            </w:pPr>
            <w:r w:rsidRPr="00AB732B">
              <w:rPr>
                <w:color w:val="000000"/>
                <w:sz w:val="20"/>
              </w:rPr>
              <w:t>RSO1.3</w:t>
            </w:r>
          </w:p>
        </w:tc>
        <w:tc>
          <w:tcPr>
            <w:tcW w:w="696" w:type="dxa"/>
          </w:tcPr>
          <w:p w14:paraId="7FC4E1DA" w14:textId="77777777" w:rsidR="00DD13BF" w:rsidRPr="00152DF6" w:rsidRDefault="00DD13BF" w:rsidP="00355A56">
            <w:pPr>
              <w:pStyle w:val="TableParagraph"/>
              <w:rPr>
                <w:sz w:val="20"/>
              </w:rPr>
            </w:pPr>
            <w:r>
              <w:rPr>
                <w:sz w:val="20"/>
              </w:rPr>
              <w:t>ERDF</w:t>
            </w:r>
          </w:p>
        </w:tc>
        <w:tc>
          <w:tcPr>
            <w:tcW w:w="1430" w:type="dxa"/>
          </w:tcPr>
          <w:p w14:paraId="3F19682C" w14:textId="77777777" w:rsidR="00DD13BF" w:rsidRPr="00152DF6" w:rsidRDefault="00DD13BF" w:rsidP="00355A56">
            <w:pPr>
              <w:rPr>
                <w:sz w:val="20"/>
              </w:rPr>
            </w:pPr>
            <w:r>
              <w:rPr>
                <w:sz w:val="20"/>
              </w:rPr>
              <w:t>Less developed</w:t>
            </w:r>
            <w:r w:rsidRPr="00152DF6">
              <w:rPr>
                <w:sz w:val="20"/>
              </w:rPr>
              <w:t xml:space="preserve"> </w:t>
            </w:r>
          </w:p>
        </w:tc>
        <w:tc>
          <w:tcPr>
            <w:tcW w:w="709" w:type="dxa"/>
          </w:tcPr>
          <w:p w14:paraId="4CBE431D" w14:textId="77777777" w:rsidR="00DD13BF" w:rsidRPr="00152DF6" w:rsidRDefault="00DD13BF" w:rsidP="00355A56">
            <w:pPr>
              <w:pStyle w:val="TableParagraph"/>
              <w:rPr>
                <w:sz w:val="20"/>
                <w:lang w:bidi="sl-SI"/>
              </w:rPr>
            </w:pPr>
            <w:r w:rsidRPr="00152DF6">
              <w:rPr>
                <w:sz w:val="20"/>
                <w:lang w:bidi="sl-SI"/>
              </w:rPr>
              <w:t>RCR17</w:t>
            </w:r>
          </w:p>
        </w:tc>
        <w:tc>
          <w:tcPr>
            <w:tcW w:w="2976" w:type="dxa"/>
          </w:tcPr>
          <w:p w14:paraId="3A21954A" w14:textId="77777777" w:rsidR="00DD13BF" w:rsidRPr="001F7573" w:rsidRDefault="00DD13BF" w:rsidP="00355A56">
            <w:pPr>
              <w:rPr>
                <w:noProof/>
                <w:sz w:val="20"/>
              </w:rPr>
            </w:pPr>
            <w:r w:rsidRPr="001F7573">
              <w:rPr>
                <w:sz w:val="20"/>
              </w:rPr>
              <w:t>New enterprises surviving in the market</w:t>
            </w:r>
          </w:p>
        </w:tc>
        <w:tc>
          <w:tcPr>
            <w:tcW w:w="993" w:type="dxa"/>
          </w:tcPr>
          <w:p w14:paraId="356904FC" w14:textId="77777777" w:rsidR="00DD13BF" w:rsidRPr="00152DF6" w:rsidRDefault="00DD13BF" w:rsidP="00355A56">
            <w:pPr>
              <w:pStyle w:val="TableParagraph"/>
              <w:rPr>
                <w:sz w:val="20"/>
                <w:lang w:bidi="sl-SI"/>
              </w:rPr>
            </w:pPr>
            <w:r w:rsidRPr="00AA3F63">
              <w:rPr>
                <w:color w:val="000000"/>
                <w:sz w:val="20"/>
              </w:rPr>
              <w:t>enterprises</w:t>
            </w:r>
          </w:p>
        </w:tc>
        <w:tc>
          <w:tcPr>
            <w:tcW w:w="708" w:type="dxa"/>
          </w:tcPr>
          <w:p w14:paraId="18F10DDE" w14:textId="77777777" w:rsidR="00DD13BF" w:rsidRPr="00152DF6" w:rsidRDefault="00DD13BF" w:rsidP="00355A56">
            <w:pPr>
              <w:pStyle w:val="TableParagraph"/>
              <w:rPr>
                <w:sz w:val="20"/>
              </w:rPr>
            </w:pPr>
            <w:r w:rsidRPr="00152DF6">
              <w:rPr>
                <w:sz w:val="20"/>
              </w:rPr>
              <w:t>0</w:t>
            </w:r>
          </w:p>
        </w:tc>
        <w:tc>
          <w:tcPr>
            <w:tcW w:w="851" w:type="dxa"/>
          </w:tcPr>
          <w:p w14:paraId="72ADBAB6" w14:textId="77777777" w:rsidR="00DD13BF" w:rsidRPr="00152DF6" w:rsidRDefault="00DD13BF" w:rsidP="00355A56">
            <w:pPr>
              <w:pStyle w:val="TableParagraph"/>
              <w:rPr>
                <w:sz w:val="20"/>
              </w:rPr>
            </w:pPr>
            <w:r w:rsidRPr="00152DF6">
              <w:rPr>
                <w:sz w:val="20"/>
              </w:rPr>
              <w:t>2022</w:t>
            </w:r>
          </w:p>
        </w:tc>
        <w:tc>
          <w:tcPr>
            <w:tcW w:w="1134" w:type="dxa"/>
          </w:tcPr>
          <w:p w14:paraId="0DE0D9BF" w14:textId="77777777" w:rsidR="00DD13BF" w:rsidRPr="00152DF6" w:rsidRDefault="00DD13BF" w:rsidP="00355A56">
            <w:pPr>
              <w:pStyle w:val="TableParagraph"/>
              <w:rPr>
                <w:sz w:val="20"/>
              </w:rPr>
            </w:pPr>
            <w:r>
              <w:rPr>
                <w:sz w:val="20"/>
              </w:rPr>
              <w:t>277</w:t>
            </w:r>
          </w:p>
        </w:tc>
        <w:tc>
          <w:tcPr>
            <w:tcW w:w="1134" w:type="dxa"/>
          </w:tcPr>
          <w:p w14:paraId="060E3128" w14:textId="77777777" w:rsidR="00DD13BF" w:rsidRPr="00152DF6" w:rsidRDefault="00DD13BF" w:rsidP="00355A56">
            <w:pPr>
              <w:pStyle w:val="TableParagraph"/>
              <w:rPr>
                <w:sz w:val="20"/>
              </w:rPr>
            </w:pPr>
            <w:r w:rsidRPr="00152DF6">
              <w:rPr>
                <w:sz w:val="20"/>
              </w:rPr>
              <w:t>MGRT</w:t>
            </w:r>
          </w:p>
        </w:tc>
        <w:tc>
          <w:tcPr>
            <w:tcW w:w="708" w:type="dxa"/>
          </w:tcPr>
          <w:p w14:paraId="69808AEB" w14:textId="77777777" w:rsidR="00DD13BF" w:rsidRPr="00152DF6" w:rsidRDefault="00DD13BF" w:rsidP="00355A56">
            <w:pPr>
              <w:pStyle w:val="TableParagraph"/>
              <w:rPr>
                <w:sz w:val="20"/>
              </w:rPr>
            </w:pPr>
          </w:p>
        </w:tc>
      </w:tr>
      <w:tr w:rsidR="00DD13BF" w:rsidRPr="00152DF6" w14:paraId="114A45A9" w14:textId="77777777" w:rsidTr="00355A56">
        <w:trPr>
          <w:trHeight w:val="353"/>
        </w:trPr>
        <w:tc>
          <w:tcPr>
            <w:tcW w:w="1125" w:type="dxa"/>
          </w:tcPr>
          <w:p w14:paraId="53B6840F" w14:textId="77777777" w:rsidR="00DD13BF" w:rsidRPr="00152DF6" w:rsidRDefault="00DD13BF" w:rsidP="00355A56">
            <w:pPr>
              <w:pStyle w:val="TableParagraph"/>
              <w:rPr>
                <w:sz w:val="20"/>
              </w:rPr>
            </w:pPr>
            <w:r w:rsidRPr="00152DF6">
              <w:rPr>
                <w:sz w:val="20"/>
              </w:rPr>
              <w:t>1</w:t>
            </w:r>
          </w:p>
        </w:tc>
        <w:tc>
          <w:tcPr>
            <w:tcW w:w="1276" w:type="dxa"/>
          </w:tcPr>
          <w:p w14:paraId="1BF516E2" w14:textId="77777777" w:rsidR="00DD13BF" w:rsidRPr="00152DF6" w:rsidRDefault="00DD13BF" w:rsidP="00355A56">
            <w:pPr>
              <w:pStyle w:val="TableParagraph"/>
              <w:rPr>
                <w:sz w:val="20"/>
                <w:lang w:bidi="sl-SI"/>
              </w:rPr>
            </w:pPr>
            <w:r w:rsidRPr="00AB732B">
              <w:rPr>
                <w:color w:val="000000"/>
                <w:sz w:val="20"/>
              </w:rPr>
              <w:t>RSO1.3</w:t>
            </w:r>
          </w:p>
        </w:tc>
        <w:tc>
          <w:tcPr>
            <w:tcW w:w="696" w:type="dxa"/>
          </w:tcPr>
          <w:p w14:paraId="247B9101" w14:textId="77777777" w:rsidR="00DD13BF" w:rsidRPr="00152DF6" w:rsidRDefault="00DD13BF" w:rsidP="00355A56">
            <w:pPr>
              <w:pStyle w:val="TableParagraph"/>
              <w:rPr>
                <w:sz w:val="20"/>
              </w:rPr>
            </w:pPr>
            <w:r>
              <w:rPr>
                <w:sz w:val="20"/>
              </w:rPr>
              <w:t>ERDF</w:t>
            </w:r>
          </w:p>
        </w:tc>
        <w:tc>
          <w:tcPr>
            <w:tcW w:w="1430" w:type="dxa"/>
          </w:tcPr>
          <w:p w14:paraId="33768FFB" w14:textId="77777777" w:rsidR="00DD13BF" w:rsidRPr="00152DF6" w:rsidRDefault="00DD13BF" w:rsidP="00355A56">
            <w:pPr>
              <w:rPr>
                <w:sz w:val="20"/>
              </w:rPr>
            </w:pPr>
            <w:r>
              <w:rPr>
                <w:sz w:val="20"/>
              </w:rPr>
              <w:t>More developed</w:t>
            </w:r>
          </w:p>
        </w:tc>
        <w:tc>
          <w:tcPr>
            <w:tcW w:w="709" w:type="dxa"/>
          </w:tcPr>
          <w:p w14:paraId="667E67FF" w14:textId="77777777" w:rsidR="00DD13BF" w:rsidRPr="00152DF6" w:rsidRDefault="00DD13BF" w:rsidP="00355A56">
            <w:pPr>
              <w:pStyle w:val="TableParagraph"/>
              <w:rPr>
                <w:sz w:val="20"/>
                <w:lang w:bidi="sl-SI"/>
              </w:rPr>
            </w:pPr>
            <w:r w:rsidRPr="00152DF6">
              <w:rPr>
                <w:sz w:val="20"/>
                <w:lang w:bidi="sl-SI"/>
              </w:rPr>
              <w:t>RCR17</w:t>
            </w:r>
          </w:p>
        </w:tc>
        <w:tc>
          <w:tcPr>
            <w:tcW w:w="2976" w:type="dxa"/>
          </w:tcPr>
          <w:p w14:paraId="1A689D59" w14:textId="77777777" w:rsidR="00DD13BF" w:rsidRPr="001F7573" w:rsidRDefault="00DD13BF" w:rsidP="00355A56">
            <w:pPr>
              <w:rPr>
                <w:noProof/>
                <w:sz w:val="20"/>
              </w:rPr>
            </w:pPr>
            <w:r w:rsidRPr="001F7573">
              <w:rPr>
                <w:sz w:val="20"/>
              </w:rPr>
              <w:t>New enterprises surviving in the market</w:t>
            </w:r>
          </w:p>
        </w:tc>
        <w:tc>
          <w:tcPr>
            <w:tcW w:w="993" w:type="dxa"/>
          </w:tcPr>
          <w:p w14:paraId="3A690E8A" w14:textId="77777777" w:rsidR="00DD13BF" w:rsidRPr="00152DF6" w:rsidRDefault="00DD13BF" w:rsidP="00355A56">
            <w:pPr>
              <w:pStyle w:val="TableParagraph"/>
              <w:rPr>
                <w:sz w:val="20"/>
                <w:lang w:bidi="sl-SI"/>
              </w:rPr>
            </w:pPr>
            <w:r w:rsidRPr="00AA3F63">
              <w:rPr>
                <w:color w:val="000000"/>
                <w:sz w:val="20"/>
              </w:rPr>
              <w:t>enterprises</w:t>
            </w:r>
          </w:p>
        </w:tc>
        <w:tc>
          <w:tcPr>
            <w:tcW w:w="708" w:type="dxa"/>
          </w:tcPr>
          <w:p w14:paraId="6B5F883E" w14:textId="77777777" w:rsidR="00DD13BF" w:rsidRPr="00152DF6" w:rsidRDefault="00DD13BF" w:rsidP="00355A56">
            <w:pPr>
              <w:pStyle w:val="TableParagraph"/>
              <w:rPr>
                <w:sz w:val="20"/>
              </w:rPr>
            </w:pPr>
            <w:r w:rsidRPr="00152DF6">
              <w:rPr>
                <w:sz w:val="20"/>
              </w:rPr>
              <w:t>0</w:t>
            </w:r>
          </w:p>
        </w:tc>
        <w:tc>
          <w:tcPr>
            <w:tcW w:w="851" w:type="dxa"/>
          </w:tcPr>
          <w:p w14:paraId="4AFA90A2" w14:textId="77777777" w:rsidR="00DD13BF" w:rsidRPr="00152DF6" w:rsidRDefault="00DD13BF" w:rsidP="00355A56">
            <w:pPr>
              <w:pStyle w:val="TableParagraph"/>
              <w:rPr>
                <w:sz w:val="20"/>
              </w:rPr>
            </w:pPr>
            <w:r w:rsidRPr="00152DF6">
              <w:rPr>
                <w:sz w:val="20"/>
              </w:rPr>
              <w:t>2022</w:t>
            </w:r>
          </w:p>
        </w:tc>
        <w:tc>
          <w:tcPr>
            <w:tcW w:w="1134" w:type="dxa"/>
          </w:tcPr>
          <w:p w14:paraId="098B7617" w14:textId="77777777" w:rsidR="00DD13BF" w:rsidRPr="00152DF6" w:rsidRDefault="00DD13BF" w:rsidP="00355A56">
            <w:pPr>
              <w:pStyle w:val="TableParagraph"/>
              <w:rPr>
                <w:sz w:val="20"/>
              </w:rPr>
            </w:pPr>
            <w:r>
              <w:rPr>
                <w:sz w:val="20"/>
              </w:rPr>
              <w:t>165</w:t>
            </w:r>
          </w:p>
        </w:tc>
        <w:tc>
          <w:tcPr>
            <w:tcW w:w="1134" w:type="dxa"/>
          </w:tcPr>
          <w:p w14:paraId="463DFEA9" w14:textId="77777777" w:rsidR="00DD13BF" w:rsidRPr="00152DF6" w:rsidRDefault="00DD13BF" w:rsidP="00355A56">
            <w:pPr>
              <w:pStyle w:val="TableParagraph"/>
              <w:rPr>
                <w:sz w:val="20"/>
              </w:rPr>
            </w:pPr>
            <w:r w:rsidRPr="00152DF6">
              <w:rPr>
                <w:sz w:val="20"/>
              </w:rPr>
              <w:t>MGRT</w:t>
            </w:r>
          </w:p>
        </w:tc>
        <w:tc>
          <w:tcPr>
            <w:tcW w:w="708" w:type="dxa"/>
          </w:tcPr>
          <w:p w14:paraId="535F7CF9" w14:textId="77777777" w:rsidR="00DD13BF" w:rsidRPr="00152DF6" w:rsidRDefault="00DD13BF" w:rsidP="00355A56">
            <w:pPr>
              <w:pStyle w:val="TableParagraph"/>
              <w:rPr>
                <w:sz w:val="20"/>
              </w:rPr>
            </w:pPr>
          </w:p>
        </w:tc>
      </w:tr>
      <w:tr w:rsidR="00DD13BF" w14:paraId="090452E9" w14:textId="77777777" w:rsidTr="00355A56">
        <w:trPr>
          <w:trHeight w:val="353"/>
        </w:trPr>
        <w:tc>
          <w:tcPr>
            <w:tcW w:w="1125" w:type="dxa"/>
          </w:tcPr>
          <w:p w14:paraId="695F18C4" w14:textId="77777777" w:rsidR="00DD13BF" w:rsidRPr="00347461" w:rsidRDefault="00DD13BF" w:rsidP="00355A56">
            <w:pPr>
              <w:pStyle w:val="TableParagraph"/>
              <w:rPr>
                <w:sz w:val="20"/>
              </w:rPr>
            </w:pPr>
            <w:r>
              <w:rPr>
                <w:rFonts w:cstheme="minorHAnsi"/>
                <w:sz w:val="20"/>
              </w:rPr>
              <w:t>1</w:t>
            </w:r>
          </w:p>
        </w:tc>
        <w:tc>
          <w:tcPr>
            <w:tcW w:w="1276" w:type="dxa"/>
          </w:tcPr>
          <w:p w14:paraId="00461623" w14:textId="77777777" w:rsidR="00DD13BF" w:rsidRPr="00347461" w:rsidRDefault="00DD13BF" w:rsidP="00355A56">
            <w:pPr>
              <w:pStyle w:val="TableParagraph"/>
              <w:rPr>
                <w:sz w:val="20"/>
              </w:rPr>
            </w:pPr>
            <w:r w:rsidRPr="00AB732B">
              <w:rPr>
                <w:color w:val="000000"/>
                <w:sz w:val="20"/>
              </w:rPr>
              <w:t>RSO1.3</w:t>
            </w:r>
          </w:p>
        </w:tc>
        <w:tc>
          <w:tcPr>
            <w:tcW w:w="696" w:type="dxa"/>
          </w:tcPr>
          <w:p w14:paraId="1BCBE4A7" w14:textId="77777777" w:rsidR="00DD13BF" w:rsidRPr="00347461" w:rsidRDefault="00DD13BF" w:rsidP="00355A56">
            <w:pPr>
              <w:pStyle w:val="TableParagraph"/>
              <w:rPr>
                <w:sz w:val="20"/>
              </w:rPr>
            </w:pPr>
            <w:r>
              <w:rPr>
                <w:sz w:val="20"/>
              </w:rPr>
              <w:t>ERDF</w:t>
            </w:r>
          </w:p>
        </w:tc>
        <w:tc>
          <w:tcPr>
            <w:tcW w:w="1430" w:type="dxa"/>
          </w:tcPr>
          <w:p w14:paraId="780FAD63" w14:textId="77777777" w:rsidR="00DD13BF" w:rsidRPr="00347461" w:rsidRDefault="00DD13BF" w:rsidP="00355A56">
            <w:pPr>
              <w:rPr>
                <w:sz w:val="20"/>
              </w:rPr>
            </w:pPr>
            <w:r>
              <w:rPr>
                <w:sz w:val="20"/>
              </w:rPr>
              <w:t>Less developed</w:t>
            </w:r>
            <w:r w:rsidRPr="00347461">
              <w:rPr>
                <w:sz w:val="20"/>
              </w:rPr>
              <w:t xml:space="preserve"> </w:t>
            </w:r>
          </w:p>
        </w:tc>
        <w:tc>
          <w:tcPr>
            <w:tcW w:w="709" w:type="dxa"/>
          </w:tcPr>
          <w:p w14:paraId="0C7BAB93" w14:textId="77777777" w:rsidR="00DD13BF" w:rsidRPr="00347461" w:rsidRDefault="00DD13BF" w:rsidP="00355A56">
            <w:pPr>
              <w:pStyle w:val="TableParagraph"/>
              <w:rPr>
                <w:sz w:val="20"/>
                <w:lang w:bidi="sl-SI"/>
              </w:rPr>
            </w:pPr>
            <w:r w:rsidRPr="00347461">
              <w:rPr>
                <w:sz w:val="20"/>
                <w:lang w:bidi="sl-SI"/>
              </w:rPr>
              <w:t>RCR19</w:t>
            </w:r>
          </w:p>
        </w:tc>
        <w:tc>
          <w:tcPr>
            <w:tcW w:w="2976" w:type="dxa"/>
          </w:tcPr>
          <w:p w14:paraId="7F71DC92" w14:textId="77777777" w:rsidR="00DD13BF" w:rsidRPr="001F7573" w:rsidRDefault="00DD13BF" w:rsidP="00355A56">
            <w:pPr>
              <w:pStyle w:val="TableParagraph"/>
              <w:rPr>
                <w:sz w:val="20"/>
                <w:lang w:bidi="sl-SI"/>
              </w:rPr>
            </w:pPr>
            <w:r w:rsidRPr="001F7573">
              <w:rPr>
                <w:sz w:val="20"/>
              </w:rPr>
              <w:t>Enterprises with higher turnover</w:t>
            </w:r>
          </w:p>
        </w:tc>
        <w:tc>
          <w:tcPr>
            <w:tcW w:w="993" w:type="dxa"/>
          </w:tcPr>
          <w:p w14:paraId="4E27D9C1" w14:textId="77777777" w:rsidR="00DD13BF" w:rsidRPr="00347461" w:rsidRDefault="00DD13BF" w:rsidP="00355A56">
            <w:pPr>
              <w:pStyle w:val="TableParagraph"/>
              <w:rPr>
                <w:sz w:val="20"/>
                <w:lang w:bidi="sl-SI"/>
              </w:rPr>
            </w:pPr>
            <w:r w:rsidRPr="00AA3F63">
              <w:rPr>
                <w:color w:val="000000"/>
                <w:sz w:val="20"/>
              </w:rPr>
              <w:t>enterprises</w:t>
            </w:r>
          </w:p>
        </w:tc>
        <w:tc>
          <w:tcPr>
            <w:tcW w:w="708" w:type="dxa"/>
          </w:tcPr>
          <w:p w14:paraId="69D99FBF" w14:textId="77777777" w:rsidR="00DD13BF" w:rsidRPr="00347461" w:rsidRDefault="00DD13BF" w:rsidP="00355A56">
            <w:pPr>
              <w:pStyle w:val="TableParagraph"/>
              <w:rPr>
                <w:sz w:val="20"/>
              </w:rPr>
            </w:pPr>
            <w:r>
              <w:rPr>
                <w:sz w:val="20"/>
              </w:rPr>
              <w:t>0</w:t>
            </w:r>
          </w:p>
        </w:tc>
        <w:tc>
          <w:tcPr>
            <w:tcW w:w="851" w:type="dxa"/>
          </w:tcPr>
          <w:p w14:paraId="5CD24C09" w14:textId="77777777" w:rsidR="00DD13BF" w:rsidRPr="00347461" w:rsidRDefault="00DD13BF" w:rsidP="00355A56">
            <w:pPr>
              <w:pStyle w:val="TableParagraph"/>
              <w:rPr>
                <w:sz w:val="20"/>
              </w:rPr>
            </w:pPr>
            <w:r>
              <w:rPr>
                <w:sz w:val="20"/>
              </w:rPr>
              <w:t>2022</w:t>
            </w:r>
          </w:p>
        </w:tc>
        <w:tc>
          <w:tcPr>
            <w:tcW w:w="1134" w:type="dxa"/>
          </w:tcPr>
          <w:p w14:paraId="0ABBD375" w14:textId="77777777" w:rsidR="00DD13BF" w:rsidRPr="00347461" w:rsidRDefault="00DD13BF" w:rsidP="00355A56">
            <w:pPr>
              <w:pStyle w:val="TableParagraph"/>
              <w:rPr>
                <w:sz w:val="20"/>
              </w:rPr>
            </w:pPr>
            <w:r>
              <w:rPr>
                <w:sz w:val="20"/>
              </w:rPr>
              <w:t>231</w:t>
            </w:r>
          </w:p>
        </w:tc>
        <w:tc>
          <w:tcPr>
            <w:tcW w:w="1134" w:type="dxa"/>
          </w:tcPr>
          <w:p w14:paraId="62ABEF57" w14:textId="77777777" w:rsidR="00DD13BF" w:rsidRPr="00347461" w:rsidRDefault="00DD13BF" w:rsidP="00355A56">
            <w:pPr>
              <w:pStyle w:val="TableParagraph"/>
              <w:rPr>
                <w:sz w:val="20"/>
              </w:rPr>
            </w:pPr>
            <w:r>
              <w:rPr>
                <w:sz w:val="20"/>
              </w:rPr>
              <w:t>IS eMA, implementing body, MGRT, MGRT</w:t>
            </w:r>
          </w:p>
        </w:tc>
        <w:tc>
          <w:tcPr>
            <w:tcW w:w="708" w:type="dxa"/>
          </w:tcPr>
          <w:p w14:paraId="7909D383" w14:textId="77777777" w:rsidR="00DD13BF" w:rsidRPr="00347461" w:rsidRDefault="00DD13BF" w:rsidP="00355A56">
            <w:pPr>
              <w:pStyle w:val="TableParagraph"/>
              <w:rPr>
                <w:sz w:val="20"/>
              </w:rPr>
            </w:pPr>
          </w:p>
        </w:tc>
      </w:tr>
      <w:tr w:rsidR="00DD13BF" w:rsidRPr="00FC0698" w14:paraId="2AA43418" w14:textId="77777777" w:rsidTr="00355A56">
        <w:trPr>
          <w:trHeight w:val="353"/>
        </w:trPr>
        <w:tc>
          <w:tcPr>
            <w:tcW w:w="1125" w:type="dxa"/>
          </w:tcPr>
          <w:p w14:paraId="05ED741D" w14:textId="77777777" w:rsidR="00DD13BF" w:rsidRPr="00347461" w:rsidRDefault="00DD13BF" w:rsidP="00355A56">
            <w:pPr>
              <w:pStyle w:val="TableParagraph"/>
              <w:rPr>
                <w:sz w:val="20"/>
              </w:rPr>
            </w:pPr>
            <w:r>
              <w:rPr>
                <w:rFonts w:cstheme="minorHAnsi"/>
                <w:sz w:val="20"/>
              </w:rPr>
              <w:t>1</w:t>
            </w:r>
          </w:p>
        </w:tc>
        <w:tc>
          <w:tcPr>
            <w:tcW w:w="1276" w:type="dxa"/>
          </w:tcPr>
          <w:p w14:paraId="018C2A3F" w14:textId="77777777" w:rsidR="00DD13BF" w:rsidRPr="00347461" w:rsidRDefault="00DD13BF" w:rsidP="00355A56">
            <w:pPr>
              <w:pStyle w:val="TableParagraph"/>
              <w:rPr>
                <w:sz w:val="20"/>
              </w:rPr>
            </w:pPr>
            <w:r w:rsidRPr="00AB732B">
              <w:rPr>
                <w:color w:val="000000"/>
                <w:sz w:val="20"/>
              </w:rPr>
              <w:t>RSO1.3</w:t>
            </w:r>
          </w:p>
        </w:tc>
        <w:tc>
          <w:tcPr>
            <w:tcW w:w="696" w:type="dxa"/>
          </w:tcPr>
          <w:p w14:paraId="793D5EB7" w14:textId="77777777" w:rsidR="00DD13BF" w:rsidRPr="00347461" w:rsidRDefault="00DD13BF" w:rsidP="00355A56">
            <w:pPr>
              <w:pStyle w:val="TableParagraph"/>
              <w:rPr>
                <w:sz w:val="20"/>
              </w:rPr>
            </w:pPr>
            <w:r>
              <w:rPr>
                <w:sz w:val="20"/>
              </w:rPr>
              <w:t>ERDF</w:t>
            </w:r>
          </w:p>
        </w:tc>
        <w:tc>
          <w:tcPr>
            <w:tcW w:w="1430" w:type="dxa"/>
          </w:tcPr>
          <w:p w14:paraId="42679CA6" w14:textId="77777777" w:rsidR="00DD13BF" w:rsidRPr="00347461" w:rsidRDefault="00DD13BF" w:rsidP="00355A56">
            <w:pPr>
              <w:rPr>
                <w:sz w:val="20"/>
              </w:rPr>
            </w:pPr>
            <w:r>
              <w:rPr>
                <w:sz w:val="20"/>
              </w:rPr>
              <w:t>More developed</w:t>
            </w:r>
          </w:p>
        </w:tc>
        <w:tc>
          <w:tcPr>
            <w:tcW w:w="709" w:type="dxa"/>
          </w:tcPr>
          <w:p w14:paraId="1BF16F96" w14:textId="77777777" w:rsidR="00DD13BF" w:rsidRPr="00347461" w:rsidRDefault="00DD13BF" w:rsidP="00355A56">
            <w:pPr>
              <w:pStyle w:val="TableParagraph"/>
              <w:rPr>
                <w:sz w:val="20"/>
                <w:lang w:bidi="sl-SI"/>
              </w:rPr>
            </w:pPr>
            <w:r w:rsidRPr="00347461">
              <w:rPr>
                <w:sz w:val="20"/>
                <w:lang w:bidi="sl-SI"/>
              </w:rPr>
              <w:t>RCR19</w:t>
            </w:r>
          </w:p>
        </w:tc>
        <w:tc>
          <w:tcPr>
            <w:tcW w:w="2976" w:type="dxa"/>
          </w:tcPr>
          <w:p w14:paraId="18529AD2" w14:textId="77777777" w:rsidR="00DD13BF" w:rsidRPr="001F7573" w:rsidRDefault="00DD13BF" w:rsidP="00355A56">
            <w:pPr>
              <w:pStyle w:val="TableParagraph"/>
              <w:rPr>
                <w:sz w:val="20"/>
                <w:lang w:bidi="sl-SI"/>
              </w:rPr>
            </w:pPr>
            <w:r w:rsidRPr="001F7573">
              <w:rPr>
                <w:sz w:val="20"/>
              </w:rPr>
              <w:t>Enterprises with higher turnover</w:t>
            </w:r>
          </w:p>
        </w:tc>
        <w:tc>
          <w:tcPr>
            <w:tcW w:w="993" w:type="dxa"/>
          </w:tcPr>
          <w:p w14:paraId="340A2F26" w14:textId="77777777" w:rsidR="00DD13BF" w:rsidRPr="00347461" w:rsidRDefault="00DD13BF" w:rsidP="00355A56">
            <w:pPr>
              <w:pStyle w:val="TableParagraph"/>
              <w:rPr>
                <w:sz w:val="20"/>
                <w:lang w:bidi="sl-SI"/>
              </w:rPr>
            </w:pPr>
            <w:r w:rsidRPr="00AA3F63">
              <w:rPr>
                <w:color w:val="000000"/>
                <w:sz w:val="20"/>
              </w:rPr>
              <w:t>enterprises</w:t>
            </w:r>
          </w:p>
        </w:tc>
        <w:tc>
          <w:tcPr>
            <w:tcW w:w="708" w:type="dxa"/>
          </w:tcPr>
          <w:p w14:paraId="05BF9BE0" w14:textId="77777777" w:rsidR="00DD13BF" w:rsidRPr="00347461" w:rsidRDefault="00DD13BF" w:rsidP="00355A56">
            <w:pPr>
              <w:pStyle w:val="TableParagraph"/>
              <w:rPr>
                <w:sz w:val="20"/>
              </w:rPr>
            </w:pPr>
            <w:r>
              <w:rPr>
                <w:sz w:val="20"/>
              </w:rPr>
              <w:t>0</w:t>
            </w:r>
          </w:p>
        </w:tc>
        <w:tc>
          <w:tcPr>
            <w:tcW w:w="851" w:type="dxa"/>
          </w:tcPr>
          <w:p w14:paraId="22CB9667" w14:textId="77777777" w:rsidR="00DD13BF" w:rsidRPr="00347461" w:rsidRDefault="00DD13BF" w:rsidP="00355A56">
            <w:pPr>
              <w:pStyle w:val="TableParagraph"/>
              <w:rPr>
                <w:sz w:val="20"/>
              </w:rPr>
            </w:pPr>
            <w:r>
              <w:rPr>
                <w:sz w:val="20"/>
              </w:rPr>
              <w:t>2022</w:t>
            </w:r>
          </w:p>
        </w:tc>
        <w:tc>
          <w:tcPr>
            <w:tcW w:w="1134" w:type="dxa"/>
          </w:tcPr>
          <w:p w14:paraId="77559F78" w14:textId="77777777" w:rsidR="00DD13BF" w:rsidRPr="00347461" w:rsidRDefault="00DD13BF" w:rsidP="00355A56">
            <w:pPr>
              <w:pStyle w:val="TableParagraph"/>
              <w:rPr>
                <w:sz w:val="20"/>
              </w:rPr>
            </w:pPr>
            <w:r>
              <w:rPr>
                <w:sz w:val="20"/>
              </w:rPr>
              <w:t>140</w:t>
            </w:r>
          </w:p>
        </w:tc>
        <w:tc>
          <w:tcPr>
            <w:tcW w:w="1134" w:type="dxa"/>
          </w:tcPr>
          <w:p w14:paraId="2AD3A552" w14:textId="77777777" w:rsidR="00DD13BF" w:rsidRPr="00DD13BF" w:rsidRDefault="00DD13BF" w:rsidP="00355A56">
            <w:pPr>
              <w:pStyle w:val="TableParagraph"/>
              <w:rPr>
                <w:sz w:val="20"/>
                <w:lang w:val="it-IT"/>
              </w:rPr>
            </w:pPr>
            <w:r w:rsidRPr="00DD13BF">
              <w:rPr>
                <w:sz w:val="20"/>
                <w:lang w:val="it-IT"/>
              </w:rPr>
              <w:t>IS eMA, IO MGRT, MGRT</w:t>
            </w:r>
          </w:p>
        </w:tc>
        <w:tc>
          <w:tcPr>
            <w:tcW w:w="708" w:type="dxa"/>
          </w:tcPr>
          <w:p w14:paraId="147A15D4" w14:textId="77777777" w:rsidR="00DD13BF" w:rsidRPr="00DD13BF" w:rsidRDefault="00DD13BF" w:rsidP="00355A56">
            <w:pPr>
              <w:pStyle w:val="TableParagraph"/>
              <w:rPr>
                <w:sz w:val="20"/>
                <w:lang w:val="it-IT"/>
              </w:rPr>
            </w:pPr>
          </w:p>
        </w:tc>
      </w:tr>
      <w:tr w:rsidR="00DD13BF" w14:paraId="08DFC2F9" w14:textId="77777777" w:rsidTr="00355A56">
        <w:trPr>
          <w:trHeight w:val="353"/>
        </w:trPr>
        <w:tc>
          <w:tcPr>
            <w:tcW w:w="1125" w:type="dxa"/>
          </w:tcPr>
          <w:p w14:paraId="786F3A88" w14:textId="77777777" w:rsidR="00DD13BF" w:rsidRDefault="00DD13BF" w:rsidP="00355A56">
            <w:pPr>
              <w:pStyle w:val="TableParagraph"/>
              <w:rPr>
                <w:rFonts w:cstheme="minorHAnsi"/>
                <w:sz w:val="20"/>
              </w:rPr>
            </w:pPr>
            <w:r>
              <w:rPr>
                <w:rFonts w:cstheme="minorHAnsi"/>
                <w:sz w:val="20"/>
              </w:rPr>
              <w:t>1</w:t>
            </w:r>
          </w:p>
        </w:tc>
        <w:tc>
          <w:tcPr>
            <w:tcW w:w="1276" w:type="dxa"/>
          </w:tcPr>
          <w:p w14:paraId="5E256DFD" w14:textId="77777777" w:rsidR="00DD13BF" w:rsidRDefault="00DD13BF" w:rsidP="00355A56">
            <w:pPr>
              <w:pStyle w:val="TableParagraph"/>
              <w:rPr>
                <w:iCs/>
                <w:sz w:val="20"/>
                <w:lang w:bidi="sl-SI"/>
              </w:rPr>
            </w:pPr>
            <w:r w:rsidRPr="00AB732B">
              <w:rPr>
                <w:color w:val="000000"/>
                <w:sz w:val="20"/>
              </w:rPr>
              <w:t>RSO1.3</w:t>
            </w:r>
          </w:p>
        </w:tc>
        <w:tc>
          <w:tcPr>
            <w:tcW w:w="696" w:type="dxa"/>
          </w:tcPr>
          <w:p w14:paraId="5CF9630B" w14:textId="77777777" w:rsidR="00DD13BF" w:rsidRPr="00347461" w:rsidRDefault="00DD13BF" w:rsidP="00355A56">
            <w:pPr>
              <w:pStyle w:val="TableParagraph"/>
              <w:rPr>
                <w:sz w:val="20"/>
              </w:rPr>
            </w:pPr>
            <w:r>
              <w:rPr>
                <w:sz w:val="20"/>
              </w:rPr>
              <w:t>ERDF</w:t>
            </w:r>
          </w:p>
        </w:tc>
        <w:tc>
          <w:tcPr>
            <w:tcW w:w="1430" w:type="dxa"/>
          </w:tcPr>
          <w:p w14:paraId="6659788E" w14:textId="77777777" w:rsidR="00DD13BF" w:rsidRDefault="00DD13BF" w:rsidP="00355A56">
            <w:pPr>
              <w:rPr>
                <w:sz w:val="20"/>
              </w:rPr>
            </w:pPr>
            <w:r>
              <w:rPr>
                <w:sz w:val="20"/>
              </w:rPr>
              <w:t>Less developed</w:t>
            </w:r>
          </w:p>
        </w:tc>
        <w:tc>
          <w:tcPr>
            <w:tcW w:w="709" w:type="dxa"/>
          </w:tcPr>
          <w:p w14:paraId="1172DE71" w14:textId="77777777" w:rsidR="00DD13BF" w:rsidRPr="00347461" w:rsidRDefault="00DD13BF" w:rsidP="00355A56">
            <w:pPr>
              <w:pStyle w:val="TableParagraph"/>
              <w:rPr>
                <w:sz w:val="20"/>
                <w:lang w:bidi="sl-SI"/>
              </w:rPr>
            </w:pPr>
            <w:r>
              <w:rPr>
                <w:sz w:val="20"/>
                <w:lang w:bidi="sl-SI"/>
              </w:rPr>
              <w:t>RCR25</w:t>
            </w:r>
          </w:p>
        </w:tc>
        <w:tc>
          <w:tcPr>
            <w:tcW w:w="2976" w:type="dxa"/>
          </w:tcPr>
          <w:p w14:paraId="7ECC5C61" w14:textId="77777777" w:rsidR="00DD13BF" w:rsidRPr="001F7573" w:rsidRDefault="00DD13BF" w:rsidP="00355A56">
            <w:pPr>
              <w:rPr>
                <w:sz w:val="20"/>
                <w:lang w:bidi="sl-SI"/>
              </w:rPr>
            </w:pPr>
            <w:r w:rsidRPr="001F7573">
              <w:rPr>
                <w:sz w:val="20"/>
              </w:rPr>
              <w:t>SMEs with higher value added per employee</w:t>
            </w:r>
          </w:p>
        </w:tc>
        <w:tc>
          <w:tcPr>
            <w:tcW w:w="993" w:type="dxa"/>
          </w:tcPr>
          <w:p w14:paraId="0100F273" w14:textId="77777777" w:rsidR="00DD13BF" w:rsidRDefault="00DD13BF" w:rsidP="00355A56">
            <w:pPr>
              <w:pStyle w:val="TableParagraph"/>
              <w:rPr>
                <w:sz w:val="20"/>
                <w:lang w:bidi="sl-SI"/>
              </w:rPr>
            </w:pPr>
            <w:r w:rsidRPr="00AA3F63">
              <w:rPr>
                <w:color w:val="000000"/>
                <w:sz w:val="20"/>
              </w:rPr>
              <w:t>enterprises</w:t>
            </w:r>
          </w:p>
        </w:tc>
        <w:tc>
          <w:tcPr>
            <w:tcW w:w="708" w:type="dxa"/>
          </w:tcPr>
          <w:p w14:paraId="1C61C6F9" w14:textId="77777777" w:rsidR="00DD13BF" w:rsidRDefault="00DD13BF" w:rsidP="00355A56">
            <w:pPr>
              <w:pStyle w:val="TableParagraph"/>
              <w:rPr>
                <w:sz w:val="20"/>
              </w:rPr>
            </w:pPr>
            <w:r>
              <w:rPr>
                <w:sz w:val="20"/>
              </w:rPr>
              <w:t>0</w:t>
            </w:r>
          </w:p>
        </w:tc>
        <w:tc>
          <w:tcPr>
            <w:tcW w:w="851" w:type="dxa"/>
          </w:tcPr>
          <w:p w14:paraId="6E1B03D7" w14:textId="77777777" w:rsidR="00DD13BF" w:rsidRDefault="00DD13BF" w:rsidP="00355A56">
            <w:pPr>
              <w:pStyle w:val="TableParagraph"/>
              <w:rPr>
                <w:sz w:val="20"/>
              </w:rPr>
            </w:pPr>
            <w:r>
              <w:rPr>
                <w:sz w:val="20"/>
              </w:rPr>
              <w:t>2022</w:t>
            </w:r>
          </w:p>
        </w:tc>
        <w:tc>
          <w:tcPr>
            <w:tcW w:w="1134" w:type="dxa"/>
          </w:tcPr>
          <w:p w14:paraId="1D6F3C17" w14:textId="77777777" w:rsidR="00DD13BF" w:rsidRDefault="00DD13BF" w:rsidP="00355A56">
            <w:pPr>
              <w:pStyle w:val="TableParagraph"/>
              <w:rPr>
                <w:sz w:val="20"/>
              </w:rPr>
            </w:pPr>
            <w:r>
              <w:rPr>
                <w:sz w:val="20"/>
              </w:rPr>
              <w:t>75</w:t>
            </w:r>
          </w:p>
        </w:tc>
        <w:tc>
          <w:tcPr>
            <w:tcW w:w="1134" w:type="dxa"/>
          </w:tcPr>
          <w:p w14:paraId="4F610CA8" w14:textId="77777777" w:rsidR="00DD13BF" w:rsidRDefault="00DD13BF" w:rsidP="00355A56">
            <w:pPr>
              <w:pStyle w:val="TableParagraph"/>
              <w:rPr>
                <w:sz w:val="20"/>
              </w:rPr>
            </w:pPr>
            <w:r>
              <w:rPr>
                <w:sz w:val="20"/>
              </w:rPr>
              <w:t xml:space="preserve">IS eMA, implementing body, </w:t>
            </w:r>
            <w:r w:rsidRPr="004541EF">
              <w:rPr>
                <w:sz w:val="20"/>
              </w:rPr>
              <w:t>MGRT, MGRT</w:t>
            </w:r>
          </w:p>
        </w:tc>
        <w:tc>
          <w:tcPr>
            <w:tcW w:w="708" w:type="dxa"/>
          </w:tcPr>
          <w:p w14:paraId="592F5BC0" w14:textId="77777777" w:rsidR="00DD13BF" w:rsidRPr="00347461" w:rsidRDefault="00DD13BF" w:rsidP="00355A56">
            <w:pPr>
              <w:pStyle w:val="TableParagraph"/>
              <w:rPr>
                <w:sz w:val="20"/>
              </w:rPr>
            </w:pPr>
          </w:p>
        </w:tc>
      </w:tr>
      <w:tr w:rsidR="00DD13BF" w14:paraId="0170139C" w14:textId="77777777" w:rsidTr="00355A56">
        <w:trPr>
          <w:trHeight w:val="353"/>
        </w:trPr>
        <w:tc>
          <w:tcPr>
            <w:tcW w:w="1125" w:type="dxa"/>
          </w:tcPr>
          <w:p w14:paraId="0B47855B" w14:textId="77777777" w:rsidR="00DD13BF" w:rsidRDefault="00DD13BF" w:rsidP="00355A56">
            <w:pPr>
              <w:pStyle w:val="TableParagraph"/>
              <w:rPr>
                <w:rFonts w:cstheme="minorHAnsi"/>
                <w:sz w:val="20"/>
              </w:rPr>
            </w:pPr>
            <w:r>
              <w:rPr>
                <w:rFonts w:cstheme="minorHAnsi"/>
                <w:sz w:val="20"/>
              </w:rPr>
              <w:t>1</w:t>
            </w:r>
          </w:p>
        </w:tc>
        <w:tc>
          <w:tcPr>
            <w:tcW w:w="1276" w:type="dxa"/>
          </w:tcPr>
          <w:p w14:paraId="51D39EB1" w14:textId="77777777" w:rsidR="00DD13BF" w:rsidRDefault="00DD13BF" w:rsidP="00355A56">
            <w:pPr>
              <w:pStyle w:val="TableParagraph"/>
              <w:rPr>
                <w:iCs/>
                <w:sz w:val="20"/>
                <w:lang w:bidi="sl-SI"/>
              </w:rPr>
            </w:pPr>
            <w:r w:rsidRPr="00AB732B">
              <w:rPr>
                <w:color w:val="000000"/>
                <w:sz w:val="20"/>
              </w:rPr>
              <w:t>RSO1.3</w:t>
            </w:r>
          </w:p>
        </w:tc>
        <w:tc>
          <w:tcPr>
            <w:tcW w:w="696" w:type="dxa"/>
          </w:tcPr>
          <w:p w14:paraId="3E7BD3B4" w14:textId="77777777" w:rsidR="00DD13BF" w:rsidRPr="00347461" w:rsidRDefault="00DD13BF" w:rsidP="00355A56">
            <w:pPr>
              <w:pStyle w:val="TableParagraph"/>
              <w:rPr>
                <w:sz w:val="20"/>
              </w:rPr>
            </w:pPr>
            <w:r>
              <w:rPr>
                <w:sz w:val="20"/>
              </w:rPr>
              <w:t>ERDF</w:t>
            </w:r>
          </w:p>
        </w:tc>
        <w:tc>
          <w:tcPr>
            <w:tcW w:w="1430" w:type="dxa"/>
          </w:tcPr>
          <w:p w14:paraId="2F756D58" w14:textId="77777777" w:rsidR="00DD13BF" w:rsidRDefault="00DD13BF" w:rsidP="00355A56">
            <w:pPr>
              <w:rPr>
                <w:sz w:val="20"/>
              </w:rPr>
            </w:pPr>
            <w:r>
              <w:rPr>
                <w:sz w:val="20"/>
              </w:rPr>
              <w:t>More developed</w:t>
            </w:r>
          </w:p>
        </w:tc>
        <w:tc>
          <w:tcPr>
            <w:tcW w:w="709" w:type="dxa"/>
          </w:tcPr>
          <w:p w14:paraId="46F09159" w14:textId="77777777" w:rsidR="00DD13BF" w:rsidRPr="00347461" w:rsidRDefault="00DD13BF" w:rsidP="00355A56">
            <w:pPr>
              <w:pStyle w:val="TableParagraph"/>
              <w:rPr>
                <w:sz w:val="20"/>
                <w:lang w:bidi="sl-SI"/>
              </w:rPr>
            </w:pPr>
            <w:r>
              <w:rPr>
                <w:sz w:val="20"/>
                <w:lang w:bidi="sl-SI"/>
              </w:rPr>
              <w:t>RCR25</w:t>
            </w:r>
          </w:p>
        </w:tc>
        <w:tc>
          <w:tcPr>
            <w:tcW w:w="2976" w:type="dxa"/>
          </w:tcPr>
          <w:p w14:paraId="1604EF02" w14:textId="77777777" w:rsidR="00DD13BF" w:rsidRPr="001F7573" w:rsidRDefault="00DD13BF" w:rsidP="00355A56">
            <w:pPr>
              <w:rPr>
                <w:sz w:val="20"/>
                <w:lang w:bidi="sl-SI"/>
              </w:rPr>
            </w:pPr>
            <w:r w:rsidRPr="001F7573">
              <w:rPr>
                <w:sz w:val="20"/>
              </w:rPr>
              <w:t>SMEs with higher value added per employee</w:t>
            </w:r>
          </w:p>
        </w:tc>
        <w:tc>
          <w:tcPr>
            <w:tcW w:w="993" w:type="dxa"/>
          </w:tcPr>
          <w:p w14:paraId="5651D3E0" w14:textId="77777777" w:rsidR="00DD13BF" w:rsidRDefault="00DD13BF" w:rsidP="00355A56">
            <w:pPr>
              <w:pStyle w:val="TableParagraph"/>
              <w:rPr>
                <w:sz w:val="20"/>
                <w:lang w:bidi="sl-SI"/>
              </w:rPr>
            </w:pPr>
            <w:r w:rsidRPr="00AA3F63">
              <w:rPr>
                <w:color w:val="000000"/>
                <w:sz w:val="20"/>
              </w:rPr>
              <w:t>enterprises</w:t>
            </w:r>
          </w:p>
        </w:tc>
        <w:tc>
          <w:tcPr>
            <w:tcW w:w="708" w:type="dxa"/>
          </w:tcPr>
          <w:p w14:paraId="1C3A2267" w14:textId="77777777" w:rsidR="00DD13BF" w:rsidRDefault="00DD13BF" w:rsidP="00355A56">
            <w:pPr>
              <w:pStyle w:val="TableParagraph"/>
              <w:rPr>
                <w:sz w:val="20"/>
              </w:rPr>
            </w:pPr>
            <w:r>
              <w:rPr>
                <w:sz w:val="20"/>
              </w:rPr>
              <w:t>0</w:t>
            </w:r>
          </w:p>
        </w:tc>
        <w:tc>
          <w:tcPr>
            <w:tcW w:w="851" w:type="dxa"/>
          </w:tcPr>
          <w:p w14:paraId="7D467DB7" w14:textId="77777777" w:rsidR="00DD13BF" w:rsidRDefault="00DD13BF" w:rsidP="00355A56">
            <w:pPr>
              <w:pStyle w:val="TableParagraph"/>
              <w:rPr>
                <w:sz w:val="20"/>
              </w:rPr>
            </w:pPr>
            <w:r>
              <w:rPr>
                <w:sz w:val="20"/>
              </w:rPr>
              <w:t>2022</w:t>
            </w:r>
          </w:p>
        </w:tc>
        <w:tc>
          <w:tcPr>
            <w:tcW w:w="1134" w:type="dxa"/>
          </w:tcPr>
          <w:p w14:paraId="1451CD72" w14:textId="77777777" w:rsidR="00DD13BF" w:rsidRDefault="00DD13BF" w:rsidP="00355A56">
            <w:pPr>
              <w:pStyle w:val="TableParagraph"/>
              <w:rPr>
                <w:sz w:val="20"/>
              </w:rPr>
            </w:pPr>
            <w:r>
              <w:rPr>
                <w:sz w:val="20"/>
              </w:rPr>
              <w:t>71</w:t>
            </w:r>
          </w:p>
        </w:tc>
        <w:tc>
          <w:tcPr>
            <w:tcW w:w="1134" w:type="dxa"/>
          </w:tcPr>
          <w:p w14:paraId="21433A8D" w14:textId="77777777" w:rsidR="00DD13BF" w:rsidRDefault="00DD13BF" w:rsidP="00355A56">
            <w:pPr>
              <w:pStyle w:val="TableParagraph"/>
              <w:rPr>
                <w:sz w:val="20"/>
              </w:rPr>
            </w:pPr>
            <w:r>
              <w:rPr>
                <w:sz w:val="20"/>
              </w:rPr>
              <w:t>IS eMA, implementing body,</w:t>
            </w:r>
            <w:r w:rsidRPr="004541EF">
              <w:rPr>
                <w:sz w:val="20"/>
              </w:rPr>
              <w:t xml:space="preserve"> MGRT, MGRT</w:t>
            </w:r>
          </w:p>
        </w:tc>
        <w:tc>
          <w:tcPr>
            <w:tcW w:w="708" w:type="dxa"/>
          </w:tcPr>
          <w:p w14:paraId="2B29E62D" w14:textId="77777777" w:rsidR="00DD13BF" w:rsidRPr="00347461" w:rsidRDefault="00DD13BF" w:rsidP="00355A56">
            <w:pPr>
              <w:pStyle w:val="TableParagraph"/>
              <w:rPr>
                <w:sz w:val="20"/>
              </w:rPr>
            </w:pPr>
          </w:p>
        </w:tc>
      </w:tr>
    </w:tbl>
    <w:p w14:paraId="43ACF12F" w14:textId="77777777" w:rsidR="00DD13BF" w:rsidRPr="00F81084" w:rsidRDefault="00DD13BF" w:rsidP="00DD13BF">
      <w:pPr>
        <w:pStyle w:val="Telobesedila"/>
      </w:pPr>
    </w:p>
    <w:p w14:paraId="5CAD63AD" w14:textId="77777777" w:rsidR="00DD13BF" w:rsidRPr="00EF171E" w:rsidRDefault="00DD13BF" w:rsidP="00DD13BF">
      <w:pPr>
        <w:pStyle w:val="Naslov5"/>
        <w:spacing w:before="0"/>
      </w:pPr>
      <w:r>
        <w:t>Indicative breakdown of the programme resources (EU) by type of intervention</w:t>
      </w:r>
    </w:p>
    <w:p w14:paraId="02D5D3B8" w14:textId="77777777" w:rsidR="00DD13BF" w:rsidRDefault="00DD13BF" w:rsidP="00DD13BF">
      <w:pPr>
        <w:ind w:left="640"/>
        <w:rPr>
          <w:spacing w:val="-5"/>
        </w:rPr>
      </w:pPr>
    </w:p>
    <w:p w14:paraId="6027F496" w14:textId="77777777" w:rsidR="00DD13BF" w:rsidRPr="007959C5" w:rsidRDefault="00DD13BF" w:rsidP="00DD13BF">
      <w:pPr>
        <w:ind w:left="339"/>
        <w:rPr>
          <w:spacing w:val="-7"/>
        </w:rPr>
      </w:pPr>
      <w:r>
        <w:rPr>
          <w:spacing w:val="-7"/>
        </w:rPr>
        <w:t>Table</w:t>
      </w:r>
      <w:r w:rsidRPr="007959C5">
        <w:rPr>
          <w:spacing w:val="-7"/>
        </w:rPr>
        <w:t xml:space="preserve"> 4: </w:t>
      </w:r>
      <w:r>
        <w:rPr>
          <w:spacing w:val="-7"/>
        </w:rPr>
        <w:t>Dimension</w:t>
      </w:r>
      <w:r w:rsidRPr="007959C5">
        <w:rPr>
          <w:spacing w:val="-7"/>
        </w:rPr>
        <w:t xml:space="preserve"> 1 – </w:t>
      </w:r>
      <w:r>
        <w:rPr>
          <w:spacing w:val="-7"/>
        </w:rPr>
        <w:t>intervention field</w:t>
      </w:r>
    </w:p>
    <w:p w14:paraId="77DF07EA"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2A8639A" w14:textId="77777777" w:rsidTr="00355A56">
        <w:trPr>
          <w:trHeight w:val="353"/>
        </w:trPr>
        <w:tc>
          <w:tcPr>
            <w:tcW w:w="2088" w:type="dxa"/>
          </w:tcPr>
          <w:p w14:paraId="423FA2A7" w14:textId="77777777" w:rsidR="00DD13BF" w:rsidRDefault="00DD13BF" w:rsidP="00355A56">
            <w:pPr>
              <w:pStyle w:val="TableParagraph"/>
              <w:ind w:left="115"/>
              <w:jc w:val="center"/>
            </w:pPr>
            <w:r>
              <w:rPr>
                <w:spacing w:val="-2"/>
              </w:rPr>
              <w:t>Priority No</w:t>
            </w:r>
          </w:p>
        </w:tc>
        <w:tc>
          <w:tcPr>
            <w:tcW w:w="1133" w:type="dxa"/>
          </w:tcPr>
          <w:p w14:paraId="1E4FCA3F" w14:textId="77777777" w:rsidR="00DD13BF" w:rsidRDefault="00DD13BF" w:rsidP="00355A56">
            <w:pPr>
              <w:pStyle w:val="TableParagraph"/>
              <w:ind w:left="320"/>
            </w:pPr>
            <w:r>
              <w:t>Fund</w:t>
            </w:r>
          </w:p>
        </w:tc>
        <w:tc>
          <w:tcPr>
            <w:tcW w:w="3249" w:type="dxa"/>
          </w:tcPr>
          <w:p w14:paraId="760E83BD" w14:textId="77777777" w:rsidR="00DD13BF" w:rsidRDefault="00DD13BF" w:rsidP="00355A56">
            <w:pPr>
              <w:pStyle w:val="TableParagraph"/>
              <w:ind w:left="907"/>
            </w:pPr>
            <w:r>
              <w:rPr>
                <w:spacing w:val="-3"/>
              </w:rPr>
              <w:t>Category of region</w:t>
            </w:r>
          </w:p>
        </w:tc>
        <w:tc>
          <w:tcPr>
            <w:tcW w:w="3099" w:type="dxa"/>
          </w:tcPr>
          <w:p w14:paraId="25E0D3FC" w14:textId="77777777" w:rsidR="00DD13BF" w:rsidRDefault="00DD13BF" w:rsidP="00355A56">
            <w:pPr>
              <w:pStyle w:val="TableParagraph"/>
              <w:ind w:left="948"/>
            </w:pPr>
            <w:r>
              <w:rPr>
                <w:spacing w:val="-4"/>
              </w:rPr>
              <w:t>Specific objective</w:t>
            </w:r>
          </w:p>
        </w:tc>
        <w:tc>
          <w:tcPr>
            <w:tcW w:w="1161" w:type="dxa"/>
          </w:tcPr>
          <w:p w14:paraId="3D313ACC" w14:textId="77777777" w:rsidR="00DD13BF" w:rsidRDefault="00DD13BF" w:rsidP="00355A56">
            <w:pPr>
              <w:pStyle w:val="TableParagraph"/>
              <w:ind w:left="333"/>
            </w:pPr>
            <w:r>
              <w:t xml:space="preserve">Code </w:t>
            </w:r>
          </w:p>
        </w:tc>
        <w:tc>
          <w:tcPr>
            <w:tcW w:w="2731" w:type="dxa"/>
          </w:tcPr>
          <w:p w14:paraId="24A96C31" w14:textId="77777777" w:rsidR="00DD13BF" w:rsidRDefault="00DD13BF" w:rsidP="00355A56">
            <w:pPr>
              <w:pStyle w:val="TableParagraph"/>
              <w:ind w:left="660"/>
            </w:pPr>
            <w:r>
              <w:t>Amount (in EUR)</w:t>
            </w:r>
          </w:p>
        </w:tc>
      </w:tr>
      <w:tr w:rsidR="00DD13BF" w14:paraId="2762442A" w14:textId="77777777" w:rsidTr="00355A56">
        <w:trPr>
          <w:trHeight w:val="353"/>
        </w:trPr>
        <w:tc>
          <w:tcPr>
            <w:tcW w:w="2088" w:type="dxa"/>
          </w:tcPr>
          <w:p w14:paraId="6101CF94" w14:textId="77777777" w:rsidR="00DD13BF" w:rsidRDefault="00DD13BF" w:rsidP="00355A56">
            <w:pPr>
              <w:pStyle w:val="TableParagraph"/>
              <w:rPr>
                <w:sz w:val="20"/>
              </w:rPr>
            </w:pPr>
            <w:r>
              <w:rPr>
                <w:sz w:val="20"/>
              </w:rPr>
              <w:t>1</w:t>
            </w:r>
          </w:p>
        </w:tc>
        <w:tc>
          <w:tcPr>
            <w:tcW w:w="1133" w:type="dxa"/>
          </w:tcPr>
          <w:p w14:paraId="1D85494B" w14:textId="77777777" w:rsidR="00DD13BF" w:rsidRDefault="00DD13BF" w:rsidP="00355A56">
            <w:pPr>
              <w:pStyle w:val="TableParagraph"/>
              <w:rPr>
                <w:sz w:val="20"/>
              </w:rPr>
            </w:pPr>
            <w:r>
              <w:rPr>
                <w:sz w:val="20"/>
              </w:rPr>
              <w:t>ERDF</w:t>
            </w:r>
          </w:p>
        </w:tc>
        <w:tc>
          <w:tcPr>
            <w:tcW w:w="3249" w:type="dxa"/>
          </w:tcPr>
          <w:p w14:paraId="1D5984A3" w14:textId="77777777" w:rsidR="00DD13BF" w:rsidRDefault="00DD13BF" w:rsidP="00355A56">
            <w:pPr>
              <w:pStyle w:val="TableParagraph"/>
              <w:rPr>
                <w:sz w:val="20"/>
              </w:rPr>
            </w:pPr>
            <w:r>
              <w:rPr>
                <w:sz w:val="20"/>
              </w:rPr>
              <w:t>Less developed</w:t>
            </w:r>
          </w:p>
        </w:tc>
        <w:tc>
          <w:tcPr>
            <w:tcW w:w="3099" w:type="dxa"/>
          </w:tcPr>
          <w:p w14:paraId="0E421225" w14:textId="77777777" w:rsidR="00DD13BF" w:rsidRDefault="00DD13BF" w:rsidP="00355A56">
            <w:pPr>
              <w:pStyle w:val="TableParagraph"/>
              <w:rPr>
                <w:sz w:val="20"/>
              </w:rPr>
            </w:pPr>
            <w:r w:rsidRPr="000D6F78">
              <w:rPr>
                <w:color w:val="000000"/>
                <w:sz w:val="20"/>
              </w:rPr>
              <w:t>RSO1.3</w:t>
            </w:r>
          </w:p>
        </w:tc>
        <w:tc>
          <w:tcPr>
            <w:tcW w:w="1161" w:type="dxa"/>
          </w:tcPr>
          <w:p w14:paraId="17BEE05F" w14:textId="77777777" w:rsidR="00DD13BF" w:rsidRDefault="00DD13BF" w:rsidP="00355A56">
            <w:pPr>
              <w:pStyle w:val="TableParagraph"/>
              <w:rPr>
                <w:sz w:val="20"/>
              </w:rPr>
            </w:pPr>
            <w:r>
              <w:rPr>
                <w:sz w:val="20"/>
              </w:rPr>
              <w:t>013</w:t>
            </w:r>
          </w:p>
        </w:tc>
        <w:tc>
          <w:tcPr>
            <w:tcW w:w="2731" w:type="dxa"/>
          </w:tcPr>
          <w:p w14:paraId="10B26891" w14:textId="77777777" w:rsidR="00DD13BF" w:rsidRDefault="00DD13BF" w:rsidP="00355A56">
            <w:pPr>
              <w:pStyle w:val="TableParagraph"/>
              <w:rPr>
                <w:sz w:val="20"/>
              </w:rPr>
            </w:pPr>
            <w:r>
              <w:rPr>
                <w:sz w:val="20"/>
              </w:rPr>
              <w:t>3,300,000</w:t>
            </w:r>
          </w:p>
        </w:tc>
      </w:tr>
      <w:tr w:rsidR="00DD13BF" w14:paraId="0DF4486E" w14:textId="77777777" w:rsidTr="00355A56">
        <w:trPr>
          <w:trHeight w:val="353"/>
        </w:trPr>
        <w:tc>
          <w:tcPr>
            <w:tcW w:w="2088" w:type="dxa"/>
          </w:tcPr>
          <w:p w14:paraId="7FDDCFA7" w14:textId="77777777" w:rsidR="00DD13BF" w:rsidRDefault="00DD13BF" w:rsidP="00355A56">
            <w:pPr>
              <w:pStyle w:val="TableParagraph"/>
              <w:rPr>
                <w:sz w:val="20"/>
              </w:rPr>
            </w:pPr>
            <w:r>
              <w:rPr>
                <w:sz w:val="20"/>
              </w:rPr>
              <w:t>1</w:t>
            </w:r>
          </w:p>
        </w:tc>
        <w:tc>
          <w:tcPr>
            <w:tcW w:w="1133" w:type="dxa"/>
          </w:tcPr>
          <w:p w14:paraId="7B74360C" w14:textId="77777777" w:rsidR="00DD13BF" w:rsidRDefault="00DD13BF" w:rsidP="00355A56">
            <w:pPr>
              <w:pStyle w:val="TableParagraph"/>
              <w:rPr>
                <w:sz w:val="20"/>
              </w:rPr>
            </w:pPr>
            <w:r w:rsidRPr="00CF3FD1">
              <w:rPr>
                <w:sz w:val="20"/>
              </w:rPr>
              <w:t>ERDF</w:t>
            </w:r>
          </w:p>
        </w:tc>
        <w:tc>
          <w:tcPr>
            <w:tcW w:w="3249" w:type="dxa"/>
          </w:tcPr>
          <w:p w14:paraId="344A5848" w14:textId="77777777" w:rsidR="00DD13BF" w:rsidRDefault="00DD13BF" w:rsidP="00355A56">
            <w:pPr>
              <w:pStyle w:val="TableParagraph"/>
              <w:rPr>
                <w:sz w:val="20"/>
              </w:rPr>
            </w:pPr>
            <w:r>
              <w:rPr>
                <w:sz w:val="20"/>
              </w:rPr>
              <w:t>More developed</w:t>
            </w:r>
          </w:p>
        </w:tc>
        <w:tc>
          <w:tcPr>
            <w:tcW w:w="3099" w:type="dxa"/>
          </w:tcPr>
          <w:p w14:paraId="2329879E" w14:textId="77777777" w:rsidR="00DD13BF" w:rsidRPr="000D6F78" w:rsidRDefault="00DD13BF" w:rsidP="00355A56">
            <w:pPr>
              <w:pStyle w:val="TableParagraph"/>
              <w:rPr>
                <w:color w:val="000000"/>
                <w:sz w:val="20"/>
              </w:rPr>
            </w:pPr>
            <w:r w:rsidRPr="000D6F78">
              <w:rPr>
                <w:color w:val="000000"/>
                <w:sz w:val="20"/>
              </w:rPr>
              <w:t>RSO1.3</w:t>
            </w:r>
          </w:p>
        </w:tc>
        <w:tc>
          <w:tcPr>
            <w:tcW w:w="1161" w:type="dxa"/>
          </w:tcPr>
          <w:p w14:paraId="0B447A7D" w14:textId="77777777" w:rsidR="00DD13BF" w:rsidRDefault="00DD13BF" w:rsidP="00355A56">
            <w:pPr>
              <w:pStyle w:val="TableParagraph"/>
              <w:rPr>
                <w:sz w:val="20"/>
              </w:rPr>
            </w:pPr>
            <w:r>
              <w:rPr>
                <w:sz w:val="20"/>
              </w:rPr>
              <w:t>013</w:t>
            </w:r>
          </w:p>
        </w:tc>
        <w:tc>
          <w:tcPr>
            <w:tcW w:w="2731" w:type="dxa"/>
          </w:tcPr>
          <w:p w14:paraId="5D1BC8D4" w14:textId="77777777" w:rsidR="00DD13BF" w:rsidRDefault="00DD13BF" w:rsidP="00355A56">
            <w:pPr>
              <w:pStyle w:val="TableParagraph"/>
              <w:rPr>
                <w:sz w:val="20"/>
              </w:rPr>
            </w:pPr>
            <w:r>
              <w:rPr>
                <w:sz w:val="20"/>
              </w:rPr>
              <w:t>1,700,</w:t>
            </w:r>
            <w:r w:rsidRPr="0041144A">
              <w:rPr>
                <w:sz w:val="20"/>
              </w:rPr>
              <w:t>000</w:t>
            </w:r>
          </w:p>
        </w:tc>
      </w:tr>
      <w:tr w:rsidR="00DD13BF" w14:paraId="16E2707F" w14:textId="77777777" w:rsidTr="00355A56">
        <w:trPr>
          <w:trHeight w:val="353"/>
        </w:trPr>
        <w:tc>
          <w:tcPr>
            <w:tcW w:w="2088" w:type="dxa"/>
          </w:tcPr>
          <w:p w14:paraId="6F8B6E83" w14:textId="77777777" w:rsidR="00DD13BF" w:rsidRDefault="00DD13BF" w:rsidP="00355A56">
            <w:pPr>
              <w:pStyle w:val="TableParagraph"/>
              <w:rPr>
                <w:sz w:val="20"/>
              </w:rPr>
            </w:pPr>
            <w:r>
              <w:rPr>
                <w:sz w:val="20"/>
              </w:rPr>
              <w:lastRenderedPageBreak/>
              <w:t>1</w:t>
            </w:r>
          </w:p>
        </w:tc>
        <w:tc>
          <w:tcPr>
            <w:tcW w:w="1133" w:type="dxa"/>
          </w:tcPr>
          <w:p w14:paraId="531B8D87" w14:textId="77777777" w:rsidR="00DD13BF" w:rsidRDefault="00DD13BF" w:rsidP="00355A56">
            <w:pPr>
              <w:pStyle w:val="TableParagraph"/>
              <w:rPr>
                <w:sz w:val="20"/>
              </w:rPr>
            </w:pPr>
            <w:r w:rsidRPr="00CF3FD1">
              <w:rPr>
                <w:sz w:val="20"/>
              </w:rPr>
              <w:t>ERDF</w:t>
            </w:r>
          </w:p>
        </w:tc>
        <w:tc>
          <w:tcPr>
            <w:tcW w:w="3249" w:type="dxa"/>
          </w:tcPr>
          <w:p w14:paraId="63114A49" w14:textId="77777777" w:rsidR="00DD13BF" w:rsidRDefault="00DD13BF" w:rsidP="00355A56">
            <w:pPr>
              <w:pStyle w:val="TableParagraph"/>
              <w:rPr>
                <w:sz w:val="20"/>
              </w:rPr>
            </w:pPr>
            <w:r>
              <w:rPr>
                <w:sz w:val="20"/>
              </w:rPr>
              <w:t>Less developed</w:t>
            </w:r>
          </w:p>
        </w:tc>
        <w:tc>
          <w:tcPr>
            <w:tcW w:w="3099" w:type="dxa"/>
          </w:tcPr>
          <w:p w14:paraId="295BAEFC" w14:textId="77777777" w:rsidR="00DD13BF" w:rsidRPr="000D6F78" w:rsidRDefault="00DD13BF" w:rsidP="00355A56">
            <w:pPr>
              <w:pStyle w:val="TableParagraph"/>
              <w:rPr>
                <w:color w:val="000000"/>
                <w:sz w:val="20"/>
              </w:rPr>
            </w:pPr>
            <w:r w:rsidRPr="000D6F78">
              <w:rPr>
                <w:color w:val="000000"/>
                <w:sz w:val="20"/>
              </w:rPr>
              <w:t>RSO1.3</w:t>
            </w:r>
          </w:p>
        </w:tc>
        <w:tc>
          <w:tcPr>
            <w:tcW w:w="1161" w:type="dxa"/>
          </w:tcPr>
          <w:p w14:paraId="3D54B291" w14:textId="77777777" w:rsidR="00DD13BF" w:rsidRDefault="00DD13BF" w:rsidP="00355A56">
            <w:pPr>
              <w:pStyle w:val="TableParagraph"/>
              <w:rPr>
                <w:sz w:val="20"/>
              </w:rPr>
            </w:pPr>
            <w:r>
              <w:rPr>
                <w:sz w:val="20"/>
              </w:rPr>
              <w:t>021</w:t>
            </w:r>
          </w:p>
        </w:tc>
        <w:tc>
          <w:tcPr>
            <w:tcW w:w="2731" w:type="dxa"/>
          </w:tcPr>
          <w:p w14:paraId="75534747" w14:textId="77777777" w:rsidR="00DD13BF" w:rsidRDefault="00DD13BF" w:rsidP="00355A56">
            <w:pPr>
              <w:pStyle w:val="TableParagraph"/>
              <w:rPr>
                <w:sz w:val="20"/>
              </w:rPr>
            </w:pPr>
            <w:r>
              <w:rPr>
                <w:sz w:val="20"/>
              </w:rPr>
              <w:t>64,008,</w:t>
            </w:r>
            <w:r w:rsidRPr="0041144A">
              <w:rPr>
                <w:sz w:val="20"/>
              </w:rPr>
              <w:t>953</w:t>
            </w:r>
          </w:p>
        </w:tc>
      </w:tr>
      <w:tr w:rsidR="00DD13BF" w14:paraId="49923BF1" w14:textId="77777777" w:rsidTr="00355A56">
        <w:trPr>
          <w:trHeight w:val="353"/>
        </w:trPr>
        <w:tc>
          <w:tcPr>
            <w:tcW w:w="2088" w:type="dxa"/>
          </w:tcPr>
          <w:p w14:paraId="08027BCD" w14:textId="77777777" w:rsidR="00DD13BF" w:rsidRDefault="00DD13BF" w:rsidP="00355A56">
            <w:pPr>
              <w:pStyle w:val="TableParagraph"/>
              <w:rPr>
                <w:sz w:val="20"/>
              </w:rPr>
            </w:pPr>
            <w:r>
              <w:rPr>
                <w:sz w:val="20"/>
              </w:rPr>
              <w:t>1</w:t>
            </w:r>
          </w:p>
        </w:tc>
        <w:tc>
          <w:tcPr>
            <w:tcW w:w="1133" w:type="dxa"/>
          </w:tcPr>
          <w:p w14:paraId="62541BC5" w14:textId="77777777" w:rsidR="00DD13BF" w:rsidRDefault="00DD13BF" w:rsidP="00355A56">
            <w:pPr>
              <w:pStyle w:val="TableParagraph"/>
              <w:rPr>
                <w:sz w:val="20"/>
              </w:rPr>
            </w:pPr>
            <w:r w:rsidRPr="00C5558C">
              <w:rPr>
                <w:sz w:val="20"/>
              </w:rPr>
              <w:t>ERDF</w:t>
            </w:r>
          </w:p>
        </w:tc>
        <w:tc>
          <w:tcPr>
            <w:tcW w:w="3249" w:type="dxa"/>
          </w:tcPr>
          <w:p w14:paraId="4FBA4C87" w14:textId="77777777" w:rsidR="00DD13BF" w:rsidRDefault="00DD13BF" w:rsidP="00355A56">
            <w:pPr>
              <w:pStyle w:val="TableParagraph"/>
              <w:rPr>
                <w:sz w:val="20"/>
              </w:rPr>
            </w:pPr>
            <w:r>
              <w:rPr>
                <w:sz w:val="20"/>
              </w:rPr>
              <w:t>More developed</w:t>
            </w:r>
          </w:p>
        </w:tc>
        <w:tc>
          <w:tcPr>
            <w:tcW w:w="3099" w:type="dxa"/>
          </w:tcPr>
          <w:p w14:paraId="3916A977" w14:textId="77777777" w:rsidR="00DD13BF" w:rsidRDefault="00DD13BF" w:rsidP="00355A56">
            <w:pPr>
              <w:pStyle w:val="TableParagraph"/>
              <w:rPr>
                <w:sz w:val="20"/>
              </w:rPr>
            </w:pPr>
            <w:r w:rsidRPr="000D6F78">
              <w:rPr>
                <w:color w:val="000000"/>
                <w:sz w:val="20"/>
              </w:rPr>
              <w:t>RSO1.3</w:t>
            </w:r>
          </w:p>
        </w:tc>
        <w:tc>
          <w:tcPr>
            <w:tcW w:w="1161" w:type="dxa"/>
          </w:tcPr>
          <w:p w14:paraId="35700C94" w14:textId="77777777" w:rsidR="00DD13BF" w:rsidRDefault="00DD13BF" w:rsidP="00355A56">
            <w:pPr>
              <w:pStyle w:val="TableParagraph"/>
              <w:rPr>
                <w:sz w:val="20"/>
              </w:rPr>
            </w:pPr>
            <w:r>
              <w:rPr>
                <w:sz w:val="20"/>
              </w:rPr>
              <w:t>021</w:t>
            </w:r>
          </w:p>
        </w:tc>
        <w:tc>
          <w:tcPr>
            <w:tcW w:w="2731" w:type="dxa"/>
          </w:tcPr>
          <w:p w14:paraId="269F5525" w14:textId="77777777" w:rsidR="00DD13BF" w:rsidRDefault="00DD13BF" w:rsidP="00355A56">
            <w:pPr>
              <w:pStyle w:val="TableParagraph"/>
              <w:rPr>
                <w:sz w:val="20"/>
              </w:rPr>
            </w:pPr>
            <w:r>
              <w:rPr>
                <w:sz w:val="20"/>
              </w:rPr>
              <w:t>37,906,</w:t>
            </w:r>
            <w:r w:rsidRPr="0041144A">
              <w:rPr>
                <w:sz w:val="20"/>
              </w:rPr>
              <w:t>872</w:t>
            </w:r>
          </w:p>
        </w:tc>
      </w:tr>
      <w:tr w:rsidR="00DD13BF" w14:paraId="42C59268" w14:textId="77777777" w:rsidTr="00355A56">
        <w:trPr>
          <w:trHeight w:val="353"/>
        </w:trPr>
        <w:tc>
          <w:tcPr>
            <w:tcW w:w="2088" w:type="dxa"/>
          </w:tcPr>
          <w:p w14:paraId="0A125BAE" w14:textId="77777777" w:rsidR="00DD13BF" w:rsidRDefault="00DD13BF" w:rsidP="00355A56">
            <w:pPr>
              <w:pStyle w:val="TableParagraph"/>
              <w:rPr>
                <w:sz w:val="20"/>
              </w:rPr>
            </w:pPr>
            <w:r>
              <w:rPr>
                <w:sz w:val="20"/>
              </w:rPr>
              <w:t>1</w:t>
            </w:r>
          </w:p>
        </w:tc>
        <w:tc>
          <w:tcPr>
            <w:tcW w:w="1133" w:type="dxa"/>
          </w:tcPr>
          <w:p w14:paraId="7D53CE7D" w14:textId="77777777" w:rsidR="00DD13BF" w:rsidRDefault="00DD13BF" w:rsidP="00355A56">
            <w:pPr>
              <w:pStyle w:val="TableParagraph"/>
              <w:rPr>
                <w:sz w:val="20"/>
              </w:rPr>
            </w:pPr>
            <w:r w:rsidRPr="00C5558C">
              <w:rPr>
                <w:sz w:val="20"/>
              </w:rPr>
              <w:t>ERDF</w:t>
            </w:r>
          </w:p>
        </w:tc>
        <w:tc>
          <w:tcPr>
            <w:tcW w:w="3249" w:type="dxa"/>
          </w:tcPr>
          <w:p w14:paraId="13259F07" w14:textId="77777777" w:rsidR="00DD13BF" w:rsidRDefault="00DD13BF" w:rsidP="00355A56">
            <w:pPr>
              <w:pStyle w:val="TableParagraph"/>
              <w:rPr>
                <w:sz w:val="20"/>
              </w:rPr>
            </w:pPr>
            <w:r>
              <w:rPr>
                <w:sz w:val="20"/>
              </w:rPr>
              <w:t>Less developed</w:t>
            </w:r>
          </w:p>
        </w:tc>
        <w:tc>
          <w:tcPr>
            <w:tcW w:w="3099" w:type="dxa"/>
          </w:tcPr>
          <w:p w14:paraId="25528EB6" w14:textId="77777777" w:rsidR="00DD13BF" w:rsidRDefault="00DD13BF" w:rsidP="00355A56">
            <w:pPr>
              <w:pStyle w:val="TableParagraph"/>
              <w:rPr>
                <w:sz w:val="20"/>
              </w:rPr>
            </w:pPr>
            <w:r w:rsidRPr="00C562C9">
              <w:rPr>
                <w:color w:val="000000"/>
                <w:sz w:val="20"/>
              </w:rPr>
              <w:t>RSO1.3</w:t>
            </w:r>
          </w:p>
        </w:tc>
        <w:tc>
          <w:tcPr>
            <w:tcW w:w="1161" w:type="dxa"/>
          </w:tcPr>
          <w:p w14:paraId="6B399450" w14:textId="77777777" w:rsidR="00DD13BF" w:rsidRDefault="00DD13BF" w:rsidP="00355A56">
            <w:pPr>
              <w:pStyle w:val="TableParagraph"/>
              <w:rPr>
                <w:sz w:val="20"/>
              </w:rPr>
            </w:pPr>
            <w:r>
              <w:rPr>
                <w:sz w:val="20"/>
              </w:rPr>
              <w:t>023</w:t>
            </w:r>
          </w:p>
        </w:tc>
        <w:tc>
          <w:tcPr>
            <w:tcW w:w="2731" w:type="dxa"/>
          </w:tcPr>
          <w:p w14:paraId="1AFBA3BF" w14:textId="77777777" w:rsidR="00DD13BF" w:rsidRDefault="00DD13BF" w:rsidP="00355A56">
            <w:pPr>
              <w:pStyle w:val="TableParagraph"/>
              <w:rPr>
                <w:sz w:val="20"/>
              </w:rPr>
            </w:pPr>
            <w:r>
              <w:rPr>
                <w:sz w:val="20"/>
              </w:rPr>
              <w:t>10,470,000</w:t>
            </w:r>
          </w:p>
        </w:tc>
      </w:tr>
      <w:tr w:rsidR="00DD13BF" w14:paraId="7873FA87" w14:textId="77777777" w:rsidTr="00355A56">
        <w:trPr>
          <w:trHeight w:val="353"/>
        </w:trPr>
        <w:tc>
          <w:tcPr>
            <w:tcW w:w="2088" w:type="dxa"/>
          </w:tcPr>
          <w:p w14:paraId="308E6637" w14:textId="77777777" w:rsidR="00DD13BF" w:rsidRDefault="00DD13BF" w:rsidP="00355A56">
            <w:pPr>
              <w:pStyle w:val="TableParagraph"/>
              <w:rPr>
                <w:sz w:val="20"/>
              </w:rPr>
            </w:pPr>
            <w:r>
              <w:rPr>
                <w:sz w:val="20"/>
              </w:rPr>
              <w:t>1</w:t>
            </w:r>
          </w:p>
        </w:tc>
        <w:tc>
          <w:tcPr>
            <w:tcW w:w="1133" w:type="dxa"/>
          </w:tcPr>
          <w:p w14:paraId="61F41BED" w14:textId="77777777" w:rsidR="00DD13BF" w:rsidRDefault="00DD13BF" w:rsidP="00355A56">
            <w:pPr>
              <w:pStyle w:val="TableParagraph"/>
              <w:rPr>
                <w:sz w:val="20"/>
              </w:rPr>
            </w:pPr>
            <w:r w:rsidRPr="00C5558C">
              <w:rPr>
                <w:sz w:val="20"/>
              </w:rPr>
              <w:t>ERDF</w:t>
            </w:r>
          </w:p>
        </w:tc>
        <w:tc>
          <w:tcPr>
            <w:tcW w:w="3249" w:type="dxa"/>
          </w:tcPr>
          <w:p w14:paraId="6CE04C08" w14:textId="77777777" w:rsidR="00DD13BF" w:rsidRDefault="00DD13BF" w:rsidP="00355A56">
            <w:pPr>
              <w:pStyle w:val="TableParagraph"/>
              <w:rPr>
                <w:sz w:val="20"/>
              </w:rPr>
            </w:pPr>
            <w:r>
              <w:rPr>
                <w:sz w:val="20"/>
              </w:rPr>
              <w:t>More developed</w:t>
            </w:r>
          </w:p>
        </w:tc>
        <w:tc>
          <w:tcPr>
            <w:tcW w:w="3099" w:type="dxa"/>
          </w:tcPr>
          <w:p w14:paraId="73D1AF30" w14:textId="77777777" w:rsidR="00DD13BF" w:rsidRDefault="00DD13BF" w:rsidP="00355A56">
            <w:pPr>
              <w:pStyle w:val="TableParagraph"/>
              <w:rPr>
                <w:sz w:val="20"/>
              </w:rPr>
            </w:pPr>
            <w:r w:rsidRPr="00C562C9">
              <w:rPr>
                <w:color w:val="000000"/>
                <w:sz w:val="20"/>
              </w:rPr>
              <w:t>RSO1.3</w:t>
            </w:r>
          </w:p>
        </w:tc>
        <w:tc>
          <w:tcPr>
            <w:tcW w:w="1161" w:type="dxa"/>
          </w:tcPr>
          <w:p w14:paraId="4E3AAE03" w14:textId="77777777" w:rsidR="00DD13BF" w:rsidRDefault="00DD13BF" w:rsidP="00355A56">
            <w:pPr>
              <w:pStyle w:val="TableParagraph"/>
              <w:rPr>
                <w:sz w:val="20"/>
              </w:rPr>
            </w:pPr>
            <w:r>
              <w:rPr>
                <w:sz w:val="20"/>
              </w:rPr>
              <w:t>023</w:t>
            </w:r>
          </w:p>
        </w:tc>
        <w:tc>
          <w:tcPr>
            <w:tcW w:w="2731" w:type="dxa"/>
          </w:tcPr>
          <w:p w14:paraId="3C328062" w14:textId="77777777" w:rsidR="00DD13BF" w:rsidRDefault="00DD13BF" w:rsidP="00355A56">
            <w:pPr>
              <w:pStyle w:val="TableParagraph"/>
              <w:rPr>
                <w:sz w:val="20"/>
              </w:rPr>
            </w:pPr>
            <w:r>
              <w:rPr>
                <w:sz w:val="20"/>
              </w:rPr>
              <w:t>2,460,000</w:t>
            </w:r>
          </w:p>
        </w:tc>
      </w:tr>
      <w:tr w:rsidR="00DD13BF" w14:paraId="4B15A9F5" w14:textId="77777777" w:rsidTr="00355A56">
        <w:trPr>
          <w:trHeight w:val="353"/>
        </w:trPr>
        <w:tc>
          <w:tcPr>
            <w:tcW w:w="2088" w:type="dxa"/>
          </w:tcPr>
          <w:p w14:paraId="145EFF76" w14:textId="77777777" w:rsidR="00DD13BF" w:rsidRDefault="00DD13BF" w:rsidP="00355A56">
            <w:pPr>
              <w:pStyle w:val="TableParagraph"/>
              <w:rPr>
                <w:sz w:val="20"/>
              </w:rPr>
            </w:pPr>
            <w:r>
              <w:rPr>
                <w:sz w:val="20"/>
              </w:rPr>
              <w:t>1</w:t>
            </w:r>
          </w:p>
        </w:tc>
        <w:tc>
          <w:tcPr>
            <w:tcW w:w="1133" w:type="dxa"/>
          </w:tcPr>
          <w:p w14:paraId="1B7B136F" w14:textId="77777777" w:rsidR="00DD13BF" w:rsidRDefault="00DD13BF" w:rsidP="00355A56">
            <w:pPr>
              <w:pStyle w:val="TableParagraph"/>
              <w:rPr>
                <w:sz w:val="20"/>
              </w:rPr>
            </w:pPr>
            <w:r w:rsidRPr="00C5558C">
              <w:rPr>
                <w:sz w:val="20"/>
              </w:rPr>
              <w:t>ERDF</w:t>
            </w:r>
          </w:p>
        </w:tc>
        <w:tc>
          <w:tcPr>
            <w:tcW w:w="3249" w:type="dxa"/>
          </w:tcPr>
          <w:p w14:paraId="5BA53A53" w14:textId="77777777" w:rsidR="00DD13BF" w:rsidRDefault="00DD13BF" w:rsidP="00355A56">
            <w:pPr>
              <w:pStyle w:val="TableParagraph"/>
              <w:rPr>
                <w:sz w:val="20"/>
              </w:rPr>
            </w:pPr>
            <w:r>
              <w:rPr>
                <w:sz w:val="20"/>
              </w:rPr>
              <w:t>Less developed</w:t>
            </w:r>
          </w:p>
        </w:tc>
        <w:tc>
          <w:tcPr>
            <w:tcW w:w="3099" w:type="dxa"/>
          </w:tcPr>
          <w:p w14:paraId="6CBB7A69" w14:textId="77777777" w:rsidR="00DD13BF" w:rsidRDefault="00DD13BF" w:rsidP="00355A56">
            <w:pPr>
              <w:pStyle w:val="TableParagraph"/>
              <w:rPr>
                <w:sz w:val="20"/>
              </w:rPr>
            </w:pPr>
            <w:r w:rsidRPr="00C562C9">
              <w:rPr>
                <w:color w:val="000000"/>
                <w:sz w:val="20"/>
              </w:rPr>
              <w:t>RSO1.3</w:t>
            </w:r>
          </w:p>
        </w:tc>
        <w:tc>
          <w:tcPr>
            <w:tcW w:w="1161" w:type="dxa"/>
          </w:tcPr>
          <w:p w14:paraId="6F53FC70" w14:textId="77777777" w:rsidR="00DD13BF" w:rsidRDefault="00DD13BF" w:rsidP="00355A56">
            <w:pPr>
              <w:pStyle w:val="TableParagraph"/>
              <w:rPr>
                <w:sz w:val="20"/>
              </w:rPr>
            </w:pPr>
            <w:r>
              <w:rPr>
                <w:sz w:val="20"/>
              </w:rPr>
              <w:t>024</w:t>
            </w:r>
          </w:p>
        </w:tc>
        <w:tc>
          <w:tcPr>
            <w:tcW w:w="2731" w:type="dxa"/>
          </w:tcPr>
          <w:p w14:paraId="04083CEB" w14:textId="77777777" w:rsidR="00DD13BF" w:rsidRDefault="00DD13BF" w:rsidP="00355A56">
            <w:pPr>
              <w:pStyle w:val="TableParagraph"/>
              <w:rPr>
                <w:sz w:val="20"/>
              </w:rPr>
            </w:pPr>
            <w:r>
              <w:rPr>
                <w:sz w:val="20"/>
              </w:rPr>
              <w:t>22,484,400</w:t>
            </w:r>
          </w:p>
        </w:tc>
      </w:tr>
      <w:tr w:rsidR="00DD13BF" w14:paraId="63635F52" w14:textId="77777777" w:rsidTr="00355A56">
        <w:trPr>
          <w:trHeight w:val="353"/>
        </w:trPr>
        <w:tc>
          <w:tcPr>
            <w:tcW w:w="2088" w:type="dxa"/>
          </w:tcPr>
          <w:p w14:paraId="19260AC0" w14:textId="77777777" w:rsidR="00DD13BF" w:rsidRDefault="00DD13BF" w:rsidP="00355A56">
            <w:pPr>
              <w:pStyle w:val="TableParagraph"/>
              <w:rPr>
                <w:sz w:val="20"/>
              </w:rPr>
            </w:pPr>
            <w:r>
              <w:rPr>
                <w:sz w:val="20"/>
              </w:rPr>
              <w:t>1</w:t>
            </w:r>
          </w:p>
        </w:tc>
        <w:tc>
          <w:tcPr>
            <w:tcW w:w="1133" w:type="dxa"/>
          </w:tcPr>
          <w:p w14:paraId="63772D0F" w14:textId="77777777" w:rsidR="00DD13BF" w:rsidRDefault="00DD13BF" w:rsidP="00355A56">
            <w:pPr>
              <w:pStyle w:val="TableParagraph"/>
              <w:rPr>
                <w:sz w:val="20"/>
              </w:rPr>
            </w:pPr>
            <w:r w:rsidRPr="0001454F">
              <w:rPr>
                <w:sz w:val="20"/>
              </w:rPr>
              <w:t>ERDF</w:t>
            </w:r>
          </w:p>
        </w:tc>
        <w:tc>
          <w:tcPr>
            <w:tcW w:w="3249" w:type="dxa"/>
          </w:tcPr>
          <w:p w14:paraId="6E0872F6" w14:textId="77777777" w:rsidR="00DD13BF" w:rsidRDefault="00DD13BF" w:rsidP="00355A56">
            <w:pPr>
              <w:pStyle w:val="TableParagraph"/>
              <w:rPr>
                <w:sz w:val="20"/>
              </w:rPr>
            </w:pPr>
            <w:r>
              <w:rPr>
                <w:sz w:val="20"/>
              </w:rPr>
              <w:t>More developed</w:t>
            </w:r>
          </w:p>
        </w:tc>
        <w:tc>
          <w:tcPr>
            <w:tcW w:w="3099" w:type="dxa"/>
          </w:tcPr>
          <w:p w14:paraId="552F3164" w14:textId="77777777" w:rsidR="00DD13BF" w:rsidRDefault="00DD13BF" w:rsidP="00355A56">
            <w:pPr>
              <w:pStyle w:val="TableParagraph"/>
              <w:rPr>
                <w:sz w:val="20"/>
              </w:rPr>
            </w:pPr>
            <w:r w:rsidRPr="00C562C9">
              <w:rPr>
                <w:color w:val="000000"/>
                <w:sz w:val="20"/>
              </w:rPr>
              <w:t>RSO1.3</w:t>
            </w:r>
          </w:p>
        </w:tc>
        <w:tc>
          <w:tcPr>
            <w:tcW w:w="1161" w:type="dxa"/>
          </w:tcPr>
          <w:p w14:paraId="0E86A412" w14:textId="77777777" w:rsidR="00DD13BF" w:rsidRDefault="00DD13BF" w:rsidP="00355A56">
            <w:pPr>
              <w:pStyle w:val="TableParagraph"/>
              <w:rPr>
                <w:sz w:val="20"/>
              </w:rPr>
            </w:pPr>
            <w:r>
              <w:rPr>
                <w:sz w:val="20"/>
              </w:rPr>
              <w:t>024</w:t>
            </w:r>
          </w:p>
        </w:tc>
        <w:tc>
          <w:tcPr>
            <w:tcW w:w="2731" w:type="dxa"/>
          </w:tcPr>
          <w:p w14:paraId="5E50F8BD" w14:textId="77777777" w:rsidR="00DD13BF" w:rsidRDefault="00DD13BF" w:rsidP="00355A56">
            <w:pPr>
              <w:pStyle w:val="TableParagraph"/>
              <w:rPr>
                <w:sz w:val="20"/>
              </w:rPr>
            </w:pPr>
            <w:r>
              <w:rPr>
                <w:sz w:val="20"/>
              </w:rPr>
              <w:t>8,852,600</w:t>
            </w:r>
          </w:p>
        </w:tc>
      </w:tr>
      <w:tr w:rsidR="00DD13BF" w14:paraId="651145F3" w14:textId="77777777" w:rsidTr="00355A56">
        <w:trPr>
          <w:trHeight w:val="353"/>
        </w:trPr>
        <w:tc>
          <w:tcPr>
            <w:tcW w:w="2088" w:type="dxa"/>
          </w:tcPr>
          <w:p w14:paraId="764CC5DF" w14:textId="77777777" w:rsidR="00DD13BF" w:rsidRDefault="00DD13BF" w:rsidP="00355A56">
            <w:pPr>
              <w:pStyle w:val="TableParagraph"/>
              <w:rPr>
                <w:sz w:val="20"/>
              </w:rPr>
            </w:pPr>
            <w:r>
              <w:rPr>
                <w:sz w:val="20"/>
              </w:rPr>
              <w:t>1</w:t>
            </w:r>
          </w:p>
        </w:tc>
        <w:tc>
          <w:tcPr>
            <w:tcW w:w="1133" w:type="dxa"/>
          </w:tcPr>
          <w:p w14:paraId="7A4FEA3A" w14:textId="77777777" w:rsidR="00DD13BF" w:rsidRDefault="00DD13BF" w:rsidP="00355A56">
            <w:pPr>
              <w:pStyle w:val="TableParagraph"/>
              <w:rPr>
                <w:sz w:val="20"/>
              </w:rPr>
            </w:pPr>
            <w:r w:rsidRPr="0001454F">
              <w:rPr>
                <w:sz w:val="20"/>
              </w:rPr>
              <w:t>ERDF</w:t>
            </w:r>
          </w:p>
        </w:tc>
        <w:tc>
          <w:tcPr>
            <w:tcW w:w="3249" w:type="dxa"/>
          </w:tcPr>
          <w:p w14:paraId="66D9BAC3" w14:textId="77777777" w:rsidR="00DD13BF" w:rsidRDefault="00DD13BF" w:rsidP="00355A56">
            <w:pPr>
              <w:pStyle w:val="TableParagraph"/>
              <w:rPr>
                <w:sz w:val="20"/>
              </w:rPr>
            </w:pPr>
            <w:r>
              <w:rPr>
                <w:sz w:val="20"/>
              </w:rPr>
              <w:t>Less developed</w:t>
            </w:r>
          </w:p>
        </w:tc>
        <w:tc>
          <w:tcPr>
            <w:tcW w:w="3099" w:type="dxa"/>
          </w:tcPr>
          <w:p w14:paraId="49DEC93E" w14:textId="77777777" w:rsidR="00DD13BF" w:rsidRDefault="00DD13BF" w:rsidP="00355A56">
            <w:pPr>
              <w:pStyle w:val="TableParagraph"/>
              <w:rPr>
                <w:sz w:val="20"/>
              </w:rPr>
            </w:pPr>
            <w:r w:rsidRPr="00C562C9">
              <w:rPr>
                <w:color w:val="000000"/>
                <w:sz w:val="20"/>
              </w:rPr>
              <w:t>RSO1.3</w:t>
            </w:r>
          </w:p>
        </w:tc>
        <w:tc>
          <w:tcPr>
            <w:tcW w:w="1161" w:type="dxa"/>
          </w:tcPr>
          <w:p w14:paraId="02DB39C7" w14:textId="77777777" w:rsidR="00DD13BF" w:rsidRDefault="00DD13BF" w:rsidP="00355A56">
            <w:pPr>
              <w:pStyle w:val="TableParagraph"/>
              <w:rPr>
                <w:sz w:val="20"/>
              </w:rPr>
            </w:pPr>
            <w:r>
              <w:rPr>
                <w:sz w:val="20"/>
              </w:rPr>
              <w:t>025</w:t>
            </w:r>
          </w:p>
        </w:tc>
        <w:tc>
          <w:tcPr>
            <w:tcW w:w="2731" w:type="dxa"/>
          </w:tcPr>
          <w:p w14:paraId="2F442A23" w14:textId="77777777" w:rsidR="00DD13BF" w:rsidRDefault="00DD13BF" w:rsidP="00355A56">
            <w:pPr>
              <w:pStyle w:val="TableParagraph"/>
              <w:rPr>
                <w:sz w:val="20"/>
              </w:rPr>
            </w:pPr>
            <w:r>
              <w:rPr>
                <w:sz w:val="20"/>
              </w:rPr>
              <w:t>19,999,000</w:t>
            </w:r>
          </w:p>
        </w:tc>
      </w:tr>
      <w:tr w:rsidR="00DD13BF" w14:paraId="7C5A1AB1" w14:textId="77777777" w:rsidTr="00355A56">
        <w:trPr>
          <w:trHeight w:val="353"/>
        </w:trPr>
        <w:tc>
          <w:tcPr>
            <w:tcW w:w="2088" w:type="dxa"/>
          </w:tcPr>
          <w:p w14:paraId="62B565D3" w14:textId="77777777" w:rsidR="00DD13BF" w:rsidRDefault="00DD13BF" w:rsidP="00355A56">
            <w:pPr>
              <w:pStyle w:val="TableParagraph"/>
              <w:rPr>
                <w:sz w:val="20"/>
              </w:rPr>
            </w:pPr>
            <w:r>
              <w:rPr>
                <w:sz w:val="20"/>
              </w:rPr>
              <w:t>1</w:t>
            </w:r>
          </w:p>
        </w:tc>
        <w:tc>
          <w:tcPr>
            <w:tcW w:w="1133" w:type="dxa"/>
          </w:tcPr>
          <w:p w14:paraId="641034BB" w14:textId="77777777" w:rsidR="00DD13BF" w:rsidRDefault="00DD13BF" w:rsidP="00355A56">
            <w:pPr>
              <w:pStyle w:val="TableParagraph"/>
              <w:rPr>
                <w:sz w:val="20"/>
              </w:rPr>
            </w:pPr>
            <w:r w:rsidRPr="0001454F">
              <w:rPr>
                <w:sz w:val="20"/>
              </w:rPr>
              <w:t>ERDF</w:t>
            </w:r>
          </w:p>
        </w:tc>
        <w:tc>
          <w:tcPr>
            <w:tcW w:w="3249" w:type="dxa"/>
          </w:tcPr>
          <w:p w14:paraId="5CC3C50C" w14:textId="77777777" w:rsidR="00DD13BF" w:rsidRDefault="00DD13BF" w:rsidP="00355A56">
            <w:pPr>
              <w:pStyle w:val="TableParagraph"/>
              <w:rPr>
                <w:sz w:val="20"/>
              </w:rPr>
            </w:pPr>
            <w:r>
              <w:rPr>
                <w:sz w:val="20"/>
              </w:rPr>
              <w:t>More developed</w:t>
            </w:r>
          </w:p>
        </w:tc>
        <w:tc>
          <w:tcPr>
            <w:tcW w:w="3099" w:type="dxa"/>
          </w:tcPr>
          <w:p w14:paraId="5D6B3267" w14:textId="77777777" w:rsidR="00DD13BF" w:rsidRDefault="00DD13BF" w:rsidP="00355A56">
            <w:pPr>
              <w:pStyle w:val="TableParagraph"/>
              <w:rPr>
                <w:sz w:val="20"/>
              </w:rPr>
            </w:pPr>
            <w:r w:rsidRPr="00C562C9">
              <w:rPr>
                <w:color w:val="000000"/>
                <w:sz w:val="20"/>
              </w:rPr>
              <w:t>RSO1.3</w:t>
            </w:r>
          </w:p>
        </w:tc>
        <w:tc>
          <w:tcPr>
            <w:tcW w:w="1161" w:type="dxa"/>
          </w:tcPr>
          <w:p w14:paraId="74797979" w14:textId="77777777" w:rsidR="00DD13BF" w:rsidRDefault="00DD13BF" w:rsidP="00355A56">
            <w:pPr>
              <w:pStyle w:val="TableParagraph"/>
              <w:rPr>
                <w:sz w:val="20"/>
              </w:rPr>
            </w:pPr>
            <w:r>
              <w:rPr>
                <w:sz w:val="20"/>
              </w:rPr>
              <w:t>025</w:t>
            </w:r>
          </w:p>
        </w:tc>
        <w:tc>
          <w:tcPr>
            <w:tcW w:w="2731" w:type="dxa"/>
          </w:tcPr>
          <w:p w14:paraId="733611E9" w14:textId="77777777" w:rsidR="00DD13BF" w:rsidRDefault="00DD13BF" w:rsidP="00355A56">
            <w:pPr>
              <w:pStyle w:val="TableParagraph"/>
              <w:rPr>
                <w:sz w:val="20"/>
              </w:rPr>
            </w:pPr>
            <w:r>
              <w:rPr>
                <w:sz w:val="20"/>
              </w:rPr>
              <w:t>12,000,000</w:t>
            </w:r>
          </w:p>
        </w:tc>
      </w:tr>
    </w:tbl>
    <w:p w14:paraId="27BEECAB" w14:textId="77777777" w:rsidR="00DD13BF" w:rsidRDefault="00DD13BF" w:rsidP="00DD13BF"/>
    <w:p w14:paraId="628A130B" w14:textId="77777777" w:rsidR="00DD13BF" w:rsidRPr="007959C5" w:rsidRDefault="00DD13BF" w:rsidP="00DD13BF">
      <w:pPr>
        <w:ind w:left="339"/>
        <w:rPr>
          <w:spacing w:val="-7"/>
        </w:rPr>
      </w:pPr>
      <w:r>
        <w:rPr>
          <w:spacing w:val="-7"/>
        </w:rPr>
        <w:t>Table 5: Dimension 2 – form of financing</w:t>
      </w:r>
    </w:p>
    <w:p w14:paraId="66096C4E" w14:textId="77777777" w:rsidR="00DD13BF" w:rsidRPr="007959C5"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37ECD638" w14:textId="77777777" w:rsidTr="00355A56">
        <w:trPr>
          <w:trHeight w:val="353"/>
        </w:trPr>
        <w:tc>
          <w:tcPr>
            <w:tcW w:w="2088" w:type="dxa"/>
          </w:tcPr>
          <w:p w14:paraId="128CC7FA" w14:textId="77777777" w:rsidR="00DD13BF" w:rsidRDefault="00DD13BF" w:rsidP="00355A56">
            <w:pPr>
              <w:pStyle w:val="TableParagraph"/>
              <w:ind w:left="115"/>
              <w:jc w:val="center"/>
            </w:pPr>
            <w:r>
              <w:rPr>
                <w:spacing w:val="-2"/>
              </w:rPr>
              <w:t>Priority No</w:t>
            </w:r>
          </w:p>
        </w:tc>
        <w:tc>
          <w:tcPr>
            <w:tcW w:w="1133" w:type="dxa"/>
          </w:tcPr>
          <w:p w14:paraId="3DE07AEB" w14:textId="77777777" w:rsidR="00DD13BF" w:rsidRDefault="00DD13BF" w:rsidP="00355A56">
            <w:pPr>
              <w:pStyle w:val="TableParagraph"/>
              <w:ind w:left="320"/>
            </w:pPr>
            <w:r>
              <w:t>Fund</w:t>
            </w:r>
          </w:p>
        </w:tc>
        <w:tc>
          <w:tcPr>
            <w:tcW w:w="3249" w:type="dxa"/>
          </w:tcPr>
          <w:p w14:paraId="67D84C94" w14:textId="77777777" w:rsidR="00DD13BF" w:rsidRDefault="00DD13BF" w:rsidP="00355A56">
            <w:pPr>
              <w:pStyle w:val="TableParagraph"/>
              <w:ind w:left="907"/>
            </w:pPr>
            <w:r>
              <w:rPr>
                <w:spacing w:val="-3"/>
              </w:rPr>
              <w:t>Category of region</w:t>
            </w:r>
          </w:p>
        </w:tc>
        <w:tc>
          <w:tcPr>
            <w:tcW w:w="3099" w:type="dxa"/>
          </w:tcPr>
          <w:p w14:paraId="6FFEC758" w14:textId="77777777" w:rsidR="00DD13BF" w:rsidRDefault="00DD13BF" w:rsidP="00355A56">
            <w:pPr>
              <w:pStyle w:val="TableParagraph"/>
              <w:ind w:left="948"/>
            </w:pPr>
            <w:r>
              <w:rPr>
                <w:spacing w:val="-4"/>
              </w:rPr>
              <w:t>Specific objective</w:t>
            </w:r>
          </w:p>
        </w:tc>
        <w:tc>
          <w:tcPr>
            <w:tcW w:w="1161" w:type="dxa"/>
          </w:tcPr>
          <w:p w14:paraId="1C32654B" w14:textId="77777777" w:rsidR="00DD13BF" w:rsidRDefault="00DD13BF" w:rsidP="00355A56">
            <w:pPr>
              <w:pStyle w:val="TableParagraph"/>
              <w:ind w:left="334"/>
            </w:pPr>
            <w:r>
              <w:t xml:space="preserve">Code </w:t>
            </w:r>
          </w:p>
        </w:tc>
        <w:tc>
          <w:tcPr>
            <w:tcW w:w="2731" w:type="dxa"/>
          </w:tcPr>
          <w:p w14:paraId="5464BE7E" w14:textId="77777777" w:rsidR="00DD13BF" w:rsidRDefault="00DD13BF" w:rsidP="00355A56">
            <w:pPr>
              <w:pStyle w:val="TableParagraph"/>
              <w:ind w:left="661"/>
            </w:pPr>
            <w:r>
              <w:t>Amount (in EUR)</w:t>
            </w:r>
          </w:p>
        </w:tc>
      </w:tr>
      <w:tr w:rsidR="00DD13BF" w14:paraId="15724424" w14:textId="77777777" w:rsidTr="00355A56">
        <w:trPr>
          <w:trHeight w:val="353"/>
        </w:trPr>
        <w:tc>
          <w:tcPr>
            <w:tcW w:w="2088" w:type="dxa"/>
          </w:tcPr>
          <w:p w14:paraId="13E2F225" w14:textId="77777777" w:rsidR="00DD13BF" w:rsidRDefault="00DD13BF" w:rsidP="00355A56">
            <w:pPr>
              <w:pStyle w:val="TableParagraph"/>
              <w:rPr>
                <w:sz w:val="20"/>
              </w:rPr>
            </w:pPr>
            <w:r>
              <w:rPr>
                <w:sz w:val="20"/>
              </w:rPr>
              <w:t>1</w:t>
            </w:r>
          </w:p>
        </w:tc>
        <w:tc>
          <w:tcPr>
            <w:tcW w:w="1133" w:type="dxa"/>
          </w:tcPr>
          <w:p w14:paraId="04703A14" w14:textId="77777777" w:rsidR="00DD13BF" w:rsidRDefault="00DD13BF" w:rsidP="00355A56">
            <w:pPr>
              <w:pStyle w:val="TableParagraph"/>
              <w:rPr>
                <w:sz w:val="20"/>
              </w:rPr>
            </w:pPr>
            <w:r w:rsidRPr="00624322">
              <w:rPr>
                <w:sz w:val="20"/>
              </w:rPr>
              <w:t>ERDF</w:t>
            </w:r>
          </w:p>
        </w:tc>
        <w:tc>
          <w:tcPr>
            <w:tcW w:w="3249" w:type="dxa"/>
          </w:tcPr>
          <w:p w14:paraId="6070D36D" w14:textId="77777777" w:rsidR="00DD13BF" w:rsidRDefault="00DD13BF" w:rsidP="00355A56">
            <w:pPr>
              <w:pStyle w:val="TableParagraph"/>
              <w:rPr>
                <w:sz w:val="20"/>
              </w:rPr>
            </w:pPr>
            <w:r>
              <w:rPr>
                <w:sz w:val="20"/>
              </w:rPr>
              <w:t>Less developed</w:t>
            </w:r>
          </w:p>
        </w:tc>
        <w:tc>
          <w:tcPr>
            <w:tcW w:w="3099" w:type="dxa"/>
          </w:tcPr>
          <w:p w14:paraId="636BE558" w14:textId="77777777" w:rsidR="00DD13BF" w:rsidRDefault="00DD13BF" w:rsidP="00355A56">
            <w:pPr>
              <w:pStyle w:val="TableParagraph"/>
              <w:rPr>
                <w:sz w:val="20"/>
              </w:rPr>
            </w:pPr>
            <w:r w:rsidRPr="00805038">
              <w:rPr>
                <w:color w:val="000000"/>
                <w:sz w:val="20"/>
              </w:rPr>
              <w:t>RSO1.3</w:t>
            </w:r>
          </w:p>
        </w:tc>
        <w:tc>
          <w:tcPr>
            <w:tcW w:w="1161" w:type="dxa"/>
          </w:tcPr>
          <w:p w14:paraId="3D4A5EA0" w14:textId="77777777" w:rsidR="00DD13BF" w:rsidRDefault="00DD13BF" w:rsidP="00355A56">
            <w:pPr>
              <w:pStyle w:val="TableParagraph"/>
              <w:rPr>
                <w:sz w:val="20"/>
              </w:rPr>
            </w:pPr>
            <w:r>
              <w:rPr>
                <w:sz w:val="20"/>
              </w:rPr>
              <w:t>01</w:t>
            </w:r>
          </w:p>
        </w:tc>
        <w:tc>
          <w:tcPr>
            <w:tcW w:w="2731" w:type="dxa"/>
          </w:tcPr>
          <w:p w14:paraId="691CEB0D" w14:textId="77777777" w:rsidR="00DD13BF" w:rsidRDefault="00DD13BF" w:rsidP="00355A56">
            <w:pPr>
              <w:pStyle w:val="TableParagraph"/>
              <w:rPr>
                <w:sz w:val="20"/>
              </w:rPr>
            </w:pPr>
            <w:r>
              <w:rPr>
                <w:sz w:val="20"/>
              </w:rPr>
              <w:t>77,652,</w:t>
            </w:r>
            <w:r w:rsidRPr="00F41AAB">
              <w:rPr>
                <w:sz w:val="20"/>
              </w:rPr>
              <w:t>353</w:t>
            </w:r>
          </w:p>
        </w:tc>
      </w:tr>
      <w:tr w:rsidR="00DD13BF" w14:paraId="5BD4BF12" w14:textId="77777777" w:rsidTr="00355A56">
        <w:trPr>
          <w:trHeight w:val="353"/>
        </w:trPr>
        <w:tc>
          <w:tcPr>
            <w:tcW w:w="2088" w:type="dxa"/>
          </w:tcPr>
          <w:p w14:paraId="5BACDA90" w14:textId="77777777" w:rsidR="00DD13BF" w:rsidRDefault="00DD13BF" w:rsidP="00355A56">
            <w:pPr>
              <w:pStyle w:val="TableParagraph"/>
              <w:rPr>
                <w:sz w:val="20"/>
              </w:rPr>
            </w:pPr>
            <w:r>
              <w:rPr>
                <w:sz w:val="20"/>
              </w:rPr>
              <w:t>1</w:t>
            </w:r>
          </w:p>
        </w:tc>
        <w:tc>
          <w:tcPr>
            <w:tcW w:w="1133" w:type="dxa"/>
          </w:tcPr>
          <w:p w14:paraId="1149BD14" w14:textId="77777777" w:rsidR="00DD13BF" w:rsidRDefault="00DD13BF" w:rsidP="00355A56">
            <w:pPr>
              <w:pStyle w:val="TableParagraph"/>
              <w:rPr>
                <w:sz w:val="20"/>
              </w:rPr>
            </w:pPr>
            <w:r w:rsidRPr="00624322">
              <w:rPr>
                <w:sz w:val="20"/>
              </w:rPr>
              <w:t>ERDF</w:t>
            </w:r>
          </w:p>
        </w:tc>
        <w:tc>
          <w:tcPr>
            <w:tcW w:w="3249" w:type="dxa"/>
          </w:tcPr>
          <w:p w14:paraId="54E757EB" w14:textId="77777777" w:rsidR="00DD13BF" w:rsidRDefault="00DD13BF" w:rsidP="00355A56">
            <w:pPr>
              <w:pStyle w:val="TableParagraph"/>
              <w:rPr>
                <w:sz w:val="20"/>
              </w:rPr>
            </w:pPr>
            <w:r>
              <w:rPr>
                <w:sz w:val="20"/>
              </w:rPr>
              <w:t>More developed</w:t>
            </w:r>
          </w:p>
        </w:tc>
        <w:tc>
          <w:tcPr>
            <w:tcW w:w="3099" w:type="dxa"/>
          </w:tcPr>
          <w:p w14:paraId="4A24C04A" w14:textId="77777777" w:rsidR="00DD13BF" w:rsidRDefault="00DD13BF" w:rsidP="00355A56">
            <w:pPr>
              <w:pStyle w:val="TableParagraph"/>
              <w:rPr>
                <w:sz w:val="20"/>
              </w:rPr>
            </w:pPr>
            <w:r w:rsidRPr="00805038">
              <w:rPr>
                <w:color w:val="000000"/>
                <w:sz w:val="20"/>
              </w:rPr>
              <w:t>RSO1.3</w:t>
            </w:r>
          </w:p>
        </w:tc>
        <w:tc>
          <w:tcPr>
            <w:tcW w:w="1161" w:type="dxa"/>
          </w:tcPr>
          <w:p w14:paraId="7EF1C2A0" w14:textId="77777777" w:rsidR="00DD13BF" w:rsidRDefault="00DD13BF" w:rsidP="00355A56">
            <w:pPr>
              <w:pStyle w:val="TableParagraph"/>
              <w:rPr>
                <w:sz w:val="20"/>
              </w:rPr>
            </w:pPr>
            <w:r>
              <w:rPr>
                <w:sz w:val="20"/>
              </w:rPr>
              <w:t>01</w:t>
            </w:r>
          </w:p>
        </w:tc>
        <w:tc>
          <w:tcPr>
            <w:tcW w:w="2731" w:type="dxa"/>
          </w:tcPr>
          <w:p w14:paraId="1BC47BF9" w14:textId="77777777" w:rsidR="00DD13BF" w:rsidRDefault="00DD13BF" w:rsidP="00355A56">
            <w:pPr>
              <w:pStyle w:val="TableParagraph"/>
              <w:rPr>
                <w:sz w:val="20"/>
              </w:rPr>
            </w:pPr>
            <w:r>
              <w:rPr>
                <w:sz w:val="20"/>
              </w:rPr>
              <w:t>36,529,</w:t>
            </w:r>
            <w:r w:rsidRPr="00F41AAB">
              <w:rPr>
                <w:sz w:val="20"/>
              </w:rPr>
              <w:t>472</w:t>
            </w:r>
          </w:p>
        </w:tc>
      </w:tr>
      <w:tr w:rsidR="00DD13BF" w14:paraId="4A9EA9F6" w14:textId="77777777" w:rsidTr="00355A56">
        <w:trPr>
          <w:trHeight w:val="353"/>
        </w:trPr>
        <w:tc>
          <w:tcPr>
            <w:tcW w:w="2088" w:type="dxa"/>
          </w:tcPr>
          <w:p w14:paraId="0BB2F78C" w14:textId="77777777" w:rsidR="00DD13BF" w:rsidRPr="00A10438" w:rsidRDefault="00DD13BF" w:rsidP="00355A56">
            <w:pPr>
              <w:pStyle w:val="TableParagraph"/>
              <w:rPr>
                <w:sz w:val="20"/>
              </w:rPr>
            </w:pPr>
            <w:r w:rsidRPr="00A10438">
              <w:rPr>
                <w:sz w:val="20"/>
              </w:rPr>
              <w:t>1</w:t>
            </w:r>
          </w:p>
        </w:tc>
        <w:tc>
          <w:tcPr>
            <w:tcW w:w="1133" w:type="dxa"/>
          </w:tcPr>
          <w:p w14:paraId="6BCF7FD0" w14:textId="77777777" w:rsidR="00DD13BF" w:rsidRPr="00A10438" w:rsidRDefault="00DD13BF" w:rsidP="00355A56">
            <w:pPr>
              <w:pStyle w:val="TableParagraph"/>
              <w:rPr>
                <w:sz w:val="20"/>
              </w:rPr>
            </w:pPr>
            <w:r w:rsidRPr="00624322">
              <w:rPr>
                <w:sz w:val="20"/>
              </w:rPr>
              <w:t>ERDF</w:t>
            </w:r>
          </w:p>
        </w:tc>
        <w:tc>
          <w:tcPr>
            <w:tcW w:w="3249" w:type="dxa"/>
          </w:tcPr>
          <w:p w14:paraId="1267331F" w14:textId="77777777" w:rsidR="00DD13BF" w:rsidRPr="00A10438" w:rsidRDefault="00DD13BF" w:rsidP="00355A56">
            <w:pPr>
              <w:pStyle w:val="TableParagraph"/>
              <w:rPr>
                <w:sz w:val="20"/>
              </w:rPr>
            </w:pPr>
            <w:r>
              <w:rPr>
                <w:sz w:val="20"/>
              </w:rPr>
              <w:t>Less developed</w:t>
            </w:r>
          </w:p>
        </w:tc>
        <w:tc>
          <w:tcPr>
            <w:tcW w:w="3099" w:type="dxa"/>
          </w:tcPr>
          <w:p w14:paraId="1C20D6C0" w14:textId="77777777" w:rsidR="00DD13BF" w:rsidRPr="00A10438" w:rsidRDefault="00DD13BF" w:rsidP="00355A56">
            <w:pPr>
              <w:pStyle w:val="TableParagraph"/>
              <w:rPr>
                <w:sz w:val="20"/>
              </w:rPr>
            </w:pPr>
            <w:r w:rsidRPr="00A10438">
              <w:rPr>
                <w:color w:val="000000"/>
                <w:sz w:val="20"/>
              </w:rPr>
              <w:t>RSO1.3</w:t>
            </w:r>
          </w:p>
        </w:tc>
        <w:tc>
          <w:tcPr>
            <w:tcW w:w="1161" w:type="dxa"/>
          </w:tcPr>
          <w:p w14:paraId="32DB36DA" w14:textId="77777777" w:rsidR="00DD13BF" w:rsidRPr="00A10438" w:rsidRDefault="00DD13BF" w:rsidP="00355A56">
            <w:pPr>
              <w:pStyle w:val="TableParagraph"/>
              <w:rPr>
                <w:sz w:val="20"/>
              </w:rPr>
            </w:pPr>
            <w:r w:rsidRPr="00A10438">
              <w:rPr>
                <w:sz w:val="20"/>
              </w:rPr>
              <w:t>02</w:t>
            </w:r>
          </w:p>
        </w:tc>
        <w:tc>
          <w:tcPr>
            <w:tcW w:w="2731" w:type="dxa"/>
          </w:tcPr>
          <w:p w14:paraId="1ED41E64" w14:textId="77777777" w:rsidR="00DD13BF" w:rsidRPr="00A10438" w:rsidRDefault="00DD13BF" w:rsidP="00355A56">
            <w:pPr>
              <w:pStyle w:val="TableParagraph"/>
              <w:rPr>
                <w:sz w:val="20"/>
              </w:rPr>
            </w:pPr>
            <w:r>
              <w:rPr>
                <w:sz w:val="20"/>
              </w:rPr>
              <w:t>7,500,</w:t>
            </w:r>
            <w:r w:rsidRPr="00A10438">
              <w:rPr>
                <w:sz w:val="20"/>
              </w:rPr>
              <w:t>000</w:t>
            </w:r>
          </w:p>
        </w:tc>
      </w:tr>
      <w:tr w:rsidR="00DD13BF" w14:paraId="2DA5BD9F" w14:textId="77777777" w:rsidTr="00355A56">
        <w:trPr>
          <w:trHeight w:val="353"/>
        </w:trPr>
        <w:tc>
          <w:tcPr>
            <w:tcW w:w="2088" w:type="dxa"/>
          </w:tcPr>
          <w:p w14:paraId="43EB0EB8" w14:textId="77777777" w:rsidR="00DD13BF" w:rsidRPr="00A10438" w:rsidRDefault="00DD13BF" w:rsidP="00355A56">
            <w:pPr>
              <w:pStyle w:val="TableParagraph"/>
              <w:rPr>
                <w:sz w:val="20"/>
              </w:rPr>
            </w:pPr>
            <w:r w:rsidRPr="00A10438">
              <w:rPr>
                <w:sz w:val="20"/>
              </w:rPr>
              <w:t>1</w:t>
            </w:r>
          </w:p>
        </w:tc>
        <w:tc>
          <w:tcPr>
            <w:tcW w:w="1133" w:type="dxa"/>
          </w:tcPr>
          <w:p w14:paraId="2BA08635" w14:textId="77777777" w:rsidR="00DD13BF" w:rsidRPr="00A10438" w:rsidRDefault="00DD13BF" w:rsidP="00355A56">
            <w:pPr>
              <w:pStyle w:val="TableParagraph"/>
              <w:rPr>
                <w:sz w:val="20"/>
              </w:rPr>
            </w:pPr>
            <w:r w:rsidRPr="00624322">
              <w:rPr>
                <w:sz w:val="20"/>
              </w:rPr>
              <w:t>ERDF</w:t>
            </w:r>
          </w:p>
        </w:tc>
        <w:tc>
          <w:tcPr>
            <w:tcW w:w="3249" w:type="dxa"/>
          </w:tcPr>
          <w:p w14:paraId="48495F2B" w14:textId="77777777" w:rsidR="00DD13BF" w:rsidRPr="00A10438" w:rsidRDefault="00DD13BF" w:rsidP="00355A56">
            <w:pPr>
              <w:pStyle w:val="TableParagraph"/>
              <w:rPr>
                <w:sz w:val="20"/>
              </w:rPr>
            </w:pPr>
            <w:r>
              <w:rPr>
                <w:sz w:val="20"/>
              </w:rPr>
              <w:t>More developed</w:t>
            </w:r>
          </w:p>
        </w:tc>
        <w:tc>
          <w:tcPr>
            <w:tcW w:w="3099" w:type="dxa"/>
          </w:tcPr>
          <w:p w14:paraId="41D4CC23" w14:textId="77777777" w:rsidR="00DD13BF" w:rsidRPr="00A10438" w:rsidRDefault="00DD13BF" w:rsidP="00355A56">
            <w:pPr>
              <w:pStyle w:val="TableParagraph"/>
              <w:rPr>
                <w:sz w:val="20"/>
              </w:rPr>
            </w:pPr>
            <w:r w:rsidRPr="00A10438">
              <w:rPr>
                <w:color w:val="000000"/>
                <w:sz w:val="20"/>
              </w:rPr>
              <w:t>RSO1.3</w:t>
            </w:r>
          </w:p>
        </w:tc>
        <w:tc>
          <w:tcPr>
            <w:tcW w:w="1161" w:type="dxa"/>
          </w:tcPr>
          <w:p w14:paraId="1BA83A8D" w14:textId="77777777" w:rsidR="00DD13BF" w:rsidRPr="00A10438" w:rsidRDefault="00DD13BF" w:rsidP="00355A56">
            <w:pPr>
              <w:pStyle w:val="TableParagraph"/>
              <w:rPr>
                <w:sz w:val="20"/>
              </w:rPr>
            </w:pPr>
            <w:r w:rsidRPr="00A10438">
              <w:rPr>
                <w:sz w:val="20"/>
              </w:rPr>
              <w:t>02</w:t>
            </w:r>
          </w:p>
        </w:tc>
        <w:tc>
          <w:tcPr>
            <w:tcW w:w="2731" w:type="dxa"/>
          </w:tcPr>
          <w:p w14:paraId="1FDAF2EA" w14:textId="77777777" w:rsidR="00DD13BF" w:rsidRPr="00A10438" w:rsidRDefault="00DD13BF" w:rsidP="00355A56">
            <w:pPr>
              <w:pStyle w:val="TableParagraph"/>
              <w:rPr>
                <w:sz w:val="20"/>
              </w:rPr>
            </w:pPr>
            <w:r>
              <w:rPr>
                <w:sz w:val="20"/>
              </w:rPr>
              <w:t>7,500,</w:t>
            </w:r>
            <w:r w:rsidRPr="00A10438">
              <w:rPr>
                <w:sz w:val="20"/>
              </w:rPr>
              <w:t>000</w:t>
            </w:r>
          </w:p>
        </w:tc>
      </w:tr>
      <w:tr w:rsidR="00DD13BF" w14:paraId="0DBE340D" w14:textId="77777777" w:rsidTr="00355A56">
        <w:trPr>
          <w:trHeight w:val="353"/>
        </w:trPr>
        <w:tc>
          <w:tcPr>
            <w:tcW w:w="2088" w:type="dxa"/>
          </w:tcPr>
          <w:p w14:paraId="4A684298" w14:textId="77777777" w:rsidR="00DD13BF" w:rsidRPr="00A10438" w:rsidRDefault="00DD13BF" w:rsidP="00355A56">
            <w:pPr>
              <w:pStyle w:val="TableParagraph"/>
              <w:rPr>
                <w:sz w:val="20"/>
              </w:rPr>
            </w:pPr>
            <w:r w:rsidRPr="00A10438">
              <w:rPr>
                <w:sz w:val="20"/>
              </w:rPr>
              <w:t>1</w:t>
            </w:r>
          </w:p>
        </w:tc>
        <w:tc>
          <w:tcPr>
            <w:tcW w:w="1133" w:type="dxa"/>
          </w:tcPr>
          <w:p w14:paraId="1CCFA626" w14:textId="77777777" w:rsidR="00DD13BF" w:rsidRPr="00A10438" w:rsidRDefault="00DD13BF" w:rsidP="00355A56">
            <w:pPr>
              <w:pStyle w:val="TableParagraph"/>
              <w:rPr>
                <w:sz w:val="20"/>
              </w:rPr>
            </w:pPr>
            <w:r w:rsidRPr="00624322">
              <w:rPr>
                <w:sz w:val="20"/>
              </w:rPr>
              <w:t>ERDF</w:t>
            </w:r>
          </w:p>
        </w:tc>
        <w:tc>
          <w:tcPr>
            <w:tcW w:w="3249" w:type="dxa"/>
          </w:tcPr>
          <w:p w14:paraId="6525CCFB" w14:textId="77777777" w:rsidR="00DD13BF" w:rsidRPr="00A10438" w:rsidRDefault="00DD13BF" w:rsidP="00355A56">
            <w:pPr>
              <w:pStyle w:val="TableParagraph"/>
              <w:rPr>
                <w:sz w:val="20"/>
              </w:rPr>
            </w:pPr>
            <w:r>
              <w:rPr>
                <w:sz w:val="20"/>
              </w:rPr>
              <w:t>Less developed</w:t>
            </w:r>
          </w:p>
        </w:tc>
        <w:tc>
          <w:tcPr>
            <w:tcW w:w="3099" w:type="dxa"/>
          </w:tcPr>
          <w:p w14:paraId="76359677" w14:textId="77777777" w:rsidR="00DD13BF" w:rsidRPr="00A10438" w:rsidRDefault="00DD13BF" w:rsidP="00355A56">
            <w:pPr>
              <w:pStyle w:val="TableParagraph"/>
              <w:rPr>
                <w:color w:val="000000"/>
                <w:sz w:val="20"/>
              </w:rPr>
            </w:pPr>
            <w:r w:rsidRPr="00A10438">
              <w:rPr>
                <w:color w:val="000000"/>
                <w:sz w:val="20"/>
              </w:rPr>
              <w:t>RSO1.3</w:t>
            </w:r>
          </w:p>
        </w:tc>
        <w:tc>
          <w:tcPr>
            <w:tcW w:w="1161" w:type="dxa"/>
          </w:tcPr>
          <w:p w14:paraId="00DA58E8" w14:textId="77777777" w:rsidR="00DD13BF" w:rsidRPr="00A10438" w:rsidRDefault="00DD13BF" w:rsidP="00355A56">
            <w:pPr>
              <w:pStyle w:val="TableParagraph"/>
              <w:rPr>
                <w:sz w:val="20"/>
              </w:rPr>
            </w:pPr>
            <w:r w:rsidRPr="00A10438">
              <w:rPr>
                <w:sz w:val="20"/>
              </w:rPr>
              <w:t>04</w:t>
            </w:r>
          </w:p>
        </w:tc>
        <w:tc>
          <w:tcPr>
            <w:tcW w:w="2731" w:type="dxa"/>
          </w:tcPr>
          <w:p w14:paraId="5391718E" w14:textId="77777777" w:rsidR="00DD13BF" w:rsidRPr="00A10438" w:rsidRDefault="00DD13BF" w:rsidP="00355A56">
            <w:pPr>
              <w:pStyle w:val="TableParagraph"/>
              <w:rPr>
                <w:sz w:val="20"/>
              </w:rPr>
            </w:pPr>
            <w:r>
              <w:rPr>
                <w:sz w:val="20"/>
              </w:rPr>
              <w:t>35,110,</w:t>
            </w:r>
            <w:r w:rsidRPr="00A10438">
              <w:rPr>
                <w:sz w:val="20"/>
              </w:rPr>
              <w:t>000</w:t>
            </w:r>
          </w:p>
        </w:tc>
      </w:tr>
      <w:tr w:rsidR="00DD13BF" w14:paraId="51A2A11B" w14:textId="77777777" w:rsidTr="00355A56">
        <w:trPr>
          <w:trHeight w:val="353"/>
        </w:trPr>
        <w:tc>
          <w:tcPr>
            <w:tcW w:w="2088" w:type="dxa"/>
          </w:tcPr>
          <w:p w14:paraId="54DF7F08" w14:textId="77777777" w:rsidR="00DD13BF" w:rsidRPr="00A10438" w:rsidRDefault="00DD13BF" w:rsidP="00355A56">
            <w:pPr>
              <w:pStyle w:val="TableParagraph"/>
              <w:rPr>
                <w:sz w:val="20"/>
              </w:rPr>
            </w:pPr>
            <w:r w:rsidRPr="00A10438">
              <w:rPr>
                <w:sz w:val="20"/>
              </w:rPr>
              <w:t>1</w:t>
            </w:r>
          </w:p>
        </w:tc>
        <w:tc>
          <w:tcPr>
            <w:tcW w:w="1133" w:type="dxa"/>
          </w:tcPr>
          <w:p w14:paraId="1D194B79" w14:textId="77777777" w:rsidR="00DD13BF" w:rsidRPr="00A10438" w:rsidRDefault="00DD13BF" w:rsidP="00355A56">
            <w:pPr>
              <w:pStyle w:val="TableParagraph"/>
              <w:rPr>
                <w:sz w:val="20"/>
              </w:rPr>
            </w:pPr>
            <w:r w:rsidRPr="00624322">
              <w:rPr>
                <w:sz w:val="20"/>
              </w:rPr>
              <w:t>ERDF</w:t>
            </w:r>
          </w:p>
        </w:tc>
        <w:tc>
          <w:tcPr>
            <w:tcW w:w="3249" w:type="dxa"/>
          </w:tcPr>
          <w:p w14:paraId="6E711435" w14:textId="77777777" w:rsidR="00DD13BF" w:rsidRPr="00A10438" w:rsidRDefault="00DD13BF" w:rsidP="00355A56">
            <w:pPr>
              <w:pStyle w:val="TableParagraph"/>
              <w:rPr>
                <w:sz w:val="20"/>
              </w:rPr>
            </w:pPr>
            <w:r>
              <w:rPr>
                <w:sz w:val="20"/>
              </w:rPr>
              <w:t>More developed</w:t>
            </w:r>
          </w:p>
        </w:tc>
        <w:tc>
          <w:tcPr>
            <w:tcW w:w="3099" w:type="dxa"/>
          </w:tcPr>
          <w:p w14:paraId="03211863" w14:textId="77777777" w:rsidR="00DD13BF" w:rsidRPr="00A10438" w:rsidRDefault="00DD13BF" w:rsidP="00355A56">
            <w:pPr>
              <w:pStyle w:val="TableParagraph"/>
              <w:rPr>
                <w:color w:val="000000"/>
                <w:sz w:val="20"/>
              </w:rPr>
            </w:pPr>
            <w:r w:rsidRPr="00A10438">
              <w:rPr>
                <w:color w:val="000000"/>
                <w:sz w:val="20"/>
              </w:rPr>
              <w:t>RSO1.3</w:t>
            </w:r>
          </w:p>
        </w:tc>
        <w:tc>
          <w:tcPr>
            <w:tcW w:w="1161" w:type="dxa"/>
          </w:tcPr>
          <w:p w14:paraId="27B14D6E" w14:textId="77777777" w:rsidR="00DD13BF" w:rsidRPr="00A10438" w:rsidRDefault="00DD13BF" w:rsidP="00355A56">
            <w:pPr>
              <w:pStyle w:val="TableParagraph"/>
              <w:rPr>
                <w:sz w:val="20"/>
              </w:rPr>
            </w:pPr>
            <w:r w:rsidRPr="00A10438">
              <w:rPr>
                <w:sz w:val="20"/>
              </w:rPr>
              <w:t>04</w:t>
            </w:r>
          </w:p>
        </w:tc>
        <w:tc>
          <w:tcPr>
            <w:tcW w:w="2731" w:type="dxa"/>
          </w:tcPr>
          <w:p w14:paraId="57F44908" w14:textId="77777777" w:rsidR="00DD13BF" w:rsidRPr="00A10438" w:rsidRDefault="00DD13BF" w:rsidP="00355A56">
            <w:pPr>
              <w:pStyle w:val="TableParagraph"/>
              <w:rPr>
                <w:sz w:val="20"/>
              </w:rPr>
            </w:pPr>
            <w:r>
              <w:rPr>
                <w:sz w:val="20"/>
              </w:rPr>
              <w:t>18,890,</w:t>
            </w:r>
            <w:r w:rsidRPr="00A10438">
              <w:rPr>
                <w:sz w:val="20"/>
              </w:rPr>
              <w:t>000</w:t>
            </w:r>
          </w:p>
        </w:tc>
      </w:tr>
    </w:tbl>
    <w:p w14:paraId="670B638B" w14:textId="77777777" w:rsidR="00DD13BF" w:rsidRDefault="00DD13BF" w:rsidP="00DD13BF">
      <w:pPr>
        <w:rPr>
          <w:sz w:val="20"/>
        </w:rPr>
        <w:sectPr w:rsidR="00DD13BF" w:rsidSect="00BD3536">
          <w:headerReference w:type="default" r:id="rId27"/>
          <w:footerReference w:type="first" r:id="rId28"/>
          <w:type w:val="continuous"/>
          <w:pgSz w:w="16840" w:h="11910" w:orient="landscape"/>
          <w:pgMar w:top="1417" w:right="1417" w:bottom="1417" w:left="1417" w:header="708" w:footer="708" w:gutter="0"/>
          <w:cols w:space="708"/>
          <w:titlePg/>
          <w:docGrid w:linePitch="299"/>
        </w:sectPr>
      </w:pPr>
    </w:p>
    <w:p w14:paraId="3AF6CA6D" w14:textId="77777777" w:rsidR="00DD13BF" w:rsidRDefault="00DD13BF" w:rsidP="00DD13BF">
      <w:pPr>
        <w:ind w:left="339"/>
        <w:rPr>
          <w:spacing w:val="-7"/>
        </w:rPr>
      </w:pPr>
    </w:p>
    <w:p w14:paraId="28C085E6" w14:textId="77777777" w:rsidR="00DD13BF" w:rsidRDefault="00DD13BF" w:rsidP="00DD13BF">
      <w:pPr>
        <w:ind w:left="339"/>
      </w:pPr>
      <w:r>
        <w:rPr>
          <w:spacing w:val="-7"/>
        </w:rPr>
        <w:t>Table</w:t>
      </w:r>
      <w:r>
        <w:rPr>
          <w:spacing w:val="19"/>
        </w:rPr>
        <w:t xml:space="preserve"> </w:t>
      </w:r>
      <w:r>
        <w:rPr>
          <w:spacing w:val="-7"/>
        </w:rPr>
        <w:t>6: Dimension 3</w:t>
      </w:r>
      <w:r>
        <w:rPr>
          <w:spacing w:val="-1"/>
        </w:rPr>
        <w:t xml:space="preserve"> </w:t>
      </w:r>
      <w:r>
        <w:rPr>
          <w:spacing w:val="-7"/>
        </w:rPr>
        <w:t>–</w:t>
      </w:r>
      <w:r>
        <w:rPr>
          <w:spacing w:val="-1"/>
        </w:rPr>
        <w:t xml:space="preserve"> </w:t>
      </w:r>
      <w:r>
        <w:t>territorial delivery mechanism and territorial focus</w:t>
      </w:r>
    </w:p>
    <w:p w14:paraId="7CDD9B46"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A50C1E7" w14:textId="77777777" w:rsidTr="00355A56">
        <w:trPr>
          <w:trHeight w:val="353"/>
        </w:trPr>
        <w:tc>
          <w:tcPr>
            <w:tcW w:w="2088" w:type="dxa"/>
          </w:tcPr>
          <w:p w14:paraId="5C9ABAA6" w14:textId="77777777" w:rsidR="00DD13BF" w:rsidRDefault="00DD13BF" w:rsidP="00355A56">
            <w:pPr>
              <w:pStyle w:val="TableParagraph"/>
              <w:ind w:left="115"/>
              <w:jc w:val="center"/>
            </w:pPr>
            <w:r>
              <w:rPr>
                <w:spacing w:val="-2"/>
              </w:rPr>
              <w:t>Priority No</w:t>
            </w:r>
          </w:p>
        </w:tc>
        <w:tc>
          <w:tcPr>
            <w:tcW w:w="1132" w:type="dxa"/>
          </w:tcPr>
          <w:p w14:paraId="36F753A3" w14:textId="77777777" w:rsidR="00DD13BF" w:rsidRDefault="00DD13BF" w:rsidP="00355A56">
            <w:pPr>
              <w:pStyle w:val="TableParagraph"/>
              <w:ind w:left="320"/>
            </w:pPr>
            <w:r>
              <w:t>Fund</w:t>
            </w:r>
          </w:p>
        </w:tc>
        <w:tc>
          <w:tcPr>
            <w:tcW w:w="3248" w:type="dxa"/>
          </w:tcPr>
          <w:p w14:paraId="49506C2E" w14:textId="77777777" w:rsidR="00DD13BF" w:rsidRDefault="00DD13BF" w:rsidP="00355A56">
            <w:pPr>
              <w:pStyle w:val="TableParagraph"/>
              <w:ind w:left="908"/>
            </w:pPr>
            <w:r>
              <w:rPr>
                <w:spacing w:val="-3"/>
              </w:rPr>
              <w:t>Category of region</w:t>
            </w:r>
          </w:p>
        </w:tc>
        <w:tc>
          <w:tcPr>
            <w:tcW w:w="3098" w:type="dxa"/>
          </w:tcPr>
          <w:p w14:paraId="2D5303FE" w14:textId="77777777" w:rsidR="00DD13BF" w:rsidRDefault="00DD13BF" w:rsidP="00355A56">
            <w:pPr>
              <w:pStyle w:val="TableParagraph"/>
              <w:ind w:left="950"/>
            </w:pPr>
            <w:r>
              <w:rPr>
                <w:spacing w:val="-4"/>
              </w:rPr>
              <w:t>Specific objective</w:t>
            </w:r>
          </w:p>
        </w:tc>
        <w:tc>
          <w:tcPr>
            <w:tcW w:w="1160" w:type="dxa"/>
          </w:tcPr>
          <w:p w14:paraId="64CCF499" w14:textId="77777777" w:rsidR="00DD13BF" w:rsidRDefault="00DD13BF" w:rsidP="00355A56">
            <w:pPr>
              <w:pStyle w:val="TableParagraph"/>
              <w:ind w:left="336"/>
            </w:pPr>
            <w:r>
              <w:t xml:space="preserve">Code </w:t>
            </w:r>
          </w:p>
        </w:tc>
        <w:tc>
          <w:tcPr>
            <w:tcW w:w="2730" w:type="dxa"/>
          </w:tcPr>
          <w:p w14:paraId="25D07CCE" w14:textId="77777777" w:rsidR="00DD13BF" w:rsidRDefault="00DD13BF" w:rsidP="00355A56">
            <w:pPr>
              <w:pStyle w:val="TableParagraph"/>
              <w:ind w:left="664"/>
            </w:pPr>
            <w:r>
              <w:t>Amount (in EUR)</w:t>
            </w:r>
          </w:p>
        </w:tc>
      </w:tr>
      <w:tr w:rsidR="00DD13BF" w14:paraId="14CFC464" w14:textId="77777777" w:rsidTr="00355A56">
        <w:trPr>
          <w:trHeight w:val="353"/>
        </w:trPr>
        <w:tc>
          <w:tcPr>
            <w:tcW w:w="2088" w:type="dxa"/>
          </w:tcPr>
          <w:p w14:paraId="172B974F" w14:textId="77777777" w:rsidR="00DD13BF" w:rsidRDefault="00DD13BF" w:rsidP="00355A56">
            <w:pPr>
              <w:pStyle w:val="TableParagraph"/>
              <w:rPr>
                <w:sz w:val="20"/>
              </w:rPr>
            </w:pPr>
            <w:r>
              <w:rPr>
                <w:sz w:val="20"/>
              </w:rPr>
              <w:t>1</w:t>
            </w:r>
          </w:p>
        </w:tc>
        <w:tc>
          <w:tcPr>
            <w:tcW w:w="1132" w:type="dxa"/>
          </w:tcPr>
          <w:p w14:paraId="7E5863BF" w14:textId="77777777" w:rsidR="00DD13BF" w:rsidRDefault="00DD13BF" w:rsidP="00355A56">
            <w:pPr>
              <w:pStyle w:val="TableParagraph"/>
              <w:rPr>
                <w:sz w:val="20"/>
              </w:rPr>
            </w:pPr>
            <w:r w:rsidRPr="00FE2662">
              <w:rPr>
                <w:sz w:val="20"/>
              </w:rPr>
              <w:t>ERDF</w:t>
            </w:r>
          </w:p>
        </w:tc>
        <w:tc>
          <w:tcPr>
            <w:tcW w:w="3248" w:type="dxa"/>
          </w:tcPr>
          <w:p w14:paraId="1FF7A37B" w14:textId="77777777" w:rsidR="00DD13BF" w:rsidRDefault="00DD13BF" w:rsidP="00355A56">
            <w:pPr>
              <w:pStyle w:val="TableParagraph"/>
              <w:rPr>
                <w:sz w:val="20"/>
              </w:rPr>
            </w:pPr>
            <w:r>
              <w:rPr>
                <w:sz w:val="20"/>
              </w:rPr>
              <w:t>Less developed</w:t>
            </w:r>
          </w:p>
        </w:tc>
        <w:tc>
          <w:tcPr>
            <w:tcW w:w="3098" w:type="dxa"/>
          </w:tcPr>
          <w:p w14:paraId="7A475A5B" w14:textId="77777777" w:rsidR="00DD13BF" w:rsidRDefault="00DD13BF" w:rsidP="00355A56">
            <w:pPr>
              <w:pStyle w:val="TableParagraph"/>
              <w:rPr>
                <w:sz w:val="20"/>
              </w:rPr>
            </w:pPr>
            <w:r w:rsidRPr="00C53775">
              <w:rPr>
                <w:color w:val="000000"/>
                <w:sz w:val="20"/>
              </w:rPr>
              <w:t>RSO1.3</w:t>
            </w:r>
          </w:p>
        </w:tc>
        <w:tc>
          <w:tcPr>
            <w:tcW w:w="1160" w:type="dxa"/>
          </w:tcPr>
          <w:p w14:paraId="1E624980" w14:textId="77777777" w:rsidR="00DD13BF" w:rsidRDefault="00DD13BF" w:rsidP="00355A56">
            <w:pPr>
              <w:pStyle w:val="TableParagraph"/>
              <w:rPr>
                <w:sz w:val="20"/>
              </w:rPr>
            </w:pPr>
            <w:r>
              <w:rPr>
                <w:sz w:val="20"/>
              </w:rPr>
              <w:t>24</w:t>
            </w:r>
          </w:p>
        </w:tc>
        <w:tc>
          <w:tcPr>
            <w:tcW w:w="2730" w:type="dxa"/>
          </w:tcPr>
          <w:p w14:paraId="3BAA7177" w14:textId="77777777" w:rsidR="00DD13BF" w:rsidRDefault="00DD13BF" w:rsidP="00355A56">
            <w:pPr>
              <w:pStyle w:val="TableParagraph"/>
              <w:rPr>
                <w:sz w:val="20"/>
              </w:rPr>
            </w:pPr>
            <w:r>
              <w:rPr>
                <w:sz w:val="20"/>
              </w:rPr>
              <w:t>10,</w:t>
            </w:r>
            <w:r w:rsidRPr="00BA54A8">
              <w:rPr>
                <w:sz w:val="20"/>
              </w:rPr>
              <w:t>47</w:t>
            </w:r>
            <w:r>
              <w:rPr>
                <w:sz w:val="20"/>
              </w:rPr>
              <w:t>0,</w:t>
            </w:r>
            <w:r w:rsidRPr="00BA54A8">
              <w:rPr>
                <w:sz w:val="20"/>
              </w:rPr>
              <w:t>000</w:t>
            </w:r>
          </w:p>
        </w:tc>
      </w:tr>
      <w:tr w:rsidR="00DD13BF" w14:paraId="1B905FF0" w14:textId="77777777" w:rsidTr="00355A56">
        <w:trPr>
          <w:trHeight w:val="353"/>
        </w:trPr>
        <w:tc>
          <w:tcPr>
            <w:tcW w:w="2088" w:type="dxa"/>
          </w:tcPr>
          <w:p w14:paraId="01ADE1DC" w14:textId="77777777" w:rsidR="00DD13BF" w:rsidRDefault="00DD13BF" w:rsidP="00355A56">
            <w:pPr>
              <w:pStyle w:val="TableParagraph"/>
              <w:rPr>
                <w:sz w:val="20"/>
              </w:rPr>
            </w:pPr>
            <w:r>
              <w:rPr>
                <w:sz w:val="20"/>
              </w:rPr>
              <w:t>1</w:t>
            </w:r>
          </w:p>
        </w:tc>
        <w:tc>
          <w:tcPr>
            <w:tcW w:w="1132" w:type="dxa"/>
          </w:tcPr>
          <w:p w14:paraId="06BE6AE0" w14:textId="77777777" w:rsidR="00DD13BF" w:rsidRDefault="00DD13BF" w:rsidP="00355A56">
            <w:pPr>
              <w:pStyle w:val="TableParagraph"/>
              <w:rPr>
                <w:sz w:val="20"/>
              </w:rPr>
            </w:pPr>
            <w:r w:rsidRPr="00FE2662">
              <w:rPr>
                <w:sz w:val="20"/>
              </w:rPr>
              <w:t>ERDF</w:t>
            </w:r>
          </w:p>
        </w:tc>
        <w:tc>
          <w:tcPr>
            <w:tcW w:w="3248" w:type="dxa"/>
          </w:tcPr>
          <w:p w14:paraId="5216BE76" w14:textId="77777777" w:rsidR="00DD13BF" w:rsidRDefault="00DD13BF" w:rsidP="00355A56">
            <w:pPr>
              <w:pStyle w:val="TableParagraph"/>
              <w:rPr>
                <w:sz w:val="20"/>
              </w:rPr>
            </w:pPr>
            <w:r>
              <w:rPr>
                <w:sz w:val="20"/>
              </w:rPr>
              <w:t>More developed</w:t>
            </w:r>
          </w:p>
        </w:tc>
        <w:tc>
          <w:tcPr>
            <w:tcW w:w="3098" w:type="dxa"/>
          </w:tcPr>
          <w:p w14:paraId="4D959058" w14:textId="77777777" w:rsidR="00DD13BF" w:rsidRDefault="00DD13BF" w:rsidP="00355A56">
            <w:pPr>
              <w:pStyle w:val="TableParagraph"/>
              <w:rPr>
                <w:sz w:val="20"/>
              </w:rPr>
            </w:pPr>
            <w:r w:rsidRPr="00C53775">
              <w:rPr>
                <w:color w:val="000000"/>
                <w:sz w:val="20"/>
              </w:rPr>
              <w:t>RSO1.3</w:t>
            </w:r>
          </w:p>
        </w:tc>
        <w:tc>
          <w:tcPr>
            <w:tcW w:w="1160" w:type="dxa"/>
          </w:tcPr>
          <w:p w14:paraId="7DCF6891" w14:textId="77777777" w:rsidR="00DD13BF" w:rsidRDefault="00DD13BF" w:rsidP="00355A56">
            <w:pPr>
              <w:pStyle w:val="TableParagraph"/>
              <w:rPr>
                <w:sz w:val="20"/>
              </w:rPr>
            </w:pPr>
            <w:r>
              <w:rPr>
                <w:sz w:val="20"/>
              </w:rPr>
              <w:t>24</w:t>
            </w:r>
          </w:p>
        </w:tc>
        <w:tc>
          <w:tcPr>
            <w:tcW w:w="2730" w:type="dxa"/>
          </w:tcPr>
          <w:p w14:paraId="18EB7266" w14:textId="77777777" w:rsidR="00DD13BF" w:rsidRDefault="00DD13BF" w:rsidP="00355A56">
            <w:pPr>
              <w:pStyle w:val="TableParagraph"/>
              <w:rPr>
                <w:sz w:val="20"/>
              </w:rPr>
            </w:pPr>
            <w:r>
              <w:rPr>
                <w:sz w:val="20"/>
              </w:rPr>
              <w:t>2,460,</w:t>
            </w:r>
            <w:r w:rsidRPr="00BA54A8">
              <w:rPr>
                <w:sz w:val="20"/>
              </w:rPr>
              <w:t>000</w:t>
            </w:r>
          </w:p>
        </w:tc>
      </w:tr>
      <w:tr w:rsidR="00DD13BF" w14:paraId="594F8738" w14:textId="77777777" w:rsidTr="00355A56">
        <w:trPr>
          <w:trHeight w:val="353"/>
        </w:trPr>
        <w:tc>
          <w:tcPr>
            <w:tcW w:w="2088" w:type="dxa"/>
          </w:tcPr>
          <w:p w14:paraId="0CBD4C76" w14:textId="77777777" w:rsidR="00DD13BF" w:rsidRDefault="00DD13BF" w:rsidP="00355A56">
            <w:pPr>
              <w:pStyle w:val="TableParagraph"/>
              <w:rPr>
                <w:sz w:val="20"/>
              </w:rPr>
            </w:pPr>
            <w:r>
              <w:rPr>
                <w:sz w:val="20"/>
              </w:rPr>
              <w:t>1</w:t>
            </w:r>
          </w:p>
        </w:tc>
        <w:tc>
          <w:tcPr>
            <w:tcW w:w="1132" w:type="dxa"/>
          </w:tcPr>
          <w:p w14:paraId="552B0F47" w14:textId="77777777" w:rsidR="00DD13BF" w:rsidRDefault="00DD13BF" w:rsidP="00355A56">
            <w:pPr>
              <w:pStyle w:val="TableParagraph"/>
              <w:rPr>
                <w:sz w:val="20"/>
              </w:rPr>
            </w:pPr>
            <w:r w:rsidRPr="00FE2662">
              <w:rPr>
                <w:sz w:val="20"/>
              </w:rPr>
              <w:t>ERDF</w:t>
            </w:r>
          </w:p>
        </w:tc>
        <w:tc>
          <w:tcPr>
            <w:tcW w:w="3248" w:type="dxa"/>
          </w:tcPr>
          <w:p w14:paraId="6FF5EA69" w14:textId="77777777" w:rsidR="00DD13BF" w:rsidRDefault="00DD13BF" w:rsidP="00355A56">
            <w:pPr>
              <w:pStyle w:val="TableParagraph"/>
              <w:rPr>
                <w:sz w:val="20"/>
              </w:rPr>
            </w:pPr>
            <w:r>
              <w:rPr>
                <w:sz w:val="20"/>
              </w:rPr>
              <w:t>Less developed</w:t>
            </w:r>
          </w:p>
        </w:tc>
        <w:tc>
          <w:tcPr>
            <w:tcW w:w="3098" w:type="dxa"/>
          </w:tcPr>
          <w:p w14:paraId="482EB342" w14:textId="77777777" w:rsidR="00DD13BF" w:rsidRDefault="00DD13BF" w:rsidP="00355A56">
            <w:pPr>
              <w:pStyle w:val="TableParagraph"/>
              <w:rPr>
                <w:sz w:val="20"/>
              </w:rPr>
            </w:pPr>
            <w:r w:rsidRPr="00C53775">
              <w:rPr>
                <w:color w:val="000000"/>
                <w:sz w:val="20"/>
              </w:rPr>
              <w:t>RSO1.3</w:t>
            </w:r>
          </w:p>
        </w:tc>
        <w:tc>
          <w:tcPr>
            <w:tcW w:w="1160" w:type="dxa"/>
          </w:tcPr>
          <w:p w14:paraId="429FC138" w14:textId="77777777" w:rsidR="00DD13BF" w:rsidRDefault="00DD13BF" w:rsidP="00355A56">
            <w:pPr>
              <w:pStyle w:val="TableParagraph"/>
              <w:rPr>
                <w:sz w:val="20"/>
              </w:rPr>
            </w:pPr>
            <w:r>
              <w:rPr>
                <w:sz w:val="20"/>
              </w:rPr>
              <w:t>33</w:t>
            </w:r>
          </w:p>
        </w:tc>
        <w:tc>
          <w:tcPr>
            <w:tcW w:w="2730" w:type="dxa"/>
          </w:tcPr>
          <w:p w14:paraId="05C45DCF" w14:textId="77777777" w:rsidR="00DD13BF" w:rsidRDefault="00DD13BF" w:rsidP="00355A56">
            <w:pPr>
              <w:pStyle w:val="TableParagraph"/>
              <w:rPr>
                <w:sz w:val="20"/>
              </w:rPr>
            </w:pPr>
            <w:r>
              <w:rPr>
                <w:sz w:val="20"/>
              </w:rPr>
              <w:t>109,792,353</w:t>
            </w:r>
          </w:p>
        </w:tc>
      </w:tr>
      <w:tr w:rsidR="00DD13BF" w14:paraId="74822FFB" w14:textId="77777777" w:rsidTr="00355A56">
        <w:trPr>
          <w:trHeight w:val="353"/>
        </w:trPr>
        <w:tc>
          <w:tcPr>
            <w:tcW w:w="2088" w:type="dxa"/>
          </w:tcPr>
          <w:p w14:paraId="5B0351F3" w14:textId="77777777" w:rsidR="00DD13BF" w:rsidRDefault="00DD13BF" w:rsidP="00355A56">
            <w:pPr>
              <w:pStyle w:val="TableParagraph"/>
              <w:rPr>
                <w:sz w:val="20"/>
              </w:rPr>
            </w:pPr>
            <w:r>
              <w:rPr>
                <w:sz w:val="20"/>
              </w:rPr>
              <w:lastRenderedPageBreak/>
              <w:t>1</w:t>
            </w:r>
          </w:p>
        </w:tc>
        <w:tc>
          <w:tcPr>
            <w:tcW w:w="1132" w:type="dxa"/>
          </w:tcPr>
          <w:p w14:paraId="296BB29E" w14:textId="77777777" w:rsidR="00DD13BF" w:rsidRDefault="00DD13BF" w:rsidP="00355A56">
            <w:pPr>
              <w:pStyle w:val="TableParagraph"/>
              <w:rPr>
                <w:sz w:val="20"/>
              </w:rPr>
            </w:pPr>
            <w:r w:rsidRPr="00FE2662">
              <w:rPr>
                <w:sz w:val="20"/>
              </w:rPr>
              <w:t>ERDF</w:t>
            </w:r>
          </w:p>
        </w:tc>
        <w:tc>
          <w:tcPr>
            <w:tcW w:w="3248" w:type="dxa"/>
          </w:tcPr>
          <w:p w14:paraId="23B01AFC" w14:textId="77777777" w:rsidR="00DD13BF" w:rsidRDefault="00DD13BF" w:rsidP="00355A56">
            <w:pPr>
              <w:pStyle w:val="TableParagraph"/>
              <w:rPr>
                <w:sz w:val="20"/>
              </w:rPr>
            </w:pPr>
            <w:r>
              <w:rPr>
                <w:sz w:val="20"/>
              </w:rPr>
              <w:t>More developed</w:t>
            </w:r>
          </w:p>
        </w:tc>
        <w:tc>
          <w:tcPr>
            <w:tcW w:w="3098" w:type="dxa"/>
          </w:tcPr>
          <w:p w14:paraId="3608093E" w14:textId="77777777" w:rsidR="00DD13BF" w:rsidRDefault="00DD13BF" w:rsidP="00355A56">
            <w:pPr>
              <w:pStyle w:val="TableParagraph"/>
              <w:rPr>
                <w:sz w:val="20"/>
              </w:rPr>
            </w:pPr>
            <w:r w:rsidRPr="00C53775">
              <w:rPr>
                <w:color w:val="000000"/>
                <w:sz w:val="20"/>
              </w:rPr>
              <w:t>RSO1.3</w:t>
            </w:r>
          </w:p>
        </w:tc>
        <w:tc>
          <w:tcPr>
            <w:tcW w:w="1160" w:type="dxa"/>
          </w:tcPr>
          <w:p w14:paraId="6D57653D" w14:textId="77777777" w:rsidR="00DD13BF" w:rsidRDefault="00DD13BF" w:rsidP="00355A56">
            <w:pPr>
              <w:pStyle w:val="TableParagraph"/>
              <w:rPr>
                <w:sz w:val="20"/>
              </w:rPr>
            </w:pPr>
            <w:r>
              <w:rPr>
                <w:sz w:val="20"/>
              </w:rPr>
              <w:t>33</w:t>
            </w:r>
          </w:p>
        </w:tc>
        <w:tc>
          <w:tcPr>
            <w:tcW w:w="2730" w:type="dxa"/>
          </w:tcPr>
          <w:p w14:paraId="4CD3CD92" w14:textId="77777777" w:rsidR="00DD13BF" w:rsidRDefault="00DD13BF" w:rsidP="00355A56">
            <w:pPr>
              <w:pStyle w:val="TableParagraph"/>
              <w:rPr>
                <w:sz w:val="20"/>
              </w:rPr>
            </w:pPr>
            <w:r>
              <w:rPr>
                <w:sz w:val="20"/>
              </w:rPr>
              <w:t>60,459,472</w:t>
            </w:r>
          </w:p>
        </w:tc>
      </w:tr>
    </w:tbl>
    <w:p w14:paraId="41779723" w14:textId="77777777" w:rsidR="00DD13BF" w:rsidRDefault="00DD13BF" w:rsidP="00DD13BF"/>
    <w:p w14:paraId="23EDE35F" w14:textId="77777777" w:rsidR="00DD13BF" w:rsidRDefault="00DD13BF" w:rsidP="00DD13BF">
      <w:pPr>
        <w:ind w:left="339"/>
      </w:pPr>
      <w:r>
        <w:rPr>
          <w:spacing w:val="-5"/>
        </w:rPr>
        <w:t>Table</w:t>
      </w:r>
      <w:r>
        <w:rPr>
          <w:spacing w:val="14"/>
        </w:rPr>
        <w:t xml:space="preserve"> </w:t>
      </w:r>
      <w:r>
        <w:rPr>
          <w:spacing w:val="-5"/>
        </w:rPr>
        <w:t>7:</w:t>
      </w:r>
      <w:r>
        <w:rPr>
          <w:spacing w:val="-9"/>
        </w:rPr>
        <w:t xml:space="preserve"> Dimension</w:t>
      </w:r>
      <w:r>
        <w:rPr>
          <w:spacing w:val="-5"/>
        </w:rPr>
        <w:t xml:space="preserve"> 6</w:t>
      </w:r>
      <w:r>
        <w:rPr>
          <w:spacing w:val="-2"/>
        </w:rPr>
        <w:t xml:space="preserve"> </w:t>
      </w:r>
      <w:r>
        <w:rPr>
          <w:spacing w:val="-5"/>
        </w:rPr>
        <w:t>–</w:t>
      </w:r>
      <w:r>
        <w:rPr>
          <w:spacing w:val="-2"/>
        </w:rPr>
        <w:t xml:space="preserve"> ESF+ secondary themes</w:t>
      </w:r>
    </w:p>
    <w:p w14:paraId="78387C30"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7"/>
        <w:gridCol w:w="1132"/>
        <w:gridCol w:w="3248"/>
        <w:gridCol w:w="3098"/>
        <w:gridCol w:w="1160"/>
        <w:gridCol w:w="2730"/>
      </w:tblGrid>
      <w:tr w:rsidR="00DD13BF" w14:paraId="64931F4D" w14:textId="77777777" w:rsidTr="00355A56">
        <w:trPr>
          <w:trHeight w:val="353"/>
        </w:trPr>
        <w:tc>
          <w:tcPr>
            <w:tcW w:w="2057" w:type="dxa"/>
          </w:tcPr>
          <w:p w14:paraId="2A0144FC" w14:textId="77777777" w:rsidR="00DD13BF" w:rsidRDefault="00DD13BF" w:rsidP="00355A56">
            <w:pPr>
              <w:pStyle w:val="TableParagraph"/>
              <w:ind w:left="115"/>
              <w:jc w:val="center"/>
            </w:pPr>
            <w:r>
              <w:rPr>
                <w:spacing w:val="-2"/>
              </w:rPr>
              <w:t>Priority No</w:t>
            </w:r>
          </w:p>
        </w:tc>
        <w:tc>
          <w:tcPr>
            <w:tcW w:w="1132" w:type="dxa"/>
          </w:tcPr>
          <w:p w14:paraId="0DC041A8" w14:textId="77777777" w:rsidR="00DD13BF" w:rsidRDefault="00DD13BF" w:rsidP="00355A56">
            <w:pPr>
              <w:pStyle w:val="TableParagraph"/>
              <w:ind w:left="321"/>
            </w:pPr>
            <w:r>
              <w:t>Fund</w:t>
            </w:r>
          </w:p>
        </w:tc>
        <w:tc>
          <w:tcPr>
            <w:tcW w:w="3248" w:type="dxa"/>
          </w:tcPr>
          <w:p w14:paraId="23A36FCC" w14:textId="77777777" w:rsidR="00DD13BF" w:rsidRDefault="00DD13BF" w:rsidP="00355A56">
            <w:pPr>
              <w:pStyle w:val="TableParagraph"/>
              <w:ind w:left="909"/>
            </w:pPr>
            <w:r>
              <w:rPr>
                <w:spacing w:val="-3"/>
              </w:rPr>
              <w:t>Category of region</w:t>
            </w:r>
          </w:p>
        </w:tc>
        <w:tc>
          <w:tcPr>
            <w:tcW w:w="3098" w:type="dxa"/>
          </w:tcPr>
          <w:p w14:paraId="5004AD90" w14:textId="77777777" w:rsidR="00DD13BF" w:rsidRDefault="00DD13BF" w:rsidP="00355A56">
            <w:pPr>
              <w:pStyle w:val="TableParagraph"/>
              <w:ind w:left="950"/>
            </w:pPr>
            <w:r>
              <w:rPr>
                <w:spacing w:val="-4"/>
              </w:rPr>
              <w:t>Specific objective</w:t>
            </w:r>
          </w:p>
        </w:tc>
        <w:tc>
          <w:tcPr>
            <w:tcW w:w="1160" w:type="dxa"/>
          </w:tcPr>
          <w:p w14:paraId="5E835FF4" w14:textId="77777777" w:rsidR="00DD13BF" w:rsidRDefault="00DD13BF" w:rsidP="00355A56">
            <w:pPr>
              <w:pStyle w:val="TableParagraph"/>
              <w:ind w:left="337"/>
            </w:pPr>
            <w:r>
              <w:t xml:space="preserve">Code </w:t>
            </w:r>
          </w:p>
        </w:tc>
        <w:tc>
          <w:tcPr>
            <w:tcW w:w="2730" w:type="dxa"/>
          </w:tcPr>
          <w:p w14:paraId="7104EA08" w14:textId="77777777" w:rsidR="00DD13BF" w:rsidRDefault="00DD13BF" w:rsidP="00355A56">
            <w:pPr>
              <w:pStyle w:val="TableParagraph"/>
              <w:ind w:left="665"/>
            </w:pPr>
            <w:r>
              <w:t>Amount (in EUR)</w:t>
            </w:r>
          </w:p>
        </w:tc>
      </w:tr>
    </w:tbl>
    <w:p w14:paraId="7B24CA79" w14:textId="77777777" w:rsidR="00DD13BF" w:rsidRPr="00673ADB" w:rsidRDefault="00DD13BF" w:rsidP="00DD13BF"/>
    <w:p w14:paraId="4D788DAD" w14:textId="77777777" w:rsidR="00DD13BF" w:rsidRDefault="00DD13BF" w:rsidP="00DD13BF">
      <w:pPr>
        <w:ind w:left="339"/>
      </w:pPr>
      <w:r>
        <w:rPr>
          <w:spacing w:val="-5"/>
        </w:rPr>
        <w:t>Table</w:t>
      </w:r>
      <w:r>
        <w:rPr>
          <w:spacing w:val="13"/>
        </w:rPr>
        <w:t xml:space="preserve"> </w:t>
      </w:r>
      <w:r>
        <w:rPr>
          <w:spacing w:val="-5"/>
        </w:rPr>
        <w:t>8:</w:t>
      </w:r>
      <w:r>
        <w:rPr>
          <w:spacing w:val="-9"/>
        </w:rPr>
        <w:t xml:space="preserve"> Dimension</w:t>
      </w:r>
      <w:r>
        <w:rPr>
          <w:spacing w:val="-5"/>
        </w:rPr>
        <w:t xml:space="preserve"> 7</w:t>
      </w:r>
      <w:r>
        <w:rPr>
          <w:spacing w:val="-3"/>
        </w:rPr>
        <w:t xml:space="preserve"> </w:t>
      </w:r>
      <w:r>
        <w:rPr>
          <w:spacing w:val="-5"/>
        </w:rPr>
        <w:t>–</w:t>
      </w:r>
      <w:r>
        <w:rPr>
          <w:spacing w:val="-3"/>
        </w:rPr>
        <w:t xml:space="preserve"> E</w:t>
      </w:r>
      <w:r>
        <w:t>SF+*, ERDF, Cohesion Fund and JTF gender equality dimension</w:t>
      </w:r>
    </w:p>
    <w:p w14:paraId="24DFFA4B" w14:textId="77777777" w:rsidR="00DD13BF" w:rsidRDefault="00DD13BF" w:rsidP="00DD13BF">
      <w:pPr>
        <w:rPr>
          <w:sz w:val="21"/>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1132"/>
        <w:gridCol w:w="3248"/>
        <w:gridCol w:w="3098"/>
        <w:gridCol w:w="1160"/>
        <w:gridCol w:w="2730"/>
      </w:tblGrid>
      <w:tr w:rsidR="00DD13BF" w14:paraId="6BCED461" w14:textId="77777777" w:rsidTr="00355A56">
        <w:trPr>
          <w:trHeight w:val="353"/>
        </w:trPr>
        <w:tc>
          <w:tcPr>
            <w:tcW w:w="2126" w:type="dxa"/>
          </w:tcPr>
          <w:p w14:paraId="3F91DDEC" w14:textId="77777777" w:rsidR="00DD13BF" w:rsidRDefault="00DD13BF" w:rsidP="00355A56">
            <w:pPr>
              <w:pStyle w:val="TableParagraph"/>
              <w:ind w:left="115"/>
              <w:jc w:val="center"/>
            </w:pPr>
            <w:r>
              <w:rPr>
                <w:spacing w:val="-2"/>
              </w:rPr>
              <w:t>Priority No</w:t>
            </w:r>
          </w:p>
        </w:tc>
        <w:tc>
          <w:tcPr>
            <w:tcW w:w="1132" w:type="dxa"/>
          </w:tcPr>
          <w:p w14:paraId="59FB75EF" w14:textId="77777777" w:rsidR="00DD13BF" w:rsidRDefault="00DD13BF" w:rsidP="00355A56">
            <w:pPr>
              <w:pStyle w:val="TableParagraph"/>
              <w:ind w:left="320"/>
            </w:pPr>
            <w:r>
              <w:t>Fund</w:t>
            </w:r>
          </w:p>
        </w:tc>
        <w:tc>
          <w:tcPr>
            <w:tcW w:w="3248" w:type="dxa"/>
          </w:tcPr>
          <w:p w14:paraId="1EE82B71" w14:textId="77777777" w:rsidR="00DD13BF" w:rsidRDefault="00DD13BF" w:rsidP="00355A56">
            <w:pPr>
              <w:pStyle w:val="TableParagraph"/>
              <w:ind w:left="908"/>
            </w:pPr>
            <w:r>
              <w:rPr>
                <w:spacing w:val="-3"/>
              </w:rPr>
              <w:t>Category of region</w:t>
            </w:r>
          </w:p>
        </w:tc>
        <w:tc>
          <w:tcPr>
            <w:tcW w:w="3098" w:type="dxa"/>
          </w:tcPr>
          <w:p w14:paraId="4BD74AD1" w14:textId="77777777" w:rsidR="00DD13BF" w:rsidRDefault="00DD13BF" w:rsidP="00355A56">
            <w:pPr>
              <w:pStyle w:val="TableParagraph"/>
              <w:ind w:left="950"/>
            </w:pPr>
            <w:r>
              <w:rPr>
                <w:spacing w:val="-4"/>
              </w:rPr>
              <w:t>Specific objective</w:t>
            </w:r>
          </w:p>
        </w:tc>
        <w:tc>
          <w:tcPr>
            <w:tcW w:w="1160" w:type="dxa"/>
          </w:tcPr>
          <w:p w14:paraId="1D5E19AE" w14:textId="77777777" w:rsidR="00DD13BF" w:rsidRDefault="00DD13BF" w:rsidP="00355A56">
            <w:pPr>
              <w:pStyle w:val="TableParagraph"/>
              <w:ind w:left="336"/>
            </w:pPr>
            <w:r>
              <w:t xml:space="preserve">Code </w:t>
            </w:r>
          </w:p>
        </w:tc>
        <w:tc>
          <w:tcPr>
            <w:tcW w:w="2730" w:type="dxa"/>
          </w:tcPr>
          <w:p w14:paraId="3E0BF550" w14:textId="77777777" w:rsidR="00DD13BF" w:rsidRDefault="00DD13BF" w:rsidP="00355A56">
            <w:pPr>
              <w:pStyle w:val="TableParagraph"/>
              <w:ind w:left="664"/>
            </w:pPr>
            <w:r>
              <w:t>Amount (in EUR)</w:t>
            </w:r>
          </w:p>
        </w:tc>
      </w:tr>
      <w:tr w:rsidR="00DD13BF" w14:paraId="002E8740" w14:textId="77777777" w:rsidTr="00355A56">
        <w:trPr>
          <w:trHeight w:val="353"/>
        </w:trPr>
        <w:tc>
          <w:tcPr>
            <w:tcW w:w="2126" w:type="dxa"/>
          </w:tcPr>
          <w:p w14:paraId="78B670AA" w14:textId="77777777" w:rsidR="00DD13BF" w:rsidRDefault="00DD13BF" w:rsidP="00355A56">
            <w:pPr>
              <w:pStyle w:val="TableParagraph"/>
              <w:rPr>
                <w:sz w:val="20"/>
              </w:rPr>
            </w:pPr>
            <w:r>
              <w:rPr>
                <w:sz w:val="20"/>
              </w:rPr>
              <w:t>1</w:t>
            </w:r>
          </w:p>
        </w:tc>
        <w:tc>
          <w:tcPr>
            <w:tcW w:w="1132" w:type="dxa"/>
          </w:tcPr>
          <w:p w14:paraId="0A0D2B76" w14:textId="77777777" w:rsidR="00DD13BF" w:rsidRPr="001E0450" w:rsidRDefault="00DD13BF" w:rsidP="00355A56">
            <w:pPr>
              <w:pStyle w:val="TableParagraph"/>
              <w:rPr>
                <w:sz w:val="20"/>
              </w:rPr>
            </w:pPr>
            <w:r w:rsidRPr="001E0450">
              <w:rPr>
                <w:sz w:val="20"/>
              </w:rPr>
              <w:t>ERDF</w:t>
            </w:r>
          </w:p>
        </w:tc>
        <w:tc>
          <w:tcPr>
            <w:tcW w:w="3248" w:type="dxa"/>
          </w:tcPr>
          <w:p w14:paraId="36491187" w14:textId="77777777" w:rsidR="00DD13BF" w:rsidRPr="001E0450" w:rsidRDefault="00DD13BF" w:rsidP="00355A56">
            <w:pPr>
              <w:pStyle w:val="TableParagraph"/>
              <w:rPr>
                <w:sz w:val="20"/>
              </w:rPr>
            </w:pPr>
            <w:r>
              <w:rPr>
                <w:sz w:val="20"/>
              </w:rPr>
              <w:t>Less developed</w:t>
            </w:r>
          </w:p>
        </w:tc>
        <w:tc>
          <w:tcPr>
            <w:tcW w:w="3098" w:type="dxa"/>
          </w:tcPr>
          <w:p w14:paraId="2C3242B5" w14:textId="77777777" w:rsidR="00DD13BF" w:rsidRDefault="00DD13BF" w:rsidP="00355A56">
            <w:pPr>
              <w:pStyle w:val="TableParagraph"/>
              <w:rPr>
                <w:sz w:val="20"/>
              </w:rPr>
            </w:pPr>
            <w:r w:rsidRPr="000F303F">
              <w:rPr>
                <w:color w:val="000000"/>
                <w:sz w:val="20"/>
              </w:rPr>
              <w:t>RSO1.3</w:t>
            </w:r>
          </w:p>
        </w:tc>
        <w:tc>
          <w:tcPr>
            <w:tcW w:w="1160" w:type="dxa"/>
          </w:tcPr>
          <w:p w14:paraId="1F35EB5A" w14:textId="77777777" w:rsidR="00DD13BF" w:rsidRDefault="00DD13BF" w:rsidP="00355A56">
            <w:pPr>
              <w:pStyle w:val="TableParagraph"/>
              <w:spacing w:line="259" w:lineRule="auto"/>
              <w:rPr>
                <w:sz w:val="20"/>
              </w:rPr>
            </w:pPr>
            <w:r w:rsidRPr="1F082729">
              <w:rPr>
                <w:sz w:val="20"/>
              </w:rPr>
              <w:t>01</w:t>
            </w:r>
          </w:p>
        </w:tc>
        <w:tc>
          <w:tcPr>
            <w:tcW w:w="2730" w:type="dxa"/>
          </w:tcPr>
          <w:p w14:paraId="7292AE1D" w14:textId="77777777" w:rsidR="00DD13BF" w:rsidRPr="00F41AAB" w:rsidRDefault="00DD13BF" w:rsidP="00355A56">
            <w:pPr>
              <w:pStyle w:val="TableParagraph"/>
              <w:rPr>
                <w:sz w:val="20"/>
              </w:rPr>
            </w:pPr>
            <w:r>
              <w:rPr>
                <w:sz w:val="20"/>
              </w:rPr>
              <w:t>2,415,</w:t>
            </w:r>
            <w:r w:rsidRPr="00F41AAB">
              <w:rPr>
                <w:sz w:val="20"/>
              </w:rPr>
              <w:t>000</w:t>
            </w:r>
          </w:p>
        </w:tc>
      </w:tr>
      <w:tr w:rsidR="00DD13BF" w14:paraId="600FCECF" w14:textId="77777777" w:rsidTr="00355A56">
        <w:trPr>
          <w:trHeight w:val="353"/>
        </w:trPr>
        <w:tc>
          <w:tcPr>
            <w:tcW w:w="2126" w:type="dxa"/>
          </w:tcPr>
          <w:p w14:paraId="14074758" w14:textId="77777777" w:rsidR="00DD13BF" w:rsidRDefault="00DD13BF" w:rsidP="00355A56">
            <w:pPr>
              <w:pStyle w:val="TableParagraph"/>
              <w:rPr>
                <w:sz w:val="20"/>
              </w:rPr>
            </w:pPr>
            <w:r>
              <w:rPr>
                <w:sz w:val="20"/>
              </w:rPr>
              <w:t>1</w:t>
            </w:r>
          </w:p>
        </w:tc>
        <w:tc>
          <w:tcPr>
            <w:tcW w:w="1132" w:type="dxa"/>
          </w:tcPr>
          <w:p w14:paraId="7648AB12" w14:textId="77777777" w:rsidR="00DD13BF" w:rsidRPr="001E0450" w:rsidRDefault="00DD13BF" w:rsidP="00355A56">
            <w:pPr>
              <w:pStyle w:val="TableParagraph"/>
              <w:rPr>
                <w:sz w:val="20"/>
              </w:rPr>
            </w:pPr>
            <w:r w:rsidRPr="001E0450">
              <w:rPr>
                <w:sz w:val="20"/>
              </w:rPr>
              <w:t>ERDF</w:t>
            </w:r>
          </w:p>
        </w:tc>
        <w:tc>
          <w:tcPr>
            <w:tcW w:w="3248" w:type="dxa"/>
          </w:tcPr>
          <w:p w14:paraId="5CD7D146" w14:textId="77777777" w:rsidR="00DD13BF" w:rsidRPr="001E0450" w:rsidRDefault="00DD13BF" w:rsidP="00355A56">
            <w:pPr>
              <w:pStyle w:val="TableParagraph"/>
              <w:rPr>
                <w:sz w:val="20"/>
              </w:rPr>
            </w:pPr>
            <w:r>
              <w:rPr>
                <w:sz w:val="20"/>
              </w:rPr>
              <w:t>More developed</w:t>
            </w:r>
          </w:p>
        </w:tc>
        <w:tc>
          <w:tcPr>
            <w:tcW w:w="3098" w:type="dxa"/>
          </w:tcPr>
          <w:p w14:paraId="5E844085" w14:textId="77777777" w:rsidR="00DD13BF" w:rsidRDefault="00DD13BF" w:rsidP="00355A56">
            <w:pPr>
              <w:pStyle w:val="TableParagraph"/>
              <w:rPr>
                <w:sz w:val="20"/>
              </w:rPr>
            </w:pPr>
            <w:r w:rsidRPr="000F303F">
              <w:rPr>
                <w:color w:val="000000"/>
                <w:sz w:val="20"/>
              </w:rPr>
              <w:t>RSO1.3</w:t>
            </w:r>
          </w:p>
        </w:tc>
        <w:tc>
          <w:tcPr>
            <w:tcW w:w="1160" w:type="dxa"/>
          </w:tcPr>
          <w:p w14:paraId="12AC2335" w14:textId="77777777" w:rsidR="00DD13BF" w:rsidRDefault="00DD13BF" w:rsidP="00355A56">
            <w:pPr>
              <w:pStyle w:val="TableParagraph"/>
              <w:rPr>
                <w:sz w:val="20"/>
              </w:rPr>
            </w:pPr>
            <w:r w:rsidRPr="1F082729">
              <w:rPr>
                <w:sz w:val="20"/>
              </w:rPr>
              <w:t>01</w:t>
            </w:r>
          </w:p>
        </w:tc>
        <w:tc>
          <w:tcPr>
            <w:tcW w:w="2730" w:type="dxa"/>
          </w:tcPr>
          <w:p w14:paraId="70CF6984" w14:textId="77777777" w:rsidR="00DD13BF" w:rsidRPr="00F41AAB" w:rsidRDefault="00DD13BF" w:rsidP="00355A56">
            <w:pPr>
              <w:pStyle w:val="TableParagraph"/>
              <w:rPr>
                <w:sz w:val="20"/>
              </w:rPr>
            </w:pPr>
            <w:r>
              <w:rPr>
                <w:sz w:val="20"/>
              </w:rPr>
              <w:t>585,</w:t>
            </w:r>
            <w:r w:rsidRPr="00F41AAB">
              <w:rPr>
                <w:sz w:val="20"/>
              </w:rPr>
              <w:t>000</w:t>
            </w:r>
          </w:p>
        </w:tc>
      </w:tr>
      <w:tr w:rsidR="00DD13BF" w14:paraId="57CDC802" w14:textId="77777777" w:rsidTr="00355A56">
        <w:trPr>
          <w:trHeight w:val="353"/>
        </w:trPr>
        <w:tc>
          <w:tcPr>
            <w:tcW w:w="2126" w:type="dxa"/>
          </w:tcPr>
          <w:p w14:paraId="597DBDBB" w14:textId="77777777" w:rsidR="00DD13BF" w:rsidRDefault="00DD13BF" w:rsidP="00355A56">
            <w:pPr>
              <w:pStyle w:val="TableParagraph"/>
              <w:rPr>
                <w:sz w:val="20"/>
              </w:rPr>
            </w:pPr>
            <w:r>
              <w:rPr>
                <w:sz w:val="20"/>
              </w:rPr>
              <w:t>1</w:t>
            </w:r>
          </w:p>
        </w:tc>
        <w:tc>
          <w:tcPr>
            <w:tcW w:w="1132" w:type="dxa"/>
          </w:tcPr>
          <w:p w14:paraId="47E4834D" w14:textId="77777777" w:rsidR="00DD13BF" w:rsidRPr="001E0450" w:rsidRDefault="00DD13BF" w:rsidP="00355A56">
            <w:pPr>
              <w:pStyle w:val="TableParagraph"/>
              <w:rPr>
                <w:sz w:val="20"/>
              </w:rPr>
            </w:pPr>
            <w:r w:rsidRPr="001E0450">
              <w:rPr>
                <w:sz w:val="20"/>
              </w:rPr>
              <w:t>ERDF</w:t>
            </w:r>
          </w:p>
        </w:tc>
        <w:tc>
          <w:tcPr>
            <w:tcW w:w="3248" w:type="dxa"/>
          </w:tcPr>
          <w:p w14:paraId="248E0F0B" w14:textId="77777777" w:rsidR="00DD13BF" w:rsidRPr="001E0450" w:rsidRDefault="00DD13BF" w:rsidP="00355A56">
            <w:pPr>
              <w:pStyle w:val="TableParagraph"/>
              <w:rPr>
                <w:sz w:val="20"/>
              </w:rPr>
            </w:pPr>
            <w:r>
              <w:rPr>
                <w:sz w:val="20"/>
              </w:rPr>
              <w:t>Less developed</w:t>
            </w:r>
          </w:p>
        </w:tc>
        <w:tc>
          <w:tcPr>
            <w:tcW w:w="3098" w:type="dxa"/>
          </w:tcPr>
          <w:p w14:paraId="78E3EC50" w14:textId="77777777" w:rsidR="00DD13BF" w:rsidRDefault="00DD13BF" w:rsidP="00355A56">
            <w:pPr>
              <w:pStyle w:val="TableParagraph"/>
              <w:rPr>
                <w:sz w:val="20"/>
              </w:rPr>
            </w:pPr>
            <w:r w:rsidRPr="000F303F">
              <w:rPr>
                <w:color w:val="000000"/>
                <w:sz w:val="20"/>
              </w:rPr>
              <w:t>RSO1.3</w:t>
            </w:r>
          </w:p>
        </w:tc>
        <w:tc>
          <w:tcPr>
            <w:tcW w:w="1160" w:type="dxa"/>
          </w:tcPr>
          <w:p w14:paraId="5AEDB8AA" w14:textId="77777777" w:rsidR="00DD13BF" w:rsidRDefault="00DD13BF" w:rsidP="00355A56">
            <w:pPr>
              <w:pStyle w:val="TableParagraph"/>
              <w:rPr>
                <w:sz w:val="20"/>
              </w:rPr>
            </w:pPr>
            <w:r>
              <w:rPr>
                <w:sz w:val="20"/>
              </w:rPr>
              <w:t>03</w:t>
            </w:r>
          </w:p>
        </w:tc>
        <w:tc>
          <w:tcPr>
            <w:tcW w:w="2730" w:type="dxa"/>
          </w:tcPr>
          <w:p w14:paraId="6CD2387B" w14:textId="77777777" w:rsidR="00DD13BF" w:rsidRPr="00F41AAB" w:rsidRDefault="00DD13BF" w:rsidP="00355A56">
            <w:pPr>
              <w:pStyle w:val="TableParagraph"/>
              <w:rPr>
                <w:sz w:val="20"/>
              </w:rPr>
            </w:pPr>
            <w:r>
              <w:rPr>
                <w:sz w:val="20"/>
              </w:rPr>
              <w:t>117,847,</w:t>
            </w:r>
            <w:r w:rsidRPr="00F41AAB">
              <w:rPr>
                <w:sz w:val="20"/>
              </w:rPr>
              <w:t>353</w:t>
            </w:r>
          </w:p>
        </w:tc>
      </w:tr>
      <w:tr w:rsidR="00DD13BF" w14:paraId="2858E747" w14:textId="77777777" w:rsidTr="00355A56">
        <w:trPr>
          <w:trHeight w:val="353"/>
        </w:trPr>
        <w:tc>
          <w:tcPr>
            <w:tcW w:w="2126" w:type="dxa"/>
          </w:tcPr>
          <w:p w14:paraId="0C7EE25A" w14:textId="77777777" w:rsidR="00DD13BF" w:rsidRDefault="00DD13BF" w:rsidP="00355A56">
            <w:pPr>
              <w:pStyle w:val="TableParagraph"/>
              <w:rPr>
                <w:sz w:val="20"/>
              </w:rPr>
            </w:pPr>
            <w:r>
              <w:rPr>
                <w:sz w:val="20"/>
              </w:rPr>
              <w:t>1</w:t>
            </w:r>
          </w:p>
        </w:tc>
        <w:tc>
          <w:tcPr>
            <w:tcW w:w="1132" w:type="dxa"/>
          </w:tcPr>
          <w:p w14:paraId="7ABE4034" w14:textId="77777777" w:rsidR="00DD13BF" w:rsidRPr="001E0450" w:rsidRDefault="00DD13BF" w:rsidP="00355A56">
            <w:pPr>
              <w:pStyle w:val="TableParagraph"/>
              <w:rPr>
                <w:sz w:val="20"/>
              </w:rPr>
            </w:pPr>
            <w:r w:rsidRPr="001E0450">
              <w:rPr>
                <w:sz w:val="20"/>
              </w:rPr>
              <w:t>ERDF</w:t>
            </w:r>
          </w:p>
        </w:tc>
        <w:tc>
          <w:tcPr>
            <w:tcW w:w="3248" w:type="dxa"/>
          </w:tcPr>
          <w:p w14:paraId="6FB1FCDB" w14:textId="77777777" w:rsidR="00DD13BF" w:rsidRPr="001E0450" w:rsidRDefault="00DD13BF" w:rsidP="00355A56">
            <w:pPr>
              <w:pStyle w:val="TableParagraph"/>
              <w:rPr>
                <w:sz w:val="20"/>
              </w:rPr>
            </w:pPr>
            <w:r>
              <w:rPr>
                <w:sz w:val="20"/>
              </w:rPr>
              <w:t>More developed</w:t>
            </w:r>
          </w:p>
        </w:tc>
        <w:tc>
          <w:tcPr>
            <w:tcW w:w="3098" w:type="dxa"/>
          </w:tcPr>
          <w:p w14:paraId="1A3E420A" w14:textId="77777777" w:rsidR="00DD13BF" w:rsidRDefault="00DD13BF" w:rsidP="00355A56">
            <w:pPr>
              <w:pStyle w:val="TableParagraph"/>
              <w:rPr>
                <w:sz w:val="20"/>
              </w:rPr>
            </w:pPr>
            <w:r w:rsidRPr="000F303F">
              <w:rPr>
                <w:color w:val="000000"/>
                <w:sz w:val="20"/>
              </w:rPr>
              <w:t>RSO1.3</w:t>
            </w:r>
          </w:p>
        </w:tc>
        <w:tc>
          <w:tcPr>
            <w:tcW w:w="1160" w:type="dxa"/>
          </w:tcPr>
          <w:p w14:paraId="6178436F" w14:textId="77777777" w:rsidR="00DD13BF" w:rsidRDefault="00DD13BF" w:rsidP="00355A56">
            <w:pPr>
              <w:pStyle w:val="TableParagraph"/>
              <w:rPr>
                <w:sz w:val="20"/>
              </w:rPr>
            </w:pPr>
            <w:r>
              <w:rPr>
                <w:sz w:val="20"/>
              </w:rPr>
              <w:t>03</w:t>
            </w:r>
          </w:p>
        </w:tc>
        <w:tc>
          <w:tcPr>
            <w:tcW w:w="2730" w:type="dxa"/>
          </w:tcPr>
          <w:p w14:paraId="5DBFF64E" w14:textId="77777777" w:rsidR="00DD13BF" w:rsidRPr="00F41AAB" w:rsidRDefault="00DD13BF" w:rsidP="00355A56">
            <w:pPr>
              <w:pStyle w:val="TableParagraph"/>
              <w:rPr>
                <w:sz w:val="20"/>
              </w:rPr>
            </w:pPr>
            <w:r>
              <w:rPr>
                <w:sz w:val="20"/>
              </w:rPr>
              <w:t>62,334,</w:t>
            </w:r>
            <w:r w:rsidRPr="00F41AAB">
              <w:rPr>
                <w:sz w:val="20"/>
              </w:rPr>
              <w:t>472</w:t>
            </w:r>
          </w:p>
        </w:tc>
      </w:tr>
    </w:tbl>
    <w:p w14:paraId="75AD5992" w14:textId="77777777" w:rsidR="00DD13BF" w:rsidRPr="00673ADB" w:rsidRDefault="00DD13BF" w:rsidP="00DD13BF">
      <w:pPr>
        <w:tabs>
          <w:tab w:val="left" w:pos="426"/>
        </w:tabs>
        <w:ind w:left="284"/>
        <w:rPr>
          <w:sz w:val="16"/>
          <w:szCs w:val="16"/>
        </w:rPr>
      </w:pPr>
      <w:r>
        <w:rPr>
          <w:b/>
          <w:position w:val="7"/>
          <w:sz w:val="15"/>
        </w:rPr>
        <w:t>*</w:t>
      </w:r>
      <w:r>
        <w:rPr>
          <w:b/>
          <w:position w:val="7"/>
          <w:sz w:val="15"/>
        </w:rPr>
        <w:tab/>
      </w:r>
      <w:r>
        <w:rPr>
          <w:sz w:val="16"/>
          <w:szCs w:val="16"/>
        </w:rPr>
        <w:t>In p</w:t>
      </w:r>
      <w:r w:rsidRPr="00BD78CB">
        <w:rPr>
          <w:sz w:val="16"/>
          <w:szCs w:val="16"/>
        </w:rPr>
        <w:t>rinciple, 40 % for the ESF+ contributes to gender tracking. 100 % is applicable when Member State chooses to use Article 6 ESF+ Regulation as well as programme specific actions in gender equality.</w:t>
      </w:r>
    </w:p>
    <w:p w14:paraId="16521A85" w14:textId="77777777" w:rsidR="00DD13BF" w:rsidRDefault="00DD13BF" w:rsidP="00DD13BF"/>
    <w:p w14:paraId="66D02A1E" w14:textId="77777777" w:rsidR="00DD13BF" w:rsidRDefault="00DD13BF" w:rsidP="00DD13BF"/>
    <w:p w14:paraId="5AECBDE1" w14:textId="77777777" w:rsidR="00DD13BF" w:rsidRDefault="00DD13BF" w:rsidP="00DD13BF">
      <w:pPr>
        <w:sectPr w:rsidR="00DD13BF" w:rsidSect="00FC3010">
          <w:headerReference w:type="default" r:id="rId29"/>
          <w:footerReference w:type="first" r:id="rId30"/>
          <w:type w:val="continuous"/>
          <w:pgSz w:w="16840" w:h="11910" w:orient="landscape"/>
          <w:pgMar w:top="1417" w:right="1417" w:bottom="1417" w:left="1417" w:header="708" w:footer="708" w:gutter="0"/>
          <w:cols w:space="708"/>
        </w:sectPr>
      </w:pPr>
    </w:p>
    <w:p w14:paraId="473D39AE" w14:textId="77777777" w:rsidR="00DD13BF" w:rsidRDefault="00DD13BF" w:rsidP="00DD13BF">
      <w:r>
        <w:br w:type="page"/>
      </w:r>
    </w:p>
    <w:p w14:paraId="12DA92FE" w14:textId="77777777" w:rsidR="00DD13BF" w:rsidRPr="00586646" w:rsidRDefault="00DD13BF" w:rsidP="00DD13BF">
      <w:pPr>
        <w:pStyle w:val="Naslov4"/>
        <w:ind w:left="1134"/>
      </w:pPr>
      <w:bookmarkStart w:id="18" w:name="_Toc131161700"/>
      <w:r>
        <w:lastRenderedPageBreak/>
        <w:t xml:space="preserve">Specific objective </w:t>
      </w:r>
      <w:r w:rsidRPr="00C0049B">
        <w:t xml:space="preserve">RSO1.4. </w:t>
      </w:r>
      <w:r>
        <w:t>Developing skills for smart specialisation, industrial transition and entrepreneurship (ERDF)</w:t>
      </w:r>
      <w:bookmarkEnd w:id="18"/>
      <w:r>
        <w:t xml:space="preserve">  </w:t>
      </w:r>
    </w:p>
    <w:p w14:paraId="6645D863" w14:textId="77777777" w:rsidR="00DD13BF" w:rsidRDefault="00DD13BF" w:rsidP="00DD13BF">
      <w:pPr>
        <w:rPr>
          <w:sz w:val="30"/>
        </w:rPr>
      </w:pPr>
    </w:p>
    <w:p w14:paraId="208B3E0F" w14:textId="77777777" w:rsidR="00DD13BF" w:rsidRPr="00C10464" w:rsidRDefault="00DD13BF" w:rsidP="00DD13BF">
      <w:pPr>
        <w:pStyle w:val="Naslov5"/>
        <w:spacing w:before="0"/>
      </w:pPr>
      <w:r>
        <w:t>Interventions of the Funds</w:t>
      </w:r>
    </w:p>
    <w:p w14:paraId="18D8951A" w14:textId="77777777" w:rsidR="00DD13BF" w:rsidRDefault="00DD13BF" w:rsidP="00DD13BF">
      <w:pPr>
        <w:rPr>
          <w:sz w:val="30"/>
        </w:rPr>
      </w:pPr>
    </w:p>
    <w:p w14:paraId="47DCBD25" w14:textId="77777777" w:rsidR="00DD13BF" w:rsidRPr="00B32726" w:rsidRDefault="00DD13BF" w:rsidP="00DD13BF">
      <w:pPr>
        <w:ind w:left="1349"/>
        <w:rPr>
          <w:spacing w:val="-2"/>
        </w:rPr>
      </w:pPr>
      <w:r>
        <w:rPr>
          <w:spacing w:val="-2"/>
        </w:rPr>
        <w:t>The related types of actions:</w:t>
      </w:r>
    </w:p>
    <w:p w14:paraId="7A50FED8"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066DD504" w14:textId="77777777" w:rsidTr="00355A56">
        <w:trPr>
          <w:trHeight w:val="316"/>
        </w:trPr>
        <w:tc>
          <w:tcPr>
            <w:tcW w:w="12758" w:type="dxa"/>
          </w:tcPr>
          <w:p w14:paraId="104D8C79" w14:textId="77777777" w:rsidR="00DD13BF" w:rsidRPr="00B5476E" w:rsidRDefault="00DD13BF" w:rsidP="00355A56">
            <w:pPr>
              <w:jc w:val="both"/>
              <w:rPr>
                <w:lang w:val="en-US" w:bidi="sl-SI"/>
              </w:rPr>
            </w:pPr>
            <w:r w:rsidRPr="00B5476E">
              <w:rPr>
                <w:lang w:val="en-US" w:bidi="sl-SI"/>
              </w:rPr>
              <w:t>In order to support further economic development of Slovenia, it is essential to boost the development of knowledge and skills that are needed for smart specialisation, industrial transition as well as green and digital transformation in all stages of the innovation cycle spanning development, roll-out and uptake of technologies and products both for development enterprises specialised in the development of state-of-the-art technologies (e.g. digital technologies, AI) and for the enterprises that use these technologies to develop new innovative products and services in all segments of the economy and society. This includes economic entities, knowledge institutions, stakeholders of the supportive environment of smart specialisation, including SRIPs and the public sector that must support R&amp;D through an innovative design of policies and regulations and as the early adopter/first user of innovative solutions (innovative, green, pre-commercial public procurement). These actions will help the country tackle skills and knowledge gaps and mismatches between the skills supply and demand. In particular, the actions will aim to:</w:t>
            </w:r>
          </w:p>
          <w:p w14:paraId="0A12B5EF" w14:textId="77777777" w:rsidR="00DD13BF" w:rsidRPr="00B5476E" w:rsidRDefault="00DD13BF" w:rsidP="00DD13BF">
            <w:pPr>
              <w:pStyle w:val="Odstavekseznama"/>
              <w:widowControl/>
              <w:numPr>
                <w:ilvl w:val="0"/>
                <w:numId w:val="9"/>
              </w:numPr>
              <w:autoSpaceDE/>
              <w:autoSpaceDN/>
              <w:jc w:val="both"/>
              <w:rPr>
                <w:rFonts w:ascii="Times New Roman" w:hAnsi="Times New Roman" w:cs="Times New Roman"/>
                <w:lang w:val="en-US" w:bidi="sl-SI"/>
              </w:rPr>
            </w:pPr>
            <w:r w:rsidRPr="00B5476E">
              <w:rPr>
                <w:rFonts w:ascii="Times New Roman" w:hAnsi="Times New Roman" w:cs="Times New Roman"/>
                <w:lang w:val="en-US" w:bidi="sl-SI"/>
              </w:rPr>
              <w:t>reduce capacity con</w:t>
            </w:r>
            <w:r>
              <w:rPr>
                <w:rFonts w:ascii="Times New Roman" w:hAnsi="Times New Roman" w:cs="Times New Roman"/>
                <w:lang w:val="en-US" w:bidi="sl-SI"/>
              </w:rPr>
              <w:t>s</w:t>
            </w:r>
            <w:r w:rsidRPr="00B5476E">
              <w:rPr>
                <w:rFonts w:ascii="Times New Roman" w:hAnsi="Times New Roman" w:cs="Times New Roman"/>
                <w:lang w:val="en-US" w:bidi="sl-SI"/>
              </w:rPr>
              <w:t xml:space="preserve">traints in the economy and tackle challenges associated with technological changes and industrial transition, and  </w:t>
            </w:r>
          </w:p>
          <w:p w14:paraId="0ADA393D" w14:textId="77777777" w:rsidR="00DD13BF" w:rsidRPr="00B5476E" w:rsidRDefault="00DD13BF" w:rsidP="00DD13BF">
            <w:pPr>
              <w:pStyle w:val="Odstavekseznama"/>
              <w:widowControl/>
              <w:numPr>
                <w:ilvl w:val="0"/>
                <w:numId w:val="9"/>
              </w:numPr>
              <w:autoSpaceDE/>
              <w:autoSpaceDN/>
              <w:jc w:val="both"/>
              <w:rPr>
                <w:rFonts w:ascii="Times New Roman" w:hAnsi="Times New Roman" w:cs="Times New Roman"/>
                <w:lang w:val="en-US" w:bidi="sl-SI"/>
              </w:rPr>
            </w:pPr>
            <w:r w:rsidRPr="00B5476E">
              <w:rPr>
                <w:rFonts w:ascii="Times New Roman" w:hAnsi="Times New Roman" w:cs="Times New Roman"/>
                <w:lang w:val="en-US" w:bidi="sl-SI"/>
              </w:rPr>
              <w:t>bolster the growth of SMEs and facilitate internationalisation</w:t>
            </w:r>
          </w:p>
          <w:p w14:paraId="70D2A177" w14:textId="77777777" w:rsidR="00DD13BF" w:rsidRPr="00B5476E" w:rsidRDefault="00DD13BF" w:rsidP="00355A56">
            <w:pPr>
              <w:jc w:val="both"/>
              <w:rPr>
                <w:lang w:val="en-US" w:bidi="sl-SI"/>
              </w:rPr>
            </w:pPr>
            <w:r w:rsidRPr="00B5476E">
              <w:rPr>
                <w:lang w:val="en-US" w:bidi="sl-SI"/>
              </w:rPr>
              <w:t>with a view to bridging the gap between the education system and the labour market, notably in S5 priority areas, as well as to investing in skills and competences in the area of social innovations. Certain complementary actions (the development and full op</w:t>
            </w:r>
            <w:r>
              <w:rPr>
                <w:lang w:val="en-US" w:bidi="sl-SI"/>
              </w:rPr>
              <w:t>eration of the Skills Fore</w:t>
            </w:r>
            <w:r w:rsidRPr="00B5476E">
              <w:rPr>
                <w:lang w:val="en-US" w:bidi="sl-SI"/>
              </w:rPr>
              <w:t xml:space="preserve">casting Platform </w:t>
            </w:r>
            <w:r>
              <w:rPr>
                <w:lang w:val="en-US" w:bidi="sl-SI"/>
              </w:rPr>
              <w:t xml:space="preserve">(SFP) tool as </w:t>
            </w:r>
            <w:r w:rsidRPr="00B5476E">
              <w:rPr>
                <w:lang w:val="en-US" w:bidi="sl-SI"/>
              </w:rPr>
              <w:t xml:space="preserve">the most important for S5 </w:t>
            </w:r>
            <w:r>
              <w:rPr>
                <w:lang w:val="en-US" w:bidi="sl-SI"/>
              </w:rPr>
              <w:t xml:space="preserve">among them) </w:t>
            </w:r>
            <w:r w:rsidRPr="00B5476E">
              <w:rPr>
                <w:lang w:val="en-US" w:bidi="sl-SI"/>
              </w:rPr>
              <w:t>will be carried out under PO 4 (detailed explanation is provided in the descript</w:t>
            </w:r>
            <w:r>
              <w:rPr>
                <w:lang w:val="en-US" w:bidi="sl-SI"/>
              </w:rPr>
              <w:t xml:space="preserve">ion of </w:t>
            </w:r>
            <w:r w:rsidRPr="00B5476E">
              <w:rPr>
                <w:lang w:val="en-US" w:bidi="sl-SI"/>
              </w:rPr>
              <w:t xml:space="preserve">actions). </w:t>
            </w:r>
          </w:p>
          <w:p w14:paraId="5B8936EF" w14:textId="77777777" w:rsidR="00DD13BF" w:rsidRPr="00B5476E" w:rsidRDefault="00DD13BF" w:rsidP="00355A56">
            <w:pPr>
              <w:jc w:val="both"/>
              <w:rPr>
                <w:rFonts w:cstheme="minorHAnsi"/>
                <w:lang w:val="en-US" w:bidi="sl-SI"/>
              </w:rPr>
            </w:pPr>
          </w:p>
          <w:p w14:paraId="3A0D4D76" w14:textId="77777777" w:rsidR="00DD13BF" w:rsidRPr="00B5476E" w:rsidRDefault="00DD13BF" w:rsidP="00355A56">
            <w:pPr>
              <w:jc w:val="both"/>
              <w:rPr>
                <w:rFonts w:cstheme="minorHAnsi"/>
                <w:lang w:val="en-US" w:bidi="sl-SI"/>
              </w:rPr>
            </w:pPr>
            <w:r w:rsidRPr="00B5476E">
              <w:rPr>
                <w:rFonts w:cstheme="minorHAnsi"/>
                <w:lang w:val="en-US" w:bidi="sl-SI"/>
              </w:rPr>
              <w:t xml:space="preserve">The following areas will be addressed under the specific objective: </w:t>
            </w:r>
          </w:p>
          <w:p w14:paraId="2B616B28" w14:textId="77777777" w:rsidR="00DD13BF" w:rsidRPr="00B5476E" w:rsidRDefault="00DD13BF" w:rsidP="00355A56">
            <w:pPr>
              <w:jc w:val="both"/>
              <w:rPr>
                <w:rFonts w:cstheme="minorHAnsi"/>
                <w:lang w:val="en-US" w:bidi="sl-SI"/>
              </w:rPr>
            </w:pPr>
          </w:p>
          <w:p w14:paraId="5358955A" w14:textId="77777777" w:rsidR="00DD13BF" w:rsidRPr="008A2D48" w:rsidRDefault="00DD13BF" w:rsidP="00DD13BF">
            <w:pPr>
              <w:pStyle w:val="Odstavekseznama"/>
              <w:widowControl/>
              <w:numPr>
                <w:ilvl w:val="0"/>
                <w:numId w:val="10"/>
              </w:numPr>
              <w:autoSpaceDE/>
              <w:autoSpaceDN/>
              <w:jc w:val="both"/>
              <w:rPr>
                <w:rFonts w:ascii="Times New Roman" w:hAnsi="Times New Roman" w:cs="Times New Roman"/>
                <w:i/>
                <w:lang w:val="en-US" w:bidi="sl-SI"/>
              </w:rPr>
            </w:pPr>
            <w:r w:rsidRPr="00B5476E">
              <w:rPr>
                <w:rFonts w:ascii="Times New Roman" w:hAnsi="Times New Roman" w:cs="Times New Roman"/>
                <w:i/>
                <w:lang w:val="en-US" w:bidi="sl-SI"/>
              </w:rPr>
              <w:t>strengthening knowledge and skills for smart specialisation, industrial transition and to support innovations for enterprises and other stakeholders in the economy</w:t>
            </w:r>
            <w:r w:rsidRPr="00B5476E">
              <w:rPr>
                <w:rFonts w:ascii="Times New Roman" w:hAnsi="Times New Roman" w:cs="Times New Roman"/>
                <w:lang w:val="en-US" w:bidi="sl-SI"/>
              </w:rPr>
              <w:t>;</w:t>
            </w:r>
            <w:r w:rsidRPr="00B5476E">
              <w:rPr>
                <w:rFonts w:ascii="Times New Roman" w:hAnsi="Times New Roman" w:cs="Times New Roman"/>
                <w:i/>
                <w:lang w:val="en-US" w:bidi="sl-SI"/>
              </w:rPr>
              <w:t xml:space="preserve"> </w:t>
            </w:r>
            <w:r w:rsidRPr="00B5476E">
              <w:rPr>
                <w:rFonts w:ascii="Times New Roman" w:hAnsi="Times New Roman" w:cs="Times New Roman"/>
                <w:lang w:val="en-US" w:bidi="sl-SI"/>
              </w:rPr>
              <w:t xml:space="preserve">in this context, activities will seek to further strengthen and focus the work of competence centres for human resources development in all priority areas and cross-cutting themes of S5 policy mix. The action aims to support the upskilling and development of competences of employees through the development of competence models, stronger linkages and networking between enterprises, exchange of knowledge, staff mobility and exchange of good practices in the framework and on the basis of competence centres for human resources development which have provided informal training and education already in the 2014-2020 period. The measure that has proved efficient and successful in the 2014-2020 period will be kept in the 2021-2027 period and will focus on improving and developing the relevant skills and competences of individual enterprises while improving the labour market position of employees by investing in employee training, fostering development change in enterprises and enhancing networking and linkages between enterprises. The implementation of the action and the involvement of employers in education planning will help boost growth and competitiveness of enterprises and tackle the mismatch between the skills and knowledge supply and demand in the labour </w:t>
            </w:r>
            <w:r w:rsidRPr="008A2D48">
              <w:rPr>
                <w:rFonts w:ascii="Times New Roman" w:hAnsi="Times New Roman" w:cs="Times New Roman"/>
                <w:lang w:val="en-US" w:bidi="sl-SI"/>
              </w:rPr>
              <w:lastRenderedPageBreak/>
              <w:t xml:space="preserve">market, while contributing in a complementary way to other measures promoted under smart specialisation. The new systemic tool that is currently being developed under specific </w:t>
            </w:r>
            <w:r>
              <w:rPr>
                <w:rFonts w:ascii="Times New Roman" w:hAnsi="Times New Roman" w:cs="Times New Roman"/>
                <w:lang w:val="en-US" w:bidi="sl-SI"/>
              </w:rPr>
              <w:t>objective ESO4.2, i.e. SFP</w:t>
            </w:r>
            <w:r w:rsidRPr="008A2D48">
              <w:rPr>
                <w:rFonts w:ascii="Times New Roman" w:hAnsi="Times New Roman" w:cs="Times New Roman"/>
                <w:lang w:val="en-US" w:bidi="sl-SI"/>
              </w:rPr>
              <w:t>, will play an important role in identifying investments in gaining different competences through training provided in the scope of individual career ce</w:t>
            </w:r>
            <w:r>
              <w:rPr>
                <w:rFonts w:ascii="Times New Roman" w:hAnsi="Times New Roman" w:cs="Times New Roman"/>
                <w:lang w:val="en-US" w:bidi="sl-SI"/>
              </w:rPr>
              <w:t>ntres. Once the platform is</w:t>
            </w:r>
            <w:r w:rsidRPr="008A2D48">
              <w:rPr>
                <w:rFonts w:ascii="Times New Roman" w:hAnsi="Times New Roman" w:cs="Times New Roman"/>
                <w:lang w:val="en-US" w:bidi="sl-SI"/>
              </w:rPr>
              <w:t xml:space="preserve"> operational, presumably in 2024, the complementarities will be two-way – the competence centres will use the data/results delivered by the SFP while feeding the SFP database with real-time data in line with their needs. The action is expected to have synergy effects with the adult education actions foreseen under specific objective ESO4.7 on lifelong learning;</w:t>
            </w:r>
          </w:p>
          <w:p w14:paraId="086683E7" w14:textId="77777777" w:rsidR="00DD13BF" w:rsidRPr="008A2D48" w:rsidRDefault="00DD13BF" w:rsidP="00355A56">
            <w:pPr>
              <w:jc w:val="both"/>
              <w:rPr>
                <w:i/>
                <w:lang w:val="en-US" w:bidi="sl-SI"/>
              </w:rPr>
            </w:pPr>
          </w:p>
          <w:p w14:paraId="5FDEDF1A" w14:textId="77777777" w:rsidR="00DD13BF" w:rsidRPr="008A2D48" w:rsidRDefault="00DD13BF" w:rsidP="00DD13BF">
            <w:pPr>
              <w:pStyle w:val="Odstavekseznama"/>
              <w:widowControl/>
              <w:numPr>
                <w:ilvl w:val="0"/>
                <w:numId w:val="10"/>
              </w:numPr>
              <w:autoSpaceDE/>
              <w:autoSpaceDN/>
              <w:jc w:val="both"/>
              <w:rPr>
                <w:rFonts w:ascii="Times New Roman" w:hAnsi="Times New Roman" w:cs="Times New Roman"/>
                <w:i/>
                <w:lang w:val="en-US" w:bidi="sl-SI"/>
              </w:rPr>
            </w:pPr>
            <w:r w:rsidRPr="008A2D48">
              <w:rPr>
                <w:rFonts w:ascii="Times New Roman" w:hAnsi="Times New Roman" w:cs="Times New Roman"/>
                <w:i/>
                <w:lang w:val="en-US" w:bidi="sl-SI"/>
              </w:rPr>
              <w:t xml:space="preserve">developing and implementing flexible </w:t>
            </w:r>
            <w:r>
              <w:rPr>
                <w:rFonts w:ascii="Times New Roman" w:hAnsi="Times New Roman" w:cs="Times New Roman"/>
                <w:i/>
                <w:lang w:val="en-US" w:bidi="sl-SI"/>
              </w:rPr>
              <w:t>learning pathways</w:t>
            </w:r>
            <w:r w:rsidRPr="008A2D48">
              <w:rPr>
                <w:rFonts w:ascii="Times New Roman" w:hAnsi="Times New Roman" w:cs="Times New Roman"/>
                <w:i/>
                <w:lang w:val="en-US" w:bidi="sl-SI"/>
              </w:rPr>
              <w:t xml:space="preserve"> for</w:t>
            </w:r>
            <w:r>
              <w:rPr>
                <w:rFonts w:ascii="Times New Roman" w:hAnsi="Times New Roman" w:cs="Times New Roman"/>
                <w:i/>
                <w:lang w:val="en-US" w:bidi="sl-SI"/>
              </w:rPr>
              <w:t xml:space="preserve"> upskilling of graduates</w:t>
            </w:r>
            <w:r w:rsidRPr="008A2D48">
              <w:rPr>
                <w:rFonts w:ascii="Times New Roman" w:hAnsi="Times New Roman" w:cs="Times New Roman"/>
                <w:i/>
                <w:lang w:val="en-US" w:bidi="sl-SI"/>
              </w:rPr>
              <w:t xml:space="preserve"> and micro-credentials, </w:t>
            </w:r>
            <w:r w:rsidRPr="008A2D48">
              <w:rPr>
                <w:rFonts w:ascii="Times New Roman" w:hAnsi="Times New Roman" w:cs="Times New Roman"/>
                <w:lang w:val="en-US" w:bidi="sl-SI"/>
              </w:rPr>
              <w:t xml:space="preserve">notably in S5 priority areas and in direct collaboration with SRIPS or the economy to speed up and </w:t>
            </w:r>
            <w:r>
              <w:rPr>
                <w:rFonts w:ascii="Times New Roman" w:hAnsi="Times New Roman" w:cs="Times New Roman"/>
                <w:lang w:val="en-US" w:bidi="sl-SI"/>
              </w:rPr>
              <w:t>facilitate</w:t>
            </w:r>
            <w:r w:rsidRPr="008A2D48">
              <w:rPr>
                <w:rFonts w:ascii="Times New Roman" w:hAnsi="Times New Roman" w:cs="Times New Roman"/>
                <w:lang w:val="en-US" w:bidi="sl-SI"/>
              </w:rPr>
              <w:t xml:space="preserve"> the transition from the education system to the labour market and to </w:t>
            </w:r>
            <w:r>
              <w:rPr>
                <w:rFonts w:ascii="Times New Roman" w:hAnsi="Times New Roman" w:cs="Times New Roman"/>
                <w:lang w:val="en-US" w:bidi="sl-SI"/>
              </w:rPr>
              <w:t xml:space="preserve">skills </w:t>
            </w:r>
            <w:r w:rsidRPr="008A2D48">
              <w:rPr>
                <w:rFonts w:ascii="Times New Roman" w:hAnsi="Times New Roman" w:cs="Times New Roman"/>
                <w:lang w:val="en-US" w:bidi="sl-SI"/>
              </w:rPr>
              <w:t xml:space="preserve">training of graduates. By </w:t>
            </w:r>
            <w:r>
              <w:rPr>
                <w:rFonts w:ascii="Times New Roman" w:hAnsi="Times New Roman" w:cs="Times New Roman"/>
                <w:lang w:val="en-US" w:bidi="sl-SI"/>
              </w:rPr>
              <w:t>offering</w:t>
            </w:r>
            <w:r w:rsidRPr="008A2D48">
              <w:rPr>
                <w:rFonts w:ascii="Times New Roman" w:hAnsi="Times New Roman" w:cs="Times New Roman"/>
                <w:lang w:val="en-US" w:bidi="sl-SI"/>
              </w:rPr>
              <w:t xml:space="preserve"> study programmes geared at upskilling, it is possible to bridge the gaps between the acquired subject-specific skills and knowledge of graduates and the expectations of employers more quickly. Unlike regular study programmes, </w:t>
            </w:r>
            <w:r>
              <w:rPr>
                <w:rFonts w:ascii="Times New Roman" w:hAnsi="Times New Roman" w:cs="Times New Roman"/>
                <w:lang w:val="en-US" w:bidi="sl-SI"/>
              </w:rPr>
              <w:t>flexible programmes</w:t>
            </w:r>
            <w:r w:rsidRPr="008A2D48">
              <w:rPr>
                <w:rFonts w:ascii="Times New Roman" w:hAnsi="Times New Roman" w:cs="Times New Roman"/>
                <w:lang w:val="en-US" w:bidi="sl-SI"/>
              </w:rPr>
              <w:t xml:space="preserve"> and other forms of micro-credentials are developed much faster, the courses are quicker and can help close the real-time gaps and needs in the labour market which makes them </w:t>
            </w:r>
            <w:r w:rsidRPr="008A2D48">
              <w:rPr>
                <w:rFonts w:ascii="Times New Roman" w:hAnsi="Times New Roman" w:cs="Times New Roman"/>
                <w:color w:val="000000"/>
                <w:shd w:val="clear" w:color="auto" w:fill="FFFFFF"/>
                <w:lang w:val="en-US"/>
              </w:rPr>
              <w:t xml:space="preserve">more relevant and responsive to workplace needs, in particular in the areas that are key in terms of development and use of knowledge and skills in priority areas identified in S5. </w:t>
            </w:r>
            <w:r w:rsidRPr="008A2D48">
              <w:rPr>
                <w:rFonts w:ascii="Times New Roman" w:hAnsi="Times New Roman" w:cs="Times New Roman"/>
                <w:lang w:val="en-US"/>
              </w:rPr>
              <w:t>E</w:t>
            </w:r>
            <w:r>
              <w:rPr>
                <w:rFonts w:ascii="Times New Roman" w:hAnsi="Times New Roman" w:cs="Times New Roman"/>
                <w:lang w:val="en-US"/>
              </w:rPr>
              <w:t>mployers ofte</w:t>
            </w:r>
            <w:r w:rsidRPr="008A2D48">
              <w:rPr>
                <w:rFonts w:ascii="Times New Roman" w:hAnsi="Times New Roman" w:cs="Times New Roman"/>
                <w:lang w:val="en-US"/>
              </w:rPr>
              <w:t xml:space="preserve">n seek narrow, specialised skills and expertise from graduates that cannot be achieved under conventional </w:t>
            </w:r>
            <w:r>
              <w:rPr>
                <w:rFonts w:ascii="Times New Roman" w:hAnsi="Times New Roman" w:cs="Times New Roman"/>
                <w:lang w:val="en-US"/>
              </w:rPr>
              <w:t>full-length degree courses</w:t>
            </w:r>
            <w:r w:rsidRPr="008A2D48">
              <w:rPr>
                <w:rFonts w:ascii="Times New Roman" w:hAnsi="Times New Roman" w:cs="Times New Roman"/>
                <w:lang w:val="en-US"/>
              </w:rPr>
              <w:t xml:space="preserve">. Shorter </w:t>
            </w:r>
            <w:r>
              <w:rPr>
                <w:rFonts w:ascii="Times New Roman" w:hAnsi="Times New Roman" w:cs="Times New Roman"/>
                <w:lang w:val="en-US"/>
              </w:rPr>
              <w:t xml:space="preserve">courses </w:t>
            </w:r>
            <w:r w:rsidRPr="008A2D48">
              <w:rPr>
                <w:rFonts w:ascii="Times New Roman" w:hAnsi="Times New Roman" w:cs="Times New Roman"/>
                <w:lang w:val="en-US"/>
              </w:rPr>
              <w:t>help broaden expertise and provide technical skills and knowledge in specific areas, which makes them responsive both to learner and employer needs. In this context, the role of higher education institutions in the co-creation and co-development of knowledge and skills in the scope of S5 priority areas should be expanded. The expected long-term effect of the action will manifest in better integration of higher education institutions in the wider environment through a mechani</w:t>
            </w:r>
            <w:r>
              <w:rPr>
                <w:rFonts w:ascii="Times New Roman" w:hAnsi="Times New Roman" w:cs="Times New Roman"/>
                <w:lang w:val="en-US"/>
              </w:rPr>
              <w:t>s</w:t>
            </w:r>
            <w:r w:rsidRPr="008A2D48">
              <w:rPr>
                <w:rFonts w:ascii="Times New Roman" w:hAnsi="Times New Roman" w:cs="Times New Roman"/>
                <w:lang w:val="en-US"/>
              </w:rPr>
              <w:t>m that will be in place to help identify short-term and medium-term needs for skills and knowledge provided by higher education institutions. In turn, the latter will provide feedback information to the developers of study programmes on the relevance of knowledge and skills of graduates for their career path in the local and wider environment. These steps will lead to enhanced role of higher education institutions in the area of lifelong learning, and help tackle/prevent the growing issue of graduate brain drain Slovenia has recently been facing. The role of the anticipated systemic tool, i.e. SFP, that will be developed under specific objective ESO4.2, wi</w:t>
            </w:r>
            <w:r>
              <w:rPr>
                <w:rFonts w:ascii="Times New Roman" w:hAnsi="Times New Roman" w:cs="Times New Roman"/>
                <w:lang w:val="en-US"/>
              </w:rPr>
              <w:t>ll be important in this context</w:t>
            </w:r>
            <w:r w:rsidRPr="008A2D48">
              <w:rPr>
                <w:rFonts w:ascii="Times New Roman" w:hAnsi="Times New Roman" w:cs="Times New Roman"/>
                <w:lang w:val="en-US"/>
              </w:rPr>
              <w:t xml:space="preserve"> </w:t>
            </w:r>
            <w:r>
              <w:rPr>
                <w:rFonts w:ascii="Times New Roman" w:hAnsi="Times New Roman" w:cs="Times New Roman"/>
                <w:lang w:val="en-US"/>
              </w:rPr>
              <w:t xml:space="preserve">as </w:t>
            </w:r>
            <w:r w:rsidRPr="008A2D48">
              <w:rPr>
                <w:rFonts w:ascii="Times New Roman" w:hAnsi="Times New Roman" w:cs="Times New Roman"/>
                <w:lang w:val="en-US"/>
              </w:rPr>
              <w:t xml:space="preserve">the data and </w:t>
            </w:r>
            <w:r>
              <w:rPr>
                <w:rFonts w:ascii="Times New Roman" w:hAnsi="Times New Roman" w:cs="Times New Roman"/>
                <w:lang w:val="en-US"/>
              </w:rPr>
              <w:t xml:space="preserve">the </w:t>
            </w:r>
            <w:r w:rsidRPr="008A2D48">
              <w:rPr>
                <w:rFonts w:ascii="Times New Roman" w:hAnsi="Times New Roman" w:cs="Times New Roman"/>
                <w:lang w:val="en-US"/>
              </w:rPr>
              <w:t xml:space="preserve">findings of the </w:t>
            </w:r>
            <w:r>
              <w:rPr>
                <w:rFonts w:ascii="Times New Roman" w:hAnsi="Times New Roman" w:cs="Times New Roman"/>
                <w:lang w:val="en-US"/>
              </w:rPr>
              <w:t>tool will be used for</w:t>
            </w:r>
            <w:r w:rsidRPr="008A2D48">
              <w:rPr>
                <w:rFonts w:ascii="Times New Roman" w:hAnsi="Times New Roman" w:cs="Times New Roman"/>
                <w:lang w:val="en-US"/>
              </w:rPr>
              <w:t xml:space="preserve"> the development of flexible </w:t>
            </w:r>
            <w:r>
              <w:rPr>
                <w:rFonts w:ascii="Times New Roman" w:hAnsi="Times New Roman" w:cs="Times New Roman"/>
                <w:lang w:val="en-US"/>
              </w:rPr>
              <w:t>learning pathways</w:t>
            </w:r>
            <w:r w:rsidRPr="008A2D48">
              <w:rPr>
                <w:rFonts w:ascii="Times New Roman" w:hAnsi="Times New Roman" w:cs="Times New Roman"/>
                <w:lang w:val="en-US"/>
              </w:rPr>
              <w:t>;</w:t>
            </w:r>
          </w:p>
          <w:p w14:paraId="0421CC67" w14:textId="77777777" w:rsidR="00DD13BF" w:rsidRPr="008A2D48" w:rsidRDefault="00DD13BF" w:rsidP="00355A56">
            <w:pPr>
              <w:jc w:val="both"/>
              <w:rPr>
                <w:i/>
                <w:lang w:val="en-US" w:bidi="sl-SI"/>
              </w:rPr>
            </w:pPr>
          </w:p>
          <w:p w14:paraId="1FAB4ABC" w14:textId="77777777" w:rsidR="00DD13BF" w:rsidRPr="008A2D48" w:rsidRDefault="00DD13BF" w:rsidP="00DD13BF">
            <w:pPr>
              <w:pStyle w:val="Odstavekseznama"/>
              <w:widowControl/>
              <w:numPr>
                <w:ilvl w:val="0"/>
                <w:numId w:val="10"/>
              </w:numPr>
              <w:autoSpaceDE/>
              <w:autoSpaceDN/>
              <w:jc w:val="both"/>
              <w:rPr>
                <w:rFonts w:ascii="Times New Roman" w:hAnsi="Times New Roman" w:cs="Times New Roman"/>
                <w:lang w:val="en-US" w:bidi="sl-SI"/>
              </w:rPr>
            </w:pPr>
            <w:r w:rsidRPr="008A2D48">
              <w:rPr>
                <w:rFonts w:ascii="Times New Roman" w:eastAsia="Times New Roman" w:hAnsi="Times New Roman" w:cs="Times New Roman"/>
                <w:i/>
                <w:lang w:val="en-US" w:bidi="sl-SI"/>
              </w:rPr>
              <w:t>strengthening knowledge and skills of systemic implementers of smart specialisation:</w:t>
            </w:r>
            <w:r w:rsidRPr="008A2D48">
              <w:rPr>
                <w:rFonts w:ascii="Times New Roman" w:eastAsia="Times New Roman" w:hAnsi="Times New Roman" w:cs="Times New Roman"/>
                <w:lang w:val="en-US" w:bidi="sl-SI"/>
              </w:rPr>
              <w:t xml:space="preserve"> (</w:t>
            </w:r>
            <w:r w:rsidRPr="008A2D48">
              <w:rPr>
                <w:rFonts w:ascii="Times New Roman" w:hAnsi="Times New Roman" w:cs="Times New Roman"/>
                <w:lang w:val="en-US" w:bidi="sl-SI"/>
              </w:rPr>
              <w:t>i) SRIP staff, (ii) staff at ministries and other S5 implementing structures. Both actors in</w:t>
            </w:r>
            <w:r>
              <w:rPr>
                <w:rFonts w:ascii="Times New Roman" w:hAnsi="Times New Roman" w:cs="Times New Roman"/>
                <w:lang w:val="en-US" w:bidi="sl-SI"/>
              </w:rPr>
              <w:t>volved in</w:t>
            </w:r>
            <w:r w:rsidRPr="008A2D48">
              <w:rPr>
                <w:rFonts w:ascii="Times New Roman" w:hAnsi="Times New Roman" w:cs="Times New Roman"/>
                <w:lang w:val="en-US" w:bidi="sl-SI"/>
              </w:rPr>
              <w:t xml:space="preserve"> multi-level governance showed a severe lack of skills and knowledge to develop new solutions and incentives in the area of smart specialisation and in their ability to translate these solutions and measures to the ground in the 2014-2020 period. That is why effective and quality planning, preparation and delivery of S5 measures calls for ensuring highly qualified stakeholders involved in the S5 multi-level governance system and strengthening the S5 monitoring and evaluation system. Accordingly, the activities will be focused mainly on:</w:t>
            </w:r>
          </w:p>
          <w:p w14:paraId="095ED46F" w14:textId="77777777" w:rsidR="00DD13BF" w:rsidRPr="00BA7AD9" w:rsidRDefault="00DD13BF" w:rsidP="00DD13BF">
            <w:pPr>
              <w:pStyle w:val="Odstavekseznama"/>
              <w:widowControl/>
              <w:numPr>
                <w:ilvl w:val="1"/>
                <w:numId w:val="10"/>
              </w:numPr>
              <w:autoSpaceDE/>
              <w:autoSpaceDN/>
              <w:jc w:val="both"/>
              <w:rPr>
                <w:rFonts w:ascii="Times New Roman" w:hAnsi="Times New Roman" w:cs="Times New Roman"/>
                <w:lang w:bidi="sl-SI"/>
              </w:rPr>
            </w:pPr>
            <w:r w:rsidRPr="008A2D48">
              <w:rPr>
                <w:rFonts w:ascii="Times New Roman" w:hAnsi="Times New Roman" w:cs="Times New Roman"/>
                <w:lang w:val="en-US" w:bidi="sl-SI"/>
              </w:rPr>
              <w:t>training of coordinators and other staff of relevant stakeholders (e.g. SRIPs): the 2014-2020 period revealed a strong need for continuous investments in institutional capacity building and empowerment of stakeholders' staff able to make an important</w:t>
            </w:r>
            <w:r>
              <w:rPr>
                <w:rFonts w:ascii="Times New Roman" w:hAnsi="Times New Roman" w:cs="Times New Roman"/>
                <w:lang w:bidi="sl-SI"/>
              </w:rPr>
              <w:t xml:space="preserve"> </w:t>
            </w:r>
            <w:r>
              <w:rPr>
                <w:rFonts w:ascii="Times New Roman" w:hAnsi="Times New Roman" w:cs="Times New Roman"/>
                <w:lang w:bidi="sl-SI"/>
              </w:rPr>
              <w:lastRenderedPageBreak/>
              <w:t>contribution to the effective implementation of S5 owing to their wide scientific technology-related knowledge and to understanding the needs in the economy and research sphere</w:t>
            </w:r>
            <w:r w:rsidRPr="00BA7AD9">
              <w:rPr>
                <w:rFonts w:ascii="Times New Roman" w:hAnsi="Times New Roman" w:cs="Times New Roman"/>
              </w:rPr>
              <w:t>;</w:t>
            </w:r>
          </w:p>
          <w:p w14:paraId="16085A67" w14:textId="77777777" w:rsidR="00DD13BF" w:rsidRPr="00BA7AD9" w:rsidRDefault="00DD13BF" w:rsidP="00DD13BF">
            <w:pPr>
              <w:pStyle w:val="Odstavekseznama"/>
              <w:widowControl/>
              <w:numPr>
                <w:ilvl w:val="1"/>
                <w:numId w:val="10"/>
              </w:numPr>
              <w:autoSpaceDE/>
              <w:autoSpaceDN/>
              <w:jc w:val="both"/>
              <w:rPr>
                <w:rFonts w:ascii="Times New Roman" w:hAnsi="Times New Roman" w:cs="Times New Roman"/>
                <w:lang w:bidi="sl-SI"/>
              </w:rPr>
            </w:pPr>
            <w:r>
              <w:rPr>
                <w:rFonts w:ascii="Times New Roman" w:hAnsi="Times New Roman" w:cs="Times New Roman"/>
                <w:lang w:bidi="sl-SI"/>
              </w:rPr>
              <w:t>training of staff at ministries, implementing institutions and across the public sector on S5-related measures: both in the public sector and at the level of stakeholders it is necessary to support the development of skills and competences in social innovation and systemic innovation (e.g. through a hub that enables tackling of societal challenges that could, as a pilot, focus on prototyping solutions for the transition to a low-carbon circular economy, which is a horizontal S5 theme)</w:t>
            </w:r>
            <w:r w:rsidRPr="00BA7AD9">
              <w:rPr>
                <w:rFonts w:ascii="Times New Roman" w:hAnsi="Times New Roman" w:cs="Times New Roman"/>
              </w:rPr>
              <w:t>;</w:t>
            </w:r>
          </w:p>
          <w:p w14:paraId="5980DE1C" w14:textId="77777777" w:rsidR="00DD13BF" w:rsidRDefault="00DD13BF" w:rsidP="00DD13BF">
            <w:pPr>
              <w:pStyle w:val="Odstavekseznama"/>
              <w:widowControl/>
              <w:numPr>
                <w:ilvl w:val="1"/>
                <w:numId w:val="10"/>
              </w:numPr>
              <w:autoSpaceDE/>
              <w:autoSpaceDN/>
              <w:jc w:val="both"/>
              <w:rPr>
                <w:rFonts w:ascii="Times New Roman" w:hAnsi="Times New Roman" w:cs="Times New Roman"/>
                <w:lang w:bidi="sl-SI"/>
              </w:rPr>
            </w:pPr>
            <w:r w:rsidRPr="00BA7AD9">
              <w:rPr>
                <w:rFonts w:ascii="Times New Roman" w:hAnsi="Times New Roman" w:cs="Times New Roman"/>
                <w:lang w:bidi="sl-SI"/>
              </w:rPr>
              <w:t>i</w:t>
            </w:r>
            <w:r>
              <w:rPr>
                <w:rFonts w:ascii="Times New Roman" w:hAnsi="Times New Roman" w:cs="Times New Roman"/>
                <w:lang w:bidi="sl-SI"/>
              </w:rPr>
              <w:t xml:space="preserve">mproving the S5 monitoring and evaluation system: it is important to make sure that all stakeholders have the relevant information, so that the results and outputs of S5 are measured in a consistent way and the emerging challenges are appropriately addressed. </w:t>
            </w:r>
          </w:p>
          <w:p w14:paraId="3FD5B6F5" w14:textId="77777777" w:rsidR="00DD13BF" w:rsidRDefault="00DD13BF" w:rsidP="00355A56">
            <w:pPr>
              <w:pStyle w:val="Odstavekseznama"/>
              <w:ind w:left="720"/>
              <w:jc w:val="both"/>
              <w:rPr>
                <w:rFonts w:ascii="Times New Roman" w:hAnsi="Times New Roman" w:cs="Times New Roman"/>
              </w:rPr>
            </w:pPr>
          </w:p>
          <w:p w14:paraId="04D8A63B" w14:textId="77777777" w:rsidR="00DD13BF" w:rsidRPr="00500322" w:rsidRDefault="00DD13BF" w:rsidP="00355A56">
            <w:pPr>
              <w:jc w:val="both"/>
              <w:rPr>
                <w:lang w:bidi="sl-SI"/>
              </w:rPr>
            </w:pPr>
            <w:r>
              <w:t>We</w:t>
            </w:r>
            <w:r w:rsidRPr="00500322">
              <w:t xml:space="preserve"> assess</w:t>
            </w:r>
            <w:r>
              <w:t xml:space="preserve">ed the impact of </w:t>
            </w:r>
            <w:r w:rsidRPr="00500322">
              <w:t xml:space="preserve">each </w:t>
            </w:r>
            <w:r>
              <w:t>proposed action</w:t>
            </w:r>
            <w:r w:rsidRPr="00500322">
              <w:t xml:space="preserve"> on the six environmental objectives</w:t>
            </w:r>
            <w:r>
              <w:t xml:space="preserve"> i</w:t>
            </w:r>
            <w:r w:rsidRPr="00500322">
              <w:t xml:space="preserve">n accordance with the Technical guidance on the application of 'do no significant harm' under the Recovery and Resilience Facility Regulation. </w:t>
            </w:r>
            <w:r>
              <w:t>Based on the</w:t>
            </w:r>
            <w:r w:rsidRPr="00500322">
              <w:t xml:space="preserve"> answers </w:t>
            </w:r>
            <w:r>
              <w:t xml:space="preserve">to the </w:t>
            </w:r>
            <w:r w:rsidRPr="00500322">
              <w:t>checklist</w:t>
            </w:r>
            <w:r>
              <w:t xml:space="preserve"> questions, we conclude</w:t>
            </w:r>
            <w:r w:rsidRPr="00500322">
              <w:t xml:space="preserve"> that none of the </w:t>
            </w:r>
            <w:r>
              <w:t>actions envisaged under this specific objective</w:t>
            </w:r>
            <w:r w:rsidRPr="00500322">
              <w:t xml:space="preserve"> </w:t>
            </w:r>
            <w:r>
              <w:t xml:space="preserve">has a </w:t>
            </w:r>
            <w:r w:rsidRPr="00500322">
              <w:t xml:space="preserve">significant </w:t>
            </w:r>
            <w:r>
              <w:t>adverse impact on</w:t>
            </w:r>
            <w:r w:rsidRPr="00500322">
              <w:t xml:space="preserve"> any of the six environmental objectives. The technical scr</w:t>
            </w:r>
            <w:r>
              <w:t>eening criteria are set out in annex</w:t>
            </w:r>
            <w:r w:rsidRPr="00500322">
              <w:t xml:space="preserve"> DNSH.  </w:t>
            </w:r>
          </w:p>
        </w:tc>
      </w:tr>
    </w:tbl>
    <w:p w14:paraId="3E91BB0B" w14:textId="77777777" w:rsidR="00DD13BF" w:rsidRDefault="00DD13BF" w:rsidP="00DD13BF">
      <w:pPr>
        <w:ind w:left="1349"/>
        <w:rPr>
          <w:spacing w:val="-6"/>
        </w:rPr>
      </w:pPr>
    </w:p>
    <w:p w14:paraId="77C15E7F" w14:textId="77777777" w:rsidR="00DD13BF" w:rsidRDefault="00DD13BF" w:rsidP="00DD13BF">
      <w:pPr>
        <w:ind w:left="1349"/>
      </w:pPr>
      <w:r>
        <w:rPr>
          <w:spacing w:val="-6"/>
        </w:rPr>
        <w:t>The main target groups:</w:t>
      </w:r>
    </w:p>
    <w:p w14:paraId="5053359B"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D33BF84" w14:textId="77777777" w:rsidTr="00355A56">
        <w:tc>
          <w:tcPr>
            <w:tcW w:w="12763" w:type="dxa"/>
          </w:tcPr>
          <w:p w14:paraId="233C64BC" w14:textId="77777777" w:rsidR="00DD13BF" w:rsidRDefault="00DD13BF" w:rsidP="00355A56">
            <w:pPr>
              <w:jc w:val="both"/>
              <w:rPr>
                <w:rFonts w:cstheme="minorHAnsi"/>
                <w:lang w:bidi="sl-SI"/>
              </w:rPr>
            </w:pPr>
            <w:r>
              <w:rPr>
                <w:rFonts w:cstheme="minorBidi"/>
                <w:lang w:bidi="sl-SI"/>
              </w:rPr>
              <w:t xml:space="preserve">Target groups: SMEs, SRIPs, ministries, implementing institutions, employers, employees, higher education institutions, partners in R&amp;D programmes, partners in SRIP projects and other relevant partners. </w:t>
            </w:r>
          </w:p>
          <w:p w14:paraId="5EF14993" w14:textId="77777777" w:rsidR="00DD13BF" w:rsidRDefault="00DD13BF" w:rsidP="00355A56">
            <w:pPr>
              <w:jc w:val="both"/>
              <w:rPr>
                <w:rFonts w:cstheme="minorHAnsi"/>
                <w:lang w:bidi="sl-SI"/>
              </w:rPr>
            </w:pPr>
          </w:p>
          <w:p w14:paraId="69A07EF7" w14:textId="77777777" w:rsidR="00DD13BF" w:rsidRPr="00B3569A" w:rsidRDefault="00DD13BF" w:rsidP="00355A56">
            <w:pPr>
              <w:jc w:val="both"/>
              <w:rPr>
                <w:rFonts w:cstheme="minorHAnsi"/>
                <w:lang w:bidi="sl-SI"/>
              </w:rPr>
            </w:pPr>
            <w:r>
              <w:rPr>
                <w:rFonts w:cstheme="minorHAnsi"/>
                <w:lang w:bidi="sl-SI"/>
              </w:rPr>
              <w:t xml:space="preserve">Beneficiaries: Public Scholarship, Development, Disability and Maintenance Fund of the Republic of Slovenia, higher education institutions, ministry responsible for public administration, chambers.  </w:t>
            </w:r>
          </w:p>
        </w:tc>
      </w:tr>
    </w:tbl>
    <w:p w14:paraId="55471979" w14:textId="77777777" w:rsidR="00DD13BF" w:rsidRPr="006B7178" w:rsidRDefault="00DD13BF" w:rsidP="00DD13BF">
      <w:pPr>
        <w:ind w:left="1349"/>
      </w:pPr>
    </w:p>
    <w:p w14:paraId="23A90DBA" w14:textId="77777777" w:rsidR="00DD13BF" w:rsidRDefault="00DD13BF" w:rsidP="00DD13BF">
      <w:pPr>
        <w:ind w:left="1349"/>
        <w:rPr>
          <w:spacing w:val="-2"/>
        </w:rPr>
      </w:pPr>
      <w:r>
        <w:t>Actions safeguarding equality, inclusion and non-discrimination</w:t>
      </w:r>
      <w:r>
        <w:rPr>
          <w:spacing w:val="44"/>
        </w:rPr>
        <w:t>:</w:t>
      </w:r>
    </w:p>
    <w:p w14:paraId="27805916"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0D34D9" w14:paraId="2C32369E" w14:textId="77777777" w:rsidTr="00355A56">
        <w:tc>
          <w:tcPr>
            <w:tcW w:w="12715" w:type="dxa"/>
          </w:tcPr>
          <w:p w14:paraId="01E66388" w14:textId="77777777" w:rsidR="00DD13BF" w:rsidRPr="000D34D9" w:rsidRDefault="00DD13BF" w:rsidP="00355A56">
            <w:pPr>
              <w:jc w:val="both"/>
              <w:rPr>
                <w:rFonts w:cstheme="minorHAnsi"/>
                <w:lang w:val="en-US"/>
              </w:rPr>
            </w:pPr>
            <w:r w:rsidRPr="000D34D9">
              <w:rPr>
                <w:rFonts w:cstheme="minorHAnsi"/>
                <w:lang w:val="en-US"/>
              </w:rPr>
              <w:t>The principles of equality, inclusion and non-discrimination will be respected in the implementation of all activities at all levels in accordance with the national legislation (</w:t>
            </w:r>
            <w:r w:rsidRPr="000D34D9">
              <w:rPr>
                <w:shd w:val="clear" w:color="auto" w:fill="FFFFFF"/>
                <w:lang w:val="en-US"/>
              </w:rPr>
              <w:t>Equal Opportunities for Women and Men Act,</w:t>
            </w:r>
            <w:r w:rsidRPr="000D34D9">
              <w:rPr>
                <w:lang w:val="en-US"/>
              </w:rPr>
              <w:t xml:space="preserve"> </w:t>
            </w:r>
            <w:r w:rsidRPr="000D34D9">
              <w:rPr>
                <w:shd w:val="clear" w:color="auto" w:fill="FFFFFF"/>
                <w:lang w:val="en-US"/>
              </w:rPr>
              <w:t>Protection Against Discrimination Act, Equalisation of Opportunities for Persons with Disabilities Act</w:t>
            </w:r>
            <w:r w:rsidRPr="000D34D9">
              <w:rPr>
                <w:rFonts w:cstheme="minorHAnsi"/>
                <w:lang w:val="en-US"/>
              </w:rPr>
              <w:t xml:space="preserve">), the EU acquis, particularly the </w:t>
            </w:r>
            <w:r w:rsidRPr="000D34D9">
              <w:rPr>
                <w:rStyle w:val="Poudarek"/>
                <w:bCs/>
                <w:color w:val="000000" w:themeColor="text1"/>
                <w:shd w:val="clear" w:color="auto" w:fill="FFFFFF"/>
                <w:lang w:val="en-US"/>
              </w:rPr>
              <w:t>Treaty on the Functioning of the European Union</w:t>
            </w:r>
            <w:r w:rsidRPr="000D34D9">
              <w:rPr>
                <w:rStyle w:val="Poudarek"/>
                <w:rFonts w:ascii="Arial" w:hAnsi="Arial" w:cs="Arial"/>
                <w:b/>
                <w:bCs/>
                <w:color w:val="5F6368"/>
                <w:sz w:val="21"/>
                <w:szCs w:val="21"/>
                <w:shd w:val="clear" w:color="auto" w:fill="FFFFFF"/>
                <w:lang w:val="en-US"/>
              </w:rPr>
              <w:t xml:space="preserve">, </w:t>
            </w:r>
            <w:r w:rsidRPr="000D34D9">
              <w:rPr>
                <w:rFonts w:cstheme="minorHAnsi"/>
                <w:lang w:val="en-US"/>
              </w:rPr>
              <w:t xml:space="preserve">Charter of fundamental rights, the principles of the European Pillar of Social Rights and the relevant international human rights instruments, particularly the UN Convention on the Rights of Persons with Disabilities and the UN Convention on the Rights of the Child. Equal opportunities and fight against discrimination based on characteristics, such as gender, age, race, ethnicity, disability, religion, sexual orientation will be advocated and ensured both horizontally and vertically as far as possible in the scope of Slovenia's Cohesion Policy Programme 2021-2027. In this context, the Rules on ensuring the horizontal enabling condition Effective application and implementation of the Charter of fundamental rights and the Action Programme for Persons with Disabilities 2022-2030, as well as other relevant documents that will be developed during the implementation of measures will be fully observed. If relevant, administrative capacity building training will be carried out </w:t>
            </w:r>
            <w:r>
              <w:rPr>
                <w:rFonts w:cstheme="minorHAnsi"/>
                <w:lang w:val="en-US"/>
              </w:rPr>
              <w:t>for t</w:t>
            </w:r>
            <w:r w:rsidRPr="000D34D9">
              <w:rPr>
                <w:rFonts w:cstheme="minorHAnsi"/>
                <w:lang w:val="en-US"/>
              </w:rPr>
              <w:t xml:space="preserve">he </w:t>
            </w:r>
            <w:r w:rsidRPr="000D34D9">
              <w:rPr>
                <w:rFonts w:cstheme="minorHAnsi"/>
                <w:lang w:val="en-US"/>
              </w:rPr>
              <w:lastRenderedPageBreak/>
              <w:t xml:space="preserve">implementation of the principles of equal opportunities and non-discrimination. The principle will likewise be respected in the scope of the management and control system. The Monitoring Committee will be notified of any inconsistencies that will potentially arise at least once a year.   </w:t>
            </w:r>
          </w:p>
          <w:p w14:paraId="7E851745" w14:textId="77777777" w:rsidR="00DD13BF" w:rsidRPr="000D34D9" w:rsidRDefault="00DD13BF" w:rsidP="00355A56">
            <w:pPr>
              <w:jc w:val="both"/>
              <w:rPr>
                <w:rFonts w:cstheme="minorHAnsi"/>
                <w:lang w:val="en-US"/>
              </w:rPr>
            </w:pPr>
          </w:p>
          <w:p w14:paraId="52DA9B1E" w14:textId="77777777" w:rsidR="00DD13BF" w:rsidRPr="000D34D9" w:rsidRDefault="00DD13BF" w:rsidP="00355A56">
            <w:pPr>
              <w:jc w:val="both"/>
              <w:rPr>
                <w:rFonts w:cstheme="minorHAnsi"/>
                <w:lang w:val="en-US"/>
              </w:rPr>
            </w:pPr>
            <w:r w:rsidRPr="000D34D9">
              <w:rPr>
                <w:rFonts w:cstheme="minorHAnsi"/>
                <w:lang w:val="en-US"/>
              </w:rPr>
              <w:t>The call for the development and implementation of flexible study programmes for graduates will include a special criterion that will reward all applicants whose projects involve activities fostering female participation in STEM education programmes w</w:t>
            </w:r>
            <w:r>
              <w:rPr>
                <w:rFonts w:cstheme="minorHAnsi"/>
                <w:lang w:val="en-US"/>
              </w:rPr>
              <w:t>ith the aim of</w:t>
            </w:r>
            <w:r w:rsidRPr="000D34D9">
              <w:rPr>
                <w:rFonts w:cstheme="minorHAnsi"/>
                <w:lang w:val="en-US"/>
              </w:rPr>
              <w:t xml:space="preserve"> building STEM competences.  </w:t>
            </w:r>
          </w:p>
          <w:p w14:paraId="277DB1C8" w14:textId="77777777" w:rsidR="00DD13BF" w:rsidRPr="000D34D9" w:rsidRDefault="00DD13BF" w:rsidP="00355A56">
            <w:pPr>
              <w:jc w:val="both"/>
              <w:rPr>
                <w:rFonts w:cstheme="minorHAnsi"/>
                <w:lang w:val="en-US"/>
              </w:rPr>
            </w:pPr>
          </w:p>
          <w:p w14:paraId="1C19FE01" w14:textId="77777777" w:rsidR="00DD13BF" w:rsidRPr="000D34D9" w:rsidRDefault="00DD13BF" w:rsidP="00355A56">
            <w:pPr>
              <w:jc w:val="both"/>
              <w:rPr>
                <w:rFonts w:cstheme="minorHAnsi"/>
                <w:lang w:val="en-US"/>
              </w:rPr>
            </w:pPr>
            <w:r w:rsidRPr="000D34D9">
              <w:rPr>
                <w:rFonts w:cstheme="minorHAnsi"/>
                <w:lang w:val="en-US"/>
              </w:rPr>
              <w:t>The main objective of the action S</w:t>
            </w:r>
            <w:r w:rsidRPr="000D34D9">
              <w:rPr>
                <w:lang w:val="en-US" w:bidi="sl-SI"/>
              </w:rPr>
              <w:t>trengthening knowledge and skills of systemic implementers of smart specialisation</w:t>
            </w:r>
            <w:r w:rsidRPr="000D34D9">
              <w:rPr>
                <w:rFonts w:cstheme="minorHAnsi"/>
                <w:lang w:val="en-US"/>
              </w:rPr>
              <w:t xml:space="preserve"> is to strengthen the competences in smart specialisation areas, i.e. areas that </w:t>
            </w:r>
            <w:r>
              <w:rPr>
                <w:rFonts w:cstheme="minorHAnsi"/>
                <w:lang w:val="en-US"/>
              </w:rPr>
              <w:t xml:space="preserve">largely </w:t>
            </w:r>
            <w:r w:rsidRPr="000D34D9">
              <w:rPr>
                <w:rFonts w:cstheme="minorHAnsi"/>
                <w:lang w:val="en-US"/>
              </w:rPr>
              <w:t xml:space="preserve">fall in the scope of STEM jobs in terms of expected competences. All key stakeholders will be given the opportunity to gain additional competences. </w:t>
            </w:r>
          </w:p>
        </w:tc>
      </w:tr>
    </w:tbl>
    <w:p w14:paraId="1D662577" w14:textId="77777777" w:rsidR="00DD13BF" w:rsidRPr="000D34D9" w:rsidRDefault="00DD13BF" w:rsidP="00DD13BF">
      <w:pPr>
        <w:rPr>
          <w:sz w:val="20"/>
        </w:rPr>
      </w:pPr>
    </w:p>
    <w:p w14:paraId="72B80671" w14:textId="77777777" w:rsidR="00DD13BF" w:rsidRPr="000D34D9" w:rsidRDefault="00DD13BF" w:rsidP="00DD13BF">
      <w:pPr>
        <w:ind w:left="1415"/>
        <w:rPr>
          <w:spacing w:val="-4"/>
        </w:rPr>
      </w:pPr>
      <w:r w:rsidRPr="000D34D9">
        <w:t>Indication of the specific territories targeted, including the planned use of territorial tools</w:t>
      </w:r>
      <w:r w:rsidRPr="000D34D9">
        <w:rPr>
          <w:spacing w:val="-4"/>
        </w:rPr>
        <w:t>:</w:t>
      </w:r>
    </w:p>
    <w:p w14:paraId="18DC1071" w14:textId="77777777" w:rsidR="00DD13BF" w:rsidRPr="000D34D9" w:rsidRDefault="00DD13BF" w:rsidP="00DD13BF"/>
    <w:tbl>
      <w:tblPr>
        <w:tblStyle w:val="Tabelamrea"/>
        <w:tblW w:w="12763" w:type="dxa"/>
        <w:tblInd w:w="1266" w:type="dxa"/>
        <w:tblLook w:val="04A0" w:firstRow="1" w:lastRow="0" w:firstColumn="1" w:lastColumn="0" w:noHBand="0" w:noVBand="1"/>
      </w:tblPr>
      <w:tblGrid>
        <w:gridCol w:w="12763"/>
      </w:tblGrid>
      <w:tr w:rsidR="00DD13BF" w:rsidRPr="000D34D9" w14:paraId="4BB6C69B" w14:textId="77777777" w:rsidTr="00355A56">
        <w:tc>
          <w:tcPr>
            <w:tcW w:w="12763" w:type="dxa"/>
          </w:tcPr>
          <w:p w14:paraId="4D6F8E66" w14:textId="77777777" w:rsidR="00DD13BF" w:rsidRPr="000D34D9" w:rsidRDefault="00DD13BF" w:rsidP="00355A56">
            <w:pPr>
              <w:jc w:val="both"/>
              <w:rPr>
                <w:rFonts w:cstheme="minorHAnsi"/>
                <w:lang w:val="en-US"/>
              </w:rPr>
            </w:pPr>
            <w:r w:rsidRPr="000D34D9">
              <w:rPr>
                <w:rFonts w:cstheme="minorHAnsi"/>
                <w:lang w:val="en-US"/>
              </w:rPr>
              <w:t>No territorial tools are planned to be used under the specific objective.</w:t>
            </w:r>
          </w:p>
        </w:tc>
      </w:tr>
    </w:tbl>
    <w:p w14:paraId="3DEE0332" w14:textId="77777777" w:rsidR="00DD13BF" w:rsidRPr="000D34D9" w:rsidRDefault="00DD13BF" w:rsidP="00DD13BF">
      <w:pPr>
        <w:rPr>
          <w:sz w:val="18"/>
        </w:rPr>
      </w:pPr>
    </w:p>
    <w:p w14:paraId="6EFD7BAA" w14:textId="77777777" w:rsidR="00DD13BF" w:rsidRPr="000D34D9" w:rsidRDefault="00DD13BF" w:rsidP="00DD13BF">
      <w:pPr>
        <w:ind w:left="1415"/>
      </w:pPr>
      <w:r w:rsidRPr="000D34D9">
        <w:t>The interregional, cross-border and transnational actions</w:t>
      </w:r>
      <w:r w:rsidRPr="000D34D9">
        <w:rPr>
          <w:spacing w:val="7"/>
        </w:rPr>
        <w:t>:</w:t>
      </w:r>
    </w:p>
    <w:p w14:paraId="0D7E152F" w14:textId="77777777" w:rsidR="00DD13BF" w:rsidRPr="000D34D9"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0D34D9" w14:paraId="3DFCF052" w14:textId="77777777" w:rsidTr="00355A56">
        <w:tc>
          <w:tcPr>
            <w:tcW w:w="12763" w:type="dxa"/>
          </w:tcPr>
          <w:p w14:paraId="38FF5942" w14:textId="77777777" w:rsidR="00DD13BF" w:rsidRPr="000D34D9" w:rsidRDefault="00DD13BF" w:rsidP="00355A56">
            <w:pPr>
              <w:jc w:val="both"/>
              <w:rPr>
                <w:rFonts w:cstheme="minorHAnsi"/>
                <w:lang w:val="en-US"/>
              </w:rPr>
            </w:pPr>
            <w:r w:rsidRPr="000D34D9">
              <w:rPr>
                <w:rFonts w:cstheme="minorHAnsi"/>
                <w:lang w:val="en-US"/>
              </w:rPr>
              <w:t>No cooperation is foreseen for now under specific objective</w:t>
            </w:r>
            <w:r>
              <w:rPr>
                <w:rFonts w:cstheme="minorHAnsi"/>
                <w:lang w:val="en-US"/>
              </w:rPr>
              <w:t xml:space="preserve"> RSO</w:t>
            </w:r>
            <w:r w:rsidRPr="000D34D9">
              <w:rPr>
                <w:rFonts w:cstheme="minorHAnsi"/>
                <w:lang w:val="en-US"/>
              </w:rPr>
              <w:t xml:space="preserve">1.4 which aims at strengthening knowledge and skills for smart specialisation. S5 actions first and foremost foster knowledge and skills needed for the smooth implementation and achievement of S5 goals (green transition mostly in so-called green and digital skills), which allows all actors, in particular the relevant enterprises, but also knowledge institutions and other S5 stakeholders to invest in building the needed and relevant (S5) skills of their employees. Such interregional, cross-border and transnational networking will be appropriately supported and promoted by different actors of the entrepreneurship and innovation environment that are or will be involved in different types of transnational cooperation projects.   </w:t>
            </w:r>
          </w:p>
          <w:p w14:paraId="371000C2" w14:textId="77777777" w:rsidR="00DD13BF" w:rsidRPr="000D34D9" w:rsidRDefault="00DD13BF" w:rsidP="00355A56">
            <w:pPr>
              <w:jc w:val="both"/>
              <w:rPr>
                <w:rFonts w:cstheme="minorHAnsi"/>
                <w:lang w:val="en-US"/>
              </w:rPr>
            </w:pPr>
          </w:p>
          <w:p w14:paraId="7BF9ECC3" w14:textId="77777777" w:rsidR="00DD13BF" w:rsidRPr="000D34D9" w:rsidRDefault="00DD13BF" w:rsidP="00355A56">
            <w:pPr>
              <w:jc w:val="both"/>
              <w:rPr>
                <w:rFonts w:cstheme="minorHAnsi"/>
                <w:lang w:val="en-US"/>
              </w:rPr>
            </w:pPr>
            <w:r w:rsidRPr="000D34D9">
              <w:rPr>
                <w:rFonts w:cstheme="minorHAnsi"/>
                <w:lang w:val="en-US"/>
              </w:rPr>
              <w:t xml:space="preserve">In addition to (non-)inclusion of measures under this specific objective in interregional, cross-border and transnational actions, wider complementary effects under the EUSAIR Facility Point strategic project should be mentioned. The project fosters innovations in the Adriatic-Ionian macro-region in the area of environment, sustainable tourism, energy and transport and blue economy. A concrete example of direct links or complementarities between S5 content (in this case in the area of sustainable blue economy) and Policy objective 2 is the project BLUEAIR – Interreg IPA ADRION. On the one hand, the project seeks to foster the </w:t>
            </w:r>
            <w:r w:rsidRPr="000D34D9">
              <w:rPr>
                <w:rFonts w:ascii="Open Sans" w:hAnsi="Open Sans"/>
                <w:shd w:val="clear" w:color="auto" w:fill="FFFFFF"/>
                <w:lang w:val="en-US"/>
              </w:rPr>
              <w:t xml:space="preserve">emergence of smart specialisation for the whole EUSAIR in the area of blue growth and the related innovations or innovation environment, </w:t>
            </w:r>
            <w:r>
              <w:rPr>
                <w:rFonts w:ascii="Open Sans" w:hAnsi="Open Sans"/>
                <w:shd w:val="clear" w:color="auto" w:fill="FFFFFF"/>
                <w:lang w:val="en-US"/>
              </w:rPr>
              <w:t>while</w:t>
            </w:r>
            <w:r w:rsidRPr="000D34D9">
              <w:rPr>
                <w:rFonts w:ascii="Open Sans" w:hAnsi="Open Sans"/>
                <w:shd w:val="clear" w:color="auto" w:fill="FFFFFF"/>
                <w:lang w:val="en-US"/>
              </w:rPr>
              <w:t xml:space="preserve"> provid</w:t>
            </w:r>
            <w:r>
              <w:rPr>
                <w:rFonts w:ascii="Open Sans" w:hAnsi="Open Sans"/>
                <w:shd w:val="clear" w:color="auto" w:fill="FFFFFF"/>
                <w:lang w:val="en-US"/>
              </w:rPr>
              <w:t>ing</w:t>
            </w:r>
            <w:r w:rsidRPr="000D34D9">
              <w:rPr>
                <w:rFonts w:ascii="Open Sans" w:hAnsi="Open Sans"/>
                <w:shd w:val="clear" w:color="auto" w:fill="FFFFFF"/>
                <w:lang w:val="en-US"/>
              </w:rPr>
              <w:t xml:space="preserve"> a framework for the entrepreneurial discovery process to be carried out in the area of </w:t>
            </w:r>
            <w:r>
              <w:rPr>
                <w:rFonts w:ascii="Open Sans" w:hAnsi="Open Sans"/>
                <w:shd w:val="clear" w:color="auto" w:fill="FFFFFF"/>
                <w:lang w:val="en-US"/>
              </w:rPr>
              <w:t xml:space="preserve">blue economy in Slovenia and </w:t>
            </w:r>
            <w:r w:rsidRPr="000D34D9">
              <w:rPr>
                <w:rFonts w:ascii="Open Sans" w:hAnsi="Open Sans"/>
                <w:shd w:val="clear" w:color="auto" w:fill="FFFFFF"/>
                <w:lang w:val="en-US"/>
              </w:rPr>
              <w:t xml:space="preserve">other EUSAIR countries with a view to identifying their common potentials in this area. Moreover, the participating countries agreed on a macro-regional or flagship project called </w:t>
            </w:r>
            <w:r w:rsidRPr="000D34D9">
              <w:rPr>
                <w:rFonts w:cstheme="minorHAnsi"/>
                <w:lang w:val="en-US"/>
              </w:rPr>
              <w:t xml:space="preserve">Fostering quadruple helix ties in the fields of marine technologies and blue biotechnologies for advancing innovation, business development and business adaptation in blue bio-economy under EUSAIR Pillar 1 Blue Growth.  </w:t>
            </w:r>
          </w:p>
        </w:tc>
      </w:tr>
    </w:tbl>
    <w:p w14:paraId="2B9C60D1" w14:textId="77777777" w:rsidR="00DD13BF" w:rsidRDefault="00DD13BF" w:rsidP="00DD13BF">
      <w:pPr>
        <w:rPr>
          <w:sz w:val="17"/>
        </w:rPr>
      </w:pPr>
    </w:p>
    <w:p w14:paraId="293B0267" w14:textId="77777777" w:rsidR="00DD13BF" w:rsidRDefault="00DD13BF" w:rsidP="00DD13BF">
      <w:pPr>
        <w:ind w:left="1415"/>
        <w:rPr>
          <w:spacing w:val="-3"/>
        </w:rPr>
      </w:pPr>
      <w:r>
        <w:rPr>
          <w:spacing w:val="-4"/>
        </w:rPr>
        <w:lastRenderedPageBreak/>
        <w:t>The planned use of financial instruments</w:t>
      </w:r>
      <w:r>
        <w:rPr>
          <w:spacing w:val="34"/>
        </w:rPr>
        <w:t>:</w:t>
      </w:r>
    </w:p>
    <w:p w14:paraId="57D7E00A"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0BCE6D16" w14:textId="77777777" w:rsidTr="00355A56">
        <w:tc>
          <w:tcPr>
            <w:tcW w:w="12758" w:type="dxa"/>
          </w:tcPr>
          <w:p w14:paraId="0FBAC96F" w14:textId="77777777" w:rsidR="00DD13BF" w:rsidRPr="0051566C" w:rsidRDefault="00DD13BF" w:rsidP="00355A56">
            <w:pPr>
              <w:jc w:val="both"/>
              <w:rPr>
                <w:rFonts w:cstheme="minorHAnsi"/>
                <w:lang w:val="en-US"/>
              </w:rPr>
            </w:pPr>
            <w:r w:rsidRPr="0051566C">
              <w:rPr>
                <w:rFonts w:cstheme="minorHAnsi"/>
                <w:lang w:val="en-US"/>
              </w:rPr>
              <w:t xml:space="preserve">Financial instruments are not planned to be used in accordance with the </w:t>
            </w:r>
            <w:r w:rsidRPr="0051566C">
              <w:rPr>
                <w:lang w:val="en-US"/>
              </w:rPr>
              <w:t>preliminary assessment of market needs and funding gaps in the market for the implementation of financial instruments in the 2021–2027 programming period (July 2022)</w:t>
            </w:r>
            <w:r w:rsidRPr="0051566C">
              <w:rPr>
                <w:rFonts w:cstheme="minorHAnsi"/>
                <w:lang w:val="en-US"/>
              </w:rPr>
              <w:t xml:space="preserve">. The proposed measures do not generate revenue or savings, which is why </w:t>
            </w:r>
            <w:r>
              <w:rPr>
                <w:rFonts w:cstheme="minorHAnsi"/>
                <w:lang w:val="en-US"/>
              </w:rPr>
              <w:t xml:space="preserve">the </w:t>
            </w:r>
            <w:r w:rsidRPr="0051566C">
              <w:rPr>
                <w:rFonts w:cstheme="minorHAnsi"/>
                <w:lang w:val="en-US"/>
              </w:rPr>
              <w:t xml:space="preserve">use of financial instruments is not relevant or reasonable. These measures are aimed at strengthening knowledge and skills in smart specialisation areas in the public interest and will be carried out notably by public institutions (public fund, higher education institutions, ministries) in cooperation with SRIPs and other S5 stakeholders. For this reason, only grants will be used under the specific objective.   </w:t>
            </w:r>
          </w:p>
        </w:tc>
      </w:tr>
    </w:tbl>
    <w:p w14:paraId="093B9C98" w14:textId="77777777" w:rsidR="00DD13BF" w:rsidRDefault="00DD13BF" w:rsidP="00DD13BF">
      <w:pPr>
        <w:rPr>
          <w:sz w:val="20"/>
        </w:rPr>
      </w:pPr>
    </w:p>
    <w:p w14:paraId="4EF31E27" w14:textId="77777777" w:rsidR="00DD13BF" w:rsidRDefault="00DD13BF" w:rsidP="00DD13BF">
      <w:pPr>
        <w:rPr>
          <w:sz w:val="20"/>
        </w:rPr>
      </w:pPr>
    </w:p>
    <w:p w14:paraId="5FD89B14" w14:textId="77777777" w:rsidR="00DD13BF" w:rsidRDefault="00DD13BF" w:rsidP="00DD13BF">
      <w:pPr>
        <w:pStyle w:val="Naslov5"/>
        <w:spacing w:before="0"/>
      </w:pPr>
      <w:r>
        <w:t>Indicators</w:t>
      </w:r>
    </w:p>
    <w:p w14:paraId="13C23119" w14:textId="77777777" w:rsidR="00DD13BF" w:rsidRDefault="00DD13BF" w:rsidP="00DD13BF"/>
    <w:p w14:paraId="1BE255F7" w14:textId="77777777" w:rsidR="00DD13BF" w:rsidRDefault="00DD13BF" w:rsidP="00DD13BF">
      <w:pPr>
        <w:ind w:left="379"/>
      </w:pPr>
      <w:r>
        <w:rPr>
          <w:spacing w:val="-7"/>
        </w:rPr>
        <w:t xml:space="preserve">Table </w:t>
      </w:r>
      <w:r>
        <w:rPr>
          <w:spacing w:val="-6"/>
        </w:rPr>
        <w:t>2:</w:t>
      </w:r>
      <w:r>
        <w:rPr>
          <w:spacing w:val="-7"/>
        </w:rPr>
        <w:t xml:space="preserve"> </w:t>
      </w:r>
      <w:r>
        <w:rPr>
          <w:spacing w:val="-6"/>
        </w:rPr>
        <w:t>Output indicators</w:t>
      </w:r>
    </w:p>
    <w:p w14:paraId="55089BF4" w14:textId="77777777" w:rsidR="00DD13BF" w:rsidRDefault="00DD13BF" w:rsidP="00DD13BF">
      <w:pPr>
        <w:rPr>
          <w:sz w:val="21"/>
        </w:rPr>
      </w:pPr>
    </w:p>
    <w:tbl>
      <w:tblPr>
        <w:tblStyle w:val="NormalTable0"/>
        <w:tblW w:w="1375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559"/>
        <w:gridCol w:w="709"/>
        <w:gridCol w:w="1701"/>
        <w:gridCol w:w="850"/>
        <w:gridCol w:w="3969"/>
        <w:gridCol w:w="1276"/>
        <w:gridCol w:w="1418"/>
        <w:gridCol w:w="1134"/>
      </w:tblGrid>
      <w:tr w:rsidR="00DD13BF" w14:paraId="536FBA15" w14:textId="77777777" w:rsidTr="00355A56">
        <w:trPr>
          <w:trHeight w:val="254"/>
        </w:trPr>
        <w:tc>
          <w:tcPr>
            <w:tcW w:w="1134" w:type="dxa"/>
            <w:vAlign w:val="center"/>
          </w:tcPr>
          <w:p w14:paraId="4653B476" w14:textId="77777777" w:rsidR="00DD13BF" w:rsidRDefault="00DD13BF" w:rsidP="00355A56">
            <w:pPr>
              <w:pStyle w:val="TableParagraph"/>
              <w:ind w:right="82"/>
            </w:pPr>
            <w:r>
              <w:t>Priority</w:t>
            </w:r>
          </w:p>
        </w:tc>
        <w:tc>
          <w:tcPr>
            <w:tcW w:w="1559" w:type="dxa"/>
            <w:vAlign w:val="center"/>
          </w:tcPr>
          <w:p w14:paraId="143EDE06" w14:textId="77777777" w:rsidR="00DD13BF" w:rsidRDefault="00DD13BF" w:rsidP="00355A56">
            <w:pPr>
              <w:pStyle w:val="TableParagraph"/>
            </w:pPr>
            <w:r>
              <w:t>Specific objective</w:t>
            </w:r>
          </w:p>
        </w:tc>
        <w:tc>
          <w:tcPr>
            <w:tcW w:w="709" w:type="dxa"/>
            <w:vAlign w:val="center"/>
          </w:tcPr>
          <w:p w14:paraId="4AD846C6" w14:textId="77777777" w:rsidR="00DD13BF" w:rsidRDefault="00DD13BF" w:rsidP="00355A56">
            <w:pPr>
              <w:pStyle w:val="TableParagraph"/>
            </w:pPr>
            <w:r>
              <w:t>Fund</w:t>
            </w:r>
          </w:p>
        </w:tc>
        <w:tc>
          <w:tcPr>
            <w:tcW w:w="1701" w:type="dxa"/>
            <w:vAlign w:val="center"/>
          </w:tcPr>
          <w:p w14:paraId="661FF56A" w14:textId="77777777" w:rsidR="00DD13BF" w:rsidRDefault="00DD13BF" w:rsidP="00355A56">
            <w:pPr>
              <w:pStyle w:val="TableParagraph"/>
            </w:pPr>
            <w:r>
              <w:t>Category of region</w:t>
            </w:r>
          </w:p>
        </w:tc>
        <w:tc>
          <w:tcPr>
            <w:tcW w:w="850" w:type="dxa"/>
            <w:vAlign w:val="center"/>
          </w:tcPr>
          <w:p w14:paraId="7316DB64" w14:textId="77777777" w:rsidR="00DD13BF" w:rsidRPr="00347461" w:rsidRDefault="00DD13BF" w:rsidP="00355A56">
            <w:pPr>
              <w:pStyle w:val="TableParagraph"/>
              <w:rPr>
                <w:sz w:val="20"/>
              </w:rPr>
            </w:pPr>
            <w:r>
              <w:t>ID</w:t>
            </w:r>
          </w:p>
        </w:tc>
        <w:tc>
          <w:tcPr>
            <w:tcW w:w="3969" w:type="dxa"/>
            <w:vAlign w:val="center"/>
          </w:tcPr>
          <w:p w14:paraId="4EEB7D25" w14:textId="77777777" w:rsidR="00DD13BF" w:rsidRPr="00347461" w:rsidRDefault="00DD13BF" w:rsidP="00355A56">
            <w:pPr>
              <w:pStyle w:val="TableParagraph"/>
              <w:rPr>
                <w:sz w:val="20"/>
              </w:rPr>
            </w:pPr>
            <w:r>
              <w:t>Indicator</w:t>
            </w:r>
          </w:p>
        </w:tc>
        <w:tc>
          <w:tcPr>
            <w:tcW w:w="1276" w:type="dxa"/>
            <w:vAlign w:val="center"/>
          </w:tcPr>
          <w:p w14:paraId="3B2CCAFC" w14:textId="77777777" w:rsidR="00DD13BF" w:rsidRPr="00347461" w:rsidRDefault="00DD13BF" w:rsidP="00355A56">
            <w:pPr>
              <w:pStyle w:val="TableParagraph"/>
              <w:rPr>
                <w:sz w:val="20"/>
              </w:rPr>
            </w:pPr>
            <w:r>
              <w:t>Measurement unit</w:t>
            </w:r>
          </w:p>
        </w:tc>
        <w:tc>
          <w:tcPr>
            <w:tcW w:w="1418" w:type="dxa"/>
            <w:vAlign w:val="center"/>
          </w:tcPr>
          <w:p w14:paraId="4073F785" w14:textId="77777777" w:rsidR="00DD13BF" w:rsidRPr="00347461" w:rsidRDefault="00DD13BF" w:rsidP="00355A56">
            <w:pPr>
              <w:pStyle w:val="TableParagraph"/>
              <w:rPr>
                <w:sz w:val="20"/>
              </w:rPr>
            </w:pPr>
            <w:r>
              <w:t>Milestone</w:t>
            </w:r>
            <w:r w:rsidRPr="00BE59C9">
              <w:t xml:space="preserve"> (2024)</w:t>
            </w:r>
          </w:p>
        </w:tc>
        <w:tc>
          <w:tcPr>
            <w:tcW w:w="1134" w:type="dxa"/>
            <w:vAlign w:val="center"/>
          </w:tcPr>
          <w:p w14:paraId="3BEB7837" w14:textId="77777777" w:rsidR="00DD13BF" w:rsidRDefault="00DD13BF" w:rsidP="00355A56">
            <w:pPr>
              <w:pStyle w:val="TableParagraph"/>
            </w:pPr>
            <w:r>
              <w:t>Target</w:t>
            </w:r>
            <w:r w:rsidRPr="00BE59C9">
              <w:t xml:space="preserve"> (2029)</w:t>
            </w:r>
          </w:p>
        </w:tc>
      </w:tr>
      <w:tr w:rsidR="00DD13BF" w:rsidRPr="00C70D68" w14:paraId="1965DE28" w14:textId="77777777" w:rsidTr="00355A56">
        <w:trPr>
          <w:trHeight w:val="367"/>
        </w:trPr>
        <w:tc>
          <w:tcPr>
            <w:tcW w:w="1134" w:type="dxa"/>
          </w:tcPr>
          <w:p w14:paraId="0042AB3F" w14:textId="77777777" w:rsidR="00DD13BF" w:rsidRPr="001361B8" w:rsidRDefault="00DD13BF" w:rsidP="00355A56">
            <w:pPr>
              <w:pStyle w:val="TableParagraph"/>
              <w:rPr>
                <w:sz w:val="20"/>
              </w:rPr>
            </w:pPr>
            <w:r>
              <w:rPr>
                <w:rFonts w:cstheme="minorHAnsi"/>
                <w:sz w:val="20"/>
              </w:rPr>
              <w:t>1</w:t>
            </w:r>
          </w:p>
        </w:tc>
        <w:tc>
          <w:tcPr>
            <w:tcW w:w="1559" w:type="dxa"/>
          </w:tcPr>
          <w:p w14:paraId="18B04DC8" w14:textId="77777777" w:rsidR="00DD13BF" w:rsidRPr="001361B8" w:rsidRDefault="00DD13BF" w:rsidP="00355A56">
            <w:pPr>
              <w:pStyle w:val="TableParagraph"/>
              <w:rPr>
                <w:sz w:val="20"/>
              </w:rPr>
            </w:pPr>
            <w:r w:rsidRPr="007436DA">
              <w:rPr>
                <w:color w:val="000000"/>
                <w:sz w:val="20"/>
              </w:rPr>
              <w:t>RSO1.4</w:t>
            </w:r>
          </w:p>
        </w:tc>
        <w:tc>
          <w:tcPr>
            <w:tcW w:w="709" w:type="dxa"/>
          </w:tcPr>
          <w:p w14:paraId="3EA4A67C"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4D93A710" w14:textId="77777777" w:rsidR="00DD13BF" w:rsidRPr="001361B8" w:rsidRDefault="00DD13BF" w:rsidP="00355A56">
            <w:pPr>
              <w:rPr>
                <w:sz w:val="20"/>
              </w:rPr>
            </w:pPr>
            <w:r>
              <w:rPr>
                <w:rFonts w:cstheme="minorHAnsi"/>
                <w:sz w:val="20"/>
              </w:rPr>
              <w:t xml:space="preserve">Less developed </w:t>
            </w:r>
          </w:p>
        </w:tc>
        <w:tc>
          <w:tcPr>
            <w:tcW w:w="850" w:type="dxa"/>
          </w:tcPr>
          <w:p w14:paraId="347CEFD3" w14:textId="77777777" w:rsidR="00DD13BF" w:rsidRPr="001361B8" w:rsidRDefault="00DD13BF" w:rsidP="00355A56">
            <w:pPr>
              <w:pStyle w:val="TableParagraph"/>
              <w:rPr>
                <w:sz w:val="20"/>
              </w:rPr>
            </w:pPr>
            <w:r>
              <w:rPr>
                <w:sz w:val="20"/>
              </w:rPr>
              <w:t>RCO101</w:t>
            </w:r>
          </w:p>
        </w:tc>
        <w:tc>
          <w:tcPr>
            <w:tcW w:w="3969" w:type="dxa"/>
          </w:tcPr>
          <w:p w14:paraId="3809316B" w14:textId="77777777" w:rsidR="00DD13BF" w:rsidRPr="00C36C69" w:rsidRDefault="00DD13BF" w:rsidP="00355A56">
            <w:pPr>
              <w:pStyle w:val="TableParagraph"/>
              <w:rPr>
                <w:rFonts w:cstheme="minorHAnsi"/>
                <w:sz w:val="20"/>
                <w:lang w:bidi="sl-SI"/>
              </w:rPr>
            </w:pPr>
            <w:r w:rsidRPr="00C36C69">
              <w:rPr>
                <w:sz w:val="20"/>
              </w:rPr>
              <w:t>SMEs investing in skills for smart specialisation, for industrial transition and entrepreneurship</w:t>
            </w:r>
          </w:p>
        </w:tc>
        <w:tc>
          <w:tcPr>
            <w:tcW w:w="1276" w:type="dxa"/>
          </w:tcPr>
          <w:p w14:paraId="53B99F73" w14:textId="77777777" w:rsidR="00DD13BF" w:rsidRPr="00A766E4" w:rsidRDefault="00DD13BF" w:rsidP="00355A56">
            <w:pPr>
              <w:pStyle w:val="TableParagraph"/>
              <w:rPr>
                <w:rFonts w:cstheme="minorHAnsi"/>
                <w:sz w:val="20"/>
                <w:lang w:bidi="sl-SI"/>
              </w:rPr>
            </w:pPr>
            <w:r>
              <w:rPr>
                <w:color w:val="000000"/>
                <w:sz w:val="20"/>
              </w:rPr>
              <w:t>enterprises</w:t>
            </w:r>
          </w:p>
        </w:tc>
        <w:tc>
          <w:tcPr>
            <w:tcW w:w="1418" w:type="dxa"/>
            <w:shd w:val="clear" w:color="auto" w:fill="auto"/>
          </w:tcPr>
          <w:p w14:paraId="1326E6DB" w14:textId="77777777" w:rsidR="00DD13BF" w:rsidRPr="00C70D68" w:rsidRDefault="00DD13BF" w:rsidP="00355A56">
            <w:pPr>
              <w:pStyle w:val="TableParagraph"/>
              <w:rPr>
                <w:rFonts w:cstheme="minorHAnsi"/>
                <w:sz w:val="20"/>
                <w:lang w:bidi="sl-SI"/>
              </w:rPr>
            </w:pPr>
            <w:r w:rsidRPr="00C70D68">
              <w:rPr>
                <w:rFonts w:cstheme="minorHAnsi"/>
                <w:sz w:val="20"/>
                <w:lang w:bidi="sl-SI"/>
              </w:rPr>
              <w:t>5</w:t>
            </w:r>
            <w:r>
              <w:rPr>
                <w:rFonts w:cstheme="minorHAnsi"/>
                <w:sz w:val="20"/>
                <w:lang w:bidi="sl-SI"/>
              </w:rPr>
              <w:t>8</w:t>
            </w:r>
          </w:p>
        </w:tc>
        <w:tc>
          <w:tcPr>
            <w:tcW w:w="1134" w:type="dxa"/>
            <w:shd w:val="clear" w:color="auto" w:fill="auto"/>
          </w:tcPr>
          <w:p w14:paraId="56731E7F" w14:textId="77777777" w:rsidR="00DD13BF" w:rsidRPr="00C70D68" w:rsidRDefault="00DD13BF" w:rsidP="00355A56">
            <w:pPr>
              <w:pStyle w:val="TableParagraph"/>
              <w:rPr>
                <w:rFonts w:cstheme="minorHAnsi"/>
                <w:sz w:val="20"/>
                <w:lang w:bidi="sl-SI"/>
              </w:rPr>
            </w:pPr>
            <w:r w:rsidRPr="00C70D68">
              <w:rPr>
                <w:rFonts w:cstheme="minorHAnsi"/>
                <w:sz w:val="20"/>
                <w:lang w:bidi="sl-SI"/>
              </w:rPr>
              <w:t>2</w:t>
            </w:r>
            <w:r>
              <w:rPr>
                <w:rFonts w:cstheme="minorHAnsi"/>
                <w:sz w:val="20"/>
                <w:lang w:bidi="sl-SI"/>
              </w:rPr>
              <w:t>08</w:t>
            </w:r>
          </w:p>
        </w:tc>
      </w:tr>
      <w:tr w:rsidR="00DD13BF" w:rsidRPr="00C70D68" w14:paraId="05154D60" w14:textId="77777777" w:rsidTr="00355A56">
        <w:trPr>
          <w:trHeight w:val="367"/>
        </w:trPr>
        <w:tc>
          <w:tcPr>
            <w:tcW w:w="1134" w:type="dxa"/>
          </w:tcPr>
          <w:p w14:paraId="74086D35" w14:textId="77777777" w:rsidR="00DD13BF" w:rsidRPr="001361B8" w:rsidRDefault="00DD13BF" w:rsidP="00355A56">
            <w:pPr>
              <w:pStyle w:val="TableParagraph"/>
              <w:rPr>
                <w:sz w:val="20"/>
              </w:rPr>
            </w:pPr>
            <w:r>
              <w:rPr>
                <w:rFonts w:cstheme="minorHAnsi"/>
                <w:sz w:val="20"/>
              </w:rPr>
              <w:t>1</w:t>
            </w:r>
          </w:p>
        </w:tc>
        <w:tc>
          <w:tcPr>
            <w:tcW w:w="1559" w:type="dxa"/>
          </w:tcPr>
          <w:p w14:paraId="025291CE" w14:textId="77777777" w:rsidR="00DD13BF" w:rsidRPr="001361B8" w:rsidRDefault="00DD13BF" w:rsidP="00355A56">
            <w:pPr>
              <w:pStyle w:val="TableParagraph"/>
              <w:rPr>
                <w:sz w:val="20"/>
              </w:rPr>
            </w:pPr>
            <w:r w:rsidRPr="007436DA">
              <w:rPr>
                <w:color w:val="000000"/>
                <w:sz w:val="20"/>
              </w:rPr>
              <w:t>RSO1.4</w:t>
            </w:r>
          </w:p>
        </w:tc>
        <w:tc>
          <w:tcPr>
            <w:tcW w:w="709" w:type="dxa"/>
          </w:tcPr>
          <w:p w14:paraId="34B02F94"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661E0CE5" w14:textId="77777777" w:rsidR="00DD13BF" w:rsidRDefault="00DD13BF" w:rsidP="00355A56">
            <w:pPr>
              <w:rPr>
                <w:rFonts w:cstheme="minorHAnsi"/>
                <w:sz w:val="20"/>
              </w:rPr>
            </w:pPr>
            <w:r>
              <w:rPr>
                <w:rFonts w:cstheme="minorHAnsi"/>
                <w:sz w:val="20"/>
              </w:rPr>
              <w:t xml:space="preserve">More developed </w:t>
            </w:r>
          </w:p>
          <w:p w14:paraId="29E18CA7" w14:textId="77777777" w:rsidR="00DD13BF" w:rsidRPr="001361B8" w:rsidRDefault="00DD13BF" w:rsidP="00355A56">
            <w:pPr>
              <w:rPr>
                <w:sz w:val="20"/>
              </w:rPr>
            </w:pPr>
          </w:p>
        </w:tc>
        <w:tc>
          <w:tcPr>
            <w:tcW w:w="850" w:type="dxa"/>
          </w:tcPr>
          <w:p w14:paraId="4CDDA5E1" w14:textId="77777777" w:rsidR="00DD13BF" w:rsidRPr="001361B8" w:rsidRDefault="00DD13BF" w:rsidP="00355A56">
            <w:pPr>
              <w:pStyle w:val="TableParagraph"/>
              <w:rPr>
                <w:sz w:val="20"/>
              </w:rPr>
            </w:pPr>
            <w:r>
              <w:rPr>
                <w:sz w:val="20"/>
              </w:rPr>
              <w:t>RCO101</w:t>
            </w:r>
          </w:p>
        </w:tc>
        <w:tc>
          <w:tcPr>
            <w:tcW w:w="3969" w:type="dxa"/>
          </w:tcPr>
          <w:p w14:paraId="6E317FF4" w14:textId="77777777" w:rsidR="00DD13BF" w:rsidRPr="00C36C69" w:rsidRDefault="00DD13BF" w:rsidP="00355A56">
            <w:pPr>
              <w:pStyle w:val="TableParagraph"/>
              <w:rPr>
                <w:rFonts w:cstheme="minorHAnsi"/>
                <w:sz w:val="20"/>
                <w:lang w:bidi="sl-SI"/>
              </w:rPr>
            </w:pPr>
            <w:r w:rsidRPr="00C36C69">
              <w:rPr>
                <w:sz w:val="20"/>
              </w:rPr>
              <w:t>SMEs investing in skills for smart specialisation, for industrial transition and entrepreneurship</w:t>
            </w:r>
          </w:p>
        </w:tc>
        <w:tc>
          <w:tcPr>
            <w:tcW w:w="1276" w:type="dxa"/>
          </w:tcPr>
          <w:p w14:paraId="7C069DF6" w14:textId="77777777" w:rsidR="00DD13BF" w:rsidRPr="00A766E4" w:rsidRDefault="00DD13BF" w:rsidP="00355A56">
            <w:pPr>
              <w:pStyle w:val="TableParagraph"/>
              <w:rPr>
                <w:rFonts w:cstheme="minorHAnsi"/>
                <w:sz w:val="20"/>
                <w:lang w:bidi="sl-SI"/>
              </w:rPr>
            </w:pPr>
            <w:r>
              <w:rPr>
                <w:color w:val="000000"/>
                <w:sz w:val="20"/>
              </w:rPr>
              <w:t>enterprises</w:t>
            </w:r>
          </w:p>
        </w:tc>
        <w:tc>
          <w:tcPr>
            <w:tcW w:w="1418" w:type="dxa"/>
            <w:shd w:val="clear" w:color="auto" w:fill="auto"/>
          </w:tcPr>
          <w:p w14:paraId="24E6DCFB" w14:textId="77777777" w:rsidR="00DD13BF" w:rsidRPr="00C70D68" w:rsidRDefault="00DD13BF" w:rsidP="00355A56">
            <w:pPr>
              <w:pStyle w:val="TableParagraph"/>
              <w:rPr>
                <w:rFonts w:cstheme="minorHAnsi"/>
                <w:sz w:val="20"/>
                <w:lang w:bidi="sl-SI"/>
              </w:rPr>
            </w:pPr>
            <w:r>
              <w:rPr>
                <w:rFonts w:cstheme="minorHAnsi"/>
                <w:sz w:val="20"/>
                <w:lang w:bidi="sl-SI"/>
              </w:rPr>
              <w:t>42</w:t>
            </w:r>
          </w:p>
        </w:tc>
        <w:tc>
          <w:tcPr>
            <w:tcW w:w="1134" w:type="dxa"/>
            <w:shd w:val="clear" w:color="auto" w:fill="auto"/>
          </w:tcPr>
          <w:p w14:paraId="47B85157" w14:textId="77777777" w:rsidR="00DD13BF" w:rsidRPr="00C70D68" w:rsidRDefault="00DD13BF" w:rsidP="00355A56">
            <w:pPr>
              <w:pStyle w:val="TableParagraph"/>
              <w:rPr>
                <w:rFonts w:cstheme="minorHAnsi"/>
                <w:sz w:val="20"/>
                <w:lang w:bidi="sl-SI"/>
              </w:rPr>
            </w:pPr>
            <w:r w:rsidRPr="00C70D68">
              <w:rPr>
                <w:rFonts w:cstheme="minorHAnsi"/>
                <w:sz w:val="20"/>
                <w:lang w:bidi="sl-SI"/>
              </w:rPr>
              <w:t>19</w:t>
            </w:r>
            <w:r>
              <w:rPr>
                <w:rFonts w:cstheme="minorHAnsi"/>
                <w:sz w:val="20"/>
                <w:lang w:bidi="sl-SI"/>
              </w:rPr>
              <w:t>2</w:t>
            </w:r>
          </w:p>
        </w:tc>
      </w:tr>
      <w:tr w:rsidR="00DD13BF" w14:paraId="28343E6B" w14:textId="77777777" w:rsidTr="00355A56">
        <w:trPr>
          <w:trHeight w:val="367"/>
        </w:trPr>
        <w:tc>
          <w:tcPr>
            <w:tcW w:w="1134" w:type="dxa"/>
          </w:tcPr>
          <w:p w14:paraId="1D461C64" w14:textId="77777777" w:rsidR="00DD13BF" w:rsidRPr="001361B8" w:rsidRDefault="00DD13BF" w:rsidP="00355A56">
            <w:pPr>
              <w:pStyle w:val="TableParagraph"/>
              <w:rPr>
                <w:sz w:val="20"/>
              </w:rPr>
            </w:pPr>
            <w:r>
              <w:rPr>
                <w:rFonts w:cstheme="minorHAnsi"/>
                <w:sz w:val="20"/>
              </w:rPr>
              <w:t>1</w:t>
            </w:r>
          </w:p>
        </w:tc>
        <w:tc>
          <w:tcPr>
            <w:tcW w:w="1559" w:type="dxa"/>
          </w:tcPr>
          <w:p w14:paraId="25BBEADE" w14:textId="77777777" w:rsidR="00DD13BF" w:rsidRPr="001361B8" w:rsidRDefault="00DD13BF" w:rsidP="00355A56">
            <w:pPr>
              <w:pStyle w:val="TableParagraph"/>
              <w:rPr>
                <w:sz w:val="20"/>
              </w:rPr>
            </w:pPr>
            <w:r w:rsidRPr="007436DA">
              <w:rPr>
                <w:color w:val="000000"/>
                <w:sz w:val="20"/>
              </w:rPr>
              <w:t>RSO1.4</w:t>
            </w:r>
          </w:p>
        </w:tc>
        <w:tc>
          <w:tcPr>
            <w:tcW w:w="709" w:type="dxa"/>
          </w:tcPr>
          <w:p w14:paraId="352E0584"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41965BA4" w14:textId="77777777" w:rsidR="00DD13BF" w:rsidRPr="001361B8" w:rsidRDefault="00DD13BF" w:rsidP="00355A56">
            <w:pPr>
              <w:rPr>
                <w:sz w:val="20"/>
              </w:rPr>
            </w:pPr>
            <w:r>
              <w:rPr>
                <w:rFonts w:cstheme="minorHAnsi"/>
                <w:sz w:val="20"/>
              </w:rPr>
              <w:t>Less developed</w:t>
            </w:r>
          </w:p>
        </w:tc>
        <w:tc>
          <w:tcPr>
            <w:tcW w:w="850" w:type="dxa"/>
          </w:tcPr>
          <w:p w14:paraId="40466F61" w14:textId="77777777" w:rsidR="00DD13BF" w:rsidRPr="001361B8" w:rsidRDefault="00DD13BF" w:rsidP="00355A56">
            <w:pPr>
              <w:pStyle w:val="TableParagraph"/>
              <w:rPr>
                <w:sz w:val="20"/>
              </w:rPr>
            </w:pPr>
            <w:r>
              <w:rPr>
                <w:sz w:val="20"/>
              </w:rPr>
              <w:t>5</w:t>
            </w:r>
          </w:p>
        </w:tc>
        <w:tc>
          <w:tcPr>
            <w:tcW w:w="3969" w:type="dxa"/>
          </w:tcPr>
          <w:p w14:paraId="692BBD0B" w14:textId="77777777" w:rsidR="00DD13BF" w:rsidRPr="001361B8" w:rsidRDefault="00DD13BF" w:rsidP="00355A56">
            <w:pPr>
              <w:pStyle w:val="TableParagraph"/>
              <w:rPr>
                <w:sz w:val="20"/>
              </w:rPr>
            </w:pPr>
            <w:r>
              <w:rPr>
                <w:rFonts w:cstheme="minorHAnsi"/>
                <w:sz w:val="20"/>
                <w:lang w:bidi="sl-SI"/>
              </w:rPr>
              <w:t xml:space="preserve">Number of knowledge institutions participating in projects of skills development for smart specialisation </w:t>
            </w:r>
          </w:p>
        </w:tc>
        <w:tc>
          <w:tcPr>
            <w:tcW w:w="1276" w:type="dxa"/>
          </w:tcPr>
          <w:p w14:paraId="4E0042E9" w14:textId="77777777" w:rsidR="00DD13BF" w:rsidRPr="001361B8" w:rsidRDefault="00DD13BF" w:rsidP="00355A56">
            <w:pPr>
              <w:pStyle w:val="TableParagraph"/>
              <w:rPr>
                <w:sz w:val="20"/>
              </w:rPr>
            </w:pPr>
            <w:r>
              <w:rPr>
                <w:rFonts w:cstheme="minorHAnsi"/>
                <w:sz w:val="20"/>
                <w:lang w:bidi="sl-SI"/>
              </w:rPr>
              <w:t>number</w:t>
            </w:r>
          </w:p>
        </w:tc>
        <w:tc>
          <w:tcPr>
            <w:tcW w:w="1418" w:type="dxa"/>
          </w:tcPr>
          <w:p w14:paraId="7B13BE68" w14:textId="77777777" w:rsidR="00DD13BF" w:rsidRPr="00347461" w:rsidRDefault="00DD13BF" w:rsidP="00355A56">
            <w:pPr>
              <w:pStyle w:val="TableParagraph"/>
              <w:rPr>
                <w:sz w:val="20"/>
              </w:rPr>
            </w:pPr>
            <w:r>
              <w:rPr>
                <w:sz w:val="20"/>
              </w:rPr>
              <w:t>0</w:t>
            </w:r>
          </w:p>
        </w:tc>
        <w:tc>
          <w:tcPr>
            <w:tcW w:w="1134" w:type="dxa"/>
          </w:tcPr>
          <w:p w14:paraId="3F7C8CD9" w14:textId="77777777" w:rsidR="00DD13BF" w:rsidRDefault="00DD13BF" w:rsidP="00355A56">
            <w:pPr>
              <w:pStyle w:val="TableParagraph"/>
              <w:rPr>
                <w:sz w:val="20"/>
              </w:rPr>
            </w:pPr>
            <w:r>
              <w:rPr>
                <w:sz w:val="20"/>
              </w:rPr>
              <w:t>2</w:t>
            </w:r>
          </w:p>
        </w:tc>
      </w:tr>
      <w:tr w:rsidR="00DD13BF" w14:paraId="711C1A2D" w14:textId="77777777" w:rsidTr="00355A56">
        <w:trPr>
          <w:trHeight w:val="367"/>
        </w:trPr>
        <w:tc>
          <w:tcPr>
            <w:tcW w:w="1134" w:type="dxa"/>
          </w:tcPr>
          <w:p w14:paraId="774B63B0" w14:textId="77777777" w:rsidR="00DD13BF" w:rsidRPr="001361B8" w:rsidRDefault="00DD13BF" w:rsidP="00355A56">
            <w:pPr>
              <w:pStyle w:val="TableParagraph"/>
              <w:rPr>
                <w:sz w:val="20"/>
              </w:rPr>
            </w:pPr>
            <w:r>
              <w:rPr>
                <w:rFonts w:cstheme="minorHAnsi"/>
                <w:sz w:val="20"/>
              </w:rPr>
              <w:t>1</w:t>
            </w:r>
          </w:p>
        </w:tc>
        <w:tc>
          <w:tcPr>
            <w:tcW w:w="1559" w:type="dxa"/>
          </w:tcPr>
          <w:p w14:paraId="223C4875" w14:textId="77777777" w:rsidR="00DD13BF" w:rsidRPr="001361B8" w:rsidRDefault="00DD13BF" w:rsidP="00355A56">
            <w:pPr>
              <w:pStyle w:val="TableParagraph"/>
              <w:rPr>
                <w:sz w:val="20"/>
              </w:rPr>
            </w:pPr>
            <w:r w:rsidRPr="007436DA">
              <w:rPr>
                <w:color w:val="000000"/>
                <w:sz w:val="20"/>
              </w:rPr>
              <w:t>RSO1.4</w:t>
            </w:r>
          </w:p>
        </w:tc>
        <w:tc>
          <w:tcPr>
            <w:tcW w:w="709" w:type="dxa"/>
          </w:tcPr>
          <w:p w14:paraId="7DB46B2B"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0D805972" w14:textId="77777777" w:rsidR="00DD13BF" w:rsidRDefault="00DD13BF" w:rsidP="00355A56">
            <w:pPr>
              <w:rPr>
                <w:rFonts w:cstheme="minorHAnsi"/>
                <w:sz w:val="20"/>
              </w:rPr>
            </w:pPr>
            <w:r>
              <w:rPr>
                <w:rFonts w:cstheme="minorHAnsi"/>
                <w:sz w:val="20"/>
              </w:rPr>
              <w:t xml:space="preserve">More developed </w:t>
            </w:r>
          </w:p>
          <w:p w14:paraId="0FF4119B" w14:textId="77777777" w:rsidR="00DD13BF" w:rsidRPr="001361B8" w:rsidRDefault="00DD13BF" w:rsidP="00355A56">
            <w:pPr>
              <w:rPr>
                <w:sz w:val="20"/>
              </w:rPr>
            </w:pPr>
          </w:p>
        </w:tc>
        <w:tc>
          <w:tcPr>
            <w:tcW w:w="850" w:type="dxa"/>
          </w:tcPr>
          <w:p w14:paraId="21541AB6" w14:textId="77777777" w:rsidR="00DD13BF" w:rsidRPr="001361B8" w:rsidRDefault="00DD13BF" w:rsidP="00355A56">
            <w:pPr>
              <w:pStyle w:val="TableParagraph"/>
              <w:rPr>
                <w:sz w:val="20"/>
              </w:rPr>
            </w:pPr>
            <w:r>
              <w:rPr>
                <w:sz w:val="20"/>
              </w:rPr>
              <w:t>5</w:t>
            </w:r>
          </w:p>
        </w:tc>
        <w:tc>
          <w:tcPr>
            <w:tcW w:w="3969" w:type="dxa"/>
          </w:tcPr>
          <w:p w14:paraId="329182D2" w14:textId="77777777" w:rsidR="00DD13BF" w:rsidRPr="001361B8" w:rsidRDefault="00DD13BF" w:rsidP="00355A56">
            <w:pPr>
              <w:pStyle w:val="TableParagraph"/>
              <w:rPr>
                <w:sz w:val="20"/>
              </w:rPr>
            </w:pPr>
            <w:r>
              <w:rPr>
                <w:rFonts w:cstheme="minorHAnsi"/>
                <w:sz w:val="20"/>
                <w:lang w:bidi="sl-SI"/>
              </w:rPr>
              <w:t>Number of knowledge institutions participating in projects of skills development for smart specialisation</w:t>
            </w:r>
          </w:p>
        </w:tc>
        <w:tc>
          <w:tcPr>
            <w:tcW w:w="1276" w:type="dxa"/>
          </w:tcPr>
          <w:p w14:paraId="13548FCD" w14:textId="77777777" w:rsidR="00DD13BF" w:rsidRPr="001361B8" w:rsidRDefault="00DD13BF" w:rsidP="00355A56">
            <w:pPr>
              <w:pStyle w:val="TableParagraph"/>
              <w:rPr>
                <w:sz w:val="20"/>
              </w:rPr>
            </w:pPr>
            <w:r>
              <w:rPr>
                <w:rFonts w:cstheme="minorHAnsi"/>
                <w:sz w:val="20"/>
                <w:lang w:bidi="sl-SI"/>
              </w:rPr>
              <w:t>number</w:t>
            </w:r>
          </w:p>
        </w:tc>
        <w:tc>
          <w:tcPr>
            <w:tcW w:w="1418" w:type="dxa"/>
          </w:tcPr>
          <w:p w14:paraId="2E1D7953" w14:textId="77777777" w:rsidR="00DD13BF" w:rsidRPr="00347461" w:rsidRDefault="00DD13BF" w:rsidP="00355A56">
            <w:pPr>
              <w:pStyle w:val="TableParagraph"/>
              <w:rPr>
                <w:sz w:val="20"/>
              </w:rPr>
            </w:pPr>
            <w:r>
              <w:rPr>
                <w:sz w:val="20"/>
              </w:rPr>
              <w:t>0</w:t>
            </w:r>
          </w:p>
        </w:tc>
        <w:tc>
          <w:tcPr>
            <w:tcW w:w="1134" w:type="dxa"/>
          </w:tcPr>
          <w:p w14:paraId="3BC4346D" w14:textId="77777777" w:rsidR="00DD13BF" w:rsidRDefault="00DD13BF" w:rsidP="00355A56">
            <w:pPr>
              <w:pStyle w:val="TableParagraph"/>
              <w:rPr>
                <w:sz w:val="20"/>
              </w:rPr>
            </w:pPr>
            <w:r>
              <w:rPr>
                <w:sz w:val="20"/>
              </w:rPr>
              <w:t>2</w:t>
            </w:r>
          </w:p>
        </w:tc>
      </w:tr>
      <w:tr w:rsidR="00DD13BF" w14:paraId="4A27DE54" w14:textId="77777777" w:rsidTr="00355A56">
        <w:trPr>
          <w:trHeight w:val="367"/>
        </w:trPr>
        <w:tc>
          <w:tcPr>
            <w:tcW w:w="1134" w:type="dxa"/>
          </w:tcPr>
          <w:p w14:paraId="5E2535B8" w14:textId="77777777" w:rsidR="00DD13BF" w:rsidRDefault="00DD13BF" w:rsidP="00355A56">
            <w:pPr>
              <w:pStyle w:val="TableParagraph"/>
              <w:rPr>
                <w:rFonts w:cstheme="minorHAnsi"/>
                <w:sz w:val="20"/>
              </w:rPr>
            </w:pPr>
            <w:r>
              <w:rPr>
                <w:rFonts w:cstheme="minorHAnsi"/>
                <w:sz w:val="20"/>
              </w:rPr>
              <w:t>1</w:t>
            </w:r>
          </w:p>
        </w:tc>
        <w:tc>
          <w:tcPr>
            <w:tcW w:w="1559" w:type="dxa"/>
          </w:tcPr>
          <w:p w14:paraId="548AB9F8" w14:textId="77777777" w:rsidR="00DD13BF" w:rsidRDefault="00DD13BF" w:rsidP="00355A56">
            <w:pPr>
              <w:pStyle w:val="TableParagraph"/>
              <w:rPr>
                <w:sz w:val="20"/>
              </w:rPr>
            </w:pPr>
            <w:r w:rsidRPr="007436DA">
              <w:rPr>
                <w:color w:val="000000"/>
                <w:sz w:val="20"/>
              </w:rPr>
              <w:t>RSO1.4</w:t>
            </w:r>
          </w:p>
        </w:tc>
        <w:tc>
          <w:tcPr>
            <w:tcW w:w="709" w:type="dxa"/>
          </w:tcPr>
          <w:p w14:paraId="690D4F09"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3E9DF458" w14:textId="77777777" w:rsidR="00DD13BF" w:rsidRPr="001361B8" w:rsidRDefault="00DD13BF" w:rsidP="00355A56">
            <w:pPr>
              <w:rPr>
                <w:rFonts w:cstheme="minorHAnsi"/>
                <w:sz w:val="20"/>
              </w:rPr>
            </w:pPr>
            <w:r>
              <w:rPr>
                <w:rFonts w:cstheme="minorHAnsi"/>
                <w:sz w:val="20"/>
              </w:rPr>
              <w:t xml:space="preserve">Less developed </w:t>
            </w:r>
          </w:p>
        </w:tc>
        <w:tc>
          <w:tcPr>
            <w:tcW w:w="850" w:type="dxa"/>
          </w:tcPr>
          <w:p w14:paraId="4CB3B945" w14:textId="77777777" w:rsidR="00DD13BF" w:rsidRPr="001361B8" w:rsidRDefault="00DD13BF" w:rsidP="00355A56">
            <w:pPr>
              <w:pStyle w:val="TableParagraph"/>
              <w:rPr>
                <w:sz w:val="20"/>
              </w:rPr>
            </w:pPr>
            <w:r>
              <w:rPr>
                <w:sz w:val="20"/>
              </w:rPr>
              <w:t>6</w:t>
            </w:r>
          </w:p>
        </w:tc>
        <w:tc>
          <w:tcPr>
            <w:tcW w:w="3969" w:type="dxa"/>
          </w:tcPr>
          <w:p w14:paraId="25D77C16" w14:textId="77777777" w:rsidR="00DD13BF" w:rsidRPr="001361B8" w:rsidRDefault="00DD13BF" w:rsidP="00355A56">
            <w:pPr>
              <w:pStyle w:val="TableParagraph"/>
              <w:rPr>
                <w:rFonts w:cstheme="minorHAnsi"/>
                <w:sz w:val="20"/>
                <w:lang w:bidi="sl-SI"/>
              </w:rPr>
            </w:pPr>
            <w:r>
              <w:rPr>
                <w:rFonts w:cstheme="minorHAnsi"/>
                <w:sz w:val="20"/>
                <w:lang w:bidi="sl-SI"/>
              </w:rPr>
              <w:t xml:space="preserve">SRIP stakeholders that invest in skills for </w:t>
            </w:r>
            <w:r w:rsidRPr="00C36C69">
              <w:rPr>
                <w:sz w:val="20"/>
              </w:rPr>
              <w:t>smart specialisation, for industrial transition and entrepreneurship</w:t>
            </w:r>
            <w:r>
              <w:rPr>
                <w:rFonts w:cstheme="minorHAnsi"/>
                <w:sz w:val="20"/>
                <w:lang w:bidi="sl-SI"/>
              </w:rPr>
              <w:t xml:space="preserve"> </w:t>
            </w:r>
          </w:p>
        </w:tc>
        <w:tc>
          <w:tcPr>
            <w:tcW w:w="1276" w:type="dxa"/>
          </w:tcPr>
          <w:p w14:paraId="56C020AC" w14:textId="77777777" w:rsidR="00DD13BF" w:rsidRPr="001361B8" w:rsidRDefault="00DD13BF" w:rsidP="00355A56">
            <w:pPr>
              <w:pStyle w:val="TableParagraph"/>
              <w:rPr>
                <w:rFonts w:cstheme="minorHAnsi"/>
                <w:sz w:val="20"/>
                <w:lang w:bidi="sl-SI"/>
              </w:rPr>
            </w:pPr>
            <w:r>
              <w:rPr>
                <w:rFonts w:cstheme="minorHAnsi"/>
                <w:sz w:val="20"/>
                <w:lang w:bidi="sl-SI"/>
              </w:rPr>
              <w:t>number</w:t>
            </w:r>
          </w:p>
        </w:tc>
        <w:tc>
          <w:tcPr>
            <w:tcW w:w="1418" w:type="dxa"/>
          </w:tcPr>
          <w:p w14:paraId="23B247AB" w14:textId="77777777" w:rsidR="00DD13BF" w:rsidRDefault="00DD13BF" w:rsidP="00355A56">
            <w:pPr>
              <w:pStyle w:val="TableParagraph"/>
              <w:rPr>
                <w:sz w:val="20"/>
              </w:rPr>
            </w:pPr>
            <w:r>
              <w:rPr>
                <w:sz w:val="20"/>
              </w:rPr>
              <w:t>0</w:t>
            </w:r>
          </w:p>
        </w:tc>
        <w:tc>
          <w:tcPr>
            <w:tcW w:w="1134" w:type="dxa"/>
          </w:tcPr>
          <w:p w14:paraId="09743527" w14:textId="77777777" w:rsidR="00DD13BF" w:rsidRDefault="00DD13BF" w:rsidP="00355A56">
            <w:pPr>
              <w:pStyle w:val="TableParagraph"/>
              <w:rPr>
                <w:sz w:val="20"/>
              </w:rPr>
            </w:pPr>
            <w:r>
              <w:rPr>
                <w:sz w:val="20"/>
              </w:rPr>
              <w:t>13</w:t>
            </w:r>
          </w:p>
        </w:tc>
      </w:tr>
      <w:tr w:rsidR="00DD13BF" w14:paraId="7425EC0C" w14:textId="77777777" w:rsidTr="00355A56">
        <w:trPr>
          <w:trHeight w:val="367"/>
        </w:trPr>
        <w:tc>
          <w:tcPr>
            <w:tcW w:w="1134" w:type="dxa"/>
          </w:tcPr>
          <w:p w14:paraId="76890917" w14:textId="77777777" w:rsidR="00DD13BF" w:rsidRDefault="00DD13BF" w:rsidP="00355A56">
            <w:pPr>
              <w:pStyle w:val="TableParagraph"/>
              <w:rPr>
                <w:rFonts w:cstheme="minorHAnsi"/>
                <w:sz w:val="20"/>
              </w:rPr>
            </w:pPr>
            <w:r>
              <w:rPr>
                <w:rFonts w:cstheme="minorHAnsi"/>
                <w:sz w:val="20"/>
              </w:rPr>
              <w:t>1</w:t>
            </w:r>
          </w:p>
        </w:tc>
        <w:tc>
          <w:tcPr>
            <w:tcW w:w="1559" w:type="dxa"/>
          </w:tcPr>
          <w:p w14:paraId="022EA9A0" w14:textId="77777777" w:rsidR="00DD13BF" w:rsidRDefault="00DD13BF" w:rsidP="00355A56">
            <w:pPr>
              <w:pStyle w:val="TableParagraph"/>
              <w:rPr>
                <w:sz w:val="20"/>
              </w:rPr>
            </w:pPr>
            <w:r w:rsidRPr="007436DA">
              <w:rPr>
                <w:color w:val="000000"/>
                <w:sz w:val="20"/>
              </w:rPr>
              <w:t>RSO1.4</w:t>
            </w:r>
          </w:p>
        </w:tc>
        <w:tc>
          <w:tcPr>
            <w:tcW w:w="709" w:type="dxa"/>
          </w:tcPr>
          <w:p w14:paraId="532E12C0" w14:textId="77777777" w:rsidR="00DD13BF" w:rsidRPr="001361B8" w:rsidRDefault="00DD13BF" w:rsidP="00355A56">
            <w:pPr>
              <w:pStyle w:val="TableParagraph"/>
              <w:rPr>
                <w:sz w:val="20"/>
              </w:rPr>
            </w:pPr>
            <w:r>
              <w:rPr>
                <w:sz w:val="20"/>
              </w:rPr>
              <w:t>E</w:t>
            </w:r>
            <w:r w:rsidRPr="001361B8">
              <w:rPr>
                <w:sz w:val="20"/>
              </w:rPr>
              <w:t>R</w:t>
            </w:r>
            <w:r>
              <w:rPr>
                <w:sz w:val="20"/>
              </w:rPr>
              <w:t>DF</w:t>
            </w:r>
          </w:p>
        </w:tc>
        <w:tc>
          <w:tcPr>
            <w:tcW w:w="1701" w:type="dxa"/>
          </w:tcPr>
          <w:p w14:paraId="29922F5D" w14:textId="77777777" w:rsidR="00DD13BF" w:rsidRDefault="00DD13BF" w:rsidP="00355A56">
            <w:pPr>
              <w:rPr>
                <w:rFonts w:cstheme="minorHAnsi"/>
                <w:sz w:val="20"/>
              </w:rPr>
            </w:pPr>
            <w:r>
              <w:rPr>
                <w:rFonts w:cstheme="minorHAnsi"/>
                <w:sz w:val="20"/>
              </w:rPr>
              <w:t xml:space="preserve">More developed </w:t>
            </w:r>
          </w:p>
          <w:p w14:paraId="682FC492" w14:textId="77777777" w:rsidR="00DD13BF" w:rsidRPr="001361B8" w:rsidRDefault="00DD13BF" w:rsidP="00355A56">
            <w:pPr>
              <w:rPr>
                <w:rFonts w:cstheme="minorHAnsi"/>
                <w:sz w:val="20"/>
              </w:rPr>
            </w:pPr>
          </w:p>
        </w:tc>
        <w:tc>
          <w:tcPr>
            <w:tcW w:w="850" w:type="dxa"/>
          </w:tcPr>
          <w:p w14:paraId="0B950150" w14:textId="77777777" w:rsidR="00DD13BF" w:rsidRPr="001361B8" w:rsidRDefault="00DD13BF" w:rsidP="00355A56">
            <w:pPr>
              <w:pStyle w:val="TableParagraph"/>
              <w:rPr>
                <w:sz w:val="20"/>
              </w:rPr>
            </w:pPr>
            <w:r>
              <w:rPr>
                <w:sz w:val="20"/>
              </w:rPr>
              <w:t>6</w:t>
            </w:r>
          </w:p>
        </w:tc>
        <w:tc>
          <w:tcPr>
            <w:tcW w:w="3969" w:type="dxa"/>
          </w:tcPr>
          <w:p w14:paraId="6E601F98" w14:textId="77777777" w:rsidR="00DD13BF" w:rsidRPr="001361B8" w:rsidRDefault="00DD13BF" w:rsidP="00355A56">
            <w:pPr>
              <w:pStyle w:val="TableParagraph"/>
              <w:rPr>
                <w:rFonts w:cstheme="minorHAnsi"/>
                <w:sz w:val="20"/>
                <w:lang w:bidi="sl-SI"/>
              </w:rPr>
            </w:pPr>
            <w:r>
              <w:rPr>
                <w:rFonts w:cstheme="minorHAnsi"/>
                <w:sz w:val="20"/>
                <w:lang w:bidi="sl-SI"/>
              </w:rPr>
              <w:t xml:space="preserve">SRIP stakeholders that invest in skills for </w:t>
            </w:r>
            <w:r w:rsidRPr="00C36C69">
              <w:rPr>
                <w:sz w:val="20"/>
              </w:rPr>
              <w:t>smart specialisation, for industrial transition and entrepreneurship</w:t>
            </w:r>
          </w:p>
        </w:tc>
        <w:tc>
          <w:tcPr>
            <w:tcW w:w="1276" w:type="dxa"/>
          </w:tcPr>
          <w:p w14:paraId="78A8F9A2" w14:textId="77777777" w:rsidR="00DD13BF" w:rsidRPr="001361B8" w:rsidRDefault="00DD13BF" w:rsidP="00355A56">
            <w:pPr>
              <w:pStyle w:val="TableParagraph"/>
              <w:rPr>
                <w:rFonts w:cstheme="minorHAnsi"/>
                <w:sz w:val="20"/>
                <w:lang w:bidi="sl-SI"/>
              </w:rPr>
            </w:pPr>
            <w:r>
              <w:rPr>
                <w:rFonts w:cstheme="minorHAnsi"/>
                <w:sz w:val="20"/>
                <w:lang w:bidi="sl-SI"/>
              </w:rPr>
              <w:t>number</w:t>
            </w:r>
          </w:p>
        </w:tc>
        <w:tc>
          <w:tcPr>
            <w:tcW w:w="1418" w:type="dxa"/>
          </w:tcPr>
          <w:p w14:paraId="057DBFF4" w14:textId="77777777" w:rsidR="00DD13BF" w:rsidRDefault="00DD13BF" w:rsidP="00355A56">
            <w:pPr>
              <w:pStyle w:val="TableParagraph"/>
              <w:rPr>
                <w:sz w:val="20"/>
              </w:rPr>
            </w:pPr>
            <w:r>
              <w:rPr>
                <w:sz w:val="20"/>
              </w:rPr>
              <w:t>0</w:t>
            </w:r>
          </w:p>
        </w:tc>
        <w:tc>
          <w:tcPr>
            <w:tcW w:w="1134" w:type="dxa"/>
          </w:tcPr>
          <w:p w14:paraId="4439B01C" w14:textId="77777777" w:rsidR="00DD13BF" w:rsidRDefault="00DD13BF" w:rsidP="00355A56">
            <w:pPr>
              <w:pStyle w:val="TableParagraph"/>
              <w:rPr>
                <w:sz w:val="20"/>
              </w:rPr>
            </w:pPr>
            <w:r>
              <w:rPr>
                <w:sz w:val="20"/>
              </w:rPr>
              <w:t>7</w:t>
            </w:r>
          </w:p>
        </w:tc>
      </w:tr>
    </w:tbl>
    <w:p w14:paraId="6DDD8C4E" w14:textId="77777777" w:rsidR="00DD13BF" w:rsidRPr="00B8001C" w:rsidRDefault="00DD13BF" w:rsidP="00DD13BF">
      <w:pPr>
        <w:rPr>
          <w:sz w:val="24"/>
        </w:rPr>
      </w:pPr>
    </w:p>
    <w:p w14:paraId="675C8797" w14:textId="77777777" w:rsidR="00DD13BF" w:rsidRPr="00B8001C" w:rsidRDefault="00DD13BF" w:rsidP="00DD13BF">
      <w:pPr>
        <w:ind w:left="379"/>
      </w:pPr>
      <w:r>
        <w:rPr>
          <w:spacing w:val="-6"/>
        </w:rPr>
        <w:t>Table</w:t>
      </w:r>
      <w:r w:rsidRPr="007B41C6">
        <w:rPr>
          <w:spacing w:val="18"/>
        </w:rPr>
        <w:t xml:space="preserve"> </w:t>
      </w:r>
      <w:r w:rsidRPr="00B8001C">
        <w:rPr>
          <w:spacing w:val="-6"/>
        </w:rPr>
        <w:t>3:</w:t>
      </w:r>
      <w:r w:rsidRPr="00B8001C">
        <w:rPr>
          <w:spacing w:val="-7"/>
        </w:rPr>
        <w:t xml:space="preserve"> </w:t>
      </w:r>
      <w:r>
        <w:rPr>
          <w:spacing w:val="-7"/>
        </w:rPr>
        <w:t>Result indicators</w:t>
      </w:r>
    </w:p>
    <w:p w14:paraId="63CAA46A" w14:textId="77777777" w:rsidR="00DD13BF" w:rsidRPr="007B41C6" w:rsidRDefault="00DD13BF" w:rsidP="00DD13BF">
      <w:pPr>
        <w:rPr>
          <w:sz w:val="21"/>
          <w:highlight w:val="yellow"/>
        </w:rPr>
      </w:pPr>
    </w:p>
    <w:tbl>
      <w:tblPr>
        <w:tblStyle w:val="NormalTable0"/>
        <w:tblW w:w="1389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992"/>
        <w:gridCol w:w="709"/>
        <w:gridCol w:w="1134"/>
        <w:gridCol w:w="709"/>
        <w:gridCol w:w="3685"/>
        <w:gridCol w:w="993"/>
        <w:gridCol w:w="1133"/>
        <w:gridCol w:w="992"/>
        <w:gridCol w:w="707"/>
        <w:gridCol w:w="1137"/>
        <w:gridCol w:w="708"/>
      </w:tblGrid>
      <w:tr w:rsidR="00DD13BF" w:rsidRPr="00874B3B" w14:paraId="795E32EF" w14:textId="77777777" w:rsidTr="00355A56">
        <w:trPr>
          <w:trHeight w:val="353"/>
        </w:trPr>
        <w:tc>
          <w:tcPr>
            <w:tcW w:w="992" w:type="dxa"/>
            <w:vAlign w:val="center"/>
          </w:tcPr>
          <w:p w14:paraId="70125A4F" w14:textId="77777777" w:rsidR="00DD13BF" w:rsidRPr="00874B3B" w:rsidRDefault="00DD13BF" w:rsidP="00355A56">
            <w:pPr>
              <w:pStyle w:val="TableParagraph"/>
              <w:rPr>
                <w:sz w:val="20"/>
              </w:rPr>
            </w:pPr>
            <w:r>
              <w:t>Priority</w:t>
            </w:r>
          </w:p>
        </w:tc>
        <w:tc>
          <w:tcPr>
            <w:tcW w:w="992" w:type="dxa"/>
            <w:vAlign w:val="center"/>
          </w:tcPr>
          <w:p w14:paraId="0B1F86CF" w14:textId="77777777" w:rsidR="00DD13BF" w:rsidRPr="00874B3B" w:rsidRDefault="00DD13BF" w:rsidP="00355A56">
            <w:pPr>
              <w:pStyle w:val="TableParagraph"/>
              <w:rPr>
                <w:sz w:val="20"/>
              </w:rPr>
            </w:pPr>
            <w:r>
              <w:t xml:space="preserve">Specific </w:t>
            </w:r>
            <w:r>
              <w:lastRenderedPageBreak/>
              <w:t>objective</w:t>
            </w:r>
          </w:p>
        </w:tc>
        <w:tc>
          <w:tcPr>
            <w:tcW w:w="709" w:type="dxa"/>
            <w:vAlign w:val="center"/>
          </w:tcPr>
          <w:p w14:paraId="53835B49" w14:textId="77777777" w:rsidR="00DD13BF" w:rsidRPr="00874B3B" w:rsidRDefault="00DD13BF" w:rsidP="00355A56">
            <w:pPr>
              <w:pStyle w:val="TableParagraph"/>
              <w:rPr>
                <w:sz w:val="20"/>
              </w:rPr>
            </w:pPr>
            <w:r>
              <w:lastRenderedPageBreak/>
              <w:t>Fund</w:t>
            </w:r>
          </w:p>
        </w:tc>
        <w:tc>
          <w:tcPr>
            <w:tcW w:w="1134" w:type="dxa"/>
            <w:vAlign w:val="center"/>
          </w:tcPr>
          <w:p w14:paraId="7151E02D" w14:textId="77777777" w:rsidR="00DD13BF" w:rsidRPr="00874B3B" w:rsidRDefault="00DD13BF" w:rsidP="00355A56">
            <w:pPr>
              <w:pStyle w:val="TableParagraph"/>
              <w:rPr>
                <w:sz w:val="20"/>
              </w:rPr>
            </w:pPr>
            <w:r>
              <w:t xml:space="preserve">Category of </w:t>
            </w:r>
            <w:r>
              <w:lastRenderedPageBreak/>
              <w:t>region</w:t>
            </w:r>
          </w:p>
        </w:tc>
        <w:tc>
          <w:tcPr>
            <w:tcW w:w="709" w:type="dxa"/>
            <w:vAlign w:val="center"/>
          </w:tcPr>
          <w:p w14:paraId="6D120453" w14:textId="77777777" w:rsidR="00DD13BF" w:rsidRPr="00874B3B" w:rsidRDefault="00DD13BF" w:rsidP="00355A56">
            <w:pPr>
              <w:pStyle w:val="TableParagraph"/>
              <w:rPr>
                <w:sz w:val="20"/>
              </w:rPr>
            </w:pPr>
            <w:r>
              <w:lastRenderedPageBreak/>
              <w:t>ID</w:t>
            </w:r>
          </w:p>
        </w:tc>
        <w:tc>
          <w:tcPr>
            <w:tcW w:w="3685" w:type="dxa"/>
            <w:vAlign w:val="center"/>
          </w:tcPr>
          <w:p w14:paraId="673CC63B" w14:textId="77777777" w:rsidR="00DD13BF" w:rsidRPr="00874B3B" w:rsidRDefault="00DD13BF" w:rsidP="00355A56">
            <w:pPr>
              <w:pStyle w:val="TableParagraph"/>
              <w:rPr>
                <w:sz w:val="20"/>
              </w:rPr>
            </w:pPr>
            <w:r>
              <w:t>Indicator</w:t>
            </w:r>
          </w:p>
        </w:tc>
        <w:tc>
          <w:tcPr>
            <w:tcW w:w="993" w:type="dxa"/>
          </w:tcPr>
          <w:p w14:paraId="218DBCCC" w14:textId="77777777" w:rsidR="00DD13BF" w:rsidRPr="000F5EDD" w:rsidRDefault="00DD13BF" w:rsidP="00355A56">
            <w:pPr>
              <w:pStyle w:val="TableParagraph"/>
            </w:pPr>
            <w:r w:rsidRPr="000F5EDD">
              <w:t>Measurem</w:t>
            </w:r>
            <w:r w:rsidRPr="000F5EDD">
              <w:lastRenderedPageBreak/>
              <w:t>ent unit</w:t>
            </w:r>
          </w:p>
        </w:tc>
        <w:tc>
          <w:tcPr>
            <w:tcW w:w="1133" w:type="dxa"/>
          </w:tcPr>
          <w:p w14:paraId="55909F25" w14:textId="77777777" w:rsidR="00DD13BF" w:rsidRPr="000F5EDD" w:rsidRDefault="00DD13BF" w:rsidP="00355A56">
            <w:pPr>
              <w:pStyle w:val="TableParagraph"/>
            </w:pPr>
            <w:r w:rsidRPr="000F5EDD">
              <w:lastRenderedPageBreak/>
              <w:t xml:space="preserve">Baseline or </w:t>
            </w:r>
            <w:r w:rsidRPr="000F5EDD">
              <w:lastRenderedPageBreak/>
              <w:t>reference value</w:t>
            </w:r>
          </w:p>
        </w:tc>
        <w:tc>
          <w:tcPr>
            <w:tcW w:w="992" w:type="dxa"/>
          </w:tcPr>
          <w:p w14:paraId="283641C2" w14:textId="77777777" w:rsidR="00DD13BF" w:rsidRPr="000F5EDD" w:rsidRDefault="00DD13BF" w:rsidP="00355A56">
            <w:pPr>
              <w:pStyle w:val="TableParagraph"/>
            </w:pPr>
            <w:r w:rsidRPr="000F5EDD">
              <w:lastRenderedPageBreak/>
              <w:t xml:space="preserve">Reference </w:t>
            </w:r>
            <w:r w:rsidRPr="000F5EDD">
              <w:lastRenderedPageBreak/>
              <w:t>year</w:t>
            </w:r>
          </w:p>
        </w:tc>
        <w:tc>
          <w:tcPr>
            <w:tcW w:w="707" w:type="dxa"/>
          </w:tcPr>
          <w:p w14:paraId="448577DB" w14:textId="77777777" w:rsidR="00DD13BF" w:rsidRPr="000F5EDD" w:rsidRDefault="00DD13BF" w:rsidP="00355A56">
            <w:pPr>
              <w:pStyle w:val="TableParagraph"/>
            </w:pPr>
            <w:r w:rsidRPr="000F5EDD">
              <w:lastRenderedPageBreak/>
              <w:t xml:space="preserve">Target </w:t>
            </w:r>
            <w:r w:rsidRPr="000F5EDD">
              <w:lastRenderedPageBreak/>
              <w:t>(2029)</w:t>
            </w:r>
          </w:p>
        </w:tc>
        <w:tc>
          <w:tcPr>
            <w:tcW w:w="1137" w:type="dxa"/>
          </w:tcPr>
          <w:p w14:paraId="4F53F83B" w14:textId="77777777" w:rsidR="00DD13BF" w:rsidRPr="000F5EDD" w:rsidRDefault="00DD13BF" w:rsidP="00355A56">
            <w:pPr>
              <w:pStyle w:val="TableParagraph"/>
            </w:pPr>
            <w:r w:rsidRPr="000F5EDD">
              <w:lastRenderedPageBreak/>
              <w:t xml:space="preserve">Source of </w:t>
            </w:r>
            <w:r w:rsidRPr="000F5EDD">
              <w:lastRenderedPageBreak/>
              <w:t>data</w:t>
            </w:r>
          </w:p>
        </w:tc>
        <w:tc>
          <w:tcPr>
            <w:tcW w:w="708" w:type="dxa"/>
          </w:tcPr>
          <w:p w14:paraId="6366C9F2" w14:textId="77777777" w:rsidR="00DD13BF" w:rsidRPr="000F5EDD" w:rsidRDefault="00DD13BF" w:rsidP="00355A56">
            <w:pPr>
              <w:pStyle w:val="TableParagraph"/>
            </w:pPr>
            <w:r w:rsidRPr="000F5EDD">
              <w:lastRenderedPageBreak/>
              <w:t>Comm</w:t>
            </w:r>
            <w:r w:rsidRPr="000F5EDD">
              <w:lastRenderedPageBreak/>
              <w:t>ents</w:t>
            </w:r>
          </w:p>
        </w:tc>
      </w:tr>
      <w:tr w:rsidR="00DD13BF" w14:paraId="363FA563" w14:textId="77777777" w:rsidTr="00355A56">
        <w:trPr>
          <w:trHeight w:val="353"/>
        </w:trPr>
        <w:tc>
          <w:tcPr>
            <w:tcW w:w="992" w:type="dxa"/>
          </w:tcPr>
          <w:p w14:paraId="2DD4FBDA" w14:textId="77777777" w:rsidR="00DD13BF" w:rsidRPr="00874B3B" w:rsidRDefault="00DD13BF" w:rsidP="00355A56">
            <w:pPr>
              <w:pStyle w:val="TableParagraph"/>
              <w:rPr>
                <w:sz w:val="20"/>
              </w:rPr>
            </w:pPr>
            <w:r w:rsidRPr="00874B3B">
              <w:rPr>
                <w:rFonts w:cstheme="minorHAnsi"/>
                <w:sz w:val="20"/>
              </w:rPr>
              <w:lastRenderedPageBreak/>
              <w:t>1</w:t>
            </w:r>
          </w:p>
        </w:tc>
        <w:tc>
          <w:tcPr>
            <w:tcW w:w="992" w:type="dxa"/>
          </w:tcPr>
          <w:p w14:paraId="5ECEABF1" w14:textId="77777777" w:rsidR="00DD13BF" w:rsidRPr="00874B3B" w:rsidRDefault="00DD13BF" w:rsidP="00355A56">
            <w:pPr>
              <w:pStyle w:val="TableParagraph"/>
              <w:rPr>
                <w:sz w:val="20"/>
              </w:rPr>
            </w:pPr>
            <w:r w:rsidRPr="00874B3B">
              <w:rPr>
                <w:color w:val="000000"/>
                <w:sz w:val="20"/>
              </w:rPr>
              <w:t>RSO1.4</w:t>
            </w:r>
          </w:p>
        </w:tc>
        <w:tc>
          <w:tcPr>
            <w:tcW w:w="709" w:type="dxa"/>
          </w:tcPr>
          <w:p w14:paraId="39A71CE9" w14:textId="77777777" w:rsidR="00DD13BF" w:rsidRPr="00874B3B" w:rsidRDefault="00DD13BF" w:rsidP="00355A56">
            <w:pPr>
              <w:pStyle w:val="TableParagraph"/>
              <w:rPr>
                <w:sz w:val="20"/>
              </w:rPr>
            </w:pPr>
            <w:r>
              <w:rPr>
                <w:sz w:val="20"/>
              </w:rPr>
              <w:t>E</w:t>
            </w:r>
            <w:r w:rsidRPr="001361B8">
              <w:rPr>
                <w:sz w:val="20"/>
              </w:rPr>
              <w:t>R</w:t>
            </w:r>
            <w:r>
              <w:rPr>
                <w:sz w:val="20"/>
              </w:rPr>
              <w:t>DF</w:t>
            </w:r>
          </w:p>
        </w:tc>
        <w:tc>
          <w:tcPr>
            <w:tcW w:w="1134" w:type="dxa"/>
          </w:tcPr>
          <w:p w14:paraId="5B0CE0BF" w14:textId="77777777" w:rsidR="00DD13BF" w:rsidRPr="00874B3B" w:rsidRDefault="00DD13BF" w:rsidP="00355A56">
            <w:pPr>
              <w:pStyle w:val="TableParagraph"/>
              <w:rPr>
                <w:sz w:val="20"/>
              </w:rPr>
            </w:pPr>
            <w:r>
              <w:rPr>
                <w:rFonts w:cstheme="minorHAnsi"/>
                <w:sz w:val="20"/>
              </w:rPr>
              <w:t xml:space="preserve">Less developed </w:t>
            </w:r>
          </w:p>
        </w:tc>
        <w:tc>
          <w:tcPr>
            <w:tcW w:w="709" w:type="dxa"/>
          </w:tcPr>
          <w:p w14:paraId="1816F1E1" w14:textId="77777777" w:rsidR="00DD13BF" w:rsidRPr="00874B3B" w:rsidRDefault="00DD13BF" w:rsidP="00355A56">
            <w:pPr>
              <w:pStyle w:val="TableParagraph"/>
              <w:rPr>
                <w:sz w:val="20"/>
              </w:rPr>
            </w:pPr>
            <w:r w:rsidRPr="00874B3B">
              <w:rPr>
                <w:rFonts w:cstheme="minorHAnsi"/>
                <w:sz w:val="20"/>
              </w:rPr>
              <w:t>RCR98</w:t>
            </w:r>
          </w:p>
        </w:tc>
        <w:tc>
          <w:tcPr>
            <w:tcW w:w="3685" w:type="dxa"/>
          </w:tcPr>
          <w:p w14:paraId="434A0D32" w14:textId="77777777" w:rsidR="00DD13BF" w:rsidRPr="000F5EDD" w:rsidRDefault="00DD13BF" w:rsidP="00355A56">
            <w:pPr>
              <w:pStyle w:val="TableParagraph"/>
              <w:rPr>
                <w:sz w:val="20"/>
              </w:rPr>
            </w:pPr>
            <w:r w:rsidRPr="000F5EDD">
              <w:rPr>
                <w:sz w:val="20"/>
              </w:rPr>
              <w:t>SMEs staff completing training for skills for smart specialisation, for industrial transition and entrepreneurship (by type of skill: technical, management, entrepreneurship, green, other)</w:t>
            </w:r>
          </w:p>
        </w:tc>
        <w:tc>
          <w:tcPr>
            <w:tcW w:w="993" w:type="dxa"/>
          </w:tcPr>
          <w:p w14:paraId="0AE90372" w14:textId="77777777" w:rsidR="00DD13BF" w:rsidRPr="00874B3B" w:rsidRDefault="00DD13BF" w:rsidP="00355A56">
            <w:pPr>
              <w:pStyle w:val="TableParagraph"/>
              <w:rPr>
                <w:sz w:val="20"/>
              </w:rPr>
            </w:pPr>
            <w:r>
              <w:rPr>
                <w:color w:val="000000"/>
                <w:sz w:val="20"/>
              </w:rPr>
              <w:t>participants</w:t>
            </w:r>
          </w:p>
        </w:tc>
        <w:tc>
          <w:tcPr>
            <w:tcW w:w="1133" w:type="dxa"/>
          </w:tcPr>
          <w:p w14:paraId="2835DC72" w14:textId="77777777" w:rsidR="00DD13BF" w:rsidRPr="00874B3B" w:rsidRDefault="00DD13BF" w:rsidP="00355A56">
            <w:pPr>
              <w:pStyle w:val="TableParagraph"/>
              <w:rPr>
                <w:sz w:val="20"/>
              </w:rPr>
            </w:pPr>
            <w:r w:rsidRPr="00874B3B">
              <w:rPr>
                <w:sz w:val="20"/>
              </w:rPr>
              <w:t>0</w:t>
            </w:r>
          </w:p>
        </w:tc>
        <w:tc>
          <w:tcPr>
            <w:tcW w:w="992" w:type="dxa"/>
          </w:tcPr>
          <w:p w14:paraId="3556C573" w14:textId="77777777" w:rsidR="00DD13BF" w:rsidRPr="00874B3B" w:rsidRDefault="00DD13BF" w:rsidP="00355A56">
            <w:pPr>
              <w:pStyle w:val="TableParagraph"/>
              <w:rPr>
                <w:sz w:val="20"/>
              </w:rPr>
            </w:pPr>
            <w:r w:rsidRPr="00874B3B">
              <w:rPr>
                <w:sz w:val="20"/>
              </w:rPr>
              <w:t>2020</w:t>
            </w:r>
          </w:p>
        </w:tc>
        <w:tc>
          <w:tcPr>
            <w:tcW w:w="707" w:type="dxa"/>
          </w:tcPr>
          <w:p w14:paraId="5CE1A3EB" w14:textId="77777777" w:rsidR="00DD13BF" w:rsidRPr="00874B3B" w:rsidRDefault="00DD13BF" w:rsidP="00355A56">
            <w:pPr>
              <w:pStyle w:val="TableParagraph"/>
              <w:rPr>
                <w:sz w:val="20"/>
              </w:rPr>
            </w:pPr>
            <w:r w:rsidRPr="00874B3B">
              <w:rPr>
                <w:sz w:val="20"/>
              </w:rPr>
              <w:t>1.803</w:t>
            </w:r>
          </w:p>
        </w:tc>
        <w:tc>
          <w:tcPr>
            <w:tcW w:w="1137" w:type="dxa"/>
          </w:tcPr>
          <w:p w14:paraId="575A51BA" w14:textId="77777777" w:rsidR="00DD13BF" w:rsidRPr="00874B3B" w:rsidRDefault="00DD13BF" w:rsidP="00355A56">
            <w:pPr>
              <w:pStyle w:val="TableParagraph"/>
              <w:rPr>
                <w:sz w:val="20"/>
              </w:rPr>
            </w:pPr>
            <w:r>
              <w:rPr>
                <w:sz w:val="20"/>
              </w:rPr>
              <w:t>beneficiary, MIZŠ, MDDSZ a</w:t>
            </w:r>
            <w:r w:rsidRPr="00874B3B">
              <w:rPr>
                <w:sz w:val="20"/>
              </w:rPr>
              <w:t>n</w:t>
            </w:r>
            <w:r>
              <w:rPr>
                <w:sz w:val="20"/>
              </w:rPr>
              <w:t>d</w:t>
            </w:r>
            <w:r w:rsidRPr="00874B3B">
              <w:rPr>
                <w:sz w:val="20"/>
              </w:rPr>
              <w:t xml:space="preserve"> eMA2</w:t>
            </w:r>
          </w:p>
        </w:tc>
        <w:tc>
          <w:tcPr>
            <w:tcW w:w="708" w:type="dxa"/>
          </w:tcPr>
          <w:p w14:paraId="3EFE20DD" w14:textId="77777777" w:rsidR="00DD13BF" w:rsidRPr="00874B3B" w:rsidRDefault="00DD13BF" w:rsidP="00355A56">
            <w:pPr>
              <w:pStyle w:val="TableParagraph"/>
              <w:rPr>
                <w:sz w:val="20"/>
              </w:rPr>
            </w:pPr>
          </w:p>
        </w:tc>
      </w:tr>
      <w:tr w:rsidR="00DD13BF" w14:paraId="7F2770E7" w14:textId="77777777" w:rsidTr="00355A56">
        <w:trPr>
          <w:trHeight w:val="353"/>
        </w:trPr>
        <w:tc>
          <w:tcPr>
            <w:tcW w:w="992" w:type="dxa"/>
          </w:tcPr>
          <w:p w14:paraId="42B89E68" w14:textId="77777777" w:rsidR="00DD13BF" w:rsidRPr="00874B3B" w:rsidRDefault="00DD13BF" w:rsidP="00355A56">
            <w:pPr>
              <w:pStyle w:val="TableParagraph"/>
              <w:rPr>
                <w:sz w:val="20"/>
              </w:rPr>
            </w:pPr>
            <w:r w:rsidRPr="00874B3B">
              <w:rPr>
                <w:rFonts w:cstheme="minorHAnsi"/>
                <w:sz w:val="20"/>
              </w:rPr>
              <w:t>1</w:t>
            </w:r>
          </w:p>
        </w:tc>
        <w:tc>
          <w:tcPr>
            <w:tcW w:w="992" w:type="dxa"/>
          </w:tcPr>
          <w:p w14:paraId="3FA1D4A6" w14:textId="77777777" w:rsidR="00DD13BF" w:rsidRPr="00874B3B" w:rsidRDefault="00DD13BF" w:rsidP="00355A56">
            <w:pPr>
              <w:pStyle w:val="TableParagraph"/>
              <w:rPr>
                <w:sz w:val="20"/>
              </w:rPr>
            </w:pPr>
            <w:r w:rsidRPr="00874B3B">
              <w:rPr>
                <w:color w:val="000000"/>
                <w:sz w:val="20"/>
              </w:rPr>
              <w:t>RSO1.4</w:t>
            </w:r>
          </w:p>
        </w:tc>
        <w:tc>
          <w:tcPr>
            <w:tcW w:w="709" w:type="dxa"/>
          </w:tcPr>
          <w:p w14:paraId="3E67A81D" w14:textId="77777777" w:rsidR="00DD13BF" w:rsidRPr="00874B3B" w:rsidRDefault="00DD13BF" w:rsidP="00355A56">
            <w:pPr>
              <w:pStyle w:val="TableParagraph"/>
              <w:rPr>
                <w:sz w:val="20"/>
              </w:rPr>
            </w:pPr>
            <w:r>
              <w:rPr>
                <w:sz w:val="20"/>
              </w:rPr>
              <w:t>E</w:t>
            </w:r>
            <w:r w:rsidRPr="001361B8">
              <w:rPr>
                <w:sz w:val="20"/>
              </w:rPr>
              <w:t>R</w:t>
            </w:r>
            <w:r>
              <w:rPr>
                <w:sz w:val="20"/>
              </w:rPr>
              <w:t>DF</w:t>
            </w:r>
          </w:p>
        </w:tc>
        <w:tc>
          <w:tcPr>
            <w:tcW w:w="1134" w:type="dxa"/>
          </w:tcPr>
          <w:p w14:paraId="29A94923" w14:textId="77777777" w:rsidR="00DD13BF" w:rsidRDefault="00DD13BF" w:rsidP="00355A56">
            <w:pPr>
              <w:rPr>
                <w:rFonts w:cstheme="minorHAnsi"/>
                <w:sz w:val="20"/>
              </w:rPr>
            </w:pPr>
            <w:r>
              <w:rPr>
                <w:rFonts w:cstheme="minorHAnsi"/>
                <w:sz w:val="20"/>
              </w:rPr>
              <w:t xml:space="preserve">More developed </w:t>
            </w:r>
          </w:p>
          <w:p w14:paraId="5E678D11" w14:textId="77777777" w:rsidR="00DD13BF" w:rsidRPr="00874B3B" w:rsidRDefault="00DD13BF" w:rsidP="00355A56">
            <w:pPr>
              <w:rPr>
                <w:rFonts w:cstheme="minorHAnsi"/>
                <w:sz w:val="20"/>
              </w:rPr>
            </w:pPr>
          </w:p>
        </w:tc>
        <w:tc>
          <w:tcPr>
            <w:tcW w:w="709" w:type="dxa"/>
          </w:tcPr>
          <w:p w14:paraId="459BBEB6" w14:textId="77777777" w:rsidR="00DD13BF" w:rsidRPr="00874B3B" w:rsidRDefault="00DD13BF" w:rsidP="00355A56">
            <w:pPr>
              <w:pStyle w:val="TableParagraph"/>
              <w:rPr>
                <w:sz w:val="20"/>
              </w:rPr>
            </w:pPr>
            <w:r w:rsidRPr="00874B3B">
              <w:rPr>
                <w:rFonts w:cstheme="minorHAnsi"/>
                <w:sz w:val="20"/>
              </w:rPr>
              <w:t>RCR98</w:t>
            </w:r>
          </w:p>
        </w:tc>
        <w:tc>
          <w:tcPr>
            <w:tcW w:w="3685" w:type="dxa"/>
          </w:tcPr>
          <w:p w14:paraId="02F0176D" w14:textId="77777777" w:rsidR="00DD13BF" w:rsidRPr="000F5EDD" w:rsidRDefault="00DD13BF" w:rsidP="00355A56">
            <w:pPr>
              <w:pStyle w:val="TableParagraph"/>
              <w:rPr>
                <w:sz w:val="20"/>
              </w:rPr>
            </w:pPr>
            <w:r w:rsidRPr="000F5EDD">
              <w:rPr>
                <w:sz w:val="20"/>
              </w:rPr>
              <w:t>SMEs staff completing training for skills for smart specialisation, for industrial transition and entrepreneurship (by type of skill: technical, management, entrepreneurship, green, other)</w:t>
            </w:r>
          </w:p>
        </w:tc>
        <w:tc>
          <w:tcPr>
            <w:tcW w:w="993" w:type="dxa"/>
          </w:tcPr>
          <w:p w14:paraId="4FBF52C4" w14:textId="77777777" w:rsidR="00DD13BF" w:rsidRPr="00874B3B" w:rsidRDefault="00DD13BF" w:rsidP="00355A56">
            <w:pPr>
              <w:pStyle w:val="TableParagraph"/>
              <w:rPr>
                <w:sz w:val="20"/>
              </w:rPr>
            </w:pPr>
            <w:r>
              <w:rPr>
                <w:color w:val="000000"/>
                <w:sz w:val="20"/>
              </w:rPr>
              <w:t>participants</w:t>
            </w:r>
          </w:p>
        </w:tc>
        <w:tc>
          <w:tcPr>
            <w:tcW w:w="1133" w:type="dxa"/>
          </w:tcPr>
          <w:p w14:paraId="79D6FC73" w14:textId="77777777" w:rsidR="00DD13BF" w:rsidRPr="00874B3B" w:rsidRDefault="00DD13BF" w:rsidP="00355A56">
            <w:pPr>
              <w:pStyle w:val="TableParagraph"/>
              <w:rPr>
                <w:sz w:val="20"/>
              </w:rPr>
            </w:pPr>
            <w:r w:rsidRPr="00874B3B">
              <w:rPr>
                <w:sz w:val="20"/>
              </w:rPr>
              <w:t>0</w:t>
            </w:r>
          </w:p>
        </w:tc>
        <w:tc>
          <w:tcPr>
            <w:tcW w:w="992" w:type="dxa"/>
          </w:tcPr>
          <w:p w14:paraId="479FB10D" w14:textId="77777777" w:rsidR="00DD13BF" w:rsidRPr="00874B3B" w:rsidRDefault="00DD13BF" w:rsidP="00355A56">
            <w:pPr>
              <w:pStyle w:val="TableParagraph"/>
              <w:rPr>
                <w:sz w:val="20"/>
              </w:rPr>
            </w:pPr>
            <w:r w:rsidRPr="00874B3B">
              <w:rPr>
                <w:sz w:val="20"/>
              </w:rPr>
              <w:t>2020</w:t>
            </w:r>
          </w:p>
        </w:tc>
        <w:tc>
          <w:tcPr>
            <w:tcW w:w="707" w:type="dxa"/>
          </w:tcPr>
          <w:p w14:paraId="54582181" w14:textId="77777777" w:rsidR="00DD13BF" w:rsidRPr="00874B3B" w:rsidRDefault="00DD13BF" w:rsidP="00355A56">
            <w:pPr>
              <w:pStyle w:val="TableParagraph"/>
              <w:rPr>
                <w:sz w:val="20"/>
              </w:rPr>
            </w:pPr>
            <w:r w:rsidRPr="00874B3B">
              <w:rPr>
                <w:sz w:val="20"/>
              </w:rPr>
              <w:t>1.347</w:t>
            </w:r>
          </w:p>
        </w:tc>
        <w:tc>
          <w:tcPr>
            <w:tcW w:w="1137" w:type="dxa"/>
          </w:tcPr>
          <w:p w14:paraId="540A2D46" w14:textId="77777777" w:rsidR="00DD13BF" w:rsidRPr="00874B3B" w:rsidRDefault="00DD13BF" w:rsidP="00355A56">
            <w:pPr>
              <w:pStyle w:val="TableParagraph"/>
              <w:rPr>
                <w:sz w:val="20"/>
              </w:rPr>
            </w:pPr>
            <w:r>
              <w:rPr>
                <w:sz w:val="20"/>
              </w:rPr>
              <w:t>beneficiary, MIZŠ, MDDSZ a</w:t>
            </w:r>
            <w:r w:rsidRPr="00874B3B">
              <w:rPr>
                <w:sz w:val="20"/>
              </w:rPr>
              <w:t>n</w:t>
            </w:r>
            <w:r>
              <w:rPr>
                <w:sz w:val="20"/>
              </w:rPr>
              <w:t>d</w:t>
            </w:r>
            <w:r w:rsidRPr="00874B3B">
              <w:rPr>
                <w:sz w:val="20"/>
              </w:rPr>
              <w:t xml:space="preserve"> eMA2</w:t>
            </w:r>
          </w:p>
        </w:tc>
        <w:tc>
          <w:tcPr>
            <w:tcW w:w="708" w:type="dxa"/>
          </w:tcPr>
          <w:p w14:paraId="2577C759" w14:textId="77777777" w:rsidR="00DD13BF" w:rsidRPr="00874B3B" w:rsidRDefault="00DD13BF" w:rsidP="00355A56">
            <w:pPr>
              <w:pStyle w:val="TableParagraph"/>
              <w:rPr>
                <w:sz w:val="20"/>
              </w:rPr>
            </w:pPr>
          </w:p>
        </w:tc>
      </w:tr>
      <w:tr w:rsidR="00DD13BF" w14:paraId="7B5308F3" w14:textId="77777777" w:rsidTr="00355A56">
        <w:trPr>
          <w:trHeight w:val="353"/>
        </w:trPr>
        <w:tc>
          <w:tcPr>
            <w:tcW w:w="992" w:type="dxa"/>
          </w:tcPr>
          <w:p w14:paraId="27234A60" w14:textId="77777777" w:rsidR="00DD13BF" w:rsidRPr="00874B3B" w:rsidRDefault="00DD13BF" w:rsidP="00355A56">
            <w:pPr>
              <w:pStyle w:val="TableParagraph"/>
              <w:rPr>
                <w:rFonts w:cstheme="minorHAnsi"/>
                <w:sz w:val="20"/>
              </w:rPr>
            </w:pPr>
            <w:r w:rsidRPr="00874B3B">
              <w:rPr>
                <w:rFonts w:cstheme="minorHAnsi"/>
                <w:sz w:val="20"/>
              </w:rPr>
              <w:t>1</w:t>
            </w:r>
          </w:p>
        </w:tc>
        <w:tc>
          <w:tcPr>
            <w:tcW w:w="992" w:type="dxa"/>
          </w:tcPr>
          <w:p w14:paraId="0FE9137A" w14:textId="77777777" w:rsidR="00DD13BF" w:rsidRPr="00874B3B" w:rsidRDefault="00DD13BF" w:rsidP="00355A56">
            <w:pPr>
              <w:pStyle w:val="TableParagraph"/>
              <w:rPr>
                <w:sz w:val="20"/>
              </w:rPr>
            </w:pPr>
            <w:r w:rsidRPr="00874B3B">
              <w:rPr>
                <w:color w:val="000000"/>
                <w:sz w:val="20"/>
              </w:rPr>
              <w:t>RSO1.4</w:t>
            </w:r>
          </w:p>
        </w:tc>
        <w:tc>
          <w:tcPr>
            <w:tcW w:w="709" w:type="dxa"/>
          </w:tcPr>
          <w:p w14:paraId="7B9CF78C" w14:textId="77777777" w:rsidR="00DD13BF" w:rsidRPr="00874B3B" w:rsidRDefault="00DD13BF" w:rsidP="00355A56">
            <w:pPr>
              <w:pStyle w:val="TableParagraph"/>
              <w:rPr>
                <w:sz w:val="20"/>
              </w:rPr>
            </w:pPr>
            <w:r>
              <w:rPr>
                <w:sz w:val="20"/>
              </w:rPr>
              <w:t>E</w:t>
            </w:r>
            <w:r w:rsidRPr="001361B8">
              <w:rPr>
                <w:sz w:val="20"/>
              </w:rPr>
              <w:t>R</w:t>
            </w:r>
            <w:r>
              <w:rPr>
                <w:sz w:val="20"/>
              </w:rPr>
              <w:t>DF</w:t>
            </w:r>
          </w:p>
        </w:tc>
        <w:tc>
          <w:tcPr>
            <w:tcW w:w="1134" w:type="dxa"/>
          </w:tcPr>
          <w:p w14:paraId="4FD1B9F5" w14:textId="77777777" w:rsidR="00DD13BF" w:rsidRPr="00874B3B" w:rsidRDefault="00DD13BF" w:rsidP="00355A56">
            <w:pPr>
              <w:rPr>
                <w:rFonts w:cstheme="minorHAnsi"/>
                <w:sz w:val="20"/>
              </w:rPr>
            </w:pPr>
            <w:r>
              <w:rPr>
                <w:rFonts w:cstheme="minorHAnsi"/>
                <w:sz w:val="20"/>
              </w:rPr>
              <w:t xml:space="preserve">Less developed </w:t>
            </w:r>
          </w:p>
        </w:tc>
        <w:tc>
          <w:tcPr>
            <w:tcW w:w="709" w:type="dxa"/>
          </w:tcPr>
          <w:p w14:paraId="3BD7CED6" w14:textId="77777777" w:rsidR="00DD13BF" w:rsidRPr="00874B3B" w:rsidRDefault="00DD13BF" w:rsidP="00355A56">
            <w:pPr>
              <w:pStyle w:val="TableParagraph"/>
              <w:rPr>
                <w:rFonts w:cstheme="minorHAnsi"/>
                <w:sz w:val="20"/>
              </w:rPr>
            </w:pPr>
            <w:r w:rsidRPr="00874B3B">
              <w:rPr>
                <w:rFonts w:cstheme="minorHAnsi"/>
                <w:sz w:val="20"/>
              </w:rPr>
              <w:t>4</w:t>
            </w:r>
          </w:p>
        </w:tc>
        <w:tc>
          <w:tcPr>
            <w:tcW w:w="3685" w:type="dxa"/>
          </w:tcPr>
          <w:p w14:paraId="6126B19F" w14:textId="77777777" w:rsidR="00DD13BF" w:rsidRPr="00874B3B" w:rsidRDefault="00DD13BF" w:rsidP="00355A56">
            <w:pPr>
              <w:pStyle w:val="TableParagraph"/>
              <w:rPr>
                <w:rFonts w:cstheme="minorHAnsi"/>
                <w:sz w:val="20"/>
              </w:rPr>
            </w:pPr>
            <w:r>
              <w:rPr>
                <w:rFonts w:cstheme="minorHAnsi"/>
                <w:sz w:val="20"/>
              </w:rPr>
              <w:t xml:space="preserve">SRIP staff completing </w:t>
            </w:r>
            <w:r w:rsidRPr="000F5EDD">
              <w:rPr>
                <w:sz w:val="20"/>
              </w:rPr>
              <w:t>training for skills for smart specialisation, for industrial transition and entrepreneurship (by type of skill: technical, management, entrepreneurship, green, other)</w:t>
            </w:r>
          </w:p>
        </w:tc>
        <w:tc>
          <w:tcPr>
            <w:tcW w:w="993" w:type="dxa"/>
          </w:tcPr>
          <w:p w14:paraId="2478FE59" w14:textId="77777777" w:rsidR="00DD13BF" w:rsidRPr="00874B3B" w:rsidRDefault="00DD13BF" w:rsidP="00355A56">
            <w:pPr>
              <w:pStyle w:val="TableParagraph"/>
              <w:rPr>
                <w:rFonts w:cstheme="minorHAnsi"/>
                <w:sz w:val="20"/>
                <w:lang w:bidi="sl-SI"/>
              </w:rPr>
            </w:pPr>
            <w:r>
              <w:rPr>
                <w:rFonts w:cstheme="minorHAnsi"/>
                <w:sz w:val="20"/>
                <w:lang w:bidi="sl-SI"/>
              </w:rPr>
              <w:t>number</w:t>
            </w:r>
          </w:p>
        </w:tc>
        <w:tc>
          <w:tcPr>
            <w:tcW w:w="1133" w:type="dxa"/>
          </w:tcPr>
          <w:p w14:paraId="50C27126" w14:textId="77777777" w:rsidR="00DD13BF" w:rsidRPr="00874B3B" w:rsidRDefault="00DD13BF" w:rsidP="00355A56">
            <w:pPr>
              <w:pStyle w:val="TableParagraph"/>
              <w:rPr>
                <w:sz w:val="20"/>
              </w:rPr>
            </w:pPr>
            <w:r w:rsidRPr="00874B3B">
              <w:rPr>
                <w:sz w:val="20"/>
              </w:rPr>
              <w:t>0</w:t>
            </w:r>
          </w:p>
        </w:tc>
        <w:tc>
          <w:tcPr>
            <w:tcW w:w="992" w:type="dxa"/>
          </w:tcPr>
          <w:p w14:paraId="4E7BB052" w14:textId="77777777" w:rsidR="00DD13BF" w:rsidRPr="00874B3B" w:rsidRDefault="00DD13BF" w:rsidP="00355A56">
            <w:pPr>
              <w:pStyle w:val="TableParagraph"/>
              <w:rPr>
                <w:sz w:val="20"/>
              </w:rPr>
            </w:pPr>
            <w:r w:rsidRPr="00874B3B">
              <w:rPr>
                <w:sz w:val="20"/>
              </w:rPr>
              <w:t>2021</w:t>
            </w:r>
          </w:p>
        </w:tc>
        <w:tc>
          <w:tcPr>
            <w:tcW w:w="707" w:type="dxa"/>
          </w:tcPr>
          <w:p w14:paraId="7A281ABE" w14:textId="77777777" w:rsidR="00DD13BF" w:rsidRPr="00874B3B" w:rsidRDefault="00DD13BF" w:rsidP="00355A56">
            <w:pPr>
              <w:pStyle w:val="TableParagraph"/>
              <w:rPr>
                <w:sz w:val="20"/>
              </w:rPr>
            </w:pPr>
            <w:r w:rsidRPr="00874B3B">
              <w:rPr>
                <w:sz w:val="20"/>
              </w:rPr>
              <w:t>31</w:t>
            </w:r>
          </w:p>
        </w:tc>
        <w:tc>
          <w:tcPr>
            <w:tcW w:w="1137" w:type="dxa"/>
          </w:tcPr>
          <w:p w14:paraId="6F96ECDF" w14:textId="77777777" w:rsidR="00DD13BF" w:rsidRPr="00874B3B" w:rsidRDefault="00DD13BF" w:rsidP="00355A56">
            <w:pPr>
              <w:pStyle w:val="TableParagraph"/>
              <w:rPr>
                <w:sz w:val="20"/>
              </w:rPr>
            </w:pPr>
            <w:r>
              <w:rPr>
                <w:sz w:val="20"/>
              </w:rPr>
              <w:t>beneficiary and</w:t>
            </w:r>
            <w:r w:rsidRPr="00874B3B">
              <w:rPr>
                <w:sz w:val="20"/>
              </w:rPr>
              <w:t xml:space="preserve"> eMA2</w:t>
            </w:r>
          </w:p>
        </w:tc>
        <w:tc>
          <w:tcPr>
            <w:tcW w:w="708" w:type="dxa"/>
          </w:tcPr>
          <w:p w14:paraId="0C0A1EFA" w14:textId="77777777" w:rsidR="00DD13BF" w:rsidRPr="00874B3B" w:rsidRDefault="00DD13BF" w:rsidP="00355A56">
            <w:pPr>
              <w:pStyle w:val="TableParagraph"/>
              <w:rPr>
                <w:sz w:val="18"/>
                <w:szCs w:val="18"/>
              </w:rPr>
            </w:pPr>
          </w:p>
        </w:tc>
      </w:tr>
      <w:tr w:rsidR="00DD13BF" w14:paraId="316DD597" w14:textId="77777777" w:rsidTr="00355A56">
        <w:trPr>
          <w:trHeight w:val="353"/>
        </w:trPr>
        <w:tc>
          <w:tcPr>
            <w:tcW w:w="992" w:type="dxa"/>
          </w:tcPr>
          <w:p w14:paraId="3B8B51F5" w14:textId="77777777" w:rsidR="00DD13BF" w:rsidRPr="00874B3B" w:rsidRDefault="00DD13BF" w:rsidP="00355A56">
            <w:pPr>
              <w:pStyle w:val="TableParagraph"/>
              <w:rPr>
                <w:rFonts w:cstheme="minorHAnsi"/>
                <w:sz w:val="20"/>
              </w:rPr>
            </w:pPr>
            <w:r w:rsidRPr="00874B3B">
              <w:rPr>
                <w:rFonts w:cstheme="minorHAnsi"/>
                <w:sz w:val="20"/>
              </w:rPr>
              <w:t>1</w:t>
            </w:r>
          </w:p>
        </w:tc>
        <w:tc>
          <w:tcPr>
            <w:tcW w:w="992" w:type="dxa"/>
          </w:tcPr>
          <w:p w14:paraId="6AD3EB42" w14:textId="77777777" w:rsidR="00DD13BF" w:rsidRPr="00874B3B" w:rsidRDefault="00DD13BF" w:rsidP="00355A56">
            <w:pPr>
              <w:pStyle w:val="TableParagraph"/>
              <w:rPr>
                <w:sz w:val="20"/>
              </w:rPr>
            </w:pPr>
            <w:r w:rsidRPr="00874B3B">
              <w:rPr>
                <w:color w:val="000000"/>
                <w:sz w:val="20"/>
              </w:rPr>
              <w:t>RSO1.4</w:t>
            </w:r>
          </w:p>
        </w:tc>
        <w:tc>
          <w:tcPr>
            <w:tcW w:w="709" w:type="dxa"/>
          </w:tcPr>
          <w:p w14:paraId="5EF53936" w14:textId="77777777" w:rsidR="00DD13BF" w:rsidRPr="00874B3B" w:rsidRDefault="00DD13BF" w:rsidP="00355A56">
            <w:pPr>
              <w:pStyle w:val="TableParagraph"/>
              <w:rPr>
                <w:sz w:val="20"/>
              </w:rPr>
            </w:pPr>
            <w:r>
              <w:rPr>
                <w:sz w:val="20"/>
              </w:rPr>
              <w:t>E</w:t>
            </w:r>
            <w:r w:rsidRPr="001361B8">
              <w:rPr>
                <w:sz w:val="20"/>
              </w:rPr>
              <w:t>R</w:t>
            </w:r>
            <w:r>
              <w:rPr>
                <w:sz w:val="20"/>
              </w:rPr>
              <w:t>DF</w:t>
            </w:r>
          </w:p>
        </w:tc>
        <w:tc>
          <w:tcPr>
            <w:tcW w:w="1134" w:type="dxa"/>
          </w:tcPr>
          <w:p w14:paraId="00A0BEBD" w14:textId="77777777" w:rsidR="00DD13BF" w:rsidRDefault="00DD13BF" w:rsidP="00355A56">
            <w:pPr>
              <w:rPr>
                <w:rFonts w:cstheme="minorHAnsi"/>
                <w:sz w:val="20"/>
              </w:rPr>
            </w:pPr>
            <w:r>
              <w:rPr>
                <w:rFonts w:cstheme="minorHAnsi"/>
                <w:sz w:val="20"/>
              </w:rPr>
              <w:t xml:space="preserve">More developed </w:t>
            </w:r>
          </w:p>
          <w:p w14:paraId="31C1FE46" w14:textId="77777777" w:rsidR="00DD13BF" w:rsidRPr="00874B3B" w:rsidRDefault="00DD13BF" w:rsidP="00355A56">
            <w:pPr>
              <w:rPr>
                <w:rFonts w:cstheme="minorHAnsi"/>
                <w:sz w:val="20"/>
              </w:rPr>
            </w:pPr>
          </w:p>
        </w:tc>
        <w:tc>
          <w:tcPr>
            <w:tcW w:w="709" w:type="dxa"/>
          </w:tcPr>
          <w:p w14:paraId="7A44A44F" w14:textId="77777777" w:rsidR="00DD13BF" w:rsidRPr="00874B3B" w:rsidRDefault="00DD13BF" w:rsidP="00355A56">
            <w:pPr>
              <w:pStyle w:val="TableParagraph"/>
              <w:rPr>
                <w:rFonts w:cstheme="minorHAnsi"/>
                <w:sz w:val="20"/>
              </w:rPr>
            </w:pPr>
            <w:r w:rsidRPr="00874B3B">
              <w:rPr>
                <w:rFonts w:cstheme="minorHAnsi"/>
                <w:sz w:val="20"/>
              </w:rPr>
              <w:t>4</w:t>
            </w:r>
          </w:p>
        </w:tc>
        <w:tc>
          <w:tcPr>
            <w:tcW w:w="3685" w:type="dxa"/>
          </w:tcPr>
          <w:p w14:paraId="36607116" w14:textId="77777777" w:rsidR="00DD13BF" w:rsidRPr="00874B3B" w:rsidRDefault="00DD13BF" w:rsidP="00355A56">
            <w:pPr>
              <w:pStyle w:val="TableParagraph"/>
              <w:rPr>
                <w:rFonts w:cstheme="minorHAnsi"/>
                <w:sz w:val="20"/>
              </w:rPr>
            </w:pPr>
            <w:r>
              <w:rPr>
                <w:rFonts w:cstheme="minorHAnsi"/>
                <w:sz w:val="20"/>
              </w:rPr>
              <w:t xml:space="preserve">SRIP staff completing </w:t>
            </w:r>
            <w:r w:rsidRPr="000F5EDD">
              <w:rPr>
                <w:sz w:val="20"/>
              </w:rPr>
              <w:t>training for skills for smart specialisation, for industrial transition and entrepreneurship (by type of skill: technical, management, entrepreneurship, green, other)</w:t>
            </w:r>
          </w:p>
        </w:tc>
        <w:tc>
          <w:tcPr>
            <w:tcW w:w="993" w:type="dxa"/>
          </w:tcPr>
          <w:p w14:paraId="2CDF16F6" w14:textId="77777777" w:rsidR="00DD13BF" w:rsidRPr="00874B3B" w:rsidRDefault="00DD13BF" w:rsidP="00355A56">
            <w:pPr>
              <w:pStyle w:val="TableParagraph"/>
              <w:rPr>
                <w:rFonts w:cstheme="minorHAnsi"/>
                <w:sz w:val="20"/>
                <w:lang w:bidi="sl-SI"/>
              </w:rPr>
            </w:pPr>
            <w:r>
              <w:rPr>
                <w:rFonts w:cstheme="minorHAnsi"/>
                <w:sz w:val="20"/>
                <w:lang w:bidi="sl-SI"/>
              </w:rPr>
              <w:t>number</w:t>
            </w:r>
          </w:p>
        </w:tc>
        <w:tc>
          <w:tcPr>
            <w:tcW w:w="1133" w:type="dxa"/>
          </w:tcPr>
          <w:p w14:paraId="0580972A" w14:textId="77777777" w:rsidR="00DD13BF" w:rsidRPr="00874B3B" w:rsidRDefault="00DD13BF" w:rsidP="00355A56">
            <w:pPr>
              <w:pStyle w:val="TableParagraph"/>
              <w:rPr>
                <w:sz w:val="20"/>
              </w:rPr>
            </w:pPr>
            <w:r w:rsidRPr="00874B3B">
              <w:rPr>
                <w:sz w:val="20"/>
              </w:rPr>
              <w:t>0</w:t>
            </w:r>
          </w:p>
        </w:tc>
        <w:tc>
          <w:tcPr>
            <w:tcW w:w="992" w:type="dxa"/>
          </w:tcPr>
          <w:p w14:paraId="3133D7C9" w14:textId="77777777" w:rsidR="00DD13BF" w:rsidRPr="00874B3B" w:rsidRDefault="00DD13BF" w:rsidP="00355A56">
            <w:pPr>
              <w:pStyle w:val="TableParagraph"/>
              <w:rPr>
                <w:sz w:val="20"/>
              </w:rPr>
            </w:pPr>
            <w:r w:rsidRPr="00874B3B">
              <w:rPr>
                <w:sz w:val="20"/>
              </w:rPr>
              <w:t>2021</w:t>
            </w:r>
          </w:p>
        </w:tc>
        <w:tc>
          <w:tcPr>
            <w:tcW w:w="707" w:type="dxa"/>
          </w:tcPr>
          <w:p w14:paraId="2CEA1655" w14:textId="77777777" w:rsidR="00DD13BF" w:rsidRPr="00874B3B" w:rsidRDefault="00DD13BF" w:rsidP="00355A56">
            <w:pPr>
              <w:pStyle w:val="TableParagraph"/>
              <w:rPr>
                <w:sz w:val="20"/>
              </w:rPr>
            </w:pPr>
            <w:r w:rsidRPr="00874B3B">
              <w:rPr>
                <w:sz w:val="20"/>
              </w:rPr>
              <w:t>19</w:t>
            </w:r>
          </w:p>
        </w:tc>
        <w:tc>
          <w:tcPr>
            <w:tcW w:w="1137" w:type="dxa"/>
          </w:tcPr>
          <w:p w14:paraId="2B678C54" w14:textId="77777777" w:rsidR="00DD13BF" w:rsidRPr="00874B3B" w:rsidRDefault="00DD13BF" w:rsidP="00355A56">
            <w:pPr>
              <w:pStyle w:val="TableParagraph"/>
              <w:rPr>
                <w:sz w:val="20"/>
              </w:rPr>
            </w:pPr>
            <w:r>
              <w:rPr>
                <w:sz w:val="20"/>
              </w:rPr>
              <w:t>beneficiary and</w:t>
            </w:r>
            <w:r w:rsidRPr="00874B3B">
              <w:rPr>
                <w:sz w:val="20"/>
              </w:rPr>
              <w:t xml:space="preserve"> eMA2</w:t>
            </w:r>
          </w:p>
        </w:tc>
        <w:tc>
          <w:tcPr>
            <w:tcW w:w="708" w:type="dxa"/>
          </w:tcPr>
          <w:p w14:paraId="3E7F3700" w14:textId="77777777" w:rsidR="00DD13BF" w:rsidRPr="00874B3B" w:rsidRDefault="00DD13BF" w:rsidP="00355A56">
            <w:pPr>
              <w:pStyle w:val="TableParagraph"/>
              <w:rPr>
                <w:sz w:val="20"/>
              </w:rPr>
            </w:pPr>
          </w:p>
        </w:tc>
      </w:tr>
    </w:tbl>
    <w:p w14:paraId="5DA7CC7C" w14:textId="77777777" w:rsidR="00DD13BF" w:rsidRPr="00F81084" w:rsidRDefault="00DD13BF" w:rsidP="00DD13BF">
      <w:pPr>
        <w:pStyle w:val="Telobesedila"/>
      </w:pPr>
    </w:p>
    <w:p w14:paraId="095C8798" w14:textId="77777777" w:rsidR="00DD13BF" w:rsidRDefault="00DD13BF" w:rsidP="00DD13BF">
      <w:pPr>
        <w:pStyle w:val="Naslov5"/>
        <w:spacing w:before="0"/>
      </w:pPr>
      <w:r>
        <w:t xml:space="preserve">Indicative breakdown of the programme resources (EU) by type of intervention </w:t>
      </w:r>
    </w:p>
    <w:p w14:paraId="3DCA7DD4" w14:textId="77777777" w:rsidR="00DD13BF" w:rsidRDefault="00DD13BF" w:rsidP="00DD13BF">
      <w:pPr>
        <w:ind w:left="640"/>
        <w:rPr>
          <w:spacing w:val="-5"/>
        </w:rPr>
      </w:pPr>
    </w:p>
    <w:p w14:paraId="1C49FCEB" w14:textId="77777777" w:rsidR="00DD13BF" w:rsidRPr="00673ADB" w:rsidRDefault="00DD13BF" w:rsidP="00DD13BF">
      <w:pPr>
        <w:ind w:left="339"/>
        <w:rPr>
          <w:spacing w:val="-7"/>
        </w:rPr>
      </w:pPr>
      <w:r>
        <w:rPr>
          <w:spacing w:val="-7"/>
        </w:rPr>
        <w:t xml:space="preserve">Table </w:t>
      </w:r>
      <w:r w:rsidRPr="00673ADB">
        <w:rPr>
          <w:spacing w:val="-7"/>
        </w:rPr>
        <w:t xml:space="preserve">4: </w:t>
      </w:r>
      <w:r>
        <w:rPr>
          <w:spacing w:val="-7"/>
        </w:rPr>
        <w:t>Dimension</w:t>
      </w:r>
      <w:r w:rsidRPr="00673ADB">
        <w:rPr>
          <w:spacing w:val="-7"/>
        </w:rPr>
        <w:t xml:space="preserve"> 1 – </w:t>
      </w:r>
      <w:r>
        <w:rPr>
          <w:spacing w:val="-7"/>
        </w:rPr>
        <w:t>intervention field</w:t>
      </w:r>
    </w:p>
    <w:p w14:paraId="5D78811C"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7A41D6A" w14:textId="77777777" w:rsidTr="00355A56">
        <w:trPr>
          <w:trHeight w:val="353"/>
        </w:trPr>
        <w:tc>
          <w:tcPr>
            <w:tcW w:w="2088" w:type="dxa"/>
          </w:tcPr>
          <w:p w14:paraId="72FE02C9" w14:textId="77777777" w:rsidR="00DD13BF" w:rsidRDefault="00DD13BF" w:rsidP="00355A56">
            <w:pPr>
              <w:pStyle w:val="TableParagraph"/>
              <w:ind w:left="115"/>
              <w:jc w:val="center"/>
            </w:pPr>
            <w:r>
              <w:rPr>
                <w:spacing w:val="-2"/>
              </w:rPr>
              <w:t>Priority No</w:t>
            </w:r>
          </w:p>
        </w:tc>
        <w:tc>
          <w:tcPr>
            <w:tcW w:w="1133" w:type="dxa"/>
          </w:tcPr>
          <w:p w14:paraId="15BDBD47" w14:textId="77777777" w:rsidR="00DD13BF" w:rsidRDefault="00DD13BF" w:rsidP="00355A56">
            <w:pPr>
              <w:pStyle w:val="TableParagraph"/>
              <w:ind w:left="320"/>
            </w:pPr>
            <w:r>
              <w:t>Fund</w:t>
            </w:r>
          </w:p>
        </w:tc>
        <w:tc>
          <w:tcPr>
            <w:tcW w:w="3249" w:type="dxa"/>
          </w:tcPr>
          <w:p w14:paraId="2B1301C5" w14:textId="77777777" w:rsidR="00DD13BF" w:rsidRDefault="00DD13BF" w:rsidP="00355A56">
            <w:pPr>
              <w:pStyle w:val="TableParagraph"/>
              <w:ind w:left="907"/>
            </w:pPr>
            <w:r>
              <w:rPr>
                <w:spacing w:val="-3"/>
              </w:rPr>
              <w:t>Category of region</w:t>
            </w:r>
          </w:p>
        </w:tc>
        <w:tc>
          <w:tcPr>
            <w:tcW w:w="3099" w:type="dxa"/>
          </w:tcPr>
          <w:p w14:paraId="1337A628" w14:textId="77777777" w:rsidR="00DD13BF" w:rsidRDefault="00DD13BF" w:rsidP="00355A56">
            <w:pPr>
              <w:pStyle w:val="TableParagraph"/>
              <w:ind w:left="948"/>
            </w:pPr>
            <w:r>
              <w:rPr>
                <w:spacing w:val="-4"/>
              </w:rPr>
              <w:t>Specific objective</w:t>
            </w:r>
          </w:p>
        </w:tc>
        <w:tc>
          <w:tcPr>
            <w:tcW w:w="1161" w:type="dxa"/>
          </w:tcPr>
          <w:p w14:paraId="58EDF9DD" w14:textId="77777777" w:rsidR="00DD13BF" w:rsidRDefault="00DD13BF" w:rsidP="00355A56">
            <w:pPr>
              <w:pStyle w:val="TableParagraph"/>
              <w:ind w:left="333"/>
            </w:pPr>
            <w:r>
              <w:t>Code</w:t>
            </w:r>
          </w:p>
        </w:tc>
        <w:tc>
          <w:tcPr>
            <w:tcW w:w="2731" w:type="dxa"/>
          </w:tcPr>
          <w:p w14:paraId="3C976901" w14:textId="77777777" w:rsidR="00DD13BF" w:rsidRDefault="00DD13BF" w:rsidP="00355A56">
            <w:pPr>
              <w:pStyle w:val="TableParagraph"/>
              <w:ind w:left="660"/>
            </w:pPr>
            <w:r>
              <w:t>Amount (EUR)</w:t>
            </w:r>
          </w:p>
        </w:tc>
      </w:tr>
      <w:tr w:rsidR="00DD13BF" w14:paraId="618406AB" w14:textId="77777777" w:rsidTr="00355A56">
        <w:trPr>
          <w:trHeight w:val="353"/>
        </w:trPr>
        <w:tc>
          <w:tcPr>
            <w:tcW w:w="2088" w:type="dxa"/>
          </w:tcPr>
          <w:p w14:paraId="0E091B04" w14:textId="77777777" w:rsidR="00DD13BF" w:rsidRDefault="00DD13BF" w:rsidP="00355A56">
            <w:pPr>
              <w:pStyle w:val="TableParagraph"/>
              <w:rPr>
                <w:sz w:val="20"/>
              </w:rPr>
            </w:pPr>
            <w:r>
              <w:rPr>
                <w:sz w:val="20"/>
              </w:rPr>
              <w:t>1</w:t>
            </w:r>
          </w:p>
        </w:tc>
        <w:tc>
          <w:tcPr>
            <w:tcW w:w="1133" w:type="dxa"/>
          </w:tcPr>
          <w:p w14:paraId="0E5E2214"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4C4E0087" w14:textId="77777777" w:rsidR="00DD13BF" w:rsidRDefault="00DD13BF" w:rsidP="00355A56">
            <w:pPr>
              <w:pStyle w:val="TableParagraph"/>
              <w:rPr>
                <w:sz w:val="20"/>
              </w:rPr>
            </w:pPr>
            <w:r>
              <w:rPr>
                <w:rFonts w:cstheme="minorHAnsi"/>
                <w:sz w:val="20"/>
              </w:rPr>
              <w:t xml:space="preserve">Less developed </w:t>
            </w:r>
          </w:p>
        </w:tc>
        <w:tc>
          <w:tcPr>
            <w:tcW w:w="3099" w:type="dxa"/>
          </w:tcPr>
          <w:p w14:paraId="67771BC6" w14:textId="77777777" w:rsidR="00DD13BF" w:rsidRDefault="00DD13BF" w:rsidP="00355A56">
            <w:pPr>
              <w:pStyle w:val="TableParagraph"/>
              <w:rPr>
                <w:sz w:val="20"/>
              </w:rPr>
            </w:pPr>
            <w:r w:rsidRPr="00635DCB">
              <w:rPr>
                <w:color w:val="000000"/>
                <w:sz w:val="20"/>
              </w:rPr>
              <w:t>RSO1.4</w:t>
            </w:r>
          </w:p>
        </w:tc>
        <w:tc>
          <w:tcPr>
            <w:tcW w:w="1161" w:type="dxa"/>
          </w:tcPr>
          <w:p w14:paraId="5F7167E0" w14:textId="77777777" w:rsidR="00DD13BF" w:rsidRDefault="00DD13BF" w:rsidP="00355A56">
            <w:pPr>
              <w:pStyle w:val="TableParagraph"/>
              <w:rPr>
                <w:sz w:val="20"/>
              </w:rPr>
            </w:pPr>
            <w:r>
              <w:rPr>
                <w:sz w:val="20"/>
              </w:rPr>
              <w:t>023</w:t>
            </w:r>
          </w:p>
        </w:tc>
        <w:tc>
          <w:tcPr>
            <w:tcW w:w="2731" w:type="dxa"/>
          </w:tcPr>
          <w:p w14:paraId="1CAADA43" w14:textId="77777777" w:rsidR="00DD13BF" w:rsidRDefault="00DD13BF" w:rsidP="00355A56">
            <w:pPr>
              <w:pStyle w:val="TableParagraph"/>
              <w:rPr>
                <w:sz w:val="20"/>
              </w:rPr>
            </w:pPr>
            <w:r>
              <w:rPr>
                <w:sz w:val="20"/>
              </w:rPr>
              <w:t>13,220,200</w:t>
            </w:r>
          </w:p>
        </w:tc>
      </w:tr>
      <w:tr w:rsidR="00DD13BF" w14:paraId="5FF15E18" w14:textId="77777777" w:rsidTr="00355A56">
        <w:trPr>
          <w:trHeight w:val="353"/>
        </w:trPr>
        <w:tc>
          <w:tcPr>
            <w:tcW w:w="2088" w:type="dxa"/>
          </w:tcPr>
          <w:p w14:paraId="2100AF28" w14:textId="77777777" w:rsidR="00DD13BF" w:rsidRDefault="00DD13BF" w:rsidP="00355A56">
            <w:pPr>
              <w:pStyle w:val="TableParagraph"/>
              <w:rPr>
                <w:sz w:val="20"/>
              </w:rPr>
            </w:pPr>
            <w:r>
              <w:rPr>
                <w:sz w:val="20"/>
              </w:rPr>
              <w:t>1</w:t>
            </w:r>
          </w:p>
        </w:tc>
        <w:tc>
          <w:tcPr>
            <w:tcW w:w="1133" w:type="dxa"/>
          </w:tcPr>
          <w:p w14:paraId="324C4DA0"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344AC087" w14:textId="77777777" w:rsidR="00DD13BF" w:rsidRPr="003B5876" w:rsidRDefault="00DD13BF" w:rsidP="00355A56">
            <w:pPr>
              <w:rPr>
                <w:rFonts w:cstheme="minorHAnsi"/>
                <w:sz w:val="20"/>
              </w:rPr>
            </w:pPr>
            <w:r>
              <w:rPr>
                <w:rFonts w:cstheme="minorHAnsi"/>
                <w:sz w:val="20"/>
              </w:rPr>
              <w:t xml:space="preserve">More developed </w:t>
            </w:r>
          </w:p>
        </w:tc>
        <w:tc>
          <w:tcPr>
            <w:tcW w:w="3099" w:type="dxa"/>
          </w:tcPr>
          <w:p w14:paraId="32C8C6DF" w14:textId="77777777" w:rsidR="00DD13BF" w:rsidRDefault="00DD13BF" w:rsidP="00355A56">
            <w:pPr>
              <w:pStyle w:val="TableParagraph"/>
              <w:rPr>
                <w:sz w:val="20"/>
              </w:rPr>
            </w:pPr>
            <w:r w:rsidRPr="00635DCB">
              <w:rPr>
                <w:color w:val="000000"/>
                <w:sz w:val="20"/>
              </w:rPr>
              <w:t>RSO1.4</w:t>
            </w:r>
          </w:p>
        </w:tc>
        <w:tc>
          <w:tcPr>
            <w:tcW w:w="1161" w:type="dxa"/>
          </w:tcPr>
          <w:p w14:paraId="5B822BF5" w14:textId="77777777" w:rsidR="00DD13BF" w:rsidRDefault="00DD13BF" w:rsidP="00355A56">
            <w:pPr>
              <w:pStyle w:val="TableParagraph"/>
              <w:rPr>
                <w:sz w:val="20"/>
              </w:rPr>
            </w:pPr>
            <w:r>
              <w:rPr>
                <w:sz w:val="20"/>
              </w:rPr>
              <w:t>023</w:t>
            </w:r>
          </w:p>
        </w:tc>
        <w:tc>
          <w:tcPr>
            <w:tcW w:w="2731" w:type="dxa"/>
          </w:tcPr>
          <w:p w14:paraId="2BDD32C4" w14:textId="77777777" w:rsidR="00DD13BF" w:rsidRDefault="00DD13BF" w:rsidP="00355A56">
            <w:pPr>
              <w:pStyle w:val="TableParagraph"/>
              <w:rPr>
                <w:sz w:val="20"/>
              </w:rPr>
            </w:pPr>
            <w:r>
              <w:rPr>
                <w:sz w:val="20"/>
              </w:rPr>
              <w:t>4,709,900</w:t>
            </w:r>
          </w:p>
        </w:tc>
      </w:tr>
      <w:tr w:rsidR="00DD13BF" w14:paraId="24C31D63" w14:textId="77777777" w:rsidTr="00355A56">
        <w:trPr>
          <w:trHeight w:val="353"/>
        </w:trPr>
        <w:tc>
          <w:tcPr>
            <w:tcW w:w="2088" w:type="dxa"/>
          </w:tcPr>
          <w:p w14:paraId="49B3B734" w14:textId="77777777" w:rsidR="00DD13BF" w:rsidRDefault="00DD13BF" w:rsidP="00355A56">
            <w:pPr>
              <w:pStyle w:val="TableParagraph"/>
              <w:rPr>
                <w:sz w:val="20"/>
              </w:rPr>
            </w:pPr>
            <w:r>
              <w:rPr>
                <w:sz w:val="20"/>
              </w:rPr>
              <w:t>1</w:t>
            </w:r>
          </w:p>
        </w:tc>
        <w:tc>
          <w:tcPr>
            <w:tcW w:w="1133" w:type="dxa"/>
          </w:tcPr>
          <w:p w14:paraId="0E8822BB"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17A9156F" w14:textId="77777777" w:rsidR="00DD13BF" w:rsidRDefault="00DD13BF" w:rsidP="00355A56">
            <w:pPr>
              <w:pStyle w:val="TableParagraph"/>
              <w:rPr>
                <w:sz w:val="20"/>
              </w:rPr>
            </w:pPr>
            <w:r>
              <w:rPr>
                <w:rFonts w:cstheme="minorHAnsi"/>
                <w:sz w:val="20"/>
              </w:rPr>
              <w:t xml:space="preserve">Less developed </w:t>
            </w:r>
          </w:p>
        </w:tc>
        <w:tc>
          <w:tcPr>
            <w:tcW w:w="3099" w:type="dxa"/>
          </w:tcPr>
          <w:p w14:paraId="4CA81153" w14:textId="77777777" w:rsidR="00DD13BF" w:rsidRDefault="00DD13BF" w:rsidP="00355A56">
            <w:pPr>
              <w:pStyle w:val="TableParagraph"/>
              <w:rPr>
                <w:sz w:val="20"/>
              </w:rPr>
            </w:pPr>
            <w:r w:rsidRPr="00635DCB">
              <w:rPr>
                <w:color w:val="000000"/>
                <w:sz w:val="20"/>
              </w:rPr>
              <w:t>RSO1.4</w:t>
            </w:r>
          </w:p>
        </w:tc>
        <w:tc>
          <w:tcPr>
            <w:tcW w:w="1161" w:type="dxa"/>
          </w:tcPr>
          <w:p w14:paraId="66AD7A5C" w14:textId="77777777" w:rsidR="00DD13BF" w:rsidRDefault="00DD13BF" w:rsidP="00355A56">
            <w:pPr>
              <w:pStyle w:val="TableParagraph"/>
              <w:rPr>
                <w:sz w:val="20"/>
              </w:rPr>
            </w:pPr>
            <w:r>
              <w:rPr>
                <w:sz w:val="20"/>
              </w:rPr>
              <w:t>170</w:t>
            </w:r>
          </w:p>
        </w:tc>
        <w:tc>
          <w:tcPr>
            <w:tcW w:w="2731" w:type="dxa"/>
          </w:tcPr>
          <w:p w14:paraId="283C1A21" w14:textId="77777777" w:rsidR="00DD13BF" w:rsidRDefault="00DD13BF" w:rsidP="00355A56">
            <w:pPr>
              <w:pStyle w:val="TableParagraph"/>
              <w:rPr>
                <w:sz w:val="20"/>
              </w:rPr>
            </w:pPr>
            <w:r>
              <w:rPr>
                <w:sz w:val="20"/>
              </w:rPr>
              <w:t>3,590,</w:t>
            </w:r>
            <w:r w:rsidRPr="001213FF">
              <w:rPr>
                <w:sz w:val="20"/>
              </w:rPr>
              <w:t>000</w:t>
            </w:r>
          </w:p>
        </w:tc>
      </w:tr>
      <w:tr w:rsidR="00DD13BF" w14:paraId="06853DBC" w14:textId="77777777" w:rsidTr="00355A56">
        <w:trPr>
          <w:trHeight w:val="353"/>
        </w:trPr>
        <w:tc>
          <w:tcPr>
            <w:tcW w:w="2088" w:type="dxa"/>
          </w:tcPr>
          <w:p w14:paraId="6C4B17AF" w14:textId="77777777" w:rsidR="00DD13BF" w:rsidRDefault="00DD13BF" w:rsidP="00355A56">
            <w:pPr>
              <w:pStyle w:val="TableParagraph"/>
              <w:rPr>
                <w:sz w:val="20"/>
              </w:rPr>
            </w:pPr>
            <w:r>
              <w:rPr>
                <w:sz w:val="20"/>
              </w:rPr>
              <w:t>1</w:t>
            </w:r>
          </w:p>
        </w:tc>
        <w:tc>
          <w:tcPr>
            <w:tcW w:w="1133" w:type="dxa"/>
          </w:tcPr>
          <w:p w14:paraId="17D881AC"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67F368F1" w14:textId="77777777" w:rsidR="00DD13BF" w:rsidRPr="003B5876" w:rsidRDefault="00DD13BF" w:rsidP="00355A56">
            <w:pPr>
              <w:rPr>
                <w:rFonts w:cstheme="minorHAnsi"/>
                <w:sz w:val="20"/>
              </w:rPr>
            </w:pPr>
            <w:r>
              <w:rPr>
                <w:rFonts w:cstheme="minorHAnsi"/>
                <w:sz w:val="20"/>
              </w:rPr>
              <w:t xml:space="preserve">More developed </w:t>
            </w:r>
          </w:p>
        </w:tc>
        <w:tc>
          <w:tcPr>
            <w:tcW w:w="3099" w:type="dxa"/>
          </w:tcPr>
          <w:p w14:paraId="000DCE01" w14:textId="77777777" w:rsidR="00DD13BF" w:rsidRDefault="00DD13BF" w:rsidP="00355A56">
            <w:pPr>
              <w:pStyle w:val="TableParagraph"/>
              <w:rPr>
                <w:sz w:val="20"/>
              </w:rPr>
            </w:pPr>
            <w:r w:rsidRPr="00635DCB">
              <w:rPr>
                <w:color w:val="000000"/>
                <w:sz w:val="20"/>
              </w:rPr>
              <w:t>RSO1.4</w:t>
            </w:r>
          </w:p>
        </w:tc>
        <w:tc>
          <w:tcPr>
            <w:tcW w:w="1161" w:type="dxa"/>
          </w:tcPr>
          <w:p w14:paraId="2CA4B7C8" w14:textId="77777777" w:rsidR="00DD13BF" w:rsidRDefault="00DD13BF" w:rsidP="00355A56">
            <w:pPr>
              <w:pStyle w:val="TableParagraph"/>
              <w:rPr>
                <w:sz w:val="20"/>
              </w:rPr>
            </w:pPr>
            <w:r>
              <w:rPr>
                <w:sz w:val="20"/>
              </w:rPr>
              <w:t>170</w:t>
            </w:r>
          </w:p>
        </w:tc>
        <w:tc>
          <w:tcPr>
            <w:tcW w:w="2731" w:type="dxa"/>
          </w:tcPr>
          <w:p w14:paraId="462B4F12" w14:textId="77777777" w:rsidR="00DD13BF" w:rsidRDefault="00DD13BF" w:rsidP="00355A56">
            <w:pPr>
              <w:pStyle w:val="TableParagraph"/>
              <w:rPr>
                <w:sz w:val="20"/>
              </w:rPr>
            </w:pPr>
            <w:r>
              <w:rPr>
                <w:sz w:val="20"/>
              </w:rPr>
              <w:t>1,000,</w:t>
            </w:r>
            <w:r w:rsidRPr="001213FF">
              <w:rPr>
                <w:sz w:val="20"/>
              </w:rPr>
              <w:t>000</w:t>
            </w:r>
          </w:p>
        </w:tc>
      </w:tr>
    </w:tbl>
    <w:p w14:paraId="409E00C1" w14:textId="77777777" w:rsidR="00DD13BF" w:rsidRDefault="00DD13BF" w:rsidP="00DD13BF"/>
    <w:p w14:paraId="088FD371" w14:textId="77777777" w:rsidR="00DD13BF" w:rsidRPr="00673ADB" w:rsidRDefault="00DD13BF" w:rsidP="00DD13BF">
      <w:pPr>
        <w:ind w:left="339"/>
        <w:rPr>
          <w:spacing w:val="-7"/>
        </w:rPr>
      </w:pPr>
      <w:r>
        <w:rPr>
          <w:spacing w:val="-7"/>
        </w:rPr>
        <w:t>Table</w:t>
      </w:r>
      <w:r w:rsidRPr="00673ADB">
        <w:rPr>
          <w:spacing w:val="-7"/>
        </w:rPr>
        <w:t xml:space="preserve"> 5:</w:t>
      </w:r>
      <w:r>
        <w:rPr>
          <w:spacing w:val="-7"/>
        </w:rPr>
        <w:t xml:space="preserve"> Dimension</w:t>
      </w:r>
      <w:r w:rsidRPr="00673ADB">
        <w:rPr>
          <w:spacing w:val="-7"/>
        </w:rPr>
        <w:t xml:space="preserve"> 2 – </w:t>
      </w:r>
      <w:r>
        <w:rPr>
          <w:spacing w:val="-7"/>
        </w:rPr>
        <w:t>form of financing</w:t>
      </w:r>
    </w:p>
    <w:p w14:paraId="10AF5C09" w14:textId="77777777" w:rsidR="00DD13BF" w:rsidRDefault="00DD13BF" w:rsidP="00DD13BF">
      <w:pPr>
        <w:rPr>
          <w:sz w:val="20"/>
        </w:rPr>
      </w:pPr>
    </w:p>
    <w:tbl>
      <w:tblPr>
        <w:tblStyle w:val="NormalTable0"/>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66"/>
      </w:tblGrid>
      <w:tr w:rsidR="00DD13BF" w14:paraId="1EA1B67D" w14:textId="77777777" w:rsidTr="00355A56">
        <w:trPr>
          <w:trHeight w:val="353"/>
        </w:trPr>
        <w:tc>
          <w:tcPr>
            <w:tcW w:w="2088" w:type="dxa"/>
          </w:tcPr>
          <w:p w14:paraId="326A91C6" w14:textId="77777777" w:rsidR="00DD13BF" w:rsidRDefault="00DD13BF" w:rsidP="00355A56">
            <w:pPr>
              <w:pStyle w:val="TableParagraph"/>
              <w:ind w:left="115"/>
              <w:jc w:val="center"/>
            </w:pPr>
            <w:r>
              <w:rPr>
                <w:spacing w:val="-2"/>
              </w:rPr>
              <w:lastRenderedPageBreak/>
              <w:t>Priority No</w:t>
            </w:r>
          </w:p>
        </w:tc>
        <w:tc>
          <w:tcPr>
            <w:tcW w:w="1133" w:type="dxa"/>
          </w:tcPr>
          <w:p w14:paraId="3D671DDD" w14:textId="77777777" w:rsidR="00DD13BF" w:rsidRDefault="00DD13BF" w:rsidP="00355A56">
            <w:pPr>
              <w:pStyle w:val="TableParagraph"/>
              <w:ind w:left="320"/>
            </w:pPr>
            <w:r>
              <w:t>Fund</w:t>
            </w:r>
          </w:p>
        </w:tc>
        <w:tc>
          <w:tcPr>
            <w:tcW w:w="3249" w:type="dxa"/>
          </w:tcPr>
          <w:p w14:paraId="37F18552" w14:textId="77777777" w:rsidR="00DD13BF" w:rsidRDefault="00DD13BF" w:rsidP="00355A56">
            <w:pPr>
              <w:pStyle w:val="TableParagraph"/>
              <w:ind w:left="907"/>
            </w:pPr>
            <w:r>
              <w:rPr>
                <w:spacing w:val="-3"/>
              </w:rPr>
              <w:t>Category of region</w:t>
            </w:r>
          </w:p>
        </w:tc>
        <w:tc>
          <w:tcPr>
            <w:tcW w:w="3099" w:type="dxa"/>
          </w:tcPr>
          <w:p w14:paraId="4794730E" w14:textId="77777777" w:rsidR="00DD13BF" w:rsidRDefault="00DD13BF" w:rsidP="00355A56">
            <w:pPr>
              <w:pStyle w:val="TableParagraph"/>
              <w:ind w:left="948"/>
            </w:pPr>
            <w:r>
              <w:rPr>
                <w:spacing w:val="-4"/>
              </w:rPr>
              <w:t>Specific objective</w:t>
            </w:r>
          </w:p>
        </w:tc>
        <w:tc>
          <w:tcPr>
            <w:tcW w:w="1161" w:type="dxa"/>
          </w:tcPr>
          <w:p w14:paraId="250EB8E1" w14:textId="77777777" w:rsidR="00DD13BF" w:rsidRDefault="00DD13BF" w:rsidP="00355A56">
            <w:pPr>
              <w:pStyle w:val="TableParagraph"/>
              <w:ind w:left="334"/>
            </w:pPr>
            <w:r>
              <w:t>Code</w:t>
            </w:r>
          </w:p>
        </w:tc>
        <w:tc>
          <w:tcPr>
            <w:tcW w:w="2766" w:type="dxa"/>
          </w:tcPr>
          <w:p w14:paraId="40D74C95" w14:textId="77777777" w:rsidR="00DD13BF" w:rsidRDefault="00DD13BF" w:rsidP="00355A56">
            <w:pPr>
              <w:pStyle w:val="TableParagraph"/>
              <w:ind w:left="661"/>
            </w:pPr>
            <w:r>
              <w:t>Amount (EUR)</w:t>
            </w:r>
          </w:p>
        </w:tc>
      </w:tr>
      <w:tr w:rsidR="00DD13BF" w14:paraId="42A3667C" w14:textId="77777777" w:rsidTr="00355A56">
        <w:trPr>
          <w:trHeight w:val="353"/>
        </w:trPr>
        <w:tc>
          <w:tcPr>
            <w:tcW w:w="2088" w:type="dxa"/>
          </w:tcPr>
          <w:p w14:paraId="3CE2A264" w14:textId="77777777" w:rsidR="00DD13BF" w:rsidRDefault="00DD13BF" w:rsidP="00355A56">
            <w:pPr>
              <w:pStyle w:val="TableParagraph"/>
              <w:rPr>
                <w:sz w:val="20"/>
              </w:rPr>
            </w:pPr>
            <w:r>
              <w:rPr>
                <w:sz w:val="20"/>
              </w:rPr>
              <w:t>1</w:t>
            </w:r>
          </w:p>
        </w:tc>
        <w:tc>
          <w:tcPr>
            <w:tcW w:w="1133" w:type="dxa"/>
          </w:tcPr>
          <w:p w14:paraId="5D7CAD05"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130678BA" w14:textId="77777777" w:rsidR="00DD13BF" w:rsidRDefault="00DD13BF" w:rsidP="00355A56">
            <w:pPr>
              <w:pStyle w:val="TableParagraph"/>
              <w:rPr>
                <w:sz w:val="20"/>
              </w:rPr>
            </w:pPr>
            <w:r>
              <w:rPr>
                <w:rFonts w:cstheme="minorHAnsi"/>
                <w:sz w:val="20"/>
              </w:rPr>
              <w:t xml:space="preserve">Less developed </w:t>
            </w:r>
          </w:p>
        </w:tc>
        <w:tc>
          <w:tcPr>
            <w:tcW w:w="3099" w:type="dxa"/>
          </w:tcPr>
          <w:p w14:paraId="7A523E39" w14:textId="77777777" w:rsidR="00DD13BF" w:rsidRDefault="00DD13BF" w:rsidP="00355A56">
            <w:pPr>
              <w:pStyle w:val="TableParagraph"/>
              <w:rPr>
                <w:sz w:val="20"/>
              </w:rPr>
            </w:pPr>
            <w:r w:rsidRPr="00366934">
              <w:rPr>
                <w:color w:val="000000"/>
                <w:sz w:val="20"/>
              </w:rPr>
              <w:t>RSO1.4</w:t>
            </w:r>
          </w:p>
        </w:tc>
        <w:tc>
          <w:tcPr>
            <w:tcW w:w="1161" w:type="dxa"/>
          </w:tcPr>
          <w:p w14:paraId="402A1BED" w14:textId="77777777" w:rsidR="00DD13BF" w:rsidRDefault="00DD13BF" w:rsidP="00355A56">
            <w:pPr>
              <w:pStyle w:val="TableParagraph"/>
              <w:rPr>
                <w:sz w:val="20"/>
              </w:rPr>
            </w:pPr>
            <w:r>
              <w:rPr>
                <w:sz w:val="20"/>
              </w:rPr>
              <w:t>01</w:t>
            </w:r>
          </w:p>
        </w:tc>
        <w:tc>
          <w:tcPr>
            <w:tcW w:w="2766" w:type="dxa"/>
          </w:tcPr>
          <w:p w14:paraId="2A7E1975" w14:textId="77777777" w:rsidR="00DD13BF" w:rsidRDefault="00DD13BF" w:rsidP="00355A56">
            <w:pPr>
              <w:pStyle w:val="TableParagraph"/>
              <w:rPr>
                <w:sz w:val="20"/>
              </w:rPr>
            </w:pPr>
            <w:r>
              <w:rPr>
                <w:sz w:val="20"/>
              </w:rPr>
              <w:t>16,810,200</w:t>
            </w:r>
          </w:p>
        </w:tc>
      </w:tr>
      <w:tr w:rsidR="00DD13BF" w14:paraId="6AF2F7DB" w14:textId="77777777" w:rsidTr="00355A56">
        <w:trPr>
          <w:trHeight w:val="353"/>
        </w:trPr>
        <w:tc>
          <w:tcPr>
            <w:tcW w:w="2088" w:type="dxa"/>
          </w:tcPr>
          <w:p w14:paraId="119F79BE" w14:textId="77777777" w:rsidR="00DD13BF" w:rsidRDefault="00DD13BF" w:rsidP="00355A56">
            <w:pPr>
              <w:pStyle w:val="TableParagraph"/>
              <w:rPr>
                <w:sz w:val="20"/>
              </w:rPr>
            </w:pPr>
            <w:r>
              <w:rPr>
                <w:sz w:val="20"/>
              </w:rPr>
              <w:t>1</w:t>
            </w:r>
          </w:p>
        </w:tc>
        <w:tc>
          <w:tcPr>
            <w:tcW w:w="1133" w:type="dxa"/>
          </w:tcPr>
          <w:p w14:paraId="2E0E2792" w14:textId="77777777" w:rsidR="00DD13BF" w:rsidRDefault="00DD13BF" w:rsidP="00355A56">
            <w:pPr>
              <w:pStyle w:val="TableParagraph"/>
              <w:rPr>
                <w:sz w:val="20"/>
              </w:rPr>
            </w:pPr>
            <w:r>
              <w:rPr>
                <w:sz w:val="20"/>
              </w:rPr>
              <w:t>E</w:t>
            </w:r>
            <w:r w:rsidRPr="001361B8">
              <w:rPr>
                <w:sz w:val="20"/>
              </w:rPr>
              <w:t>R</w:t>
            </w:r>
            <w:r>
              <w:rPr>
                <w:sz w:val="20"/>
              </w:rPr>
              <w:t>DF</w:t>
            </w:r>
          </w:p>
        </w:tc>
        <w:tc>
          <w:tcPr>
            <w:tcW w:w="3249" w:type="dxa"/>
          </w:tcPr>
          <w:p w14:paraId="7010D2B2" w14:textId="77777777" w:rsidR="00DD13BF" w:rsidRPr="003B5876" w:rsidRDefault="00DD13BF" w:rsidP="00355A56">
            <w:pPr>
              <w:rPr>
                <w:rFonts w:cstheme="minorHAnsi"/>
                <w:sz w:val="20"/>
              </w:rPr>
            </w:pPr>
            <w:r>
              <w:rPr>
                <w:rFonts w:cstheme="minorHAnsi"/>
                <w:sz w:val="20"/>
              </w:rPr>
              <w:t>More developed</w:t>
            </w:r>
          </w:p>
        </w:tc>
        <w:tc>
          <w:tcPr>
            <w:tcW w:w="3099" w:type="dxa"/>
          </w:tcPr>
          <w:p w14:paraId="506FDB84" w14:textId="77777777" w:rsidR="00DD13BF" w:rsidRDefault="00DD13BF" w:rsidP="00355A56">
            <w:pPr>
              <w:pStyle w:val="TableParagraph"/>
              <w:rPr>
                <w:sz w:val="20"/>
              </w:rPr>
            </w:pPr>
            <w:r w:rsidRPr="00366934">
              <w:rPr>
                <w:color w:val="000000"/>
                <w:sz w:val="20"/>
              </w:rPr>
              <w:t>RSO1.4</w:t>
            </w:r>
          </w:p>
        </w:tc>
        <w:tc>
          <w:tcPr>
            <w:tcW w:w="1161" w:type="dxa"/>
          </w:tcPr>
          <w:p w14:paraId="6E4543AC" w14:textId="77777777" w:rsidR="00DD13BF" w:rsidRDefault="00DD13BF" w:rsidP="00355A56">
            <w:pPr>
              <w:pStyle w:val="TableParagraph"/>
              <w:rPr>
                <w:sz w:val="20"/>
              </w:rPr>
            </w:pPr>
            <w:r>
              <w:rPr>
                <w:sz w:val="20"/>
              </w:rPr>
              <w:t>01</w:t>
            </w:r>
          </w:p>
        </w:tc>
        <w:tc>
          <w:tcPr>
            <w:tcW w:w="2766" w:type="dxa"/>
          </w:tcPr>
          <w:p w14:paraId="72420CD3" w14:textId="77777777" w:rsidR="00DD13BF" w:rsidRDefault="00DD13BF" w:rsidP="00355A56">
            <w:pPr>
              <w:pStyle w:val="TableParagraph"/>
              <w:rPr>
                <w:sz w:val="20"/>
              </w:rPr>
            </w:pPr>
            <w:r>
              <w:rPr>
                <w:sz w:val="20"/>
              </w:rPr>
              <w:t>5,709,900</w:t>
            </w:r>
          </w:p>
        </w:tc>
      </w:tr>
    </w:tbl>
    <w:p w14:paraId="061B7A7B" w14:textId="77777777" w:rsidR="00DD13BF" w:rsidRDefault="00DD13BF" w:rsidP="00DD13BF">
      <w:pPr>
        <w:ind w:left="339"/>
        <w:rPr>
          <w:spacing w:val="-7"/>
        </w:rPr>
      </w:pPr>
    </w:p>
    <w:p w14:paraId="67368624" w14:textId="77777777" w:rsidR="00DD13BF" w:rsidRDefault="00DD13BF" w:rsidP="00DD13BF">
      <w:pPr>
        <w:ind w:left="339"/>
      </w:pPr>
      <w:r>
        <w:rPr>
          <w:spacing w:val="-7"/>
        </w:rPr>
        <w:t>Table 6: Dimension 3</w:t>
      </w:r>
      <w:r>
        <w:rPr>
          <w:spacing w:val="-1"/>
        </w:rPr>
        <w:t xml:space="preserve"> </w:t>
      </w:r>
      <w:r>
        <w:rPr>
          <w:spacing w:val="-7"/>
        </w:rPr>
        <w:t>–</w:t>
      </w:r>
      <w:r>
        <w:rPr>
          <w:spacing w:val="-1"/>
        </w:rPr>
        <w:t xml:space="preserve"> territorial delivery mechanism and territorial focus </w:t>
      </w:r>
    </w:p>
    <w:p w14:paraId="31C4FB88"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631AD78" w14:textId="77777777" w:rsidTr="00355A56">
        <w:trPr>
          <w:trHeight w:val="353"/>
        </w:trPr>
        <w:tc>
          <w:tcPr>
            <w:tcW w:w="2088" w:type="dxa"/>
          </w:tcPr>
          <w:p w14:paraId="6CF24BD2" w14:textId="77777777" w:rsidR="00DD13BF" w:rsidRDefault="00DD13BF" w:rsidP="00355A56">
            <w:pPr>
              <w:pStyle w:val="TableParagraph"/>
              <w:ind w:left="115"/>
              <w:jc w:val="center"/>
            </w:pPr>
            <w:r>
              <w:rPr>
                <w:spacing w:val="-2"/>
              </w:rPr>
              <w:t>Priority No</w:t>
            </w:r>
          </w:p>
        </w:tc>
        <w:tc>
          <w:tcPr>
            <w:tcW w:w="1132" w:type="dxa"/>
          </w:tcPr>
          <w:p w14:paraId="2653B911" w14:textId="77777777" w:rsidR="00DD13BF" w:rsidRDefault="00DD13BF" w:rsidP="00355A56">
            <w:pPr>
              <w:pStyle w:val="TableParagraph"/>
              <w:ind w:left="320"/>
            </w:pPr>
            <w:r>
              <w:t>Fund</w:t>
            </w:r>
          </w:p>
        </w:tc>
        <w:tc>
          <w:tcPr>
            <w:tcW w:w="3248" w:type="dxa"/>
          </w:tcPr>
          <w:p w14:paraId="74EF8BBA" w14:textId="77777777" w:rsidR="00DD13BF" w:rsidRDefault="00DD13BF" w:rsidP="00355A56">
            <w:pPr>
              <w:pStyle w:val="TableParagraph"/>
              <w:ind w:left="908"/>
            </w:pPr>
            <w:r>
              <w:rPr>
                <w:spacing w:val="-3"/>
              </w:rPr>
              <w:t>Category of region</w:t>
            </w:r>
          </w:p>
        </w:tc>
        <w:tc>
          <w:tcPr>
            <w:tcW w:w="3098" w:type="dxa"/>
          </w:tcPr>
          <w:p w14:paraId="24D05482" w14:textId="77777777" w:rsidR="00DD13BF" w:rsidRDefault="00DD13BF" w:rsidP="00355A56">
            <w:pPr>
              <w:pStyle w:val="TableParagraph"/>
              <w:ind w:left="950"/>
            </w:pPr>
            <w:r>
              <w:rPr>
                <w:spacing w:val="-4"/>
              </w:rPr>
              <w:t>Specific objective</w:t>
            </w:r>
          </w:p>
        </w:tc>
        <w:tc>
          <w:tcPr>
            <w:tcW w:w="1160" w:type="dxa"/>
          </w:tcPr>
          <w:p w14:paraId="6746D578" w14:textId="77777777" w:rsidR="00DD13BF" w:rsidRDefault="00DD13BF" w:rsidP="00355A56">
            <w:pPr>
              <w:pStyle w:val="TableParagraph"/>
              <w:ind w:left="336"/>
            </w:pPr>
            <w:r>
              <w:t>Code</w:t>
            </w:r>
          </w:p>
        </w:tc>
        <w:tc>
          <w:tcPr>
            <w:tcW w:w="2730" w:type="dxa"/>
          </w:tcPr>
          <w:p w14:paraId="2378390F" w14:textId="77777777" w:rsidR="00DD13BF" w:rsidRDefault="00DD13BF" w:rsidP="00355A56">
            <w:pPr>
              <w:pStyle w:val="TableParagraph"/>
              <w:ind w:left="664"/>
            </w:pPr>
            <w:r>
              <w:t>Amount (EUR)</w:t>
            </w:r>
          </w:p>
        </w:tc>
      </w:tr>
      <w:tr w:rsidR="00DD13BF" w14:paraId="6375B390" w14:textId="77777777" w:rsidTr="00355A56">
        <w:trPr>
          <w:trHeight w:val="353"/>
        </w:trPr>
        <w:tc>
          <w:tcPr>
            <w:tcW w:w="2088" w:type="dxa"/>
          </w:tcPr>
          <w:p w14:paraId="4AD8B733" w14:textId="77777777" w:rsidR="00DD13BF" w:rsidRDefault="00DD13BF" w:rsidP="00355A56">
            <w:pPr>
              <w:pStyle w:val="TableParagraph"/>
              <w:rPr>
                <w:sz w:val="20"/>
              </w:rPr>
            </w:pPr>
            <w:r>
              <w:rPr>
                <w:sz w:val="20"/>
              </w:rPr>
              <w:t>1</w:t>
            </w:r>
          </w:p>
        </w:tc>
        <w:tc>
          <w:tcPr>
            <w:tcW w:w="1132" w:type="dxa"/>
          </w:tcPr>
          <w:p w14:paraId="76F8FADD"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48BCDA3C" w14:textId="77777777" w:rsidR="00DD13BF" w:rsidRDefault="00DD13BF" w:rsidP="00355A56">
            <w:pPr>
              <w:pStyle w:val="TableParagraph"/>
              <w:rPr>
                <w:sz w:val="20"/>
              </w:rPr>
            </w:pPr>
            <w:r>
              <w:rPr>
                <w:rFonts w:cstheme="minorHAnsi"/>
                <w:sz w:val="20"/>
              </w:rPr>
              <w:t xml:space="preserve">Less developed </w:t>
            </w:r>
          </w:p>
        </w:tc>
        <w:tc>
          <w:tcPr>
            <w:tcW w:w="3098" w:type="dxa"/>
          </w:tcPr>
          <w:p w14:paraId="100D03A5" w14:textId="77777777" w:rsidR="00DD13BF" w:rsidRDefault="00DD13BF" w:rsidP="00355A56">
            <w:pPr>
              <w:pStyle w:val="TableParagraph"/>
              <w:rPr>
                <w:sz w:val="20"/>
              </w:rPr>
            </w:pPr>
            <w:r w:rsidRPr="00495850">
              <w:rPr>
                <w:color w:val="000000"/>
                <w:sz w:val="20"/>
              </w:rPr>
              <w:t>RSO1.4</w:t>
            </w:r>
          </w:p>
        </w:tc>
        <w:tc>
          <w:tcPr>
            <w:tcW w:w="1160" w:type="dxa"/>
          </w:tcPr>
          <w:p w14:paraId="5E518E3B" w14:textId="77777777" w:rsidR="00DD13BF" w:rsidRPr="001668A9" w:rsidRDefault="00DD13BF" w:rsidP="00355A56">
            <w:pPr>
              <w:pStyle w:val="TableParagraph"/>
              <w:rPr>
                <w:sz w:val="20"/>
              </w:rPr>
            </w:pPr>
            <w:r w:rsidRPr="001668A9">
              <w:rPr>
                <w:sz w:val="20"/>
              </w:rPr>
              <w:t>3</w:t>
            </w:r>
            <w:r>
              <w:rPr>
                <w:sz w:val="20"/>
              </w:rPr>
              <w:t>3</w:t>
            </w:r>
          </w:p>
        </w:tc>
        <w:tc>
          <w:tcPr>
            <w:tcW w:w="2730" w:type="dxa"/>
          </w:tcPr>
          <w:p w14:paraId="79CA5D99" w14:textId="77777777" w:rsidR="00DD13BF" w:rsidRDefault="00DD13BF" w:rsidP="00355A56">
            <w:pPr>
              <w:pStyle w:val="TableParagraph"/>
              <w:rPr>
                <w:sz w:val="20"/>
              </w:rPr>
            </w:pPr>
            <w:r>
              <w:rPr>
                <w:sz w:val="20"/>
              </w:rPr>
              <w:t>16,810,200</w:t>
            </w:r>
          </w:p>
        </w:tc>
      </w:tr>
      <w:tr w:rsidR="00DD13BF" w14:paraId="4FDE2734" w14:textId="77777777" w:rsidTr="00355A56">
        <w:trPr>
          <w:trHeight w:val="353"/>
        </w:trPr>
        <w:tc>
          <w:tcPr>
            <w:tcW w:w="2088" w:type="dxa"/>
          </w:tcPr>
          <w:p w14:paraId="35767441" w14:textId="77777777" w:rsidR="00DD13BF" w:rsidRDefault="00DD13BF" w:rsidP="00355A56">
            <w:pPr>
              <w:pStyle w:val="TableParagraph"/>
              <w:rPr>
                <w:sz w:val="20"/>
              </w:rPr>
            </w:pPr>
            <w:r>
              <w:rPr>
                <w:sz w:val="20"/>
              </w:rPr>
              <w:t>1</w:t>
            </w:r>
          </w:p>
        </w:tc>
        <w:tc>
          <w:tcPr>
            <w:tcW w:w="1132" w:type="dxa"/>
          </w:tcPr>
          <w:p w14:paraId="1C56AC65"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44205CCF" w14:textId="77777777" w:rsidR="00DD13BF" w:rsidRPr="003B5876" w:rsidRDefault="00DD13BF" w:rsidP="00355A56">
            <w:pPr>
              <w:rPr>
                <w:rFonts w:cstheme="minorHAnsi"/>
                <w:sz w:val="20"/>
              </w:rPr>
            </w:pPr>
            <w:r>
              <w:rPr>
                <w:rFonts w:cstheme="minorHAnsi"/>
                <w:sz w:val="20"/>
              </w:rPr>
              <w:t>More developed</w:t>
            </w:r>
          </w:p>
        </w:tc>
        <w:tc>
          <w:tcPr>
            <w:tcW w:w="3098" w:type="dxa"/>
          </w:tcPr>
          <w:p w14:paraId="28953AEE" w14:textId="77777777" w:rsidR="00DD13BF" w:rsidRDefault="00DD13BF" w:rsidP="00355A56">
            <w:pPr>
              <w:pStyle w:val="TableParagraph"/>
              <w:rPr>
                <w:sz w:val="20"/>
              </w:rPr>
            </w:pPr>
            <w:r w:rsidRPr="00495850">
              <w:rPr>
                <w:color w:val="000000"/>
                <w:sz w:val="20"/>
              </w:rPr>
              <w:t>RSO1.4</w:t>
            </w:r>
          </w:p>
        </w:tc>
        <w:tc>
          <w:tcPr>
            <w:tcW w:w="1160" w:type="dxa"/>
          </w:tcPr>
          <w:p w14:paraId="00028C1D" w14:textId="77777777" w:rsidR="00DD13BF" w:rsidRPr="001668A9" w:rsidRDefault="00DD13BF" w:rsidP="00355A56">
            <w:pPr>
              <w:pStyle w:val="TableParagraph"/>
              <w:rPr>
                <w:sz w:val="20"/>
              </w:rPr>
            </w:pPr>
            <w:r w:rsidRPr="001668A9">
              <w:rPr>
                <w:sz w:val="20"/>
              </w:rPr>
              <w:t>3</w:t>
            </w:r>
            <w:r>
              <w:rPr>
                <w:sz w:val="20"/>
              </w:rPr>
              <w:t>3</w:t>
            </w:r>
          </w:p>
        </w:tc>
        <w:tc>
          <w:tcPr>
            <w:tcW w:w="2730" w:type="dxa"/>
          </w:tcPr>
          <w:p w14:paraId="7CC5EB3B" w14:textId="77777777" w:rsidR="00DD13BF" w:rsidRDefault="00DD13BF" w:rsidP="00355A56">
            <w:pPr>
              <w:pStyle w:val="TableParagraph"/>
              <w:rPr>
                <w:sz w:val="20"/>
              </w:rPr>
            </w:pPr>
            <w:r>
              <w:rPr>
                <w:sz w:val="20"/>
              </w:rPr>
              <w:t>5,709,900</w:t>
            </w:r>
          </w:p>
        </w:tc>
      </w:tr>
    </w:tbl>
    <w:p w14:paraId="1892C564" w14:textId="77777777" w:rsidR="00DD13BF" w:rsidRDefault="00DD13BF" w:rsidP="00DD13BF"/>
    <w:p w14:paraId="51AB5C74" w14:textId="77777777" w:rsidR="00DD13BF" w:rsidRDefault="00DD13BF" w:rsidP="00DD13BF">
      <w:pPr>
        <w:ind w:left="339"/>
      </w:pPr>
      <w:r>
        <w:rPr>
          <w:spacing w:val="-5"/>
        </w:rPr>
        <w:t>Table 7:</w:t>
      </w:r>
      <w:r>
        <w:rPr>
          <w:spacing w:val="-9"/>
        </w:rPr>
        <w:t xml:space="preserve"> Dimension</w:t>
      </w:r>
      <w:r>
        <w:rPr>
          <w:spacing w:val="-5"/>
        </w:rPr>
        <w:t xml:space="preserve"> 6</w:t>
      </w:r>
      <w:r>
        <w:rPr>
          <w:spacing w:val="-2"/>
        </w:rPr>
        <w:t xml:space="preserve"> </w:t>
      </w:r>
      <w:r>
        <w:rPr>
          <w:spacing w:val="-5"/>
        </w:rPr>
        <w:t>–</w:t>
      </w:r>
      <w:r>
        <w:rPr>
          <w:spacing w:val="-2"/>
        </w:rPr>
        <w:t xml:space="preserve"> </w:t>
      </w:r>
      <w:r>
        <w:rPr>
          <w:spacing w:val="-4"/>
        </w:rPr>
        <w:t>ESF+ secondary themes</w:t>
      </w:r>
    </w:p>
    <w:p w14:paraId="3606A0CA"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0F7511E" w14:textId="77777777" w:rsidTr="00355A56">
        <w:trPr>
          <w:trHeight w:val="353"/>
        </w:trPr>
        <w:tc>
          <w:tcPr>
            <w:tcW w:w="2088" w:type="dxa"/>
          </w:tcPr>
          <w:p w14:paraId="37532646" w14:textId="77777777" w:rsidR="00DD13BF" w:rsidRDefault="00DD13BF" w:rsidP="00355A56">
            <w:pPr>
              <w:pStyle w:val="TableParagraph"/>
              <w:ind w:left="115"/>
              <w:jc w:val="center"/>
            </w:pPr>
            <w:r>
              <w:rPr>
                <w:spacing w:val="-2"/>
              </w:rPr>
              <w:t>Priority No</w:t>
            </w:r>
          </w:p>
        </w:tc>
        <w:tc>
          <w:tcPr>
            <w:tcW w:w="1132" w:type="dxa"/>
          </w:tcPr>
          <w:p w14:paraId="0BF00A73" w14:textId="77777777" w:rsidR="00DD13BF" w:rsidRDefault="00DD13BF" w:rsidP="00355A56">
            <w:pPr>
              <w:pStyle w:val="TableParagraph"/>
              <w:ind w:left="321"/>
            </w:pPr>
            <w:r>
              <w:t>Fund</w:t>
            </w:r>
          </w:p>
        </w:tc>
        <w:tc>
          <w:tcPr>
            <w:tcW w:w="3248" w:type="dxa"/>
          </w:tcPr>
          <w:p w14:paraId="12CD880A" w14:textId="77777777" w:rsidR="00DD13BF" w:rsidRDefault="00DD13BF" w:rsidP="00355A56">
            <w:pPr>
              <w:pStyle w:val="TableParagraph"/>
              <w:ind w:left="909"/>
            </w:pPr>
            <w:r>
              <w:rPr>
                <w:spacing w:val="-3"/>
              </w:rPr>
              <w:t>Category of region</w:t>
            </w:r>
          </w:p>
        </w:tc>
        <w:tc>
          <w:tcPr>
            <w:tcW w:w="3098" w:type="dxa"/>
          </w:tcPr>
          <w:p w14:paraId="71E8AC31" w14:textId="77777777" w:rsidR="00DD13BF" w:rsidRDefault="00DD13BF" w:rsidP="00355A56">
            <w:pPr>
              <w:pStyle w:val="TableParagraph"/>
              <w:ind w:left="950"/>
            </w:pPr>
            <w:r>
              <w:rPr>
                <w:spacing w:val="-4"/>
              </w:rPr>
              <w:t>Specific objective</w:t>
            </w:r>
          </w:p>
        </w:tc>
        <w:tc>
          <w:tcPr>
            <w:tcW w:w="1160" w:type="dxa"/>
          </w:tcPr>
          <w:p w14:paraId="0622B55C" w14:textId="77777777" w:rsidR="00DD13BF" w:rsidRDefault="00DD13BF" w:rsidP="00355A56">
            <w:pPr>
              <w:pStyle w:val="TableParagraph"/>
              <w:ind w:left="337"/>
            </w:pPr>
            <w:r>
              <w:t>Code</w:t>
            </w:r>
          </w:p>
        </w:tc>
        <w:tc>
          <w:tcPr>
            <w:tcW w:w="2730" w:type="dxa"/>
          </w:tcPr>
          <w:p w14:paraId="7C945113" w14:textId="77777777" w:rsidR="00DD13BF" w:rsidRDefault="00DD13BF" w:rsidP="00355A56">
            <w:pPr>
              <w:pStyle w:val="TableParagraph"/>
              <w:ind w:left="665"/>
            </w:pPr>
            <w:r>
              <w:t>Amount (EUR)</w:t>
            </w:r>
          </w:p>
        </w:tc>
      </w:tr>
    </w:tbl>
    <w:p w14:paraId="0AEFD89F" w14:textId="77777777" w:rsidR="00DD13BF" w:rsidRPr="00673ADB" w:rsidRDefault="00DD13BF" w:rsidP="00DD13BF"/>
    <w:p w14:paraId="2E5614BE" w14:textId="77777777" w:rsidR="00DD13BF" w:rsidRDefault="00DD13BF" w:rsidP="00DD13BF">
      <w:pPr>
        <w:ind w:left="339"/>
      </w:pPr>
      <w:r>
        <w:rPr>
          <w:spacing w:val="-5"/>
        </w:rPr>
        <w:t>Table 8:</w:t>
      </w:r>
      <w:r>
        <w:rPr>
          <w:spacing w:val="-9"/>
        </w:rPr>
        <w:t xml:space="preserve"> </w:t>
      </w:r>
      <w:r>
        <w:rPr>
          <w:spacing w:val="-5"/>
        </w:rPr>
        <w:t>Dimension 7</w:t>
      </w:r>
      <w:r>
        <w:rPr>
          <w:spacing w:val="-3"/>
        </w:rPr>
        <w:t xml:space="preserve"> </w:t>
      </w:r>
      <w:r>
        <w:rPr>
          <w:spacing w:val="-5"/>
        </w:rPr>
        <w:t>– ESF+</w:t>
      </w:r>
      <w:r>
        <w:rPr>
          <w:b/>
          <w:spacing w:val="-5"/>
          <w:position w:val="7"/>
          <w:sz w:val="15"/>
        </w:rPr>
        <w:t>*</w:t>
      </w:r>
      <w:r>
        <w:rPr>
          <w:spacing w:val="-5"/>
        </w:rPr>
        <w:t>,</w:t>
      </w:r>
      <w:r w:rsidRPr="00872BD7">
        <w:rPr>
          <w:spacing w:val="-3"/>
        </w:rPr>
        <w:t xml:space="preserve"> </w:t>
      </w:r>
      <w:r>
        <w:rPr>
          <w:spacing w:val="-5"/>
        </w:rPr>
        <w:t xml:space="preserve">ERDF, Cohesion Fund and JTF gender equality dimension </w:t>
      </w:r>
    </w:p>
    <w:p w14:paraId="376693B7" w14:textId="77777777" w:rsidR="00DD13BF" w:rsidRDefault="00DD13BF" w:rsidP="00DD13BF">
      <w:pPr>
        <w:rPr>
          <w:sz w:val="21"/>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7773923" w14:textId="77777777" w:rsidTr="00355A56">
        <w:trPr>
          <w:trHeight w:val="353"/>
        </w:trPr>
        <w:tc>
          <w:tcPr>
            <w:tcW w:w="2088" w:type="dxa"/>
          </w:tcPr>
          <w:p w14:paraId="753DB363" w14:textId="77777777" w:rsidR="00DD13BF" w:rsidRDefault="00DD13BF" w:rsidP="00355A56">
            <w:pPr>
              <w:pStyle w:val="TableParagraph"/>
              <w:ind w:left="115"/>
              <w:jc w:val="center"/>
            </w:pPr>
            <w:r>
              <w:rPr>
                <w:spacing w:val="-2"/>
              </w:rPr>
              <w:t>Priority No</w:t>
            </w:r>
          </w:p>
        </w:tc>
        <w:tc>
          <w:tcPr>
            <w:tcW w:w="1132" w:type="dxa"/>
          </w:tcPr>
          <w:p w14:paraId="5B17C9FC" w14:textId="77777777" w:rsidR="00DD13BF" w:rsidRDefault="00DD13BF" w:rsidP="00355A56">
            <w:pPr>
              <w:pStyle w:val="TableParagraph"/>
              <w:ind w:left="320"/>
            </w:pPr>
            <w:r>
              <w:t>Fund</w:t>
            </w:r>
          </w:p>
        </w:tc>
        <w:tc>
          <w:tcPr>
            <w:tcW w:w="3248" w:type="dxa"/>
          </w:tcPr>
          <w:p w14:paraId="3AACAD7A" w14:textId="77777777" w:rsidR="00DD13BF" w:rsidRDefault="00DD13BF" w:rsidP="00355A56">
            <w:pPr>
              <w:pStyle w:val="TableParagraph"/>
              <w:ind w:left="908"/>
            </w:pPr>
            <w:r>
              <w:rPr>
                <w:spacing w:val="-3"/>
              </w:rPr>
              <w:t>Category of region</w:t>
            </w:r>
          </w:p>
        </w:tc>
        <w:tc>
          <w:tcPr>
            <w:tcW w:w="3098" w:type="dxa"/>
          </w:tcPr>
          <w:p w14:paraId="0D87EE80" w14:textId="77777777" w:rsidR="00DD13BF" w:rsidRDefault="00DD13BF" w:rsidP="00355A56">
            <w:pPr>
              <w:pStyle w:val="TableParagraph"/>
              <w:ind w:left="950"/>
            </w:pPr>
            <w:r>
              <w:rPr>
                <w:spacing w:val="-4"/>
              </w:rPr>
              <w:t>Specific objective</w:t>
            </w:r>
          </w:p>
        </w:tc>
        <w:tc>
          <w:tcPr>
            <w:tcW w:w="1160" w:type="dxa"/>
          </w:tcPr>
          <w:p w14:paraId="32D55B6C" w14:textId="77777777" w:rsidR="00DD13BF" w:rsidRDefault="00DD13BF" w:rsidP="00355A56">
            <w:pPr>
              <w:pStyle w:val="TableParagraph"/>
              <w:ind w:left="336"/>
            </w:pPr>
            <w:r>
              <w:t>Code</w:t>
            </w:r>
          </w:p>
        </w:tc>
        <w:tc>
          <w:tcPr>
            <w:tcW w:w="2730" w:type="dxa"/>
          </w:tcPr>
          <w:p w14:paraId="3E211D8B" w14:textId="77777777" w:rsidR="00DD13BF" w:rsidRDefault="00DD13BF" w:rsidP="00355A56">
            <w:pPr>
              <w:pStyle w:val="TableParagraph"/>
              <w:ind w:left="664"/>
            </w:pPr>
            <w:r>
              <w:t>Amount (EUR)</w:t>
            </w:r>
          </w:p>
        </w:tc>
      </w:tr>
      <w:tr w:rsidR="00DD13BF" w14:paraId="0B43779E" w14:textId="77777777" w:rsidTr="00355A56">
        <w:trPr>
          <w:trHeight w:val="353"/>
        </w:trPr>
        <w:tc>
          <w:tcPr>
            <w:tcW w:w="2088" w:type="dxa"/>
          </w:tcPr>
          <w:p w14:paraId="53D7ACCF" w14:textId="77777777" w:rsidR="00DD13BF" w:rsidRDefault="00DD13BF" w:rsidP="00355A56">
            <w:pPr>
              <w:pStyle w:val="TableParagraph"/>
              <w:rPr>
                <w:sz w:val="20"/>
              </w:rPr>
            </w:pPr>
            <w:r>
              <w:rPr>
                <w:sz w:val="20"/>
              </w:rPr>
              <w:t>1</w:t>
            </w:r>
          </w:p>
        </w:tc>
        <w:tc>
          <w:tcPr>
            <w:tcW w:w="1132" w:type="dxa"/>
          </w:tcPr>
          <w:p w14:paraId="140D6AC7"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61C60525" w14:textId="77777777" w:rsidR="00DD13BF" w:rsidRDefault="00DD13BF" w:rsidP="00355A56">
            <w:pPr>
              <w:pStyle w:val="TableParagraph"/>
              <w:rPr>
                <w:sz w:val="20"/>
              </w:rPr>
            </w:pPr>
            <w:r>
              <w:rPr>
                <w:rFonts w:cstheme="minorHAnsi"/>
                <w:sz w:val="20"/>
              </w:rPr>
              <w:t xml:space="preserve">Less developed </w:t>
            </w:r>
          </w:p>
        </w:tc>
        <w:tc>
          <w:tcPr>
            <w:tcW w:w="3098" w:type="dxa"/>
          </w:tcPr>
          <w:p w14:paraId="04C046C5" w14:textId="77777777" w:rsidR="00DD13BF" w:rsidRDefault="00DD13BF" w:rsidP="00355A56">
            <w:pPr>
              <w:pStyle w:val="TableParagraph"/>
              <w:rPr>
                <w:sz w:val="20"/>
              </w:rPr>
            </w:pPr>
            <w:r w:rsidRPr="00A76848">
              <w:rPr>
                <w:color w:val="000000"/>
                <w:sz w:val="20"/>
              </w:rPr>
              <w:t>RSO1.4</w:t>
            </w:r>
          </w:p>
        </w:tc>
        <w:tc>
          <w:tcPr>
            <w:tcW w:w="1160" w:type="dxa"/>
          </w:tcPr>
          <w:p w14:paraId="5F679D60" w14:textId="77777777" w:rsidR="00DD13BF" w:rsidRDefault="00DD13BF" w:rsidP="00355A56">
            <w:pPr>
              <w:pStyle w:val="TableParagraph"/>
              <w:rPr>
                <w:sz w:val="20"/>
              </w:rPr>
            </w:pPr>
            <w:r>
              <w:rPr>
                <w:sz w:val="20"/>
              </w:rPr>
              <w:t>02</w:t>
            </w:r>
          </w:p>
        </w:tc>
        <w:tc>
          <w:tcPr>
            <w:tcW w:w="2730" w:type="dxa"/>
          </w:tcPr>
          <w:p w14:paraId="250D535A" w14:textId="77777777" w:rsidR="00DD13BF" w:rsidRDefault="00DD13BF" w:rsidP="00355A56">
            <w:pPr>
              <w:pStyle w:val="TableParagraph"/>
              <w:rPr>
                <w:sz w:val="20"/>
              </w:rPr>
            </w:pPr>
            <w:r>
              <w:rPr>
                <w:sz w:val="20"/>
              </w:rPr>
              <w:t>5,266,</w:t>
            </w:r>
            <w:r w:rsidRPr="00CA111D">
              <w:rPr>
                <w:sz w:val="20"/>
              </w:rPr>
              <w:t>000</w:t>
            </w:r>
          </w:p>
        </w:tc>
      </w:tr>
      <w:tr w:rsidR="00DD13BF" w14:paraId="25E063B9" w14:textId="77777777" w:rsidTr="00355A56">
        <w:trPr>
          <w:trHeight w:val="353"/>
        </w:trPr>
        <w:tc>
          <w:tcPr>
            <w:tcW w:w="2088" w:type="dxa"/>
          </w:tcPr>
          <w:p w14:paraId="3650ACA9" w14:textId="77777777" w:rsidR="00DD13BF" w:rsidRDefault="00DD13BF" w:rsidP="00355A56">
            <w:pPr>
              <w:pStyle w:val="TableParagraph"/>
              <w:rPr>
                <w:sz w:val="20"/>
              </w:rPr>
            </w:pPr>
            <w:r>
              <w:rPr>
                <w:sz w:val="20"/>
              </w:rPr>
              <w:t>1</w:t>
            </w:r>
          </w:p>
        </w:tc>
        <w:tc>
          <w:tcPr>
            <w:tcW w:w="1132" w:type="dxa"/>
          </w:tcPr>
          <w:p w14:paraId="4FFC9514"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27EFF742" w14:textId="77777777" w:rsidR="00DD13BF" w:rsidRPr="003B5876" w:rsidRDefault="00DD13BF" w:rsidP="00355A56">
            <w:pPr>
              <w:rPr>
                <w:rFonts w:cstheme="minorHAnsi"/>
                <w:sz w:val="20"/>
              </w:rPr>
            </w:pPr>
            <w:r>
              <w:rPr>
                <w:rFonts w:cstheme="minorHAnsi"/>
                <w:sz w:val="20"/>
              </w:rPr>
              <w:t xml:space="preserve">More developed </w:t>
            </w:r>
          </w:p>
        </w:tc>
        <w:tc>
          <w:tcPr>
            <w:tcW w:w="3098" w:type="dxa"/>
          </w:tcPr>
          <w:p w14:paraId="3BED7465" w14:textId="77777777" w:rsidR="00DD13BF" w:rsidRDefault="00DD13BF" w:rsidP="00355A56">
            <w:pPr>
              <w:pStyle w:val="TableParagraph"/>
              <w:rPr>
                <w:sz w:val="20"/>
              </w:rPr>
            </w:pPr>
            <w:r w:rsidRPr="00A76848">
              <w:rPr>
                <w:color w:val="000000"/>
                <w:sz w:val="20"/>
              </w:rPr>
              <w:t>RSO1.4</w:t>
            </w:r>
          </w:p>
        </w:tc>
        <w:tc>
          <w:tcPr>
            <w:tcW w:w="1160" w:type="dxa"/>
          </w:tcPr>
          <w:p w14:paraId="1F97233B" w14:textId="77777777" w:rsidR="00DD13BF" w:rsidRDefault="00DD13BF" w:rsidP="00355A56">
            <w:pPr>
              <w:pStyle w:val="TableParagraph"/>
              <w:rPr>
                <w:sz w:val="20"/>
              </w:rPr>
            </w:pPr>
            <w:r>
              <w:rPr>
                <w:sz w:val="20"/>
              </w:rPr>
              <w:t>02</w:t>
            </w:r>
          </w:p>
        </w:tc>
        <w:tc>
          <w:tcPr>
            <w:tcW w:w="2730" w:type="dxa"/>
          </w:tcPr>
          <w:p w14:paraId="042F4E6D" w14:textId="77777777" w:rsidR="00DD13BF" w:rsidRDefault="00DD13BF" w:rsidP="00355A56">
            <w:pPr>
              <w:pStyle w:val="TableParagraph"/>
              <w:rPr>
                <w:sz w:val="20"/>
              </w:rPr>
            </w:pPr>
            <w:r>
              <w:rPr>
                <w:sz w:val="20"/>
              </w:rPr>
              <w:t>1,776,</w:t>
            </w:r>
            <w:r w:rsidRPr="00CA111D">
              <w:rPr>
                <w:sz w:val="20"/>
              </w:rPr>
              <w:t>000</w:t>
            </w:r>
          </w:p>
        </w:tc>
      </w:tr>
      <w:tr w:rsidR="00DD13BF" w14:paraId="63412216" w14:textId="77777777" w:rsidTr="00355A56">
        <w:trPr>
          <w:trHeight w:val="353"/>
        </w:trPr>
        <w:tc>
          <w:tcPr>
            <w:tcW w:w="2088" w:type="dxa"/>
          </w:tcPr>
          <w:p w14:paraId="2C5E658F" w14:textId="77777777" w:rsidR="00DD13BF" w:rsidRDefault="00DD13BF" w:rsidP="00355A56">
            <w:pPr>
              <w:pStyle w:val="TableParagraph"/>
              <w:rPr>
                <w:sz w:val="20"/>
              </w:rPr>
            </w:pPr>
            <w:r>
              <w:rPr>
                <w:sz w:val="20"/>
              </w:rPr>
              <w:t>1</w:t>
            </w:r>
          </w:p>
        </w:tc>
        <w:tc>
          <w:tcPr>
            <w:tcW w:w="1132" w:type="dxa"/>
          </w:tcPr>
          <w:p w14:paraId="3C6ADF03"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6AFA5B8A" w14:textId="77777777" w:rsidR="00DD13BF" w:rsidRDefault="00DD13BF" w:rsidP="00355A56">
            <w:pPr>
              <w:pStyle w:val="TableParagraph"/>
              <w:rPr>
                <w:sz w:val="20"/>
              </w:rPr>
            </w:pPr>
            <w:r>
              <w:rPr>
                <w:rFonts w:cstheme="minorHAnsi"/>
                <w:sz w:val="20"/>
              </w:rPr>
              <w:t xml:space="preserve">Less developed </w:t>
            </w:r>
          </w:p>
        </w:tc>
        <w:tc>
          <w:tcPr>
            <w:tcW w:w="3098" w:type="dxa"/>
          </w:tcPr>
          <w:p w14:paraId="2196BB17" w14:textId="77777777" w:rsidR="00DD13BF" w:rsidRDefault="00DD13BF" w:rsidP="00355A56">
            <w:pPr>
              <w:pStyle w:val="TableParagraph"/>
              <w:rPr>
                <w:sz w:val="20"/>
              </w:rPr>
            </w:pPr>
            <w:r w:rsidRPr="00A76848">
              <w:rPr>
                <w:color w:val="000000"/>
                <w:sz w:val="20"/>
              </w:rPr>
              <w:t>RSO1.4</w:t>
            </w:r>
          </w:p>
        </w:tc>
        <w:tc>
          <w:tcPr>
            <w:tcW w:w="1160" w:type="dxa"/>
          </w:tcPr>
          <w:p w14:paraId="2E9421DF" w14:textId="77777777" w:rsidR="00DD13BF" w:rsidRDefault="00DD13BF" w:rsidP="00355A56">
            <w:pPr>
              <w:pStyle w:val="TableParagraph"/>
              <w:rPr>
                <w:sz w:val="20"/>
              </w:rPr>
            </w:pPr>
            <w:r>
              <w:rPr>
                <w:sz w:val="20"/>
              </w:rPr>
              <w:t>03</w:t>
            </w:r>
          </w:p>
        </w:tc>
        <w:tc>
          <w:tcPr>
            <w:tcW w:w="2730" w:type="dxa"/>
          </w:tcPr>
          <w:p w14:paraId="03E42A8D" w14:textId="77777777" w:rsidR="00DD13BF" w:rsidRDefault="00DD13BF" w:rsidP="00355A56">
            <w:pPr>
              <w:pStyle w:val="TableParagraph"/>
              <w:rPr>
                <w:sz w:val="20"/>
              </w:rPr>
            </w:pPr>
            <w:r>
              <w:rPr>
                <w:sz w:val="20"/>
              </w:rPr>
              <w:t>11,544,</w:t>
            </w:r>
            <w:r w:rsidRPr="00CA111D">
              <w:rPr>
                <w:sz w:val="20"/>
              </w:rPr>
              <w:t>200</w:t>
            </w:r>
          </w:p>
        </w:tc>
      </w:tr>
      <w:tr w:rsidR="00DD13BF" w14:paraId="2A16F367" w14:textId="77777777" w:rsidTr="00355A56">
        <w:trPr>
          <w:trHeight w:val="353"/>
        </w:trPr>
        <w:tc>
          <w:tcPr>
            <w:tcW w:w="2088" w:type="dxa"/>
          </w:tcPr>
          <w:p w14:paraId="54C58F0A" w14:textId="77777777" w:rsidR="00DD13BF" w:rsidRDefault="00DD13BF" w:rsidP="00355A56">
            <w:pPr>
              <w:pStyle w:val="TableParagraph"/>
              <w:rPr>
                <w:sz w:val="20"/>
              </w:rPr>
            </w:pPr>
            <w:r>
              <w:rPr>
                <w:sz w:val="20"/>
              </w:rPr>
              <w:t>1</w:t>
            </w:r>
          </w:p>
        </w:tc>
        <w:tc>
          <w:tcPr>
            <w:tcW w:w="1132" w:type="dxa"/>
          </w:tcPr>
          <w:p w14:paraId="3A0D65CC" w14:textId="77777777" w:rsidR="00DD13BF" w:rsidRDefault="00DD13BF" w:rsidP="00355A56">
            <w:pPr>
              <w:pStyle w:val="TableParagraph"/>
              <w:rPr>
                <w:sz w:val="20"/>
              </w:rPr>
            </w:pPr>
            <w:r>
              <w:rPr>
                <w:sz w:val="20"/>
              </w:rPr>
              <w:t>E</w:t>
            </w:r>
            <w:r w:rsidRPr="001361B8">
              <w:rPr>
                <w:sz w:val="20"/>
              </w:rPr>
              <w:t>R</w:t>
            </w:r>
            <w:r>
              <w:rPr>
                <w:sz w:val="20"/>
              </w:rPr>
              <w:t>DF</w:t>
            </w:r>
          </w:p>
        </w:tc>
        <w:tc>
          <w:tcPr>
            <w:tcW w:w="3248" w:type="dxa"/>
          </w:tcPr>
          <w:p w14:paraId="2F0723EB" w14:textId="77777777" w:rsidR="00DD13BF" w:rsidRDefault="00DD13BF" w:rsidP="00355A56">
            <w:pPr>
              <w:pStyle w:val="TableParagraph"/>
              <w:rPr>
                <w:sz w:val="20"/>
              </w:rPr>
            </w:pPr>
            <w:r>
              <w:rPr>
                <w:rFonts w:cstheme="minorHAnsi"/>
                <w:sz w:val="20"/>
              </w:rPr>
              <w:t xml:space="preserve">More developed </w:t>
            </w:r>
          </w:p>
        </w:tc>
        <w:tc>
          <w:tcPr>
            <w:tcW w:w="3098" w:type="dxa"/>
          </w:tcPr>
          <w:p w14:paraId="3FF9BBEC" w14:textId="77777777" w:rsidR="00DD13BF" w:rsidRDefault="00DD13BF" w:rsidP="00355A56">
            <w:pPr>
              <w:pStyle w:val="TableParagraph"/>
              <w:rPr>
                <w:sz w:val="20"/>
              </w:rPr>
            </w:pPr>
            <w:r w:rsidRPr="00A76848">
              <w:rPr>
                <w:color w:val="000000"/>
                <w:sz w:val="20"/>
              </w:rPr>
              <w:t>RSO1.4</w:t>
            </w:r>
          </w:p>
        </w:tc>
        <w:tc>
          <w:tcPr>
            <w:tcW w:w="1160" w:type="dxa"/>
          </w:tcPr>
          <w:p w14:paraId="6AAB267F" w14:textId="77777777" w:rsidR="00DD13BF" w:rsidRDefault="00DD13BF" w:rsidP="00355A56">
            <w:pPr>
              <w:pStyle w:val="TableParagraph"/>
              <w:rPr>
                <w:sz w:val="20"/>
              </w:rPr>
            </w:pPr>
            <w:r>
              <w:rPr>
                <w:sz w:val="20"/>
              </w:rPr>
              <w:t>03</w:t>
            </w:r>
          </w:p>
        </w:tc>
        <w:tc>
          <w:tcPr>
            <w:tcW w:w="2730" w:type="dxa"/>
          </w:tcPr>
          <w:p w14:paraId="42F0C734" w14:textId="77777777" w:rsidR="00DD13BF" w:rsidRDefault="00DD13BF" w:rsidP="00355A56">
            <w:pPr>
              <w:pStyle w:val="TableParagraph"/>
              <w:rPr>
                <w:sz w:val="20"/>
              </w:rPr>
            </w:pPr>
            <w:r>
              <w:rPr>
                <w:sz w:val="20"/>
              </w:rPr>
              <w:t>3,933,</w:t>
            </w:r>
            <w:r w:rsidRPr="00CA111D">
              <w:rPr>
                <w:sz w:val="20"/>
              </w:rPr>
              <w:t>900</w:t>
            </w:r>
          </w:p>
        </w:tc>
      </w:tr>
    </w:tbl>
    <w:p w14:paraId="4D848445" w14:textId="77777777" w:rsidR="00DD13BF" w:rsidRDefault="00DD13BF" w:rsidP="00DD13BF">
      <w:pPr>
        <w:tabs>
          <w:tab w:val="left" w:pos="426"/>
        </w:tabs>
        <w:ind w:left="284"/>
        <w:rPr>
          <w:rFonts w:eastAsiaTheme="majorEastAsia" w:cstheme="majorBidi"/>
          <w:i/>
          <w:iCs/>
          <w:color w:val="2E74B5" w:themeColor="accent1" w:themeShade="BF"/>
          <w:lang w:bidi="sl-SI"/>
        </w:rPr>
      </w:pPr>
      <w:r>
        <w:rPr>
          <w:b/>
          <w:position w:val="7"/>
          <w:sz w:val="15"/>
        </w:rPr>
        <w:t>*</w:t>
      </w:r>
      <w:r>
        <w:rPr>
          <w:b/>
          <w:position w:val="7"/>
          <w:sz w:val="15"/>
        </w:rPr>
        <w:tab/>
      </w:r>
      <w:r>
        <w:rPr>
          <w:sz w:val="16"/>
          <w:szCs w:val="16"/>
        </w:rPr>
        <w:t>In</w:t>
      </w:r>
      <w:r w:rsidRPr="00386BA4">
        <w:rPr>
          <w:sz w:val="16"/>
          <w:szCs w:val="16"/>
        </w:rPr>
        <w:t xml:space="preserve"> principle, 40 % for the ESF+ contributes to gender tracking. 100 % is applicable when Member State chooses to use Article 6 ESF+ Regulation as well as programme specific actions in gender equality.</w:t>
      </w:r>
      <w:r w:rsidRPr="00673ADB">
        <w:rPr>
          <w:spacing w:val="31"/>
          <w:sz w:val="16"/>
          <w:szCs w:val="16"/>
        </w:rPr>
        <w:t xml:space="preserve"> </w:t>
      </w:r>
    </w:p>
    <w:p w14:paraId="6FD31A57" w14:textId="77777777" w:rsidR="00DD13BF" w:rsidRDefault="00DD13BF" w:rsidP="00DD13BF">
      <w:pPr>
        <w:rPr>
          <w:rFonts w:eastAsiaTheme="majorEastAsia" w:cstheme="majorBidi"/>
          <w:i/>
          <w:iCs/>
          <w:color w:val="2E74B5" w:themeColor="accent1" w:themeShade="BF"/>
          <w:sz w:val="24"/>
          <w:lang w:bidi="sl-SI"/>
        </w:rPr>
      </w:pPr>
      <w:r>
        <w:br w:type="page"/>
      </w:r>
    </w:p>
    <w:p w14:paraId="10A65C31" w14:textId="77777777" w:rsidR="00DD13BF" w:rsidRDefault="00DD13BF" w:rsidP="00DD13BF">
      <w:pPr>
        <w:pStyle w:val="Naslov3"/>
      </w:pPr>
      <w:bookmarkStart w:id="19" w:name="_Toc131161701"/>
      <w:r>
        <w:lastRenderedPageBreak/>
        <w:t>Priority  2: Digital connectivity</w:t>
      </w:r>
      <w:bookmarkEnd w:id="19"/>
      <w:r>
        <w:t xml:space="preserve"> </w:t>
      </w:r>
    </w:p>
    <w:p w14:paraId="592B7C85"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783E92F7" w14:textId="77777777" w:rsidTr="00355A56">
        <w:tc>
          <w:tcPr>
            <w:tcW w:w="13994" w:type="dxa"/>
          </w:tcPr>
          <w:p w14:paraId="7454E769" w14:textId="77777777" w:rsidR="00DD13BF" w:rsidRPr="006A1DD0" w:rsidRDefault="00DD13BF" w:rsidP="00355A56">
            <w:pPr>
              <w:rPr>
                <w:rFonts w:eastAsia="Calibri"/>
              </w:rPr>
            </w:pPr>
            <w:r w:rsidRPr="006A1DD0">
              <w:rPr>
                <w:rFonts w:eastAsia="Calibri"/>
                <w:noProof/>
                <w:lang w:val="sl-SI"/>
              </w:rPr>
              <w:drawing>
                <wp:inline distT="0" distB="0" distL="0" distR="0" wp14:anchorId="435B0ACC" wp14:editId="16BA1153">
                  <wp:extent cx="121920" cy="103505"/>
                  <wp:effectExtent l="0" t="0" r="0" b="0"/>
                  <wp:docPr id="1573" name="Slika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848C57F">
              <w:rPr>
                <w:rFonts w:eastAsia="Calibri"/>
              </w:rPr>
              <w:t xml:space="preserve">  T</w:t>
            </w:r>
            <w:r>
              <w:t>his is a priority dedicated to youth employment</w:t>
            </w:r>
          </w:p>
        </w:tc>
      </w:tr>
      <w:tr w:rsidR="00DD13BF" w:rsidRPr="006A1DD0" w14:paraId="6E2C046F" w14:textId="77777777" w:rsidTr="00355A56">
        <w:tc>
          <w:tcPr>
            <w:tcW w:w="13994" w:type="dxa"/>
          </w:tcPr>
          <w:p w14:paraId="1398F642" w14:textId="77777777" w:rsidR="00DD13BF" w:rsidRPr="006A1DD0" w:rsidRDefault="00DD13BF" w:rsidP="00355A56">
            <w:pPr>
              <w:rPr>
                <w:rFonts w:eastAsia="Calibri"/>
              </w:rPr>
            </w:pPr>
            <w:r w:rsidRPr="006A1DD0">
              <w:rPr>
                <w:rFonts w:eastAsia="Calibri"/>
                <w:noProof/>
                <w:lang w:val="sl-SI"/>
              </w:rPr>
              <w:drawing>
                <wp:inline distT="0" distB="0" distL="0" distR="0" wp14:anchorId="7B374F20" wp14:editId="13E384C0">
                  <wp:extent cx="121920" cy="103505"/>
                  <wp:effectExtent l="0" t="0" r="0" b="0"/>
                  <wp:docPr id="1574" name="Slika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848C57F">
              <w:rPr>
                <w:rFonts w:eastAsia="Calibri"/>
              </w:rPr>
              <w:t xml:space="preserve">  T</w:t>
            </w:r>
            <w:r>
              <w:t>his is a priority dedicated to social innovative actions</w:t>
            </w:r>
          </w:p>
        </w:tc>
      </w:tr>
      <w:tr w:rsidR="00DD13BF" w:rsidRPr="006A1DD0" w14:paraId="571DA33C" w14:textId="77777777" w:rsidTr="00355A56">
        <w:tc>
          <w:tcPr>
            <w:tcW w:w="13994" w:type="dxa"/>
          </w:tcPr>
          <w:p w14:paraId="29B31AF3" w14:textId="77777777" w:rsidR="00DD13BF" w:rsidRPr="006A1DD0" w:rsidRDefault="00DD13BF" w:rsidP="00355A56">
            <w:pPr>
              <w:rPr>
                <w:rFonts w:eastAsia="Calibri"/>
              </w:rPr>
            </w:pPr>
            <w:r w:rsidRPr="006A1DD0">
              <w:rPr>
                <w:rFonts w:eastAsia="Calibri"/>
                <w:noProof/>
                <w:lang w:val="sl-SI"/>
              </w:rPr>
              <w:drawing>
                <wp:inline distT="0" distB="0" distL="0" distR="0" wp14:anchorId="1A6872A0" wp14:editId="3402126F">
                  <wp:extent cx="121920" cy="103505"/>
                  <wp:effectExtent l="0" t="0" r="0" b="0"/>
                  <wp:docPr id="1575" name="Slika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848C57F">
              <w:rPr>
                <w:rFonts w:eastAsia="Calibri"/>
              </w:rPr>
              <w:t xml:space="preserve">  T</w:t>
            </w:r>
            <w:r>
              <w:t>his is a priority dedicated to support to the most deprived persons under the specific objective set out in point (m) of Article 4(1) of the ESF+ Regulation*</w:t>
            </w:r>
          </w:p>
        </w:tc>
      </w:tr>
      <w:tr w:rsidR="00DD13BF" w:rsidRPr="006A1DD0" w14:paraId="14AE73FC" w14:textId="77777777" w:rsidTr="00355A56">
        <w:tc>
          <w:tcPr>
            <w:tcW w:w="13994" w:type="dxa"/>
          </w:tcPr>
          <w:p w14:paraId="270C0F2A" w14:textId="77777777" w:rsidR="00DD13BF" w:rsidRPr="006A1DD0" w:rsidRDefault="00DD13BF" w:rsidP="00355A56">
            <w:pPr>
              <w:rPr>
                <w:rFonts w:eastAsia="Calibri"/>
              </w:rPr>
            </w:pPr>
            <w:r w:rsidRPr="006A1DD0">
              <w:rPr>
                <w:rFonts w:eastAsia="Calibri"/>
                <w:noProof/>
                <w:lang w:val="sl-SI"/>
              </w:rPr>
              <w:drawing>
                <wp:inline distT="0" distB="0" distL="0" distR="0" wp14:anchorId="4E89E98A" wp14:editId="1BD13C56">
                  <wp:extent cx="121920" cy="103505"/>
                  <wp:effectExtent l="0" t="0" r="0" b="0"/>
                  <wp:docPr id="1576" name="Slika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sidRPr="0848C57F">
              <w:rPr>
                <w:rFonts w:eastAsia="Calibri"/>
              </w:rPr>
              <w:t xml:space="preserve">  T</w:t>
            </w:r>
            <w:r>
              <w:t>his is a priority dedicated to support to the most deprived persons under the specific objective set out in point (l) of Article 4(1) of the ESF+ Regulatio</w:t>
            </w:r>
            <w:r>
              <w:rPr>
                <w:rFonts w:eastAsia="Calibri"/>
              </w:rPr>
              <w:t>n</w:t>
            </w:r>
          </w:p>
        </w:tc>
      </w:tr>
      <w:tr w:rsidR="00DD13BF" w:rsidRPr="006A1DD0" w14:paraId="50480E34" w14:textId="77777777" w:rsidTr="00355A56">
        <w:tc>
          <w:tcPr>
            <w:tcW w:w="13994" w:type="dxa"/>
          </w:tcPr>
          <w:p w14:paraId="03A44718" w14:textId="77777777" w:rsidR="00DD13BF" w:rsidRPr="006A1DD0" w:rsidRDefault="00DD13BF" w:rsidP="00355A56">
            <w:pPr>
              <w:rPr>
                <w:rFonts w:eastAsia="Calibri"/>
              </w:rPr>
            </w:pPr>
            <w:r w:rsidRPr="006A1DD0">
              <w:rPr>
                <w:rFonts w:eastAsia="Calibri"/>
                <w:noProof/>
                <w:lang w:val="sl-SI"/>
              </w:rPr>
              <w:drawing>
                <wp:inline distT="0" distB="0" distL="0" distR="0" wp14:anchorId="4504639E" wp14:editId="546E7CF6">
                  <wp:extent cx="121920" cy="103505"/>
                  <wp:effectExtent l="0" t="0" r="0" b="0"/>
                  <wp:docPr id="1577" name="Slika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rPr>
                <w:rFonts w:eastAsia="Calibri"/>
              </w:rPr>
              <w:t xml:space="preserve">  T</w:t>
            </w:r>
            <w:r>
              <w:t>his is a priority dedicated to urban mobility specific objective set out in point (viii) of Article 3(1)(b) of the ERDF and Cohesion Fund Regulation</w:t>
            </w:r>
          </w:p>
        </w:tc>
      </w:tr>
      <w:tr w:rsidR="00DD13BF" w:rsidRPr="006A1DD0" w14:paraId="2EDB0A41" w14:textId="77777777" w:rsidTr="00355A56">
        <w:trPr>
          <w:trHeight w:val="83"/>
        </w:trPr>
        <w:tc>
          <w:tcPr>
            <w:tcW w:w="13994" w:type="dxa"/>
          </w:tcPr>
          <w:p w14:paraId="7755BA5A" w14:textId="77777777" w:rsidR="00DD13BF" w:rsidRPr="008D6707" w:rsidRDefault="00DD13BF" w:rsidP="00DD13BF">
            <w:pPr>
              <w:pStyle w:val="Odstavekseznama"/>
              <w:widowControl/>
              <w:numPr>
                <w:ilvl w:val="0"/>
                <w:numId w:val="4"/>
              </w:numPr>
              <w:autoSpaceDE/>
              <w:autoSpaceDN/>
              <w:ind w:left="317" w:hanging="284"/>
              <w:rPr>
                <w:rFonts w:ascii="Times New Roman" w:eastAsia="Calibri" w:hAnsi="Times New Roman" w:cs="Times New Roman"/>
              </w:rPr>
            </w:pPr>
            <w:r w:rsidRPr="008D6707">
              <w:rPr>
                <w:rFonts w:ascii="Times New Roman" w:eastAsia="Calibri" w:hAnsi="Times New Roman" w:cs="Times New Roman"/>
              </w:rPr>
              <w:t>T</w:t>
            </w:r>
            <w:r w:rsidRPr="008D6707">
              <w:rPr>
                <w:rFonts w:ascii="Times New Roman" w:hAnsi="Times New Roman" w:cs="Times New Roman"/>
              </w:rPr>
              <w:t>his is a priority dedicated to digital connectivity specific objective set out in point (v) of Article 3(1)(a) of the ERDF and Cohesion Fund Regulation</w:t>
            </w:r>
          </w:p>
        </w:tc>
      </w:tr>
    </w:tbl>
    <w:p w14:paraId="24252752" w14:textId="77777777" w:rsidR="00DD13BF" w:rsidRPr="006D4DF3" w:rsidRDefault="00DD13BF" w:rsidP="00DD13BF">
      <w:pPr>
        <w:tabs>
          <w:tab w:val="left" w:pos="709"/>
        </w:tabs>
        <w:ind w:left="530"/>
        <w:rPr>
          <w:sz w:val="16"/>
          <w:szCs w:val="16"/>
        </w:rPr>
      </w:pPr>
      <w:r w:rsidRPr="006D4DF3">
        <w:rPr>
          <w:b/>
          <w:position w:val="7"/>
          <w:sz w:val="16"/>
          <w:szCs w:val="16"/>
        </w:rPr>
        <w:t>*</w:t>
      </w:r>
      <w:r w:rsidRPr="006D4DF3">
        <w:rPr>
          <w:b/>
          <w:position w:val="7"/>
          <w:sz w:val="16"/>
          <w:szCs w:val="16"/>
        </w:rPr>
        <w:tab/>
      </w:r>
      <w:r w:rsidRPr="006D4DF3">
        <w:rPr>
          <w:spacing w:val="-11"/>
          <w:sz w:val="16"/>
          <w:szCs w:val="16"/>
        </w:rPr>
        <w:t xml:space="preserve"> </w:t>
      </w:r>
      <w:r>
        <w:rPr>
          <w:spacing w:val="-11"/>
          <w:sz w:val="16"/>
          <w:szCs w:val="16"/>
        </w:rPr>
        <w:t>If marked go to section</w:t>
      </w:r>
      <w:r w:rsidRPr="006D4DF3">
        <w:rPr>
          <w:spacing w:val="2"/>
          <w:sz w:val="16"/>
          <w:szCs w:val="16"/>
        </w:rPr>
        <w:t xml:space="preserve"> </w:t>
      </w:r>
      <w:r w:rsidRPr="006D4DF3">
        <w:rPr>
          <w:spacing w:val="-2"/>
          <w:sz w:val="16"/>
          <w:szCs w:val="16"/>
        </w:rPr>
        <w:t>2.1.1.2.</w:t>
      </w:r>
    </w:p>
    <w:p w14:paraId="4062481C" w14:textId="77777777" w:rsidR="00DD13BF" w:rsidRDefault="00DD13BF" w:rsidP="00DD13BF"/>
    <w:p w14:paraId="1575336A" w14:textId="77777777" w:rsidR="00DD13BF" w:rsidRPr="000721D7" w:rsidRDefault="00DD13BF" w:rsidP="00DD13BF">
      <w:pPr>
        <w:pStyle w:val="Naslov4"/>
        <w:ind w:left="1134"/>
      </w:pPr>
      <w:bookmarkStart w:id="20" w:name="_Toc131161702"/>
      <w:r>
        <w:t>Specific objective</w:t>
      </w:r>
      <w:r w:rsidRPr="000721D7">
        <w:t xml:space="preserve"> </w:t>
      </w:r>
      <w:r w:rsidRPr="00C0049B">
        <w:t xml:space="preserve">RSO1.5. </w:t>
      </w:r>
      <w:r>
        <w:t>Enhancing digital connectivity (E</w:t>
      </w:r>
      <w:r w:rsidRPr="00C0049B">
        <w:t>R</w:t>
      </w:r>
      <w:r>
        <w:t>DF</w:t>
      </w:r>
      <w:r w:rsidRPr="00C0049B">
        <w:t>)</w:t>
      </w:r>
      <w:bookmarkEnd w:id="20"/>
    </w:p>
    <w:p w14:paraId="4C4229CC" w14:textId="77777777" w:rsidR="00DD13BF" w:rsidRDefault="00DD13BF" w:rsidP="00DD13BF">
      <w:pPr>
        <w:rPr>
          <w:sz w:val="30"/>
        </w:rPr>
      </w:pPr>
    </w:p>
    <w:p w14:paraId="214A4B1B" w14:textId="77777777" w:rsidR="00DD13BF" w:rsidRPr="000721D7" w:rsidRDefault="00DD13BF" w:rsidP="00DD13BF">
      <w:pPr>
        <w:pStyle w:val="Naslov5"/>
        <w:spacing w:before="0"/>
      </w:pPr>
      <w:r>
        <w:t>Interventions of the Funds</w:t>
      </w:r>
    </w:p>
    <w:p w14:paraId="3A30160A" w14:textId="77777777" w:rsidR="00DD13BF" w:rsidRDefault="00DD13BF" w:rsidP="00DD13BF">
      <w:pPr>
        <w:rPr>
          <w:sz w:val="30"/>
        </w:rPr>
      </w:pPr>
    </w:p>
    <w:p w14:paraId="61CA3F31" w14:textId="77777777" w:rsidR="00DD13BF" w:rsidRDefault="00DD13BF" w:rsidP="00DD13BF">
      <w:pPr>
        <w:ind w:left="1349"/>
        <w:rPr>
          <w:spacing w:val="-2"/>
        </w:rPr>
      </w:pPr>
      <w:r>
        <w:rPr>
          <w:spacing w:val="-2"/>
        </w:rPr>
        <w:t>The related types of actions:</w:t>
      </w:r>
    </w:p>
    <w:p w14:paraId="26E73888"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77F63F8B" w14:textId="77777777" w:rsidTr="00355A56">
        <w:trPr>
          <w:trHeight w:val="316"/>
        </w:trPr>
        <w:tc>
          <w:tcPr>
            <w:tcW w:w="12758" w:type="dxa"/>
          </w:tcPr>
          <w:p w14:paraId="0F708B4E" w14:textId="77777777" w:rsidR="00DD13BF" w:rsidRPr="00C74368" w:rsidRDefault="00DD13BF" w:rsidP="00355A56">
            <w:pPr>
              <w:jc w:val="both"/>
              <w:rPr>
                <w:rFonts w:eastAsia="Calibri"/>
                <w:lang w:val="en-US"/>
              </w:rPr>
            </w:pPr>
            <w:r w:rsidRPr="00C74368">
              <w:rPr>
                <w:rFonts w:eastAsia="Calibri"/>
                <w:lang w:val="en-US"/>
              </w:rPr>
              <w:t xml:space="preserve">Over 108,000 households/dwellings in </w:t>
            </w:r>
            <w:r>
              <w:rPr>
                <w:rFonts w:eastAsia="Calibri"/>
                <w:lang w:val="en-US"/>
              </w:rPr>
              <w:t xml:space="preserve">Slovenia make up </w:t>
            </w:r>
            <w:r w:rsidRPr="00C74368">
              <w:rPr>
                <w:rFonts w:eastAsia="Calibri"/>
                <w:lang w:val="en-US"/>
              </w:rPr>
              <w:t>white areas that do not have access to speeds of at least 100Mbps</w:t>
            </w:r>
            <w:r w:rsidRPr="00C74368">
              <w:rPr>
                <w:rStyle w:val="Sprotnaopomba-sklic"/>
                <w:rFonts w:eastAsia="Calibri"/>
                <w:lang w:val="en-US"/>
              </w:rPr>
              <w:footnoteReference w:id="141"/>
            </w:r>
            <w:r w:rsidRPr="00C74368">
              <w:rPr>
                <w:rFonts w:eastAsia="Calibri"/>
                <w:lang w:val="en-US"/>
              </w:rPr>
              <w:t xml:space="preserve">, many of them </w:t>
            </w:r>
            <w:r>
              <w:rPr>
                <w:rFonts w:eastAsia="Calibri"/>
                <w:lang w:val="en-US"/>
              </w:rPr>
              <w:t>not even having</w:t>
            </w:r>
            <w:r w:rsidRPr="00C74368">
              <w:rPr>
                <w:rFonts w:eastAsia="Calibri"/>
                <w:lang w:val="en-US"/>
              </w:rPr>
              <w:t xml:space="preserve"> access to 30 Mbps while also facing poor mobile signal coverage.</w:t>
            </w:r>
            <w:r w:rsidRPr="00C74368">
              <w:rPr>
                <w:rStyle w:val="Sprotnaopomba-sklic"/>
                <w:rFonts w:eastAsia="Calibri"/>
                <w:lang w:val="en-US"/>
              </w:rPr>
              <w:footnoteReference w:id="142"/>
            </w:r>
            <w:r w:rsidRPr="00C74368">
              <w:rPr>
                <w:rFonts w:eastAsia="Calibri"/>
                <w:lang w:val="en-US"/>
              </w:rPr>
              <w:t xml:space="preserve"> These white spots are mostly found in rural areas, in particular in mountainous terrains and hard-to-access remote places with low population density where construction is severely hampered and where</w:t>
            </w:r>
            <w:r>
              <w:rPr>
                <w:rFonts w:eastAsia="Calibri"/>
                <w:lang w:val="en-US"/>
              </w:rPr>
              <w:t>,</w:t>
            </w:r>
            <w:r w:rsidRPr="00C74368">
              <w:rPr>
                <w:rFonts w:eastAsia="Calibri"/>
                <w:lang w:val="en-US"/>
              </w:rPr>
              <w:t xml:space="preserve"> up until now</w:t>
            </w:r>
            <w:r>
              <w:rPr>
                <w:rFonts w:eastAsia="Calibri"/>
                <w:lang w:val="en-US"/>
              </w:rPr>
              <w:t>,</w:t>
            </w:r>
            <w:r w:rsidRPr="00C74368">
              <w:rPr>
                <w:rFonts w:eastAsia="Calibri"/>
                <w:lang w:val="en-US"/>
              </w:rPr>
              <w:t xml:space="preserve"> the operators have not demonstrated sufficient commercial interest to build broadband networks despite considerable state subsidies offered for broadband deployment</w:t>
            </w:r>
            <w:r>
              <w:rPr>
                <w:rFonts w:eastAsia="Calibri"/>
                <w:lang w:val="en-US"/>
              </w:rPr>
              <w:t>. T</w:t>
            </w:r>
            <w:r w:rsidRPr="00C74368">
              <w:rPr>
                <w:rFonts w:eastAsia="Calibri"/>
                <w:lang w:val="en-US"/>
              </w:rPr>
              <w:t>he country must step up its role and provide the funding necessary to build the network. The current 2014-2020 Operational Programme has provided a total of EUR 27,824,202.20 in Cohesion Policy funding for broadband deployment</w:t>
            </w:r>
            <w:r>
              <w:rPr>
                <w:rFonts w:eastAsia="Calibri"/>
                <w:lang w:val="en-US"/>
              </w:rPr>
              <w:t xml:space="preserve"> in white areas covering</w:t>
            </w:r>
            <w:r w:rsidRPr="00C74368">
              <w:rPr>
                <w:rFonts w:eastAsia="Calibri"/>
                <w:lang w:val="en-US"/>
              </w:rPr>
              <w:t xml:space="preserve"> 15,424 households. The RRP funding amounting to a total of EUR 30 million is planned to co-finance the construction of networks </w:t>
            </w:r>
            <w:r>
              <w:rPr>
                <w:rFonts w:eastAsia="Calibri"/>
                <w:lang w:val="en-US"/>
              </w:rPr>
              <w:t xml:space="preserve">in white areas </w:t>
            </w:r>
            <w:r w:rsidRPr="00C74368">
              <w:rPr>
                <w:rFonts w:eastAsia="Calibri"/>
                <w:lang w:val="en-US"/>
              </w:rPr>
              <w:t>to serve around 8,500 households/dwellings for which the development of broadband networks is considered particularly challenging and consequently more expensive.</w:t>
            </w:r>
          </w:p>
          <w:p w14:paraId="6B9CF744" w14:textId="77777777" w:rsidR="00DD13BF" w:rsidRPr="009D2770" w:rsidRDefault="00DD13BF" w:rsidP="00355A56">
            <w:pPr>
              <w:jc w:val="both"/>
              <w:rPr>
                <w:rFonts w:eastAsia="Calibri"/>
              </w:rPr>
            </w:pPr>
          </w:p>
          <w:p w14:paraId="7FC6D3ED" w14:textId="77777777" w:rsidR="00DD13BF" w:rsidRPr="000B3206" w:rsidRDefault="00DD13BF" w:rsidP="00355A56">
            <w:pPr>
              <w:jc w:val="both"/>
              <w:rPr>
                <w:rFonts w:eastAsia="Calibri"/>
                <w:lang w:val="en-US"/>
              </w:rPr>
            </w:pPr>
            <w:r w:rsidRPr="000B3206">
              <w:rPr>
                <w:rFonts w:eastAsia="Calibri"/>
                <w:lang w:val="en-US"/>
              </w:rPr>
              <w:t>Connections of at least 100 Mbps are urgently needed to facilitate the digitalisation and digital transformation of rural areas, suburbs and urban areas. Indeed, without broadband, it is nowadays simply impossible to ensure suitable conditions for remote working and remote learning, or to ensure adequate access to all digital public or private services</w:t>
            </w:r>
            <w:r>
              <w:rPr>
                <w:rFonts w:eastAsia="Calibri"/>
                <w:lang w:val="en-US"/>
              </w:rPr>
              <w:t xml:space="preserve"> that are available to</w:t>
            </w:r>
            <w:r w:rsidRPr="000B3206">
              <w:rPr>
                <w:rFonts w:eastAsia="Calibri"/>
                <w:lang w:val="en-US"/>
              </w:rPr>
              <w:t xml:space="preserve"> citizens. These areas, in particular rural areas, are in fact the backbone of Slovenian economy, agriculture, tourism and forestry, which all need high-quality and high-capacity broadband networks for their development as they underpin effective and smooth business, education and, in general, foster accelerated and balanced societal development. Broadband infrastructure development is also important for the development of 5G networks, autonomous driving, </w:t>
            </w:r>
            <w:r>
              <w:rPr>
                <w:rFonts w:eastAsia="Calibri"/>
                <w:lang w:val="en-US"/>
              </w:rPr>
              <w:t>etc.</w:t>
            </w:r>
            <w:r w:rsidRPr="000B3206">
              <w:rPr>
                <w:rFonts w:eastAsia="Calibri"/>
                <w:lang w:val="en-US"/>
              </w:rPr>
              <w:t>, as the</w:t>
            </w:r>
            <w:r>
              <w:rPr>
                <w:rFonts w:eastAsia="Calibri"/>
                <w:lang w:val="en-US"/>
              </w:rPr>
              <w:t xml:space="preserve"> latter </w:t>
            </w:r>
            <w:r w:rsidRPr="000B3206">
              <w:rPr>
                <w:rFonts w:eastAsia="Calibri"/>
                <w:lang w:val="en-US"/>
              </w:rPr>
              <w:t xml:space="preserve">cannot be developed without high-capacity broadband infrastructure.     </w:t>
            </w:r>
          </w:p>
          <w:p w14:paraId="09BD1E6A" w14:textId="77777777" w:rsidR="00DD13BF" w:rsidRPr="000B3206" w:rsidRDefault="00DD13BF" w:rsidP="00355A56">
            <w:pPr>
              <w:jc w:val="both"/>
              <w:rPr>
                <w:rFonts w:eastAsia="Calibri"/>
                <w:lang w:val="en-US"/>
              </w:rPr>
            </w:pPr>
          </w:p>
          <w:p w14:paraId="374490F7" w14:textId="77777777" w:rsidR="00DD13BF" w:rsidRPr="000B3206" w:rsidRDefault="00DD13BF" w:rsidP="00355A56">
            <w:pPr>
              <w:jc w:val="both"/>
              <w:rPr>
                <w:rFonts w:eastAsia="Calibri"/>
                <w:lang w:val="en-US"/>
              </w:rPr>
            </w:pPr>
            <w:r w:rsidRPr="000B3206">
              <w:rPr>
                <w:rFonts w:eastAsia="Calibri"/>
                <w:lang w:val="en-US"/>
              </w:rPr>
              <w:t xml:space="preserve">The development of high-speed broadband in Slovenia in order to reach the target of 100% access to high-speed </w:t>
            </w:r>
            <w:r>
              <w:rPr>
                <w:rFonts w:eastAsia="Calibri"/>
                <w:lang w:val="en-US"/>
              </w:rPr>
              <w:t>Internet</w:t>
            </w:r>
            <w:r w:rsidRPr="000B3206">
              <w:rPr>
                <w:rFonts w:eastAsia="Calibri"/>
                <w:lang w:val="en-US"/>
              </w:rPr>
              <w:t xml:space="preserve"> infrastructure is an important goal that should be fully reached by 2025 in line with the Gigabit Infrastructure Development Plan by 2030 that the government adopted on 25 August 2022. To reach the goal, Slovenia needs to fill the identified funding gap of EUR 278,580,000 in public support f</w:t>
            </w:r>
            <w:r>
              <w:rPr>
                <w:rFonts w:eastAsia="Calibri"/>
                <w:lang w:val="en-US"/>
              </w:rPr>
              <w:t>or 107,932 households. Additional</w:t>
            </w:r>
            <w:r w:rsidRPr="000B3206">
              <w:rPr>
                <w:rFonts w:eastAsia="Calibri"/>
                <w:lang w:val="en-US"/>
              </w:rPr>
              <w:t xml:space="preserve"> EUR 15,326,344 are planned for connectivity vouchers, even though the relevant source of funding has neither been identified nor approved. Slovenia will </w:t>
            </w:r>
            <w:r>
              <w:rPr>
                <w:rFonts w:eastAsia="Calibri"/>
                <w:lang w:val="en-US"/>
              </w:rPr>
              <w:t>cover</w:t>
            </w:r>
            <w:r w:rsidRPr="000B3206">
              <w:rPr>
                <w:rFonts w:eastAsia="Calibri"/>
                <w:lang w:val="en-US"/>
              </w:rPr>
              <w:t xml:space="preserve"> </w:t>
            </w:r>
            <w:r>
              <w:rPr>
                <w:rFonts w:eastAsia="Calibri"/>
                <w:lang w:val="en-US"/>
              </w:rPr>
              <w:t>the funding gap with</w:t>
            </w:r>
            <w:r w:rsidRPr="000B3206">
              <w:rPr>
                <w:rFonts w:eastAsia="Calibri"/>
                <w:lang w:val="en-US"/>
              </w:rPr>
              <w:t xml:space="preserve"> EU</w:t>
            </w:r>
            <w:r>
              <w:rPr>
                <w:rFonts w:eastAsia="Calibri"/>
                <w:lang w:val="en-US"/>
              </w:rPr>
              <w:t>R 30 million from the RRP, the ERDF</w:t>
            </w:r>
            <w:r w:rsidRPr="000B3206">
              <w:rPr>
                <w:rFonts w:eastAsia="Calibri"/>
                <w:lang w:val="en-US"/>
              </w:rPr>
              <w:t xml:space="preserve"> an</w:t>
            </w:r>
            <w:r>
              <w:rPr>
                <w:rFonts w:eastAsia="Calibri"/>
                <w:lang w:val="en-US"/>
              </w:rPr>
              <w:t>d other sources of funding, but will not use EAFRD funds for this purpose</w:t>
            </w:r>
            <w:r w:rsidRPr="000B3206">
              <w:rPr>
                <w:rFonts w:eastAsia="Calibri"/>
                <w:lang w:val="en-US"/>
              </w:rPr>
              <w:t xml:space="preserve">. Households in rural areas account for 45% of all households in Slovenia. Nearly three quarters of </w:t>
            </w:r>
            <w:r>
              <w:rPr>
                <w:rFonts w:eastAsia="Calibri"/>
                <w:lang w:val="en-US"/>
              </w:rPr>
              <w:t>them</w:t>
            </w:r>
            <w:r w:rsidRPr="000B3206">
              <w:rPr>
                <w:rFonts w:eastAsia="Calibri"/>
                <w:lang w:val="en-US"/>
              </w:rPr>
              <w:t>, i.e. 70,68%</w:t>
            </w:r>
            <w:r>
              <w:rPr>
                <w:rFonts w:eastAsia="Calibri"/>
                <w:lang w:val="en-US"/>
              </w:rPr>
              <w:t>,</w:t>
            </w:r>
            <w:r w:rsidRPr="000B3206">
              <w:rPr>
                <w:rFonts w:eastAsia="Calibri"/>
                <w:lang w:val="en-US"/>
              </w:rPr>
              <w:t xml:space="preserve"> had NGN access in 2021 (DESI 2022), of which 51.52% had very high capacity networks. With the planned support, the country expects that all rural households will have access to broadband infrastruct</w:t>
            </w:r>
            <w:r>
              <w:rPr>
                <w:rFonts w:eastAsia="Calibri"/>
                <w:lang w:val="en-US"/>
              </w:rPr>
              <w:t>ure in 2025, of which all</w:t>
            </w:r>
            <w:r w:rsidRPr="000B3206">
              <w:rPr>
                <w:rFonts w:eastAsia="Calibri"/>
                <w:lang w:val="en-US"/>
              </w:rPr>
              <w:t xml:space="preserve"> households will have high-speed broadband. Full coverage with broadband inf</w:t>
            </w:r>
            <w:r>
              <w:rPr>
                <w:rFonts w:eastAsia="Calibri"/>
                <w:lang w:val="en-US"/>
              </w:rPr>
              <w:t>r</w:t>
            </w:r>
            <w:r w:rsidRPr="000B3206">
              <w:rPr>
                <w:rFonts w:eastAsia="Calibri"/>
                <w:lang w:val="en-US"/>
              </w:rPr>
              <w:t>ast</w:t>
            </w:r>
            <w:r>
              <w:rPr>
                <w:rFonts w:eastAsia="Calibri"/>
                <w:lang w:val="en-US"/>
              </w:rPr>
              <w:t>r</w:t>
            </w:r>
            <w:r w:rsidRPr="000B3206">
              <w:rPr>
                <w:rFonts w:eastAsia="Calibri"/>
                <w:lang w:val="en-US"/>
              </w:rPr>
              <w:t xml:space="preserve">ucture is thus planned for 2025. </w:t>
            </w:r>
          </w:p>
          <w:p w14:paraId="5C7A2002" w14:textId="77777777" w:rsidR="00DD13BF" w:rsidRPr="000B3206" w:rsidRDefault="00DD13BF" w:rsidP="00355A56">
            <w:pPr>
              <w:jc w:val="both"/>
              <w:rPr>
                <w:lang w:val="en-US"/>
              </w:rPr>
            </w:pPr>
          </w:p>
          <w:p w14:paraId="542AC31E" w14:textId="77777777" w:rsidR="00DD13BF" w:rsidRPr="000B3206" w:rsidRDefault="00DD13BF" w:rsidP="00355A56">
            <w:pPr>
              <w:jc w:val="both"/>
              <w:rPr>
                <w:rFonts w:eastAsia="Calibri"/>
                <w:lang w:val="en-US"/>
              </w:rPr>
            </w:pPr>
            <w:r w:rsidRPr="000B3206">
              <w:rPr>
                <w:rFonts w:eastAsia="Calibri"/>
                <w:lang w:val="en-US"/>
              </w:rPr>
              <w:t xml:space="preserve">The deployment of advanced technologies in households/dwellings, the economy and public institutions will require a high-capacity infrastructure that will facilitate the use of state-of-the-art digital technologies and services and lead to so-called gigabit society. These measures follow the single market guidelines on public co-financing of infrastructure development where there is no commercial interest from investors.  </w:t>
            </w:r>
          </w:p>
          <w:p w14:paraId="078C404D" w14:textId="77777777" w:rsidR="00DD13BF" w:rsidRPr="000B3206" w:rsidRDefault="00DD13BF" w:rsidP="00355A56">
            <w:pPr>
              <w:jc w:val="both"/>
              <w:rPr>
                <w:rFonts w:eastAsia="Calibri"/>
                <w:lang w:val="en-US"/>
              </w:rPr>
            </w:pPr>
          </w:p>
          <w:p w14:paraId="2A8B7AC1" w14:textId="77777777" w:rsidR="00DD13BF" w:rsidRPr="00795D28" w:rsidRDefault="00DD13BF" w:rsidP="00355A56">
            <w:pPr>
              <w:jc w:val="both"/>
              <w:rPr>
                <w:rFonts w:eastAsia="Calibri"/>
                <w:lang w:val="en-US"/>
              </w:rPr>
            </w:pPr>
            <w:r w:rsidRPr="00795D28">
              <w:rPr>
                <w:rFonts w:eastAsia="Calibri"/>
                <w:lang w:val="en-US"/>
              </w:rPr>
              <w:t xml:space="preserve">This action includes the co-financing of the construction of open high-capacity broadband infrastructure or broadband connections to households/dwellings, enterprises and public institutions in order to support the roll-out of new services and technologies, such as e-commerce, e-learning, Internet of Things, smart houses/buildings/homes, 5G, etc. in areas where such networks cannot be found today (open high-capacity broadband networks,  backbone/access networks allowing transmission speeds of at least 100 Mbps to end-users, upgradable to 1 Gbps in the future) and where there is no commercial interest from investors or operators. Educational institutions will benefit from such support also outside these areas in order to ensure long-term economic sustainability and adequate management of infrastructure, which is necessary for ensuring a smooth educational process. </w:t>
            </w:r>
          </w:p>
          <w:p w14:paraId="43F0FB1B" w14:textId="77777777" w:rsidR="00DD13BF" w:rsidRPr="00795D28" w:rsidRDefault="00DD13BF" w:rsidP="00355A56">
            <w:pPr>
              <w:jc w:val="both"/>
              <w:rPr>
                <w:rFonts w:eastAsia="Calibri"/>
                <w:lang w:val="en-US"/>
              </w:rPr>
            </w:pPr>
          </w:p>
          <w:p w14:paraId="0EDE0F1B" w14:textId="77777777" w:rsidR="00DD13BF" w:rsidRPr="009D2770" w:rsidRDefault="00DD13BF" w:rsidP="00355A56">
            <w:pPr>
              <w:jc w:val="both"/>
              <w:rPr>
                <w:rFonts w:eastAsia="Calibri"/>
              </w:rPr>
            </w:pPr>
            <w:r w:rsidRPr="00795D28">
              <w:rPr>
                <w:rFonts w:eastAsia="Calibri"/>
                <w:lang w:val="en-US"/>
              </w:rPr>
              <w:t xml:space="preserve">Actions will be implemented by taking into account the precautionary principle to minimise the exposure of the population to the electromagnetic radiation from digital connectivity devices. </w:t>
            </w:r>
            <w:r w:rsidRPr="00795D28">
              <w:rPr>
                <w:lang w:val="en-US"/>
              </w:rPr>
              <w:t xml:space="preserve">In accordance with the Technical guidance on the application of 'do no significant harm' under the Recovery and Resilience Facility Regulation </w:t>
            </w:r>
            <w:r w:rsidRPr="00795D28">
              <w:rPr>
                <w:rFonts w:eastAsia="Calibri"/>
                <w:lang w:val="en-US"/>
              </w:rPr>
              <w:t>(C(2021) 1054 final)</w:t>
            </w:r>
            <w:r w:rsidRPr="00795D28">
              <w:rPr>
                <w:lang w:val="en-US"/>
              </w:rPr>
              <w:t>, we assessed that the proposed action has no significant adverse effect on any of the six environmental objectives</w:t>
            </w:r>
            <w:r>
              <w:rPr>
                <w:lang w:val="en-US"/>
              </w:rPr>
              <w:t>, taking into account</w:t>
            </w:r>
            <w:r w:rsidRPr="00795D28">
              <w:rPr>
                <w:lang w:val="en-US"/>
              </w:rPr>
              <w:t xml:space="preserve"> the technical screening criteria s</w:t>
            </w:r>
            <w:r>
              <w:rPr>
                <w:lang w:val="en-US"/>
              </w:rPr>
              <w:t>et out</w:t>
            </w:r>
            <w:r w:rsidRPr="00795D28">
              <w:rPr>
                <w:lang w:val="en-US"/>
              </w:rPr>
              <w:t xml:space="preserve"> in annex DNSH.</w:t>
            </w:r>
            <w:r w:rsidRPr="00500322">
              <w:t xml:space="preserve"> </w:t>
            </w:r>
          </w:p>
        </w:tc>
      </w:tr>
    </w:tbl>
    <w:p w14:paraId="3CF0B54D" w14:textId="77777777" w:rsidR="00DD13BF" w:rsidRDefault="00DD13BF" w:rsidP="00DD13BF">
      <w:pPr>
        <w:ind w:left="1349"/>
        <w:rPr>
          <w:spacing w:val="-6"/>
        </w:rPr>
      </w:pPr>
    </w:p>
    <w:p w14:paraId="796823E9" w14:textId="77777777" w:rsidR="00DD13BF" w:rsidRDefault="00DD13BF" w:rsidP="00DD13BF">
      <w:pPr>
        <w:ind w:left="1349"/>
      </w:pPr>
      <w:r>
        <w:rPr>
          <w:spacing w:val="-6"/>
        </w:rPr>
        <w:t>The main target groups:</w:t>
      </w:r>
    </w:p>
    <w:p w14:paraId="2B3692CA"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4FC4719" w14:textId="77777777" w:rsidTr="00355A56">
        <w:tc>
          <w:tcPr>
            <w:tcW w:w="12763" w:type="dxa"/>
          </w:tcPr>
          <w:p w14:paraId="67AA0DA5" w14:textId="77777777" w:rsidR="00DD13BF" w:rsidRDefault="00DD13BF" w:rsidP="00355A56">
            <w:pPr>
              <w:jc w:val="both"/>
              <w:rPr>
                <w:rFonts w:cstheme="minorHAnsi"/>
              </w:rPr>
            </w:pPr>
            <w:r>
              <w:rPr>
                <w:rFonts w:cstheme="minorHAnsi"/>
              </w:rPr>
              <w:t>Target groups: households/dwellings</w:t>
            </w:r>
            <w:r w:rsidRPr="00F506F6">
              <w:rPr>
                <w:rFonts w:cstheme="minorHAnsi"/>
              </w:rPr>
              <w:t xml:space="preserve">, </w:t>
            </w:r>
            <w:r>
              <w:rPr>
                <w:rFonts w:cstheme="minorHAnsi"/>
              </w:rPr>
              <w:t>education institutions, public institutions in the area of education</w:t>
            </w:r>
          </w:p>
          <w:p w14:paraId="01DA70FA" w14:textId="77777777" w:rsidR="00DD13BF" w:rsidRDefault="00DD13BF" w:rsidP="00355A56">
            <w:pPr>
              <w:jc w:val="both"/>
              <w:rPr>
                <w:rFonts w:cstheme="minorHAnsi"/>
              </w:rPr>
            </w:pPr>
          </w:p>
          <w:p w14:paraId="342CC7DD" w14:textId="77777777" w:rsidR="00DD13BF" w:rsidRPr="00B3569A" w:rsidRDefault="00DD13BF" w:rsidP="00355A56">
            <w:pPr>
              <w:jc w:val="both"/>
              <w:rPr>
                <w:rFonts w:cstheme="minorHAnsi"/>
              </w:rPr>
            </w:pPr>
            <w:r>
              <w:rPr>
                <w:rFonts w:cstheme="minorHAnsi"/>
              </w:rPr>
              <w:t>Beneficiaries: enterprises</w:t>
            </w:r>
            <w:r w:rsidRPr="002816AB">
              <w:rPr>
                <w:rFonts w:cstheme="minorHAnsi"/>
              </w:rPr>
              <w:t xml:space="preserve">, </w:t>
            </w:r>
            <w:r>
              <w:rPr>
                <w:rFonts w:cstheme="minorHAnsi"/>
              </w:rPr>
              <w:t>the Academic and Research Network of Slovenia (</w:t>
            </w:r>
            <w:r w:rsidRPr="002816AB">
              <w:rPr>
                <w:rFonts w:cstheme="minorHAnsi"/>
              </w:rPr>
              <w:t>ARNES</w:t>
            </w:r>
            <w:r>
              <w:rPr>
                <w:rFonts w:cstheme="minorHAnsi"/>
              </w:rPr>
              <w:t>)</w:t>
            </w:r>
          </w:p>
        </w:tc>
      </w:tr>
    </w:tbl>
    <w:p w14:paraId="4D406472" w14:textId="77777777" w:rsidR="00DD13BF" w:rsidRPr="006B7178" w:rsidRDefault="00DD13BF" w:rsidP="00DD13BF">
      <w:pPr>
        <w:ind w:left="1349"/>
      </w:pPr>
    </w:p>
    <w:p w14:paraId="3A5A4580" w14:textId="77777777" w:rsidR="00DD13BF" w:rsidRPr="00B82EC7" w:rsidRDefault="00DD13BF" w:rsidP="00DD13BF">
      <w:pPr>
        <w:ind w:left="1349"/>
        <w:rPr>
          <w:spacing w:val="-2"/>
        </w:rPr>
      </w:pPr>
      <w:r>
        <w:t>Actions safeguarding equality, inclusion and non-discrimination</w:t>
      </w:r>
      <w:r>
        <w:rPr>
          <w:spacing w:val="44"/>
        </w:rPr>
        <w:t>:</w:t>
      </w:r>
    </w:p>
    <w:p w14:paraId="34292268" w14:textId="77777777" w:rsidR="00DD13BF" w:rsidRDefault="00DD13BF" w:rsidP="00DD13BF">
      <w:pPr>
        <w:ind w:left="1349"/>
      </w:pPr>
    </w:p>
    <w:tbl>
      <w:tblPr>
        <w:tblStyle w:val="Tabelamrea"/>
        <w:tblW w:w="12715" w:type="dxa"/>
        <w:tblInd w:w="1314" w:type="dxa"/>
        <w:tblLook w:val="04A0" w:firstRow="1" w:lastRow="0" w:firstColumn="1" w:lastColumn="0" w:noHBand="0" w:noVBand="1"/>
      </w:tblPr>
      <w:tblGrid>
        <w:gridCol w:w="12715"/>
      </w:tblGrid>
      <w:tr w:rsidR="00DD13BF" w:rsidRPr="00B3569A" w14:paraId="5F79CB5F" w14:textId="77777777" w:rsidTr="00355A56">
        <w:tc>
          <w:tcPr>
            <w:tcW w:w="12715" w:type="dxa"/>
          </w:tcPr>
          <w:p w14:paraId="2919C0A1" w14:textId="77777777" w:rsidR="00DD13BF" w:rsidRPr="00CF71DD" w:rsidRDefault="00DD13BF" w:rsidP="00355A56">
            <w:pPr>
              <w:jc w:val="both"/>
              <w:rPr>
                <w:rFonts w:cstheme="minorHAnsi"/>
                <w:lang w:val="en-US"/>
              </w:rPr>
            </w:pPr>
            <w:r w:rsidRPr="00CF71DD">
              <w:rPr>
                <w:rFonts w:cstheme="minorHAnsi"/>
                <w:lang w:val="en-US"/>
              </w:rPr>
              <w:t>The principles of equality, inclusion and non-discrimination will be respected in the implementation of all activities at all levels in accordance with the national legislation (</w:t>
            </w:r>
            <w:r w:rsidRPr="00CF71DD">
              <w:rPr>
                <w:shd w:val="clear" w:color="auto" w:fill="FFFFFF"/>
                <w:lang w:val="en-US"/>
              </w:rPr>
              <w:t>Equal Opportunities for Women and Men Act,</w:t>
            </w:r>
            <w:r w:rsidRPr="00CF71DD">
              <w:rPr>
                <w:lang w:val="en-US"/>
              </w:rPr>
              <w:t xml:space="preserve"> </w:t>
            </w:r>
            <w:r w:rsidRPr="00CF71DD">
              <w:rPr>
                <w:shd w:val="clear" w:color="auto" w:fill="FFFFFF"/>
                <w:lang w:val="en-US"/>
              </w:rPr>
              <w:t>Protection Against Discrimination Act, Equalisation of Opportunities for Persons with Disabilities Act</w:t>
            </w:r>
            <w:r w:rsidRPr="00CF71DD">
              <w:rPr>
                <w:rFonts w:cstheme="minorHAnsi"/>
                <w:lang w:val="en-US"/>
              </w:rPr>
              <w:t xml:space="preserve">), the EU acquis, particularly the </w:t>
            </w:r>
            <w:r w:rsidRPr="00CF71DD">
              <w:rPr>
                <w:rStyle w:val="Poudarek"/>
                <w:bCs/>
                <w:color w:val="000000" w:themeColor="text1"/>
                <w:shd w:val="clear" w:color="auto" w:fill="FFFFFF"/>
                <w:lang w:val="en-US"/>
              </w:rPr>
              <w:t>Treaty on the Functioning of the European Union</w:t>
            </w:r>
            <w:r w:rsidRPr="00CF71DD">
              <w:rPr>
                <w:rStyle w:val="Poudarek"/>
                <w:rFonts w:ascii="Arial" w:hAnsi="Arial" w:cs="Arial"/>
                <w:b/>
                <w:bCs/>
                <w:color w:val="5F6368"/>
                <w:sz w:val="21"/>
                <w:szCs w:val="21"/>
                <w:shd w:val="clear" w:color="auto" w:fill="FFFFFF"/>
                <w:lang w:val="en-US"/>
              </w:rPr>
              <w:t xml:space="preserve">, </w:t>
            </w:r>
            <w:r w:rsidRPr="00CF71DD">
              <w:rPr>
                <w:rFonts w:cstheme="minorHAnsi"/>
                <w:lang w:val="en-US"/>
              </w:rPr>
              <w:t>Charter of fundamental rights, the principles of the European Pillar of Social Rights and the relevant international human rights instruments, particularly the UN Convention on the Rights of Persons with Disabilities and the UN Convention on the Rights of the Child. Equal opportunities and fight against discrimination based on characteristics, such as gender, age, race, ethnicity, disability, religion, sexual orientation will be advocated and ensured both horizontally and vertically as far as possible in the scope of Slovenia's Cohesion Policy Programme 2021-2027. In this context, the Rules on ensuring the horizontal enabling condition Effective application and implementation of th</w:t>
            </w:r>
            <w:r>
              <w:rPr>
                <w:rFonts w:cstheme="minorHAnsi"/>
                <w:lang w:val="en-US"/>
              </w:rPr>
              <w:t>e Charter of fundamental rights</w:t>
            </w:r>
            <w:r w:rsidRPr="00CF71DD">
              <w:rPr>
                <w:rFonts w:cstheme="minorHAnsi"/>
                <w:lang w:val="en-US"/>
              </w:rPr>
              <w:t xml:space="preserve"> and the Action Programme for Persons with Disabilities 2022-2030, as well as other relevant documents that will be developed during the implementation of measures will be fully observed. If relevant, administrative capacity building training will be carried out for the implementation of the principles of equal opportunities and non-discrimination. The principle will likewise be respected in the scope of the management and control system. The Monitoring Committee will be notified of any inconsistencies that will potentially arise at least once a year.   </w:t>
            </w:r>
          </w:p>
          <w:p w14:paraId="5BFFB9F4" w14:textId="77777777" w:rsidR="00DD13BF" w:rsidRPr="00CF71DD" w:rsidRDefault="00DD13BF" w:rsidP="00355A56">
            <w:pPr>
              <w:jc w:val="both"/>
              <w:rPr>
                <w:rFonts w:cstheme="minorHAnsi"/>
                <w:lang w:val="en-US"/>
              </w:rPr>
            </w:pPr>
          </w:p>
          <w:p w14:paraId="7C8D9AD5" w14:textId="77777777" w:rsidR="00DD13BF" w:rsidRPr="00B3569A" w:rsidRDefault="00DD13BF" w:rsidP="00355A56">
            <w:pPr>
              <w:jc w:val="both"/>
              <w:rPr>
                <w:rFonts w:cstheme="minorHAnsi"/>
              </w:rPr>
            </w:pPr>
            <w:r w:rsidRPr="00CF71DD">
              <w:rPr>
                <w:rFonts w:cstheme="minorHAnsi"/>
                <w:lang w:val="en-US"/>
              </w:rPr>
              <w:t>Households/dwellings for which no market interest has been shown will be eligible for support under this specific objective. Public co-financing of the network construction (to improve digital connectivity) aims to ensure adequate broadband access through public funding to the households/dwellings without broadband access to the Interne</w:t>
            </w:r>
            <w:r>
              <w:rPr>
                <w:rFonts w:cstheme="minorHAnsi"/>
                <w:lang w:val="en-US"/>
              </w:rPr>
              <w:t>t at a certain download speed</w:t>
            </w:r>
            <w:r w:rsidRPr="00CF71DD">
              <w:rPr>
                <w:rFonts w:cstheme="minorHAnsi"/>
                <w:lang w:val="en-US"/>
              </w:rPr>
              <w:t xml:space="preserve"> for which private investors or electronic communications operators</w:t>
            </w:r>
            <w:r>
              <w:rPr>
                <w:rFonts w:cstheme="minorHAnsi"/>
                <w:lang w:val="en-US"/>
              </w:rPr>
              <w:t xml:space="preserve"> have shown no interest to</w:t>
            </w:r>
            <w:r w:rsidRPr="00CF71DD">
              <w:rPr>
                <w:rFonts w:cstheme="minorHAnsi"/>
                <w:lang w:val="en-US"/>
              </w:rPr>
              <w:t xml:space="preserve"> construct</w:t>
            </w:r>
            <w:r>
              <w:rPr>
                <w:rFonts w:cstheme="minorHAnsi"/>
                <w:lang w:val="en-US"/>
              </w:rPr>
              <w:t xml:space="preserve"> broadband infrastructure</w:t>
            </w:r>
            <w:r w:rsidRPr="00CF71DD">
              <w:rPr>
                <w:rFonts w:cstheme="minorHAnsi"/>
                <w:lang w:val="en-US"/>
              </w:rPr>
              <w:t xml:space="preserve"> in the next three years. The measure is therefore fully designed to protect equality, inclusion and non-discrimination of households/dwellings with </w:t>
            </w:r>
            <w:r>
              <w:rPr>
                <w:rFonts w:cstheme="minorHAnsi"/>
                <w:lang w:val="en-US"/>
              </w:rPr>
              <w:t>‘</w:t>
            </w:r>
            <w:r w:rsidRPr="00CF71DD">
              <w:rPr>
                <w:rFonts w:cstheme="minorHAnsi"/>
                <w:lang w:val="en-US"/>
              </w:rPr>
              <w:t>poorer</w:t>
            </w:r>
            <w:r>
              <w:rPr>
                <w:rFonts w:cstheme="minorHAnsi"/>
                <w:lang w:val="en-US"/>
              </w:rPr>
              <w:t>’</w:t>
            </w:r>
            <w:r w:rsidRPr="00CF71DD">
              <w:rPr>
                <w:rFonts w:cstheme="minorHAnsi"/>
                <w:lang w:val="en-US"/>
              </w:rPr>
              <w:t xml:space="preserve"> digital infrastructure (which are </w:t>
            </w:r>
            <w:r>
              <w:rPr>
                <w:rFonts w:cstheme="minorHAnsi"/>
                <w:lang w:val="en-US"/>
              </w:rPr>
              <w:t>largely</w:t>
            </w:r>
            <w:r w:rsidRPr="00CF71DD">
              <w:rPr>
                <w:rFonts w:cstheme="minorHAnsi"/>
                <w:lang w:val="en-US"/>
              </w:rPr>
              <w:t xml:space="preserve">, but by no means entirely, located in rural areas). </w:t>
            </w:r>
            <w:r w:rsidRPr="00CF71DD">
              <w:rPr>
                <w:spacing w:val="-2"/>
                <w:lang w:val="en-US"/>
              </w:rPr>
              <w:t xml:space="preserve">In other words, public funding will be used for positive action </w:t>
            </w:r>
            <w:r>
              <w:rPr>
                <w:spacing w:val="-2"/>
                <w:lang w:val="en-US"/>
              </w:rPr>
              <w:t xml:space="preserve">targeting </w:t>
            </w:r>
            <w:r w:rsidRPr="00CF71DD">
              <w:rPr>
                <w:spacing w:val="-2"/>
                <w:lang w:val="en-US"/>
              </w:rPr>
              <w:t>areas or households/dwellings with poorer connectivity by providing them with investments in broadband network.</w:t>
            </w:r>
            <w:r>
              <w:rPr>
                <w:spacing w:val="-2"/>
              </w:rPr>
              <w:t xml:space="preserve"> </w:t>
            </w:r>
          </w:p>
        </w:tc>
      </w:tr>
    </w:tbl>
    <w:p w14:paraId="5E7BEE3A" w14:textId="77777777" w:rsidR="00DD13BF" w:rsidRDefault="00DD13BF" w:rsidP="00DD13BF">
      <w:pPr>
        <w:rPr>
          <w:sz w:val="20"/>
        </w:rPr>
      </w:pPr>
    </w:p>
    <w:p w14:paraId="536F046E" w14:textId="77777777" w:rsidR="00DD13BF" w:rsidRDefault="00DD13BF" w:rsidP="00DD13BF">
      <w:pPr>
        <w:ind w:left="1415"/>
        <w:rPr>
          <w:spacing w:val="-4"/>
        </w:rPr>
      </w:pPr>
      <w:r>
        <w:t>Indication of the specific territories targeted, including the planned use of territorial tools</w:t>
      </w:r>
      <w:r>
        <w:rPr>
          <w:spacing w:val="-4"/>
        </w:rPr>
        <w:t>:</w:t>
      </w:r>
    </w:p>
    <w:p w14:paraId="6509D63C"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771C01AE" w14:textId="77777777" w:rsidTr="00355A56">
        <w:tc>
          <w:tcPr>
            <w:tcW w:w="12763" w:type="dxa"/>
          </w:tcPr>
          <w:p w14:paraId="456CB9AD" w14:textId="77777777" w:rsidR="00DD13BF" w:rsidRPr="00B3569A" w:rsidRDefault="00DD13BF" w:rsidP="00355A56">
            <w:pPr>
              <w:jc w:val="both"/>
              <w:rPr>
                <w:rFonts w:cstheme="minorHAnsi"/>
              </w:rPr>
            </w:pPr>
            <w:r w:rsidRPr="000D34D9">
              <w:rPr>
                <w:rFonts w:cstheme="minorHAnsi"/>
                <w:lang w:val="en-US"/>
              </w:rPr>
              <w:t>No territorial tools are planned to be used under the specific objective.</w:t>
            </w:r>
          </w:p>
        </w:tc>
      </w:tr>
    </w:tbl>
    <w:p w14:paraId="08795644" w14:textId="77777777" w:rsidR="00DD13BF" w:rsidRDefault="00DD13BF" w:rsidP="00DD13BF">
      <w:pPr>
        <w:rPr>
          <w:sz w:val="18"/>
        </w:rPr>
      </w:pPr>
    </w:p>
    <w:p w14:paraId="31EF3177" w14:textId="77777777" w:rsidR="00DD13BF" w:rsidRDefault="00DD13BF" w:rsidP="00DD13BF">
      <w:pPr>
        <w:ind w:left="1415"/>
      </w:pPr>
      <w:r>
        <w:t>The interregional, cross-border and transnational actions</w:t>
      </w:r>
      <w:r>
        <w:rPr>
          <w:spacing w:val="7"/>
        </w:rPr>
        <w:t>:</w:t>
      </w:r>
    </w:p>
    <w:p w14:paraId="40497600"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CF71DD" w14:paraId="1746BFDE" w14:textId="77777777" w:rsidTr="00355A56">
        <w:tc>
          <w:tcPr>
            <w:tcW w:w="12763" w:type="dxa"/>
          </w:tcPr>
          <w:p w14:paraId="5D40BAAF" w14:textId="77777777" w:rsidR="00DD13BF" w:rsidRPr="00CF71DD" w:rsidRDefault="00DD13BF" w:rsidP="00355A56">
            <w:pPr>
              <w:jc w:val="both"/>
              <w:rPr>
                <w:rFonts w:cstheme="minorHAnsi"/>
                <w:lang w:val="en-US"/>
              </w:rPr>
            </w:pPr>
            <w:r w:rsidRPr="00CF71DD">
              <w:rPr>
                <w:rFonts w:cstheme="minorHAnsi"/>
                <w:lang w:val="en-US"/>
              </w:rPr>
              <w:t xml:space="preserve">No interregional, cross-border or transnational actions are foreseen under this specific objective as investments target Slovenian citizens. However, these actions are expected to facilitate and boost the participation of Slovenian stakeholders in the activities implemented in the three macro-regions in which Slovenia takes part.  </w:t>
            </w:r>
          </w:p>
        </w:tc>
      </w:tr>
    </w:tbl>
    <w:p w14:paraId="103B5788" w14:textId="77777777" w:rsidR="00DD13BF" w:rsidRPr="00CF71DD" w:rsidRDefault="00DD13BF" w:rsidP="00DD13BF">
      <w:pPr>
        <w:rPr>
          <w:sz w:val="17"/>
        </w:rPr>
      </w:pPr>
    </w:p>
    <w:p w14:paraId="4F99B281" w14:textId="77777777" w:rsidR="00DD13BF" w:rsidRPr="00CF71DD" w:rsidRDefault="00DD13BF" w:rsidP="00DD13BF">
      <w:pPr>
        <w:ind w:left="1415"/>
        <w:rPr>
          <w:spacing w:val="-3"/>
        </w:rPr>
      </w:pPr>
      <w:r w:rsidRPr="00CF71DD">
        <w:t>The planned use of financial instruments</w:t>
      </w:r>
      <w:r w:rsidRPr="00CF71DD">
        <w:rPr>
          <w:spacing w:val="34"/>
        </w:rPr>
        <w:t>:</w:t>
      </w:r>
    </w:p>
    <w:p w14:paraId="5661DE3F" w14:textId="77777777" w:rsidR="00DD13BF" w:rsidRPr="00CF71DD"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CF71DD" w14:paraId="3F64E71B" w14:textId="77777777" w:rsidTr="00355A56">
        <w:tc>
          <w:tcPr>
            <w:tcW w:w="12758" w:type="dxa"/>
          </w:tcPr>
          <w:p w14:paraId="0397F97F" w14:textId="77777777" w:rsidR="00DD13BF" w:rsidRPr="00CF71DD" w:rsidRDefault="00DD13BF" w:rsidP="00355A56">
            <w:pPr>
              <w:jc w:val="both"/>
              <w:rPr>
                <w:rFonts w:cstheme="minorHAnsi"/>
                <w:lang w:val="en-US"/>
              </w:rPr>
            </w:pPr>
            <w:r w:rsidRPr="00CF71DD">
              <w:rPr>
                <w:lang w:val="en-US"/>
              </w:rPr>
              <w:t>The preliminary assessment of market needs and financing gaps in the market for the implementation of financial instruments in the 2021–2027 programming period (July 2022) suggested that the</w:t>
            </w:r>
            <w:r>
              <w:rPr>
                <w:lang w:val="en-US"/>
              </w:rPr>
              <w:t>re was no rationale for the</w:t>
            </w:r>
            <w:r w:rsidRPr="00CF71DD">
              <w:rPr>
                <w:lang w:val="en-US"/>
              </w:rPr>
              <w:t xml:space="preserve"> use </w:t>
            </w:r>
            <w:r>
              <w:rPr>
                <w:lang w:val="en-US"/>
              </w:rPr>
              <w:t xml:space="preserve">of financial instruments in this area </w:t>
            </w:r>
            <w:r w:rsidRPr="00CF71DD">
              <w:rPr>
                <w:lang w:val="en-US"/>
              </w:rPr>
              <w:t xml:space="preserve">nor did it identify any gap. The funding earmarked for GOŠO (Deployment of open broadband networks) projects will be used to address the white areas, i.e. areas where operators have shown no commercial interest in building open broadband networks. Such projects do not generate a sufficient cash flow which is the precondition for the use of financial instruments' support. </w:t>
            </w:r>
          </w:p>
          <w:p w14:paraId="784B321C" w14:textId="77777777" w:rsidR="00DD13BF" w:rsidRPr="00CF71DD" w:rsidRDefault="00DD13BF" w:rsidP="00355A56">
            <w:pPr>
              <w:jc w:val="both"/>
              <w:rPr>
                <w:rFonts w:cstheme="minorHAnsi"/>
                <w:lang w:val="en-US"/>
              </w:rPr>
            </w:pPr>
          </w:p>
          <w:p w14:paraId="77CE461E" w14:textId="77777777" w:rsidR="00DD13BF" w:rsidRPr="00CF71DD" w:rsidRDefault="00DD13BF" w:rsidP="00355A56">
            <w:pPr>
              <w:jc w:val="both"/>
              <w:rPr>
                <w:rFonts w:cstheme="minorHAnsi"/>
                <w:lang w:val="en-US"/>
              </w:rPr>
            </w:pPr>
            <w:r w:rsidRPr="00CF71DD">
              <w:rPr>
                <w:rFonts w:cstheme="minorHAnsi"/>
                <w:lang w:val="en-US"/>
              </w:rPr>
              <w:t xml:space="preserve">Public funding will not be used in geographic areas where operators have shown commercial interest in building the network. The relevant State Aid rules will be fully respected. </w:t>
            </w:r>
          </w:p>
        </w:tc>
      </w:tr>
    </w:tbl>
    <w:p w14:paraId="1D02DA8A" w14:textId="77777777" w:rsidR="00DD13BF" w:rsidRDefault="00DD13BF" w:rsidP="00DD13BF">
      <w:pPr>
        <w:rPr>
          <w:sz w:val="20"/>
        </w:rPr>
      </w:pPr>
    </w:p>
    <w:p w14:paraId="1186B0E9" w14:textId="77777777" w:rsidR="00DD13BF" w:rsidRDefault="00DD13BF" w:rsidP="00DD13BF">
      <w:pPr>
        <w:rPr>
          <w:sz w:val="20"/>
        </w:rPr>
      </w:pPr>
    </w:p>
    <w:p w14:paraId="773D86C6" w14:textId="77777777" w:rsidR="00DD13BF" w:rsidRDefault="00DD13BF" w:rsidP="00DD13BF">
      <w:pPr>
        <w:rPr>
          <w:sz w:val="20"/>
        </w:rPr>
      </w:pPr>
    </w:p>
    <w:p w14:paraId="0E68599C" w14:textId="77777777" w:rsidR="00DD13BF" w:rsidRDefault="00DD13BF" w:rsidP="00DD13BF">
      <w:pPr>
        <w:pStyle w:val="Naslov5"/>
        <w:spacing w:before="0"/>
      </w:pPr>
      <w:r>
        <w:t>Indicators</w:t>
      </w:r>
    </w:p>
    <w:p w14:paraId="54427CEE" w14:textId="77777777" w:rsidR="00DD13BF" w:rsidRDefault="00DD13BF" w:rsidP="00DD13BF"/>
    <w:p w14:paraId="32C4199D" w14:textId="77777777" w:rsidR="00ED16FE" w:rsidRDefault="00ED16FE" w:rsidP="00DD13BF">
      <w:pPr>
        <w:ind w:left="379"/>
        <w:rPr>
          <w:spacing w:val="-7"/>
        </w:rPr>
      </w:pPr>
    </w:p>
    <w:p w14:paraId="15BF8656" w14:textId="241F1048" w:rsidR="00DD13BF" w:rsidRDefault="00ED16FE" w:rsidP="00DD13BF">
      <w:pPr>
        <w:ind w:left="379"/>
      </w:pPr>
      <w:r>
        <w:rPr>
          <w:spacing w:val="-7"/>
        </w:rPr>
        <w:t>Table</w:t>
      </w:r>
      <w:r w:rsidR="00DD13BF">
        <w:rPr>
          <w:spacing w:val="-7"/>
        </w:rPr>
        <w:t xml:space="preserve"> </w:t>
      </w:r>
      <w:r w:rsidR="00DD13BF">
        <w:rPr>
          <w:spacing w:val="-6"/>
        </w:rPr>
        <w:t>2:</w:t>
      </w:r>
      <w:r w:rsidR="00DD13BF">
        <w:rPr>
          <w:spacing w:val="-7"/>
        </w:rPr>
        <w:t xml:space="preserve"> Output indicators</w:t>
      </w:r>
      <w:r w:rsidR="00DD13BF">
        <w:rPr>
          <w:spacing w:val="-6"/>
        </w:rPr>
        <w:t xml:space="preserve"> </w:t>
      </w:r>
    </w:p>
    <w:p w14:paraId="6F915CD8" w14:textId="77777777" w:rsidR="00DD13BF" w:rsidRDefault="00DD13BF" w:rsidP="00DD13BF">
      <w:pPr>
        <w:rPr>
          <w:sz w:val="21"/>
        </w:rPr>
      </w:pPr>
    </w:p>
    <w:tbl>
      <w:tblPr>
        <w:tblStyle w:val="NormalTable0"/>
        <w:tblW w:w="1374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417"/>
        <w:gridCol w:w="708"/>
        <w:gridCol w:w="1701"/>
        <w:gridCol w:w="778"/>
        <w:gridCol w:w="3901"/>
        <w:gridCol w:w="1559"/>
        <w:gridCol w:w="1418"/>
        <w:gridCol w:w="1134"/>
      </w:tblGrid>
      <w:tr w:rsidR="00DD13BF" w14:paraId="6FAF64CD" w14:textId="77777777" w:rsidTr="00355A56">
        <w:trPr>
          <w:trHeight w:val="254"/>
        </w:trPr>
        <w:tc>
          <w:tcPr>
            <w:tcW w:w="1128" w:type="dxa"/>
            <w:vAlign w:val="center"/>
          </w:tcPr>
          <w:p w14:paraId="36A3AEE0" w14:textId="77777777" w:rsidR="00DD13BF" w:rsidRDefault="00DD13BF" w:rsidP="00355A56">
            <w:pPr>
              <w:pStyle w:val="TableParagraph"/>
              <w:ind w:right="82"/>
            </w:pPr>
            <w:r>
              <w:t>Priority</w:t>
            </w:r>
          </w:p>
        </w:tc>
        <w:tc>
          <w:tcPr>
            <w:tcW w:w="1417" w:type="dxa"/>
            <w:vAlign w:val="center"/>
          </w:tcPr>
          <w:p w14:paraId="40788A23" w14:textId="77777777" w:rsidR="00DD13BF" w:rsidRDefault="00DD13BF" w:rsidP="00355A56">
            <w:pPr>
              <w:pStyle w:val="TableParagraph"/>
            </w:pPr>
            <w:r w:rsidRPr="00BE59C9">
              <w:t>Specifi</w:t>
            </w:r>
            <w:r>
              <w:t>c objective</w:t>
            </w:r>
          </w:p>
        </w:tc>
        <w:tc>
          <w:tcPr>
            <w:tcW w:w="708" w:type="dxa"/>
            <w:vAlign w:val="center"/>
          </w:tcPr>
          <w:p w14:paraId="6B58347B" w14:textId="77777777" w:rsidR="00DD13BF" w:rsidRDefault="00DD13BF" w:rsidP="00355A56">
            <w:pPr>
              <w:pStyle w:val="TableParagraph"/>
            </w:pPr>
            <w:r>
              <w:t>Fund</w:t>
            </w:r>
          </w:p>
        </w:tc>
        <w:tc>
          <w:tcPr>
            <w:tcW w:w="1701" w:type="dxa"/>
            <w:vAlign w:val="center"/>
          </w:tcPr>
          <w:p w14:paraId="31E255BC" w14:textId="77777777" w:rsidR="00DD13BF" w:rsidRDefault="00DD13BF" w:rsidP="00355A56">
            <w:pPr>
              <w:pStyle w:val="TableParagraph"/>
            </w:pPr>
            <w:r>
              <w:t>Category of region</w:t>
            </w:r>
          </w:p>
        </w:tc>
        <w:tc>
          <w:tcPr>
            <w:tcW w:w="778" w:type="dxa"/>
            <w:vAlign w:val="center"/>
          </w:tcPr>
          <w:p w14:paraId="52FFDB4C" w14:textId="77777777" w:rsidR="00DD13BF" w:rsidRPr="00347461" w:rsidRDefault="00DD13BF" w:rsidP="00355A56">
            <w:pPr>
              <w:pStyle w:val="TableParagraph"/>
              <w:rPr>
                <w:sz w:val="20"/>
              </w:rPr>
            </w:pPr>
            <w:r>
              <w:t>ID</w:t>
            </w:r>
          </w:p>
        </w:tc>
        <w:tc>
          <w:tcPr>
            <w:tcW w:w="3901" w:type="dxa"/>
            <w:vAlign w:val="center"/>
          </w:tcPr>
          <w:p w14:paraId="3C8CCFD2" w14:textId="77777777" w:rsidR="00DD13BF" w:rsidRPr="00347461" w:rsidRDefault="00DD13BF" w:rsidP="00355A56">
            <w:pPr>
              <w:pStyle w:val="TableParagraph"/>
              <w:rPr>
                <w:sz w:val="20"/>
              </w:rPr>
            </w:pPr>
            <w:r>
              <w:t>Indicator</w:t>
            </w:r>
          </w:p>
        </w:tc>
        <w:tc>
          <w:tcPr>
            <w:tcW w:w="1559" w:type="dxa"/>
            <w:vAlign w:val="center"/>
          </w:tcPr>
          <w:p w14:paraId="010D83A2" w14:textId="77777777" w:rsidR="00DD13BF" w:rsidRPr="00347461" w:rsidRDefault="00DD13BF" w:rsidP="00355A56">
            <w:pPr>
              <w:pStyle w:val="TableParagraph"/>
              <w:rPr>
                <w:sz w:val="20"/>
              </w:rPr>
            </w:pPr>
            <w:r>
              <w:t>Measurement unit</w:t>
            </w:r>
          </w:p>
        </w:tc>
        <w:tc>
          <w:tcPr>
            <w:tcW w:w="1418" w:type="dxa"/>
            <w:vAlign w:val="center"/>
          </w:tcPr>
          <w:p w14:paraId="7E7F973E" w14:textId="77777777" w:rsidR="00DD13BF" w:rsidRPr="00347461" w:rsidRDefault="00DD13BF" w:rsidP="00355A56">
            <w:pPr>
              <w:pStyle w:val="TableParagraph"/>
              <w:rPr>
                <w:sz w:val="20"/>
              </w:rPr>
            </w:pPr>
            <w:r>
              <w:t>Milestone</w:t>
            </w:r>
            <w:r w:rsidRPr="00BE59C9">
              <w:t xml:space="preserve"> (2024)</w:t>
            </w:r>
          </w:p>
        </w:tc>
        <w:tc>
          <w:tcPr>
            <w:tcW w:w="1134" w:type="dxa"/>
            <w:vAlign w:val="center"/>
          </w:tcPr>
          <w:p w14:paraId="7FDA2AF8" w14:textId="77777777" w:rsidR="00DD13BF" w:rsidRDefault="00DD13BF" w:rsidP="00355A56">
            <w:pPr>
              <w:pStyle w:val="TableParagraph"/>
            </w:pPr>
            <w:r>
              <w:t>Target</w:t>
            </w:r>
            <w:r w:rsidRPr="00BE59C9">
              <w:t xml:space="preserve"> (2029)</w:t>
            </w:r>
          </w:p>
        </w:tc>
      </w:tr>
      <w:tr w:rsidR="00DD13BF" w14:paraId="3CACC7AB" w14:textId="77777777" w:rsidTr="00355A56">
        <w:trPr>
          <w:trHeight w:val="254"/>
        </w:trPr>
        <w:tc>
          <w:tcPr>
            <w:tcW w:w="1128" w:type="dxa"/>
          </w:tcPr>
          <w:p w14:paraId="36BAFE4A" w14:textId="77777777" w:rsidR="00DD13BF" w:rsidRPr="00BE59C9" w:rsidRDefault="00DD13BF" w:rsidP="00355A56">
            <w:pPr>
              <w:pStyle w:val="TableParagraph"/>
              <w:ind w:right="82"/>
            </w:pPr>
            <w:r>
              <w:rPr>
                <w:sz w:val="20"/>
              </w:rPr>
              <w:t>2</w:t>
            </w:r>
          </w:p>
        </w:tc>
        <w:tc>
          <w:tcPr>
            <w:tcW w:w="1417" w:type="dxa"/>
          </w:tcPr>
          <w:p w14:paraId="3EBA336D" w14:textId="77777777" w:rsidR="00DD13BF" w:rsidRPr="00BE59C9" w:rsidRDefault="00DD13BF" w:rsidP="00355A56">
            <w:pPr>
              <w:pStyle w:val="TableParagraph"/>
            </w:pPr>
            <w:r w:rsidRPr="00A35CCE">
              <w:rPr>
                <w:color w:val="000000"/>
                <w:sz w:val="20"/>
              </w:rPr>
              <w:t>RSO1.5</w:t>
            </w:r>
          </w:p>
        </w:tc>
        <w:tc>
          <w:tcPr>
            <w:tcW w:w="708" w:type="dxa"/>
          </w:tcPr>
          <w:p w14:paraId="0853AE93" w14:textId="77777777" w:rsidR="00DD13BF" w:rsidRPr="00BE59C9" w:rsidRDefault="00DD13BF" w:rsidP="00355A56">
            <w:pPr>
              <w:pStyle w:val="TableParagraph"/>
            </w:pPr>
            <w:r>
              <w:rPr>
                <w:sz w:val="20"/>
              </w:rPr>
              <w:t>ERDF</w:t>
            </w:r>
          </w:p>
        </w:tc>
        <w:tc>
          <w:tcPr>
            <w:tcW w:w="1701" w:type="dxa"/>
          </w:tcPr>
          <w:p w14:paraId="0D5CE5F1" w14:textId="77777777" w:rsidR="00DD13BF" w:rsidRPr="00BE59C9" w:rsidRDefault="00DD13BF" w:rsidP="00355A56">
            <w:pPr>
              <w:pStyle w:val="TableParagraph"/>
            </w:pPr>
            <w:r>
              <w:rPr>
                <w:sz w:val="20"/>
              </w:rPr>
              <w:t xml:space="preserve">Less developed </w:t>
            </w:r>
          </w:p>
        </w:tc>
        <w:tc>
          <w:tcPr>
            <w:tcW w:w="778" w:type="dxa"/>
          </w:tcPr>
          <w:p w14:paraId="3FEE0C4B" w14:textId="77777777" w:rsidR="00DD13BF" w:rsidRPr="00D8311C" w:rsidRDefault="00DD13BF" w:rsidP="00355A56">
            <w:pPr>
              <w:pStyle w:val="TableParagraph"/>
              <w:rPr>
                <w:sz w:val="20"/>
              </w:rPr>
            </w:pPr>
            <w:r w:rsidRPr="00D8311C">
              <w:rPr>
                <w:sz w:val="20"/>
              </w:rPr>
              <w:t>RCO41</w:t>
            </w:r>
          </w:p>
        </w:tc>
        <w:tc>
          <w:tcPr>
            <w:tcW w:w="3901" w:type="dxa"/>
          </w:tcPr>
          <w:p w14:paraId="2A5A6680" w14:textId="77777777" w:rsidR="00DD13BF" w:rsidRPr="005A28BA" w:rsidRDefault="00DD13BF" w:rsidP="00355A56">
            <w:pPr>
              <w:pStyle w:val="TableParagraph"/>
              <w:rPr>
                <w:sz w:val="20"/>
              </w:rPr>
            </w:pPr>
            <w:r w:rsidRPr="005A28BA">
              <w:rPr>
                <w:sz w:val="20"/>
              </w:rPr>
              <w:t>Additional dwellings with broadband access of very high capacity</w:t>
            </w:r>
          </w:p>
        </w:tc>
        <w:tc>
          <w:tcPr>
            <w:tcW w:w="1559" w:type="dxa"/>
          </w:tcPr>
          <w:p w14:paraId="691AFA63" w14:textId="77777777" w:rsidR="00DD13BF" w:rsidRPr="00BE59C9" w:rsidRDefault="00DD13BF" w:rsidP="00355A56">
            <w:pPr>
              <w:pStyle w:val="TableParagraph"/>
            </w:pPr>
            <w:r>
              <w:rPr>
                <w:sz w:val="20"/>
              </w:rPr>
              <w:t>dwellings</w:t>
            </w:r>
          </w:p>
        </w:tc>
        <w:tc>
          <w:tcPr>
            <w:tcW w:w="1418" w:type="dxa"/>
          </w:tcPr>
          <w:p w14:paraId="4B04A984" w14:textId="77777777" w:rsidR="00DD13BF" w:rsidRPr="0096258C" w:rsidRDefault="00DD13BF" w:rsidP="00355A56">
            <w:pPr>
              <w:pStyle w:val="TableParagraph"/>
              <w:rPr>
                <w:sz w:val="20"/>
              </w:rPr>
            </w:pPr>
            <w:r>
              <w:rPr>
                <w:sz w:val="20"/>
              </w:rPr>
              <w:t>200</w:t>
            </w:r>
          </w:p>
        </w:tc>
        <w:tc>
          <w:tcPr>
            <w:tcW w:w="1134" w:type="dxa"/>
          </w:tcPr>
          <w:p w14:paraId="0CE808F8" w14:textId="77777777" w:rsidR="00DD13BF" w:rsidRPr="0096258C" w:rsidRDefault="00DD13BF" w:rsidP="00355A56">
            <w:pPr>
              <w:pStyle w:val="TableParagraph"/>
              <w:rPr>
                <w:sz w:val="20"/>
              </w:rPr>
            </w:pPr>
            <w:r>
              <w:rPr>
                <w:sz w:val="20"/>
              </w:rPr>
              <w:t>4,017</w:t>
            </w:r>
          </w:p>
        </w:tc>
      </w:tr>
      <w:tr w:rsidR="00DD13BF" w14:paraId="3557A5E4" w14:textId="77777777" w:rsidTr="00355A56">
        <w:trPr>
          <w:trHeight w:val="254"/>
        </w:trPr>
        <w:tc>
          <w:tcPr>
            <w:tcW w:w="1128" w:type="dxa"/>
          </w:tcPr>
          <w:p w14:paraId="4B74C017" w14:textId="77777777" w:rsidR="00DD13BF" w:rsidRDefault="00DD13BF" w:rsidP="00355A56">
            <w:pPr>
              <w:pStyle w:val="TableParagraph"/>
              <w:ind w:right="82"/>
              <w:rPr>
                <w:sz w:val="20"/>
              </w:rPr>
            </w:pPr>
            <w:r>
              <w:rPr>
                <w:sz w:val="20"/>
              </w:rPr>
              <w:t>2</w:t>
            </w:r>
          </w:p>
        </w:tc>
        <w:tc>
          <w:tcPr>
            <w:tcW w:w="1417" w:type="dxa"/>
          </w:tcPr>
          <w:p w14:paraId="58FA0B72" w14:textId="77777777" w:rsidR="00DD13BF" w:rsidRDefault="00DD13BF" w:rsidP="00355A56">
            <w:pPr>
              <w:pStyle w:val="TableParagraph"/>
              <w:rPr>
                <w:sz w:val="20"/>
              </w:rPr>
            </w:pPr>
            <w:r w:rsidRPr="00A35CCE">
              <w:rPr>
                <w:color w:val="000000"/>
                <w:sz w:val="20"/>
              </w:rPr>
              <w:t>RSO1.5</w:t>
            </w:r>
          </w:p>
        </w:tc>
        <w:tc>
          <w:tcPr>
            <w:tcW w:w="708" w:type="dxa"/>
          </w:tcPr>
          <w:p w14:paraId="0B95ED22" w14:textId="77777777" w:rsidR="00DD13BF" w:rsidRDefault="00DD13BF" w:rsidP="00355A56">
            <w:pPr>
              <w:pStyle w:val="TableParagraph"/>
              <w:rPr>
                <w:sz w:val="20"/>
              </w:rPr>
            </w:pPr>
            <w:r>
              <w:rPr>
                <w:sz w:val="20"/>
              </w:rPr>
              <w:t>ERDF</w:t>
            </w:r>
          </w:p>
        </w:tc>
        <w:tc>
          <w:tcPr>
            <w:tcW w:w="1701" w:type="dxa"/>
          </w:tcPr>
          <w:p w14:paraId="11B6E73A" w14:textId="77777777" w:rsidR="00DD13BF" w:rsidRDefault="00DD13BF" w:rsidP="00355A56">
            <w:pPr>
              <w:pStyle w:val="TableParagraph"/>
              <w:rPr>
                <w:sz w:val="20"/>
              </w:rPr>
            </w:pPr>
            <w:r>
              <w:rPr>
                <w:sz w:val="20"/>
              </w:rPr>
              <w:t xml:space="preserve">More developed </w:t>
            </w:r>
          </w:p>
        </w:tc>
        <w:tc>
          <w:tcPr>
            <w:tcW w:w="778" w:type="dxa"/>
          </w:tcPr>
          <w:p w14:paraId="30D1668D" w14:textId="77777777" w:rsidR="00DD13BF" w:rsidRPr="00D8311C" w:rsidRDefault="00DD13BF" w:rsidP="00355A56">
            <w:pPr>
              <w:pStyle w:val="TableParagraph"/>
              <w:rPr>
                <w:sz w:val="20"/>
              </w:rPr>
            </w:pPr>
            <w:r w:rsidRPr="00D8311C">
              <w:rPr>
                <w:sz w:val="20"/>
              </w:rPr>
              <w:t>RCO41</w:t>
            </w:r>
          </w:p>
        </w:tc>
        <w:tc>
          <w:tcPr>
            <w:tcW w:w="3901" w:type="dxa"/>
          </w:tcPr>
          <w:p w14:paraId="6C57F7D3" w14:textId="77777777" w:rsidR="00DD13BF" w:rsidRPr="005A28BA" w:rsidRDefault="00DD13BF" w:rsidP="00355A56">
            <w:pPr>
              <w:pStyle w:val="TableParagraph"/>
              <w:rPr>
                <w:sz w:val="20"/>
              </w:rPr>
            </w:pPr>
            <w:r w:rsidRPr="005A28BA">
              <w:rPr>
                <w:sz w:val="20"/>
              </w:rPr>
              <w:t>Additional dwellings with broadband access of very high capacity</w:t>
            </w:r>
          </w:p>
        </w:tc>
        <w:tc>
          <w:tcPr>
            <w:tcW w:w="1559" w:type="dxa"/>
          </w:tcPr>
          <w:p w14:paraId="05CB5A3C" w14:textId="77777777" w:rsidR="00DD13BF" w:rsidRDefault="00DD13BF" w:rsidP="00355A56">
            <w:pPr>
              <w:pStyle w:val="TableParagraph"/>
              <w:rPr>
                <w:sz w:val="20"/>
              </w:rPr>
            </w:pPr>
            <w:r>
              <w:rPr>
                <w:sz w:val="20"/>
              </w:rPr>
              <w:t>dwellings</w:t>
            </w:r>
          </w:p>
        </w:tc>
        <w:tc>
          <w:tcPr>
            <w:tcW w:w="1418" w:type="dxa"/>
          </w:tcPr>
          <w:p w14:paraId="65515795" w14:textId="77777777" w:rsidR="00DD13BF" w:rsidRPr="0096258C" w:rsidRDefault="00DD13BF" w:rsidP="00355A56">
            <w:pPr>
              <w:pStyle w:val="TableParagraph"/>
              <w:rPr>
                <w:sz w:val="20"/>
              </w:rPr>
            </w:pPr>
            <w:r>
              <w:rPr>
                <w:sz w:val="20"/>
              </w:rPr>
              <w:t>122</w:t>
            </w:r>
          </w:p>
        </w:tc>
        <w:tc>
          <w:tcPr>
            <w:tcW w:w="1134" w:type="dxa"/>
          </w:tcPr>
          <w:p w14:paraId="7C99DA46" w14:textId="77777777" w:rsidR="00DD13BF" w:rsidRPr="0096258C" w:rsidRDefault="00DD13BF" w:rsidP="00355A56">
            <w:pPr>
              <w:pStyle w:val="TableParagraph"/>
              <w:rPr>
                <w:sz w:val="20"/>
              </w:rPr>
            </w:pPr>
            <w:r>
              <w:rPr>
                <w:sz w:val="20"/>
              </w:rPr>
              <w:t>2,439</w:t>
            </w:r>
          </w:p>
        </w:tc>
      </w:tr>
    </w:tbl>
    <w:p w14:paraId="7E83FC68" w14:textId="77777777" w:rsidR="00DD13BF" w:rsidRDefault="00DD13BF" w:rsidP="00DD13BF">
      <w:pPr>
        <w:rPr>
          <w:sz w:val="24"/>
        </w:rPr>
      </w:pPr>
    </w:p>
    <w:p w14:paraId="28772728" w14:textId="77777777" w:rsidR="00DD13BF" w:rsidRDefault="00DD13BF" w:rsidP="00DD13BF">
      <w:pPr>
        <w:ind w:left="379"/>
      </w:pPr>
      <w:r>
        <w:rPr>
          <w:spacing w:val="-6"/>
        </w:rPr>
        <w:t>Table 3:</w:t>
      </w:r>
      <w:r>
        <w:rPr>
          <w:spacing w:val="-7"/>
        </w:rPr>
        <w:t xml:space="preserve"> Result indicators</w:t>
      </w:r>
    </w:p>
    <w:p w14:paraId="7E25E94B" w14:textId="77777777" w:rsidR="00DD13BF" w:rsidRDefault="00DD13BF" w:rsidP="00DD13BF">
      <w:pPr>
        <w:rPr>
          <w:sz w:val="21"/>
        </w:rPr>
      </w:pPr>
    </w:p>
    <w:tbl>
      <w:tblPr>
        <w:tblStyle w:val="NormalTable0"/>
        <w:tblW w:w="13754"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84"/>
        <w:gridCol w:w="992"/>
        <w:gridCol w:w="658"/>
        <w:gridCol w:w="1625"/>
        <w:gridCol w:w="850"/>
        <w:gridCol w:w="1669"/>
        <w:gridCol w:w="1213"/>
        <w:gridCol w:w="1033"/>
        <w:gridCol w:w="962"/>
        <w:gridCol w:w="681"/>
        <w:gridCol w:w="1716"/>
        <w:gridCol w:w="1371"/>
      </w:tblGrid>
      <w:tr w:rsidR="00DD13BF" w:rsidRPr="00230DD7" w14:paraId="6E16B844" w14:textId="77777777" w:rsidTr="00355A56">
        <w:trPr>
          <w:trHeight w:val="353"/>
        </w:trPr>
        <w:tc>
          <w:tcPr>
            <w:tcW w:w="983" w:type="dxa"/>
          </w:tcPr>
          <w:p w14:paraId="0F73D231" w14:textId="77777777" w:rsidR="00DD13BF" w:rsidRPr="00230DD7" w:rsidRDefault="00DD13BF" w:rsidP="00355A56">
            <w:pPr>
              <w:pStyle w:val="TableParagraph"/>
            </w:pPr>
            <w:r>
              <w:t>Priority</w:t>
            </w:r>
          </w:p>
        </w:tc>
        <w:tc>
          <w:tcPr>
            <w:tcW w:w="992" w:type="dxa"/>
          </w:tcPr>
          <w:p w14:paraId="695363A9" w14:textId="77777777" w:rsidR="00DD13BF" w:rsidRPr="00230DD7" w:rsidRDefault="00DD13BF" w:rsidP="00355A56">
            <w:pPr>
              <w:pStyle w:val="TableParagraph"/>
            </w:pPr>
            <w:r>
              <w:t>Specific objective</w:t>
            </w:r>
          </w:p>
        </w:tc>
        <w:tc>
          <w:tcPr>
            <w:tcW w:w="658" w:type="dxa"/>
          </w:tcPr>
          <w:p w14:paraId="3F233DA2" w14:textId="77777777" w:rsidR="00DD13BF" w:rsidRPr="00230DD7" w:rsidRDefault="00DD13BF" w:rsidP="00355A56">
            <w:pPr>
              <w:pStyle w:val="TableParagraph"/>
            </w:pPr>
            <w:r>
              <w:t>Fund</w:t>
            </w:r>
          </w:p>
        </w:tc>
        <w:tc>
          <w:tcPr>
            <w:tcW w:w="1625" w:type="dxa"/>
          </w:tcPr>
          <w:p w14:paraId="460057A1" w14:textId="77777777" w:rsidR="00DD13BF" w:rsidRPr="00230DD7" w:rsidRDefault="00DD13BF" w:rsidP="00355A56">
            <w:pPr>
              <w:pStyle w:val="TableParagraph"/>
            </w:pPr>
            <w:r>
              <w:t>Category of region</w:t>
            </w:r>
          </w:p>
        </w:tc>
        <w:tc>
          <w:tcPr>
            <w:tcW w:w="850" w:type="dxa"/>
          </w:tcPr>
          <w:p w14:paraId="162E84EC" w14:textId="77777777" w:rsidR="00DD13BF" w:rsidRPr="00230DD7" w:rsidRDefault="00DD13BF" w:rsidP="00355A56">
            <w:pPr>
              <w:pStyle w:val="TableParagraph"/>
            </w:pPr>
            <w:r w:rsidRPr="00230DD7">
              <w:t>ID</w:t>
            </w:r>
          </w:p>
        </w:tc>
        <w:tc>
          <w:tcPr>
            <w:tcW w:w="0" w:type="auto"/>
          </w:tcPr>
          <w:p w14:paraId="11AE0583" w14:textId="77777777" w:rsidR="00DD13BF" w:rsidRPr="00230DD7" w:rsidRDefault="00DD13BF" w:rsidP="00355A56">
            <w:pPr>
              <w:pStyle w:val="TableParagraph"/>
            </w:pPr>
            <w:r>
              <w:t>Indicator</w:t>
            </w:r>
          </w:p>
        </w:tc>
        <w:tc>
          <w:tcPr>
            <w:tcW w:w="988" w:type="dxa"/>
          </w:tcPr>
          <w:p w14:paraId="5C1639C5" w14:textId="77777777" w:rsidR="00DD13BF" w:rsidRPr="00230DD7" w:rsidRDefault="00DD13BF" w:rsidP="00355A56">
            <w:pPr>
              <w:pStyle w:val="TableParagraph"/>
            </w:pPr>
            <w:r>
              <w:t>Measurement unit</w:t>
            </w:r>
          </w:p>
        </w:tc>
        <w:tc>
          <w:tcPr>
            <w:tcW w:w="0" w:type="auto"/>
          </w:tcPr>
          <w:p w14:paraId="5BB329D5" w14:textId="77777777" w:rsidR="00DD13BF" w:rsidRPr="00230DD7" w:rsidRDefault="00DD13BF" w:rsidP="00355A56">
            <w:pPr>
              <w:pStyle w:val="TableParagraph"/>
            </w:pPr>
            <w:r>
              <w:t>Baseline or reference value</w:t>
            </w:r>
          </w:p>
        </w:tc>
        <w:tc>
          <w:tcPr>
            <w:tcW w:w="0" w:type="auto"/>
          </w:tcPr>
          <w:p w14:paraId="0358C678" w14:textId="77777777" w:rsidR="00DD13BF" w:rsidRPr="00230DD7" w:rsidRDefault="00DD13BF" w:rsidP="00355A56">
            <w:pPr>
              <w:pStyle w:val="TableParagraph"/>
            </w:pPr>
            <w:r>
              <w:t>Reference year</w:t>
            </w:r>
          </w:p>
        </w:tc>
        <w:tc>
          <w:tcPr>
            <w:tcW w:w="0" w:type="auto"/>
          </w:tcPr>
          <w:p w14:paraId="7FC2A742" w14:textId="77777777" w:rsidR="00DD13BF" w:rsidRPr="00230DD7" w:rsidRDefault="00DD13BF" w:rsidP="00355A56">
            <w:pPr>
              <w:pStyle w:val="TableParagraph"/>
            </w:pPr>
            <w:r>
              <w:t xml:space="preserve">Target </w:t>
            </w:r>
            <w:r w:rsidRPr="00230DD7">
              <w:t>(2029)</w:t>
            </w:r>
          </w:p>
        </w:tc>
        <w:tc>
          <w:tcPr>
            <w:tcW w:w="0" w:type="auto"/>
          </w:tcPr>
          <w:p w14:paraId="69977B9F" w14:textId="77777777" w:rsidR="00DD13BF" w:rsidRPr="00230DD7" w:rsidRDefault="00DD13BF" w:rsidP="00355A56">
            <w:pPr>
              <w:pStyle w:val="TableParagraph"/>
            </w:pPr>
            <w:r>
              <w:t>Source of data</w:t>
            </w:r>
          </w:p>
        </w:tc>
        <w:tc>
          <w:tcPr>
            <w:tcW w:w="1371" w:type="dxa"/>
          </w:tcPr>
          <w:p w14:paraId="736E6B49" w14:textId="77777777" w:rsidR="00DD13BF" w:rsidRPr="00230DD7" w:rsidRDefault="00DD13BF" w:rsidP="00355A56">
            <w:pPr>
              <w:pStyle w:val="TableParagraph"/>
              <w:rPr>
                <w:sz w:val="20"/>
              </w:rPr>
            </w:pPr>
            <w:r>
              <w:rPr>
                <w:sz w:val="20"/>
              </w:rPr>
              <w:t xml:space="preserve">Comments </w:t>
            </w:r>
          </w:p>
        </w:tc>
      </w:tr>
      <w:tr w:rsidR="00DD13BF" w:rsidRPr="00230DD7" w14:paraId="6A31F94D" w14:textId="77777777" w:rsidTr="00355A56">
        <w:trPr>
          <w:trHeight w:val="353"/>
        </w:trPr>
        <w:tc>
          <w:tcPr>
            <w:tcW w:w="983" w:type="dxa"/>
          </w:tcPr>
          <w:p w14:paraId="78A80681" w14:textId="77777777" w:rsidR="00DD13BF" w:rsidRPr="00230DD7" w:rsidRDefault="00DD13BF" w:rsidP="00355A56">
            <w:pPr>
              <w:pStyle w:val="TableParagraph"/>
              <w:rPr>
                <w:sz w:val="20"/>
              </w:rPr>
            </w:pPr>
            <w:r w:rsidRPr="00230DD7">
              <w:rPr>
                <w:sz w:val="20"/>
              </w:rPr>
              <w:lastRenderedPageBreak/>
              <w:t>2</w:t>
            </w:r>
          </w:p>
        </w:tc>
        <w:tc>
          <w:tcPr>
            <w:tcW w:w="992" w:type="dxa"/>
          </w:tcPr>
          <w:p w14:paraId="610E822A" w14:textId="77777777" w:rsidR="00DD13BF" w:rsidRPr="00230DD7" w:rsidRDefault="00DD13BF" w:rsidP="00355A56">
            <w:pPr>
              <w:pStyle w:val="TableParagraph"/>
              <w:rPr>
                <w:sz w:val="20"/>
              </w:rPr>
            </w:pPr>
            <w:r w:rsidRPr="005C3067">
              <w:rPr>
                <w:color w:val="000000"/>
                <w:sz w:val="20"/>
              </w:rPr>
              <w:t>RSO1.5</w:t>
            </w:r>
          </w:p>
        </w:tc>
        <w:tc>
          <w:tcPr>
            <w:tcW w:w="658" w:type="dxa"/>
          </w:tcPr>
          <w:p w14:paraId="04A4767A" w14:textId="77777777" w:rsidR="00DD13BF" w:rsidRPr="00230DD7" w:rsidRDefault="00DD13BF" w:rsidP="00355A56">
            <w:pPr>
              <w:pStyle w:val="TableParagraph"/>
              <w:rPr>
                <w:sz w:val="20"/>
              </w:rPr>
            </w:pPr>
            <w:r>
              <w:rPr>
                <w:sz w:val="20"/>
              </w:rPr>
              <w:t>E</w:t>
            </w:r>
            <w:r w:rsidRPr="00230DD7">
              <w:rPr>
                <w:sz w:val="20"/>
              </w:rPr>
              <w:t>R</w:t>
            </w:r>
            <w:r>
              <w:rPr>
                <w:sz w:val="20"/>
              </w:rPr>
              <w:t>DF</w:t>
            </w:r>
          </w:p>
        </w:tc>
        <w:tc>
          <w:tcPr>
            <w:tcW w:w="1625" w:type="dxa"/>
          </w:tcPr>
          <w:p w14:paraId="3461EB68" w14:textId="77777777" w:rsidR="00DD13BF" w:rsidRPr="00230DD7" w:rsidRDefault="00DD13BF" w:rsidP="00355A56">
            <w:pPr>
              <w:pStyle w:val="TableParagraph"/>
              <w:rPr>
                <w:sz w:val="20"/>
              </w:rPr>
            </w:pPr>
            <w:r>
              <w:rPr>
                <w:sz w:val="20"/>
              </w:rPr>
              <w:t xml:space="preserve">Less developed </w:t>
            </w:r>
          </w:p>
        </w:tc>
        <w:tc>
          <w:tcPr>
            <w:tcW w:w="850" w:type="dxa"/>
          </w:tcPr>
          <w:p w14:paraId="2B90BA64" w14:textId="77777777" w:rsidR="00DD13BF" w:rsidRPr="00230DD7" w:rsidRDefault="00DD13BF" w:rsidP="00355A56">
            <w:pPr>
              <w:pStyle w:val="TableParagraph"/>
              <w:rPr>
                <w:sz w:val="20"/>
              </w:rPr>
            </w:pPr>
            <w:r w:rsidRPr="00230DD7">
              <w:rPr>
                <w:sz w:val="20"/>
              </w:rPr>
              <w:t>RCR53</w:t>
            </w:r>
          </w:p>
        </w:tc>
        <w:tc>
          <w:tcPr>
            <w:tcW w:w="0" w:type="auto"/>
          </w:tcPr>
          <w:p w14:paraId="6A4B5E59" w14:textId="77777777" w:rsidR="00DD13BF" w:rsidRPr="00F4483D" w:rsidRDefault="00DD13BF" w:rsidP="00355A56">
            <w:pPr>
              <w:pStyle w:val="TableParagraph"/>
              <w:rPr>
                <w:sz w:val="20"/>
              </w:rPr>
            </w:pPr>
            <w:r w:rsidRPr="00F4483D">
              <w:rPr>
                <w:sz w:val="20"/>
              </w:rPr>
              <w:t>Dwellings with broadband subscriptions to a very high capacity network</w:t>
            </w:r>
          </w:p>
        </w:tc>
        <w:tc>
          <w:tcPr>
            <w:tcW w:w="988" w:type="dxa"/>
          </w:tcPr>
          <w:p w14:paraId="686F7C3C" w14:textId="77777777" w:rsidR="00DD13BF" w:rsidRPr="00230DD7" w:rsidRDefault="00DD13BF" w:rsidP="00355A56">
            <w:pPr>
              <w:pStyle w:val="TableParagraph"/>
              <w:rPr>
                <w:sz w:val="20"/>
              </w:rPr>
            </w:pPr>
            <w:r>
              <w:rPr>
                <w:sz w:val="20"/>
              </w:rPr>
              <w:t>dwellings</w:t>
            </w:r>
          </w:p>
        </w:tc>
        <w:tc>
          <w:tcPr>
            <w:tcW w:w="0" w:type="auto"/>
          </w:tcPr>
          <w:p w14:paraId="17FDE5F6" w14:textId="77777777" w:rsidR="00DD13BF" w:rsidRPr="00230DD7" w:rsidRDefault="00DD13BF" w:rsidP="00355A56">
            <w:pPr>
              <w:pStyle w:val="TableParagraph"/>
              <w:rPr>
                <w:sz w:val="20"/>
              </w:rPr>
            </w:pPr>
            <w:r w:rsidRPr="00230DD7">
              <w:rPr>
                <w:sz w:val="20"/>
              </w:rPr>
              <w:t xml:space="preserve">0 </w:t>
            </w:r>
          </w:p>
        </w:tc>
        <w:tc>
          <w:tcPr>
            <w:tcW w:w="0" w:type="auto"/>
          </w:tcPr>
          <w:p w14:paraId="026BD1E2" w14:textId="77777777" w:rsidR="00DD13BF" w:rsidRPr="00230DD7" w:rsidRDefault="00DD13BF" w:rsidP="00355A56">
            <w:pPr>
              <w:pStyle w:val="TableParagraph"/>
              <w:rPr>
                <w:sz w:val="20"/>
              </w:rPr>
            </w:pPr>
            <w:r w:rsidRPr="00230DD7">
              <w:rPr>
                <w:sz w:val="20"/>
              </w:rPr>
              <w:t>2022</w:t>
            </w:r>
          </w:p>
        </w:tc>
        <w:tc>
          <w:tcPr>
            <w:tcW w:w="0" w:type="auto"/>
          </w:tcPr>
          <w:p w14:paraId="7D5F7176" w14:textId="77777777" w:rsidR="00DD13BF" w:rsidRPr="00230DD7" w:rsidRDefault="00DD13BF" w:rsidP="00355A56">
            <w:pPr>
              <w:pStyle w:val="TableParagraph"/>
              <w:rPr>
                <w:sz w:val="20"/>
              </w:rPr>
            </w:pPr>
            <w:r>
              <w:rPr>
                <w:sz w:val="20"/>
              </w:rPr>
              <w:t>2.410</w:t>
            </w:r>
          </w:p>
        </w:tc>
        <w:tc>
          <w:tcPr>
            <w:tcW w:w="0" w:type="auto"/>
          </w:tcPr>
          <w:p w14:paraId="5190BC12" w14:textId="77777777" w:rsidR="00DD13BF" w:rsidRPr="00230DD7" w:rsidRDefault="00DD13BF" w:rsidP="00355A56">
            <w:pPr>
              <w:pStyle w:val="TableParagraph"/>
              <w:rPr>
                <w:sz w:val="20"/>
              </w:rPr>
            </w:pPr>
            <w:r>
              <w:rPr>
                <w:sz w:val="20"/>
              </w:rPr>
              <w:t>beneficiaries, Government Office for Digital Transformation</w:t>
            </w:r>
          </w:p>
        </w:tc>
        <w:tc>
          <w:tcPr>
            <w:tcW w:w="1371" w:type="dxa"/>
          </w:tcPr>
          <w:p w14:paraId="388BE737" w14:textId="77777777" w:rsidR="00DD13BF" w:rsidRPr="00230DD7" w:rsidRDefault="00DD13BF" w:rsidP="00355A56">
            <w:pPr>
              <w:pStyle w:val="TableParagraph"/>
              <w:rPr>
                <w:sz w:val="18"/>
                <w:szCs w:val="18"/>
              </w:rPr>
            </w:pPr>
            <w:r>
              <w:rPr>
                <w:sz w:val="18"/>
                <w:szCs w:val="18"/>
              </w:rPr>
              <w:t xml:space="preserve">The last round of testing of commercial interest showed there were altogether 108,000 white areas. The RRP will support broadband deployment for 8,500 white areas. Another round of testing of commercial interest is foreseen in the end of 2022. </w:t>
            </w:r>
          </w:p>
        </w:tc>
      </w:tr>
      <w:tr w:rsidR="00DD13BF" w:rsidRPr="00230DD7" w14:paraId="2DDF556B" w14:textId="77777777" w:rsidTr="00355A56">
        <w:trPr>
          <w:trHeight w:val="353"/>
        </w:trPr>
        <w:tc>
          <w:tcPr>
            <w:tcW w:w="983" w:type="dxa"/>
          </w:tcPr>
          <w:p w14:paraId="1A35F463" w14:textId="77777777" w:rsidR="00DD13BF" w:rsidRPr="00230DD7" w:rsidRDefault="00DD13BF" w:rsidP="00355A56">
            <w:pPr>
              <w:pStyle w:val="TableParagraph"/>
              <w:rPr>
                <w:sz w:val="20"/>
              </w:rPr>
            </w:pPr>
            <w:r w:rsidRPr="00230DD7">
              <w:rPr>
                <w:sz w:val="20"/>
              </w:rPr>
              <w:t>2</w:t>
            </w:r>
          </w:p>
        </w:tc>
        <w:tc>
          <w:tcPr>
            <w:tcW w:w="992" w:type="dxa"/>
          </w:tcPr>
          <w:p w14:paraId="22ED45A5" w14:textId="77777777" w:rsidR="00DD13BF" w:rsidRPr="00230DD7" w:rsidRDefault="00DD13BF" w:rsidP="00355A56">
            <w:pPr>
              <w:pStyle w:val="TableParagraph"/>
              <w:rPr>
                <w:sz w:val="20"/>
              </w:rPr>
            </w:pPr>
            <w:r w:rsidRPr="005C3067">
              <w:rPr>
                <w:color w:val="000000"/>
                <w:sz w:val="20"/>
              </w:rPr>
              <w:t>RSO1.5</w:t>
            </w:r>
          </w:p>
        </w:tc>
        <w:tc>
          <w:tcPr>
            <w:tcW w:w="658" w:type="dxa"/>
          </w:tcPr>
          <w:p w14:paraId="03958FF4" w14:textId="77777777" w:rsidR="00DD13BF" w:rsidRPr="00230DD7" w:rsidRDefault="00DD13BF" w:rsidP="00355A56">
            <w:pPr>
              <w:pStyle w:val="TableParagraph"/>
              <w:rPr>
                <w:sz w:val="20"/>
              </w:rPr>
            </w:pPr>
            <w:r>
              <w:rPr>
                <w:sz w:val="20"/>
              </w:rPr>
              <w:t>E</w:t>
            </w:r>
            <w:r w:rsidRPr="00230DD7">
              <w:rPr>
                <w:sz w:val="20"/>
              </w:rPr>
              <w:t>R</w:t>
            </w:r>
            <w:r>
              <w:rPr>
                <w:sz w:val="20"/>
              </w:rPr>
              <w:t>DF</w:t>
            </w:r>
          </w:p>
        </w:tc>
        <w:tc>
          <w:tcPr>
            <w:tcW w:w="1625" w:type="dxa"/>
          </w:tcPr>
          <w:p w14:paraId="1BC04249" w14:textId="77777777" w:rsidR="00DD13BF" w:rsidRPr="00230DD7" w:rsidRDefault="00DD13BF" w:rsidP="00355A56">
            <w:pPr>
              <w:pStyle w:val="TableParagraph"/>
              <w:rPr>
                <w:sz w:val="20"/>
              </w:rPr>
            </w:pPr>
            <w:r>
              <w:rPr>
                <w:sz w:val="20"/>
              </w:rPr>
              <w:t xml:space="preserve">More developed </w:t>
            </w:r>
          </w:p>
        </w:tc>
        <w:tc>
          <w:tcPr>
            <w:tcW w:w="850" w:type="dxa"/>
          </w:tcPr>
          <w:p w14:paraId="39BB984D" w14:textId="77777777" w:rsidR="00DD13BF" w:rsidRPr="00230DD7" w:rsidRDefault="00DD13BF" w:rsidP="00355A56">
            <w:pPr>
              <w:pStyle w:val="TableParagraph"/>
              <w:rPr>
                <w:sz w:val="20"/>
              </w:rPr>
            </w:pPr>
            <w:r w:rsidRPr="00230DD7">
              <w:rPr>
                <w:sz w:val="20"/>
              </w:rPr>
              <w:t>RCR53</w:t>
            </w:r>
          </w:p>
        </w:tc>
        <w:tc>
          <w:tcPr>
            <w:tcW w:w="0" w:type="auto"/>
          </w:tcPr>
          <w:p w14:paraId="6CCE9B23" w14:textId="77777777" w:rsidR="00DD13BF" w:rsidRPr="00230DD7" w:rsidRDefault="00DD13BF" w:rsidP="00355A56">
            <w:pPr>
              <w:pStyle w:val="TableParagraph"/>
              <w:rPr>
                <w:sz w:val="20"/>
              </w:rPr>
            </w:pPr>
            <w:r w:rsidRPr="00F4483D">
              <w:rPr>
                <w:sz w:val="20"/>
              </w:rPr>
              <w:t>Dwellings with broadband subscriptions to a very high capacity network</w:t>
            </w:r>
          </w:p>
        </w:tc>
        <w:tc>
          <w:tcPr>
            <w:tcW w:w="988" w:type="dxa"/>
          </w:tcPr>
          <w:p w14:paraId="4D226D66" w14:textId="77777777" w:rsidR="00DD13BF" w:rsidRPr="00230DD7" w:rsidRDefault="00DD13BF" w:rsidP="00355A56">
            <w:pPr>
              <w:pStyle w:val="TableParagraph"/>
              <w:rPr>
                <w:sz w:val="20"/>
              </w:rPr>
            </w:pPr>
            <w:r>
              <w:rPr>
                <w:sz w:val="20"/>
              </w:rPr>
              <w:t>dwellings</w:t>
            </w:r>
          </w:p>
        </w:tc>
        <w:tc>
          <w:tcPr>
            <w:tcW w:w="0" w:type="auto"/>
          </w:tcPr>
          <w:p w14:paraId="3CCBBA3F" w14:textId="77777777" w:rsidR="00DD13BF" w:rsidRPr="00230DD7" w:rsidRDefault="00DD13BF" w:rsidP="00355A56">
            <w:pPr>
              <w:pStyle w:val="TableParagraph"/>
              <w:rPr>
                <w:sz w:val="20"/>
              </w:rPr>
            </w:pPr>
            <w:r w:rsidRPr="00230DD7">
              <w:rPr>
                <w:sz w:val="20"/>
              </w:rPr>
              <w:t xml:space="preserve">0 </w:t>
            </w:r>
          </w:p>
        </w:tc>
        <w:tc>
          <w:tcPr>
            <w:tcW w:w="0" w:type="auto"/>
          </w:tcPr>
          <w:p w14:paraId="6EB4D4B5" w14:textId="77777777" w:rsidR="00DD13BF" w:rsidRPr="00230DD7" w:rsidRDefault="00DD13BF" w:rsidP="00355A56">
            <w:pPr>
              <w:pStyle w:val="TableParagraph"/>
              <w:rPr>
                <w:sz w:val="20"/>
              </w:rPr>
            </w:pPr>
            <w:r w:rsidRPr="00230DD7">
              <w:rPr>
                <w:sz w:val="20"/>
              </w:rPr>
              <w:t>2022</w:t>
            </w:r>
          </w:p>
        </w:tc>
        <w:tc>
          <w:tcPr>
            <w:tcW w:w="0" w:type="auto"/>
          </w:tcPr>
          <w:p w14:paraId="2A510B15" w14:textId="77777777" w:rsidR="00DD13BF" w:rsidRPr="00230DD7" w:rsidRDefault="00DD13BF" w:rsidP="00355A56">
            <w:pPr>
              <w:pStyle w:val="TableParagraph"/>
              <w:rPr>
                <w:sz w:val="20"/>
              </w:rPr>
            </w:pPr>
            <w:r>
              <w:rPr>
                <w:sz w:val="20"/>
              </w:rPr>
              <w:t>1,463</w:t>
            </w:r>
          </w:p>
        </w:tc>
        <w:tc>
          <w:tcPr>
            <w:tcW w:w="0" w:type="auto"/>
          </w:tcPr>
          <w:p w14:paraId="0222EAB1" w14:textId="77777777" w:rsidR="00DD13BF" w:rsidRPr="00230DD7" w:rsidRDefault="00DD13BF" w:rsidP="00355A56">
            <w:pPr>
              <w:pStyle w:val="TableParagraph"/>
              <w:rPr>
                <w:sz w:val="20"/>
              </w:rPr>
            </w:pPr>
            <w:r>
              <w:rPr>
                <w:sz w:val="20"/>
              </w:rPr>
              <w:t>beneficiaries, Government Office for Digital Transformation</w:t>
            </w:r>
          </w:p>
        </w:tc>
        <w:tc>
          <w:tcPr>
            <w:tcW w:w="1371" w:type="dxa"/>
          </w:tcPr>
          <w:p w14:paraId="10923569" w14:textId="77777777" w:rsidR="00DD13BF" w:rsidRPr="00230DD7" w:rsidRDefault="00DD13BF" w:rsidP="00355A56">
            <w:pPr>
              <w:pStyle w:val="TableParagraph"/>
              <w:rPr>
                <w:sz w:val="18"/>
                <w:szCs w:val="18"/>
              </w:rPr>
            </w:pPr>
            <w:r>
              <w:rPr>
                <w:sz w:val="18"/>
                <w:szCs w:val="18"/>
              </w:rPr>
              <w:t>The last round of testing of commercial interest showed there were altogether 108,000 white areas. The RRP will support broadband deployment for 8,500 white areas. Another round of testing of commercial interest is foreseen in the end of 2022.</w:t>
            </w:r>
          </w:p>
          <w:p w14:paraId="5417BDF5" w14:textId="77777777" w:rsidR="00DD13BF" w:rsidRPr="00230DD7" w:rsidRDefault="00DD13BF" w:rsidP="00355A56">
            <w:pPr>
              <w:pStyle w:val="TableParagraph"/>
              <w:rPr>
                <w:sz w:val="18"/>
                <w:szCs w:val="18"/>
              </w:rPr>
            </w:pPr>
          </w:p>
        </w:tc>
      </w:tr>
    </w:tbl>
    <w:p w14:paraId="6BDCB58C" w14:textId="77777777" w:rsidR="00DD13BF" w:rsidRPr="00F81084" w:rsidRDefault="00DD13BF" w:rsidP="00DD13BF">
      <w:pPr>
        <w:pStyle w:val="Telobesedila"/>
      </w:pPr>
    </w:p>
    <w:p w14:paraId="0D2DA73C" w14:textId="77777777" w:rsidR="00DD13BF" w:rsidRPr="00F81084" w:rsidRDefault="00DD13BF" w:rsidP="00DD13BF">
      <w:pPr>
        <w:pStyle w:val="Telobesedila"/>
      </w:pPr>
    </w:p>
    <w:p w14:paraId="2B756783" w14:textId="77777777" w:rsidR="00DD13BF" w:rsidRDefault="00DD13BF" w:rsidP="00DD13BF">
      <w:pPr>
        <w:pStyle w:val="Naslov5"/>
        <w:spacing w:before="0"/>
      </w:pPr>
      <w:r>
        <w:t>Indicative breakdown of the programme resources (EU) by type of intervention</w:t>
      </w:r>
      <w:r>
        <w:rPr>
          <w:spacing w:val="-4"/>
        </w:rPr>
        <w:t xml:space="preserve"> </w:t>
      </w:r>
    </w:p>
    <w:p w14:paraId="5210E7B4" w14:textId="77777777" w:rsidR="00DD13BF" w:rsidRDefault="00DD13BF" w:rsidP="00DD13BF">
      <w:pPr>
        <w:ind w:left="339"/>
        <w:rPr>
          <w:spacing w:val="-7"/>
        </w:rPr>
      </w:pPr>
    </w:p>
    <w:p w14:paraId="6D95B96F" w14:textId="77777777" w:rsidR="00DD13BF" w:rsidRPr="00673ADB" w:rsidRDefault="00DD13BF" w:rsidP="00DD13BF">
      <w:pPr>
        <w:ind w:left="339"/>
        <w:rPr>
          <w:spacing w:val="-7"/>
        </w:rPr>
      </w:pPr>
      <w:r>
        <w:rPr>
          <w:spacing w:val="-7"/>
        </w:rPr>
        <w:t xml:space="preserve">Table </w:t>
      </w:r>
      <w:r w:rsidRPr="00673ADB">
        <w:rPr>
          <w:spacing w:val="-7"/>
        </w:rPr>
        <w:t xml:space="preserve">4: </w:t>
      </w:r>
      <w:r>
        <w:rPr>
          <w:spacing w:val="-7"/>
        </w:rPr>
        <w:t xml:space="preserve">Dimension </w:t>
      </w:r>
      <w:r w:rsidRPr="00673ADB">
        <w:rPr>
          <w:spacing w:val="-7"/>
        </w:rPr>
        <w:t xml:space="preserve">1 – </w:t>
      </w:r>
      <w:r>
        <w:rPr>
          <w:spacing w:val="-7"/>
        </w:rPr>
        <w:t xml:space="preserve">intervention field </w:t>
      </w:r>
    </w:p>
    <w:p w14:paraId="23F7B76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1FD9F2B" w14:textId="77777777" w:rsidTr="00355A56">
        <w:trPr>
          <w:trHeight w:val="353"/>
        </w:trPr>
        <w:tc>
          <w:tcPr>
            <w:tcW w:w="2088" w:type="dxa"/>
          </w:tcPr>
          <w:p w14:paraId="7142FF58" w14:textId="77777777" w:rsidR="00DD13BF" w:rsidRDefault="00DD13BF" w:rsidP="00355A56">
            <w:pPr>
              <w:pStyle w:val="TableParagraph"/>
              <w:ind w:left="115"/>
              <w:jc w:val="center"/>
            </w:pPr>
            <w:r>
              <w:rPr>
                <w:spacing w:val="-2"/>
              </w:rPr>
              <w:t>Priority No</w:t>
            </w:r>
          </w:p>
        </w:tc>
        <w:tc>
          <w:tcPr>
            <w:tcW w:w="1133" w:type="dxa"/>
          </w:tcPr>
          <w:p w14:paraId="324ABD85" w14:textId="77777777" w:rsidR="00DD13BF" w:rsidRDefault="00DD13BF" w:rsidP="00355A56">
            <w:pPr>
              <w:pStyle w:val="TableParagraph"/>
              <w:ind w:left="320"/>
            </w:pPr>
            <w:r>
              <w:t>Fund</w:t>
            </w:r>
          </w:p>
        </w:tc>
        <w:tc>
          <w:tcPr>
            <w:tcW w:w="3249" w:type="dxa"/>
          </w:tcPr>
          <w:p w14:paraId="7855562E" w14:textId="77777777" w:rsidR="00DD13BF" w:rsidRDefault="00DD13BF" w:rsidP="00355A56">
            <w:pPr>
              <w:pStyle w:val="TableParagraph"/>
              <w:ind w:left="907"/>
            </w:pPr>
            <w:r>
              <w:rPr>
                <w:spacing w:val="-3"/>
              </w:rPr>
              <w:t>Category of region</w:t>
            </w:r>
          </w:p>
        </w:tc>
        <w:tc>
          <w:tcPr>
            <w:tcW w:w="3099" w:type="dxa"/>
          </w:tcPr>
          <w:p w14:paraId="7CD80BC2" w14:textId="77777777" w:rsidR="00DD13BF" w:rsidRDefault="00DD13BF" w:rsidP="00355A56">
            <w:pPr>
              <w:pStyle w:val="TableParagraph"/>
              <w:ind w:left="948"/>
            </w:pPr>
            <w:r>
              <w:rPr>
                <w:spacing w:val="-4"/>
              </w:rPr>
              <w:t>Specific objective</w:t>
            </w:r>
          </w:p>
        </w:tc>
        <w:tc>
          <w:tcPr>
            <w:tcW w:w="1161" w:type="dxa"/>
          </w:tcPr>
          <w:p w14:paraId="074804CC" w14:textId="77777777" w:rsidR="00DD13BF" w:rsidRDefault="00DD13BF" w:rsidP="00355A56">
            <w:pPr>
              <w:pStyle w:val="TableParagraph"/>
              <w:ind w:left="333"/>
            </w:pPr>
            <w:r>
              <w:t>Code</w:t>
            </w:r>
          </w:p>
        </w:tc>
        <w:tc>
          <w:tcPr>
            <w:tcW w:w="2731" w:type="dxa"/>
          </w:tcPr>
          <w:p w14:paraId="70ECA833" w14:textId="77777777" w:rsidR="00DD13BF" w:rsidRDefault="00DD13BF" w:rsidP="00355A56">
            <w:pPr>
              <w:pStyle w:val="TableParagraph"/>
              <w:ind w:left="660"/>
            </w:pPr>
            <w:r>
              <w:t>Amount (EUR)</w:t>
            </w:r>
          </w:p>
        </w:tc>
      </w:tr>
      <w:tr w:rsidR="00DD13BF" w14:paraId="32340511" w14:textId="77777777" w:rsidTr="00355A56">
        <w:trPr>
          <w:trHeight w:val="353"/>
        </w:trPr>
        <w:tc>
          <w:tcPr>
            <w:tcW w:w="2088" w:type="dxa"/>
          </w:tcPr>
          <w:p w14:paraId="39D00B2A" w14:textId="77777777" w:rsidR="00DD13BF" w:rsidRDefault="00DD13BF" w:rsidP="00355A56">
            <w:pPr>
              <w:pStyle w:val="TableParagraph"/>
              <w:rPr>
                <w:sz w:val="20"/>
              </w:rPr>
            </w:pPr>
            <w:r>
              <w:rPr>
                <w:sz w:val="20"/>
              </w:rPr>
              <w:lastRenderedPageBreak/>
              <w:t>2</w:t>
            </w:r>
          </w:p>
        </w:tc>
        <w:tc>
          <w:tcPr>
            <w:tcW w:w="1133" w:type="dxa"/>
          </w:tcPr>
          <w:p w14:paraId="7D491C3A"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78CCD254" w14:textId="77777777" w:rsidR="00DD13BF" w:rsidRDefault="00DD13BF" w:rsidP="00355A56">
            <w:pPr>
              <w:pStyle w:val="TableParagraph"/>
              <w:rPr>
                <w:sz w:val="20"/>
              </w:rPr>
            </w:pPr>
            <w:r>
              <w:rPr>
                <w:sz w:val="20"/>
              </w:rPr>
              <w:t xml:space="preserve">Less developed </w:t>
            </w:r>
          </w:p>
        </w:tc>
        <w:tc>
          <w:tcPr>
            <w:tcW w:w="3099" w:type="dxa"/>
          </w:tcPr>
          <w:p w14:paraId="64ADEB0E" w14:textId="77777777" w:rsidR="00DD13BF" w:rsidRDefault="00DD13BF" w:rsidP="00355A56">
            <w:pPr>
              <w:pStyle w:val="TableParagraph"/>
              <w:rPr>
                <w:sz w:val="20"/>
              </w:rPr>
            </w:pPr>
            <w:r w:rsidRPr="004F4315">
              <w:rPr>
                <w:color w:val="000000"/>
                <w:sz w:val="20"/>
              </w:rPr>
              <w:t>RSO1.5</w:t>
            </w:r>
          </w:p>
        </w:tc>
        <w:tc>
          <w:tcPr>
            <w:tcW w:w="1161" w:type="dxa"/>
          </w:tcPr>
          <w:p w14:paraId="7F1F72BD" w14:textId="77777777" w:rsidR="00DD13BF" w:rsidRDefault="00DD13BF" w:rsidP="00355A56">
            <w:pPr>
              <w:pStyle w:val="TableParagraph"/>
              <w:rPr>
                <w:sz w:val="20"/>
              </w:rPr>
            </w:pPr>
            <w:r>
              <w:rPr>
                <w:sz w:val="20"/>
              </w:rPr>
              <w:t>034</w:t>
            </w:r>
          </w:p>
        </w:tc>
        <w:tc>
          <w:tcPr>
            <w:tcW w:w="2731" w:type="dxa"/>
          </w:tcPr>
          <w:p w14:paraId="7481CA1F" w14:textId="77777777" w:rsidR="00DD13BF" w:rsidRDefault="00DD13BF" w:rsidP="00355A56">
            <w:pPr>
              <w:pStyle w:val="TableParagraph"/>
              <w:rPr>
                <w:sz w:val="20"/>
              </w:rPr>
            </w:pPr>
            <w:r>
              <w:rPr>
                <w:sz w:val="20"/>
              </w:rPr>
              <w:t>13,650,000.00</w:t>
            </w:r>
          </w:p>
        </w:tc>
      </w:tr>
      <w:tr w:rsidR="00DD13BF" w14:paraId="6A21A5C8" w14:textId="77777777" w:rsidTr="00355A56">
        <w:trPr>
          <w:trHeight w:val="353"/>
        </w:trPr>
        <w:tc>
          <w:tcPr>
            <w:tcW w:w="2088" w:type="dxa"/>
          </w:tcPr>
          <w:p w14:paraId="10B3361E" w14:textId="77777777" w:rsidR="00DD13BF" w:rsidRDefault="00DD13BF" w:rsidP="00355A56">
            <w:pPr>
              <w:pStyle w:val="TableParagraph"/>
              <w:rPr>
                <w:sz w:val="20"/>
              </w:rPr>
            </w:pPr>
            <w:r>
              <w:rPr>
                <w:sz w:val="20"/>
              </w:rPr>
              <w:t>2</w:t>
            </w:r>
          </w:p>
        </w:tc>
        <w:tc>
          <w:tcPr>
            <w:tcW w:w="1133" w:type="dxa"/>
          </w:tcPr>
          <w:p w14:paraId="462FE7AD"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36D7BC54" w14:textId="77777777" w:rsidR="00DD13BF" w:rsidRDefault="00DD13BF" w:rsidP="00355A56">
            <w:pPr>
              <w:pStyle w:val="TableParagraph"/>
              <w:rPr>
                <w:sz w:val="20"/>
              </w:rPr>
            </w:pPr>
            <w:r>
              <w:rPr>
                <w:sz w:val="20"/>
              </w:rPr>
              <w:t xml:space="preserve">More developed </w:t>
            </w:r>
          </w:p>
        </w:tc>
        <w:tc>
          <w:tcPr>
            <w:tcW w:w="3099" w:type="dxa"/>
          </w:tcPr>
          <w:p w14:paraId="0D60AC40" w14:textId="77777777" w:rsidR="00DD13BF" w:rsidRDefault="00DD13BF" w:rsidP="00355A56">
            <w:pPr>
              <w:pStyle w:val="TableParagraph"/>
              <w:rPr>
                <w:sz w:val="20"/>
              </w:rPr>
            </w:pPr>
            <w:r w:rsidRPr="004F4315">
              <w:rPr>
                <w:color w:val="000000"/>
                <w:sz w:val="20"/>
              </w:rPr>
              <w:t>RSO1.5</w:t>
            </w:r>
          </w:p>
        </w:tc>
        <w:tc>
          <w:tcPr>
            <w:tcW w:w="1161" w:type="dxa"/>
          </w:tcPr>
          <w:p w14:paraId="50BCBC89" w14:textId="77777777" w:rsidR="00DD13BF" w:rsidRDefault="00DD13BF" w:rsidP="00355A56">
            <w:pPr>
              <w:pStyle w:val="TableParagraph"/>
              <w:rPr>
                <w:sz w:val="20"/>
              </w:rPr>
            </w:pPr>
            <w:r>
              <w:rPr>
                <w:sz w:val="20"/>
              </w:rPr>
              <w:t>034</w:t>
            </w:r>
          </w:p>
        </w:tc>
        <w:tc>
          <w:tcPr>
            <w:tcW w:w="2731" w:type="dxa"/>
          </w:tcPr>
          <w:p w14:paraId="7399B0D4" w14:textId="77777777" w:rsidR="00DD13BF" w:rsidRDefault="00DD13BF" w:rsidP="00355A56">
            <w:pPr>
              <w:pStyle w:val="TableParagraph"/>
              <w:rPr>
                <w:sz w:val="20"/>
              </w:rPr>
            </w:pPr>
            <w:r>
              <w:rPr>
                <w:sz w:val="20"/>
              </w:rPr>
              <w:t>3,415,620.00</w:t>
            </w:r>
          </w:p>
        </w:tc>
      </w:tr>
      <w:tr w:rsidR="00DD13BF" w14:paraId="218A094F" w14:textId="77777777" w:rsidTr="00355A56">
        <w:trPr>
          <w:trHeight w:val="353"/>
        </w:trPr>
        <w:tc>
          <w:tcPr>
            <w:tcW w:w="2088" w:type="dxa"/>
          </w:tcPr>
          <w:p w14:paraId="27E1D1BC" w14:textId="77777777" w:rsidR="00DD13BF" w:rsidRDefault="00DD13BF" w:rsidP="00355A56">
            <w:pPr>
              <w:pStyle w:val="TableParagraph"/>
              <w:rPr>
                <w:sz w:val="20"/>
              </w:rPr>
            </w:pPr>
            <w:r>
              <w:rPr>
                <w:sz w:val="20"/>
              </w:rPr>
              <w:t>2</w:t>
            </w:r>
          </w:p>
        </w:tc>
        <w:tc>
          <w:tcPr>
            <w:tcW w:w="1133" w:type="dxa"/>
          </w:tcPr>
          <w:p w14:paraId="1D37D83D"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026F65D2" w14:textId="77777777" w:rsidR="00DD13BF" w:rsidRDefault="00DD13BF" w:rsidP="00355A56">
            <w:pPr>
              <w:pStyle w:val="TableParagraph"/>
              <w:rPr>
                <w:sz w:val="20"/>
              </w:rPr>
            </w:pPr>
            <w:r>
              <w:rPr>
                <w:sz w:val="20"/>
              </w:rPr>
              <w:t xml:space="preserve">Less developed </w:t>
            </w:r>
          </w:p>
        </w:tc>
        <w:tc>
          <w:tcPr>
            <w:tcW w:w="3099" w:type="dxa"/>
          </w:tcPr>
          <w:p w14:paraId="06A1CB9C" w14:textId="77777777" w:rsidR="00DD13BF" w:rsidRDefault="00DD13BF" w:rsidP="00355A56">
            <w:pPr>
              <w:pStyle w:val="TableParagraph"/>
              <w:rPr>
                <w:sz w:val="20"/>
              </w:rPr>
            </w:pPr>
            <w:r w:rsidRPr="004F4315">
              <w:rPr>
                <w:color w:val="000000"/>
                <w:sz w:val="20"/>
              </w:rPr>
              <w:t>RSO1.5</w:t>
            </w:r>
          </w:p>
        </w:tc>
        <w:tc>
          <w:tcPr>
            <w:tcW w:w="1161" w:type="dxa"/>
          </w:tcPr>
          <w:p w14:paraId="080CDA7F" w14:textId="77777777" w:rsidR="00DD13BF" w:rsidRDefault="00DD13BF" w:rsidP="00355A56">
            <w:pPr>
              <w:pStyle w:val="TableParagraph"/>
              <w:rPr>
                <w:sz w:val="20"/>
              </w:rPr>
            </w:pPr>
            <w:r>
              <w:rPr>
                <w:sz w:val="20"/>
              </w:rPr>
              <w:t>035</w:t>
            </w:r>
          </w:p>
        </w:tc>
        <w:tc>
          <w:tcPr>
            <w:tcW w:w="2731" w:type="dxa"/>
          </w:tcPr>
          <w:p w14:paraId="7026F4CB" w14:textId="77777777" w:rsidR="00DD13BF" w:rsidRDefault="00DD13BF" w:rsidP="00355A56">
            <w:pPr>
              <w:pStyle w:val="TableParagraph"/>
              <w:rPr>
                <w:sz w:val="20"/>
              </w:rPr>
            </w:pPr>
            <w:r>
              <w:rPr>
                <w:sz w:val="20"/>
              </w:rPr>
              <w:t>1,934,000</w:t>
            </w:r>
          </w:p>
        </w:tc>
      </w:tr>
      <w:tr w:rsidR="00DD13BF" w14:paraId="37DC7413" w14:textId="77777777" w:rsidTr="00355A56">
        <w:trPr>
          <w:trHeight w:val="353"/>
        </w:trPr>
        <w:tc>
          <w:tcPr>
            <w:tcW w:w="2088" w:type="dxa"/>
          </w:tcPr>
          <w:p w14:paraId="4793EE7F" w14:textId="77777777" w:rsidR="00DD13BF" w:rsidRDefault="00DD13BF" w:rsidP="00355A56">
            <w:pPr>
              <w:pStyle w:val="TableParagraph"/>
              <w:rPr>
                <w:sz w:val="20"/>
              </w:rPr>
            </w:pPr>
            <w:r>
              <w:rPr>
                <w:sz w:val="20"/>
              </w:rPr>
              <w:t>2</w:t>
            </w:r>
          </w:p>
        </w:tc>
        <w:tc>
          <w:tcPr>
            <w:tcW w:w="1133" w:type="dxa"/>
          </w:tcPr>
          <w:p w14:paraId="11314CF7"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2B625681" w14:textId="77777777" w:rsidR="00DD13BF" w:rsidRDefault="00DD13BF" w:rsidP="00355A56">
            <w:pPr>
              <w:pStyle w:val="TableParagraph"/>
              <w:rPr>
                <w:sz w:val="20"/>
              </w:rPr>
            </w:pPr>
            <w:r>
              <w:rPr>
                <w:sz w:val="20"/>
              </w:rPr>
              <w:t xml:space="preserve">More developed </w:t>
            </w:r>
          </w:p>
        </w:tc>
        <w:tc>
          <w:tcPr>
            <w:tcW w:w="3099" w:type="dxa"/>
          </w:tcPr>
          <w:p w14:paraId="769D643B" w14:textId="77777777" w:rsidR="00DD13BF" w:rsidRDefault="00DD13BF" w:rsidP="00355A56">
            <w:pPr>
              <w:pStyle w:val="TableParagraph"/>
              <w:rPr>
                <w:sz w:val="20"/>
              </w:rPr>
            </w:pPr>
            <w:r w:rsidRPr="004F4315">
              <w:rPr>
                <w:color w:val="000000"/>
                <w:sz w:val="20"/>
              </w:rPr>
              <w:t>RSO1.5</w:t>
            </w:r>
          </w:p>
        </w:tc>
        <w:tc>
          <w:tcPr>
            <w:tcW w:w="1161" w:type="dxa"/>
          </w:tcPr>
          <w:p w14:paraId="0F1B35AE" w14:textId="77777777" w:rsidR="00DD13BF" w:rsidRDefault="00DD13BF" w:rsidP="00355A56">
            <w:pPr>
              <w:pStyle w:val="TableParagraph"/>
              <w:rPr>
                <w:sz w:val="20"/>
              </w:rPr>
            </w:pPr>
            <w:r>
              <w:rPr>
                <w:sz w:val="20"/>
              </w:rPr>
              <w:t>035</w:t>
            </w:r>
          </w:p>
        </w:tc>
        <w:tc>
          <w:tcPr>
            <w:tcW w:w="2731" w:type="dxa"/>
          </w:tcPr>
          <w:p w14:paraId="21E70CA2" w14:textId="77777777" w:rsidR="00DD13BF" w:rsidRDefault="00DD13BF" w:rsidP="00355A56">
            <w:pPr>
              <w:pStyle w:val="TableParagraph"/>
              <w:rPr>
                <w:sz w:val="20"/>
              </w:rPr>
            </w:pPr>
            <w:r>
              <w:rPr>
                <w:sz w:val="20"/>
              </w:rPr>
              <w:t>663,124</w:t>
            </w:r>
          </w:p>
        </w:tc>
      </w:tr>
    </w:tbl>
    <w:p w14:paraId="1F5DD2D9" w14:textId="77777777" w:rsidR="00DD13BF" w:rsidRDefault="00DD13BF" w:rsidP="00DD13BF"/>
    <w:p w14:paraId="6D6E8F6B" w14:textId="77777777" w:rsidR="00DD13BF" w:rsidRPr="00673ADB" w:rsidRDefault="00DD13BF" w:rsidP="00DD13BF">
      <w:pPr>
        <w:ind w:left="339"/>
        <w:rPr>
          <w:spacing w:val="-7"/>
        </w:rPr>
      </w:pPr>
      <w:r>
        <w:rPr>
          <w:spacing w:val="-7"/>
        </w:rPr>
        <w:t xml:space="preserve">Table </w:t>
      </w:r>
      <w:r w:rsidRPr="00673ADB">
        <w:rPr>
          <w:spacing w:val="-7"/>
        </w:rPr>
        <w:t>5:</w:t>
      </w:r>
      <w:r>
        <w:rPr>
          <w:spacing w:val="-7"/>
        </w:rPr>
        <w:t xml:space="preserve"> Dimension </w:t>
      </w:r>
      <w:r w:rsidRPr="00673ADB">
        <w:rPr>
          <w:spacing w:val="-7"/>
        </w:rPr>
        <w:t xml:space="preserve">2 – </w:t>
      </w:r>
      <w:r>
        <w:rPr>
          <w:spacing w:val="-7"/>
        </w:rPr>
        <w:t>form of financing</w:t>
      </w:r>
    </w:p>
    <w:p w14:paraId="4580EBBD"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7F8D16D3" w14:textId="77777777" w:rsidTr="00355A56">
        <w:trPr>
          <w:trHeight w:val="353"/>
        </w:trPr>
        <w:tc>
          <w:tcPr>
            <w:tcW w:w="2088" w:type="dxa"/>
          </w:tcPr>
          <w:p w14:paraId="7DE092D7" w14:textId="77777777" w:rsidR="00DD13BF" w:rsidRDefault="00DD13BF" w:rsidP="00355A56">
            <w:pPr>
              <w:pStyle w:val="TableParagraph"/>
              <w:ind w:left="115"/>
              <w:jc w:val="center"/>
            </w:pPr>
            <w:r>
              <w:rPr>
                <w:spacing w:val="-2"/>
              </w:rPr>
              <w:t>Priority No</w:t>
            </w:r>
          </w:p>
        </w:tc>
        <w:tc>
          <w:tcPr>
            <w:tcW w:w="1133" w:type="dxa"/>
          </w:tcPr>
          <w:p w14:paraId="2B6E3280" w14:textId="77777777" w:rsidR="00DD13BF" w:rsidRDefault="00DD13BF" w:rsidP="00355A56">
            <w:pPr>
              <w:pStyle w:val="TableParagraph"/>
              <w:ind w:left="320"/>
            </w:pPr>
            <w:r>
              <w:t>Fund</w:t>
            </w:r>
          </w:p>
        </w:tc>
        <w:tc>
          <w:tcPr>
            <w:tcW w:w="3249" w:type="dxa"/>
          </w:tcPr>
          <w:p w14:paraId="3D941DA9" w14:textId="77777777" w:rsidR="00DD13BF" w:rsidRDefault="00DD13BF" w:rsidP="00355A56">
            <w:pPr>
              <w:pStyle w:val="TableParagraph"/>
              <w:ind w:left="907"/>
            </w:pPr>
            <w:r>
              <w:rPr>
                <w:spacing w:val="-3"/>
              </w:rPr>
              <w:t>Category of region</w:t>
            </w:r>
          </w:p>
        </w:tc>
        <w:tc>
          <w:tcPr>
            <w:tcW w:w="3099" w:type="dxa"/>
          </w:tcPr>
          <w:p w14:paraId="7642A8F8" w14:textId="77777777" w:rsidR="00DD13BF" w:rsidRDefault="00DD13BF" w:rsidP="00355A56">
            <w:pPr>
              <w:pStyle w:val="TableParagraph"/>
              <w:ind w:left="948"/>
            </w:pPr>
            <w:r>
              <w:rPr>
                <w:spacing w:val="-4"/>
              </w:rPr>
              <w:t>Specific objective</w:t>
            </w:r>
          </w:p>
        </w:tc>
        <w:tc>
          <w:tcPr>
            <w:tcW w:w="1161" w:type="dxa"/>
          </w:tcPr>
          <w:p w14:paraId="7659245B" w14:textId="77777777" w:rsidR="00DD13BF" w:rsidRDefault="00DD13BF" w:rsidP="00355A56">
            <w:pPr>
              <w:pStyle w:val="TableParagraph"/>
              <w:ind w:left="334"/>
            </w:pPr>
            <w:r>
              <w:t>Code</w:t>
            </w:r>
          </w:p>
        </w:tc>
        <w:tc>
          <w:tcPr>
            <w:tcW w:w="2731" w:type="dxa"/>
          </w:tcPr>
          <w:p w14:paraId="54D4B769" w14:textId="77777777" w:rsidR="00DD13BF" w:rsidRDefault="00DD13BF" w:rsidP="00355A56">
            <w:pPr>
              <w:pStyle w:val="TableParagraph"/>
              <w:ind w:left="661"/>
            </w:pPr>
            <w:r>
              <w:t>Amount (EUR)</w:t>
            </w:r>
          </w:p>
        </w:tc>
      </w:tr>
      <w:tr w:rsidR="00DD13BF" w14:paraId="11870615" w14:textId="77777777" w:rsidTr="00355A56">
        <w:trPr>
          <w:trHeight w:val="353"/>
        </w:trPr>
        <w:tc>
          <w:tcPr>
            <w:tcW w:w="2088" w:type="dxa"/>
          </w:tcPr>
          <w:p w14:paraId="62B19B21" w14:textId="77777777" w:rsidR="00DD13BF" w:rsidRDefault="00DD13BF" w:rsidP="00355A56">
            <w:pPr>
              <w:pStyle w:val="TableParagraph"/>
              <w:rPr>
                <w:sz w:val="20"/>
              </w:rPr>
            </w:pPr>
            <w:r>
              <w:rPr>
                <w:sz w:val="20"/>
              </w:rPr>
              <w:t>2</w:t>
            </w:r>
          </w:p>
        </w:tc>
        <w:tc>
          <w:tcPr>
            <w:tcW w:w="1133" w:type="dxa"/>
          </w:tcPr>
          <w:p w14:paraId="52993234"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5A27E056" w14:textId="77777777" w:rsidR="00DD13BF" w:rsidRDefault="00DD13BF" w:rsidP="00355A56">
            <w:pPr>
              <w:pStyle w:val="TableParagraph"/>
              <w:rPr>
                <w:sz w:val="20"/>
              </w:rPr>
            </w:pPr>
            <w:r>
              <w:rPr>
                <w:sz w:val="20"/>
              </w:rPr>
              <w:t xml:space="preserve">Less developed </w:t>
            </w:r>
          </w:p>
        </w:tc>
        <w:tc>
          <w:tcPr>
            <w:tcW w:w="3099" w:type="dxa"/>
          </w:tcPr>
          <w:p w14:paraId="46D62F37" w14:textId="77777777" w:rsidR="00DD13BF" w:rsidRDefault="00DD13BF" w:rsidP="00355A56">
            <w:pPr>
              <w:pStyle w:val="TableParagraph"/>
              <w:rPr>
                <w:sz w:val="20"/>
              </w:rPr>
            </w:pPr>
            <w:r w:rsidRPr="00E75CE3">
              <w:rPr>
                <w:color w:val="000000"/>
                <w:sz w:val="20"/>
              </w:rPr>
              <w:t>RSO1.5</w:t>
            </w:r>
          </w:p>
        </w:tc>
        <w:tc>
          <w:tcPr>
            <w:tcW w:w="1161" w:type="dxa"/>
          </w:tcPr>
          <w:p w14:paraId="21DE2102" w14:textId="77777777" w:rsidR="00DD13BF" w:rsidRDefault="00DD13BF" w:rsidP="00355A56">
            <w:pPr>
              <w:pStyle w:val="TableParagraph"/>
              <w:rPr>
                <w:sz w:val="20"/>
              </w:rPr>
            </w:pPr>
            <w:r>
              <w:rPr>
                <w:sz w:val="20"/>
              </w:rPr>
              <w:t>01</w:t>
            </w:r>
          </w:p>
        </w:tc>
        <w:tc>
          <w:tcPr>
            <w:tcW w:w="2731" w:type="dxa"/>
          </w:tcPr>
          <w:p w14:paraId="61A4FCE7" w14:textId="77777777" w:rsidR="00DD13BF" w:rsidRDefault="00DD13BF" w:rsidP="00355A56">
            <w:pPr>
              <w:pStyle w:val="TableParagraph"/>
              <w:rPr>
                <w:sz w:val="20"/>
              </w:rPr>
            </w:pPr>
            <w:r>
              <w:rPr>
                <w:sz w:val="20"/>
              </w:rPr>
              <w:t>15,584,000</w:t>
            </w:r>
          </w:p>
        </w:tc>
      </w:tr>
      <w:tr w:rsidR="00DD13BF" w14:paraId="7E124AEF" w14:textId="77777777" w:rsidTr="00355A56">
        <w:trPr>
          <w:trHeight w:val="353"/>
        </w:trPr>
        <w:tc>
          <w:tcPr>
            <w:tcW w:w="2088" w:type="dxa"/>
          </w:tcPr>
          <w:p w14:paraId="04011725" w14:textId="77777777" w:rsidR="00DD13BF" w:rsidRDefault="00DD13BF" w:rsidP="00355A56">
            <w:pPr>
              <w:pStyle w:val="TableParagraph"/>
              <w:rPr>
                <w:sz w:val="20"/>
              </w:rPr>
            </w:pPr>
            <w:r>
              <w:rPr>
                <w:sz w:val="20"/>
              </w:rPr>
              <w:t>2</w:t>
            </w:r>
          </w:p>
        </w:tc>
        <w:tc>
          <w:tcPr>
            <w:tcW w:w="1133" w:type="dxa"/>
          </w:tcPr>
          <w:p w14:paraId="38E18CCE" w14:textId="77777777" w:rsidR="00DD13BF" w:rsidRDefault="00DD13BF" w:rsidP="00355A56">
            <w:pPr>
              <w:pStyle w:val="TableParagraph"/>
              <w:rPr>
                <w:sz w:val="20"/>
              </w:rPr>
            </w:pPr>
            <w:r>
              <w:rPr>
                <w:sz w:val="20"/>
              </w:rPr>
              <w:t>E</w:t>
            </w:r>
            <w:r w:rsidRPr="00230DD7">
              <w:rPr>
                <w:sz w:val="20"/>
              </w:rPr>
              <w:t>R</w:t>
            </w:r>
            <w:r>
              <w:rPr>
                <w:sz w:val="20"/>
              </w:rPr>
              <w:t>DF</w:t>
            </w:r>
          </w:p>
        </w:tc>
        <w:tc>
          <w:tcPr>
            <w:tcW w:w="3249" w:type="dxa"/>
          </w:tcPr>
          <w:p w14:paraId="3FE394AD" w14:textId="77777777" w:rsidR="00DD13BF" w:rsidRDefault="00DD13BF" w:rsidP="00355A56">
            <w:pPr>
              <w:pStyle w:val="TableParagraph"/>
              <w:rPr>
                <w:sz w:val="20"/>
              </w:rPr>
            </w:pPr>
            <w:r>
              <w:rPr>
                <w:sz w:val="20"/>
              </w:rPr>
              <w:t xml:space="preserve">More developed </w:t>
            </w:r>
          </w:p>
        </w:tc>
        <w:tc>
          <w:tcPr>
            <w:tcW w:w="3099" w:type="dxa"/>
          </w:tcPr>
          <w:p w14:paraId="18CB8286" w14:textId="77777777" w:rsidR="00DD13BF" w:rsidRDefault="00DD13BF" w:rsidP="00355A56">
            <w:pPr>
              <w:pStyle w:val="TableParagraph"/>
              <w:rPr>
                <w:sz w:val="20"/>
              </w:rPr>
            </w:pPr>
            <w:r w:rsidRPr="00E75CE3">
              <w:rPr>
                <w:color w:val="000000"/>
                <w:sz w:val="20"/>
              </w:rPr>
              <w:t>RSO1.5</w:t>
            </w:r>
          </w:p>
        </w:tc>
        <w:tc>
          <w:tcPr>
            <w:tcW w:w="1161" w:type="dxa"/>
          </w:tcPr>
          <w:p w14:paraId="525B01B4" w14:textId="77777777" w:rsidR="00DD13BF" w:rsidRDefault="00DD13BF" w:rsidP="00355A56">
            <w:pPr>
              <w:pStyle w:val="TableParagraph"/>
              <w:rPr>
                <w:sz w:val="20"/>
              </w:rPr>
            </w:pPr>
            <w:r>
              <w:rPr>
                <w:sz w:val="20"/>
              </w:rPr>
              <w:t>01</w:t>
            </w:r>
          </w:p>
        </w:tc>
        <w:tc>
          <w:tcPr>
            <w:tcW w:w="2731" w:type="dxa"/>
          </w:tcPr>
          <w:p w14:paraId="085D4AFC" w14:textId="77777777" w:rsidR="00DD13BF" w:rsidRDefault="00DD13BF" w:rsidP="00355A56">
            <w:pPr>
              <w:pStyle w:val="TableParagraph"/>
              <w:rPr>
                <w:sz w:val="20"/>
              </w:rPr>
            </w:pPr>
            <w:r>
              <w:rPr>
                <w:sz w:val="20"/>
              </w:rPr>
              <w:t>4,078,744</w:t>
            </w:r>
          </w:p>
        </w:tc>
      </w:tr>
    </w:tbl>
    <w:p w14:paraId="1ED1A52B" w14:textId="77777777" w:rsidR="00DD13BF" w:rsidRDefault="00DD13BF" w:rsidP="00DD13BF">
      <w:pPr>
        <w:rPr>
          <w:sz w:val="20"/>
        </w:rPr>
        <w:sectPr w:rsidR="00DD13BF" w:rsidSect="00BD3536">
          <w:headerReference w:type="default" r:id="rId31"/>
          <w:footerReference w:type="first" r:id="rId32"/>
          <w:type w:val="continuous"/>
          <w:pgSz w:w="16840" w:h="11910" w:orient="landscape"/>
          <w:pgMar w:top="1417" w:right="1417" w:bottom="1417" w:left="1417" w:header="708" w:footer="708" w:gutter="0"/>
          <w:cols w:space="708"/>
          <w:titlePg/>
          <w:docGrid w:linePitch="299"/>
        </w:sectPr>
      </w:pPr>
    </w:p>
    <w:p w14:paraId="6BBA1D4A" w14:textId="77777777" w:rsidR="00DD13BF" w:rsidRDefault="00DD13BF" w:rsidP="00DD13BF">
      <w:pPr>
        <w:ind w:left="339"/>
        <w:rPr>
          <w:spacing w:val="-7"/>
        </w:rPr>
      </w:pPr>
    </w:p>
    <w:p w14:paraId="5E028256" w14:textId="77777777" w:rsidR="00DD13BF" w:rsidRDefault="00DD13BF" w:rsidP="00DD13BF">
      <w:pPr>
        <w:ind w:left="339"/>
      </w:pPr>
      <w:r>
        <w:rPr>
          <w:spacing w:val="-7"/>
        </w:rPr>
        <w:t>Table 6: Dimension 3</w:t>
      </w:r>
      <w:r>
        <w:rPr>
          <w:spacing w:val="-1"/>
        </w:rPr>
        <w:t xml:space="preserve"> </w:t>
      </w:r>
      <w:r>
        <w:rPr>
          <w:spacing w:val="-7"/>
        </w:rPr>
        <w:t>–</w:t>
      </w:r>
      <w:r>
        <w:rPr>
          <w:spacing w:val="-1"/>
        </w:rPr>
        <w:t xml:space="preserve"> </w:t>
      </w:r>
      <w:r w:rsidRPr="00E62276">
        <w:rPr>
          <w:spacing w:val="-1"/>
        </w:rPr>
        <w:t>t</w:t>
      </w:r>
      <w:r w:rsidRPr="00E62276">
        <w:t>erritorial delivery mechanism and territorial focus</w:t>
      </w:r>
    </w:p>
    <w:p w14:paraId="214F1129"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E6625F0" w14:textId="77777777" w:rsidTr="00355A56">
        <w:trPr>
          <w:trHeight w:val="353"/>
        </w:trPr>
        <w:tc>
          <w:tcPr>
            <w:tcW w:w="2088" w:type="dxa"/>
          </w:tcPr>
          <w:p w14:paraId="7152054B" w14:textId="77777777" w:rsidR="00DD13BF" w:rsidRDefault="00DD13BF" w:rsidP="00355A56">
            <w:pPr>
              <w:pStyle w:val="TableParagraph"/>
              <w:ind w:left="115"/>
              <w:jc w:val="center"/>
            </w:pPr>
            <w:r>
              <w:rPr>
                <w:spacing w:val="-2"/>
              </w:rPr>
              <w:t>Priority No</w:t>
            </w:r>
          </w:p>
        </w:tc>
        <w:tc>
          <w:tcPr>
            <w:tcW w:w="1132" w:type="dxa"/>
          </w:tcPr>
          <w:p w14:paraId="72A1FF4F" w14:textId="77777777" w:rsidR="00DD13BF" w:rsidRDefault="00DD13BF" w:rsidP="00355A56">
            <w:pPr>
              <w:pStyle w:val="TableParagraph"/>
              <w:ind w:left="320"/>
            </w:pPr>
            <w:r>
              <w:t>Fund</w:t>
            </w:r>
          </w:p>
        </w:tc>
        <w:tc>
          <w:tcPr>
            <w:tcW w:w="3248" w:type="dxa"/>
          </w:tcPr>
          <w:p w14:paraId="4BCC7DA6" w14:textId="77777777" w:rsidR="00DD13BF" w:rsidRDefault="00DD13BF" w:rsidP="00355A56">
            <w:pPr>
              <w:pStyle w:val="TableParagraph"/>
              <w:ind w:left="908"/>
            </w:pPr>
            <w:r>
              <w:rPr>
                <w:spacing w:val="-3"/>
              </w:rPr>
              <w:t>Category of region</w:t>
            </w:r>
          </w:p>
        </w:tc>
        <w:tc>
          <w:tcPr>
            <w:tcW w:w="3098" w:type="dxa"/>
          </w:tcPr>
          <w:p w14:paraId="7EFD1E32" w14:textId="77777777" w:rsidR="00DD13BF" w:rsidRDefault="00DD13BF" w:rsidP="00355A56">
            <w:pPr>
              <w:pStyle w:val="TableParagraph"/>
              <w:ind w:left="950"/>
            </w:pPr>
            <w:r>
              <w:rPr>
                <w:spacing w:val="-4"/>
              </w:rPr>
              <w:t>Specific objective</w:t>
            </w:r>
          </w:p>
        </w:tc>
        <w:tc>
          <w:tcPr>
            <w:tcW w:w="1160" w:type="dxa"/>
          </w:tcPr>
          <w:p w14:paraId="4F7C5CA6" w14:textId="77777777" w:rsidR="00DD13BF" w:rsidRDefault="00DD13BF" w:rsidP="00355A56">
            <w:pPr>
              <w:pStyle w:val="TableParagraph"/>
              <w:ind w:left="336"/>
            </w:pPr>
            <w:r>
              <w:t>Code</w:t>
            </w:r>
          </w:p>
        </w:tc>
        <w:tc>
          <w:tcPr>
            <w:tcW w:w="2730" w:type="dxa"/>
          </w:tcPr>
          <w:p w14:paraId="70FB2923" w14:textId="77777777" w:rsidR="00DD13BF" w:rsidRDefault="00DD13BF" w:rsidP="00355A56">
            <w:pPr>
              <w:pStyle w:val="TableParagraph"/>
              <w:ind w:left="664"/>
            </w:pPr>
            <w:r>
              <w:t>Amount (EUR)</w:t>
            </w:r>
          </w:p>
        </w:tc>
      </w:tr>
      <w:tr w:rsidR="00DD13BF" w14:paraId="35BC04F8" w14:textId="77777777" w:rsidTr="00355A56">
        <w:trPr>
          <w:trHeight w:val="353"/>
        </w:trPr>
        <w:tc>
          <w:tcPr>
            <w:tcW w:w="2088" w:type="dxa"/>
          </w:tcPr>
          <w:p w14:paraId="5FCA5CB3" w14:textId="77777777" w:rsidR="00DD13BF" w:rsidRDefault="00DD13BF" w:rsidP="00355A56">
            <w:pPr>
              <w:pStyle w:val="TableParagraph"/>
              <w:rPr>
                <w:sz w:val="20"/>
              </w:rPr>
            </w:pPr>
            <w:r>
              <w:rPr>
                <w:sz w:val="20"/>
              </w:rPr>
              <w:t>2</w:t>
            </w:r>
          </w:p>
        </w:tc>
        <w:tc>
          <w:tcPr>
            <w:tcW w:w="1132" w:type="dxa"/>
          </w:tcPr>
          <w:p w14:paraId="71532A3F" w14:textId="77777777" w:rsidR="00DD13BF" w:rsidRDefault="00DD13BF" w:rsidP="00355A56">
            <w:pPr>
              <w:pStyle w:val="TableParagraph"/>
              <w:rPr>
                <w:sz w:val="20"/>
              </w:rPr>
            </w:pPr>
            <w:r>
              <w:rPr>
                <w:sz w:val="20"/>
              </w:rPr>
              <w:t>E</w:t>
            </w:r>
            <w:r w:rsidRPr="00230DD7">
              <w:rPr>
                <w:sz w:val="20"/>
              </w:rPr>
              <w:t>R</w:t>
            </w:r>
            <w:r>
              <w:rPr>
                <w:sz w:val="20"/>
              </w:rPr>
              <w:t>DF</w:t>
            </w:r>
          </w:p>
        </w:tc>
        <w:tc>
          <w:tcPr>
            <w:tcW w:w="3248" w:type="dxa"/>
          </w:tcPr>
          <w:p w14:paraId="1E88B052" w14:textId="77777777" w:rsidR="00DD13BF" w:rsidRDefault="00DD13BF" w:rsidP="00355A56">
            <w:pPr>
              <w:pStyle w:val="TableParagraph"/>
              <w:rPr>
                <w:sz w:val="20"/>
              </w:rPr>
            </w:pPr>
            <w:r>
              <w:rPr>
                <w:sz w:val="20"/>
              </w:rPr>
              <w:t xml:space="preserve">Less developed </w:t>
            </w:r>
          </w:p>
        </w:tc>
        <w:tc>
          <w:tcPr>
            <w:tcW w:w="3098" w:type="dxa"/>
          </w:tcPr>
          <w:p w14:paraId="7CE0EFF5" w14:textId="77777777" w:rsidR="00DD13BF" w:rsidRDefault="00DD13BF" w:rsidP="00355A56">
            <w:pPr>
              <w:pStyle w:val="TableParagraph"/>
              <w:rPr>
                <w:sz w:val="20"/>
              </w:rPr>
            </w:pPr>
            <w:r w:rsidRPr="002920BE">
              <w:rPr>
                <w:color w:val="000000"/>
                <w:sz w:val="20"/>
              </w:rPr>
              <w:t>RSO1.5</w:t>
            </w:r>
          </w:p>
        </w:tc>
        <w:tc>
          <w:tcPr>
            <w:tcW w:w="1160" w:type="dxa"/>
          </w:tcPr>
          <w:p w14:paraId="5C6296B8" w14:textId="77777777" w:rsidR="00DD13BF" w:rsidRPr="0058796C" w:rsidRDefault="00DD13BF" w:rsidP="00355A56">
            <w:pPr>
              <w:pStyle w:val="TableParagraph"/>
              <w:rPr>
                <w:sz w:val="20"/>
              </w:rPr>
            </w:pPr>
            <w:r>
              <w:rPr>
                <w:sz w:val="20"/>
              </w:rPr>
              <w:t>33</w:t>
            </w:r>
          </w:p>
        </w:tc>
        <w:tc>
          <w:tcPr>
            <w:tcW w:w="2730" w:type="dxa"/>
          </w:tcPr>
          <w:p w14:paraId="4D3CEF7A" w14:textId="77777777" w:rsidR="00DD13BF" w:rsidRPr="007239A5" w:rsidRDefault="00DD13BF" w:rsidP="00355A56">
            <w:pPr>
              <w:pStyle w:val="TableParagraph"/>
              <w:rPr>
                <w:sz w:val="20"/>
                <w:highlight w:val="yellow"/>
              </w:rPr>
            </w:pPr>
            <w:r>
              <w:rPr>
                <w:sz w:val="20"/>
              </w:rPr>
              <w:t>15,584,000</w:t>
            </w:r>
          </w:p>
        </w:tc>
      </w:tr>
      <w:tr w:rsidR="00DD13BF" w14:paraId="22FB4B54" w14:textId="77777777" w:rsidTr="00355A56">
        <w:trPr>
          <w:trHeight w:val="353"/>
        </w:trPr>
        <w:tc>
          <w:tcPr>
            <w:tcW w:w="2088" w:type="dxa"/>
          </w:tcPr>
          <w:p w14:paraId="09177C48" w14:textId="77777777" w:rsidR="00DD13BF" w:rsidRDefault="00DD13BF" w:rsidP="00355A56">
            <w:pPr>
              <w:pStyle w:val="TableParagraph"/>
              <w:rPr>
                <w:sz w:val="20"/>
              </w:rPr>
            </w:pPr>
            <w:r>
              <w:rPr>
                <w:sz w:val="20"/>
              </w:rPr>
              <w:t>2</w:t>
            </w:r>
          </w:p>
        </w:tc>
        <w:tc>
          <w:tcPr>
            <w:tcW w:w="1132" w:type="dxa"/>
          </w:tcPr>
          <w:p w14:paraId="650795FE" w14:textId="77777777" w:rsidR="00DD13BF" w:rsidRDefault="00DD13BF" w:rsidP="00355A56">
            <w:pPr>
              <w:pStyle w:val="TableParagraph"/>
              <w:rPr>
                <w:sz w:val="20"/>
              </w:rPr>
            </w:pPr>
            <w:r>
              <w:rPr>
                <w:sz w:val="20"/>
              </w:rPr>
              <w:t>E</w:t>
            </w:r>
            <w:r w:rsidRPr="00230DD7">
              <w:rPr>
                <w:sz w:val="20"/>
              </w:rPr>
              <w:t>R</w:t>
            </w:r>
            <w:r>
              <w:rPr>
                <w:sz w:val="20"/>
              </w:rPr>
              <w:t>DF</w:t>
            </w:r>
          </w:p>
        </w:tc>
        <w:tc>
          <w:tcPr>
            <w:tcW w:w="3248" w:type="dxa"/>
          </w:tcPr>
          <w:p w14:paraId="6F12282F" w14:textId="77777777" w:rsidR="00DD13BF" w:rsidRDefault="00DD13BF" w:rsidP="00355A56">
            <w:pPr>
              <w:pStyle w:val="TableParagraph"/>
              <w:rPr>
                <w:sz w:val="20"/>
              </w:rPr>
            </w:pPr>
            <w:r>
              <w:rPr>
                <w:sz w:val="20"/>
              </w:rPr>
              <w:t xml:space="preserve">More developed </w:t>
            </w:r>
          </w:p>
        </w:tc>
        <w:tc>
          <w:tcPr>
            <w:tcW w:w="3098" w:type="dxa"/>
          </w:tcPr>
          <w:p w14:paraId="269C7708" w14:textId="77777777" w:rsidR="00DD13BF" w:rsidRDefault="00DD13BF" w:rsidP="00355A56">
            <w:pPr>
              <w:pStyle w:val="TableParagraph"/>
              <w:rPr>
                <w:sz w:val="20"/>
              </w:rPr>
            </w:pPr>
            <w:r w:rsidRPr="002920BE">
              <w:rPr>
                <w:color w:val="000000"/>
                <w:sz w:val="20"/>
              </w:rPr>
              <w:t>RSO1.5</w:t>
            </w:r>
          </w:p>
        </w:tc>
        <w:tc>
          <w:tcPr>
            <w:tcW w:w="1160" w:type="dxa"/>
          </w:tcPr>
          <w:p w14:paraId="5B8F2D5F" w14:textId="77777777" w:rsidR="00DD13BF" w:rsidRPr="0058796C" w:rsidRDefault="00DD13BF" w:rsidP="00355A56">
            <w:pPr>
              <w:pStyle w:val="TableParagraph"/>
              <w:rPr>
                <w:sz w:val="20"/>
              </w:rPr>
            </w:pPr>
            <w:r>
              <w:rPr>
                <w:sz w:val="20"/>
              </w:rPr>
              <w:t>33</w:t>
            </w:r>
          </w:p>
        </w:tc>
        <w:tc>
          <w:tcPr>
            <w:tcW w:w="2730" w:type="dxa"/>
          </w:tcPr>
          <w:p w14:paraId="1ECC6995" w14:textId="77777777" w:rsidR="00DD13BF" w:rsidRPr="007239A5" w:rsidRDefault="00DD13BF" w:rsidP="00355A56">
            <w:pPr>
              <w:pStyle w:val="TableParagraph"/>
              <w:rPr>
                <w:sz w:val="20"/>
                <w:highlight w:val="yellow"/>
              </w:rPr>
            </w:pPr>
            <w:r>
              <w:rPr>
                <w:sz w:val="20"/>
              </w:rPr>
              <w:t>4,078,744</w:t>
            </w:r>
          </w:p>
        </w:tc>
      </w:tr>
    </w:tbl>
    <w:p w14:paraId="1D8592F6" w14:textId="77777777" w:rsidR="00DD13BF" w:rsidRDefault="00DD13BF" w:rsidP="00DD13BF"/>
    <w:p w14:paraId="286398BF" w14:textId="77777777" w:rsidR="00DD13BF" w:rsidRDefault="00DD13BF" w:rsidP="00DD13BF">
      <w:pPr>
        <w:ind w:left="339"/>
      </w:pPr>
      <w:r>
        <w:rPr>
          <w:spacing w:val="-5"/>
        </w:rPr>
        <w:t>Table 7:</w:t>
      </w:r>
      <w:r>
        <w:rPr>
          <w:spacing w:val="-9"/>
        </w:rPr>
        <w:t xml:space="preserve"> </w:t>
      </w:r>
      <w:r>
        <w:rPr>
          <w:spacing w:val="-7"/>
        </w:rPr>
        <w:t>Dimension</w:t>
      </w:r>
      <w:r>
        <w:rPr>
          <w:spacing w:val="-5"/>
        </w:rPr>
        <w:t xml:space="preserve"> 6</w:t>
      </w:r>
      <w:r>
        <w:rPr>
          <w:spacing w:val="-2"/>
        </w:rPr>
        <w:t xml:space="preserve"> </w:t>
      </w:r>
      <w:r>
        <w:rPr>
          <w:spacing w:val="-5"/>
        </w:rPr>
        <w:t>–</w:t>
      </w:r>
      <w:r>
        <w:rPr>
          <w:spacing w:val="-2"/>
        </w:rPr>
        <w:t xml:space="preserve"> </w:t>
      </w:r>
      <w:r>
        <w:rPr>
          <w:spacing w:val="-4"/>
        </w:rPr>
        <w:t>ESF+ secondary theme</w:t>
      </w:r>
    </w:p>
    <w:p w14:paraId="0FE7A5C4"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ED117B7" w14:textId="77777777" w:rsidTr="00355A56">
        <w:trPr>
          <w:trHeight w:val="353"/>
        </w:trPr>
        <w:tc>
          <w:tcPr>
            <w:tcW w:w="2088" w:type="dxa"/>
          </w:tcPr>
          <w:p w14:paraId="44CF0387" w14:textId="77777777" w:rsidR="00DD13BF" w:rsidRDefault="00DD13BF" w:rsidP="00355A56">
            <w:pPr>
              <w:pStyle w:val="TableParagraph"/>
              <w:ind w:left="115"/>
              <w:jc w:val="center"/>
            </w:pPr>
            <w:r>
              <w:rPr>
                <w:spacing w:val="-2"/>
              </w:rPr>
              <w:t>Priority No</w:t>
            </w:r>
          </w:p>
        </w:tc>
        <w:tc>
          <w:tcPr>
            <w:tcW w:w="1132" w:type="dxa"/>
          </w:tcPr>
          <w:p w14:paraId="54C73C24" w14:textId="77777777" w:rsidR="00DD13BF" w:rsidRDefault="00DD13BF" w:rsidP="00355A56">
            <w:pPr>
              <w:pStyle w:val="TableParagraph"/>
              <w:ind w:left="321"/>
            </w:pPr>
            <w:r>
              <w:t>Fund</w:t>
            </w:r>
          </w:p>
        </w:tc>
        <w:tc>
          <w:tcPr>
            <w:tcW w:w="3248" w:type="dxa"/>
          </w:tcPr>
          <w:p w14:paraId="7A5B12B5" w14:textId="77777777" w:rsidR="00DD13BF" w:rsidRDefault="00DD13BF" w:rsidP="00355A56">
            <w:pPr>
              <w:pStyle w:val="TableParagraph"/>
              <w:ind w:left="909"/>
            </w:pPr>
            <w:r>
              <w:rPr>
                <w:spacing w:val="-3"/>
              </w:rPr>
              <w:t>Category of region</w:t>
            </w:r>
          </w:p>
        </w:tc>
        <w:tc>
          <w:tcPr>
            <w:tcW w:w="3098" w:type="dxa"/>
          </w:tcPr>
          <w:p w14:paraId="12E99D99" w14:textId="77777777" w:rsidR="00DD13BF" w:rsidRDefault="00DD13BF" w:rsidP="00355A56">
            <w:pPr>
              <w:pStyle w:val="TableParagraph"/>
              <w:ind w:left="950"/>
            </w:pPr>
            <w:r>
              <w:rPr>
                <w:spacing w:val="-4"/>
              </w:rPr>
              <w:t>Specific objective</w:t>
            </w:r>
          </w:p>
        </w:tc>
        <w:tc>
          <w:tcPr>
            <w:tcW w:w="1160" w:type="dxa"/>
          </w:tcPr>
          <w:p w14:paraId="274FA32B" w14:textId="77777777" w:rsidR="00DD13BF" w:rsidRDefault="00DD13BF" w:rsidP="00355A56">
            <w:pPr>
              <w:pStyle w:val="TableParagraph"/>
              <w:ind w:left="337"/>
            </w:pPr>
            <w:r>
              <w:t>Code</w:t>
            </w:r>
          </w:p>
        </w:tc>
        <w:tc>
          <w:tcPr>
            <w:tcW w:w="2730" w:type="dxa"/>
          </w:tcPr>
          <w:p w14:paraId="35335F05" w14:textId="77777777" w:rsidR="00DD13BF" w:rsidRDefault="00DD13BF" w:rsidP="00355A56">
            <w:pPr>
              <w:pStyle w:val="TableParagraph"/>
              <w:ind w:left="665"/>
            </w:pPr>
            <w:r>
              <w:t>Amount (EUR)</w:t>
            </w:r>
          </w:p>
        </w:tc>
      </w:tr>
    </w:tbl>
    <w:p w14:paraId="0687733E" w14:textId="77777777" w:rsidR="00DD13BF" w:rsidRPr="00673ADB" w:rsidRDefault="00DD13BF" w:rsidP="00DD13BF"/>
    <w:p w14:paraId="155CC800" w14:textId="77777777" w:rsidR="00DD13BF" w:rsidRDefault="00DD13BF" w:rsidP="00DD13BF">
      <w:pPr>
        <w:ind w:left="339"/>
      </w:pPr>
      <w:r>
        <w:rPr>
          <w:spacing w:val="-5"/>
        </w:rPr>
        <w:t>Table 8:</w:t>
      </w:r>
      <w:r>
        <w:rPr>
          <w:spacing w:val="-9"/>
        </w:rPr>
        <w:t xml:space="preserve"> </w:t>
      </w:r>
      <w:r>
        <w:rPr>
          <w:spacing w:val="-7"/>
        </w:rPr>
        <w:t>Dimension</w:t>
      </w:r>
      <w:r>
        <w:rPr>
          <w:spacing w:val="-5"/>
        </w:rPr>
        <w:t xml:space="preserve"> 7</w:t>
      </w:r>
      <w:r>
        <w:rPr>
          <w:spacing w:val="-3"/>
        </w:rPr>
        <w:t xml:space="preserve"> </w:t>
      </w:r>
      <w:r>
        <w:rPr>
          <w:spacing w:val="-5"/>
        </w:rPr>
        <w:t>–</w:t>
      </w:r>
      <w:r>
        <w:rPr>
          <w:spacing w:val="-3"/>
        </w:rPr>
        <w:t xml:space="preserve"> E</w:t>
      </w:r>
      <w:r>
        <w:t>SF+*, ERDF, Cohesion Fund and JTF gender equality dimension</w:t>
      </w:r>
      <w:r>
        <w:rPr>
          <w:spacing w:val="-5"/>
        </w:rPr>
        <w:t xml:space="preserve"> </w:t>
      </w:r>
    </w:p>
    <w:p w14:paraId="23715D80"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F217135" w14:textId="77777777" w:rsidTr="00355A56">
        <w:trPr>
          <w:trHeight w:val="353"/>
        </w:trPr>
        <w:tc>
          <w:tcPr>
            <w:tcW w:w="2088" w:type="dxa"/>
          </w:tcPr>
          <w:p w14:paraId="4F1CC580" w14:textId="77777777" w:rsidR="00DD13BF" w:rsidRDefault="00DD13BF" w:rsidP="00355A56">
            <w:pPr>
              <w:pStyle w:val="TableParagraph"/>
              <w:ind w:left="115"/>
              <w:jc w:val="center"/>
            </w:pPr>
            <w:r>
              <w:rPr>
                <w:spacing w:val="-2"/>
              </w:rPr>
              <w:t>Priority No</w:t>
            </w:r>
          </w:p>
        </w:tc>
        <w:tc>
          <w:tcPr>
            <w:tcW w:w="1132" w:type="dxa"/>
          </w:tcPr>
          <w:p w14:paraId="1DD19CB7" w14:textId="77777777" w:rsidR="00DD13BF" w:rsidRDefault="00DD13BF" w:rsidP="00355A56">
            <w:pPr>
              <w:pStyle w:val="TableParagraph"/>
              <w:ind w:left="320"/>
            </w:pPr>
            <w:r>
              <w:t>Fund</w:t>
            </w:r>
          </w:p>
        </w:tc>
        <w:tc>
          <w:tcPr>
            <w:tcW w:w="3248" w:type="dxa"/>
          </w:tcPr>
          <w:p w14:paraId="0D75CA76" w14:textId="77777777" w:rsidR="00DD13BF" w:rsidRDefault="00DD13BF" w:rsidP="00355A56">
            <w:pPr>
              <w:pStyle w:val="TableParagraph"/>
              <w:ind w:left="908"/>
            </w:pPr>
            <w:r>
              <w:rPr>
                <w:spacing w:val="-3"/>
              </w:rPr>
              <w:t>Category of region</w:t>
            </w:r>
          </w:p>
        </w:tc>
        <w:tc>
          <w:tcPr>
            <w:tcW w:w="3098" w:type="dxa"/>
          </w:tcPr>
          <w:p w14:paraId="7AE4CA42" w14:textId="77777777" w:rsidR="00DD13BF" w:rsidRDefault="00DD13BF" w:rsidP="00355A56">
            <w:pPr>
              <w:pStyle w:val="TableParagraph"/>
              <w:ind w:left="950"/>
            </w:pPr>
            <w:r>
              <w:rPr>
                <w:spacing w:val="-4"/>
              </w:rPr>
              <w:t>Specific objective</w:t>
            </w:r>
          </w:p>
        </w:tc>
        <w:tc>
          <w:tcPr>
            <w:tcW w:w="1160" w:type="dxa"/>
          </w:tcPr>
          <w:p w14:paraId="36304B6D" w14:textId="77777777" w:rsidR="00DD13BF" w:rsidRDefault="00DD13BF" w:rsidP="00355A56">
            <w:pPr>
              <w:pStyle w:val="TableParagraph"/>
              <w:ind w:left="336"/>
            </w:pPr>
            <w:r>
              <w:t>Code</w:t>
            </w:r>
          </w:p>
        </w:tc>
        <w:tc>
          <w:tcPr>
            <w:tcW w:w="2730" w:type="dxa"/>
          </w:tcPr>
          <w:p w14:paraId="75CA5B67" w14:textId="77777777" w:rsidR="00DD13BF" w:rsidRDefault="00DD13BF" w:rsidP="00355A56">
            <w:pPr>
              <w:pStyle w:val="TableParagraph"/>
              <w:ind w:left="664"/>
            </w:pPr>
            <w:r>
              <w:t>Amount (EUR)</w:t>
            </w:r>
          </w:p>
        </w:tc>
      </w:tr>
      <w:tr w:rsidR="00DD13BF" w14:paraId="6753D27D" w14:textId="77777777" w:rsidTr="00355A56">
        <w:trPr>
          <w:trHeight w:val="353"/>
        </w:trPr>
        <w:tc>
          <w:tcPr>
            <w:tcW w:w="2088" w:type="dxa"/>
          </w:tcPr>
          <w:p w14:paraId="7100E295" w14:textId="77777777" w:rsidR="00DD13BF" w:rsidRDefault="00DD13BF" w:rsidP="00355A56">
            <w:pPr>
              <w:pStyle w:val="TableParagraph"/>
              <w:rPr>
                <w:sz w:val="20"/>
              </w:rPr>
            </w:pPr>
            <w:r>
              <w:rPr>
                <w:sz w:val="20"/>
              </w:rPr>
              <w:t>2</w:t>
            </w:r>
          </w:p>
        </w:tc>
        <w:tc>
          <w:tcPr>
            <w:tcW w:w="1132" w:type="dxa"/>
          </w:tcPr>
          <w:p w14:paraId="4A01505C" w14:textId="77777777" w:rsidR="00DD13BF" w:rsidRDefault="00DD13BF" w:rsidP="00355A56">
            <w:pPr>
              <w:pStyle w:val="TableParagraph"/>
              <w:rPr>
                <w:sz w:val="20"/>
              </w:rPr>
            </w:pPr>
            <w:r>
              <w:rPr>
                <w:sz w:val="20"/>
              </w:rPr>
              <w:t>E</w:t>
            </w:r>
            <w:r w:rsidRPr="00230DD7">
              <w:rPr>
                <w:sz w:val="20"/>
              </w:rPr>
              <w:t>R</w:t>
            </w:r>
            <w:r>
              <w:rPr>
                <w:sz w:val="20"/>
              </w:rPr>
              <w:t>DF</w:t>
            </w:r>
          </w:p>
        </w:tc>
        <w:tc>
          <w:tcPr>
            <w:tcW w:w="3248" w:type="dxa"/>
          </w:tcPr>
          <w:p w14:paraId="2F74B85B" w14:textId="77777777" w:rsidR="00DD13BF" w:rsidRDefault="00DD13BF" w:rsidP="00355A56">
            <w:pPr>
              <w:pStyle w:val="TableParagraph"/>
              <w:rPr>
                <w:sz w:val="20"/>
              </w:rPr>
            </w:pPr>
            <w:r>
              <w:rPr>
                <w:sz w:val="20"/>
              </w:rPr>
              <w:t xml:space="preserve">Less developed </w:t>
            </w:r>
          </w:p>
        </w:tc>
        <w:tc>
          <w:tcPr>
            <w:tcW w:w="3098" w:type="dxa"/>
          </w:tcPr>
          <w:p w14:paraId="2BD15A38" w14:textId="77777777" w:rsidR="00DD13BF" w:rsidRDefault="00DD13BF" w:rsidP="00355A56">
            <w:pPr>
              <w:pStyle w:val="TableParagraph"/>
              <w:rPr>
                <w:sz w:val="20"/>
              </w:rPr>
            </w:pPr>
            <w:r w:rsidRPr="00427C8B">
              <w:rPr>
                <w:color w:val="000000"/>
                <w:sz w:val="20"/>
              </w:rPr>
              <w:t>RSO1.5</w:t>
            </w:r>
          </w:p>
        </w:tc>
        <w:tc>
          <w:tcPr>
            <w:tcW w:w="1160" w:type="dxa"/>
          </w:tcPr>
          <w:p w14:paraId="197EE40C" w14:textId="77777777" w:rsidR="00DD13BF" w:rsidRDefault="00DD13BF" w:rsidP="00355A56">
            <w:pPr>
              <w:pStyle w:val="TableParagraph"/>
              <w:rPr>
                <w:sz w:val="20"/>
              </w:rPr>
            </w:pPr>
            <w:r>
              <w:rPr>
                <w:sz w:val="20"/>
              </w:rPr>
              <w:t>03</w:t>
            </w:r>
          </w:p>
        </w:tc>
        <w:tc>
          <w:tcPr>
            <w:tcW w:w="2730" w:type="dxa"/>
          </w:tcPr>
          <w:p w14:paraId="33FF61B3" w14:textId="77777777" w:rsidR="00DD13BF" w:rsidRDefault="00DD13BF" w:rsidP="00355A56">
            <w:pPr>
              <w:pStyle w:val="TableParagraph"/>
              <w:rPr>
                <w:sz w:val="20"/>
              </w:rPr>
            </w:pPr>
            <w:r>
              <w:rPr>
                <w:sz w:val="20"/>
              </w:rPr>
              <w:t>15,584,000</w:t>
            </w:r>
          </w:p>
        </w:tc>
      </w:tr>
      <w:tr w:rsidR="00DD13BF" w14:paraId="3AE31E9C" w14:textId="77777777" w:rsidTr="00355A56">
        <w:trPr>
          <w:trHeight w:val="353"/>
        </w:trPr>
        <w:tc>
          <w:tcPr>
            <w:tcW w:w="2088" w:type="dxa"/>
          </w:tcPr>
          <w:p w14:paraId="15BEE3AC" w14:textId="77777777" w:rsidR="00DD13BF" w:rsidRDefault="00DD13BF" w:rsidP="00355A56">
            <w:pPr>
              <w:pStyle w:val="TableParagraph"/>
              <w:rPr>
                <w:sz w:val="20"/>
              </w:rPr>
            </w:pPr>
            <w:r>
              <w:rPr>
                <w:sz w:val="20"/>
              </w:rPr>
              <w:t>2</w:t>
            </w:r>
          </w:p>
        </w:tc>
        <w:tc>
          <w:tcPr>
            <w:tcW w:w="1132" w:type="dxa"/>
          </w:tcPr>
          <w:p w14:paraId="5731044A" w14:textId="77777777" w:rsidR="00DD13BF" w:rsidRDefault="00DD13BF" w:rsidP="00355A56">
            <w:pPr>
              <w:pStyle w:val="TableParagraph"/>
              <w:rPr>
                <w:sz w:val="20"/>
              </w:rPr>
            </w:pPr>
            <w:r>
              <w:rPr>
                <w:sz w:val="20"/>
              </w:rPr>
              <w:t>E</w:t>
            </w:r>
            <w:r w:rsidRPr="00230DD7">
              <w:rPr>
                <w:sz w:val="20"/>
              </w:rPr>
              <w:t>R</w:t>
            </w:r>
            <w:r>
              <w:rPr>
                <w:sz w:val="20"/>
              </w:rPr>
              <w:t>DF</w:t>
            </w:r>
          </w:p>
        </w:tc>
        <w:tc>
          <w:tcPr>
            <w:tcW w:w="3248" w:type="dxa"/>
          </w:tcPr>
          <w:p w14:paraId="0E7E7DAD" w14:textId="77777777" w:rsidR="00DD13BF" w:rsidRDefault="00DD13BF" w:rsidP="00355A56">
            <w:pPr>
              <w:pStyle w:val="TableParagraph"/>
              <w:rPr>
                <w:sz w:val="20"/>
              </w:rPr>
            </w:pPr>
            <w:r>
              <w:rPr>
                <w:sz w:val="20"/>
              </w:rPr>
              <w:t xml:space="preserve">More developed </w:t>
            </w:r>
          </w:p>
        </w:tc>
        <w:tc>
          <w:tcPr>
            <w:tcW w:w="3098" w:type="dxa"/>
          </w:tcPr>
          <w:p w14:paraId="25A813D1" w14:textId="77777777" w:rsidR="00DD13BF" w:rsidRDefault="00DD13BF" w:rsidP="00355A56">
            <w:pPr>
              <w:pStyle w:val="TableParagraph"/>
              <w:rPr>
                <w:sz w:val="20"/>
              </w:rPr>
            </w:pPr>
            <w:r w:rsidRPr="00427C8B">
              <w:rPr>
                <w:color w:val="000000"/>
                <w:sz w:val="20"/>
              </w:rPr>
              <w:t>RSO1.5</w:t>
            </w:r>
          </w:p>
        </w:tc>
        <w:tc>
          <w:tcPr>
            <w:tcW w:w="1160" w:type="dxa"/>
          </w:tcPr>
          <w:p w14:paraId="3C0CF4B8" w14:textId="77777777" w:rsidR="00DD13BF" w:rsidRDefault="00DD13BF" w:rsidP="00355A56">
            <w:pPr>
              <w:pStyle w:val="TableParagraph"/>
              <w:rPr>
                <w:sz w:val="20"/>
              </w:rPr>
            </w:pPr>
            <w:r>
              <w:rPr>
                <w:sz w:val="20"/>
              </w:rPr>
              <w:t>03</w:t>
            </w:r>
          </w:p>
        </w:tc>
        <w:tc>
          <w:tcPr>
            <w:tcW w:w="2730" w:type="dxa"/>
          </w:tcPr>
          <w:p w14:paraId="58150EBC" w14:textId="77777777" w:rsidR="00DD13BF" w:rsidRDefault="00DD13BF" w:rsidP="00355A56">
            <w:pPr>
              <w:pStyle w:val="TableParagraph"/>
              <w:rPr>
                <w:sz w:val="20"/>
              </w:rPr>
            </w:pPr>
            <w:r>
              <w:rPr>
                <w:sz w:val="20"/>
              </w:rPr>
              <w:t>4,078,744</w:t>
            </w:r>
          </w:p>
        </w:tc>
      </w:tr>
    </w:tbl>
    <w:p w14:paraId="361A181F" w14:textId="77777777" w:rsidR="00DD13BF" w:rsidRPr="00673ADB" w:rsidRDefault="00DD13BF" w:rsidP="00DD13BF">
      <w:pPr>
        <w:tabs>
          <w:tab w:val="left" w:pos="426"/>
        </w:tabs>
        <w:ind w:left="284"/>
        <w:rPr>
          <w:sz w:val="16"/>
          <w:szCs w:val="16"/>
        </w:rPr>
      </w:pPr>
      <w:r>
        <w:rPr>
          <w:b/>
          <w:position w:val="7"/>
          <w:sz w:val="15"/>
        </w:rPr>
        <w:t>*</w:t>
      </w:r>
      <w:r>
        <w:rPr>
          <w:b/>
          <w:position w:val="7"/>
          <w:sz w:val="15"/>
        </w:rPr>
        <w:tab/>
      </w:r>
      <w:r w:rsidRPr="00E62276">
        <w:rPr>
          <w:sz w:val="16"/>
          <w:szCs w:val="16"/>
        </w:rPr>
        <w:t>In principle, 40 % for the ESF+ contributes to gender tracking. 100 % is applicable when Member State chooses to use Article 6 ESF+ Regulation as well as programme specific actions in gender equality</w:t>
      </w:r>
      <w:r>
        <w:rPr>
          <w:sz w:val="16"/>
          <w:szCs w:val="16"/>
        </w:rPr>
        <w:t>.</w:t>
      </w:r>
    </w:p>
    <w:p w14:paraId="221C21C0" w14:textId="77777777" w:rsidR="00DD13BF" w:rsidRDefault="00DD13BF" w:rsidP="00DD13BF">
      <w:pPr>
        <w:sectPr w:rsidR="00DD13BF" w:rsidSect="00FC3010">
          <w:headerReference w:type="default" r:id="rId33"/>
          <w:footerReference w:type="first" r:id="rId34"/>
          <w:type w:val="continuous"/>
          <w:pgSz w:w="16840" w:h="11910" w:orient="landscape"/>
          <w:pgMar w:top="1417" w:right="1417" w:bottom="1417" w:left="1417" w:header="708" w:footer="708" w:gutter="0"/>
          <w:cols w:space="708"/>
        </w:sectPr>
      </w:pPr>
    </w:p>
    <w:p w14:paraId="2C4776FA" w14:textId="77777777" w:rsidR="00DD13BF" w:rsidRDefault="00DD13BF" w:rsidP="00DD13BF">
      <w:pPr>
        <w:pStyle w:val="Naslov3"/>
      </w:pPr>
      <w:bookmarkStart w:id="21" w:name="_Toc131161703"/>
      <w:r>
        <w:lastRenderedPageBreak/>
        <w:t>Priority 3: Green transformation for climate neutrality</w:t>
      </w:r>
      <w:bookmarkEnd w:id="21"/>
      <w:r>
        <w:t xml:space="preserve">  </w:t>
      </w:r>
    </w:p>
    <w:p w14:paraId="4CAC1F73"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52B8FCC3" w14:textId="77777777" w:rsidTr="00355A56">
        <w:tc>
          <w:tcPr>
            <w:tcW w:w="13994" w:type="dxa"/>
          </w:tcPr>
          <w:p w14:paraId="023F5553" w14:textId="77777777" w:rsidR="00DD13BF" w:rsidRPr="006A1DD0" w:rsidRDefault="00DD13BF" w:rsidP="00355A56">
            <w:pPr>
              <w:rPr>
                <w:rFonts w:eastAsia="Calibri"/>
              </w:rPr>
            </w:pPr>
            <w:r>
              <w:rPr>
                <w:noProof/>
                <w:lang w:val="sl-SI"/>
              </w:rPr>
              <w:drawing>
                <wp:inline distT="0" distB="0" distL="0" distR="0" wp14:anchorId="2DBCDE08" wp14:editId="419EABA1">
                  <wp:extent cx="121920" cy="103505"/>
                  <wp:effectExtent l="0" t="0" r="0" b="0"/>
                  <wp:docPr id="1578" name="Slika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youth employment</w:t>
            </w:r>
          </w:p>
        </w:tc>
      </w:tr>
      <w:tr w:rsidR="00DD13BF" w:rsidRPr="006A1DD0" w14:paraId="3FC1B4C5" w14:textId="77777777" w:rsidTr="00355A56">
        <w:tc>
          <w:tcPr>
            <w:tcW w:w="13994" w:type="dxa"/>
          </w:tcPr>
          <w:p w14:paraId="1DC593BE" w14:textId="77777777" w:rsidR="00DD13BF" w:rsidRPr="006A1DD0" w:rsidRDefault="00DD13BF" w:rsidP="00355A56">
            <w:pPr>
              <w:rPr>
                <w:rFonts w:eastAsia="Calibri"/>
              </w:rPr>
            </w:pPr>
            <w:r>
              <w:rPr>
                <w:noProof/>
                <w:lang w:val="sl-SI"/>
              </w:rPr>
              <w:drawing>
                <wp:inline distT="0" distB="0" distL="0" distR="0" wp14:anchorId="7F2B0757" wp14:editId="30C59C3A">
                  <wp:extent cx="121920" cy="103505"/>
                  <wp:effectExtent l="0" t="0" r="0" b="0"/>
                  <wp:docPr id="1579" name="Slika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social innovative actions</w:t>
            </w:r>
          </w:p>
        </w:tc>
      </w:tr>
      <w:tr w:rsidR="00DD13BF" w:rsidRPr="006A1DD0" w14:paraId="1D5683D5" w14:textId="77777777" w:rsidTr="00355A56">
        <w:tc>
          <w:tcPr>
            <w:tcW w:w="13994" w:type="dxa"/>
          </w:tcPr>
          <w:p w14:paraId="0540ADC1" w14:textId="77777777" w:rsidR="00DD13BF" w:rsidRPr="006A1DD0" w:rsidRDefault="00DD13BF" w:rsidP="00355A56">
            <w:pPr>
              <w:rPr>
                <w:rFonts w:eastAsia="Calibri"/>
              </w:rPr>
            </w:pPr>
            <w:r>
              <w:rPr>
                <w:noProof/>
                <w:lang w:val="sl-SI"/>
              </w:rPr>
              <w:drawing>
                <wp:inline distT="0" distB="0" distL="0" distR="0" wp14:anchorId="28072E38" wp14:editId="3684E952">
                  <wp:extent cx="121920" cy="103505"/>
                  <wp:effectExtent l="0" t="0" r="0" b="0"/>
                  <wp:docPr id="1580" name="Slika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3EABC208" w14:textId="77777777" w:rsidTr="00355A56">
        <w:tc>
          <w:tcPr>
            <w:tcW w:w="13994" w:type="dxa"/>
          </w:tcPr>
          <w:p w14:paraId="1B0C3722" w14:textId="77777777" w:rsidR="00DD13BF" w:rsidRPr="006A1DD0" w:rsidRDefault="00DD13BF" w:rsidP="00355A56">
            <w:pPr>
              <w:rPr>
                <w:rFonts w:eastAsia="Calibri"/>
              </w:rPr>
            </w:pPr>
            <w:r>
              <w:rPr>
                <w:noProof/>
                <w:lang w:val="sl-SI"/>
              </w:rPr>
              <w:drawing>
                <wp:inline distT="0" distB="0" distL="0" distR="0" wp14:anchorId="23F7B380" wp14:editId="70ADFEA1">
                  <wp:extent cx="121920" cy="103505"/>
                  <wp:effectExtent l="0" t="0" r="0" b="0"/>
                  <wp:docPr id="1581" name="Slika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4085B0C4" w14:textId="77777777" w:rsidTr="00355A56">
        <w:tc>
          <w:tcPr>
            <w:tcW w:w="13994" w:type="dxa"/>
          </w:tcPr>
          <w:p w14:paraId="5E3F8CF6" w14:textId="77777777" w:rsidR="00DD13BF" w:rsidRPr="006A1DD0" w:rsidRDefault="00DD13BF" w:rsidP="00355A56">
            <w:pPr>
              <w:rPr>
                <w:rFonts w:eastAsia="Calibri"/>
              </w:rPr>
            </w:pPr>
            <w:r>
              <w:rPr>
                <w:noProof/>
                <w:lang w:val="sl-SI"/>
              </w:rPr>
              <w:drawing>
                <wp:inline distT="0" distB="0" distL="0" distR="0" wp14:anchorId="5E0E4B1E" wp14:editId="656495A3">
                  <wp:extent cx="121920" cy="103505"/>
                  <wp:effectExtent l="0" t="0" r="0" b="0"/>
                  <wp:docPr id="1582" name="Slika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urban mobility specific objective set out in point (viii) of Article 3(1)(b) of the ERDF and Cohesion Fund Regulation</w:t>
            </w:r>
          </w:p>
          <w:p w14:paraId="470FB453" w14:textId="77777777" w:rsidR="00DD13BF" w:rsidRPr="006A1DD0" w:rsidRDefault="00DD13BF" w:rsidP="00355A56">
            <w:pPr>
              <w:rPr>
                <w:rFonts w:eastAsia="Calibri"/>
              </w:rPr>
            </w:pPr>
          </w:p>
        </w:tc>
      </w:tr>
      <w:tr w:rsidR="00DD13BF" w:rsidRPr="006A1DD0" w14:paraId="5319A910" w14:textId="77777777" w:rsidTr="00355A56">
        <w:trPr>
          <w:trHeight w:val="83"/>
        </w:trPr>
        <w:tc>
          <w:tcPr>
            <w:tcW w:w="13994" w:type="dxa"/>
          </w:tcPr>
          <w:p w14:paraId="63DB1629" w14:textId="77777777" w:rsidR="00DD13BF" w:rsidRPr="00F437DD" w:rsidRDefault="00DD13BF" w:rsidP="00355A56">
            <w:pPr>
              <w:rPr>
                <w:rFonts w:eastAsia="Calibri"/>
              </w:rPr>
            </w:pPr>
            <w:r>
              <w:rPr>
                <w:noProof/>
                <w:lang w:val="sl-SI"/>
              </w:rPr>
              <w:drawing>
                <wp:inline distT="0" distB="0" distL="0" distR="0" wp14:anchorId="5ECD82F4" wp14:editId="0D25A455">
                  <wp:extent cx="121920" cy="103505"/>
                  <wp:effectExtent l="0" t="0" r="0" b="0"/>
                  <wp:docPr id="1583" name="Slika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digital connectivity specific objective set out in point (v) of Article 3(1)(a) of the ERDF and Cohesion Fund Regulation</w:t>
            </w:r>
          </w:p>
          <w:p w14:paraId="66EDFD42" w14:textId="77777777" w:rsidR="00DD13BF" w:rsidRPr="006A1DD0" w:rsidRDefault="00DD13BF" w:rsidP="00355A56">
            <w:pPr>
              <w:rPr>
                <w:rFonts w:eastAsia="Calibri"/>
              </w:rPr>
            </w:pPr>
          </w:p>
        </w:tc>
      </w:tr>
    </w:tbl>
    <w:p w14:paraId="1A77ADB8"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7C503CB0" w14:textId="77777777" w:rsidR="00DD13BF" w:rsidRDefault="00DD13BF" w:rsidP="00DD13BF"/>
    <w:p w14:paraId="2D352BC4" w14:textId="77777777" w:rsidR="00DD13BF" w:rsidRDefault="00DD13BF" w:rsidP="00DD13BF">
      <w:pPr>
        <w:rPr>
          <w:sz w:val="24"/>
        </w:rPr>
      </w:pPr>
    </w:p>
    <w:p w14:paraId="6BDCD38B" w14:textId="77777777" w:rsidR="00DD13BF" w:rsidRPr="00BD3536" w:rsidRDefault="00DD13BF" w:rsidP="00DD13BF">
      <w:pPr>
        <w:pStyle w:val="Naslov4"/>
        <w:ind w:left="1134"/>
      </w:pPr>
      <w:bookmarkStart w:id="22" w:name="_Hlk94772252"/>
      <w:bookmarkStart w:id="23" w:name="_Toc131161704"/>
      <w:r>
        <w:t>Specific objective RSO2.1. Promoting energy efficiency and reducing greenhouse gas emissions (ERDF) (Cohesion Fund)</w:t>
      </w:r>
      <w:bookmarkEnd w:id="23"/>
    </w:p>
    <w:bookmarkEnd w:id="22"/>
    <w:p w14:paraId="11AC776E" w14:textId="77777777" w:rsidR="00DD13BF" w:rsidRDefault="00DD13BF" w:rsidP="00DD13BF">
      <w:pPr>
        <w:rPr>
          <w:sz w:val="30"/>
        </w:rPr>
      </w:pPr>
    </w:p>
    <w:p w14:paraId="206E7B39" w14:textId="77777777" w:rsidR="00DD13BF" w:rsidRPr="00C10464" w:rsidRDefault="00DD13BF" w:rsidP="00DD13BF">
      <w:pPr>
        <w:pStyle w:val="Naslov5"/>
        <w:spacing w:before="0"/>
      </w:pPr>
      <w:r>
        <w:t>Interventions of the Funds</w:t>
      </w:r>
    </w:p>
    <w:p w14:paraId="4979FF64" w14:textId="77777777" w:rsidR="00DD13BF" w:rsidRDefault="00DD13BF" w:rsidP="00DD13BF">
      <w:pPr>
        <w:rPr>
          <w:sz w:val="30"/>
        </w:rPr>
      </w:pPr>
    </w:p>
    <w:p w14:paraId="68477651" w14:textId="77777777" w:rsidR="00DD13BF" w:rsidRDefault="00DD13BF" w:rsidP="00DD13BF">
      <w:pPr>
        <w:ind w:left="1349"/>
        <w:rPr>
          <w:spacing w:val="-2"/>
        </w:rPr>
      </w:pPr>
      <w:r>
        <w:t>Related types of actions:</w:t>
      </w:r>
    </w:p>
    <w:p w14:paraId="1892FD36"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2653D093" w14:textId="77777777" w:rsidTr="00355A56">
        <w:trPr>
          <w:trHeight w:val="316"/>
        </w:trPr>
        <w:tc>
          <w:tcPr>
            <w:tcW w:w="12758" w:type="dxa"/>
          </w:tcPr>
          <w:p w14:paraId="5A08B6CA" w14:textId="77777777" w:rsidR="00DD13BF" w:rsidRDefault="00DD13BF" w:rsidP="00355A56">
            <w:pPr>
              <w:jc w:val="both"/>
              <w:rPr>
                <w:rFonts w:cstheme="minorHAnsi"/>
              </w:rPr>
            </w:pPr>
            <w:r>
              <w:t>Pursuant to Article 5 of Directive 2012/27/EU on energy efficiency, Slovenia will have to renovate in terms of energy almost 26 million m</w:t>
            </w:r>
            <w:r>
              <w:rPr>
                <w:vertAlign w:val="superscript"/>
              </w:rPr>
              <w:t>2</w:t>
            </w:r>
            <w:r>
              <w:t xml:space="preserve"> of building surfaces or 1.3–1.7 million m</w:t>
            </w:r>
            <w:r>
              <w:rPr>
                <w:vertAlign w:val="superscript"/>
              </w:rPr>
              <w:t>2</w:t>
            </w:r>
            <w:r>
              <w:t xml:space="preserve"> annually, of which slightly more than a third is in the standard of almost zero-energy buildings, and in accordance with the DSEPS, ensure a reduction of GHG emissions in buildings by at least 70% by 2030 compared to 2005. Slovenia will be able to achieve the aforementioned by significantly improving energy efficiency and increasing the use of RES in buildings. As part of the pursuit of the goal of improving energy efficiency, special emphasis will be put on the economy. To attain the stated objectives in the area of ​​promoting energy efficiency and the requirements of European directives, investments will be aimed at:</w:t>
            </w:r>
          </w:p>
          <w:p w14:paraId="1B5949BD" w14:textId="77777777" w:rsidR="00DD13BF" w:rsidRPr="00F437DD" w:rsidRDefault="00DD13BF" w:rsidP="00355A56">
            <w:pPr>
              <w:jc w:val="both"/>
              <w:rPr>
                <w:rFonts w:cstheme="minorHAnsi"/>
              </w:rPr>
            </w:pPr>
          </w:p>
          <w:p w14:paraId="4B6E8FC8" w14:textId="77777777" w:rsidR="00DD13BF" w:rsidRPr="00AB3C02" w:rsidRDefault="00DD13BF" w:rsidP="00DD13BF">
            <w:pPr>
              <w:pStyle w:val="Odstavekseznama"/>
              <w:widowControl/>
              <w:numPr>
                <w:ilvl w:val="0"/>
                <w:numId w:val="18"/>
              </w:numPr>
              <w:autoSpaceDE/>
              <w:autoSpaceDN/>
              <w:jc w:val="both"/>
              <w:rPr>
                <w:rFonts w:ascii="Times New Roman" w:hAnsi="Times New Roman" w:cs="Times New Roman"/>
              </w:rPr>
            </w:pPr>
            <w:r>
              <w:rPr>
                <w:rFonts w:ascii="Times New Roman" w:hAnsi="Times New Roman"/>
                <w:i/>
                <w:iCs/>
              </w:rPr>
              <w:t>Measures of the energy renovation of buildings (including public) with consideration of sustainable construction and advanced management of systems in and on buildings (including public)</w:t>
            </w:r>
            <w:r>
              <w:rPr>
                <w:rFonts w:ascii="Times New Roman" w:hAnsi="Times New Roman"/>
              </w:rPr>
              <w:t xml:space="preserve">: investments in the energy renovation of buildings will be carried out in accordance with the DSEPS; support will also be aimed at measures to improve energy management. When implementing the measures, the mitigating measures and guidelines for environmental protection from the NECP, and suitably adapted mitigating measures in the field of cultural heritage buildings will be taken into account. Within the RRP, the primary focus was on the renovation and upgrading of individual building systems in the buildings that are most at risk for the spread of the virus during the COVID-19 epidemic, as they perform emergency administrative and other socially important functions to support the smooth work of the state administration and </w:t>
            </w:r>
            <w:r>
              <w:rPr>
                <w:rFonts w:ascii="Times New Roman" w:hAnsi="Times New Roman"/>
              </w:rPr>
              <w:lastRenderedPageBreak/>
              <w:t>the provision of essential services for residents. In addition to energy renovation, other forms of renovation were planned to a lesser extent, e.g. seismic retrofitting. Funding from the ECP will address the remaining buildings not included in the RRP, but which require urgent renovation due to their poor energy efficiency. The measures will contribute to Slovenia’s target to improve energy efficiency by 2030 by at least 35%, i.e. with the systematic implementation of adopted policies and measures, the final energy use will not exceed 54.9 TWh (4,717 ktoe) by 2030. Within the framework of the proposed measures, special attention will be paid to the successful integration of the principles of sustainability, aesthetics and inclusion in line with the New European Bauhaus initiative. In accordance with the aforementioned, the following sub-measures are foreseen in this field:</w:t>
            </w:r>
          </w:p>
          <w:p w14:paraId="6B8EC75E" w14:textId="77777777" w:rsidR="00DD13BF"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 xml:space="preserve">Comprehensive energy renovation of public sector buildings: The long-term objective regarding public sector buildings is the energy renovation of the largest possible total floor area. In the narrower public sector (hereafter: NPS), the objective is 3% of the total floor area, where the minimum energy efficiency requirements are met in accordance with national legislation. The DSEPS 2050 foresees the energy renovation of NPS buildings based on the calculation of the total floor area of ​​buildings owned and used by NPS persons, which have a total usable floor area of ​​more than 250 m² and which, on January 1 of each year, do not meet the national minimum energy efficiency requirements specified pursuant to Article 4 of Directive 2010/31/EU on the energy performance of buildings. This measure foresees the implementation of the energy renovation of buildings owned and used by the narrower and wider public sector, including buildings of special importance (police, military (dual-purpose facilities intended not only for military personnel, but also for civilians), prisons, courts, infrastructure in the field of protection and rescue), and buildings owned and used by municipalities intended for activities in the public interest (e.g. educational institutions, nursing homes (whereby the funds will be used to increase quality, while not increasing the accommodation capacity), libraries, gyms, etc.). Special treatment will be given to buildings with specific characteristics based on building typology, purpose or changes resulting from energy renovation. Considering the clearly identified advantages of energy performance contracting, particularly in relation to the attainment of objectives related to the provision of energy savings and the effectiveness of resource consumption, projects will be guided towards the implementation of procedures in accordance with various implementation models of energy performance contracting. At the same time, the CF funds will also be used to encourage the preparation of projects for the energy renovation of public buildings to promote the renovation of public sector buildings, shorten the time for document drafting and promote the implementation of further measures related to energy renovation. </w:t>
            </w:r>
          </w:p>
          <w:p w14:paraId="5F834793" w14:textId="77777777" w:rsidR="00DD13BF" w:rsidRPr="00E464E0"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 xml:space="preserve">Comprehensive energy renovation of buildings of the private service sector: Measures are planned for buildings of the private service sector, such as shops, office buildings, hospitality buildings, privately owned hotels, etc. According to the NECP and the DSEPS 2050, these buildings constitute a great technical potential for comprehensive energy renovation. Energy efficiency (hereafter: EE) and the use of RES enable small and medium-sized companies to reduce energy costs, thus improving business operations. Due to their limited size, these companies usually do not have enough staff and knowledge, and do not recognise the opportunities brought by EE and RES measures.  Despite the fact that limited public funds are already available for this purpose (Eco Fund funds, energy supplier programmes), the potential identified by the DSEPS 2050 is great; therefore, a special measure should be devised for this target group of buildings to accelerate and help to remove obstacles to increase the share of private service sector renovation. Within these funds, more incentives may be focused on different building typologies to </w:t>
            </w:r>
            <w:r>
              <w:rPr>
                <w:rFonts w:ascii="Times New Roman" w:hAnsi="Times New Roman"/>
              </w:rPr>
              <w:lastRenderedPageBreak/>
              <w:t xml:space="preserve">promote more projects, e.g. hotels, hospitality establishments of historical importance with technological or construction peculiarities, with the aim of promoting certain specific types of private sector buildings in view of the great potential for renovation, where their potential would be recognised and appropriate financial incentives developed for them. This measure is also intended to stimulate the provision of service packages aimed at this target group. </w:t>
            </w:r>
          </w:p>
          <w:p w14:paraId="4A5DB7EE" w14:textId="77777777" w:rsidR="00DD13BF" w:rsidRPr="007813B3"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Promoting the energy renovation of private multi-dwelling buildings: The planned scope of the required energy renovation of multi-dwelling buildings between 2021 and 2030 covers almost all buildings, including buildings where the identified obstacles and problems (dispersed ownership in multi-dwelling buildings, demographic structure of owners, energy poverty, sharing incentives between owners and tenants, lack of owners’ motivation, the urgency of a complete renovation) are striking and it is therefore difficult to expect that the energy renovation will take place without external support. So far, these buildings have not been subject to energy renovation. Therefore, one of the measures is to also upgrade the energy office activities in the field of multi-dwelling buildings within the framework of the Eco Fund, which will provide technical assistance, the identification of potential individual and group energy renovation projects for multi-dwelling buildings, the preparation of energy renovation projects, the implementation of extended energy inspections and the production of energy certificates for buildings, the assessment of renovation potentials, the collection of information on consents and structural problems of building ownership, etc. To promote energy renovation and eliminate obstacles in private multi-dwelling buildings, several pilot demonstration projects will be supported, which will also address other problems of comprehensive renovation, which arise during energy renovation (e.g. almost zero-energy renovation of a multi-dwelling building, comprehensive seismic and/or fire retrofitting with energy renovation of a multi-dwelling building, zero-emission renovation of a multi-dwelling building, energy renovation of a multi-dwelling building with increased energy poverty due to dispersed ownership).</w:t>
            </w:r>
          </w:p>
          <w:p w14:paraId="08660406" w14:textId="77777777" w:rsidR="00DD13BF" w:rsidRPr="00907D98" w:rsidRDefault="00DD13BF" w:rsidP="00355A56">
            <w:pPr>
              <w:jc w:val="both"/>
            </w:pPr>
          </w:p>
          <w:p w14:paraId="4CB5167F" w14:textId="77777777" w:rsidR="00DD13BF" w:rsidRDefault="00DD13BF" w:rsidP="00DD13BF">
            <w:pPr>
              <w:widowControl/>
              <w:numPr>
                <w:ilvl w:val="0"/>
                <w:numId w:val="19"/>
              </w:numPr>
              <w:autoSpaceDE/>
              <w:autoSpaceDN/>
              <w:jc w:val="both"/>
            </w:pPr>
            <w:r>
              <w:rPr>
                <w:i/>
                <w:iCs/>
              </w:rPr>
              <w:t>Measures to raise awareness of socially vulnerable groups and facilitate their access to grants and reduce energy poverty</w:t>
            </w:r>
            <w:r>
              <w:t>: The measures aim to reduce energy poverty and improve the health and quality of life of people affected by energy poverty. An upgrade of the instrument for EE in households for vulnerable population groups is planned. In the 2014–2020 financial framework, EUR 5 million was allocated to reducing energy poverty by subsidising EE measures. The experience based on the measures implemented between 2014 and 2020 will primarily help to identify the relevant most vulnerable stakeholders and formulate suitable justified energy efficiency costs. Major challenges appeared in communication with the recipients or beneficiaries of these measures, as they are largely illiterate people who have major problems just preparing the application. Measures in this field will therefore be aimed at investments and guidance, and measures to change behavioural habits. Guidance and other implementation assistance will be aimed at eliminating the obstacles faced by this target group (access to information, skills to implement measures, etc.) and will rely as much as possible on experience in providing assistance to this target group in other fields.</w:t>
            </w:r>
          </w:p>
          <w:p w14:paraId="5A2CE871" w14:textId="77777777" w:rsidR="00DD13BF" w:rsidRDefault="00DD13BF" w:rsidP="00355A56">
            <w:pPr>
              <w:jc w:val="both"/>
            </w:pPr>
          </w:p>
          <w:p w14:paraId="07DE1CE2" w14:textId="77777777" w:rsidR="00DD13BF" w:rsidRDefault="00DD13BF" w:rsidP="00355A56">
            <w:pPr>
              <w:jc w:val="both"/>
            </w:pPr>
            <w:r>
              <w:t>To develop the existing, and promote the creation of, new contractors in energy performance contracting or energy service companies (ESCO SMEs), a creation of a pilot financial instrument product to strengthen ESCO SMEs is foreseen, for example by providing guarantees (through guarantee schemes) and/or by strengthening the capital of ESCO SMEs through (virtual) equity financing and/or the issue of green bonds and other potential products.</w:t>
            </w:r>
          </w:p>
          <w:p w14:paraId="6F06B7CE" w14:textId="77777777" w:rsidR="00DD13BF" w:rsidRPr="00596191" w:rsidRDefault="00DD13BF" w:rsidP="00355A56">
            <w:pPr>
              <w:jc w:val="both"/>
            </w:pPr>
          </w:p>
          <w:p w14:paraId="6FC65265" w14:textId="77777777" w:rsidR="00DD13BF" w:rsidRPr="000F0D79" w:rsidRDefault="00DD13BF" w:rsidP="00355A56">
            <w:pPr>
              <w:pStyle w:val="Odstavekseznama"/>
              <w:ind w:left="31"/>
              <w:jc w:val="both"/>
            </w:pPr>
            <w:r>
              <w:rPr>
                <w:rFonts w:ascii="Times New Roman" w:hAnsi="Times New Roman"/>
              </w:rP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None of the measures foreseen under this SO has a significant adverse impact on any of the six environmental objectives, taking into account the technical screening criteria set out in annex DNSH.</w:t>
            </w:r>
          </w:p>
        </w:tc>
      </w:tr>
    </w:tbl>
    <w:p w14:paraId="78754FD2" w14:textId="77777777" w:rsidR="00DD13BF" w:rsidRDefault="00DD13BF" w:rsidP="00DD13BF">
      <w:pPr>
        <w:ind w:left="1349"/>
        <w:rPr>
          <w:spacing w:val="-6"/>
        </w:rPr>
      </w:pPr>
    </w:p>
    <w:p w14:paraId="478422E0" w14:textId="77777777" w:rsidR="00DD13BF" w:rsidRDefault="00DD13BF" w:rsidP="00DD13BF">
      <w:pPr>
        <w:ind w:left="1349"/>
      </w:pPr>
      <w:r>
        <w:t>Main target groups:</w:t>
      </w:r>
    </w:p>
    <w:p w14:paraId="333AC152"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A5F9249" w14:textId="77777777" w:rsidTr="00355A56">
        <w:tc>
          <w:tcPr>
            <w:tcW w:w="12763" w:type="dxa"/>
          </w:tcPr>
          <w:p w14:paraId="70172760" w14:textId="77777777" w:rsidR="00DD13BF" w:rsidRDefault="00DD13BF" w:rsidP="00355A56">
            <w:pPr>
              <w:jc w:val="both"/>
              <w:rPr>
                <w:rFonts w:cstheme="minorHAnsi"/>
              </w:rPr>
            </w:pPr>
            <w:r>
              <w:t>Target groups: enterprises, public sector, local communities, households, low-income households, contractual saving providers.</w:t>
            </w:r>
          </w:p>
          <w:p w14:paraId="434E7DBE" w14:textId="77777777" w:rsidR="00DD13BF" w:rsidRDefault="00DD13BF" w:rsidP="00355A56">
            <w:pPr>
              <w:jc w:val="both"/>
              <w:rPr>
                <w:rFonts w:cstheme="minorHAnsi"/>
                <w:lang w:bidi="sl-SI"/>
              </w:rPr>
            </w:pPr>
          </w:p>
          <w:p w14:paraId="353AC335" w14:textId="77777777" w:rsidR="00DD13BF" w:rsidRPr="00B3569A" w:rsidRDefault="00DD13BF" w:rsidP="00355A56">
            <w:pPr>
              <w:jc w:val="both"/>
              <w:rPr>
                <w:rFonts w:cstheme="minorHAnsi"/>
              </w:rPr>
            </w:pPr>
            <w:r>
              <w:t>Beneficiaries: enterprises, state administration, public sector, local communities, non-governmental organisations (priority will be given to organisations that have access to people with low income), cooperatives (e.g. housing), chambers.</w:t>
            </w:r>
          </w:p>
        </w:tc>
      </w:tr>
    </w:tbl>
    <w:p w14:paraId="2F7BBFAE" w14:textId="77777777" w:rsidR="00DD13BF" w:rsidRPr="006B7178" w:rsidRDefault="00DD13BF" w:rsidP="00DD13BF">
      <w:pPr>
        <w:ind w:left="1349"/>
      </w:pPr>
    </w:p>
    <w:p w14:paraId="397542CA" w14:textId="77777777" w:rsidR="00DD13BF" w:rsidRDefault="00DD13BF" w:rsidP="00DD13BF">
      <w:pPr>
        <w:ind w:left="1349"/>
        <w:rPr>
          <w:spacing w:val="-2"/>
        </w:rPr>
      </w:pPr>
      <w:r>
        <w:t>Measures to protect equality, inclusion and non-discrimination:</w:t>
      </w:r>
    </w:p>
    <w:p w14:paraId="62900B49"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5CE25AC0" w14:textId="77777777" w:rsidTr="00355A56">
        <w:tc>
          <w:tcPr>
            <w:tcW w:w="12715" w:type="dxa"/>
          </w:tcPr>
          <w:p w14:paraId="4B0DC96F" w14:textId="77777777" w:rsidR="00DD13BF" w:rsidRDefault="00DD13BF" w:rsidP="00355A56">
            <w:pPr>
              <w:jc w:val="both"/>
              <w:rPr>
                <w:rFonts w:cstheme="minorHAns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 </w:t>
            </w:r>
          </w:p>
          <w:p w14:paraId="6AF57FF6" w14:textId="77777777" w:rsidR="00DD13BF" w:rsidRDefault="00DD13BF" w:rsidP="00355A56">
            <w:pPr>
              <w:jc w:val="both"/>
              <w:rPr>
                <w:rFonts w:cstheme="minorHAnsi"/>
              </w:rPr>
            </w:pPr>
          </w:p>
          <w:p w14:paraId="673AFBFF" w14:textId="77777777" w:rsidR="00DD13BF" w:rsidRPr="00B3569A" w:rsidRDefault="00DD13BF" w:rsidP="00355A56">
            <w:pPr>
              <w:jc w:val="both"/>
              <w:rPr>
                <w:rFonts w:cstheme="minorHAnsi"/>
              </w:rPr>
            </w:pPr>
            <w:r>
              <w:t>During the implementation of structural measures, the facilities will also meet technical requirements with which they are adapted to be non-discriminatory against all forms of temporary or permanent disability and are adapted to vulnerable population groups. The measure to raise awareness of socially vulnerable groups and facilitate their access to grants, and reduce energy poverty is, by its content, aimed at reducing social poverty and the social inclusion of the most vulnerable groups.</w:t>
            </w:r>
          </w:p>
        </w:tc>
      </w:tr>
    </w:tbl>
    <w:p w14:paraId="72C04DEA" w14:textId="77777777" w:rsidR="00DD13BF" w:rsidRDefault="00DD13BF" w:rsidP="00DD13BF">
      <w:pPr>
        <w:rPr>
          <w:sz w:val="20"/>
        </w:rPr>
      </w:pPr>
    </w:p>
    <w:p w14:paraId="567A05DD" w14:textId="77777777" w:rsidR="00DD13BF" w:rsidRDefault="00DD13BF" w:rsidP="00DD13BF">
      <w:pPr>
        <w:ind w:left="1415"/>
        <w:rPr>
          <w:spacing w:val="-4"/>
        </w:rPr>
      </w:pPr>
      <w:r>
        <w:t>Indication of the specific territories targeted, including the planned use of territorial tools:</w:t>
      </w:r>
    </w:p>
    <w:p w14:paraId="223FD2DE"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0007DCCA" w14:textId="77777777" w:rsidTr="00355A56">
        <w:tc>
          <w:tcPr>
            <w:tcW w:w="12763" w:type="dxa"/>
          </w:tcPr>
          <w:p w14:paraId="0589517D" w14:textId="77777777" w:rsidR="00DD13BF" w:rsidRPr="00B3569A" w:rsidRDefault="00DD13BF" w:rsidP="00355A56">
            <w:pPr>
              <w:jc w:val="both"/>
              <w:rPr>
                <w:rFonts w:cstheme="minorHAnsi"/>
              </w:rPr>
            </w:pPr>
            <w:r>
              <w:t>Under this specific objective, the use of territorial tools is not foreseen.</w:t>
            </w:r>
          </w:p>
        </w:tc>
      </w:tr>
    </w:tbl>
    <w:p w14:paraId="48ADE396" w14:textId="77777777" w:rsidR="00DD13BF" w:rsidRDefault="00DD13BF" w:rsidP="00DD13BF">
      <w:pPr>
        <w:rPr>
          <w:sz w:val="18"/>
        </w:rPr>
      </w:pPr>
    </w:p>
    <w:p w14:paraId="5200BFCB" w14:textId="77777777" w:rsidR="00DD13BF" w:rsidRDefault="00DD13BF" w:rsidP="00DD13BF">
      <w:pPr>
        <w:ind w:left="1415"/>
      </w:pPr>
      <w:r>
        <w:t>The interregional, cross-border and transnational actions:</w:t>
      </w:r>
    </w:p>
    <w:p w14:paraId="01CAAF1C"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C41A524" w14:textId="77777777" w:rsidTr="00355A56">
        <w:tc>
          <w:tcPr>
            <w:tcW w:w="12763" w:type="dxa"/>
          </w:tcPr>
          <w:p w14:paraId="57AC68E9" w14:textId="77777777" w:rsidR="00DD13BF" w:rsidRPr="00B3569A" w:rsidRDefault="00DD13BF" w:rsidP="00355A56">
            <w:pPr>
              <w:jc w:val="both"/>
              <w:rPr>
                <w:rFonts w:cstheme="minorHAnsi"/>
              </w:rPr>
            </w:pPr>
            <w:r>
              <w:t>The implementation of interregional, cross-border and transnational actions is not planned within the stated specific objective, as these are measures to promote energy efficiency and reduce greenhouse gas emissions primarily intended for target groups in the territory of Slovenia.</w:t>
            </w:r>
          </w:p>
        </w:tc>
      </w:tr>
    </w:tbl>
    <w:p w14:paraId="4D690F2C" w14:textId="77777777" w:rsidR="00DD13BF" w:rsidRDefault="00DD13BF" w:rsidP="00DD13BF">
      <w:pPr>
        <w:rPr>
          <w:sz w:val="17"/>
        </w:rPr>
      </w:pPr>
    </w:p>
    <w:p w14:paraId="5277F48F" w14:textId="77777777" w:rsidR="00DD13BF" w:rsidRDefault="00DD13BF" w:rsidP="00DD13BF">
      <w:pPr>
        <w:ind w:left="1415"/>
        <w:rPr>
          <w:spacing w:val="-3"/>
        </w:rPr>
      </w:pPr>
      <w:r>
        <w:t>Planned use of financial instruments:</w:t>
      </w:r>
    </w:p>
    <w:p w14:paraId="5EEDE92A"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40B2A2B3" w14:textId="77777777" w:rsidTr="00355A56">
        <w:tc>
          <w:tcPr>
            <w:tcW w:w="12758" w:type="dxa"/>
          </w:tcPr>
          <w:p w14:paraId="6816DA94" w14:textId="77777777" w:rsidR="00DD13BF" w:rsidRDefault="00DD13BF" w:rsidP="00355A56">
            <w:pPr>
              <w:jc w:val="both"/>
            </w:pPr>
            <w:r>
              <w:t xml:space="preserve">The preliminary assessment of market needs and financing gaps in the market for the implementation of financial instruments in the 2021–2027 programming period (July 2022) determined that the gap in attaining the objectives of the NECP and other key strategic documents in the field of investments in energy efficiency is sufficient to make the use of financial instruments (hereinafter: FI) sensible. The use of FI is foreseen in the energy renovation of buildings of the private service sector. </w:t>
            </w:r>
          </w:p>
          <w:p w14:paraId="4FCC564D" w14:textId="77777777" w:rsidR="00DD13BF" w:rsidRDefault="00DD13BF" w:rsidP="00355A56">
            <w:pPr>
              <w:jc w:val="both"/>
              <w:rPr>
                <w:rFonts w:cstheme="minorBidi"/>
              </w:rPr>
            </w:pPr>
          </w:p>
          <w:p w14:paraId="6D17AF72" w14:textId="77777777" w:rsidR="00DD13BF" w:rsidRPr="00B3569A" w:rsidRDefault="00DD13BF" w:rsidP="00355A56">
            <w:pPr>
              <w:jc w:val="both"/>
              <w:rPr>
                <w:rFonts w:cstheme="minorBidi"/>
              </w:rPr>
            </w:pPr>
            <w:r>
              <w:t>For the public sector, the 2014–20 period showed that, for many reasons identified in the analysis by the fund of funds, the implementation was not sufficiently successful, therefore, grants will be used. For the rest of the private sector (private individuals and enterprises), grants from EU funds will be supplemented by support from FI created from national funds.</w:t>
            </w:r>
          </w:p>
        </w:tc>
      </w:tr>
    </w:tbl>
    <w:p w14:paraId="2018714A" w14:textId="77777777" w:rsidR="00DD13BF" w:rsidRDefault="00DD13BF" w:rsidP="00DD13BF">
      <w:pPr>
        <w:rPr>
          <w:sz w:val="20"/>
        </w:rPr>
      </w:pPr>
    </w:p>
    <w:p w14:paraId="64BEE990" w14:textId="77777777" w:rsidR="00DD13BF" w:rsidRDefault="00DD13BF" w:rsidP="00DD13BF">
      <w:pPr>
        <w:rPr>
          <w:sz w:val="20"/>
        </w:rPr>
      </w:pPr>
    </w:p>
    <w:p w14:paraId="0B1336AC" w14:textId="77777777" w:rsidR="00DD13BF" w:rsidRDefault="00DD13BF" w:rsidP="00DD13BF">
      <w:pPr>
        <w:pStyle w:val="Naslov5"/>
        <w:spacing w:before="0"/>
      </w:pPr>
      <w:r>
        <w:t>Indicators</w:t>
      </w:r>
    </w:p>
    <w:p w14:paraId="7B251389" w14:textId="77777777" w:rsidR="00DD13BF" w:rsidRDefault="00DD13BF" w:rsidP="00DD13BF"/>
    <w:p w14:paraId="586B71AB" w14:textId="77777777" w:rsidR="00DD13BF" w:rsidRDefault="00DD13BF" w:rsidP="00DD13BF">
      <w:pPr>
        <w:ind w:left="379"/>
      </w:pPr>
      <w:r>
        <w:t>Table 2: Output indicators</w:t>
      </w:r>
    </w:p>
    <w:p w14:paraId="2CF4938D" w14:textId="77777777" w:rsidR="00DD13BF" w:rsidRDefault="00DD13BF" w:rsidP="00DD13BF">
      <w:pPr>
        <w:rPr>
          <w:sz w:val="21"/>
        </w:rPr>
      </w:pPr>
    </w:p>
    <w:tbl>
      <w:tblPr>
        <w:tblStyle w:val="NormalTable0"/>
        <w:tblW w:w="13883"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417"/>
        <w:gridCol w:w="708"/>
        <w:gridCol w:w="1701"/>
        <w:gridCol w:w="778"/>
        <w:gridCol w:w="3192"/>
        <w:gridCol w:w="1985"/>
        <w:gridCol w:w="1418"/>
        <w:gridCol w:w="1559"/>
      </w:tblGrid>
      <w:tr w:rsidR="00DD13BF" w14:paraId="2C0E3F82" w14:textId="77777777" w:rsidTr="00355A56">
        <w:trPr>
          <w:trHeight w:val="254"/>
        </w:trPr>
        <w:tc>
          <w:tcPr>
            <w:tcW w:w="1125" w:type="dxa"/>
            <w:vAlign w:val="center"/>
          </w:tcPr>
          <w:p w14:paraId="3DCD4750" w14:textId="77777777" w:rsidR="00DD13BF" w:rsidRDefault="00DD13BF" w:rsidP="00355A56">
            <w:pPr>
              <w:pStyle w:val="TableParagraph"/>
              <w:ind w:right="82"/>
            </w:pPr>
            <w:r>
              <w:t>Priority</w:t>
            </w:r>
          </w:p>
        </w:tc>
        <w:tc>
          <w:tcPr>
            <w:tcW w:w="1417" w:type="dxa"/>
            <w:vAlign w:val="center"/>
          </w:tcPr>
          <w:p w14:paraId="07359FA8" w14:textId="77777777" w:rsidR="00DD13BF" w:rsidRDefault="00DD13BF" w:rsidP="00355A56">
            <w:pPr>
              <w:pStyle w:val="TableParagraph"/>
            </w:pPr>
            <w:r>
              <w:t>Specific objective</w:t>
            </w:r>
          </w:p>
        </w:tc>
        <w:tc>
          <w:tcPr>
            <w:tcW w:w="708" w:type="dxa"/>
            <w:vAlign w:val="center"/>
          </w:tcPr>
          <w:p w14:paraId="2F3AB079" w14:textId="77777777" w:rsidR="00DD13BF" w:rsidRDefault="00DD13BF" w:rsidP="00355A56">
            <w:pPr>
              <w:pStyle w:val="TableParagraph"/>
            </w:pPr>
            <w:r>
              <w:t>Fund</w:t>
            </w:r>
          </w:p>
        </w:tc>
        <w:tc>
          <w:tcPr>
            <w:tcW w:w="1701" w:type="dxa"/>
            <w:vAlign w:val="center"/>
          </w:tcPr>
          <w:p w14:paraId="7990CD86" w14:textId="77777777" w:rsidR="00DD13BF" w:rsidRDefault="00DD13BF" w:rsidP="00355A56">
            <w:pPr>
              <w:pStyle w:val="TableParagraph"/>
            </w:pPr>
            <w:r>
              <w:t>Category of region</w:t>
            </w:r>
          </w:p>
        </w:tc>
        <w:tc>
          <w:tcPr>
            <w:tcW w:w="778" w:type="dxa"/>
            <w:vAlign w:val="center"/>
          </w:tcPr>
          <w:p w14:paraId="43297707" w14:textId="77777777" w:rsidR="00DD13BF" w:rsidRPr="00347461" w:rsidRDefault="00DD13BF" w:rsidP="00355A56">
            <w:pPr>
              <w:pStyle w:val="TableParagraph"/>
              <w:rPr>
                <w:sz w:val="20"/>
              </w:rPr>
            </w:pPr>
            <w:r>
              <w:t>ID</w:t>
            </w:r>
          </w:p>
        </w:tc>
        <w:tc>
          <w:tcPr>
            <w:tcW w:w="3192" w:type="dxa"/>
            <w:vAlign w:val="center"/>
          </w:tcPr>
          <w:p w14:paraId="28C8305F" w14:textId="77777777" w:rsidR="00DD13BF" w:rsidRPr="00347461" w:rsidRDefault="00DD13BF" w:rsidP="00355A56">
            <w:pPr>
              <w:pStyle w:val="TableParagraph"/>
              <w:rPr>
                <w:sz w:val="20"/>
              </w:rPr>
            </w:pPr>
            <w:r>
              <w:t>Indicators</w:t>
            </w:r>
          </w:p>
        </w:tc>
        <w:tc>
          <w:tcPr>
            <w:tcW w:w="1985" w:type="dxa"/>
            <w:vAlign w:val="center"/>
          </w:tcPr>
          <w:p w14:paraId="22F46469" w14:textId="77777777" w:rsidR="00DD13BF" w:rsidRPr="00347461" w:rsidRDefault="00DD13BF" w:rsidP="00355A56">
            <w:pPr>
              <w:pStyle w:val="TableParagraph"/>
              <w:rPr>
                <w:sz w:val="20"/>
              </w:rPr>
            </w:pPr>
            <w:r>
              <w:t>Measurement unit</w:t>
            </w:r>
          </w:p>
        </w:tc>
        <w:tc>
          <w:tcPr>
            <w:tcW w:w="1418" w:type="dxa"/>
            <w:vAlign w:val="center"/>
          </w:tcPr>
          <w:p w14:paraId="14BCD6F4" w14:textId="77777777" w:rsidR="00DD13BF" w:rsidRPr="00347461" w:rsidRDefault="00DD13BF" w:rsidP="00355A56">
            <w:pPr>
              <w:pStyle w:val="TableParagraph"/>
              <w:rPr>
                <w:sz w:val="20"/>
              </w:rPr>
            </w:pPr>
            <w:r>
              <w:t>Milestone (2014)</w:t>
            </w:r>
          </w:p>
        </w:tc>
        <w:tc>
          <w:tcPr>
            <w:tcW w:w="1559" w:type="dxa"/>
            <w:vAlign w:val="center"/>
          </w:tcPr>
          <w:p w14:paraId="2B8F1B12" w14:textId="77777777" w:rsidR="00DD13BF" w:rsidRDefault="00DD13BF" w:rsidP="00355A56">
            <w:pPr>
              <w:pStyle w:val="TableParagraph"/>
            </w:pPr>
            <w:r>
              <w:t>Target (2029)</w:t>
            </w:r>
          </w:p>
        </w:tc>
      </w:tr>
      <w:tr w:rsidR="00DD13BF" w14:paraId="5E803DDD" w14:textId="77777777" w:rsidTr="00355A56">
        <w:trPr>
          <w:trHeight w:val="367"/>
        </w:trPr>
        <w:tc>
          <w:tcPr>
            <w:tcW w:w="1125" w:type="dxa"/>
          </w:tcPr>
          <w:p w14:paraId="39A71A05" w14:textId="77777777" w:rsidR="00DD13BF" w:rsidRPr="00CA7F76" w:rsidRDefault="00DD13BF" w:rsidP="00355A56">
            <w:pPr>
              <w:pStyle w:val="TableParagraph"/>
              <w:rPr>
                <w:sz w:val="20"/>
              </w:rPr>
            </w:pPr>
            <w:r>
              <w:rPr>
                <w:sz w:val="20"/>
              </w:rPr>
              <w:t>3</w:t>
            </w:r>
          </w:p>
        </w:tc>
        <w:tc>
          <w:tcPr>
            <w:tcW w:w="1417" w:type="dxa"/>
          </w:tcPr>
          <w:p w14:paraId="5A9E09B5" w14:textId="77777777" w:rsidR="00DD13BF" w:rsidRPr="00CA7F76" w:rsidRDefault="00DD13BF" w:rsidP="00355A56">
            <w:pPr>
              <w:pStyle w:val="TableParagraph"/>
              <w:rPr>
                <w:sz w:val="20"/>
              </w:rPr>
            </w:pPr>
            <w:r>
              <w:rPr>
                <w:color w:val="000000"/>
                <w:sz w:val="20"/>
              </w:rPr>
              <w:t>RSO2.1</w:t>
            </w:r>
          </w:p>
        </w:tc>
        <w:tc>
          <w:tcPr>
            <w:tcW w:w="708" w:type="dxa"/>
          </w:tcPr>
          <w:p w14:paraId="7BE74110" w14:textId="77777777" w:rsidR="00DD13BF" w:rsidRPr="00CA7F76" w:rsidRDefault="00DD13BF" w:rsidP="00355A56">
            <w:pPr>
              <w:pStyle w:val="TableParagraph"/>
              <w:rPr>
                <w:sz w:val="20"/>
              </w:rPr>
            </w:pPr>
            <w:r>
              <w:rPr>
                <w:sz w:val="20"/>
              </w:rPr>
              <w:t>ERDF</w:t>
            </w:r>
          </w:p>
          <w:p w14:paraId="71B7FA9F" w14:textId="77777777" w:rsidR="00DD13BF" w:rsidRPr="00CA7F76" w:rsidRDefault="00DD13BF" w:rsidP="00355A56">
            <w:pPr>
              <w:pStyle w:val="TableParagraph"/>
              <w:rPr>
                <w:sz w:val="20"/>
              </w:rPr>
            </w:pPr>
          </w:p>
        </w:tc>
        <w:tc>
          <w:tcPr>
            <w:tcW w:w="1701" w:type="dxa"/>
          </w:tcPr>
          <w:p w14:paraId="3A1690AF" w14:textId="77777777" w:rsidR="00DD13BF" w:rsidRPr="00CA7F76" w:rsidRDefault="00DD13BF" w:rsidP="00355A56">
            <w:pPr>
              <w:pStyle w:val="TableParagraph"/>
              <w:rPr>
                <w:sz w:val="20"/>
              </w:rPr>
            </w:pPr>
            <w:r>
              <w:rPr>
                <w:sz w:val="20"/>
              </w:rPr>
              <w:t>Less developed</w:t>
            </w:r>
          </w:p>
          <w:p w14:paraId="0EB96B36" w14:textId="77777777" w:rsidR="00DD13BF" w:rsidRPr="00CA7F76" w:rsidRDefault="00DD13BF" w:rsidP="00355A56">
            <w:pPr>
              <w:pStyle w:val="TableParagraph"/>
              <w:rPr>
                <w:sz w:val="20"/>
              </w:rPr>
            </w:pPr>
          </w:p>
        </w:tc>
        <w:tc>
          <w:tcPr>
            <w:tcW w:w="778" w:type="dxa"/>
          </w:tcPr>
          <w:p w14:paraId="7A529DBA" w14:textId="77777777" w:rsidR="00DD13BF" w:rsidRPr="00CA7F76" w:rsidRDefault="00DD13BF" w:rsidP="00355A56">
            <w:pPr>
              <w:pStyle w:val="TableParagraph"/>
              <w:rPr>
                <w:rFonts w:cstheme="minorHAnsi"/>
                <w:sz w:val="20"/>
              </w:rPr>
            </w:pPr>
            <w:r>
              <w:rPr>
                <w:sz w:val="20"/>
              </w:rPr>
              <w:t>RCO18</w:t>
            </w:r>
          </w:p>
        </w:tc>
        <w:tc>
          <w:tcPr>
            <w:tcW w:w="3192" w:type="dxa"/>
          </w:tcPr>
          <w:p w14:paraId="4E79E1BB" w14:textId="77777777" w:rsidR="00DD13BF" w:rsidRPr="00CA7F76" w:rsidRDefault="00DD13BF" w:rsidP="00355A56">
            <w:pPr>
              <w:pStyle w:val="TableParagraph"/>
              <w:rPr>
                <w:rFonts w:cstheme="minorBidi"/>
                <w:sz w:val="20"/>
              </w:rPr>
            </w:pPr>
            <w:r>
              <w:rPr>
                <w:sz w:val="20"/>
              </w:rPr>
              <w:t xml:space="preserve">Dwellings with improved energy performance </w:t>
            </w:r>
          </w:p>
        </w:tc>
        <w:tc>
          <w:tcPr>
            <w:tcW w:w="1985" w:type="dxa"/>
          </w:tcPr>
          <w:p w14:paraId="34D591D6" w14:textId="77777777" w:rsidR="00DD13BF" w:rsidRPr="00332B36" w:rsidRDefault="00DD13BF" w:rsidP="00355A56">
            <w:pPr>
              <w:pStyle w:val="TableParagraph"/>
              <w:rPr>
                <w:rFonts w:cstheme="minorHAnsi"/>
                <w:sz w:val="20"/>
              </w:rPr>
            </w:pPr>
            <w:r>
              <w:rPr>
                <w:color w:val="000000"/>
                <w:sz w:val="20"/>
              </w:rPr>
              <w:t>Dwellings</w:t>
            </w:r>
          </w:p>
        </w:tc>
        <w:tc>
          <w:tcPr>
            <w:tcW w:w="1418" w:type="dxa"/>
          </w:tcPr>
          <w:p w14:paraId="00487C7D" w14:textId="77777777" w:rsidR="00DD13BF" w:rsidRPr="00332B36" w:rsidRDefault="00DD13BF" w:rsidP="00355A56">
            <w:pPr>
              <w:pStyle w:val="TableParagraph"/>
              <w:rPr>
                <w:sz w:val="20"/>
              </w:rPr>
            </w:pPr>
            <w:r>
              <w:rPr>
                <w:sz w:val="20"/>
              </w:rPr>
              <w:t>0</w:t>
            </w:r>
          </w:p>
        </w:tc>
        <w:tc>
          <w:tcPr>
            <w:tcW w:w="1559" w:type="dxa"/>
          </w:tcPr>
          <w:p w14:paraId="77DC6E4B" w14:textId="77777777" w:rsidR="00DD13BF" w:rsidRPr="00332B36" w:rsidRDefault="00DD13BF" w:rsidP="00355A56">
            <w:pPr>
              <w:pStyle w:val="TableParagraph"/>
              <w:rPr>
                <w:sz w:val="20"/>
              </w:rPr>
            </w:pPr>
            <w:r>
              <w:rPr>
                <w:sz w:val="20"/>
              </w:rPr>
              <w:t>352</w:t>
            </w:r>
          </w:p>
        </w:tc>
      </w:tr>
      <w:tr w:rsidR="00DD13BF" w14:paraId="13634441" w14:textId="77777777" w:rsidTr="00355A56">
        <w:trPr>
          <w:trHeight w:val="367"/>
        </w:trPr>
        <w:tc>
          <w:tcPr>
            <w:tcW w:w="1125" w:type="dxa"/>
          </w:tcPr>
          <w:p w14:paraId="78D230DB" w14:textId="77777777" w:rsidR="00DD13BF" w:rsidRDefault="00DD13BF" w:rsidP="00355A56">
            <w:pPr>
              <w:pStyle w:val="TableParagraph"/>
              <w:rPr>
                <w:sz w:val="20"/>
              </w:rPr>
            </w:pPr>
            <w:r>
              <w:rPr>
                <w:sz w:val="20"/>
              </w:rPr>
              <w:t>3</w:t>
            </w:r>
          </w:p>
        </w:tc>
        <w:tc>
          <w:tcPr>
            <w:tcW w:w="1417" w:type="dxa"/>
          </w:tcPr>
          <w:p w14:paraId="32A93F24" w14:textId="77777777" w:rsidR="00DD13BF" w:rsidRDefault="00DD13BF" w:rsidP="00355A56">
            <w:pPr>
              <w:pStyle w:val="TableParagraph"/>
              <w:rPr>
                <w:sz w:val="20"/>
              </w:rPr>
            </w:pPr>
            <w:r>
              <w:rPr>
                <w:color w:val="000000"/>
                <w:sz w:val="20"/>
              </w:rPr>
              <w:t>RSO2.1</w:t>
            </w:r>
          </w:p>
        </w:tc>
        <w:tc>
          <w:tcPr>
            <w:tcW w:w="708" w:type="dxa"/>
          </w:tcPr>
          <w:p w14:paraId="21E80C0A" w14:textId="77777777" w:rsidR="00DD13BF" w:rsidRPr="00CA7F76" w:rsidRDefault="00DD13BF" w:rsidP="00355A56">
            <w:pPr>
              <w:pStyle w:val="TableParagraph"/>
              <w:rPr>
                <w:sz w:val="20"/>
              </w:rPr>
            </w:pPr>
            <w:r>
              <w:rPr>
                <w:sz w:val="20"/>
              </w:rPr>
              <w:t>ERDF</w:t>
            </w:r>
          </w:p>
          <w:p w14:paraId="5E22ABCE" w14:textId="77777777" w:rsidR="00DD13BF" w:rsidRPr="0848C57F" w:rsidRDefault="00DD13BF" w:rsidP="00355A56">
            <w:pPr>
              <w:pStyle w:val="TableParagraph"/>
              <w:rPr>
                <w:sz w:val="20"/>
              </w:rPr>
            </w:pPr>
          </w:p>
        </w:tc>
        <w:tc>
          <w:tcPr>
            <w:tcW w:w="1701" w:type="dxa"/>
          </w:tcPr>
          <w:p w14:paraId="7325E54F" w14:textId="77777777" w:rsidR="00DD13BF" w:rsidRPr="1F082729" w:rsidRDefault="00DD13BF" w:rsidP="00355A56">
            <w:pPr>
              <w:pStyle w:val="TableParagraph"/>
              <w:rPr>
                <w:sz w:val="20"/>
              </w:rPr>
            </w:pPr>
            <w:r>
              <w:rPr>
                <w:sz w:val="20"/>
              </w:rPr>
              <w:t>More developed</w:t>
            </w:r>
          </w:p>
        </w:tc>
        <w:tc>
          <w:tcPr>
            <w:tcW w:w="778" w:type="dxa"/>
          </w:tcPr>
          <w:p w14:paraId="0FDB01FC" w14:textId="77777777" w:rsidR="00DD13BF" w:rsidRPr="00CA7F76" w:rsidRDefault="00DD13BF" w:rsidP="00355A56">
            <w:pPr>
              <w:pStyle w:val="TableParagraph"/>
              <w:rPr>
                <w:rFonts w:cstheme="minorHAnsi"/>
                <w:sz w:val="20"/>
              </w:rPr>
            </w:pPr>
            <w:r>
              <w:rPr>
                <w:sz w:val="20"/>
              </w:rPr>
              <w:t>RCO18</w:t>
            </w:r>
          </w:p>
        </w:tc>
        <w:tc>
          <w:tcPr>
            <w:tcW w:w="3192" w:type="dxa"/>
          </w:tcPr>
          <w:p w14:paraId="5FE7E4CE" w14:textId="77777777" w:rsidR="00DD13BF" w:rsidRPr="1F082729" w:rsidRDefault="00DD13BF" w:rsidP="00355A56">
            <w:pPr>
              <w:pStyle w:val="TableParagraph"/>
              <w:rPr>
                <w:rFonts w:cstheme="minorBidi"/>
                <w:sz w:val="20"/>
              </w:rPr>
            </w:pPr>
            <w:r>
              <w:rPr>
                <w:sz w:val="20"/>
              </w:rPr>
              <w:t>Dwellings with improved energy performance</w:t>
            </w:r>
          </w:p>
        </w:tc>
        <w:tc>
          <w:tcPr>
            <w:tcW w:w="1985" w:type="dxa"/>
          </w:tcPr>
          <w:p w14:paraId="5E419EE2" w14:textId="77777777" w:rsidR="00DD13BF" w:rsidRPr="00332B36" w:rsidRDefault="00DD13BF" w:rsidP="00355A56">
            <w:pPr>
              <w:pStyle w:val="TableParagraph"/>
              <w:rPr>
                <w:rFonts w:cstheme="minorHAnsi"/>
                <w:sz w:val="20"/>
              </w:rPr>
            </w:pPr>
            <w:r>
              <w:rPr>
                <w:color w:val="000000"/>
                <w:sz w:val="20"/>
              </w:rPr>
              <w:t>Dwellings</w:t>
            </w:r>
          </w:p>
        </w:tc>
        <w:tc>
          <w:tcPr>
            <w:tcW w:w="1418" w:type="dxa"/>
          </w:tcPr>
          <w:p w14:paraId="16791B19" w14:textId="77777777" w:rsidR="00DD13BF" w:rsidRPr="00332B36" w:rsidRDefault="00DD13BF" w:rsidP="00355A56">
            <w:pPr>
              <w:pStyle w:val="TableParagraph"/>
              <w:rPr>
                <w:sz w:val="20"/>
              </w:rPr>
            </w:pPr>
            <w:r>
              <w:rPr>
                <w:sz w:val="20"/>
              </w:rPr>
              <w:t>0</w:t>
            </w:r>
          </w:p>
        </w:tc>
        <w:tc>
          <w:tcPr>
            <w:tcW w:w="1559" w:type="dxa"/>
          </w:tcPr>
          <w:p w14:paraId="3F113D23" w14:textId="77777777" w:rsidR="00DD13BF" w:rsidRPr="00332B36" w:rsidRDefault="00DD13BF" w:rsidP="00355A56">
            <w:pPr>
              <w:pStyle w:val="TableParagraph"/>
              <w:rPr>
                <w:sz w:val="20"/>
              </w:rPr>
            </w:pPr>
            <w:r>
              <w:rPr>
                <w:sz w:val="20"/>
              </w:rPr>
              <w:t>152</w:t>
            </w:r>
          </w:p>
        </w:tc>
      </w:tr>
      <w:tr w:rsidR="00DD13BF" w14:paraId="7C67CC80" w14:textId="77777777" w:rsidTr="00355A56">
        <w:trPr>
          <w:trHeight w:val="367"/>
        </w:trPr>
        <w:tc>
          <w:tcPr>
            <w:tcW w:w="1125" w:type="dxa"/>
          </w:tcPr>
          <w:p w14:paraId="623E319A" w14:textId="77777777" w:rsidR="00DD13BF" w:rsidRPr="00572A7D" w:rsidRDefault="00DD13BF" w:rsidP="00355A56">
            <w:pPr>
              <w:pStyle w:val="TableParagraph"/>
              <w:rPr>
                <w:sz w:val="20"/>
              </w:rPr>
            </w:pPr>
            <w:bookmarkStart w:id="24" w:name="_Hlk94771670"/>
            <w:r>
              <w:rPr>
                <w:sz w:val="20"/>
              </w:rPr>
              <w:t>3</w:t>
            </w:r>
          </w:p>
        </w:tc>
        <w:tc>
          <w:tcPr>
            <w:tcW w:w="1417" w:type="dxa"/>
          </w:tcPr>
          <w:p w14:paraId="0701BF6F" w14:textId="77777777" w:rsidR="00DD13BF" w:rsidRPr="00572A7D" w:rsidRDefault="00DD13BF" w:rsidP="00355A56">
            <w:pPr>
              <w:pStyle w:val="TableParagraph"/>
              <w:rPr>
                <w:sz w:val="20"/>
              </w:rPr>
            </w:pPr>
            <w:r>
              <w:rPr>
                <w:color w:val="000000"/>
                <w:sz w:val="20"/>
              </w:rPr>
              <w:t>RSO2.1</w:t>
            </w:r>
          </w:p>
        </w:tc>
        <w:tc>
          <w:tcPr>
            <w:tcW w:w="708" w:type="dxa"/>
          </w:tcPr>
          <w:p w14:paraId="6919BAAC" w14:textId="77777777" w:rsidR="00DD13BF" w:rsidRPr="00572A7D" w:rsidRDefault="00DD13BF" w:rsidP="00355A56">
            <w:pPr>
              <w:pStyle w:val="TableParagraph"/>
              <w:spacing w:line="259" w:lineRule="auto"/>
              <w:rPr>
                <w:sz w:val="20"/>
              </w:rPr>
            </w:pPr>
            <w:r>
              <w:rPr>
                <w:sz w:val="20"/>
              </w:rPr>
              <w:t>CF</w:t>
            </w:r>
          </w:p>
        </w:tc>
        <w:tc>
          <w:tcPr>
            <w:tcW w:w="1701" w:type="dxa"/>
          </w:tcPr>
          <w:p w14:paraId="1B1B3EEA" w14:textId="77777777" w:rsidR="00DD13BF" w:rsidRPr="00572A7D" w:rsidRDefault="00DD13BF" w:rsidP="00355A56">
            <w:pPr>
              <w:pStyle w:val="TableParagraph"/>
              <w:spacing w:line="259" w:lineRule="auto"/>
              <w:rPr>
                <w:sz w:val="20"/>
              </w:rPr>
            </w:pPr>
            <w:r>
              <w:rPr>
                <w:sz w:val="20"/>
              </w:rPr>
              <w:t>Entire Slovenia</w:t>
            </w:r>
          </w:p>
        </w:tc>
        <w:tc>
          <w:tcPr>
            <w:tcW w:w="778" w:type="dxa"/>
          </w:tcPr>
          <w:p w14:paraId="7F495618" w14:textId="77777777" w:rsidR="00DD13BF" w:rsidRPr="00572A7D" w:rsidRDefault="00DD13BF" w:rsidP="00355A56">
            <w:pPr>
              <w:pStyle w:val="TableParagraph"/>
              <w:rPr>
                <w:sz w:val="20"/>
              </w:rPr>
            </w:pPr>
            <w:r>
              <w:rPr>
                <w:sz w:val="20"/>
              </w:rPr>
              <w:t>RCO19</w:t>
            </w:r>
          </w:p>
        </w:tc>
        <w:tc>
          <w:tcPr>
            <w:tcW w:w="3192" w:type="dxa"/>
          </w:tcPr>
          <w:p w14:paraId="3B78D4AC" w14:textId="77777777" w:rsidR="00DD13BF" w:rsidRPr="00572A7D" w:rsidRDefault="00DD13BF" w:rsidP="00355A56">
            <w:pPr>
              <w:pStyle w:val="TableParagraph"/>
              <w:rPr>
                <w:sz w:val="20"/>
              </w:rPr>
            </w:pPr>
            <w:r>
              <w:rPr>
                <w:sz w:val="20"/>
              </w:rPr>
              <w:t>Public buildings with improved energy performance</w:t>
            </w:r>
          </w:p>
        </w:tc>
        <w:tc>
          <w:tcPr>
            <w:tcW w:w="1985" w:type="dxa"/>
          </w:tcPr>
          <w:p w14:paraId="2583B15D" w14:textId="77777777" w:rsidR="00DD13BF" w:rsidRPr="00332B36" w:rsidRDefault="00DD13BF" w:rsidP="00355A56">
            <w:pPr>
              <w:pStyle w:val="TableParagraph"/>
              <w:rPr>
                <w:rFonts w:cstheme="minorBidi"/>
                <w:sz w:val="20"/>
                <w:vertAlign w:val="superscript"/>
              </w:rPr>
            </w:pPr>
            <w:r>
              <w:rPr>
                <w:color w:val="000000"/>
                <w:sz w:val="20"/>
              </w:rPr>
              <w:t>Square metres</w:t>
            </w:r>
          </w:p>
        </w:tc>
        <w:tc>
          <w:tcPr>
            <w:tcW w:w="1418" w:type="dxa"/>
          </w:tcPr>
          <w:p w14:paraId="4837FF52" w14:textId="77777777" w:rsidR="00DD13BF" w:rsidRPr="00332B36" w:rsidRDefault="00DD13BF" w:rsidP="00355A56">
            <w:pPr>
              <w:pStyle w:val="TableParagraph"/>
              <w:spacing w:line="259" w:lineRule="auto"/>
              <w:rPr>
                <w:sz w:val="20"/>
              </w:rPr>
            </w:pPr>
            <w:r>
              <w:rPr>
                <w:sz w:val="20"/>
              </w:rPr>
              <w:t>0</w:t>
            </w:r>
          </w:p>
        </w:tc>
        <w:tc>
          <w:tcPr>
            <w:tcW w:w="1559" w:type="dxa"/>
          </w:tcPr>
          <w:p w14:paraId="274AD205" w14:textId="77777777" w:rsidR="00DD13BF" w:rsidRPr="00332B36" w:rsidRDefault="00DD13BF" w:rsidP="00355A56">
            <w:pPr>
              <w:pStyle w:val="TableParagraph"/>
              <w:rPr>
                <w:sz w:val="20"/>
              </w:rPr>
            </w:pPr>
            <w:r>
              <w:rPr>
                <w:sz w:val="20"/>
              </w:rPr>
              <w:t>211,810</w:t>
            </w:r>
          </w:p>
        </w:tc>
      </w:tr>
      <w:tr w:rsidR="00DD13BF" w14:paraId="5A8493CA" w14:textId="77777777" w:rsidTr="00355A56">
        <w:trPr>
          <w:trHeight w:val="367"/>
        </w:trPr>
        <w:tc>
          <w:tcPr>
            <w:tcW w:w="1125" w:type="dxa"/>
          </w:tcPr>
          <w:p w14:paraId="351D3DAA" w14:textId="77777777" w:rsidR="00DD13BF" w:rsidRDefault="00DD13BF" w:rsidP="00355A56">
            <w:pPr>
              <w:pStyle w:val="TableParagraph"/>
              <w:rPr>
                <w:sz w:val="20"/>
              </w:rPr>
            </w:pPr>
            <w:r>
              <w:rPr>
                <w:sz w:val="20"/>
              </w:rPr>
              <w:t>3</w:t>
            </w:r>
          </w:p>
        </w:tc>
        <w:tc>
          <w:tcPr>
            <w:tcW w:w="1417" w:type="dxa"/>
          </w:tcPr>
          <w:p w14:paraId="3DD383A4" w14:textId="77777777" w:rsidR="00DD13BF" w:rsidRDefault="00DD13BF" w:rsidP="00355A56">
            <w:pPr>
              <w:pStyle w:val="TableParagraph"/>
              <w:rPr>
                <w:sz w:val="20"/>
              </w:rPr>
            </w:pPr>
            <w:r>
              <w:rPr>
                <w:color w:val="000000"/>
                <w:sz w:val="20"/>
              </w:rPr>
              <w:t>RSO2.1</w:t>
            </w:r>
          </w:p>
        </w:tc>
        <w:tc>
          <w:tcPr>
            <w:tcW w:w="708" w:type="dxa"/>
          </w:tcPr>
          <w:p w14:paraId="766DFF18" w14:textId="77777777" w:rsidR="00DD13BF" w:rsidRPr="1F082729" w:rsidRDefault="00DD13BF" w:rsidP="00355A56">
            <w:pPr>
              <w:pStyle w:val="TableParagraph"/>
              <w:spacing w:line="259" w:lineRule="auto"/>
              <w:rPr>
                <w:sz w:val="20"/>
              </w:rPr>
            </w:pPr>
            <w:r>
              <w:rPr>
                <w:sz w:val="20"/>
              </w:rPr>
              <w:t>ERDF</w:t>
            </w:r>
          </w:p>
        </w:tc>
        <w:tc>
          <w:tcPr>
            <w:tcW w:w="1701" w:type="dxa"/>
          </w:tcPr>
          <w:p w14:paraId="74E037B9" w14:textId="77777777" w:rsidR="00DD13BF" w:rsidRPr="1F082729" w:rsidRDefault="00DD13BF" w:rsidP="00355A56">
            <w:pPr>
              <w:pStyle w:val="TableParagraph"/>
              <w:spacing w:line="259" w:lineRule="auto"/>
              <w:rPr>
                <w:sz w:val="20"/>
              </w:rPr>
            </w:pPr>
            <w:r>
              <w:rPr>
                <w:sz w:val="20"/>
              </w:rPr>
              <w:t>Less developed</w:t>
            </w:r>
          </w:p>
        </w:tc>
        <w:tc>
          <w:tcPr>
            <w:tcW w:w="778" w:type="dxa"/>
          </w:tcPr>
          <w:p w14:paraId="58C6A5B9" w14:textId="77777777" w:rsidR="00DD13BF" w:rsidRPr="00572A7D" w:rsidRDefault="00DD13BF" w:rsidP="00355A56">
            <w:pPr>
              <w:pStyle w:val="TableParagraph"/>
              <w:rPr>
                <w:sz w:val="20"/>
              </w:rPr>
            </w:pPr>
            <w:r>
              <w:rPr>
                <w:sz w:val="20"/>
              </w:rPr>
              <w:t>2</w:t>
            </w:r>
          </w:p>
        </w:tc>
        <w:tc>
          <w:tcPr>
            <w:tcW w:w="3192" w:type="dxa"/>
          </w:tcPr>
          <w:p w14:paraId="57D08B3D" w14:textId="77777777" w:rsidR="00DD13BF" w:rsidRPr="00901FFB" w:rsidRDefault="00DD13BF" w:rsidP="00355A56">
            <w:pPr>
              <w:pStyle w:val="TableParagraph"/>
              <w:rPr>
                <w:sz w:val="20"/>
              </w:rPr>
            </w:pPr>
            <w:r>
              <w:rPr>
                <w:sz w:val="20"/>
              </w:rPr>
              <w:t>Private buildings with improved energy performance</w:t>
            </w:r>
          </w:p>
        </w:tc>
        <w:tc>
          <w:tcPr>
            <w:tcW w:w="1985" w:type="dxa"/>
          </w:tcPr>
          <w:p w14:paraId="767A859D" w14:textId="77777777" w:rsidR="00DD13BF" w:rsidRPr="00332B36" w:rsidRDefault="00DD13BF" w:rsidP="00355A56">
            <w:pPr>
              <w:pStyle w:val="TableParagraph"/>
              <w:rPr>
                <w:sz w:val="20"/>
              </w:rPr>
            </w:pPr>
            <w:r>
              <w:rPr>
                <w:sz w:val="20"/>
              </w:rPr>
              <w:t>Total renovated net floor area of ​​buildings (m</w:t>
            </w:r>
            <w:r>
              <w:rPr>
                <w:sz w:val="20"/>
                <w:vertAlign w:val="superscript"/>
              </w:rPr>
              <w:t>2</w:t>
            </w:r>
            <w:r>
              <w:rPr>
                <w:sz w:val="20"/>
              </w:rPr>
              <w:t>)</w:t>
            </w:r>
          </w:p>
        </w:tc>
        <w:tc>
          <w:tcPr>
            <w:tcW w:w="1418" w:type="dxa"/>
          </w:tcPr>
          <w:p w14:paraId="5564CBCC" w14:textId="77777777" w:rsidR="00DD13BF" w:rsidRPr="00332B36" w:rsidRDefault="00DD13BF" w:rsidP="00355A56">
            <w:pPr>
              <w:pStyle w:val="TableParagraph"/>
              <w:spacing w:line="259" w:lineRule="auto"/>
              <w:rPr>
                <w:sz w:val="20"/>
              </w:rPr>
            </w:pPr>
            <w:r>
              <w:rPr>
                <w:sz w:val="20"/>
              </w:rPr>
              <w:t>0</w:t>
            </w:r>
          </w:p>
        </w:tc>
        <w:tc>
          <w:tcPr>
            <w:tcW w:w="1559" w:type="dxa"/>
          </w:tcPr>
          <w:p w14:paraId="16EB4361" w14:textId="77777777" w:rsidR="00DD13BF" w:rsidRPr="00332B36" w:rsidRDefault="00DD13BF" w:rsidP="00355A56">
            <w:pPr>
              <w:pStyle w:val="TableParagraph"/>
              <w:rPr>
                <w:sz w:val="20"/>
              </w:rPr>
            </w:pPr>
            <w:r>
              <w:rPr>
                <w:sz w:val="20"/>
              </w:rPr>
              <w:t>75,757</w:t>
            </w:r>
          </w:p>
        </w:tc>
      </w:tr>
      <w:tr w:rsidR="00DD13BF" w14:paraId="7D2AAF0D" w14:textId="77777777" w:rsidTr="00355A56">
        <w:trPr>
          <w:trHeight w:val="367"/>
        </w:trPr>
        <w:tc>
          <w:tcPr>
            <w:tcW w:w="1125" w:type="dxa"/>
          </w:tcPr>
          <w:p w14:paraId="2B268506" w14:textId="77777777" w:rsidR="00DD13BF" w:rsidRDefault="00DD13BF" w:rsidP="00355A56">
            <w:pPr>
              <w:pStyle w:val="TableParagraph"/>
              <w:rPr>
                <w:sz w:val="20"/>
              </w:rPr>
            </w:pPr>
            <w:r>
              <w:rPr>
                <w:sz w:val="20"/>
              </w:rPr>
              <w:t>3</w:t>
            </w:r>
          </w:p>
        </w:tc>
        <w:tc>
          <w:tcPr>
            <w:tcW w:w="1417" w:type="dxa"/>
          </w:tcPr>
          <w:p w14:paraId="7FCA0C72" w14:textId="77777777" w:rsidR="00DD13BF" w:rsidRDefault="00DD13BF" w:rsidP="00355A56">
            <w:pPr>
              <w:pStyle w:val="TableParagraph"/>
              <w:rPr>
                <w:sz w:val="20"/>
              </w:rPr>
            </w:pPr>
            <w:r>
              <w:rPr>
                <w:color w:val="000000"/>
                <w:sz w:val="20"/>
              </w:rPr>
              <w:t>RSO2.1</w:t>
            </w:r>
          </w:p>
        </w:tc>
        <w:tc>
          <w:tcPr>
            <w:tcW w:w="708" w:type="dxa"/>
          </w:tcPr>
          <w:p w14:paraId="054C6662" w14:textId="77777777" w:rsidR="00DD13BF" w:rsidRDefault="00DD13BF" w:rsidP="00355A56">
            <w:pPr>
              <w:pStyle w:val="TableParagraph"/>
              <w:spacing w:line="259" w:lineRule="auto"/>
              <w:rPr>
                <w:sz w:val="20"/>
              </w:rPr>
            </w:pPr>
            <w:r>
              <w:rPr>
                <w:sz w:val="20"/>
              </w:rPr>
              <w:t>ERDF</w:t>
            </w:r>
          </w:p>
        </w:tc>
        <w:tc>
          <w:tcPr>
            <w:tcW w:w="1701" w:type="dxa"/>
          </w:tcPr>
          <w:p w14:paraId="5F005F8B" w14:textId="77777777" w:rsidR="00DD13BF" w:rsidRDefault="00DD13BF" w:rsidP="00355A56">
            <w:pPr>
              <w:pStyle w:val="TableParagraph"/>
              <w:rPr>
                <w:sz w:val="20"/>
              </w:rPr>
            </w:pPr>
            <w:r>
              <w:rPr>
                <w:sz w:val="20"/>
              </w:rPr>
              <w:t>More developed</w:t>
            </w:r>
          </w:p>
        </w:tc>
        <w:tc>
          <w:tcPr>
            <w:tcW w:w="778" w:type="dxa"/>
          </w:tcPr>
          <w:p w14:paraId="2C5E3C34" w14:textId="77777777" w:rsidR="00DD13BF" w:rsidRDefault="00DD13BF" w:rsidP="00355A56">
            <w:pPr>
              <w:pStyle w:val="TableParagraph"/>
              <w:rPr>
                <w:sz w:val="20"/>
              </w:rPr>
            </w:pPr>
            <w:r>
              <w:rPr>
                <w:sz w:val="20"/>
              </w:rPr>
              <w:t>2</w:t>
            </w:r>
          </w:p>
        </w:tc>
        <w:tc>
          <w:tcPr>
            <w:tcW w:w="3192" w:type="dxa"/>
          </w:tcPr>
          <w:p w14:paraId="36384F2A" w14:textId="77777777" w:rsidR="00DD13BF" w:rsidRDefault="00DD13BF" w:rsidP="00355A56">
            <w:pPr>
              <w:pStyle w:val="TableParagraph"/>
              <w:rPr>
                <w:sz w:val="20"/>
              </w:rPr>
            </w:pPr>
            <w:r>
              <w:rPr>
                <w:sz w:val="20"/>
              </w:rPr>
              <w:t xml:space="preserve">Private buildings with improved </w:t>
            </w:r>
            <w:r>
              <w:rPr>
                <w:sz w:val="20"/>
              </w:rPr>
              <w:lastRenderedPageBreak/>
              <w:t>energy performance</w:t>
            </w:r>
          </w:p>
        </w:tc>
        <w:tc>
          <w:tcPr>
            <w:tcW w:w="1985" w:type="dxa"/>
          </w:tcPr>
          <w:p w14:paraId="2941C18C" w14:textId="77777777" w:rsidR="00DD13BF" w:rsidRPr="00332B36" w:rsidRDefault="00DD13BF" w:rsidP="00355A56">
            <w:pPr>
              <w:pStyle w:val="TableParagraph"/>
              <w:rPr>
                <w:sz w:val="20"/>
              </w:rPr>
            </w:pPr>
            <w:r>
              <w:rPr>
                <w:sz w:val="20"/>
              </w:rPr>
              <w:lastRenderedPageBreak/>
              <w:t xml:space="preserve">Total renovated net </w:t>
            </w:r>
            <w:r>
              <w:rPr>
                <w:sz w:val="20"/>
              </w:rPr>
              <w:lastRenderedPageBreak/>
              <w:t>floor area of ​​buildings (m</w:t>
            </w:r>
            <w:r>
              <w:rPr>
                <w:sz w:val="20"/>
                <w:vertAlign w:val="superscript"/>
              </w:rPr>
              <w:t>2</w:t>
            </w:r>
            <w:r>
              <w:rPr>
                <w:sz w:val="20"/>
              </w:rPr>
              <w:t>)</w:t>
            </w:r>
          </w:p>
        </w:tc>
        <w:tc>
          <w:tcPr>
            <w:tcW w:w="1418" w:type="dxa"/>
          </w:tcPr>
          <w:p w14:paraId="5AAACFAE" w14:textId="77777777" w:rsidR="00DD13BF" w:rsidRPr="00332B36" w:rsidRDefault="00DD13BF" w:rsidP="00355A56">
            <w:pPr>
              <w:pStyle w:val="TableParagraph"/>
              <w:spacing w:line="259" w:lineRule="auto"/>
              <w:rPr>
                <w:sz w:val="20"/>
              </w:rPr>
            </w:pPr>
            <w:r>
              <w:rPr>
                <w:sz w:val="20"/>
              </w:rPr>
              <w:lastRenderedPageBreak/>
              <w:t>0</w:t>
            </w:r>
          </w:p>
        </w:tc>
        <w:tc>
          <w:tcPr>
            <w:tcW w:w="1559" w:type="dxa"/>
          </w:tcPr>
          <w:p w14:paraId="65EE2C69" w14:textId="77777777" w:rsidR="00DD13BF" w:rsidRPr="00332B36" w:rsidRDefault="00DD13BF" w:rsidP="00355A56">
            <w:pPr>
              <w:pStyle w:val="TableParagraph"/>
              <w:rPr>
                <w:sz w:val="20"/>
              </w:rPr>
            </w:pPr>
            <w:r>
              <w:rPr>
                <w:sz w:val="20"/>
              </w:rPr>
              <w:t>18,939</w:t>
            </w:r>
          </w:p>
        </w:tc>
      </w:tr>
      <w:bookmarkEnd w:id="24"/>
    </w:tbl>
    <w:p w14:paraId="698A900A" w14:textId="77777777" w:rsidR="00DD13BF" w:rsidRDefault="00DD13BF" w:rsidP="00DD13BF">
      <w:pPr>
        <w:rPr>
          <w:sz w:val="24"/>
        </w:rPr>
      </w:pPr>
    </w:p>
    <w:p w14:paraId="03C4B577" w14:textId="77777777" w:rsidR="00DD13BF" w:rsidRDefault="00DD13BF" w:rsidP="00DD13BF">
      <w:pPr>
        <w:ind w:left="379"/>
      </w:pPr>
      <w:r>
        <w:t>Table 3: Result indicators</w:t>
      </w:r>
    </w:p>
    <w:p w14:paraId="2C7243F0"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134"/>
        <w:gridCol w:w="696"/>
        <w:gridCol w:w="1572"/>
        <w:gridCol w:w="709"/>
        <w:gridCol w:w="2693"/>
        <w:gridCol w:w="992"/>
        <w:gridCol w:w="1134"/>
        <w:gridCol w:w="993"/>
        <w:gridCol w:w="1133"/>
        <w:gridCol w:w="851"/>
        <w:gridCol w:w="850"/>
      </w:tblGrid>
      <w:tr w:rsidR="00DD13BF" w:rsidRPr="00230DD7" w14:paraId="2D54215F" w14:textId="77777777" w:rsidTr="00355A56">
        <w:trPr>
          <w:trHeight w:val="353"/>
        </w:trPr>
        <w:tc>
          <w:tcPr>
            <w:tcW w:w="1125" w:type="dxa"/>
          </w:tcPr>
          <w:p w14:paraId="36A52062" w14:textId="77777777" w:rsidR="00DD13BF" w:rsidRPr="00230DD7" w:rsidRDefault="00DD13BF" w:rsidP="00355A56">
            <w:pPr>
              <w:pStyle w:val="TableParagraph"/>
            </w:pPr>
            <w:r>
              <w:t>Priority</w:t>
            </w:r>
          </w:p>
        </w:tc>
        <w:tc>
          <w:tcPr>
            <w:tcW w:w="1134" w:type="dxa"/>
          </w:tcPr>
          <w:p w14:paraId="77D83367" w14:textId="77777777" w:rsidR="00DD13BF" w:rsidRPr="00230DD7" w:rsidRDefault="00DD13BF" w:rsidP="00355A56">
            <w:pPr>
              <w:pStyle w:val="TableParagraph"/>
            </w:pPr>
            <w:r>
              <w:t>Specific objective</w:t>
            </w:r>
          </w:p>
        </w:tc>
        <w:tc>
          <w:tcPr>
            <w:tcW w:w="696" w:type="dxa"/>
          </w:tcPr>
          <w:p w14:paraId="3C38F486" w14:textId="77777777" w:rsidR="00DD13BF" w:rsidRPr="00230DD7" w:rsidRDefault="00DD13BF" w:rsidP="00355A56">
            <w:pPr>
              <w:pStyle w:val="TableParagraph"/>
            </w:pPr>
            <w:r>
              <w:t>Fund</w:t>
            </w:r>
          </w:p>
        </w:tc>
        <w:tc>
          <w:tcPr>
            <w:tcW w:w="1572" w:type="dxa"/>
          </w:tcPr>
          <w:p w14:paraId="70098721" w14:textId="77777777" w:rsidR="00DD13BF" w:rsidRPr="00230DD7" w:rsidRDefault="00DD13BF" w:rsidP="00355A56">
            <w:pPr>
              <w:pStyle w:val="TableParagraph"/>
            </w:pPr>
            <w:r>
              <w:t>Category of region</w:t>
            </w:r>
          </w:p>
        </w:tc>
        <w:tc>
          <w:tcPr>
            <w:tcW w:w="709" w:type="dxa"/>
          </w:tcPr>
          <w:p w14:paraId="3891DDA6" w14:textId="77777777" w:rsidR="00DD13BF" w:rsidRPr="00230DD7" w:rsidRDefault="00DD13BF" w:rsidP="00355A56">
            <w:pPr>
              <w:pStyle w:val="TableParagraph"/>
            </w:pPr>
            <w:r>
              <w:t>ID</w:t>
            </w:r>
          </w:p>
        </w:tc>
        <w:tc>
          <w:tcPr>
            <w:tcW w:w="2693" w:type="dxa"/>
          </w:tcPr>
          <w:p w14:paraId="4EF0E911" w14:textId="77777777" w:rsidR="00DD13BF" w:rsidRPr="00230DD7" w:rsidRDefault="00DD13BF" w:rsidP="00355A56">
            <w:pPr>
              <w:pStyle w:val="TableParagraph"/>
            </w:pPr>
            <w:r>
              <w:t>Indicator</w:t>
            </w:r>
          </w:p>
        </w:tc>
        <w:tc>
          <w:tcPr>
            <w:tcW w:w="992" w:type="dxa"/>
          </w:tcPr>
          <w:p w14:paraId="0B2A211F" w14:textId="77777777" w:rsidR="00DD13BF" w:rsidRPr="00230DD7" w:rsidRDefault="00DD13BF" w:rsidP="00355A56">
            <w:pPr>
              <w:pStyle w:val="TableParagraph"/>
            </w:pPr>
            <w:r>
              <w:t>Measurement unit</w:t>
            </w:r>
          </w:p>
        </w:tc>
        <w:tc>
          <w:tcPr>
            <w:tcW w:w="1134" w:type="dxa"/>
          </w:tcPr>
          <w:p w14:paraId="6A4563F9" w14:textId="77777777" w:rsidR="00DD13BF" w:rsidRPr="00230DD7" w:rsidRDefault="00DD13BF" w:rsidP="00355A56">
            <w:pPr>
              <w:pStyle w:val="TableParagraph"/>
            </w:pPr>
            <w:r>
              <w:t>Baseline or reference value</w:t>
            </w:r>
          </w:p>
        </w:tc>
        <w:tc>
          <w:tcPr>
            <w:tcW w:w="993" w:type="dxa"/>
          </w:tcPr>
          <w:p w14:paraId="03192CC4" w14:textId="77777777" w:rsidR="00DD13BF" w:rsidRPr="00230DD7" w:rsidRDefault="00DD13BF" w:rsidP="00355A56">
            <w:pPr>
              <w:pStyle w:val="TableParagraph"/>
            </w:pPr>
            <w:r>
              <w:t>Reference year</w:t>
            </w:r>
          </w:p>
        </w:tc>
        <w:tc>
          <w:tcPr>
            <w:tcW w:w="1133" w:type="dxa"/>
          </w:tcPr>
          <w:p w14:paraId="77D6FE7E" w14:textId="77777777" w:rsidR="00DD13BF" w:rsidRPr="00230DD7" w:rsidRDefault="00DD13BF" w:rsidP="00355A56">
            <w:pPr>
              <w:pStyle w:val="TableParagraph"/>
            </w:pPr>
            <w:r>
              <w:t>Target (2029)</w:t>
            </w:r>
          </w:p>
        </w:tc>
        <w:tc>
          <w:tcPr>
            <w:tcW w:w="851" w:type="dxa"/>
          </w:tcPr>
          <w:p w14:paraId="0DEE16D3" w14:textId="77777777" w:rsidR="00DD13BF" w:rsidRPr="00230DD7" w:rsidRDefault="00DD13BF" w:rsidP="00355A56">
            <w:pPr>
              <w:pStyle w:val="TableParagraph"/>
            </w:pPr>
            <w:r>
              <w:t>Source of data</w:t>
            </w:r>
          </w:p>
        </w:tc>
        <w:tc>
          <w:tcPr>
            <w:tcW w:w="850" w:type="dxa"/>
          </w:tcPr>
          <w:p w14:paraId="01EE4831" w14:textId="77777777" w:rsidR="00DD13BF" w:rsidRPr="00230DD7" w:rsidRDefault="00DD13BF" w:rsidP="00355A56">
            <w:pPr>
              <w:pStyle w:val="TableParagraph"/>
            </w:pPr>
            <w:r>
              <w:t>Comments</w:t>
            </w:r>
          </w:p>
        </w:tc>
      </w:tr>
      <w:tr w:rsidR="00DD13BF" w14:paraId="0985D63E" w14:textId="77777777" w:rsidTr="00355A56">
        <w:trPr>
          <w:trHeight w:val="353"/>
        </w:trPr>
        <w:tc>
          <w:tcPr>
            <w:tcW w:w="1125" w:type="dxa"/>
          </w:tcPr>
          <w:p w14:paraId="0F90FB61" w14:textId="77777777" w:rsidR="00DD13BF" w:rsidRDefault="00DD13BF" w:rsidP="00355A56">
            <w:pPr>
              <w:pStyle w:val="TableParagraph"/>
              <w:rPr>
                <w:sz w:val="20"/>
              </w:rPr>
            </w:pPr>
            <w:bookmarkStart w:id="25" w:name="_Hlk94771756"/>
            <w:r>
              <w:rPr>
                <w:sz w:val="20"/>
              </w:rPr>
              <w:t>3</w:t>
            </w:r>
          </w:p>
        </w:tc>
        <w:tc>
          <w:tcPr>
            <w:tcW w:w="1134" w:type="dxa"/>
          </w:tcPr>
          <w:p w14:paraId="480875C1" w14:textId="77777777" w:rsidR="00DD13BF" w:rsidRPr="00E95473" w:rsidRDefault="00DD13BF" w:rsidP="00355A56">
            <w:pPr>
              <w:pStyle w:val="TableParagraph"/>
              <w:rPr>
                <w:color w:val="000000"/>
                <w:sz w:val="20"/>
              </w:rPr>
            </w:pPr>
            <w:r>
              <w:rPr>
                <w:color w:val="000000"/>
                <w:sz w:val="20"/>
              </w:rPr>
              <w:t>RSO2.1</w:t>
            </w:r>
          </w:p>
        </w:tc>
        <w:tc>
          <w:tcPr>
            <w:tcW w:w="696" w:type="dxa"/>
          </w:tcPr>
          <w:p w14:paraId="079A4BD4" w14:textId="77777777" w:rsidR="00DD13BF" w:rsidRPr="00572A7D" w:rsidRDefault="00DD13BF" w:rsidP="00355A56">
            <w:pPr>
              <w:pStyle w:val="TableParagraph"/>
              <w:rPr>
                <w:sz w:val="20"/>
              </w:rPr>
            </w:pPr>
            <w:r>
              <w:rPr>
                <w:sz w:val="20"/>
              </w:rPr>
              <w:t>CF</w:t>
            </w:r>
          </w:p>
        </w:tc>
        <w:tc>
          <w:tcPr>
            <w:tcW w:w="1572" w:type="dxa"/>
          </w:tcPr>
          <w:p w14:paraId="455BA7E8" w14:textId="77777777" w:rsidR="00DD13BF" w:rsidRPr="6A5004D4" w:rsidRDefault="00DD13BF" w:rsidP="00355A56">
            <w:pPr>
              <w:pStyle w:val="TableParagraph"/>
              <w:rPr>
                <w:sz w:val="20"/>
              </w:rPr>
            </w:pPr>
            <w:r>
              <w:rPr>
                <w:sz w:val="20"/>
              </w:rPr>
              <w:t>Entire Slovenia</w:t>
            </w:r>
          </w:p>
        </w:tc>
        <w:tc>
          <w:tcPr>
            <w:tcW w:w="709" w:type="dxa"/>
          </w:tcPr>
          <w:p w14:paraId="68454958" w14:textId="77777777" w:rsidR="00DD13BF" w:rsidRDefault="00DD13BF" w:rsidP="00355A56">
            <w:pPr>
              <w:pStyle w:val="TableParagraph"/>
              <w:rPr>
                <w:sz w:val="20"/>
              </w:rPr>
            </w:pPr>
            <w:r>
              <w:rPr>
                <w:sz w:val="20"/>
              </w:rPr>
              <w:t>RCR26</w:t>
            </w:r>
          </w:p>
        </w:tc>
        <w:tc>
          <w:tcPr>
            <w:tcW w:w="2693" w:type="dxa"/>
          </w:tcPr>
          <w:p w14:paraId="451B9B8C" w14:textId="77777777" w:rsidR="00DD13BF" w:rsidRPr="006D0841" w:rsidRDefault="00DD13BF" w:rsidP="00355A56">
            <w:pPr>
              <w:pStyle w:val="TableParagraph"/>
              <w:rPr>
                <w:sz w:val="20"/>
              </w:rPr>
            </w:pPr>
            <w:r>
              <w:rPr>
                <w:sz w:val="20"/>
              </w:rPr>
              <w:t xml:space="preserve">Annual primary energy consumption (of which: </w:t>
            </w:r>
          </w:p>
          <w:p w14:paraId="4F2B16E3" w14:textId="77777777" w:rsidR="00DD13BF" w:rsidRPr="005F481C" w:rsidRDefault="00DD13BF" w:rsidP="00355A56">
            <w:pPr>
              <w:pStyle w:val="TableParagraph"/>
              <w:rPr>
                <w:sz w:val="20"/>
              </w:rPr>
            </w:pPr>
            <w:r>
              <w:rPr>
                <w:sz w:val="20"/>
              </w:rPr>
              <w:t>dwellings, public buildings, enterprises, other)</w:t>
            </w:r>
          </w:p>
        </w:tc>
        <w:tc>
          <w:tcPr>
            <w:tcW w:w="992" w:type="dxa"/>
          </w:tcPr>
          <w:p w14:paraId="4319D1D0" w14:textId="77777777" w:rsidR="00DD13BF" w:rsidRPr="1F082729" w:rsidRDefault="00DD13BF" w:rsidP="00355A56">
            <w:pPr>
              <w:pStyle w:val="TableParagraph"/>
              <w:rPr>
                <w:sz w:val="20"/>
              </w:rPr>
            </w:pPr>
            <w:r>
              <w:rPr>
                <w:color w:val="000000"/>
                <w:sz w:val="20"/>
              </w:rPr>
              <w:t>MWh/year</w:t>
            </w:r>
          </w:p>
        </w:tc>
        <w:tc>
          <w:tcPr>
            <w:tcW w:w="1134" w:type="dxa"/>
          </w:tcPr>
          <w:p w14:paraId="5093001D" w14:textId="77777777" w:rsidR="00DD13BF" w:rsidRPr="00666ED0" w:rsidRDefault="00DD13BF" w:rsidP="00355A56">
            <w:pPr>
              <w:pStyle w:val="TableParagraph"/>
              <w:rPr>
                <w:sz w:val="20"/>
              </w:rPr>
            </w:pPr>
            <w:r>
              <w:rPr>
                <w:color w:val="000000"/>
                <w:sz w:val="20"/>
              </w:rPr>
              <w:t>57,659</w:t>
            </w:r>
          </w:p>
        </w:tc>
        <w:tc>
          <w:tcPr>
            <w:tcW w:w="993" w:type="dxa"/>
          </w:tcPr>
          <w:p w14:paraId="3278336D" w14:textId="77777777" w:rsidR="00DD13BF" w:rsidRPr="6A5004D4" w:rsidRDefault="00DD13BF" w:rsidP="00355A56">
            <w:pPr>
              <w:pStyle w:val="TableParagraph"/>
              <w:rPr>
                <w:sz w:val="20"/>
              </w:rPr>
            </w:pPr>
            <w:r>
              <w:rPr>
                <w:sz w:val="20"/>
              </w:rPr>
              <w:t>2020</w:t>
            </w:r>
          </w:p>
        </w:tc>
        <w:tc>
          <w:tcPr>
            <w:tcW w:w="1133" w:type="dxa"/>
          </w:tcPr>
          <w:p w14:paraId="48599CBC" w14:textId="77777777" w:rsidR="00DD13BF" w:rsidRPr="2CDEFCE5" w:rsidDel="00666ED0" w:rsidRDefault="00DD13BF" w:rsidP="00355A56">
            <w:pPr>
              <w:pStyle w:val="TableParagraph"/>
              <w:rPr>
                <w:sz w:val="20"/>
              </w:rPr>
            </w:pPr>
            <w:r>
              <w:rPr>
                <w:sz w:val="20"/>
              </w:rPr>
              <w:t>38,563</w:t>
            </w:r>
          </w:p>
        </w:tc>
        <w:tc>
          <w:tcPr>
            <w:tcW w:w="851" w:type="dxa"/>
          </w:tcPr>
          <w:p w14:paraId="30DEC4B8" w14:textId="77777777" w:rsidR="00DD13BF" w:rsidRPr="0A1D0E69" w:rsidRDefault="00DD13BF" w:rsidP="00355A56">
            <w:pPr>
              <w:pStyle w:val="TableParagraph"/>
              <w:rPr>
                <w:sz w:val="20"/>
              </w:rPr>
            </w:pPr>
            <w:r>
              <w:rPr>
                <w:sz w:val="20"/>
              </w:rPr>
              <w:t>MZI, ministries</w:t>
            </w:r>
          </w:p>
        </w:tc>
        <w:tc>
          <w:tcPr>
            <w:tcW w:w="850" w:type="dxa"/>
          </w:tcPr>
          <w:p w14:paraId="6D2D9A50" w14:textId="77777777" w:rsidR="00DD13BF" w:rsidRPr="00CA7F76" w:rsidRDefault="00DD13BF" w:rsidP="00355A56">
            <w:pPr>
              <w:pStyle w:val="TableParagraph"/>
              <w:rPr>
                <w:sz w:val="20"/>
              </w:rPr>
            </w:pPr>
          </w:p>
        </w:tc>
      </w:tr>
      <w:tr w:rsidR="00DD13BF" w14:paraId="0C247831" w14:textId="77777777" w:rsidTr="00355A56">
        <w:trPr>
          <w:trHeight w:val="353"/>
        </w:trPr>
        <w:tc>
          <w:tcPr>
            <w:tcW w:w="1125" w:type="dxa"/>
          </w:tcPr>
          <w:p w14:paraId="6E78C0A4" w14:textId="77777777" w:rsidR="00DD13BF" w:rsidRDefault="00DD13BF" w:rsidP="00355A56">
            <w:pPr>
              <w:pStyle w:val="TableParagraph"/>
              <w:rPr>
                <w:sz w:val="20"/>
              </w:rPr>
            </w:pPr>
            <w:r>
              <w:rPr>
                <w:sz w:val="20"/>
              </w:rPr>
              <w:t>3</w:t>
            </w:r>
          </w:p>
        </w:tc>
        <w:tc>
          <w:tcPr>
            <w:tcW w:w="1134" w:type="dxa"/>
          </w:tcPr>
          <w:p w14:paraId="298355A8" w14:textId="77777777" w:rsidR="00DD13BF" w:rsidRPr="00E95473" w:rsidRDefault="00DD13BF" w:rsidP="00355A56">
            <w:pPr>
              <w:pStyle w:val="TableParagraph"/>
              <w:rPr>
                <w:color w:val="000000"/>
                <w:sz w:val="20"/>
              </w:rPr>
            </w:pPr>
            <w:r>
              <w:rPr>
                <w:color w:val="000000"/>
                <w:sz w:val="20"/>
              </w:rPr>
              <w:t>RSO2.1</w:t>
            </w:r>
          </w:p>
        </w:tc>
        <w:tc>
          <w:tcPr>
            <w:tcW w:w="696" w:type="dxa"/>
          </w:tcPr>
          <w:p w14:paraId="2E79CE19" w14:textId="77777777" w:rsidR="00DD13BF" w:rsidRPr="00572A7D" w:rsidRDefault="00DD13BF" w:rsidP="00355A56">
            <w:pPr>
              <w:pStyle w:val="TableParagraph"/>
              <w:rPr>
                <w:sz w:val="20"/>
              </w:rPr>
            </w:pPr>
            <w:r>
              <w:rPr>
                <w:sz w:val="20"/>
              </w:rPr>
              <w:t>ERDF</w:t>
            </w:r>
          </w:p>
        </w:tc>
        <w:tc>
          <w:tcPr>
            <w:tcW w:w="1572" w:type="dxa"/>
          </w:tcPr>
          <w:p w14:paraId="11E4542D" w14:textId="77777777" w:rsidR="00DD13BF" w:rsidRPr="6A5004D4" w:rsidRDefault="00DD13BF" w:rsidP="00355A56">
            <w:pPr>
              <w:pStyle w:val="TableParagraph"/>
              <w:rPr>
                <w:sz w:val="20"/>
              </w:rPr>
            </w:pPr>
            <w:r>
              <w:rPr>
                <w:sz w:val="20"/>
              </w:rPr>
              <w:t>Less developed</w:t>
            </w:r>
          </w:p>
        </w:tc>
        <w:tc>
          <w:tcPr>
            <w:tcW w:w="709" w:type="dxa"/>
          </w:tcPr>
          <w:p w14:paraId="7F7DF392" w14:textId="77777777" w:rsidR="00DD13BF" w:rsidRDefault="00DD13BF" w:rsidP="00355A56">
            <w:pPr>
              <w:pStyle w:val="TableParagraph"/>
              <w:rPr>
                <w:sz w:val="20"/>
              </w:rPr>
            </w:pPr>
            <w:r>
              <w:rPr>
                <w:sz w:val="20"/>
              </w:rPr>
              <w:t>RCR26</w:t>
            </w:r>
          </w:p>
        </w:tc>
        <w:tc>
          <w:tcPr>
            <w:tcW w:w="2693" w:type="dxa"/>
          </w:tcPr>
          <w:p w14:paraId="1DF63535" w14:textId="77777777" w:rsidR="00DD13BF" w:rsidRPr="005F481C" w:rsidRDefault="00DD13BF" w:rsidP="00355A56">
            <w:pPr>
              <w:pStyle w:val="TableParagraph"/>
              <w:rPr>
                <w:sz w:val="20"/>
              </w:rPr>
            </w:pPr>
            <w:r>
              <w:rPr>
                <w:sz w:val="20"/>
              </w:rPr>
              <w:t>Annual primary energy consumption (of which: dwellings, public buildings, enterprises, other)</w:t>
            </w:r>
          </w:p>
        </w:tc>
        <w:tc>
          <w:tcPr>
            <w:tcW w:w="992" w:type="dxa"/>
          </w:tcPr>
          <w:p w14:paraId="0963EDD3" w14:textId="77777777" w:rsidR="00DD13BF" w:rsidRPr="1F082729" w:rsidRDefault="00DD13BF" w:rsidP="00355A56">
            <w:pPr>
              <w:pStyle w:val="TableParagraph"/>
              <w:rPr>
                <w:sz w:val="20"/>
              </w:rPr>
            </w:pPr>
            <w:r>
              <w:rPr>
                <w:color w:val="000000"/>
                <w:sz w:val="20"/>
              </w:rPr>
              <w:t>MWh/year</w:t>
            </w:r>
          </w:p>
        </w:tc>
        <w:tc>
          <w:tcPr>
            <w:tcW w:w="1134" w:type="dxa"/>
          </w:tcPr>
          <w:p w14:paraId="59A77AA3" w14:textId="77777777" w:rsidR="00DD13BF" w:rsidRPr="00666ED0" w:rsidRDefault="00DD13BF" w:rsidP="00355A56">
            <w:pPr>
              <w:pStyle w:val="TableParagraph"/>
              <w:rPr>
                <w:sz w:val="20"/>
              </w:rPr>
            </w:pPr>
            <w:r>
              <w:rPr>
                <w:color w:val="000000"/>
                <w:sz w:val="20"/>
              </w:rPr>
              <w:t>13,443</w:t>
            </w:r>
          </w:p>
        </w:tc>
        <w:tc>
          <w:tcPr>
            <w:tcW w:w="993" w:type="dxa"/>
          </w:tcPr>
          <w:p w14:paraId="0918A7E5" w14:textId="77777777" w:rsidR="00DD13BF" w:rsidRPr="6A5004D4" w:rsidRDefault="00DD13BF" w:rsidP="00355A56">
            <w:pPr>
              <w:pStyle w:val="TableParagraph"/>
              <w:rPr>
                <w:sz w:val="20"/>
              </w:rPr>
            </w:pPr>
            <w:r>
              <w:rPr>
                <w:sz w:val="20"/>
              </w:rPr>
              <w:t>2020</w:t>
            </w:r>
          </w:p>
        </w:tc>
        <w:tc>
          <w:tcPr>
            <w:tcW w:w="1133" w:type="dxa"/>
          </w:tcPr>
          <w:p w14:paraId="11EDA628" w14:textId="77777777" w:rsidR="00DD13BF" w:rsidRPr="2CDEFCE5" w:rsidDel="00666ED0" w:rsidRDefault="00DD13BF" w:rsidP="00355A56">
            <w:pPr>
              <w:pStyle w:val="TableParagraph"/>
              <w:rPr>
                <w:sz w:val="20"/>
              </w:rPr>
            </w:pPr>
            <w:r>
              <w:rPr>
                <w:sz w:val="20"/>
              </w:rPr>
              <w:t>8,991</w:t>
            </w:r>
          </w:p>
        </w:tc>
        <w:tc>
          <w:tcPr>
            <w:tcW w:w="851" w:type="dxa"/>
          </w:tcPr>
          <w:p w14:paraId="650BF537" w14:textId="77777777" w:rsidR="00DD13BF" w:rsidRPr="0A1D0E69" w:rsidRDefault="00DD13BF" w:rsidP="00355A56">
            <w:pPr>
              <w:pStyle w:val="TableParagraph"/>
              <w:rPr>
                <w:sz w:val="20"/>
              </w:rPr>
            </w:pPr>
            <w:r>
              <w:rPr>
                <w:sz w:val="20"/>
              </w:rPr>
              <w:t>MZI, ministries</w:t>
            </w:r>
          </w:p>
        </w:tc>
        <w:tc>
          <w:tcPr>
            <w:tcW w:w="850" w:type="dxa"/>
          </w:tcPr>
          <w:p w14:paraId="16CB3106" w14:textId="77777777" w:rsidR="00DD13BF" w:rsidRPr="00CA7F76" w:rsidRDefault="00DD13BF" w:rsidP="00355A56">
            <w:pPr>
              <w:pStyle w:val="TableParagraph"/>
              <w:rPr>
                <w:sz w:val="20"/>
              </w:rPr>
            </w:pPr>
          </w:p>
        </w:tc>
      </w:tr>
      <w:tr w:rsidR="00DD13BF" w14:paraId="3860C1F6" w14:textId="77777777" w:rsidTr="00355A56">
        <w:trPr>
          <w:trHeight w:val="353"/>
        </w:trPr>
        <w:tc>
          <w:tcPr>
            <w:tcW w:w="1125" w:type="dxa"/>
          </w:tcPr>
          <w:p w14:paraId="6E23AE70" w14:textId="77777777" w:rsidR="00DD13BF" w:rsidRDefault="00DD13BF" w:rsidP="00355A56">
            <w:pPr>
              <w:pStyle w:val="TableParagraph"/>
              <w:rPr>
                <w:sz w:val="20"/>
              </w:rPr>
            </w:pPr>
            <w:r>
              <w:rPr>
                <w:sz w:val="20"/>
              </w:rPr>
              <w:t>3</w:t>
            </w:r>
          </w:p>
        </w:tc>
        <w:tc>
          <w:tcPr>
            <w:tcW w:w="1134" w:type="dxa"/>
          </w:tcPr>
          <w:p w14:paraId="69E7F931" w14:textId="77777777" w:rsidR="00DD13BF" w:rsidRPr="00E95473" w:rsidRDefault="00DD13BF" w:rsidP="00355A56">
            <w:pPr>
              <w:pStyle w:val="TableParagraph"/>
              <w:rPr>
                <w:color w:val="000000"/>
                <w:sz w:val="20"/>
              </w:rPr>
            </w:pPr>
            <w:r>
              <w:rPr>
                <w:color w:val="000000"/>
                <w:sz w:val="20"/>
              </w:rPr>
              <w:t>RSO2.1</w:t>
            </w:r>
          </w:p>
        </w:tc>
        <w:tc>
          <w:tcPr>
            <w:tcW w:w="696" w:type="dxa"/>
          </w:tcPr>
          <w:p w14:paraId="034FCC68" w14:textId="77777777" w:rsidR="00DD13BF" w:rsidRPr="00572A7D" w:rsidRDefault="00DD13BF" w:rsidP="00355A56">
            <w:pPr>
              <w:pStyle w:val="TableParagraph"/>
              <w:rPr>
                <w:sz w:val="20"/>
              </w:rPr>
            </w:pPr>
            <w:r>
              <w:rPr>
                <w:sz w:val="20"/>
              </w:rPr>
              <w:t>ERDF</w:t>
            </w:r>
          </w:p>
        </w:tc>
        <w:tc>
          <w:tcPr>
            <w:tcW w:w="1572" w:type="dxa"/>
          </w:tcPr>
          <w:p w14:paraId="27617212" w14:textId="77777777" w:rsidR="00DD13BF" w:rsidRPr="6A5004D4" w:rsidRDefault="00DD13BF" w:rsidP="00355A56">
            <w:pPr>
              <w:pStyle w:val="TableParagraph"/>
              <w:rPr>
                <w:sz w:val="20"/>
              </w:rPr>
            </w:pPr>
            <w:r>
              <w:rPr>
                <w:sz w:val="20"/>
              </w:rPr>
              <w:t>More developed</w:t>
            </w:r>
          </w:p>
        </w:tc>
        <w:tc>
          <w:tcPr>
            <w:tcW w:w="709" w:type="dxa"/>
          </w:tcPr>
          <w:p w14:paraId="6061F089" w14:textId="77777777" w:rsidR="00DD13BF" w:rsidRDefault="00DD13BF" w:rsidP="00355A56">
            <w:pPr>
              <w:pStyle w:val="TableParagraph"/>
              <w:rPr>
                <w:sz w:val="20"/>
              </w:rPr>
            </w:pPr>
            <w:r>
              <w:rPr>
                <w:sz w:val="20"/>
              </w:rPr>
              <w:t>RCR26</w:t>
            </w:r>
          </w:p>
        </w:tc>
        <w:tc>
          <w:tcPr>
            <w:tcW w:w="2693" w:type="dxa"/>
          </w:tcPr>
          <w:p w14:paraId="28559A01" w14:textId="77777777" w:rsidR="00DD13BF" w:rsidRPr="005F481C" w:rsidRDefault="00DD13BF" w:rsidP="00355A56">
            <w:pPr>
              <w:pStyle w:val="TableParagraph"/>
              <w:rPr>
                <w:sz w:val="20"/>
              </w:rPr>
            </w:pPr>
            <w:r>
              <w:rPr>
                <w:sz w:val="20"/>
              </w:rPr>
              <w:t>Annual primary energy consumption (of which: dwellings, public buildings, enterprises, other)</w:t>
            </w:r>
          </w:p>
        </w:tc>
        <w:tc>
          <w:tcPr>
            <w:tcW w:w="992" w:type="dxa"/>
          </w:tcPr>
          <w:p w14:paraId="7701D0DB" w14:textId="77777777" w:rsidR="00DD13BF" w:rsidRPr="1F082729" w:rsidRDefault="00DD13BF" w:rsidP="00355A56">
            <w:pPr>
              <w:pStyle w:val="TableParagraph"/>
              <w:rPr>
                <w:sz w:val="20"/>
              </w:rPr>
            </w:pPr>
            <w:r>
              <w:rPr>
                <w:color w:val="000000"/>
                <w:sz w:val="20"/>
              </w:rPr>
              <w:t>MWh/year</w:t>
            </w:r>
          </w:p>
        </w:tc>
        <w:tc>
          <w:tcPr>
            <w:tcW w:w="1134" w:type="dxa"/>
          </w:tcPr>
          <w:p w14:paraId="1BB6601D" w14:textId="77777777" w:rsidR="00DD13BF" w:rsidRPr="00666ED0" w:rsidRDefault="00DD13BF" w:rsidP="00355A56">
            <w:pPr>
              <w:pStyle w:val="TableParagraph"/>
              <w:rPr>
                <w:sz w:val="20"/>
              </w:rPr>
            </w:pPr>
            <w:r>
              <w:rPr>
                <w:color w:val="000000"/>
                <w:sz w:val="20"/>
              </w:rPr>
              <w:t>3,361</w:t>
            </w:r>
          </w:p>
        </w:tc>
        <w:tc>
          <w:tcPr>
            <w:tcW w:w="993" w:type="dxa"/>
          </w:tcPr>
          <w:p w14:paraId="3E920A6F" w14:textId="77777777" w:rsidR="00DD13BF" w:rsidRPr="6A5004D4" w:rsidRDefault="00DD13BF" w:rsidP="00355A56">
            <w:pPr>
              <w:pStyle w:val="TableParagraph"/>
              <w:rPr>
                <w:sz w:val="20"/>
              </w:rPr>
            </w:pPr>
            <w:r>
              <w:rPr>
                <w:sz w:val="20"/>
              </w:rPr>
              <w:t>2020</w:t>
            </w:r>
          </w:p>
        </w:tc>
        <w:tc>
          <w:tcPr>
            <w:tcW w:w="1133" w:type="dxa"/>
          </w:tcPr>
          <w:p w14:paraId="03A70C42" w14:textId="77777777" w:rsidR="00DD13BF" w:rsidRPr="2CDEFCE5" w:rsidDel="00666ED0" w:rsidRDefault="00DD13BF" w:rsidP="00355A56">
            <w:pPr>
              <w:pStyle w:val="TableParagraph"/>
              <w:rPr>
                <w:sz w:val="20"/>
              </w:rPr>
            </w:pPr>
            <w:r>
              <w:rPr>
                <w:sz w:val="20"/>
              </w:rPr>
              <w:t>2,248</w:t>
            </w:r>
          </w:p>
        </w:tc>
        <w:tc>
          <w:tcPr>
            <w:tcW w:w="851" w:type="dxa"/>
          </w:tcPr>
          <w:p w14:paraId="3A8E01D7" w14:textId="77777777" w:rsidR="00DD13BF" w:rsidRPr="0A1D0E69" w:rsidRDefault="00DD13BF" w:rsidP="00355A56">
            <w:pPr>
              <w:pStyle w:val="TableParagraph"/>
              <w:rPr>
                <w:sz w:val="20"/>
              </w:rPr>
            </w:pPr>
            <w:r>
              <w:rPr>
                <w:sz w:val="20"/>
              </w:rPr>
              <w:t>MZI, ministries</w:t>
            </w:r>
          </w:p>
        </w:tc>
        <w:tc>
          <w:tcPr>
            <w:tcW w:w="850" w:type="dxa"/>
          </w:tcPr>
          <w:p w14:paraId="74E961FB" w14:textId="77777777" w:rsidR="00DD13BF" w:rsidRPr="00CA7F76" w:rsidRDefault="00DD13BF" w:rsidP="00355A56">
            <w:pPr>
              <w:pStyle w:val="TableParagraph"/>
              <w:rPr>
                <w:sz w:val="20"/>
              </w:rPr>
            </w:pPr>
          </w:p>
        </w:tc>
      </w:tr>
      <w:tr w:rsidR="00DD13BF" w14:paraId="0AFA5A0C" w14:textId="77777777" w:rsidTr="00355A56">
        <w:trPr>
          <w:trHeight w:val="353"/>
        </w:trPr>
        <w:tc>
          <w:tcPr>
            <w:tcW w:w="1125" w:type="dxa"/>
          </w:tcPr>
          <w:p w14:paraId="72FDC3DE" w14:textId="77777777" w:rsidR="00DD13BF" w:rsidRPr="00572A7D" w:rsidRDefault="00DD13BF" w:rsidP="00355A56">
            <w:pPr>
              <w:pStyle w:val="TableParagraph"/>
              <w:rPr>
                <w:sz w:val="20"/>
              </w:rPr>
            </w:pPr>
            <w:r>
              <w:rPr>
                <w:sz w:val="20"/>
              </w:rPr>
              <w:t>3</w:t>
            </w:r>
          </w:p>
        </w:tc>
        <w:tc>
          <w:tcPr>
            <w:tcW w:w="1134" w:type="dxa"/>
          </w:tcPr>
          <w:p w14:paraId="0C50231F" w14:textId="77777777" w:rsidR="00DD13BF" w:rsidRPr="00572A7D" w:rsidRDefault="00DD13BF" w:rsidP="00355A56">
            <w:pPr>
              <w:pStyle w:val="TableParagraph"/>
              <w:rPr>
                <w:sz w:val="20"/>
              </w:rPr>
            </w:pPr>
            <w:r>
              <w:rPr>
                <w:color w:val="000000"/>
                <w:sz w:val="20"/>
              </w:rPr>
              <w:t>RSO2.1</w:t>
            </w:r>
          </w:p>
        </w:tc>
        <w:tc>
          <w:tcPr>
            <w:tcW w:w="696" w:type="dxa"/>
          </w:tcPr>
          <w:p w14:paraId="79601F52" w14:textId="77777777" w:rsidR="00DD13BF" w:rsidRPr="00572A7D" w:rsidRDefault="00DD13BF" w:rsidP="00355A56">
            <w:pPr>
              <w:pStyle w:val="TableParagraph"/>
              <w:rPr>
                <w:sz w:val="20"/>
              </w:rPr>
            </w:pPr>
            <w:r>
              <w:rPr>
                <w:sz w:val="20"/>
              </w:rPr>
              <w:t>CF</w:t>
            </w:r>
          </w:p>
        </w:tc>
        <w:tc>
          <w:tcPr>
            <w:tcW w:w="1572" w:type="dxa"/>
          </w:tcPr>
          <w:p w14:paraId="779E7C6E" w14:textId="77777777" w:rsidR="00DD13BF" w:rsidRPr="00572A7D" w:rsidRDefault="00DD13BF" w:rsidP="00355A56">
            <w:pPr>
              <w:pStyle w:val="TableParagraph"/>
              <w:rPr>
                <w:sz w:val="20"/>
              </w:rPr>
            </w:pPr>
            <w:r>
              <w:rPr>
                <w:sz w:val="20"/>
              </w:rPr>
              <w:t>Entire Slovenia</w:t>
            </w:r>
          </w:p>
        </w:tc>
        <w:tc>
          <w:tcPr>
            <w:tcW w:w="709" w:type="dxa"/>
          </w:tcPr>
          <w:p w14:paraId="16187AAE" w14:textId="77777777" w:rsidR="00DD13BF" w:rsidRPr="00572A7D" w:rsidRDefault="00DD13BF" w:rsidP="00355A56">
            <w:pPr>
              <w:pStyle w:val="TableParagraph"/>
              <w:rPr>
                <w:sz w:val="20"/>
              </w:rPr>
            </w:pPr>
            <w:r>
              <w:rPr>
                <w:sz w:val="20"/>
              </w:rPr>
              <w:t>19</w:t>
            </w:r>
          </w:p>
        </w:tc>
        <w:tc>
          <w:tcPr>
            <w:tcW w:w="2693" w:type="dxa"/>
          </w:tcPr>
          <w:p w14:paraId="44271C49" w14:textId="77777777" w:rsidR="00DD13BF" w:rsidRPr="00572A7D" w:rsidRDefault="00DD13BF" w:rsidP="00355A56">
            <w:pPr>
              <w:pStyle w:val="TableParagraph"/>
              <w:rPr>
                <w:sz w:val="20"/>
              </w:rPr>
            </w:pPr>
            <w:r>
              <w:rPr>
                <w:sz w:val="20"/>
              </w:rPr>
              <w:t>Reduction of greenhouse gas emissions in public buildings</w:t>
            </w:r>
          </w:p>
        </w:tc>
        <w:tc>
          <w:tcPr>
            <w:tcW w:w="992" w:type="dxa"/>
          </w:tcPr>
          <w:p w14:paraId="2B74E367" w14:textId="77777777" w:rsidR="00DD13BF" w:rsidRPr="0059047F" w:rsidRDefault="00DD13BF" w:rsidP="00355A56">
            <w:pPr>
              <w:pStyle w:val="TableParagraph"/>
              <w:rPr>
                <w:sz w:val="20"/>
                <w:vertAlign w:val="subscript"/>
              </w:rPr>
            </w:pPr>
            <w:r>
              <w:rPr>
                <w:sz w:val="20"/>
              </w:rPr>
              <w:t>Tonnes CO2 eq./year</w:t>
            </w:r>
          </w:p>
        </w:tc>
        <w:tc>
          <w:tcPr>
            <w:tcW w:w="1134" w:type="dxa"/>
          </w:tcPr>
          <w:p w14:paraId="3E44B9D0" w14:textId="77777777" w:rsidR="00DD13BF" w:rsidRPr="00CA7F76" w:rsidRDefault="00DD13BF" w:rsidP="00355A56">
            <w:pPr>
              <w:pStyle w:val="TableParagraph"/>
              <w:rPr>
                <w:sz w:val="20"/>
              </w:rPr>
            </w:pPr>
            <w:r>
              <w:rPr>
                <w:sz w:val="20"/>
              </w:rPr>
              <w:t>376,812</w:t>
            </w:r>
          </w:p>
        </w:tc>
        <w:tc>
          <w:tcPr>
            <w:tcW w:w="993" w:type="dxa"/>
          </w:tcPr>
          <w:p w14:paraId="6D9940C5" w14:textId="77777777" w:rsidR="00DD13BF" w:rsidRPr="00CA7F76" w:rsidRDefault="00DD13BF" w:rsidP="00355A56">
            <w:pPr>
              <w:pStyle w:val="TableParagraph"/>
              <w:rPr>
                <w:sz w:val="20"/>
              </w:rPr>
            </w:pPr>
            <w:r>
              <w:rPr>
                <w:sz w:val="20"/>
              </w:rPr>
              <w:t>2020</w:t>
            </w:r>
          </w:p>
        </w:tc>
        <w:tc>
          <w:tcPr>
            <w:tcW w:w="1133" w:type="dxa"/>
          </w:tcPr>
          <w:p w14:paraId="2B56A819" w14:textId="77777777" w:rsidR="00DD13BF" w:rsidRPr="00CA7F76" w:rsidRDefault="00DD13BF" w:rsidP="00355A56">
            <w:pPr>
              <w:pStyle w:val="TableParagraph"/>
              <w:rPr>
                <w:sz w:val="20"/>
              </w:rPr>
            </w:pPr>
            <w:r>
              <w:rPr>
                <w:sz w:val="20"/>
              </w:rPr>
              <w:t>373,038</w:t>
            </w:r>
          </w:p>
        </w:tc>
        <w:tc>
          <w:tcPr>
            <w:tcW w:w="851" w:type="dxa"/>
          </w:tcPr>
          <w:p w14:paraId="367B9B87" w14:textId="77777777" w:rsidR="00DD13BF" w:rsidRPr="00CA7F76" w:rsidRDefault="00DD13BF" w:rsidP="00355A56">
            <w:pPr>
              <w:pStyle w:val="TableParagraph"/>
              <w:rPr>
                <w:sz w:val="20"/>
              </w:rPr>
            </w:pPr>
            <w:r>
              <w:rPr>
                <w:sz w:val="20"/>
              </w:rPr>
              <w:t>MZI, ministries</w:t>
            </w:r>
          </w:p>
        </w:tc>
        <w:tc>
          <w:tcPr>
            <w:tcW w:w="850" w:type="dxa"/>
          </w:tcPr>
          <w:p w14:paraId="3F0A58B8" w14:textId="77777777" w:rsidR="00DD13BF" w:rsidRPr="00CA7F76" w:rsidRDefault="00DD13BF" w:rsidP="00355A56">
            <w:pPr>
              <w:pStyle w:val="TableParagraph"/>
              <w:rPr>
                <w:sz w:val="20"/>
              </w:rPr>
            </w:pPr>
          </w:p>
        </w:tc>
      </w:tr>
      <w:tr w:rsidR="00DD13BF" w14:paraId="09F3D5A1" w14:textId="77777777" w:rsidTr="00355A56">
        <w:trPr>
          <w:trHeight w:val="353"/>
        </w:trPr>
        <w:tc>
          <w:tcPr>
            <w:tcW w:w="1125" w:type="dxa"/>
          </w:tcPr>
          <w:p w14:paraId="415D319C" w14:textId="77777777" w:rsidR="00DD13BF" w:rsidRDefault="00DD13BF" w:rsidP="00355A56">
            <w:pPr>
              <w:pStyle w:val="TableParagraph"/>
              <w:rPr>
                <w:sz w:val="20"/>
              </w:rPr>
            </w:pPr>
            <w:r>
              <w:rPr>
                <w:sz w:val="20"/>
              </w:rPr>
              <w:t>3</w:t>
            </w:r>
          </w:p>
        </w:tc>
        <w:tc>
          <w:tcPr>
            <w:tcW w:w="1134" w:type="dxa"/>
          </w:tcPr>
          <w:p w14:paraId="2F4510CE" w14:textId="77777777" w:rsidR="00DD13BF" w:rsidRDefault="00DD13BF" w:rsidP="00355A56">
            <w:pPr>
              <w:pStyle w:val="TableParagraph"/>
              <w:rPr>
                <w:sz w:val="20"/>
              </w:rPr>
            </w:pPr>
            <w:r>
              <w:rPr>
                <w:color w:val="000000"/>
                <w:sz w:val="20"/>
              </w:rPr>
              <w:t>RSO2.1</w:t>
            </w:r>
          </w:p>
        </w:tc>
        <w:tc>
          <w:tcPr>
            <w:tcW w:w="696" w:type="dxa"/>
          </w:tcPr>
          <w:p w14:paraId="07A26E3B" w14:textId="77777777" w:rsidR="00DD13BF" w:rsidRPr="00572A7D" w:rsidRDefault="00DD13BF" w:rsidP="00355A56">
            <w:pPr>
              <w:pStyle w:val="TableParagraph"/>
              <w:rPr>
                <w:sz w:val="20"/>
              </w:rPr>
            </w:pPr>
            <w:r>
              <w:rPr>
                <w:sz w:val="20"/>
              </w:rPr>
              <w:t>ERDF</w:t>
            </w:r>
          </w:p>
        </w:tc>
        <w:tc>
          <w:tcPr>
            <w:tcW w:w="1572" w:type="dxa"/>
          </w:tcPr>
          <w:p w14:paraId="7D6B742B" w14:textId="77777777" w:rsidR="00DD13BF" w:rsidRPr="6A5004D4" w:rsidRDefault="00DD13BF" w:rsidP="00355A56">
            <w:pPr>
              <w:pStyle w:val="TableParagraph"/>
              <w:rPr>
                <w:sz w:val="20"/>
              </w:rPr>
            </w:pPr>
            <w:r>
              <w:rPr>
                <w:sz w:val="20"/>
              </w:rPr>
              <w:t>Less developed</w:t>
            </w:r>
          </w:p>
        </w:tc>
        <w:tc>
          <w:tcPr>
            <w:tcW w:w="709" w:type="dxa"/>
          </w:tcPr>
          <w:p w14:paraId="1E54924E" w14:textId="77777777" w:rsidR="00DD13BF" w:rsidRPr="00572A7D" w:rsidRDefault="00DD13BF" w:rsidP="00355A56">
            <w:pPr>
              <w:pStyle w:val="TableParagraph"/>
              <w:rPr>
                <w:sz w:val="20"/>
              </w:rPr>
            </w:pPr>
            <w:r>
              <w:rPr>
                <w:sz w:val="20"/>
              </w:rPr>
              <w:t>RCR29</w:t>
            </w:r>
          </w:p>
        </w:tc>
        <w:tc>
          <w:tcPr>
            <w:tcW w:w="2693" w:type="dxa"/>
          </w:tcPr>
          <w:p w14:paraId="2D7D7767" w14:textId="77777777" w:rsidR="00DD13BF" w:rsidRPr="1F082729" w:rsidRDefault="00DD13BF" w:rsidP="00355A56">
            <w:pPr>
              <w:pStyle w:val="TableParagraph"/>
              <w:rPr>
                <w:sz w:val="20"/>
              </w:rPr>
            </w:pPr>
            <w:r>
              <w:rPr>
                <w:sz w:val="20"/>
              </w:rPr>
              <w:t>Estimated greenhouse gas emissions</w:t>
            </w:r>
          </w:p>
        </w:tc>
        <w:tc>
          <w:tcPr>
            <w:tcW w:w="992" w:type="dxa"/>
          </w:tcPr>
          <w:p w14:paraId="415A85AE" w14:textId="77777777" w:rsidR="00DD13BF" w:rsidRPr="1F082729" w:rsidRDefault="00DD13BF" w:rsidP="00355A56">
            <w:pPr>
              <w:pStyle w:val="TableParagraph"/>
              <w:rPr>
                <w:sz w:val="20"/>
              </w:rPr>
            </w:pPr>
            <w:r>
              <w:rPr>
                <w:sz w:val="20"/>
              </w:rPr>
              <w:t>Tonnes CO2 eq./year</w:t>
            </w:r>
          </w:p>
        </w:tc>
        <w:tc>
          <w:tcPr>
            <w:tcW w:w="1134" w:type="dxa"/>
          </w:tcPr>
          <w:p w14:paraId="48C74731" w14:textId="77777777" w:rsidR="00DD13BF" w:rsidRPr="1F082729" w:rsidRDefault="00DD13BF" w:rsidP="00355A56">
            <w:pPr>
              <w:pStyle w:val="TableParagraph"/>
              <w:rPr>
                <w:sz w:val="20"/>
              </w:rPr>
            </w:pPr>
            <w:r>
              <w:rPr>
                <w:sz w:val="20"/>
              </w:rPr>
              <w:t>332,097</w:t>
            </w:r>
          </w:p>
        </w:tc>
        <w:tc>
          <w:tcPr>
            <w:tcW w:w="993" w:type="dxa"/>
          </w:tcPr>
          <w:p w14:paraId="2002FA9E" w14:textId="77777777" w:rsidR="00DD13BF" w:rsidRPr="6A5004D4" w:rsidRDefault="00DD13BF" w:rsidP="00355A56">
            <w:pPr>
              <w:pStyle w:val="TableParagraph"/>
              <w:rPr>
                <w:sz w:val="20"/>
              </w:rPr>
            </w:pPr>
            <w:r>
              <w:rPr>
                <w:sz w:val="20"/>
              </w:rPr>
              <w:t>2020</w:t>
            </w:r>
          </w:p>
        </w:tc>
        <w:tc>
          <w:tcPr>
            <w:tcW w:w="1133" w:type="dxa"/>
          </w:tcPr>
          <w:p w14:paraId="2D5554BE" w14:textId="77777777" w:rsidR="00DD13BF" w:rsidRPr="2CDEFCE5" w:rsidRDefault="00DD13BF" w:rsidP="00355A56">
            <w:pPr>
              <w:pStyle w:val="TableParagraph"/>
              <w:rPr>
                <w:sz w:val="20"/>
              </w:rPr>
            </w:pPr>
            <w:r>
              <w:rPr>
                <w:sz w:val="20"/>
              </w:rPr>
              <w:t>331,217</w:t>
            </w:r>
          </w:p>
        </w:tc>
        <w:tc>
          <w:tcPr>
            <w:tcW w:w="851" w:type="dxa"/>
          </w:tcPr>
          <w:p w14:paraId="3DA0D298" w14:textId="77777777" w:rsidR="00DD13BF" w:rsidRPr="0A1D0E69" w:rsidRDefault="00DD13BF" w:rsidP="00355A56">
            <w:pPr>
              <w:pStyle w:val="TableParagraph"/>
              <w:rPr>
                <w:sz w:val="20"/>
              </w:rPr>
            </w:pPr>
            <w:r>
              <w:rPr>
                <w:sz w:val="20"/>
              </w:rPr>
              <w:t>MZI, ministries</w:t>
            </w:r>
          </w:p>
        </w:tc>
        <w:tc>
          <w:tcPr>
            <w:tcW w:w="850" w:type="dxa"/>
          </w:tcPr>
          <w:p w14:paraId="5DBBD554" w14:textId="77777777" w:rsidR="00DD13BF" w:rsidRPr="00CA7F76" w:rsidRDefault="00DD13BF" w:rsidP="00355A56">
            <w:pPr>
              <w:pStyle w:val="TableParagraph"/>
              <w:rPr>
                <w:sz w:val="20"/>
              </w:rPr>
            </w:pPr>
          </w:p>
        </w:tc>
      </w:tr>
      <w:tr w:rsidR="00DD13BF" w14:paraId="08B6E70E" w14:textId="77777777" w:rsidTr="00355A56">
        <w:trPr>
          <w:trHeight w:val="353"/>
        </w:trPr>
        <w:tc>
          <w:tcPr>
            <w:tcW w:w="1125" w:type="dxa"/>
          </w:tcPr>
          <w:p w14:paraId="6A573A5B" w14:textId="77777777" w:rsidR="00DD13BF" w:rsidRDefault="00DD13BF" w:rsidP="00355A56">
            <w:pPr>
              <w:pStyle w:val="TableParagraph"/>
              <w:rPr>
                <w:sz w:val="20"/>
              </w:rPr>
            </w:pPr>
            <w:r>
              <w:rPr>
                <w:sz w:val="20"/>
              </w:rPr>
              <w:t>3</w:t>
            </w:r>
          </w:p>
        </w:tc>
        <w:tc>
          <w:tcPr>
            <w:tcW w:w="1134" w:type="dxa"/>
          </w:tcPr>
          <w:p w14:paraId="2F66B018" w14:textId="77777777" w:rsidR="00DD13BF" w:rsidRDefault="00DD13BF" w:rsidP="00355A56">
            <w:pPr>
              <w:pStyle w:val="TableParagraph"/>
              <w:rPr>
                <w:sz w:val="20"/>
              </w:rPr>
            </w:pPr>
            <w:r>
              <w:rPr>
                <w:color w:val="000000"/>
                <w:sz w:val="20"/>
              </w:rPr>
              <w:t>RSO2.1</w:t>
            </w:r>
          </w:p>
        </w:tc>
        <w:tc>
          <w:tcPr>
            <w:tcW w:w="696" w:type="dxa"/>
          </w:tcPr>
          <w:p w14:paraId="117E45F0" w14:textId="77777777" w:rsidR="00DD13BF" w:rsidRPr="00572A7D" w:rsidRDefault="00DD13BF" w:rsidP="00355A56">
            <w:pPr>
              <w:pStyle w:val="TableParagraph"/>
              <w:rPr>
                <w:sz w:val="20"/>
              </w:rPr>
            </w:pPr>
            <w:r>
              <w:rPr>
                <w:sz w:val="20"/>
              </w:rPr>
              <w:t>ERDF</w:t>
            </w:r>
          </w:p>
        </w:tc>
        <w:tc>
          <w:tcPr>
            <w:tcW w:w="1572" w:type="dxa"/>
          </w:tcPr>
          <w:p w14:paraId="344DCB06" w14:textId="77777777" w:rsidR="00DD13BF" w:rsidRPr="6A5004D4" w:rsidRDefault="00DD13BF" w:rsidP="00355A56">
            <w:pPr>
              <w:pStyle w:val="TableParagraph"/>
              <w:rPr>
                <w:sz w:val="20"/>
              </w:rPr>
            </w:pPr>
            <w:r>
              <w:rPr>
                <w:sz w:val="20"/>
              </w:rPr>
              <w:t>More developed</w:t>
            </w:r>
          </w:p>
        </w:tc>
        <w:tc>
          <w:tcPr>
            <w:tcW w:w="709" w:type="dxa"/>
          </w:tcPr>
          <w:p w14:paraId="27727FEB" w14:textId="77777777" w:rsidR="00DD13BF" w:rsidRPr="00572A7D" w:rsidRDefault="00DD13BF" w:rsidP="00355A56">
            <w:pPr>
              <w:pStyle w:val="TableParagraph"/>
              <w:rPr>
                <w:sz w:val="20"/>
              </w:rPr>
            </w:pPr>
            <w:r>
              <w:rPr>
                <w:sz w:val="20"/>
              </w:rPr>
              <w:t>RCR29</w:t>
            </w:r>
          </w:p>
        </w:tc>
        <w:tc>
          <w:tcPr>
            <w:tcW w:w="2693" w:type="dxa"/>
          </w:tcPr>
          <w:p w14:paraId="6EA232EF" w14:textId="77777777" w:rsidR="00DD13BF" w:rsidRPr="1F082729" w:rsidRDefault="00DD13BF" w:rsidP="00355A56">
            <w:pPr>
              <w:pStyle w:val="TableParagraph"/>
              <w:rPr>
                <w:sz w:val="20"/>
              </w:rPr>
            </w:pPr>
            <w:r>
              <w:rPr>
                <w:sz w:val="20"/>
              </w:rPr>
              <w:t>Estimated greenhouse gas emissions</w:t>
            </w:r>
          </w:p>
        </w:tc>
        <w:tc>
          <w:tcPr>
            <w:tcW w:w="992" w:type="dxa"/>
          </w:tcPr>
          <w:p w14:paraId="5F88EF7C" w14:textId="77777777" w:rsidR="00DD13BF" w:rsidRPr="1F082729" w:rsidRDefault="00DD13BF" w:rsidP="00355A56">
            <w:pPr>
              <w:pStyle w:val="TableParagraph"/>
              <w:rPr>
                <w:sz w:val="20"/>
              </w:rPr>
            </w:pPr>
            <w:r>
              <w:rPr>
                <w:sz w:val="20"/>
              </w:rPr>
              <w:t>Tonnes CO2 eq./year</w:t>
            </w:r>
          </w:p>
        </w:tc>
        <w:tc>
          <w:tcPr>
            <w:tcW w:w="1134" w:type="dxa"/>
          </w:tcPr>
          <w:p w14:paraId="23586135" w14:textId="77777777" w:rsidR="00DD13BF" w:rsidRPr="1F082729" w:rsidRDefault="00DD13BF" w:rsidP="00355A56">
            <w:pPr>
              <w:pStyle w:val="TableParagraph"/>
              <w:rPr>
                <w:sz w:val="20"/>
              </w:rPr>
            </w:pPr>
            <w:r>
              <w:rPr>
                <w:sz w:val="20"/>
              </w:rPr>
              <w:t>83,024</w:t>
            </w:r>
          </w:p>
        </w:tc>
        <w:tc>
          <w:tcPr>
            <w:tcW w:w="993" w:type="dxa"/>
          </w:tcPr>
          <w:p w14:paraId="1095FD15" w14:textId="77777777" w:rsidR="00DD13BF" w:rsidRPr="6A5004D4" w:rsidRDefault="00DD13BF" w:rsidP="00355A56">
            <w:pPr>
              <w:pStyle w:val="TableParagraph"/>
              <w:rPr>
                <w:sz w:val="20"/>
              </w:rPr>
            </w:pPr>
            <w:r>
              <w:rPr>
                <w:sz w:val="20"/>
              </w:rPr>
              <w:t>2020</w:t>
            </w:r>
          </w:p>
        </w:tc>
        <w:tc>
          <w:tcPr>
            <w:tcW w:w="1133" w:type="dxa"/>
          </w:tcPr>
          <w:p w14:paraId="651AC566" w14:textId="77777777" w:rsidR="00DD13BF" w:rsidRPr="2CDEFCE5" w:rsidRDefault="00DD13BF" w:rsidP="00355A56">
            <w:pPr>
              <w:pStyle w:val="TableParagraph"/>
              <w:rPr>
                <w:sz w:val="20"/>
              </w:rPr>
            </w:pPr>
            <w:r>
              <w:rPr>
                <w:sz w:val="20"/>
              </w:rPr>
              <w:t>82,804</w:t>
            </w:r>
          </w:p>
        </w:tc>
        <w:tc>
          <w:tcPr>
            <w:tcW w:w="851" w:type="dxa"/>
          </w:tcPr>
          <w:p w14:paraId="4F13D1CA" w14:textId="77777777" w:rsidR="00DD13BF" w:rsidRPr="0A1D0E69" w:rsidRDefault="00DD13BF" w:rsidP="00355A56">
            <w:pPr>
              <w:pStyle w:val="TableParagraph"/>
              <w:rPr>
                <w:sz w:val="20"/>
              </w:rPr>
            </w:pPr>
            <w:r>
              <w:rPr>
                <w:sz w:val="20"/>
              </w:rPr>
              <w:t>MZI, ministries</w:t>
            </w:r>
          </w:p>
        </w:tc>
        <w:tc>
          <w:tcPr>
            <w:tcW w:w="850" w:type="dxa"/>
          </w:tcPr>
          <w:p w14:paraId="46641643" w14:textId="77777777" w:rsidR="00DD13BF" w:rsidRPr="00CA7F76" w:rsidRDefault="00DD13BF" w:rsidP="00355A56">
            <w:pPr>
              <w:pStyle w:val="TableParagraph"/>
              <w:rPr>
                <w:sz w:val="20"/>
              </w:rPr>
            </w:pPr>
          </w:p>
        </w:tc>
      </w:tr>
      <w:bookmarkEnd w:id="25"/>
    </w:tbl>
    <w:p w14:paraId="6BCAA7F9" w14:textId="77777777" w:rsidR="00DD13BF" w:rsidRPr="00F81084" w:rsidRDefault="00DD13BF" w:rsidP="00DD13BF">
      <w:pPr>
        <w:pStyle w:val="Telobesedila"/>
      </w:pPr>
    </w:p>
    <w:p w14:paraId="589AFBE2" w14:textId="77777777" w:rsidR="00DD13BF" w:rsidRPr="00F81084" w:rsidRDefault="00DD13BF" w:rsidP="00DD13BF">
      <w:pPr>
        <w:pStyle w:val="Telobesedila"/>
      </w:pPr>
    </w:p>
    <w:p w14:paraId="4CBDF3D4" w14:textId="77777777" w:rsidR="00DD13BF" w:rsidRDefault="00DD13BF" w:rsidP="00DD13BF">
      <w:pPr>
        <w:pStyle w:val="Naslov5"/>
        <w:spacing w:before="0"/>
      </w:pPr>
      <w:r>
        <w:t>Indicative breakdown of the programme resources (EU) by type of intervention</w:t>
      </w:r>
    </w:p>
    <w:p w14:paraId="2E3FE6FB" w14:textId="77777777" w:rsidR="00DD13BF" w:rsidRDefault="00DD13BF" w:rsidP="00DD13BF">
      <w:pPr>
        <w:ind w:left="640"/>
        <w:rPr>
          <w:spacing w:val="-5"/>
        </w:rPr>
      </w:pPr>
    </w:p>
    <w:p w14:paraId="648CF24A" w14:textId="77777777" w:rsidR="00DD13BF" w:rsidRPr="00673ADB" w:rsidRDefault="00DD13BF" w:rsidP="00DD13BF">
      <w:pPr>
        <w:ind w:left="339"/>
        <w:rPr>
          <w:spacing w:val="-7"/>
        </w:rPr>
      </w:pPr>
      <w:r>
        <w:t>Table 4: Dimension 1 – intervention field</w:t>
      </w:r>
    </w:p>
    <w:p w14:paraId="0E37E930"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55593BD" w14:textId="77777777" w:rsidTr="00355A56">
        <w:trPr>
          <w:trHeight w:val="353"/>
        </w:trPr>
        <w:tc>
          <w:tcPr>
            <w:tcW w:w="2088" w:type="dxa"/>
          </w:tcPr>
          <w:p w14:paraId="11F983EC" w14:textId="77777777" w:rsidR="00DD13BF" w:rsidRPr="00BE14A9" w:rsidRDefault="00DD13BF" w:rsidP="00355A56">
            <w:pPr>
              <w:pStyle w:val="TableParagraph"/>
              <w:ind w:left="115"/>
            </w:pPr>
            <w:r>
              <w:t>Priority no.</w:t>
            </w:r>
          </w:p>
        </w:tc>
        <w:tc>
          <w:tcPr>
            <w:tcW w:w="1133" w:type="dxa"/>
          </w:tcPr>
          <w:p w14:paraId="2C46B207" w14:textId="77777777" w:rsidR="00DD13BF" w:rsidRPr="00622456" w:rsidRDefault="00DD13BF" w:rsidP="00355A56">
            <w:pPr>
              <w:pStyle w:val="TableParagraph"/>
              <w:ind w:left="320"/>
            </w:pPr>
            <w:r>
              <w:t>Fund</w:t>
            </w:r>
          </w:p>
        </w:tc>
        <w:tc>
          <w:tcPr>
            <w:tcW w:w="3249" w:type="dxa"/>
          </w:tcPr>
          <w:p w14:paraId="2F288059" w14:textId="77777777" w:rsidR="00DD13BF" w:rsidRPr="00622456" w:rsidRDefault="00DD13BF" w:rsidP="00355A56">
            <w:pPr>
              <w:pStyle w:val="TableParagraph"/>
              <w:ind w:left="907"/>
            </w:pPr>
            <w:r>
              <w:t>Category of region</w:t>
            </w:r>
          </w:p>
        </w:tc>
        <w:tc>
          <w:tcPr>
            <w:tcW w:w="3099" w:type="dxa"/>
          </w:tcPr>
          <w:p w14:paraId="3FD0ACF3" w14:textId="77777777" w:rsidR="00DD13BF" w:rsidRPr="000A192E" w:rsidRDefault="00DD13BF" w:rsidP="00355A56">
            <w:pPr>
              <w:pStyle w:val="TableParagraph"/>
              <w:ind w:left="948"/>
            </w:pPr>
            <w:r>
              <w:t>Specific objective</w:t>
            </w:r>
          </w:p>
        </w:tc>
        <w:tc>
          <w:tcPr>
            <w:tcW w:w="1161" w:type="dxa"/>
          </w:tcPr>
          <w:p w14:paraId="4387BF38" w14:textId="77777777" w:rsidR="00DD13BF" w:rsidRPr="00987B8D" w:rsidRDefault="00DD13BF" w:rsidP="00355A56">
            <w:pPr>
              <w:pStyle w:val="TableParagraph"/>
              <w:ind w:left="333"/>
            </w:pPr>
            <w:r>
              <w:t>Code</w:t>
            </w:r>
          </w:p>
        </w:tc>
        <w:tc>
          <w:tcPr>
            <w:tcW w:w="2731" w:type="dxa"/>
          </w:tcPr>
          <w:p w14:paraId="49BF921F" w14:textId="77777777" w:rsidR="00DD13BF" w:rsidRPr="00FA4535" w:rsidRDefault="00DD13BF" w:rsidP="00355A56">
            <w:pPr>
              <w:pStyle w:val="TableParagraph"/>
              <w:ind w:left="660"/>
            </w:pPr>
            <w:r>
              <w:t>Amount (in EUR)</w:t>
            </w:r>
          </w:p>
        </w:tc>
      </w:tr>
      <w:tr w:rsidR="00DD13BF" w14:paraId="1F8E1508" w14:textId="77777777" w:rsidTr="00355A56">
        <w:trPr>
          <w:trHeight w:val="353"/>
        </w:trPr>
        <w:tc>
          <w:tcPr>
            <w:tcW w:w="2088" w:type="dxa"/>
          </w:tcPr>
          <w:p w14:paraId="4F11A9C1" w14:textId="77777777" w:rsidR="00DD13BF" w:rsidRPr="007975BA" w:rsidRDefault="00DD13BF" w:rsidP="00355A56">
            <w:pPr>
              <w:pStyle w:val="TableParagraph"/>
              <w:rPr>
                <w:sz w:val="20"/>
              </w:rPr>
            </w:pPr>
            <w:r>
              <w:rPr>
                <w:sz w:val="20"/>
              </w:rPr>
              <w:lastRenderedPageBreak/>
              <w:t>3</w:t>
            </w:r>
          </w:p>
        </w:tc>
        <w:tc>
          <w:tcPr>
            <w:tcW w:w="1133" w:type="dxa"/>
          </w:tcPr>
          <w:p w14:paraId="73AA20C2" w14:textId="77777777" w:rsidR="00DD13BF" w:rsidRPr="007975BA" w:rsidRDefault="00DD13BF" w:rsidP="00355A56">
            <w:pPr>
              <w:pStyle w:val="TableParagraph"/>
              <w:rPr>
                <w:sz w:val="20"/>
              </w:rPr>
            </w:pPr>
            <w:r>
              <w:rPr>
                <w:sz w:val="20"/>
              </w:rPr>
              <w:t>ERDF</w:t>
            </w:r>
          </w:p>
        </w:tc>
        <w:tc>
          <w:tcPr>
            <w:tcW w:w="3249" w:type="dxa"/>
          </w:tcPr>
          <w:p w14:paraId="60B7B5E6" w14:textId="77777777" w:rsidR="00DD13BF" w:rsidRPr="007975BA" w:rsidRDefault="00DD13BF" w:rsidP="00355A56">
            <w:pPr>
              <w:pStyle w:val="TableParagraph"/>
              <w:rPr>
                <w:sz w:val="20"/>
              </w:rPr>
            </w:pPr>
            <w:r>
              <w:rPr>
                <w:sz w:val="20"/>
              </w:rPr>
              <w:t>Less developed</w:t>
            </w:r>
          </w:p>
        </w:tc>
        <w:tc>
          <w:tcPr>
            <w:tcW w:w="3099" w:type="dxa"/>
          </w:tcPr>
          <w:p w14:paraId="02CA297A" w14:textId="77777777" w:rsidR="00DD13BF" w:rsidRPr="007975BA" w:rsidRDefault="00DD13BF" w:rsidP="00355A56">
            <w:pPr>
              <w:pStyle w:val="TableParagraph"/>
              <w:rPr>
                <w:sz w:val="20"/>
              </w:rPr>
            </w:pPr>
            <w:r>
              <w:rPr>
                <w:color w:val="000000"/>
                <w:sz w:val="20"/>
              </w:rPr>
              <w:t>RSO2.1</w:t>
            </w:r>
          </w:p>
        </w:tc>
        <w:tc>
          <w:tcPr>
            <w:tcW w:w="1161" w:type="dxa"/>
          </w:tcPr>
          <w:p w14:paraId="20A5D688" w14:textId="77777777" w:rsidR="00DD13BF" w:rsidRDefault="00DD13BF" w:rsidP="00355A56">
            <w:pPr>
              <w:pStyle w:val="TableParagraph"/>
              <w:rPr>
                <w:sz w:val="20"/>
              </w:rPr>
            </w:pPr>
            <w:r>
              <w:rPr>
                <w:sz w:val="20"/>
              </w:rPr>
              <w:t>040</w:t>
            </w:r>
          </w:p>
        </w:tc>
        <w:tc>
          <w:tcPr>
            <w:tcW w:w="2731" w:type="dxa"/>
          </w:tcPr>
          <w:p w14:paraId="1523F581" w14:textId="77777777" w:rsidR="00DD13BF" w:rsidRDefault="00DD13BF" w:rsidP="00355A56">
            <w:pPr>
              <w:pStyle w:val="TableParagraph"/>
              <w:rPr>
                <w:sz w:val="20"/>
              </w:rPr>
            </w:pPr>
            <w:r>
              <w:rPr>
                <w:sz w:val="20"/>
              </w:rPr>
              <w:t xml:space="preserve">12,000,000 </w:t>
            </w:r>
          </w:p>
        </w:tc>
      </w:tr>
      <w:tr w:rsidR="00DD13BF" w14:paraId="1D862AA0" w14:textId="77777777" w:rsidTr="00355A56">
        <w:trPr>
          <w:trHeight w:val="353"/>
        </w:trPr>
        <w:tc>
          <w:tcPr>
            <w:tcW w:w="2088" w:type="dxa"/>
          </w:tcPr>
          <w:p w14:paraId="28C98C1B" w14:textId="77777777" w:rsidR="00DD13BF" w:rsidRPr="007975BA" w:rsidRDefault="00DD13BF" w:rsidP="00355A56">
            <w:pPr>
              <w:pStyle w:val="TableParagraph"/>
              <w:rPr>
                <w:sz w:val="20"/>
              </w:rPr>
            </w:pPr>
            <w:r>
              <w:rPr>
                <w:sz w:val="20"/>
              </w:rPr>
              <w:t>3</w:t>
            </w:r>
          </w:p>
        </w:tc>
        <w:tc>
          <w:tcPr>
            <w:tcW w:w="1133" w:type="dxa"/>
          </w:tcPr>
          <w:p w14:paraId="5710A420" w14:textId="77777777" w:rsidR="00DD13BF" w:rsidRPr="007975BA" w:rsidRDefault="00DD13BF" w:rsidP="00355A56">
            <w:pPr>
              <w:pStyle w:val="TableParagraph"/>
              <w:rPr>
                <w:sz w:val="20"/>
              </w:rPr>
            </w:pPr>
            <w:r>
              <w:rPr>
                <w:sz w:val="20"/>
              </w:rPr>
              <w:t>ERDF</w:t>
            </w:r>
          </w:p>
        </w:tc>
        <w:tc>
          <w:tcPr>
            <w:tcW w:w="3249" w:type="dxa"/>
          </w:tcPr>
          <w:p w14:paraId="347541EF" w14:textId="77777777" w:rsidR="00DD13BF" w:rsidRPr="007975BA" w:rsidRDefault="00DD13BF" w:rsidP="00355A56">
            <w:pPr>
              <w:pStyle w:val="TableParagraph"/>
              <w:rPr>
                <w:sz w:val="20"/>
              </w:rPr>
            </w:pPr>
            <w:r>
              <w:rPr>
                <w:sz w:val="20"/>
              </w:rPr>
              <w:t>More developed</w:t>
            </w:r>
          </w:p>
        </w:tc>
        <w:tc>
          <w:tcPr>
            <w:tcW w:w="3099" w:type="dxa"/>
          </w:tcPr>
          <w:p w14:paraId="116F2D4B" w14:textId="77777777" w:rsidR="00DD13BF" w:rsidRPr="007975BA" w:rsidRDefault="00DD13BF" w:rsidP="00355A56">
            <w:pPr>
              <w:pStyle w:val="TableParagraph"/>
              <w:rPr>
                <w:sz w:val="20"/>
              </w:rPr>
            </w:pPr>
            <w:r>
              <w:rPr>
                <w:color w:val="000000"/>
                <w:sz w:val="20"/>
              </w:rPr>
              <w:t>RSO2.1</w:t>
            </w:r>
          </w:p>
        </w:tc>
        <w:tc>
          <w:tcPr>
            <w:tcW w:w="1161" w:type="dxa"/>
          </w:tcPr>
          <w:p w14:paraId="712943F3" w14:textId="77777777" w:rsidR="00DD13BF" w:rsidRDefault="00DD13BF" w:rsidP="00355A56">
            <w:pPr>
              <w:pStyle w:val="TableParagraph"/>
              <w:rPr>
                <w:sz w:val="20"/>
              </w:rPr>
            </w:pPr>
            <w:r>
              <w:rPr>
                <w:sz w:val="20"/>
              </w:rPr>
              <w:t>040</w:t>
            </w:r>
          </w:p>
        </w:tc>
        <w:tc>
          <w:tcPr>
            <w:tcW w:w="2731" w:type="dxa"/>
          </w:tcPr>
          <w:p w14:paraId="5720B9D6" w14:textId="77777777" w:rsidR="00DD13BF" w:rsidRDefault="00DD13BF" w:rsidP="00355A56">
            <w:pPr>
              <w:pStyle w:val="TableParagraph"/>
              <w:rPr>
                <w:sz w:val="20"/>
              </w:rPr>
            </w:pPr>
            <w:r>
              <w:rPr>
                <w:sz w:val="20"/>
              </w:rPr>
              <w:t xml:space="preserve">3,000,000 </w:t>
            </w:r>
          </w:p>
        </w:tc>
      </w:tr>
      <w:tr w:rsidR="00DD13BF" w14:paraId="2251B879" w14:textId="77777777" w:rsidTr="00355A56">
        <w:trPr>
          <w:trHeight w:val="353"/>
        </w:trPr>
        <w:tc>
          <w:tcPr>
            <w:tcW w:w="2088" w:type="dxa"/>
          </w:tcPr>
          <w:p w14:paraId="3F1DF479" w14:textId="77777777" w:rsidR="00DD13BF" w:rsidRPr="007975BA" w:rsidRDefault="00DD13BF" w:rsidP="00355A56">
            <w:pPr>
              <w:pStyle w:val="TableParagraph"/>
              <w:rPr>
                <w:sz w:val="20"/>
              </w:rPr>
            </w:pPr>
            <w:r>
              <w:rPr>
                <w:sz w:val="20"/>
              </w:rPr>
              <w:t>3</w:t>
            </w:r>
          </w:p>
        </w:tc>
        <w:tc>
          <w:tcPr>
            <w:tcW w:w="1133" w:type="dxa"/>
          </w:tcPr>
          <w:p w14:paraId="7B389035" w14:textId="77777777" w:rsidR="00DD13BF" w:rsidRPr="007975BA" w:rsidRDefault="00DD13BF" w:rsidP="00355A56">
            <w:pPr>
              <w:pStyle w:val="TableParagraph"/>
              <w:rPr>
                <w:sz w:val="20"/>
              </w:rPr>
            </w:pPr>
            <w:r>
              <w:rPr>
                <w:sz w:val="20"/>
              </w:rPr>
              <w:t>ERDF</w:t>
            </w:r>
          </w:p>
        </w:tc>
        <w:tc>
          <w:tcPr>
            <w:tcW w:w="3249" w:type="dxa"/>
          </w:tcPr>
          <w:p w14:paraId="440141AE" w14:textId="77777777" w:rsidR="00DD13BF" w:rsidRPr="007975BA" w:rsidRDefault="00DD13BF" w:rsidP="00355A56">
            <w:pPr>
              <w:pStyle w:val="TableParagraph"/>
              <w:rPr>
                <w:sz w:val="20"/>
              </w:rPr>
            </w:pPr>
            <w:r>
              <w:rPr>
                <w:sz w:val="20"/>
              </w:rPr>
              <w:t>Less developed</w:t>
            </w:r>
          </w:p>
        </w:tc>
        <w:tc>
          <w:tcPr>
            <w:tcW w:w="3099" w:type="dxa"/>
          </w:tcPr>
          <w:p w14:paraId="7F4196EF" w14:textId="77777777" w:rsidR="00DD13BF" w:rsidRPr="007975BA" w:rsidRDefault="00DD13BF" w:rsidP="00355A56">
            <w:pPr>
              <w:pStyle w:val="TableParagraph"/>
              <w:rPr>
                <w:sz w:val="20"/>
              </w:rPr>
            </w:pPr>
            <w:r>
              <w:rPr>
                <w:color w:val="000000"/>
                <w:sz w:val="20"/>
              </w:rPr>
              <w:t>RSO2.1</w:t>
            </w:r>
          </w:p>
        </w:tc>
        <w:tc>
          <w:tcPr>
            <w:tcW w:w="1161" w:type="dxa"/>
          </w:tcPr>
          <w:p w14:paraId="12485027" w14:textId="77777777" w:rsidR="00DD13BF" w:rsidRDefault="00DD13BF" w:rsidP="00355A56">
            <w:pPr>
              <w:pStyle w:val="TableParagraph"/>
              <w:rPr>
                <w:sz w:val="20"/>
              </w:rPr>
            </w:pPr>
            <w:r>
              <w:rPr>
                <w:sz w:val="20"/>
              </w:rPr>
              <w:t>041</w:t>
            </w:r>
          </w:p>
        </w:tc>
        <w:tc>
          <w:tcPr>
            <w:tcW w:w="2731" w:type="dxa"/>
          </w:tcPr>
          <w:p w14:paraId="7B37AF6C" w14:textId="77777777" w:rsidR="00DD13BF" w:rsidRDefault="00DD13BF" w:rsidP="00355A56">
            <w:pPr>
              <w:pStyle w:val="TableParagraph"/>
              <w:rPr>
                <w:sz w:val="20"/>
              </w:rPr>
            </w:pPr>
            <w:r>
              <w:rPr>
                <w:sz w:val="20"/>
              </w:rPr>
              <w:t>20,539,537</w:t>
            </w:r>
          </w:p>
        </w:tc>
      </w:tr>
      <w:tr w:rsidR="00DD13BF" w14:paraId="04AA5A22" w14:textId="77777777" w:rsidTr="00355A56">
        <w:trPr>
          <w:trHeight w:val="353"/>
        </w:trPr>
        <w:tc>
          <w:tcPr>
            <w:tcW w:w="2088" w:type="dxa"/>
          </w:tcPr>
          <w:p w14:paraId="341EC5B6" w14:textId="77777777" w:rsidR="00DD13BF" w:rsidRPr="007975BA" w:rsidRDefault="00DD13BF" w:rsidP="00355A56">
            <w:pPr>
              <w:pStyle w:val="TableParagraph"/>
              <w:rPr>
                <w:sz w:val="20"/>
              </w:rPr>
            </w:pPr>
            <w:r>
              <w:rPr>
                <w:sz w:val="20"/>
              </w:rPr>
              <w:t>3</w:t>
            </w:r>
          </w:p>
        </w:tc>
        <w:tc>
          <w:tcPr>
            <w:tcW w:w="1133" w:type="dxa"/>
          </w:tcPr>
          <w:p w14:paraId="1B93A319" w14:textId="77777777" w:rsidR="00DD13BF" w:rsidRPr="007975BA" w:rsidRDefault="00DD13BF" w:rsidP="00355A56">
            <w:pPr>
              <w:pStyle w:val="TableParagraph"/>
              <w:rPr>
                <w:sz w:val="20"/>
              </w:rPr>
            </w:pPr>
            <w:r>
              <w:rPr>
                <w:sz w:val="20"/>
              </w:rPr>
              <w:t>ERDF</w:t>
            </w:r>
          </w:p>
        </w:tc>
        <w:tc>
          <w:tcPr>
            <w:tcW w:w="3249" w:type="dxa"/>
          </w:tcPr>
          <w:p w14:paraId="09E4B09B" w14:textId="77777777" w:rsidR="00DD13BF" w:rsidRPr="007975BA" w:rsidRDefault="00DD13BF" w:rsidP="00355A56">
            <w:pPr>
              <w:pStyle w:val="TableParagraph"/>
              <w:rPr>
                <w:sz w:val="20"/>
              </w:rPr>
            </w:pPr>
            <w:r>
              <w:rPr>
                <w:sz w:val="20"/>
              </w:rPr>
              <w:t>More developed</w:t>
            </w:r>
          </w:p>
        </w:tc>
        <w:tc>
          <w:tcPr>
            <w:tcW w:w="3099" w:type="dxa"/>
          </w:tcPr>
          <w:p w14:paraId="2557D877" w14:textId="77777777" w:rsidR="00DD13BF" w:rsidRPr="007975BA" w:rsidRDefault="00DD13BF" w:rsidP="00355A56">
            <w:pPr>
              <w:pStyle w:val="TableParagraph"/>
              <w:rPr>
                <w:sz w:val="20"/>
              </w:rPr>
            </w:pPr>
            <w:r>
              <w:rPr>
                <w:color w:val="000000"/>
                <w:sz w:val="20"/>
              </w:rPr>
              <w:t>RSO2.1</w:t>
            </w:r>
          </w:p>
        </w:tc>
        <w:tc>
          <w:tcPr>
            <w:tcW w:w="1161" w:type="dxa"/>
          </w:tcPr>
          <w:p w14:paraId="361822E0" w14:textId="77777777" w:rsidR="00DD13BF" w:rsidRDefault="00DD13BF" w:rsidP="00355A56">
            <w:pPr>
              <w:pStyle w:val="TableParagraph"/>
              <w:rPr>
                <w:sz w:val="20"/>
              </w:rPr>
            </w:pPr>
            <w:r>
              <w:rPr>
                <w:sz w:val="20"/>
              </w:rPr>
              <w:t>041</w:t>
            </w:r>
          </w:p>
        </w:tc>
        <w:tc>
          <w:tcPr>
            <w:tcW w:w="2731" w:type="dxa"/>
          </w:tcPr>
          <w:p w14:paraId="56FEB674" w14:textId="77777777" w:rsidR="00DD13BF" w:rsidRDefault="00DD13BF" w:rsidP="00355A56">
            <w:pPr>
              <w:pStyle w:val="TableParagraph"/>
              <w:rPr>
                <w:sz w:val="20"/>
              </w:rPr>
            </w:pPr>
            <w:r>
              <w:rPr>
                <w:sz w:val="20"/>
              </w:rPr>
              <w:t>7,675,896</w:t>
            </w:r>
          </w:p>
        </w:tc>
      </w:tr>
      <w:tr w:rsidR="00DD13BF" w14:paraId="0293C7BD" w14:textId="77777777" w:rsidTr="00355A56">
        <w:trPr>
          <w:trHeight w:val="353"/>
        </w:trPr>
        <w:tc>
          <w:tcPr>
            <w:tcW w:w="2088" w:type="dxa"/>
          </w:tcPr>
          <w:p w14:paraId="1650839A" w14:textId="77777777" w:rsidR="00DD13BF" w:rsidRPr="007975BA" w:rsidRDefault="00DD13BF" w:rsidP="00355A56">
            <w:pPr>
              <w:pStyle w:val="TableParagraph"/>
              <w:rPr>
                <w:sz w:val="20"/>
              </w:rPr>
            </w:pPr>
            <w:r>
              <w:rPr>
                <w:sz w:val="20"/>
              </w:rPr>
              <w:t>3</w:t>
            </w:r>
          </w:p>
        </w:tc>
        <w:tc>
          <w:tcPr>
            <w:tcW w:w="1133" w:type="dxa"/>
          </w:tcPr>
          <w:p w14:paraId="29D555BB" w14:textId="77777777" w:rsidR="00DD13BF" w:rsidRPr="007975BA" w:rsidRDefault="00DD13BF" w:rsidP="00355A56">
            <w:pPr>
              <w:pStyle w:val="TableParagraph"/>
              <w:rPr>
                <w:sz w:val="20"/>
              </w:rPr>
            </w:pPr>
            <w:r>
              <w:rPr>
                <w:sz w:val="20"/>
              </w:rPr>
              <w:t>CF</w:t>
            </w:r>
          </w:p>
        </w:tc>
        <w:tc>
          <w:tcPr>
            <w:tcW w:w="3249" w:type="dxa"/>
          </w:tcPr>
          <w:p w14:paraId="7846B5E8" w14:textId="77777777" w:rsidR="00DD13BF" w:rsidRPr="007975BA" w:rsidRDefault="00DD13BF" w:rsidP="00355A56">
            <w:pPr>
              <w:pStyle w:val="TableParagraph"/>
              <w:rPr>
                <w:sz w:val="20"/>
              </w:rPr>
            </w:pPr>
            <w:r>
              <w:rPr>
                <w:sz w:val="20"/>
              </w:rPr>
              <w:t>Entire Slovenia</w:t>
            </w:r>
          </w:p>
        </w:tc>
        <w:tc>
          <w:tcPr>
            <w:tcW w:w="3099" w:type="dxa"/>
          </w:tcPr>
          <w:p w14:paraId="4BBD705A" w14:textId="77777777" w:rsidR="00DD13BF" w:rsidRPr="007975BA" w:rsidRDefault="00DD13BF" w:rsidP="00355A56">
            <w:pPr>
              <w:pStyle w:val="TableParagraph"/>
              <w:rPr>
                <w:sz w:val="20"/>
              </w:rPr>
            </w:pPr>
            <w:r>
              <w:rPr>
                <w:color w:val="000000"/>
                <w:sz w:val="20"/>
              </w:rPr>
              <w:t>RSO2.1</w:t>
            </w:r>
          </w:p>
        </w:tc>
        <w:tc>
          <w:tcPr>
            <w:tcW w:w="1161" w:type="dxa"/>
          </w:tcPr>
          <w:p w14:paraId="3D8C1C44" w14:textId="77777777" w:rsidR="00DD13BF" w:rsidRPr="00BE14A9" w:rsidRDefault="00DD13BF" w:rsidP="00355A56">
            <w:pPr>
              <w:pStyle w:val="TableParagraph"/>
              <w:rPr>
                <w:sz w:val="20"/>
              </w:rPr>
            </w:pPr>
            <w:r>
              <w:rPr>
                <w:sz w:val="20"/>
              </w:rPr>
              <w:t>045</w:t>
            </w:r>
          </w:p>
        </w:tc>
        <w:tc>
          <w:tcPr>
            <w:tcW w:w="2731" w:type="dxa"/>
          </w:tcPr>
          <w:p w14:paraId="432521F0" w14:textId="77777777" w:rsidR="00DD13BF" w:rsidRPr="00BE14A9" w:rsidRDefault="00DD13BF" w:rsidP="00355A56">
            <w:pPr>
              <w:pStyle w:val="TableParagraph"/>
              <w:rPr>
                <w:sz w:val="20"/>
              </w:rPr>
            </w:pPr>
            <w:r>
              <w:rPr>
                <w:sz w:val="20"/>
              </w:rPr>
              <w:t xml:space="preserve">59,470,000 </w:t>
            </w:r>
          </w:p>
        </w:tc>
      </w:tr>
    </w:tbl>
    <w:p w14:paraId="7A623F13" w14:textId="77777777" w:rsidR="00DD13BF" w:rsidRDefault="00DD13BF" w:rsidP="00DD13BF"/>
    <w:p w14:paraId="261ABC8F" w14:textId="77777777" w:rsidR="00DD13BF" w:rsidRPr="00673ADB" w:rsidRDefault="00DD13BF" w:rsidP="00DD13BF">
      <w:pPr>
        <w:ind w:left="339"/>
        <w:rPr>
          <w:spacing w:val="-7"/>
        </w:rPr>
      </w:pPr>
      <w:r>
        <w:t>Table 5: Dimension 2 – form of financing</w:t>
      </w:r>
    </w:p>
    <w:p w14:paraId="6AC07FB5" w14:textId="77777777" w:rsidR="00DD13BF" w:rsidRDefault="00DD13BF" w:rsidP="00DD13BF">
      <w:pPr>
        <w:rPr>
          <w:sz w:val="20"/>
        </w:rPr>
      </w:pPr>
    </w:p>
    <w:tbl>
      <w:tblPr>
        <w:tblStyle w:val="NormalTable0"/>
        <w:tblW w:w="0" w:type="auto"/>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88"/>
        <w:gridCol w:w="1133"/>
        <w:gridCol w:w="3249"/>
        <w:gridCol w:w="3099"/>
        <w:gridCol w:w="1161"/>
        <w:gridCol w:w="2731"/>
      </w:tblGrid>
      <w:tr w:rsidR="00DD13BF" w14:paraId="3A8F731B" w14:textId="77777777" w:rsidTr="00355A56">
        <w:trPr>
          <w:trHeight w:val="353"/>
        </w:trPr>
        <w:tc>
          <w:tcPr>
            <w:tcW w:w="2088" w:type="dxa"/>
          </w:tcPr>
          <w:p w14:paraId="75F020B6" w14:textId="77777777" w:rsidR="00DD13BF" w:rsidRDefault="00DD13BF" w:rsidP="00355A56">
            <w:pPr>
              <w:pStyle w:val="TableParagraph"/>
              <w:ind w:left="115"/>
            </w:pPr>
            <w:r>
              <w:t>Priority no.</w:t>
            </w:r>
          </w:p>
        </w:tc>
        <w:tc>
          <w:tcPr>
            <w:tcW w:w="1133" w:type="dxa"/>
          </w:tcPr>
          <w:p w14:paraId="1823DDC8" w14:textId="77777777" w:rsidR="00DD13BF" w:rsidRDefault="00DD13BF" w:rsidP="00355A56">
            <w:pPr>
              <w:pStyle w:val="TableParagraph"/>
              <w:ind w:left="320"/>
            </w:pPr>
            <w:r>
              <w:t>Fund</w:t>
            </w:r>
          </w:p>
        </w:tc>
        <w:tc>
          <w:tcPr>
            <w:tcW w:w="3249" w:type="dxa"/>
          </w:tcPr>
          <w:p w14:paraId="32FFF848" w14:textId="77777777" w:rsidR="00DD13BF" w:rsidRDefault="00DD13BF" w:rsidP="00355A56">
            <w:pPr>
              <w:pStyle w:val="TableParagraph"/>
              <w:ind w:left="907"/>
            </w:pPr>
            <w:r>
              <w:t>Category of region</w:t>
            </w:r>
          </w:p>
        </w:tc>
        <w:tc>
          <w:tcPr>
            <w:tcW w:w="3099" w:type="dxa"/>
          </w:tcPr>
          <w:p w14:paraId="20E4A598" w14:textId="77777777" w:rsidR="00DD13BF" w:rsidRDefault="00DD13BF" w:rsidP="00355A56">
            <w:pPr>
              <w:pStyle w:val="TableParagraph"/>
              <w:ind w:left="948"/>
            </w:pPr>
            <w:r>
              <w:t>Specific objective</w:t>
            </w:r>
          </w:p>
        </w:tc>
        <w:tc>
          <w:tcPr>
            <w:tcW w:w="1161" w:type="dxa"/>
          </w:tcPr>
          <w:p w14:paraId="7EB17DF9" w14:textId="77777777" w:rsidR="00DD13BF" w:rsidRDefault="00DD13BF" w:rsidP="00355A56">
            <w:pPr>
              <w:pStyle w:val="TableParagraph"/>
              <w:ind w:left="334"/>
            </w:pPr>
            <w:r>
              <w:t>Code</w:t>
            </w:r>
          </w:p>
        </w:tc>
        <w:tc>
          <w:tcPr>
            <w:tcW w:w="2731" w:type="dxa"/>
          </w:tcPr>
          <w:p w14:paraId="7A3ABDC7" w14:textId="77777777" w:rsidR="00DD13BF" w:rsidRDefault="00DD13BF" w:rsidP="00355A56">
            <w:pPr>
              <w:pStyle w:val="TableParagraph"/>
              <w:ind w:left="661"/>
            </w:pPr>
            <w:r>
              <w:t>Amount (in EUR)</w:t>
            </w:r>
          </w:p>
        </w:tc>
      </w:tr>
      <w:tr w:rsidR="00DD13BF" w14:paraId="298A98BE" w14:textId="77777777" w:rsidTr="00355A56">
        <w:trPr>
          <w:trHeight w:val="353"/>
        </w:trPr>
        <w:tc>
          <w:tcPr>
            <w:tcW w:w="2088" w:type="dxa"/>
          </w:tcPr>
          <w:p w14:paraId="2C3F975F" w14:textId="77777777" w:rsidR="00DD13BF" w:rsidRDefault="00DD13BF" w:rsidP="00355A56">
            <w:pPr>
              <w:pStyle w:val="TableParagraph"/>
              <w:rPr>
                <w:sz w:val="20"/>
              </w:rPr>
            </w:pPr>
            <w:r>
              <w:rPr>
                <w:sz w:val="20"/>
              </w:rPr>
              <w:t>3</w:t>
            </w:r>
          </w:p>
        </w:tc>
        <w:tc>
          <w:tcPr>
            <w:tcW w:w="1133" w:type="dxa"/>
          </w:tcPr>
          <w:p w14:paraId="1E9ED2B5" w14:textId="77777777" w:rsidR="00DD13BF" w:rsidRDefault="00DD13BF" w:rsidP="00355A56">
            <w:pPr>
              <w:pStyle w:val="TableParagraph"/>
              <w:rPr>
                <w:sz w:val="20"/>
              </w:rPr>
            </w:pPr>
            <w:r>
              <w:rPr>
                <w:sz w:val="20"/>
              </w:rPr>
              <w:t>CF</w:t>
            </w:r>
          </w:p>
        </w:tc>
        <w:tc>
          <w:tcPr>
            <w:tcW w:w="3249" w:type="dxa"/>
          </w:tcPr>
          <w:p w14:paraId="4E063043" w14:textId="77777777" w:rsidR="00DD13BF" w:rsidRDefault="00DD13BF" w:rsidP="00355A56">
            <w:pPr>
              <w:pStyle w:val="TableParagraph"/>
              <w:rPr>
                <w:sz w:val="20"/>
              </w:rPr>
            </w:pPr>
            <w:r>
              <w:rPr>
                <w:sz w:val="20"/>
              </w:rPr>
              <w:t>Entire Slovenia</w:t>
            </w:r>
          </w:p>
        </w:tc>
        <w:tc>
          <w:tcPr>
            <w:tcW w:w="3099" w:type="dxa"/>
          </w:tcPr>
          <w:p w14:paraId="5E765141" w14:textId="77777777" w:rsidR="00DD13BF" w:rsidRDefault="00DD13BF" w:rsidP="00355A56">
            <w:pPr>
              <w:pStyle w:val="TableParagraph"/>
              <w:rPr>
                <w:sz w:val="20"/>
              </w:rPr>
            </w:pPr>
            <w:r>
              <w:rPr>
                <w:color w:val="000000"/>
                <w:sz w:val="20"/>
              </w:rPr>
              <w:t>RSO2.1</w:t>
            </w:r>
          </w:p>
        </w:tc>
        <w:tc>
          <w:tcPr>
            <w:tcW w:w="1161" w:type="dxa"/>
          </w:tcPr>
          <w:p w14:paraId="7C181F6C" w14:textId="77777777" w:rsidR="00DD13BF" w:rsidRPr="00424399" w:rsidRDefault="00DD13BF" w:rsidP="00355A56">
            <w:pPr>
              <w:pStyle w:val="TableParagraph"/>
              <w:rPr>
                <w:sz w:val="20"/>
              </w:rPr>
            </w:pPr>
            <w:r>
              <w:rPr>
                <w:sz w:val="20"/>
              </w:rPr>
              <w:t>01</w:t>
            </w:r>
          </w:p>
        </w:tc>
        <w:tc>
          <w:tcPr>
            <w:tcW w:w="2731" w:type="dxa"/>
          </w:tcPr>
          <w:p w14:paraId="447A7941" w14:textId="77777777" w:rsidR="00DD13BF" w:rsidRPr="00424399" w:rsidRDefault="00DD13BF" w:rsidP="00355A56">
            <w:pPr>
              <w:pStyle w:val="TableParagraph"/>
              <w:rPr>
                <w:sz w:val="20"/>
              </w:rPr>
            </w:pPr>
            <w:r>
              <w:rPr>
                <w:sz w:val="20"/>
              </w:rPr>
              <w:t>59,470,000</w:t>
            </w:r>
          </w:p>
        </w:tc>
      </w:tr>
      <w:tr w:rsidR="00DD13BF" w14:paraId="67B0464F" w14:textId="77777777" w:rsidTr="00355A56">
        <w:trPr>
          <w:trHeight w:val="353"/>
        </w:trPr>
        <w:tc>
          <w:tcPr>
            <w:tcW w:w="2088" w:type="dxa"/>
          </w:tcPr>
          <w:p w14:paraId="45127A9A" w14:textId="77777777" w:rsidR="00DD13BF" w:rsidRDefault="00DD13BF" w:rsidP="00355A56">
            <w:pPr>
              <w:pStyle w:val="TableParagraph"/>
              <w:rPr>
                <w:sz w:val="20"/>
              </w:rPr>
            </w:pPr>
            <w:r>
              <w:rPr>
                <w:sz w:val="20"/>
              </w:rPr>
              <w:t>3</w:t>
            </w:r>
          </w:p>
        </w:tc>
        <w:tc>
          <w:tcPr>
            <w:tcW w:w="1133" w:type="dxa"/>
          </w:tcPr>
          <w:p w14:paraId="70F64E05" w14:textId="77777777" w:rsidR="00DD13BF" w:rsidRDefault="00DD13BF" w:rsidP="00355A56">
            <w:pPr>
              <w:pStyle w:val="TableParagraph"/>
              <w:rPr>
                <w:sz w:val="20"/>
              </w:rPr>
            </w:pPr>
            <w:r>
              <w:rPr>
                <w:sz w:val="20"/>
              </w:rPr>
              <w:t>ERDF</w:t>
            </w:r>
          </w:p>
        </w:tc>
        <w:tc>
          <w:tcPr>
            <w:tcW w:w="3249" w:type="dxa"/>
          </w:tcPr>
          <w:p w14:paraId="341BFB1F" w14:textId="77777777" w:rsidR="00DD13BF" w:rsidRDefault="00DD13BF" w:rsidP="00355A56">
            <w:pPr>
              <w:pStyle w:val="TableParagraph"/>
              <w:rPr>
                <w:sz w:val="20"/>
              </w:rPr>
            </w:pPr>
            <w:r>
              <w:rPr>
                <w:sz w:val="20"/>
              </w:rPr>
              <w:t>Less developed</w:t>
            </w:r>
          </w:p>
        </w:tc>
        <w:tc>
          <w:tcPr>
            <w:tcW w:w="3099" w:type="dxa"/>
          </w:tcPr>
          <w:p w14:paraId="307D9DEB" w14:textId="77777777" w:rsidR="00DD13BF" w:rsidRDefault="00DD13BF" w:rsidP="00355A56">
            <w:pPr>
              <w:pStyle w:val="TableParagraph"/>
              <w:rPr>
                <w:sz w:val="20"/>
              </w:rPr>
            </w:pPr>
            <w:r>
              <w:rPr>
                <w:color w:val="000000"/>
                <w:sz w:val="20"/>
              </w:rPr>
              <w:t>RSO2.1</w:t>
            </w:r>
          </w:p>
        </w:tc>
        <w:tc>
          <w:tcPr>
            <w:tcW w:w="1161" w:type="dxa"/>
          </w:tcPr>
          <w:p w14:paraId="5E20090D" w14:textId="77777777" w:rsidR="00DD13BF" w:rsidRDefault="00DD13BF" w:rsidP="00355A56">
            <w:pPr>
              <w:pStyle w:val="TableParagraph"/>
              <w:rPr>
                <w:sz w:val="20"/>
              </w:rPr>
            </w:pPr>
            <w:r>
              <w:rPr>
                <w:sz w:val="20"/>
              </w:rPr>
              <w:t>01</w:t>
            </w:r>
          </w:p>
        </w:tc>
        <w:tc>
          <w:tcPr>
            <w:tcW w:w="2731" w:type="dxa"/>
          </w:tcPr>
          <w:p w14:paraId="0E0818E8" w14:textId="77777777" w:rsidR="00DD13BF" w:rsidRDefault="00DD13BF" w:rsidP="00355A56">
            <w:pPr>
              <w:pStyle w:val="TableParagraph"/>
              <w:rPr>
                <w:sz w:val="20"/>
              </w:rPr>
            </w:pPr>
            <w:r>
              <w:rPr>
                <w:sz w:val="20"/>
              </w:rPr>
              <w:t>20,539,537</w:t>
            </w:r>
          </w:p>
        </w:tc>
      </w:tr>
      <w:tr w:rsidR="00DD13BF" w14:paraId="7BD3D6DB" w14:textId="77777777" w:rsidTr="00355A56">
        <w:trPr>
          <w:trHeight w:val="353"/>
        </w:trPr>
        <w:tc>
          <w:tcPr>
            <w:tcW w:w="2088" w:type="dxa"/>
          </w:tcPr>
          <w:p w14:paraId="70863038" w14:textId="77777777" w:rsidR="00DD13BF" w:rsidRDefault="00DD13BF" w:rsidP="00355A56">
            <w:pPr>
              <w:pStyle w:val="TableParagraph"/>
              <w:rPr>
                <w:sz w:val="20"/>
              </w:rPr>
            </w:pPr>
            <w:r>
              <w:rPr>
                <w:sz w:val="20"/>
              </w:rPr>
              <w:t>3</w:t>
            </w:r>
          </w:p>
        </w:tc>
        <w:tc>
          <w:tcPr>
            <w:tcW w:w="1133" w:type="dxa"/>
          </w:tcPr>
          <w:p w14:paraId="66F4C748" w14:textId="77777777" w:rsidR="00DD13BF" w:rsidRDefault="00DD13BF" w:rsidP="00355A56">
            <w:pPr>
              <w:pStyle w:val="TableParagraph"/>
              <w:rPr>
                <w:sz w:val="20"/>
              </w:rPr>
            </w:pPr>
            <w:r>
              <w:rPr>
                <w:sz w:val="20"/>
              </w:rPr>
              <w:t>ERDF</w:t>
            </w:r>
          </w:p>
        </w:tc>
        <w:tc>
          <w:tcPr>
            <w:tcW w:w="3249" w:type="dxa"/>
          </w:tcPr>
          <w:p w14:paraId="578E0792" w14:textId="77777777" w:rsidR="00DD13BF" w:rsidRDefault="00DD13BF" w:rsidP="00355A56">
            <w:pPr>
              <w:pStyle w:val="TableParagraph"/>
              <w:rPr>
                <w:sz w:val="20"/>
              </w:rPr>
            </w:pPr>
            <w:r>
              <w:rPr>
                <w:sz w:val="20"/>
              </w:rPr>
              <w:t>More developed</w:t>
            </w:r>
          </w:p>
        </w:tc>
        <w:tc>
          <w:tcPr>
            <w:tcW w:w="3099" w:type="dxa"/>
          </w:tcPr>
          <w:p w14:paraId="7EC553E3" w14:textId="77777777" w:rsidR="00DD13BF" w:rsidRDefault="00DD13BF" w:rsidP="00355A56">
            <w:pPr>
              <w:pStyle w:val="TableParagraph"/>
              <w:rPr>
                <w:sz w:val="20"/>
              </w:rPr>
            </w:pPr>
            <w:r>
              <w:rPr>
                <w:color w:val="000000"/>
                <w:sz w:val="20"/>
              </w:rPr>
              <w:t>RSO2.1</w:t>
            </w:r>
          </w:p>
        </w:tc>
        <w:tc>
          <w:tcPr>
            <w:tcW w:w="1161" w:type="dxa"/>
          </w:tcPr>
          <w:p w14:paraId="73302239" w14:textId="77777777" w:rsidR="00DD13BF" w:rsidRDefault="00DD13BF" w:rsidP="00355A56">
            <w:pPr>
              <w:pStyle w:val="TableParagraph"/>
              <w:rPr>
                <w:sz w:val="20"/>
              </w:rPr>
            </w:pPr>
            <w:r>
              <w:rPr>
                <w:sz w:val="20"/>
              </w:rPr>
              <w:t>01</w:t>
            </w:r>
          </w:p>
        </w:tc>
        <w:tc>
          <w:tcPr>
            <w:tcW w:w="2731" w:type="dxa"/>
          </w:tcPr>
          <w:p w14:paraId="189DE12A" w14:textId="77777777" w:rsidR="00DD13BF" w:rsidRDefault="00DD13BF" w:rsidP="00355A56">
            <w:pPr>
              <w:pStyle w:val="TableParagraph"/>
              <w:rPr>
                <w:sz w:val="20"/>
              </w:rPr>
            </w:pPr>
            <w:r>
              <w:rPr>
                <w:sz w:val="20"/>
              </w:rPr>
              <w:t>7,675,896</w:t>
            </w:r>
          </w:p>
        </w:tc>
      </w:tr>
      <w:tr w:rsidR="00DD13BF" w14:paraId="77681DFD" w14:textId="77777777" w:rsidTr="00355A56">
        <w:trPr>
          <w:trHeight w:val="353"/>
        </w:trPr>
        <w:tc>
          <w:tcPr>
            <w:tcW w:w="2088" w:type="dxa"/>
          </w:tcPr>
          <w:p w14:paraId="08E67E28" w14:textId="77777777" w:rsidR="00DD13BF" w:rsidRDefault="00DD13BF" w:rsidP="00355A56">
            <w:pPr>
              <w:pStyle w:val="TableParagraph"/>
              <w:rPr>
                <w:sz w:val="20"/>
              </w:rPr>
            </w:pPr>
            <w:r>
              <w:rPr>
                <w:sz w:val="20"/>
              </w:rPr>
              <w:t>3</w:t>
            </w:r>
          </w:p>
        </w:tc>
        <w:tc>
          <w:tcPr>
            <w:tcW w:w="1133" w:type="dxa"/>
          </w:tcPr>
          <w:p w14:paraId="0D827BE8" w14:textId="77777777" w:rsidR="00DD13BF" w:rsidRDefault="00DD13BF" w:rsidP="00355A56">
            <w:pPr>
              <w:pStyle w:val="TableParagraph"/>
              <w:rPr>
                <w:sz w:val="20"/>
              </w:rPr>
            </w:pPr>
            <w:r>
              <w:rPr>
                <w:sz w:val="20"/>
              </w:rPr>
              <w:t>ERDF</w:t>
            </w:r>
          </w:p>
        </w:tc>
        <w:tc>
          <w:tcPr>
            <w:tcW w:w="3249" w:type="dxa"/>
          </w:tcPr>
          <w:p w14:paraId="61D82FAC" w14:textId="77777777" w:rsidR="00DD13BF" w:rsidRDefault="00DD13BF" w:rsidP="00355A56">
            <w:pPr>
              <w:pStyle w:val="TableParagraph"/>
              <w:rPr>
                <w:sz w:val="20"/>
              </w:rPr>
            </w:pPr>
            <w:r>
              <w:rPr>
                <w:sz w:val="20"/>
              </w:rPr>
              <w:t>Less developed</w:t>
            </w:r>
          </w:p>
        </w:tc>
        <w:tc>
          <w:tcPr>
            <w:tcW w:w="3099" w:type="dxa"/>
          </w:tcPr>
          <w:p w14:paraId="3DA9C2C2" w14:textId="77777777" w:rsidR="00DD13BF" w:rsidRDefault="00DD13BF" w:rsidP="00355A56">
            <w:pPr>
              <w:pStyle w:val="TableParagraph"/>
              <w:rPr>
                <w:sz w:val="20"/>
              </w:rPr>
            </w:pPr>
            <w:r>
              <w:rPr>
                <w:color w:val="000000"/>
                <w:sz w:val="20"/>
              </w:rPr>
              <w:t>RSO2.1</w:t>
            </w:r>
          </w:p>
        </w:tc>
        <w:tc>
          <w:tcPr>
            <w:tcW w:w="1161" w:type="dxa"/>
          </w:tcPr>
          <w:p w14:paraId="34A16E2F" w14:textId="77777777" w:rsidR="00DD13BF" w:rsidRDefault="00DD13BF" w:rsidP="00355A56">
            <w:pPr>
              <w:pStyle w:val="TableParagraph"/>
              <w:rPr>
                <w:sz w:val="20"/>
              </w:rPr>
            </w:pPr>
            <w:r>
              <w:rPr>
                <w:sz w:val="20"/>
              </w:rPr>
              <w:t>03</w:t>
            </w:r>
          </w:p>
        </w:tc>
        <w:tc>
          <w:tcPr>
            <w:tcW w:w="2731" w:type="dxa"/>
          </w:tcPr>
          <w:p w14:paraId="300CD585" w14:textId="77777777" w:rsidR="00DD13BF" w:rsidRDefault="00DD13BF" w:rsidP="00355A56">
            <w:pPr>
              <w:pStyle w:val="TableParagraph"/>
              <w:rPr>
                <w:sz w:val="20"/>
              </w:rPr>
            </w:pPr>
            <w:r>
              <w:rPr>
                <w:sz w:val="20"/>
              </w:rPr>
              <w:t>8,000,000</w:t>
            </w:r>
          </w:p>
        </w:tc>
      </w:tr>
      <w:tr w:rsidR="00DD13BF" w14:paraId="65165A6B" w14:textId="77777777" w:rsidTr="00355A56">
        <w:trPr>
          <w:trHeight w:val="353"/>
        </w:trPr>
        <w:tc>
          <w:tcPr>
            <w:tcW w:w="2088" w:type="dxa"/>
          </w:tcPr>
          <w:p w14:paraId="70536878" w14:textId="77777777" w:rsidR="00DD13BF" w:rsidRDefault="00DD13BF" w:rsidP="00355A56">
            <w:pPr>
              <w:pStyle w:val="TableParagraph"/>
              <w:rPr>
                <w:sz w:val="20"/>
              </w:rPr>
            </w:pPr>
            <w:r>
              <w:rPr>
                <w:sz w:val="20"/>
              </w:rPr>
              <w:t>3</w:t>
            </w:r>
          </w:p>
        </w:tc>
        <w:tc>
          <w:tcPr>
            <w:tcW w:w="1133" w:type="dxa"/>
          </w:tcPr>
          <w:p w14:paraId="4ADBC3A5" w14:textId="77777777" w:rsidR="00DD13BF" w:rsidRDefault="00DD13BF" w:rsidP="00355A56">
            <w:pPr>
              <w:pStyle w:val="TableParagraph"/>
              <w:rPr>
                <w:sz w:val="20"/>
              </w:rPr>
            </w:pPr>
            <w:r>
              <w:rPr>
                <w:sz w:val="20"/>
              </w:rPr>
              <w:t>ERDF</w:t>
            </w:r>
          </w:p>
        </w:tc>
        <w:tc>
          <w:tcPr>
            <w:tcW w:w="3249" w:type="dxa"/>
          </w:tcPr>
          <w:p w14:paraId="6BED7B1D" w14:textId="77777777" w:rsidR="00DD13BF" w:rsidRDefault="00DD13BF" w:rsidP="00355A56">
            <w:pPr>
              <w:pStyle w:val="TableParagraph"/>
              <w:rPr>
                <w:sz w:val="20"/>
              </w:rPr>
            </w:pPr>
            <w:r>
              <w:rPr>
                <w:sz w:val="20"/>
              </w:rPr>
              <w:t>More developed</w:t>
            </w:r>
          </w:p>
        </w:tc>
        <w:tc>
          <w:tcPr>
            <w:tcW w:w="3099" w:type="dxa"/>
          </w:tcPr>
          <w:p w14:paraId="1098F023" w14:textId="77777777" w:rsidR="00DD13BF" w:rsidRDefault="00DD13BF" w:rsidP="00355A56">
            <w:pPr>
              <w:pStyle w:val="TableParagraph"/>
              <w:rPr>
                <w:sz w:val="20"/>
              </w:rPr>
            </w:pPr>
            <w:r>
              <w:rPr>
                <w:color w:val="000000"/>
                <w:sz w:val="20"/>
              </w:rPr>
              <w:t>RSO2.1</w:t>
            </w:r>
          </w:p>
        </w:tc>
        <w:tc>
          <w:tcPr>
            <w:tcW w:w="1161" w:type="dxa"/>
          </w:tcPr>
          <w:p w14:paraId="56413812" w14:textId="77777777" w:rsidR="00DD13BF" w:rsidRDefault="00DD13BF" w:rsidP="00355A56">
            <w:pPr>
              <w:pStyle w:val="TableParagraph"/>
              <w:rPr>
                <w:sz w:val="20"/>
              </w:rPr>
            </w:pPr>
            <w:r>
              <w:rPr>
                <w:sz w:val="20"/>
              </w:rPr>
              <w:t>03</w:t>
            </w:r>
          </w:p>
        </w:tc>
        <w:tc>
          <w:tcPr>
            <w:tcW w:w="2731" w:type="dxa"/>
          </w:tcPr>
          <w:p w14:paraId="1F10DDB6" w14:textId="77777777" w:rsidR="00DD13BF" w:rsidRDefault="00DD13BF" w:rsidP="00355A56">
            <w:pPr>
              <w:pStyle w:val="TableParagraph"/>
              <w:rPr>
                <w:sz w:val="20"/>
              </w:rPr>
            </w:pPr>
            <w:r>
              <w:rPr>
                <w:sz w:val="20"/>
              </w:rPr>
              <w:t>2,000,000</w:t>
            </w:r>
          </w:p>
        </w:tc>
      </w:tr>
      <w:tr w:rsidR="00DD13BF" w14:paraId="64C9596B" w14:textId="77777777" w:rsidTr="00355A56">
        <w:trPr>
          <w:trHeight w:val="353"/>
        </w:trPr>
        <w:tc>
          <w:tcPr>
            <w:tcW w:w="2088" w:type="dxa"/>
          </w:tcPr>
          <w:p w14:paraId="2597A9C4" w14:textId="77777777" w:rsidR="00DD13BF" w:rsidRPr="0A1D0E69" w:rsidRDefault="00DD13BF" w:rsidP="00355A56">
            <w:pPr>
              <w:pStyle w:val="TableParagraph"/>
              <w:rPr>
                <w:sz w:val="20"/>
              </w:rPr>
            </w:pPr>
            <w:r>
              <w:rPr>
                <w:sz w:val="20"/>
              </w:rPr>
              <w:t>3</w:t>
            </w:r>
          </w:p>
        </w:tc>
        <w:tc>
          <w:tcPr>
            <w:tcW w:w="1133" w:type="dxa"/>
          </w:tcPr>
          <w:p w14:paraId="46589773" w14:textId="77777777" w:rsidR="00DD13BF" w:rsidRPr="0A1D0E69" w:rsidRDefault="00DD13BF" w:rsidP="00355A56">
            <w:pPr>
              <w:pStyle w:val="TableParagraph"/>
              <w:rPr>
                <w:sz w:val="20"/>
              </w:rPr>
            </w:pPr>
            <w:r>
              <w:rPr>
                <w:sz w:val="20"/>
              </w:rPr>
              <w:t>ERDF</w:t>
            </w:r>
          </w:p>
        </w:tc>
        <w:tc>
          <w:tcPr>
            <w:tcW w:w="3249" w:type="dxa"/>
          </w:tcPr>
          <w:p w14:paraId="4FB6E90C" w14:textId="77777777" w:rsidR="00DD13BF" w:rsidRPr="0A1D0E69" w:rsidRDefault="00DD13BF" w:rsidP="00355A56">
            <w:pPr>
              <w:pStyle w:val="TableParagraph"/>
              <w:rPr>
                <w:sz w:val="20"/>
              </w:rPr>
            </w:pPr>
            <w:r>
              <w:rPr>
                <w:sz w:val="20"/>
              </w:rPr>
              <w:t>Less developed</w:t>
            </w:r>
          </w:p>
        </w:tc>
        <w:tc>
          <w:tcPr>
            <w:tcW w:w="3099" w:type="dxa"/>
          </w:tcPr>
          <w:p w14:paraId="37175C22" w14:textId="77777777" w:rsidR="00DD13BF" w:rsidRPr="00604DD6" w:rsidRDefault="00DD13BF" w:rsidP="00355A56">
            <w:pPr>
              <w:pStyle w:val="TableParagraph"/>
              <w:rPr>
                <w:color w:val="000000"/>
                <w:sz w:val="20"/>
              </w:rPr>
            </w:pPr>
            <w:r>
              <w:rPr>
                <w:color w:val="000000"/>
                <w:sz w:val="20"/>
              </w:rPr>
              <w:t>RSO2.1</w:t>
            </w:r>
          </w:p>
        </w:tc>
        <w:tc>
          <w:tcPr>
            <w:tcW w:w="1161" w:type="dxa"/>
          </w:tcPr>
          <w:p w14:paraId="163657F9" w14:textId="77777777" w:rsidR="00DD13BF" w:rsidRPr="0A1D0E69" w:rsidRDefault="00DD13BF" w:rsidP="00355A56">
            <w:pPr>
              <w:pStyle w:val="TableParagraph"/>
              <w:rPr>
                <w:sz w:val="20"/>
              </w:rPr>
            </w:pPr>
            <w:r>
              <w:rPr>
                <w:sz w:val="20"/>
              </w:rPr>
              <w:t>05</w:t>
            </w:r>
          </w:p>
        </w:tc>
        <w:tc>
          <w:tcPr>
            <w:tcW w:w="2731" w:type="dxa"/>
          </w:tcPr>
          <w:p w14:paraId="3DD9BA35" w14:textId="77777777" w:rsidR="00DD13BF" w:rsidRPr="7C8CB4BD" w:rsidRDefault="00DD13BF" w:rsidP="00355A56">
            <w:pPr>
              <w:pStyle w:val="TableParagraph"/>
              <w:rPr>
                <w:sz w:val="20"/>
              </w:rPr>
            </w:pPr>
            <w:r>
              <w:rPr>
                <w:sz w:val="20"/>
              </w:rPr>
              <w:t>4,000,000</w:t>
            </w:r>
          </w:p>
        </w:tc>
      </w:tr>
      <w:tr w:rsidR="00DD13BF" w14:paraId="4B7B6F58" w14:textId="77777777" w:rsidTr="00355A56">
        <w:trPr>
          <w:trHeight w:val="353"/>
        </w:trPr>
        <w:tc>
          <w:tcPr>
            <w:tcW w:w="2088" w:type="dxa"/>
          </w:tcPr>
          <w:p w14:paraId="1B7859BB" w14:textId="77777777" w:rsidR="00DD13BF" w:rsidRPr="0A1D0E69" w:rsidRDefault="00DD13BF" w:rsidP="00355A56">
            <w:pPr>
              <w:pStyle w:val="TableParagraph"/>
              <w:rPr>
                <w:sz w:val="20"/>
              </w:rPr>
            </w:pPr>
            <w:r>
              <w:rPr>
                <w:sz w:val="20"/>
              </w:rPr>
              <w:t>3</w:t>
            </w:r>
          </w:p>
        </w:tc>
        <w:tc>
          <w:tcPr>
            <w:tcW w:w="1133" w:type="dxa"/>
          </w:tcPr>
          <w:p w14:paraId="73171813" w14:textId="77777777" w:rsidR="00DD13BF" w:rsidRPr="0A1D0E69" w:rsidRDefault="00DD13BF" w:rsidP="00355A56">
            <w:pPr>
              <w:pStyle w:val="TableParagraph"/>
              <w:rPr>
                <w:sz w:val="20"/>
              </w:rPr>
            </w:pPr>
            <w:r>
              <w:rPr>
                <w:sz w:val="20"/>
              </w:rPr>
              <w:t>ERDF</w:t>
            </w:r>
          </w:p>
        </w:tc>
        <w:tc>
          <w:tcPr>
            <w:tcW w:w="3249" w:type="dxa"/>
          </w:tcPr>
          <w:p w14:paraId="58037322" w14:textId="77777777" w:rsidR="00DD13BF" w:rsidRPr="0A1D0E69" w:rsidRDefault="00DD13BF" w:rsidP="00355A56">
            <w:pPr>
              <w:pStyle w:val="TableParagraph"/>
              <w:rPr>
                <w:sz w:val="20"/>
              </w:rPr>
            </w:pPr>
            <w:r>
              <w:rPr>
                <w:sz w:val="20"/>
              </w:rPr>
              <w:t>More developed</w:t>
            </w:r>
          </w:p>
        </w:tc>
        <w:tc>
          <w:tcPr>
            <w:tcW w:w="3099" w:type="dxa"/>
          </w:tcPr>
          <w:p w14:paraId="1764BE4A" w14:textId="77777777" w:rsidR="00DD13BF" w:rsidRPr="00604DD6" w:rsidRDefault="00DD13BF" w:rsidP="00355A56">
            <w:pPr>
              <w:pStyle w:val="TableParagraph"/>
              <w:rPr>
                <w:color w:val="000000"/>
                <w:sz w:val="20"/>
              </w:rPr>
            </w:pPr>
            <w:r>
              <w:rPr>
                <w:color w:val="000000"/>
                <w:sz w:val="20"/>
              </w:rPr>
              <w:t>RSO2.1</w:t>
            </w:r>
          </w:p>
        </w:tc>
        <w:tc>
          <w:tcPr>
            <w:tcW w:w="1161" w:type="dxa"/>
          </w:tcPr>
          <w:p w14:paraId="0EE4D5AF" w14:textId="77777777" w:rsidR="00DD13BF" w:rsidRPr="0A1D0E69" w:rsidRDefault="00DD13BF" w:rsidP="00355A56">
            <w:pPr>
              <w:pStyle w:val="TableParagraph"/>
              <w:rPr>
                <w:sz w:val="20"/>
              </w:rPr>
            </w:pPr>
            <w:r>
              <w:rPr>
                <w:sz w:val="20"/>
              </w:rPr>
              <w:t>05</w:t>
            </w:r>
          </w:p>
        </w:tc>
        <w:tc>
          <w:tcPr>
            <w:tcW w:w="2731" w:type="dxa"/>
          </w:tcPr>
          <w:p w14:paraId="7BE641E9" w14:textId="77777777" w:rsidR="00DD13BF" w:rsidRPr="7C8CB4BD" w:rsidRDefault="00DD13BF" w:rsidP="00355A56">
            <w:pPr>
              <w:pStyle w:val="TableParagraph"/>
              <w:rPr>
                <w:sz w:val="20"/>
              </w:rPr>
            </w:pPr>
            <w:r>
              <w:rPr>
                <w:sz w:val="20"/>
              </w:rPr>
              <w:t>1,000,000</w:t>
            </w:r>
          </w:p>
        </w:tc>
      </w:tr>
    </w:tbl>
    <w:p w14:paraId="596B6BCB" w14:textId="77777777" w:rsidR="00DD13BF" w:rsidRDefault="00DD13BF" w:rsidP="00DD13BF">
      <w:pPr>
        <w:rPr>
          <w:sz w:val="20"/>
        </w:rPr>
        <w:sectPr w:rsidR="00DD13BF" w:rsidSect="00DD13BF">
          <w:headerReference w:type="default" r:id="rId35"/>
          <w:footerReference w:type="first" r:id="rId36"/>
          <w:pgSz w:w="16840" w:h="11910" w:orient="landscape"/>
          <w:pgMar w:top="1417" w:right="1417" w:bottom="1417" w:left="1417" w:header="708" w:footer="708" w:gutter="0"/>
          <w:cols w:space="708"/>
          <w:titlePg/>
          <w:docGrid w:linePitch="299"/>
        </w:sectPr>
      </w:pPr>
    </w:p>
    <w:p w14:paraId="09132902" w14:textId="77777777" w:rsidR="00DD13BF" w:rsidRDefault="00DD13BF" w:rsidP="00DD13BF">
      <w:pPr>
        <w:ind w:left="339"/>
        <w:rPr>
          <w:spacing w:val="-7"/>
        </w:rPr>
      </w:pPr>
    </w:p>
    <w:p w14:paraId="3F18F889" w14:textId="77777777" w:rsidR="00DD13BF" w:rsidRDefault="00DD13BF" w:rsidP="00DD13BF">
      <w:pPr>
        <w:ind w:left="339"/>
      </w:pPr>
      <w:r>
        <w:t>Table 6: Dimension 3 – territorial delivery mechanism and territorial focus</w:t>
      </w:r>
    </w:p>
    <w:p w14:paraId="3C036C32" w14:textId="77777777" w:rsidR="00DD13BF" w:rsidRDefault="00DD13BF" w:rsidP="00DD13BF"/>
    <w:tbl>
      <w:tblPr>
        <w:tblStyle w:val="NormalTable0"/>
        <w:tblW w:w="0" w:type="auto"/>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88"/>
        <w:gridCol w:w="1132"/>
        <w:gridCol w:w="3248"/>
        <w:gridCol w:w="3098"/>
        <w:gridCol w:w="1160"/>
        <w:gridCol w:w="2730"/>
      </w:tblGrid>
      <w:tr w:rsidR="00DD13BF" w14:paraId="26CA61F8" w14:textId="77777777" w:rsidTr="00355A56">
        <w:trPr>
          <w:trHeight w:val="353"/>
        </w:trPr>
        <w:tc>
          <w:tcPr>
            <w:tcW w:w="2088" w:type="dxa"/>
          </w:tcPr>
          <w:p w14:paraId="6A5A9E7E" w14:textId="77777777" w:rsidR="00DD13BF" w:rsidRDefault="00DD13BF" w:rsidP="00355A56">
            <w:pPr>
              <w:pStyle w:val="TableParagraph"/>
              <w:ind w:left="115"/>
            </w:pPr>
            <w:r>
              <w:t>Priority no.</w:t>
            </w:r>
          </w:p>
        </w:tc>
        <w:tc>
          <w:tcPr>
            <w:tcW w:w="1132" w:type="dxa"/>
          </w:tcPr>
          <w:p w14:paraId="317F29EE" w14:textId="77777777" w:rsidR="00DD13BF" w:rsidRDefault="00DD13BF" w:rsidP="00355A56">
            <w:pPr>
              <w:pStyle w:val="TableParagraph"/>
              <w:ind w:left="320"/>
            </w:pPr>
            <w:r>
              <w:t>Fund</w:t>
            </w:r>
          </w:p>
        </w:tc>
        <w:tc>
          <w:tcPr>
            <w:tcW w:w="3248" w:type="dxa"/>
          </w:tcPr>
          <w:p w14:paraId="76786759" w14:textId="77777777" w:rsidR="00DD13BF" w:rsidRDefault="00DD13BF" w:rsidP="00355A56">
            <w:pPr>
              <w:pStyle w:val="TableParagraph"/>
              <w:ind w:left="908"/>
            </w:pPr>
            <w:r>
              <w:t>Category of region</w:t>
            </w:r>
          </w:p>
        </w:tc>
        <w:tc>
          <w:tcPr>
            <w:tcW w:w="3098" w:type="dxa"/>
          </w:tcPr>
          <w:p w14:paraId="0421C403" w14:textId="77777777" w:rsidR="00DD13BF" w:rsidRDefault="00DD13BF" w:rsidP="00355A56">
            <w:pPr>
              <w:pStyle w:val="TableParagraph"/>
              <w:ind w:left="950"/>
            </w:pPr>
            <w:r>
              <w:t>Specific objective</w:t>
            </w:r>
          </w:p>
        </w:tc>
        <w:tc>
          <w:tcPr>
            <w:tcW w:w="1160" w:type="dxa"/>
          </w:tcPr>
          <w:p w14:paraId="1E69522D" w14:textId="77777777" w:rsidR="00DD13BF" w:rsidRDefault="00DD13BF" w:rsidP="00355A56">
            <w:pPr>
              <w:pStyle w:val="TableParagraph"/>
              <w:ind w:left="336"/>
            </w:pPr>
            <w:r>
              <w:t>Code</w:t>
            </w:r>
          </w:p>
        </w:tc>
        <w:tc>
          <w:tcPr>
            <w:tcW w:w="2730" w:type="dxa"/>
          </w:tcPr>
          <w:p w14:paraId="49824CD5" w14:textId="77777777" w:rsidR="00DD13BF" w:rsidRDefault="00DD13BF" w:rsidP="00355A56">
            <w:pPr>
              <w:pStyle w:val="TableParagraph"/>
              <w:ind w:left="664"/>
            </w:pPr>
            <w:r>
              <w:t>Amount (in EUR)</w:t>
            </w:r>
          </w:p>
        </w:tc>
      </w:tr>
      <w:tr w:rsidR="00DD13BF" w14:paraId="7F27303A" w14:textId="77777777" w:rsidTr="00355A56">
        <w:trPr>
          <w:trHeight w:val="353"/>
        </w:trPr>
        <w:tc>
          <w:tcPr>
            <w:tcW w:w="2088" w:type="dxa"/>
          </w:tcPr>
          <w:p w14:paraId="3D1D31B9" w14:textId="77777777" w:rsidR="00DD13BF" w:rsidRDefault="00DD13BF" w:rsidP="00355A56">
            <w:pPr>
              <w:pStyle w:val="TableParagraph"/>
              <w:rPr>
                <w:sz w:val="20"/>
              </w:rPr>
            </w:pPr>
            <w:r>
              <w:rPr>
                <w:sz w:val="20"/>
              </w:rPr>
              <w:t>3</w:t>
            </w:r>
          </w:p>
        </w:tc>
        <w:tc>
          <w:tcPr>
            <w:tcW w:w="1132" w:type="dxa"/>
          </w:tcPr>
          <w:p w14:paraId="24095CC0" w14:textId="77777777" w:rsidR="00DD13BF" w:rsidRDefault="00DD13BF" w:rsidP="00355A56">
            <w:pPr>
              <w:pStyle w:val="TableParagraph"/>
              <w:rPr>
                <w:sz w:val="20"/>
              </w:rPr>
            </w:pPr>
            <w:r>
              <w:rPr>
                <w:sz w:val="20"/>
              </w:rPr>
              <w:t>CF</w:t>
            </w:r>
          </w:p>
        </w:tc>
        <w:tc>
          <w:tcPr>
            <w:tcW w:w="3248" w:type="dxa"/>
          </w:tcPr>
          <w:p w14:paraId="163803B9" w14:textId="77777777" w:rsidR="00DD13BF" w:rsidRDefault="00DD13BF" w:rsidP="00355A56">
            <w:pPr>
              <w:pStyle w:val="TableParagraph"/>
              <w:rPr>
                <w:sz w:val="20"/>
              </w:rPr>
            </w:pPr>
            <w:r>
              <w:rPr>
                <w:sz w:val="20"/>
              </w:rPr>
              <w:t>Entire Slovenia</w:t>
            </w:r>
          </w:p>
        </w:tc>
        <w:tc>
          <w:tcPr>
            <w:tcW w:w="3098" w:type="dxa"/>
          </w:tcPr>
          <w:p w14:paraId="7DF39F1A" w14:textId="77777777" w:rsidR="00DD13BF" w:rsidRDefault="00DD13BF" w:rsidP="00355A56">
            <w:pPr>
              <w:pStyle w:val="TableParagraph"/>
              <w:rPr>
                <w:sz w:val="20"/>
              </w:rPr>
            </w:pPr>
            <w:r>
              <w:rPr>
                <w:color w:val="000000"/>
                <w:sz w:val="20"/>
              </w:rPr>
              <w:t>RSO2.1</w:t>
            </w:r>
          </w:p>
        </w:tc>
        <w:tc>
          <w:tcPr>
            <w:tcW w:w="1160" w:type="dxa"/>
          </w:tcPr>
          <w:p w14:paraId="062BB2EB" w14:textId="77777777" w:rsidR="00DD13BF" w:rsidRPr="00424399" w:rsidRDefault="00DD13BF" w:rsidP="00355A56">
            <w:pPr>
              <w:pStyle w:val="TableParagraph"/>
              <w:rPr>
                <w:sz w:val="20"/>
              </w:rPr>
            </w:pPr>
            <w:r>
              <w:rPr>
                <w:sz w:val="20"/>
              </w:rPr>
              <w:t>33</w:t>
            </w:r>
          </w:p>
        </w:tc>
        <w:tc>
          <w:tcPr>
            <w:tcW w:w="2730" w:type="dxa"/>
          </w:tcPr>
          <w:p w14:paraId="557B8842" w14:textId="77777777" w:rsidR="00DD13BF" w:rsidRPr="00424399" w:rsidRDefault="00DD13BF" w:rsidP="00355A56">
            <w:pPr>
              <w:pStyle w:val="TableParagraph"/>
              <w:rPr>
                <w:sz w:val="20"/>
              </w:rPr>
            </w:pPr>
            <w:r>
              <w:rPr>
                <w:sz w:val="20"/>
              </w:rPr>
              <w:t xml:space="preserve">59,470,000 </w:t>
            </w:r>
          </w:p>
        </w:tc>
      </w:tr>
      <w:tr w:rsidR="00DD13BF" w14:paraId="4840AD96" w14:textId="77777777" w:rsidTr="00355A56">
        <w:trPr>
          <w:trHeight w:val="353"/>
        </w:trPr>
        <w:tc>
          <w:tcPr>
            <w:tcW w:w="2088" w:type="dxa"/>
          </w:tcPr>
          <w:p w14:paraId="1D7222A0" w14:textId="77777777" w:rsidR="00DD13BF" w:rsidRDefault="00DD13BF" w:rsidP="00355A56">
            <w:pPr>
              <w:pStyle w:val="TableParagraph"/>
              <w:rPr>
                <w:sz w:val="20"/>
              </w:rPr>
            </w:pPr>
            <w:r>
              <w:rPr>
                <w:sz w:val="20"/>
              </w:rPr>
              <w:t>3</w:t>
            </w:r>
          </w:p>
        </w:tc>
        <w:tc>
          <w:tcPr>
            <w:tcW w:w="1132" w:type="dxa"/>
          </w:tcPr>
          <w:p w14:paraId="3EA709D9" w14:textId="77777777" w:rsidR="00DD13BF" w:rsidRDefault="00DD13BF" w:rsidP="00355A56">
            <w:pPr>
              <w:pStyle w:val="TableParagraph"/>
              <w:rPr>
                <w:sz w:val="20"/>
              </w:rPr>
            </w:pPr>
            <w:r>
              <w:rPr>
                <w:sz w:val="20"/>
              </w:rPr>
              <w:t>ERDF</w:t>
            </w:r>
          </w:p>
        </w:tc>
        <w:tc>
          <w:tcPr>
            <w:tcW w:w="3248" w:type="dxa"/>
          </w:tcPr>
          <w:p w14:paraId="2931ACBD" w14:textId="77777777" w:rsidR="00DD13BF" w:rsidRDefault="00DD13BF" w:rsidP="00355A56">
            <w:pPr>
              <w:pStyle w:val="TableParagraph"/>
              <w:rPr>
                <w:sz w:val="20"/>
              </w:rPr>
            </w:pPr>
            <w:r>
              <w:rPr>
                <w:sz w:val="20"/>
              </w:rPr>
              <w:t>Less developed</w:t>
            </w:r>
          </w:p>
        </w:tc>
        <w:tc>
          <w:tcPr>
            <w:tcW w:w="3098" w:type="dxa"/>
          </w:tcPr>
          <w:p w14:paraId="71BC9F81" w14:textId="77777777" w:rsidR="00DD13BF" w:rsidRDefault="00DD13BF" w:rsidP="00355A56">
            <w:pPr>
              <w:pStyle w:val="TableParagraph"/>
              <w:rPr>
                <w:sz w:val="20"/>
              </w:rPr>
            </w:pPr>
            <w:r>
              <w:rPr>
                <w:color w:val="000000"/>
                <w:sz w:val="20"/>
              </w:rPr>
              <w:t>RSO2.1</w:t>
            </w:r>
          </w:p>
        </w:tc>
        <w:tc>
          <w:tcPr>
            <w:tcW w:w="1160" w:type="dxa"/>
          </w:tcPr>
          <w:p w14:paraId="6C4017B0" w14:textId="77777777" w:rsidR="00DD13BF" w:rsidRDefault="00DD13BF" w:rsidP="00355A56">
            <w:pPr>
              <w:pStyle w:val="TableParagraph"/>
              <w:rPr>
                <w:sz w:val="20"/>
              </w:rPr>
            </w:pPr>
            <w:r>
              <w:rPr>
                <w:sz w:val="20"/>
              </w:rPr>
              <w:t>33</w:t>
            </w:r>
          </w:p>
        </w:tc>
        <w:tc>
          <w:tcPr>
            <w:tcW w:w="2730" w:type="dxa"/>
          </w:tcPr>
          <w:p w14:paraId="71D9B6A4" w14:textId="77777777" w:rsidR="00DD13BF" w:rsidRDefault="00DD13BF" w:rsidP="00355A56">
            <w:pPr>
              <w:pStyle w:val="TableParagraph"/>
              <w:rPr>
                <w:sz w:val="20"/>
              </w:rPr>
            </w:pPr>
            <w:r>
              <w:rPr>
                <w:sz w:val="20"/>
              </w:rPr>
              <w:t xml:space="preserve">32,539,537 </w:t>
            </w:r>
          </w:p>
        </w:tc>
      </w:tr>
      <w:tr w:rsidR="00DD13BF" w14:paraId="47041603" w14:textId="77777777" w:rsidTr="00355A56">
        <w:trPr>
          <w:trHeight w:val="353"/>
        </w:trPr>
        <w:tc>
          <w:tcPr>
            <w:tcW w:w="2088" w:type="dxa"/>
          </w:tcPr>
          <w:p w14:paraId="74501EA4" w14:textId="77777777" w:rsidR="00DD13BF" w:rsidRDefault="00DD13BF" w:rsidP="00355A56">
            <w:pPr>
              <w:pStyle w:val="TableParagraph"/>
              <w:rPr>
                <w:sz w:val="20"/>
              </w:rPr>
            </w:pPr>
            <w:r>
              <w:rPr>
                <w:sz w:val="20"/>
              </w:rPr>
              <w:t>3</w:t>
            </w:r>
          </w:p>
        </w:tc>
        <w:tc>
          <w:tcPr>
            <w:tcW w:w="1132" w:type="dxa"/>
          </w:tcPr>
          <w:p w14:paraId="40B480E6" w14:textId="77777777" w:rsidR="00DD13BF" w:rsidRDefault="00DD13BF" w:rsidP="00355A56">
            <w:pPr>
              <w:pStyle w:val="TableParagraph"/>
              <w:rPr>
                <w:sz w:val="20"/>
              </w:rPr>
            </w:pPr>
            <w:r>
              <w:rPr>
                <w:sz w:val="20"/>
              </w:rPr>
              <w:t>ERDF</w:t>
            </w:r>
          </w:p>
        </w:tc>
        <w:tc>
          <w:tcPr>
            <w:tcW w:w="3248" w:type="dxa"/>
          </w:tcPr>
          <w:p w14:paraId="67C1D331" w14:textId="77777777" w:rsidR="00DD13BF" w:rsidRDefault="00DD13BF" w:rsidP="00355A56">
            <w:pPr>
              <w:pStyle w:val="TableParagraph"/>
              <w:rPr>
                <w:sz w:val="20"/>
              </w:rPr>
            </w:pPr>
            <w:r>
              <w:rPr>
                <w:sz w:val="20"/>
              </w:rPr>
              <w:t>More developed</w:t>
            </w:r>
          </w:p>
        </w:tc>
        <w:tc>
          <w:tcPr>
            <w:tcW w:w="3098" w:type="dxa"/>
          </w:tcPr>
          <w:p w14:paraId="11CFDE43" w14:textId="77777777" w:rsidR="00DD13BF" w:rsidRDefault="00DD13BF" w:rsidP="00355A56">
            <w:pPr>
              <w:pStyle w:val="TableParagraph"/>
              <w:rPr>
                <w:sz w:val="20"/>
              </w:rPr>
            </w:pPr>
            <w:r>
              <w:rPr>
                <w:color w:val="000000"/>
                <w:sz w:val="20"/>
              </w:rPr>
              <w:t>RSO2.1</w:t>
            </w:r>
          </w:p>
        </w:tc>
        <w:tc>
          <w:tcPr>
            <w:tcW w:w="1160" w:type="dxa"/>
          </w:tcPr>
          <w:p w14:paraId="6E8E738C" w14:textId="77777777" w:rsidR="00DD13BF" w:rsidRDefault="00DD13BF" w:rsidP="00355A56">
            <w:pPr>
              <w:pStyle w:val="TableParagraph"/>
              <w:rPr>
                <w:sz w:val="20"/>
              </w:rPr>
            </w:pPr>
            <w:r>
              <w:rPr>
                <w:sz w:val="20"/>
              </w:rPr>
              <w:t>33</w:t>
            </w:r>
          </w:p>
        </w:tc>
        <w:tc>
          <w:tcPr>
            <w:tcW w:w="2730" w:type="dxa"/>
          </w:tcPr>
          <w:p w14:paraId="69F3BF70" w14:textId="77777777" w:rsidR="00DD13BF" w:rsidRDefault="00DD13BF" w:rsidP="00355A56">
            <w:pPr>
              <w:pStyle w:val="TableParagraph"/>
              <w:rPr>
                <w:sz w:val="20"/>
              </w:rPr>
            </w:pPr>
            <w:r>
              <w:rPr>
                <w:sz w:val="20"/>
              </w:rPr>
              <w:t>10,675,896</w:t>
            </w:r>
          </w:p>
        </w:tc>
      </w:tr>
    </w:tbl>
    <w:p w14:paraId="02CD4144" w14:textId="77777777" w:rsidR="00DD13BF" w:rsidRDefault="00DD13BF" w:rsidP="00DD13BF"/>
    <w:p w14:paraId="174D8ED2" w14:textId="77777777" w:rsidR="00DD13BF" w:rsidRDefault="00DD13BF" w:rsidP="00DD13BF">
      <w:pPr>
        <w:ind w:left="339"/>
      </w:pPr>
      <w:r>
        <w:t>Table 7: Dimension 6 – ESF+ secondary themes</w:t>
      </w:r>
    </w:p>
    <w:p w14:paraId="156CBBDA"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1B3A0FA" w14:textId="77777777" w:rsidTr="00355A56">
        <w:trPr>
          <w:trHeight w:val="353"/>
        </w:trPr>
        <w:tc>
          <w:tcPr>
            <w:tcW w:w="2088" w:type="dxa"/>
          </w:tcPr>
          <w:p w14:paraId="076F4F19" w14:textId="77777777" w:rsidR="00DD13BF" w:rsidRDefault="00DD13BF" w:rsidP="00355A56">
            <w:pPr>
              <w:pStyle w:val="TableParagraph"/>
              <w:ind w:left="115"/>
            </w:pPr>
            <w:r>
              <w:lastRenderedPageBreak/>
              <w:t>Priority no.</w:t>
            </w:r>
          </w:p>
        </w:tc>
        <w:tc>
          <w:tcPr>
            <w:tcW w:w="1132" w:type="dxa"/>
          </w:tcPr>
          <w:p w14:paraId="543A2EB3" w14:textId="77777777" w:rsidR="00DD13BF" w:rsidRDefault="00DD13BF" w:rsidP="00355A56">
            <w:pPr>
              <w:pStyle w:val="TableParagraph"/>
              <w:ind w:left="321"/>
            </w:pPr>
            <w:r>
              <w:t>Fund</w:t>
            </w:r>
          </w:p>
        </w:tc>
        <w:tc>
          <w:tcPr>
            <w:tcW w:w="3248" w:type="dxa"/>
          </w:tcPr>
          <w:p w14:paraId="571E60D8" w14:textId="77777777" w:rsidR="00DD13BF" w:rsidRDefault="00DD13BF" w:rsidP="00355A56">
            <w:pPr>
              <w:pStyle w:val="TableParagraph"/>
              <w:ind w:left="909"/>
            </w:pPr>
            <w:r>
              <w:t>Category of region</w:t>
            </w:r>
          </w:p>
        </w:tc>
        <w:tc>
          <w:tcPr>
            <w:tcW w:w="3098" w:type="dxa"/>
          </w:tcPr>
          <w:p w14:paraId="437613D0" w14:textId="77777777" w:rsidR="00DD13BF" w:rsidRDefault="00DD13BF" w:rsidP="00355A56">
            <w:pPr>
              <w:pStyle w:val="TableParagraph"/>
              <w:ind w:left="950"/>
            </w:pPr>
            <w:r>
              <w:t>Specific objective</w:t>
            </w:r>
          </w:p>
        </w:tc>
        <w:tc>
          <w:tcPr>
            <w:tcW w:w="1160" w:type="dxa"/>
          </w:tcPr>
          <w:p w14:paraId="23E2E822" w14:textId="77777777" w:rsidR="00DD13BF" w:rsidRDefault="00DD13BF" w:rsidP="00355A56">
            <w:pPr>
              <w:pStyle w:val="TableParagraph"/>
              <w:ind w:left="337"/>
            </w:pPr>
            <w:r>
              <w:t>Code</w:t>
            </w:r>
          </w:p>
        </w:tc>
        <w:tc>
          <w:tcPr>
            <w:tcW w:w="2730" w:type="dxa"/>
          </w:tcPr>
          <w:p w14:paraId="52F02476" w14:textId="77777777" w:rsidR="00DD13BF" w:rsidRDefault="00DD13BF" w:rsidP="00355A56">
            <w:pPr>
              <w:pStyle w:val="TableParagraph"/>
              <w:ind w:left="665"/>
            </w:pPr>
            <w:r>
              <w:t>Amount (in EUR)</w:t>
            </w:r>
          </w:p>
        </w:tc>
      </w:tr>
    </w:tbl>
    <w:p w14:paraId="4333760E" w14:textId="77777777" w:rsidR="00DD13BF" w:rsidRPr="00673ADB" w:rsidRDefault="00DD13BF" w:rsidP="00DD13BF"/>
    <w:p w14:paraId="2844CBC2" w14:textId="77777777" w:rsidR="00DD13BF" w:rsidRDefault="00DD13BF" w:rsidP="00DD13BF">
      <w:pPr>
        <w:ind w:left="339"/>
      </w:pPr>
      <w:r>
        <w:t>Table 8: Dimension 7 – ESF+*, ERDF, Cohesion Fund and JTF gender equality dimension</w:t>
      </w:r>
    </w:p>
    <w:p w14:paraId="72498EB1"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5F5316E" w14:textId="77777777" w:rsidTr="00355A56">
        <w:trPr>
          <w:trHeight w:val="353"/>
        </w:trPr>
        <w:tc>
          <w:tcPr>
            <w:tcW w:w="2088" w:type="dxa"/>
          </w:tcPr>
          <w:p w14:paraId="0AF40581" w14:textId="77777777" w:rsidR="00DD13BF" w:rsidRDefault="00DD13BF" w:rsidP="00355A56">
            <w:pPr>
              <w:pStyle w:val="TableParagraph"/>
              <w:ind w:left="115"/>
            </w:pPr>
            <w:r>
              <w:t>Priority no.</w:t>
            </w:r>
          </w:p>
        </w:tc>
        <w:tc>
          <w:tcPr>
            <w:tcW w:w="1132" w:type="dxa"/>
          </w:tcPr>
          <w:p w14:paraId="4E83DA3D" w14:textId="77777777" w:rsidR="00DD13BF" w:rsidRDefault="00DD13BF" w:rsidP="00355A56">
            <w:pPr>
              <w:pStyle w:val="TableParagraph"/>
              <w:ind w:left="320"/>
            </w:pPr>
            <w:r>
              <w:t>Fund</w:t>
            </w:r>
          </w:p>
        </w:tc>
        <w:tc>
          <w:tcPr>
            <w:tcW w:w="3248" w:type="dxa"/>
          </w:tcPr>
          <w:p w14:paraId="33582EBA" w14:textId="77777777" w:rsidR="00DD13BF" w:rsidRDefault="00DD13BF" w:rsidP="00355A56">
            <w:pPr>
              <w:pStyle w:val="TableParagraph"/>
              <w:ind w:left="908"/>
            </w:pPr>
            <w:r>
              <w:t>Category of region</w:t>
            </w:r>
          </w:p>
        </w:tc>
        <w:tc>
          <w:tcPr>
            <w:tcW w:w="3098" w:type="dxa"/>
          </w:tcPr>
          <w:p w14:paraId="590563DF" w14:textId="77777777" w:rsidR="00DD13BF" w:rsidRDefault="00DD13BF" w:rsidP="00355A56">
            <w:pPr>
              <w:pStyle w:val="TableParagraph"/>
              <w:ind w:left="950"/>
            </w:pPr>
            <w:r>
              <w:t>Specific objective</w:t>
            </w:r>
          </w:p>
        </w:tc>
        <w:tc>
          <w:tcPr>
            <w:tcW w:w="1160" w:type="dxa"/>
          </w:tcPr>
          <w:p w14:paraId="3ED534BC" w14:textId="77777777" w:rsidR="00DD13BF" w:rsidRDefault="00DD13BF" w:rsidP="00355A56">
            <w:pPr>
              <w:pStyle w:val="TableParagraph"/>
              <w:ind w:left="336"/>
            </w:pPr>
            <w:r>
              <w:t>Code</w:t>
            </w:r>
          </w:p>
        </w:tc>
        <w:tc>
          <w:tcPr>
            <w:tcW w:w="2730" w:type="dxa"/>
          </w:tcPr>
          <w:p w14:paraId="1454D828" w14:textId="77777777" w:rsidR="00DD13BF" w:rsidRDefault="00DD13BF" w:rsidP="00355A56">
            <w:pPr>
              <w:pStyle w:val="TableParagraph"/>
              <w:ind w:left="664"/>
            </w:pPr>
            <w:r>
              <w:t>Amount (in EUR)</w:t>
            </w:r>
          </w:p>
        </w:tc>
      </w:tr>
      <w:tr w:rsidR="00DD13BF" w14:paraId="29131CF5" w14:textId="77777777" w:rsidTr="00355A56">
        <w:trPr>
          <w:trHeight w:val="353"/>
        </w:trPr>
        <w:tc>
          <w:tcPr>
            <w:tcW w:w="2088" w:type="dxa"/>
          </w:tcPr>
          <w:p w14:paraId="7A75F398" w14:textId="77777777" w:rsidR="00DD13BF" w:rsidRDefault="00DD13BF" w:rsidP="00355A56">
            <w:pPr>
              <w:pStyle w:val="TableParagraph"/>
              <w:rPr>
                <w:sz w:val="20"/>
              </w:rPr>
            </w:pPr>
            <w:r>
              <w:rPr>
                <w:sz w:val="20"/>
              </w:rPr>
              <w:t>3</w:t>
            </w:r>
          </w:p>
        </w:tc>
        <w:tc>
          <w:tcPr>
            <w:tcW w:w="1132" w:type="dxa"/>
          </w:tcPr>
          <w:p w14:paraId="1A0EF59F" w14:textId="77777777" w:rsidR="00DD13BF" w:rsidRDefault="00DD13BF" w:rsidP="00355A56">
            <w:pPr>
              <w:pStyle w:val="TableParagraph"/>
              <w:rPr>
                <w:sz w:val="20"/>
              </w:rPr>
            </w:pPr>
            <w:r>
              <w:rPr>
                <w:sz w:val="20"/>
              </w:rPr>
              <w:t>CF</w:t>
            </w:r>
          </w:p>
        </w:tc>
        <w:tc>
          <w:tcPr>
            <w:tcW w:w="3248" w:type="dxa"/>
          </w:tcPr>
          <w:p w14:paraId="4AF1A1B6" w14:textId="77777777" w:rsidR="00DD13BF" w:rsidRDefault="00DD13BF" w:rsidP="00355A56">
            <w:pPr>
              <w:pStyle w:val="TableParagraph"/>
              <w:rPr>
                <w:sz w:val="20"/>
              </w:rPr>
            </w:pPr>
            <w:r>
              <w:rPr>
                <w:sz w:val="20"/>
              </w:rPr>
              <w:t>Entire Slovenia</w:t>
            </w:r>
          </w:p>
        </w:tc>
        <w:tc>
          <w:tcPr>
            <w:tcW w:w="3098" w:type="dxa"/>
          </w:tcPr>
          <w:p w14:paraId="32D5B1DD" w14:textId="77777777" w:rsidR="00DD13BF" w:rsidRDefault="00DD13BF" w:rsidP="00355A56">
            <w:pPr>
              <w:pStyle w:val="TableParagraph"/>
              <w:rPr>
                <w:sz w:val="20"/>
              </w:rPr>
            </w:pPr>
            <w:r>
              <w:rPr>
                <w:color w:val="000000"/>
                <w:sz w:val="20"/>
              </w:rPr>
              <w:t>RSO2.1</w:t>
            </w:r>
          </w:p>
        </w:tc>
        <w:tc>
          <w:tcPr>
            <w:tcW w:w="1160" w:type="dxa"/>
          </w:tcPr>
          <w:p w14:paraId="4B153098" w14:textId="77777777" w:rsidR="00DD13BF" w:rsidRDefault="00DD13BF" w:rsidP="00355A56">
            <w:pPr>
              <w:pStyle w:val="TableParagraph"/>
              <w:rPr>
                <w:sz w:val="20"/>
              </w:rPr>
            </w:pPr>
            <w:r>
              <w:rPr>
                <w:sz w:val="20"/>
              </w:rPr>
              <w:t>03</w:t>
            </w:r>
          </w:p>
        </w:tc>
        <w:tc>
          <w:tcPr>
            <w:tcW w:w="2730" w:type="dxa"/>
          </w:tcPr>
          <w:p w14:paraId="06F611BC" w14:textId="77777777" w:rsidR="00DD13BF" w:rsidRDefault="00DD13BF" w:rsidP="00355A56">
            <w:pPr>
              <w:pStyle w:val="TableParagraph"/>
              <w:rPr>
                <w:sz w:val="20"/>
              </w:rPr>
            </w:pPr>
            <w:r>
              <w:rPr>
                <w:sz w:val="20"/>
              </w:rPr>
              <w:t>59,470,000</w:t>
            </w:r>
          </w:p>
        </w:tc>
      </w:tr>
      <w:tr w:rsidR="00DD13BF" w14:paraId="07B0FADC" w14:textId="77777777" w:rsidTr="00355A56">
        <w:trPr>
          <w:trHeight w:val="353"/>
        </w:trPr>
        <w:tc>
          <w:tcPr>
            <w:tcW w:w="2088" w:type="dxa"/>
          </w:tcPr>
          <w:p w14:paraId="5D4ABDAA" w14:textId="77777777" w:rsidR="00DD13BF" w:rsidRDefault="00DD13BF" w:rsidP="00355A56">
            <w:pPr>
              <w:pStyle w:val="TableParagraph"/>
              <w:rPr>
                <w:sz w:val="20"/>
              </w:rPr>
            </w:pPr>
            <w:r>
              <w:rPr>
                <w:sz w:val="20"/>
              </w:rPr>
              <w:t>3</w:t>
            </w:r>
          </w:p>
        </w:tc>
        <w:tc>
          <w:tcPr>
            <w:tcW w:w="1132" w:type="dxa"/>
          </w:tcPr>
          <w:p w14:paraId="175B1AB9" w14:textId="77777777" w:rsidR="00DD13BF" w:rsidRDefault="00DD13BF" w:rsidP="00355A56">
            <w:pPr>
              <w:pStyle w:val="TableParagraph"/>
              <w:rPr>
                <w:sz w:val="20"/>
              </w:rPr>
            </w:pPr>
            <w:r>
              <w:rPr>
                <w:sz w:val="20"/>
              </w:rPr>
              <w:t>ERDF</w:t>
            </w:r>
          </w:p>
        </w:tc>
        <w:tc>
          <w:tcPr>
            <w:tcW w:w="3248" w:type="dxa"/>
          </w:tcPr>
          <w:p w14:paraId="1D1CD744" w14:textId="77777777" w:rsidR="00DD13BF" w:rsidRDefault="00DD13BF" w:rsidP="00355A56">
            <w:pPr>
              <w:pStyle w:val="TableParagraph"/>
              <w:rPr>
                <w:sz w:val="20"/>
              </w:rPr>
            </w:pPr>
            <w:r>
              <w:rPr>
                <w:sz w:val="20"/>
              </w:rPr>
              <w:t>Less developed</w:t>
            </w:r>
          </w:p>
        </w:tc>
        <w:tc>
          <w:tcPr>
            <w:tcW w:w="3098" w:type="dxa"/>
          </w:tcPr>
          <w:p w14:paraId="767B1E0C" w14:textId="77777777" w:rsidR="00DD13BF" w:rsidRDefault="00DD13BF" w:rsidP="00355A56">
            <w:pPr>
              <w:pStyle w:val="TableParagraph"/>
              <w:rPr>
                <w:sz w:val="20"/>
              </w:rPr>
            </w:pPr>
            <w:r>
              <w:rPr>
                <w:color w:val="000000"/>
                <w:sz w:val="20"/>
              </w:rPr>
              <w:t>RSO2.1</w:t>
            </w:r>
          </w:p>
        </w:tc>
        <w:tc>
          <w:tcPr>
            <w:tcW w:w="1160" w:type="dxa"/>
          </w:tcPr>
          <w:p w14:paraId="6C3CA419" w14:textId="77777777" w:rsidR="00DD13BF" w:rsidRDefault="00DD13BF" w:rsidP="00355A56">
            <w:pPr>
              <w:pStyle w:val="TableParagraph"/>
              <w:rPr>
                <w:sz w:val="20"/>
              </w:rPr>
            </w:pPr>
            <w:r>
              <w:rPr>
                <w:sz w:val="20"/>
              </w:rPr>
              <w:t>03</w:t>
            </w:r>
          </w:p>
        </w:tc>
        <w:tc>
          <w:tcPr>
            <w:tcW w:w="2730" w:type="dxa"/>
          </w:tcPr>
          <w:p w14:paraId="6D704917" w14:textId="77777777" w:rsidR="00DD13BF" w:rsidRDefault="00DD13BF" w:rsidP="00355A56">
            <w:pPr>
              <w:pStyle w:val="TableParagraph"/>
              <w:rPr>
                <w:sz w:val="20"/>
              </w:rPr>
            </w:pPr>
            <w:r>
              <w:rPr>
                <w:sz w:val="20"/>
              </w:rPr>
              <w:t xml:space="preserve">32,539,537 </w:t>
            </w:r>
          </w:p>
        </w:tc>
      </w:tr>
      <w:tr w:rsidR="00DD13BF" w14:paraId="19B2D001" w14:textId="77777777" w:rsidTr="00355A56">
        <w:trPr>
          <w:trHeight w:val="353"/>
        </w:trPr>
        <w:tc>
          <w:tcPr>
            <w:tcW w:w="2088" w:type="dxa"/>
          </w:tcPr>
          <w:p w14:paraId="2B947502" w14:textId="77777777" w:rsidR="00DD13BF" w:rsidRDefault="00DD13BF" w:rsidP="00355A56">
            <w:pPr>
              <w:pStyle w:val="TableParagraph"/>
              <w:rPr>
                <w:sz w:val="20"/>
              </w:rPr>
            </w:pPr>
            <w:r>
              <w:rPr>
                <w:sz w:val="20"/>
              </w:rPr>
              <w:t>3</w:t>
            </w:r>
          </w:p>
        </w:tc>
        <w:tc>
          <w:tcPr>
            <w:tcW w:w="1132" w:type="dxa"/>
          </w:tcPr>
          <w:p w14:paraId="79599235" w14:textId="77777777" w:rsidR="00DD13BF" w:rsidRDefault="00DD13BF" w:rsidP="00355A56">
            <w:pPr>
              <w:pStyle w:val="TableParagraph"/>
              <w:rPr>
                <w:sz w:val="20"/>
              </w:rPr>
            </w:pPr>
            <w:r>
              <w:rPr>
                <w:sz w:val="20"/>
              </w:rPr>
              <w:t>ERDF</w:t>
            </w:r>
          </w:p>
        </w:tc>
        <w:tc>
          <w:tcPr>
            <w:tcW w:w="3248" w:type="dxa"/>
          </w:tcPr>
          <w:p w14:paraId="7C4AFC34" w14:textId="77777777" w:rsidR="00DD13BF" w:rsidRDefault="00DD13BF" w:rsidP="00355A56">
            <w:pPr>
              <w:pStyle w:val="TableParagraph"/>
              <w:rPr>
                <w:sz w:val="20"/>
              </w:rPr>
            </w:pPr>
            <w:r>
              <w:rPr>
                <w:sz w:val="20"/>
              </w:rPr>
              <w:t>More developed</w:t>
            </w:r>
          </w:p>
        </w:tc>
        <w:tc>
          <w:tcPr>
            <w:tcW w:w="3098" w:type="dxa"/>
          </w:tcPr>
          <w:p w14:paraId="63BA47F5" w14:textId="77777777" w:rsidR="00DD13BF" w:rsidRDefault="00DD13BF" w:rsidP="00355A56">
            <w:pPr>
              <w:pStyle w:val="TableParagraph"/>
              <w:rPr>
                <w:sz w:val="20"/>
              </w:rPr>
            </w:pPr>
            <w:r>
              <w:rPr>
                <w:color w:val="000000"/>
                <w:sz w:val="20"/>
              </w:rPr>
              <w:t>RSO2.1</w:t>
            </w:r>
          </w:p>
        </w:tc>
        <w:tc>
          <w:tcPr>
            <w:tcW w:w="1160" w:type="dxa"/>
          </w:tcPr>
          <w:p w14:paraId="7C675F96" w14:textId="77777777" w:rsidR="00DD13BF" w:rsidRDefault="00DD13BF" w:rsidP="00355A56">
            <w:pPr>
              <w:pStyle w:val="TableParagraph"/>
              <w:rPr>
                <w:sz w:val="20"/>
              </w:rPr>
            </w:pPr>
            <w:r>
              <w:rPr>
                <w:sz w:val="20"/>
              </w:rPr>
              <w:t>03</w:t>
            </w:r>
          </w:p>
        </w:tc>
        <w:tc>
          <w:tcPr>
            <w:tcW w:w="2730" w:type="dxa"/>
          </w:tcPr>
          <w:p w14:paraId="24CAF8AD" w14:textId="77777777" w:rsidR="00DD13BF" w:rsidRDefault="00DD13BF" w:rsidP="00355A56">
            <w:pPr>
              <w:pStyle w:val="TableParagraph"/>
              <w:rPr>
                <w:sz w:val="20"/>
              </w:rPr>
            </w:pPr>
            <w:r>
              <w:rPr>
                <w:sz w:val="20"/>
              </w:rPr>
              <w:t>10,675,896</w:t>
            </w:r>
          </w:p>
        </w:tc>
      </w:tr>
    </w:tbl>
    <w:p w14:paraId="7BE270F4" w14:textId="77777777" w:rsidR="00DD13BF" w:rsidRDefault="00DD13BF" w:rsidP="00DD13BF">
      <w:pPr>
        <w:tabs>
          <w:tab w:val="left" w:pos="426"/>
        </w:tabs>
        <w:ind w:firstLine="284"/>
        <w:rPr>
          <w:spacing w:val="-2"/>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914427E" w14:textId="77777777" w:rsidR="00DD13BF" w:rsidRDefault="00DD13BF" w:rsidP="00DD13BF">
      <w:pPr>
        <w:tabs>
          <w:tab w:val="left" w:pos="426"/>
        </w:tabs>
        <w:ind w:left="284"/>
        <w:rPr>
          <w:sz w:val="16"/>
          <w:szCs w:val="16"/>
        </w:rPr>
      </w:pPr>
    </w:p>
    <w:p w14:paraId="5947AD5E" w14:textId="77777777" w:rsidR="00DD13BF" w:rsidRDefault="00DD13BF" w:rsidP="00DD13BF"/>
    <w:p w14:paraId="2DD2E7EF" w14:textId="77777777" w:rsidR="00DD13BF" w:rsidRPr="00673ADB" w:rsidRDefault="00DD13BF" w:rsidP="00DD13BF"/>
    <w:p w14:paraId="0F188E2C" w14:textId="77777777" w:rsidR="00DD13BF" w:rsidRDefault="00DD13BF" w:rsidP="00DD13BF">
      <w:r>
        <w:br w:type="page"/>
      </w:r>
    </w:p>
    <w:p w14:paraId="3C12F95D" w14:textId="77777777" w:rsidR="00DD13BF" w:rsidRPr="00BD3536" w:rsidRDefault="00DD13BF" w:rsidP="00DD13BF">
      <w:pPr>
        <w:pStyle w:val="Naslov4"/>
        <w:ind w:left="1134"/>
      </w:pPr>
      <w:bookmarkStart w:id="26" w:name="_Toc131161705"/>
      <w:r>
        <w:lastRenderedPageBreak/>
        <w:t>Specific objective RSO2.2. Promoting renewable energy in accordance with Renewable Energy Directive (EU) 2018/2001, including the sustainability criteria set out therein (ERDF) (Cohesion Fund)</w:t>
      </w:r>
      <w:bookmarkEnd w:id="26"/>
    </w:p>
    <w:p w14:paraId="3EF53449" w14:textId="77777777" w:rsidR="00DD13BF" w:rsidRDefault="00DD13BF" w:rsidP="00DD13BF">
      <w:pPr>
        <w:rPr>
          <w:sz w:val="30"/>
        </w:rPr>
      </w:pPr>
    </w:p>
    <w:p w14:paraId="5FE3A3A4" w14:textId="77777777" w:rsidR="00DD13BF" w:rsidRPr="00C10464" w:rsidRDefault="00DD13BF" w:rsidP="00DD13BF">
      <w:pPr>
        <w:pStyle w:val="Naslov5"/>
        <w:spacing w:before="0"/>
      </w:pPr>
      <w:r>
        <w:t>Interventions of the Funds</w:t>
      </w:r>
    </w:p>
    <w:p w14:paraId="3B09C397" w14:textId="77777777" w:rsidR="00DD13BF" w:rsidRDefault="00DD13BF" w:rsidP="00DD13BF">
      <w:pPr>
        <w:rPr>
          <w:sz w:val="30"/>
        </w:rPr>
      </w:pPr>
    </w:p>
    <w:p w14:paraId="00A138BF" w14:textId="77777777" w:rsidR="00DD13BF" w:rsidRPr="00CC154B" w:rsidRDefault="00DD13BF" w:rsidP="00DD13BF">
      <w:pPr>
        <w:ind w:left="1349"/>
      </w:pPr>
      <w:r>
        <w:t>Related types of actions:</w:t>
      </w:r>
    </w:p>
    <w:p w14:paraId="440AB667"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75C366EF" w14:textId="77777777" w:rsidTr="00355A56">
        <w:trPr>
          <w:trHeight w:val="316"/>
        </w:trPr>
        <w:tc>
          <w:tcPr>
            <w:tcW w:w="12758" w:type="dxa"/>
          </w:tcPr>
          <w:p w14:paraId="6A045E0A" w14:textId="77777777" w:rsidR="00DD13BF" w:rsidRDefault="00DD13BF" w:rsidP="00355A56">
            <w:pPr>
              <w:jc w:val="both"/>
              <w:rPr>
                <w:rFonts w:cstheme="minorHAnsi"/>
              </w:rPr>
            </w:pPr>
            <w:r>
              <w:t>To attain the objectives of the SDS 2030 and the NECP, Slovenia must promote investments in the use of RES. In accordance with Directive (EU) 2018/2001 on the promotion of the use of energy from renewable sources, including the sustainability criteria, promoting energy generation from RES is one of the key steps towards a climate-neutral Slovenia by 2050; therefore, investments in the following key measures will be accelerated under this specific objective:</w:t>
            </w:r>
          </w:p>
          <w:p w14:paraId="44989C05" w14:textId="77777777" w:rsidR="00DD13BF" w:rsidRDefault="00DD13BF" w:rsidP="00355A56">
            <w:pPr>
              <w:jc w:val="both"/>
              <w:rPr>
                <w:rFonts w:cstheme="minorHAnsi"/>
              </w:rPr>
            </w:pPr>
          </w:p>
          <w:p w14:paraId="2DA6455B" w14:textId="77777777" w:rsidR="00DD13BF" w:rsidRPr="00273DB3" w:rsidRDefault="00DD13BF" w:rsidP="00DD13BF">
            <w:pPr>
              <w:widowControl/>
              <w:numPr>
                <w:ilvl w:val="0"/>
                <w:numId w:val="20"/>
              </w:numPr>
              <w:autoSpaceDE/>
              <w:autoSpaceDN/>
              <w:jc w:val="both"/>
              <w:rPr>
                <w:i/>
              </w:rPr>
            </w:pPr>
            <w:r>
              <w:rPr>
                <w:i/>
                <w:iCs/>
              </w:rPr>
              <w:t>Increasing electricity generation from RES</w:t>
            </w:r>
            <w:r>
              <w:t>, i.e.:</w:t>
            </w:r>
          </w:p>
          <w:p w14:paraId="5EBF9038" w14:textId="77777777" w:rsidR="00DD13BF" w:rsidRPr="000F0D79"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The potential of electricity generation from wind farms is estimated to be at least 415 MW. Regardless of the obstacles accompanying the installation of wind farms, Slovenia will also invest in the field of wind farm use. If the need is demonstrated, the measure will also finance prerequisites for the implementation of RES investments in wind farms, which mainly includes the analyses and financing of other system solutions for a more optimal introduction of wind farms, and the financing of expert bases and the monitoring of environmental factors (qualifying) of species and habitat types, noise assessment of buildings with protected spaces by modelling the propagation of noise in the infrasound and audible spectrum (including low frequencies) in view of the local terrain dynamic and the peculiarities of meteorological factors).</w:t>
            </w:r>
          </w:p>
          <w:p w14:paraId="760C9E37" w14:textId="77777777" w:rsidR="00DD13BF"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 xml:space="preserve">Electricity generation in solar power plants constitutes the greatest development and environmentally acceptable potential for increasing electricity generation from RES in Slovenia. From the aspect of sustainable use of space, future development will be primarily focused on the integration of SPP in buildings where the technical potential of electricity generation based on available surfaces is estimated at more than 20 TWh. Due to the geographical location and climate features of Slovenia, the potential for electricity generation in solar power plants is not defined geographically, but on the basis of the available building characteristics and their connection with the energy infrastructure. The greatest potential is thus defined near urban centres (includes self-sufficiency in households). In addition, the installation of medium-sized and large solar power plants in urban centres in industrial locations and degraded areas is encouraged. </w:t>
            </w:r>
          </w:p>
          <w:p w14:paraId="5D1E9712" w14:textId="77777777" w:rsidR="00DD13BF" w:rsidRDefault="00DD13BF" w:rsidP="00355A56">
            <w:pPr>
              <w:pStyle w:val="Odstavekseznama"/>
              <w:ind w:left="747"/>
              <w:jc w:val="both"/>
              <w:rPr>
                <w:rFonts w:ascii="Times New Roman" w:hAnsi="Times New Roman" w:cs="Times New Roman"/>
              </w:rPr>
            </w:pPr>
            <w:r>
              <w:rPr>
                <w:rFonts w:ascii="Times New Roman" w:hAnsi="Times New Roman"/>
              </w:rPr>
              <w:t>In both sub-measures, the use of DC transmission network technologies will be promoted in cases of connection of great power and their economic justification.</w:t>
            </w:r>
          </w:p>
          <w:p w14:paraId="79966760" w14:textId="77777777" w:rsidR="00DD13BF" w:rsidRPr="00193ACC" w:rsidRDefault="00DD13BF" w:rsidP="00355A56">
            <w:pPr>
              <w:pStyle w:val="Odstavekseznama"/>
              <w:ind w:left="747"/>
              <w:jc w:val="both"/>
              <w:rPr>
                <w:rFonts w:ascii="Times New Roman" w:hAnsi="Times New Roman" w:cs="Times New Roman"/>
              </w:rPr>
            </w:pPr>
            <w:r>
              <w:rPr>
                <w:rFonts w:ascii="Times New Roman" w:hAnsi="Times New Roman"/>
              </w:rPr>
              <w:t xml:space="preserve">Investments in wind farms and solar power plants will be directed at fields recognised as potentially interesting and environmentally acceptable by the authors of the study “Facilitating Renewable Energy Deployment In Electricity Sector Of Slovenia” (Request For </w:t>
            </w:r>
            <w:r>
              <w:rPr>
                <w:rFonts w:ascii="Times New Roman" w:hAnsi="Times New Roman"/>
              </w:rPr>
              <w:lastRenderedPageBreak/>
              <w:t>Service REFORM/SC2021/091</w:t>
            </w:r>
            <w:r w:rsidRPr="00803D63">
              <w:rPr>
                <w:rFonts w:ascii="Times New Roman" w:hAnsi="Times New Roman" w:cs="Times New Roman"/>
                <w:vertAlign w:val="superscript"/>
                <w:lang w:bidi="sl-SI"/>
              </w:rPr>
              <w:footnoteReference w:id="143"/>
            </w:r>
            <w:r>
              <w:rPr>
                <w:rFonts w:ascii="Times New Roman" w:hAnsi="Times New Roman"/>
              </w:rPr>
              <w:t>). Potential recommendations of this study will also be taken into account and a public consultation will be held when siting them. Stakeholders will be encouraged to monitor the impact on nature, particularly the impact of wind farms on birds, with the aim of collecting important scientific data.</w:t>
            </w:r>
          </w:p>
          <w:p w14:paraId="1A08C5EA" w14:textId="77777777" w:rsidR="00DD13BF" w:rsidRPr="00273DB3" w:rsidRDefault="00DD13BF" w:rsidP="00355A56">
            <w:pPr>
              <w:ind w:left="747"/>
              <w:jc w:val="both"/>
            </w:pPr>
          </w:p>
          <w:p w14:paraId="5D9D552F" w14:textId="77777777" w:rsidR="00DD13BF" w:rsidRDefault="00DD13BF" w:rsidP="00DD13BF">
            <w:pPr>
              <w:pStyle w:val="Odstavekseznama"/>
              <w:widowControl/>
              <w:numPr>
                <w:ilvl w:val="0"/>
                <w:numId w:val="44"/>
              </w:numPr>
              <w:autoSpaceDE/>
              <w:autoSpaceDN/>
              <w:jc w:val="both"/>
              <w:rPr>
                <w:rFonts w:ascii="Times New Roman" w:hAnsi="Times New Roman" w:cs="Times New Roman"/>
              </w:rPr>
            </w:pPr>
            <w:r>
              <w:rPr>
                <w:rFonts w:ascii="Times New Roman" w:hAnsi="Times New Roman"/>
                <w:i/>
                <w:iCs/>
              </w:rPr>
              <w:t>Promoting new remote renewable energy systems (heating and cooling)</w:t>
            </w:r>
            <w:r>
              <w:rPr>
                <w:rFonts w:ascii="Times New Roman" w:hAnsi="Times New Roman"/>
              </w:rPr>
              <w:t xml:space="preserve">: the continuation of existing instruments for promoting the development of district heating and cooling systems based on RES and excess heat is foreseen. Financial incentives are planned for the construction of new sustainable district heating systems which will be efficient and competitive. In this regard, it will be important to promote the cogeneration of heat and electricity in district heating systems and to connect sectors (energy storage, “power2heat”, etc.). </w:t>
            </w:r>
          </w:p>
          <w:p w14:paraId="77D9C83C" w14:textId="77777777" w:rsidR="00DD13BF" w:rsidRDefault="00DD13BF" w:rsidP="00355A56">
            <w:pPr>
              <w:pStyle w:val="Odstavekseznama"/>
              <w:ind w:left="720"/>
              <w:jc w:val="both"/>
              <w:rPr>
                <w:rFonts w:ascii="Times New Roman" w:hAnsi="Times New Roman" w:cs="Times New Roman"/>
              </w:rPr>
            </w:pPr>
            <w:r>
              <w:rPr>
                <w:rFonts w:ascii="Times New Roman" w:hAnsi="Times New Roman"/>
              </w:rPr>
              <w:t>Slovenia, where forests and wood constitute exceptional development potential, wants to further strengthen the forest-wood value chain. The energy use of waste wood biomass</w:t>
            </w:r>
            <w:r>
              <w:rPr>
                <w:rStyle w:val="Sprotnaopomba-sklic"/>
                <w:rFonts w:ascii="Times New Roman" w:hAnsi="Times New Roman" w:cs="Times New Roman"/>
              </w:rPr>
              <w:footnoteReference w:id="144"/>
            </w:r>
            <w:r>
              <w:rPr>
                <w:rFonts w:ascii="Times New Roman" w:hAnsi="Times New Roman"/>
              </w:rPr>
              <w:t xml:space="preserve"> produced in industrial processes and/or forest rehabilitation also plays an important role. Introducing advanced technological solutions to build new district heating and cooling systems is therefore an important path towards better competitiveness of the wood processing chain, a good state of the forest and the attainment of RES objectives. Therefore, this measure will support the introduction of the most advanced technological solutions for the use of (waste) biomass, in which the generation of electricity and thermal energy can be combined, and which are designed to contribute to better air quality. When using biomass, the sustainability criteria as prescribed by the EU Directive on the promotion of the use of energy from renewable sources and, where relevant, the cascading principle of biomass use are taken into account. The support will also/largely be aimed at the establishment of larger high-efficiency systems, even at the expense of a better utilisation of excess heat. </w:t>
            </w:r>
          </w:p>
          <w:p w14:paraId="78E38FAB" w14:textId="77777777" w:rsidR="00DD13BF" w:rsidRPr="00572A7D" w:rsidRDefault="00DD13BF" w:rsidP="00355A56">
            <w:pPr>
              <w:pStyle w:val="Odstavekseznama"/>
              <w:ind w:left="720"/>
              <w:jc w:val="both"/>
              <w:rPr>
                <w:rFonts w:ascii="Times New Roman" w:hAnsi="Times New Roman" w:cs="Times New Roman"/>
              </w:rPr>
            </w:pPr>
            <w:r>
              <w:rPr>
                <w:rFonts w:ascii="Times New Roman" w:hAnsi="Times New Roman"/>
              </w:rPr>
              <w:t>While the ECP funds will be intended to build new district heating systems, the RRP funds will be used to promote the restructuring of the existing systems to a greater share of RES. Therefore, double financing from both sources will not be possible.</w:t>
            </w:r>
            <w:r>
              <w:t xml:space="preserve"> </w:t>
            </w:r>
            <w:r>
              <w:rPr>
                <w:rFonts w:ascii="Times New Roman" w:hAnsi="Times New Roman"/>
              </w:rPr>
              <w:t>Delimitation will be determined at the level of individual public tenders or individual projects.</w:t>
            </w:r>
          </w:p>
          <w:p w14:paraId="4D0B8649" w14:textId="77777777" w:rsidR="00DD13BF" w:rsidRDefault="00DD13BF" w:rsidP="00355A56">
            <w:pPr>
              <w:pStyle w:val="Odstavekseznama"/>
              <w:ind w:left="0"/>
              <w:jc w:val="both"/>
            </w:pPr>
          </w:p>
          <w:p w14:paraId="4E2B7F67" w14:textId="77777777" w:rsidR="00DD13BF" w:rsidRPr="003A5499" w:rsidRDefault="00DD13BF" w:rsidP="00355A56">
            <w:pPr>
              <w:jc w:val="both"/>
              <w:rPr>
                <w:rFonts w:ascii="Calibri" w:eastAsia="Calibri" w:hAnsi="Calibri"/>
              </w:rPr>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None of the measures foreseen under this SO has a significant adverse impact on any of the six environmental objectives, taking into account the technical screening criteria set out in annex DNSH.</w:t>
            </w:r>
          </w:p>
        </w:tc>
      </w:tr>
    </w:tbl>
    <w:p w14:paraId="6450DAD4" w14:textId="77777777" w:rsidR="00DD13BF" w:rsidRDefault="00DD13BF" w:rsidP="00DD13BF">
      <w:pPr>
        <w:ind w:left="1349"/>
        <w:rPr>
          <w:spacing w:val="-6"/>
        </w:rPr>
      </w:pPr>
    </w:p>
    <w:p w14:paraId="0CE7E889" w14:textId="77777777" w:rsidR="00DD13BF" w:rsidRDefault="00DD13BF" w:rsidP="00DD13BF">
      <w:pPr>
        <w:ind w:left="1349"/>
      </w:pPr>
      <w:r>
        <w:t>Main target groups:</w:t>
      </w:r>
    </w:p>
    <w:p w14:paraId="37D08A5D"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B6DBA2F" w14:textId="77777777" w:rsidTr="00355A56">
        <w:tc>
          <w:tcPr>
            <w:tcW w:w="12763" w:type="dxa"/>
          </w:tcPr>
          <w:p w14:paraId="5658ED46" w14:textId="77777777" w:rsidR="00DD13BF" w:rsidRDefault="00DD13BF" w:rsidP="00355A56">
            <w:pPr>
              <w:rPr>
                <w:rFonts w:cstheme="minorHAnsi"/>
              </w:rPr>
            </w:pPr>
            <w:r>
              <w:t>Target groups: enterprises, public sector, local communities, cooperatives, institutions.</w:t>
            </w:r>
          </w:p>
          <w:p w14:paraId="2C9367F4" w14:textId="77777777" w:rsidR="00DD13BF" w:rsidRDefault="00DD13BF" w:rsidP="00355A56">
            <w:pPr>
              <w:rPr>
                <w:rFonts w:cstheme="minorHAnsi"/>
                <w:lang w:bidi="sl-SI"/>
              </w:rPr>
            </w:pPr>
          </w:p>
          <w:p w14:paraId="2E07C718" w14:textId="77777777" w:rsidR="00DD13BF" w:rsidRPr="00B3569A" w:rsidRDefault="00DD13BF" w:rsidP="00355A56">
            <w:pPr>
              <w:rPr>
                <w:rFonts w:cstheme="minorHAnsi"/>
              </w:rPr>
            </w:pPr>
            <w:r>
              <w:t>Beneficiaries: enterprises, public sector, local communities, institutions, cooperatives, chambers.</w:t>
            </w:r>
          </w:p>
        </w:tc>
      </w:tr>
    </w:tbl>
    <w:p w14:paraId="3B8C8E71" w14:textId="77777777" w:rsidR="00DD13BF" w:rsidRPr="006B7178" w:rsidRDefault="00DD13BF" w:rsidP="00DD13BF">
      <w:pPr>
        <w:ind w:left="1349"/>
      </w:pPr>
    </w:p>
    <w:p w14:paraId="1A415826" w14:textId="77777777" w:rsidR="00DD13BF" w:rsidRDefault="00DD13BF" w:rsidP="00DD13BF">
      <w:pPr>
        <w:ind w:left="1349"/>
        <w:rPr>
          <w:spacing w:val="-2"/>
        </w:rPr>
      </w:pPr>
      <w:r>
        <w:t>Measures to protect equality, inclusion and non-discrimination:</w:t>
      </w:r>
    </w:p>
    <w:p w14:paraId="57DF6E23"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28AE03CE" w14:textId="77777777" w:rsidTr="00355A56">
        <w:tc>
          <w:tcPr>
            <w:tcW w:w="12715" w:type="dxa"/>
          </w:tcPr>
          <w:p w14:paraId="319127BB" w14:textId="77777777" w:rsidR="00DD13BF" w:rsidRPr="00B3569A" w:rsidRDefault="00DD13BF" w:rsidP="00355A56">
            <w:pPr>
              <w:jc w:val="both"/>
              <w:rPr>
                <w:rFonts w:cstheme="minorHAns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 </w:t>
            </w:r>
          </w:p>
        </w:tc>
      </w:tr>
    </w:tbl>
    <w:p w14:paraId="36D4CBA1" w14:textId="77777777" w:rsidR="00DD13BF" w:rsidRDefault="00DD13BF" w:rsidP="00DD13BF">
      <w:pPr>
        <w:rPr>
          <w:sz w:val="20"/>
        </w:rPr>
      </w:pPr>
    </w:p>
    <w:p w14:paraId="1C94B881" w14:textId="77777777" w:rsidR="00DD13BF" w:rsidRDefault="00DD13BF" w:rsidP="00DD13BF">
      <w:pPr>
        <w:ind w:left="1415"/>
        <w:rPr>
          <w:spacing w:val="-4"/>
        </w:rPr>
      </w:pPr>
      <w:r>
        <w:t>Indication of the specific territories targeted, including the planned use of territorial tools:</w:t>
      </w:r>
    </w:p>
    <w:p w14:paraId="1076FE9D"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21D30803" w14:textId="77777777" w:rsidTr="00355A56">
        <w:tc>
          <w:tcPr>
            <w:tcW w:w="12763" w:type="dxa"/>
          </w:tcPr>
          <w:p w14:paraId="40128708" w14:textId="77777777" w:rsidR="00DD13BF" w:rsidRPr="00B3569A" w:rsidRDefault="00DD13BF" w:rsidP="00355A56">
            <w:pPr>
              <w:jc w:val="both"/>
              <w:rPr>
                <w:rFonts w:cstheme="minorHAnsi"/>
              </w:rPr>
            </w:pPr>
            <w:r w:rsidRPr="006211ED">
              <w:t>Under this specific objective, the use of territorial tools is not foreseen.</w:t>
            </w:r>
          </w:p>
        </w:tc>
      </w:tr>
    </w:tbl>
    <w:p w14:paraId="37E72738" w14:textId="77777777" w:rsidR="00DD13BF" w:rsidRDefault="00DD13BF" w:rsidP="00DD13BF">
      <w:pPr>
        <w:rPr>
          <w:sz w:val="18"/>
        </w:rPr>
      </w:pPr>
    </w:p>
    <w:p w14:paraId="39D857CD" w14:textId="77777777" w:rsidR="00DD13BF" w:rsidRDefault="00DD13BF" w:rsidP="00DD13BF">
      <w:pPr>
        <w:ind w:left="1415"/>
      </w:pPr>
      <w:r>
        <w:t>The interregional, cross-border and transnational actions:</w:t>
      </w:r>
    </w:p>
    <w:p w14:paraId="3BAD1FC0"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2285279" w14:textId="77777777" w:rsidTr="00355A56">
        <w:tc>
          <w:tcPr>
            <w:tcW w:w="12763" w:type="dxa"/>
          </w:tcPr>
          <w:p w14:paraId="7BA7DF24" w14:textId="77777777" w:rsidR="00DD13BF" w:rsidRPr="00B3569A" w:rsidRDefault="00DD13BF" w:rsidP="00355A56">
            <w:pPr>
              <w:jc w:val="both"/>
              <w:rPr>
                <w:rFonts w:cstheme="minorBidi"/>
              </w:rPr>
            </w:pPr>
            <w:r>
              <w:t>Under this specific objective, the implementation of interregional, cross-border and transnational actions is not planned, as these are measures to promote energy from renewable sources primarily intended for target groups in the territory of Slovenia.</w:t>
            </w:r>
          </w:p>
        </w:tc>
      </w:tr>
    </w:tbl>
    <w:p w14:paraId="0FF0E977" w14:textId="77777777" w:rsidR="00DD13BF" w:rsidRDefault="00DD13BF" w:rsidP="00DD13BF">
      <w:pPr>
        <w:rPr>
          <w:sz w:val="17"/>
        </w:rPr>
      </w:pPr>
    </w:p>
    <w:p w14:paraId="2839374C" w14:textId="77777777" w:rsidR="00DD13BF" w:rsidRDefault="00DD13BF" w:rsidP="00DD13BF">
      <w:pPr>
        <w:ind w:left="1415"/>
        <w:rPr>
          <w:spacing w:val="-3"/>
        </w:rPr>
      </w:pPr>
      <w:r>
        <w:t>Planned use of financial instruments:</w:t>
      </w:r>
    </w:p>
    <w:p w14:paraId="360B39DF"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1957A218" w14:textId="77777777" w:rsidTr="00355A56">
        <w:tc>
          <w:tcPr>
            <w:tcW w:w="12758" w:type="dxa"/>
          </w:tcPr>
          <w:p w14:paraId="67B802FD" w14:textId="77777777" w:rsidR="00DD13BF" w:rsidRPr="00B3569A" w:rsidRDefault="00DD13BF" w:rsidP="00355A56">
            <w:pPr>
              <w:jc w:val="both"/>
              <w:rPr>
                <w:rFonts w:cstheme="minorBidi"/>
              </w:rPr>
            </w:pPr>
            <w:r>
              <w:t xml:space="preserve">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When using grants, an appropriately reduced rate of co-financing will be determined, which will take into account savings during the economic life of an investment, or in accordance with state aid rules. </w:t>
            </w:r>
          </w:p>
        </w:tc>
      </w:tr>
    </w:tbl>
    <w:p w14:paraId="51F221B3" w14:textId="77777777" w:rsidR="00DD13BF" w:rsidRDefault="00DD13BF" w:rsidP="00DD13BF">
      <w:pPr>
        <w:rPr>
          <w:sz w:val="20"/>
        </w:rPr>
      </w:pPr>
    </w:p>
    <w:p w14:paraId="5103A598" w14:textId="77777777" w:rsidR="00DD13BF" w:rsidRDefault="00DD13BF" w:rsidP="00DD13BF">
      <w:pPr>
        <w:rPr>
          <w:sz w:val="20"/>
        </w:rPr>
      </w:pPr>
    </w:p>
    <w:p w14:paraId="13F4A2B2" w14:textId="77777777" w:rsidR="00DD13BF" w:rsidRDefault="00DD13BF" w:rsidP="00DD13BF">
      <w:pPr>
        <w:pStyle w:val="Naslov5"/>
        <w:spacing w:before="0"/>
      </w:pPr>
      <w:r>
        <w:t>Indicators</w:t>
      </w:r>
    </w:p>
    <w:p w14:paraId="2B123E6A" w14:textId="77777777" w:rsidR="00DD13BF" w:rsidRDefault="00DD13BF" w:rsidP="00DD13BF"/>
    <w:p w14:paraId="75F12160" w14:textId="77777777" w:rsidR="00DD13BF" w:rsidRDefault="00DD13BF" w:rsidP="00DD13BF">
      <w:pPr>
        <w:ind w:left="379"/>
      </w:pPr>
      <w:r>
        <w:t>Table 2: Output indicators</w:t>
      </w:r>
    </w:p>
    <w:p w14:paraId="3E9A5AE8" w14:textId="77777777" w:rsidR="00DD13BF" w:rsidRDefault="00DD13BF" w:rsidP="00DD13BF">
      <w:pPr>
        <w:rPr>
          <w:sz w:val="21"/>
        </w:rPr>
      </w:pPr>
    </w:p>
    <w:tbl>
      <w:tblPr>
        <w:tblStyle w:val="NormalTable0"/>
        <w:tblW w:w="13741"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417"/>
        <w:gridCol w:w="708"/>
        <w:gridCol w:w="1701"/>
        <w:gridCol w:w="778"/>
        <w:gridCol w:w="4184"/>
        <w:gridCol w:w="1276"/>
        <w:gridCol w:w="1418"/>
        <w:gridCol w:w="1134"/>
      </w:tblGrid>
      <w:tr w:rsidR="00DD13BF" w14:paraId="166C78D2" w14:textId="77777777" w:rsidTr="00355A56">
        <w:trPr>
          <w:trHeight w:val="254"/>
        </w:trPr>
        <w:tc>
          <w:tcPr>
            <w:tcW w:w="1125" w:type="dxa"/>
            <w:vAlign w:val="center"/>
          </w:tcPr>
          <w:p w14:paraId="429E5A03" w14:textId="77777777" w:rsidR="00DD13BF" w:rsidRDefault="00DD13BF" w:rsidP="00355A56">
            <w:pPr>
              <w:pStyle w:val="TableParagraph"/>
              <w:ind w:right="82"/>
            </w:pPr>
            <w:r>
              <w:lastRenderedPageBreak/>
              <w:t>Priority</w:t>
            </w:r>
          </w:p>
        </w:tc>
        <w:tc>
          <w:tcPr>
            <w:tcW w:w="1417" w:type="dxa"/>
            <w:vAlign w:val="center"/>
          </w:tcPr>
          <w:p w14:paraId="4FEFF5DD" w14:textId="77777777" w:rsidR="00DD13BF" w:rsidRDefault="00DD13BF" w:rsidP="00355A56">
            <w:pPr>
              <w:pStyle w:val="TableParagraph"/>
            </w:pPr>
            <w:r>
              <w:t>Specific objective</w:t>
            </w:r>
          </w:p>
        </w:tc>
        <w:tc>
          <w:tcPr>
            <w:tcW w:w="708" w:type="dxa"/>
            <w:vAlign w:val="center"/>
          </w:tcPr>
          <w:p w14:paraId="43B7F1C8" w14:textId="77777777" w:rsidR="00DD13BF" w:rsidRDefault="00DD13BF" w:rsidP="00355A56">
            <w:pPr>
              <w:pStyle w:val="TableParagraph"/>
            </w:pPr>
            <w:r>
              <w:t>Fund</w:t>
            </w:r>
          </w:p>
        </w:tc>
        <w:tc>
          <w:tcPr>
            <w:tcW w:w="1701" w:type="dxa"/>
            <w:vAlign w:val="center"/>
          </w:tcPr>
          <w:p w14:paraId="02C35EFA" w14:textId="77777777" w:rsidR="00DD13BF" w:rsidRDefault="00DD13BF" w:rsidP="00355A56">
            <w:pPr>
              <w:pStyle w:val="TableParagraph"/>
            </w:pPr>
            <w:r>
              <w:t>Category of region</w:t>
            </w:r>
          </w:p>
        </w:tc>
        <w:tc>
          <w:tcPr>
            <w:tcW w:w="778" w:type="dxa"/>
            <w:vAlign w:val="center"/>
          </w:tcPr>
          <w:p w14:paraId="1C1F3DB7" w14:textId="77777777" w:rsidR="00DD13BF" w:rsidRPr="00347461" w:rsidRDefault="00DD13BF" w:rsidP="00355A56">
            <w:pPr>
              <w:pStyle w:val="TableParagraph"/>
              <w:rPr>
                <w:sz w:val="20"/>
              </w:rPr>
            </w:pPr>
            <w:r>
              <w:t>ID</w:t>
            </w:r>
          </w:p>
        </w:tc>
        <w:tc>
          <w:tcPr>
            <w:tcW w:w="4184" w:type="dxa"/>
            <w:vAlign w:val="center"/>
          </w:tcPr>
          <w:p w14:paraId="758F655A" w14:textId="77777777" w:rsidR="00DD13BF" w:rsidRPr="00347461" w:rsidRDefault="00DD13BF" w:rsidP="00355A56">
            <w:pPr>
              <w:pStyle w:val="TableParagraph"/>
              <w:rPr>
                <w:sz w:val="20"/>
              </w:rPr>
            </w:pPr>
            <w:r>
              <w:t>Indicators</w:t>
            </w:r>
          </w:p>
        </w:tc>
        <w:tc>
          <w:tcPr>
            <w:tcW w:w="1276" w:type="dxa"/>
            <w:vAlign w:val="center"/>
          </w:tcPr>
          <w:p w14:paraId="193036AB" w14:textId="77777777" w:rsidR="00DD13BF" w:rsidRPr="00347461" w:rsidRDefault="00DD13BF" w:rsidP="00355A56">
            <w:pPr>
              <w:pStyle w:val="TableParagraph"/>
              <w:rPr>
                <w:sz w:val="20"/>
              </w:rPr>
            </w:pPr>
            <w:r>
              <w:t>Measurement unit</w:t>
            </w:r>
          </w:p>
        </w:tc>
        <w:tc>
          <w:tcPr>
            <w:tcW w:w="1418" w:type="dxa"/>
            <w:vAlign w:val="center"/>
          </w:tcPr>
          <w:p w14:paraId="69ADF318" w14:textId="77777777" w:rsidR="00DD13BF" w:rsidRPr="00347461" w:rsidRDefault="00DD13BF" w:rsidP="00355A56">
            <w:pPr>
              <w:pStyle w:val="TableParagraph"/>
              <w:rPr>
                <w:sz w:val="20"/>
              </w:rPr>
            </w:pPr>
            <w:r>
              <w:t>Milestone (2014)</w:t>
            </w:r>
          </w:p>
        </w:tc>
        <w:tc>
          <w:tcPr>
            <w:tcW w:w="1134" w:type="dxa"/>
            <w:vAlign w:val="center"/>
          </w:tcPr>
          <w:p w14:paraId="5153C9AB" w14:textId="77777777" w:rsidR="00DD13BF" w:rsidRDefault="00DD13BF" w:rsidP="00355A56">
            <w:pPr>
              <w:pStyle w:val="TableParagraph"/>
            </w:pPr>
            <w:r>
              <w:t>Target (2029)</w:t>
            </w:r>
          </w:p>
        </w:tc>
      </w:tr>
      <w:tr w:rsidR="00DD13BF" w14:paraId="122BFB31" w14:textId="77777777" w:rsidTr="00355A56">
        <w:trPr>
          <w:trHeight w:val="367"/>
        </w:trPr>
        <w:tc>
          <w:tcPr>
            <w:tcW w:w="1125" w:type="dxa"/>
          </w:tcPr>
          <w:p w14:paraId="5A63BFA4" w14:textId="77777777" w:rsidR="00DD13BF" w:rsidRPr="00965D67" w:rsidRDefault="00DD13BF" w:rsidP="00355A56">
            <w:pPr>
              <w:pStyle w:val="TableParagraph"/>
              <w:rPr>
                <w:sz w:val="20"/>
              </w:rPr>
            </w:pPr>
            <w:r>
              <w:rPr>
                <w:sz w:val="20"/>
              </w:rPr>
              <w:t>3</w:t>
            </w:r>
          </w:p>
        </w:tc>
        <w:tc>
          <w:tcPr>
            <w:tcW w:w="1417" w:type="dxa"/>
          </w:tcPr>
          <w:p w14:paraId="3FBBEEFD" w14:textId="77777777" w:rsidR="00DD13BF" w:rsidRPr="00965D67" w:rsidRDefault="00DD13BF" w:rsidP="00355A56">
            <w:pPr>
              <w:pStyle w:val="TableParagraph"/>
              <w:rPr>
                <w:sz w:val="20"/>
              </w:rPr>
            </w:pPr>
            <w:r>
              <w:rPr>
                <w:color w:val="000000"/>
                <w:sz w:val="20"/>
              </w:rPr>
              <w:t>RSO2.2</w:t>
            </w:r>
          </w:p>
        </w:tc>
        <w:tc>
          <w:tcPr>
            <w:tcW w:w="708" w:type="dxa"/>
          </w:tcPr>
          <w:p w14:paraId="27CC35C8" w14:textId="77777777" w:rsidR="00DD13BF" w:rsidRPr="00965D67" w:rsidRDefault="00DD13BF" w:rsidP="00355A56">
            <w:pPr>
              <w:pStyle w:val="TableParagraph"/>
              <w:rPr>
                <w:sz w:val="20"/>
              </w:rPr>
            </w:pPr>
            <w:r>
              <w:rPr>
                <w:sz w:val="20"/>
              </w:rPr>
              <w:t>ERDF</w:t>
            </w:r>
          </w:p>
        </w:tc>
        <w:tc>
          <w:tcPr>
            <w:tcW w:w="1701" w:type="dxa"/>
          </w:tcPr>
          <w:p w14:paraId="6037F346" w14:textId="77777777" w:rsidR="00DD13BF" w:rsidRPr="00965D67" w:rsidRDefault="00DD13BF" w:rsidP="00355A56">
            <w:pPr>
              <w:pStyle w:val="TableParagraph"/>
              <w:rPr>
                <w:sz w:val="20"/>
              </w:rPr>
            </w:pPr>
            <w:r>
              <w:rPr>
                <w:sz w:val="20"/>
              </w:rPr>
              <w:t>Less developed</w:t>
            </w:r>
          </w:p>
          <w:p w14:paraId="5D7CB86B" w14:textId="77777777" w:rsidR="00DD13BF" w:rsidRPr="00965D67" w:rsidRDefault="00DD13BF" w:rsidP="00355A56">
            <w:pPr>
              <w:pStyle w:val="TableParagraph"/>
              <w:rPr>
                <w:sz w:val="20"/>
              </w:rPr>
            </w:pPr>
          </w:p>
        </w:tc>
        <w:tc>
          <w:tcPr>
            <w:tcW w:w="778" w:type="dxa"/>
          </w:tcPr>
          <w:p w14:paraId="14BBC19B" w14:textId="77777777" w:rsidR="00DD13BF" w:rsidRPr="00965D67" w:rsidRDefault="00DD13BF" w:rsidP="00355A56">
            <w:pPr>
              <w:pStyle w:val="TableParagraph"/>
              <w:rPr>
                <w:sz w:val="20"/>
              </w:rPr>
            </w:pPr>
            <w:r>
              <w:rPr>
                <w:sz w:val="20"/>
              </w:rPr>
              <w:t>RCO22</w:t>
            </w:r>
          </w:p>
        </w:tc>
        <w:tc>
          <w:tcPr>
            <w:tcW w:w="4184" w:type="dxa"/>
          </w:tcPr>
          <w:p w14:paraId="01FF1DE5" w14:textId="77777777" w:rsidR="00DD13BF" w:rsidRPr="00965D67" w:rsidRDefault="00DD13BF" w:rsidP="00355A56">
            <w:pPr>
              <w:pStyle w:val="TableParagraph"/>
              <w:rPr>
                <w:sz w:val="20"/>
              </w:rPr>
            </w:pPr>
            <w:r>
              <w:rPr>
                <w:sz w:val="20"/>
              </w:rPr>
              <w:t>Additional production capacity for renewable energy (of which: electricity, thermal)</w:t>
            </w:r>
          </w:p>
        </w:tc>
        <w:tc>
          <w:tcPr>
            <w:tcW w:w="1276" w:type="dxa"/>
          </w:tcPr>
          <w:p w14:paraId="332A91B7" w14:textId="77777777" w:rsidR="00DD13BF" w:rsidRPr="00965D67" w:rsidRDefault="00DD13BF" w:rsidP="00355A56">
            <w:pPr>
              <w:pStyle w:val="TableParagraph"/>
              <w:rPr>
                <w:sz w:val="20"/>
              </w:rPr>
            </w:pPr>
            <w:r>
              <w:rPr>
                <w:sz w:val="20"/>
              </w:rPr>
              <w:t>MW</w:t>
            </w:r>
          </w:p>
        </w:tc>
        <w:tc>
          <w:tcPr>
            <w:tcW w:w="1418" w:type="dxa"/>
          </w:tcPr>
          <w:p w14:paraId="0324E3D1" w14:textId="77777777" w:rsidR="00DD13BF" w:rsidRPr="00965D67" w:rsidRDefault="00DD13BF" w:rsidP="00355A56">
            <w:pPr>
              <w:pStyle w:val="TableParagraph"/>
              <w:rPr>
                <w:sz w:val="20"/>
              </w:rPr>
            </w:pPr>
            <w:r>
              <w:rPr>
                <w:sz w:val="20"/>
              </w:rPr>
              <w:t>15</w:t>
            </w:r>
          </w:p>
        </w:tc>
        <w:tc>
          <w:tcPr>
            <w:tcW w:w="1134" w:type="dxa"/>
          </w:tcPr>
          <w:p w14:paraId="3944743C" w14:textId="77777777" w:rsidR="00DD13BF" w:rsidRPr="00965D67" w:rsidRDefault="00DD13BF" w:rsidP="00355A56">
            <w:pPr>
              <w:pStyle w:val="TableParagraph"/>
              <w:rPr>
                <w:sz w:val="20"/>
              </w:rPr>
            </w:pPr>
            <w:r>
              <w:rPr>
                <w:sz w:val="20"/>
              </w:rPr>
              <w:t>340</w:t>
            </w:r>
          </w:p>
        </w:tc>
      </w:tr>
      <w:tr w:rsidR="00DD13BF" w14:paraId="034C4804" w14:textId="77777777" w:rsidTr="00355A56">
        <w:trPr>
          <w:trHeight w:val="367"/>
        </w:trPr>
        <w:tc>
          <w:tcPr>
            <w:tcW w:w="1125" w:type="dxa"/>
          </w:tcPr>
          <w:p w14:paraId="3C5045AB" w14:textId="77777777" w:rsidR="00DD13BF" w:rsidRDefault="00DD13BF" w:rsidP="00355A56">
            <w:pPr>
              <w:rPr>
                <w:sz w:val="20"/>
              </w:rPr>
            </w:pPr>
            <w:r>
              <w:rPr>
                <w:sz w:val="20"/>
              </w:rPr>
              <w:t>3</w:t>
            </w:r>
          </w:p>
        </w:tc>
        <w:tc>
          <w:tcPr>
            <w:tcW w:w="1417" w:type="dxa"/>
          </w:tcPr>
          <w:p w14:paraId="6E8D73CE" w14:textId="77777777" w:rsidR="00DD13BF" w:rsidRDefault="00DD13BF" w:rsidP="00355A56">
            <w:pPr>
              <w:rPr>
                <w:sz w:val="20"/>
              </w:rPr>
            </w:pPr>
            <w:r>
              <w:rPr>
                <w:color w:val="000000"/>
                <w:sz w:val="20"/>
              </w:rPr>
              <w:t>RSO2.2</w:t>
            </w:r>
          </w:p>
        </w:tc>
        <w:tc>
          <w:tcPr>
            <w:tcW w:w="708" w:type="dxa"/>
          </w:tcPr>
          <w:p w14:paraId="43A09900" w14:textId="77777777" w:rsidR="00DD13BF" w:rsidRDefault="00DD13BF" w:rsidP="00355A56">
            <w:pPr>
              <w:rPr>
                <w:sz w:val="20"/>
              </w:rPr>
            </w:pPr>
            <w:r>
              <w:rPr>
                <w:sz w:val="20"/>
              </w:rPr>
              <w:t>ERDF</w:t>
            </w:r>
          </w:p>
        </w:tc>
        <w:tc>
          <w:tcPr>
            <w:tcW w:w="1701" w:type="dxa"/>
          </w:tcPr>
          <w:p w14:paraId="031A75E3" w14:textId="77777777" w:rsidR="00DD13BF" w:rsidRDefault="00DD13BF" w:rsidP="00355A56">
            <w:pPr>
              <w:rPr>
                <w:sz w:val="20"/>
              </w:rPr>
            </w:pPr>
            <w:r>
              <w:rPr>
                <w:sz w:val="20"/>
              </w:rPr>
              <w:t>More developed</w:t>
            </w:r>
          </w:p>
        </w:tc>
        <w:tc>
          <w:tcPr>
            <w:tcW w:w="778" w:type="dxa"/>
          </w:tcPr>
          <w:p w14:paraId="2929339F" w14:textId="77777777" w:rsidR="00DD13BF" w:rsidRDefault="00DD13BF" w:rsidP="00355A56">
            <w:pPr>
              <w:pStyle w:val="TableParagraph"/>
              <w:rPr>
                <w:sz w:val="20"/>
              </w:rPr>
            </w:pPr>
            <w:r>
              <w:rPr>
                <w:sz w:val="20"/>
              </w:rPr>
              <w:t>RCO22</w:t>
            </w:r>
          </w:p>
        </w:tc>
        <w:tc>
          <w:tcPr>
            <w:tcW w:w="4184" w:type="dxa"/>
          </w:tcPr>
          <w:p w14:paraId="2CAE3069" w14:textId="77777777" w:rsidR="00DD13BF" w:rsidRDefault="00DD13BF" w:rsidP="00355A56">
            <w:pPr>
              <w:pStyle w:val="TableParagraph"/>
              <w:rPr>
                <w:sz w:val="20"/>
              </w:rPr>
            </w:pPr>
            <w:r>
              <w:rPr>
                <w:sz w:val="20"/>
              </w:rPr>
              <w:t>Additional production capacity for renewable energy (of which: electricity, thermal)</w:t>
            </w:r>
          </w:p>
        </w:tc>
        <w:tc>
          <w:tcPr>
            <w:tcW w:w="1276" w:type="dxa"/>
          </w:tcPr>
          <w:p w14:paraId="3183E7DD" w14:textId="77777777" w:rsidR="00DD13BF" w:rsidRDefault="00DD13BF" w:rsidP="00355A56">
            <w:pPr>
              <w:rPr>
                <w:sz w:val="20"/>
              </w:rPr>
            </w:pPr>
            <w:r>
              <w:rPr>
                <w:sz w:val="20"/>
              </w:rPr>
              <w:t>MW</w:t>
            </w:r>
          </w:p>
        </w:tc>
        <w:tc>
          <w:tcPr>
            <w:tcW w:w="1418" w:type="dxa"/>
          </w:tcPr>
          <w:p w14:paraId="2C62DA36" w14:textId="77777777" w:rsidR="00DD13BF" w:rsidRDefault="00DD13BF" w:rsidP="00355A56">
            <w:pPr>
              <w:rPr>
                <w:sz w:val="20"/>
              </w:rPr>
            </w:pPr>
            <w:r>
              <w:rPr>
                <w:sz w:val="20"/>
              </w:rPr>
              <w:t>2</w:t>
            </w:r>
          </w:p>
        </w:tc>
        <w:tc>
          <w:tcPr>
            <w:tcW w:w="1134" w:type="dxa"/>
          </w:tcPr>
          <w:p w14:paraId="675A03AF" w14:textId="77777777" w:rsidR="00DD13BF" w:rsidRDefault="00DD13BF" w:rsidP="00355A56">
            <w:pPr>
              <w:rPr>
                <w:sz w:val="20"/>
              </w:rPr>
            </w:pPr>
            <w:r>
              <w:rPr>
                <w:sz w:val="20"/>
              </w:rPr>
              <w:t>92</w:t>
            </w:r>
          </w:p>
        </w:tc>
      </w:tr>
      <w:tr w:rsidR="00DD13BF" w14:paraId="40805181" w14:textId="77777777" w:rsidTr="00355A56">
        <w:trPr>
          <w:trHeight w:val="367"/>
        </w:trPr>
        <w:tc>
          <w:tcPr>
            <w:tcW w:w="1125" w:type="dxa"/>
          </w:tcPr>
          <w:p w14:paraId="20736319" w14:textId="77777777" w:rsidR="00DD13BF" w:rsidRDefault="00DD13BF" w:rsidP="00355A56">
            <w:pPr>
              <w:pStyle w:val="TableParagraph"/>
              <w:rPr>
                <w:sz w:val="20"/>
              </w:rPr>
            </w:pPr>
            <w:r>
              <w:rPr>
                <w:sz w:val="20"/>
              </w:rPr>
              <w:t>3</w:t>
            </w:r>
          </w:p>
        </w:tc>
        <w:tc>
          <w:tcPr>
            <w:tcW w:w="1417" w:type="dxa"/>
          </w:tcPr>
          <w:p w14:paraId="05AD7EEB" w14:textId="77777777" w:rsidR="00DD13BF" w:rsidRDefault="00DD13BF" w:rsidP="00355A56">
            <w:pPr>
              <w:pStyle w:val="TableParagraph"/>
              <w:rPr>
                <w:sz w:val="20"/>
              </w:rPr>
            </w:pPr>
            <w:r>
              <w:rPr>
                <w:color w:val="000000"/>
                <w:sz w:val="20"/>
              </w:rPr>
              <w:t>RSO2.2</w:t>
            </w:r>
          </w:p>
        </w:tc>
        <w:tc>
          <w:tcPr>
            <w:tcW w:w="708" w:type="dxa"/>
          </w:tcPr>
          <w:p w14:paraId="6BEAB6C4" w14:textId="77777777" w:rsidR="00DD13BF" w:rsidRDefault="00DD13BF" w:rsidP="00355A56">
            <w:pPr>
              <w:pStyle w:val="TableParagraph"/>
              <w:rPr>
                <w:sz w:val="20"/>
              </w:rPr>
            </w:pPr>
            <w:r>
              <w:rPr>
                <w:sz w:val="20"/>
              </w:rPr>
              <w:t>CF</w:t>
            </w:r>
          </w:p>
        </w:tc>
        <w:tc>
          <w:tcPr>
            <w:tcW w:w="1701" w:type="dxa"/>
          </w:tcPr>
          <w:p w14:paraId="26725C4A" w14:textId="77777777" w:rsidR="00DD13BF" w:rsidRDefault="00DD13BF" w:rsidP="00355A56">
            <w:pPr>
              <w:pStyle w:val="TableParagraph"/>
              <w:rPr>
                <w:sz w:val="20"/>
              </w:rPr>
            </w:pPr>
            <w:r>
              <w:rPr>
                <w:sz w:val="20"/>
              </w:rPr>
              <w:t>Entire Slovenia</w:t>
            </w:r>
          </w:p>
        </w:tc>
        <w:tc>
          <w:tcPr>
            <w:tcW w:w="778" w:type="dxa"/>
          </w:tcPr>
          <w:p w14:paraId="0C4B49B2" w14:textId="77777777" w:rsidR="00DD13BF" w:rsidRDefault="00DD13BF" w:rsidP="00355A56">
            <w:pPr>
              <w:pStyle w:val="TableParagraph"/>
              <w:rPr>
                <w:sz w:val="20"/>
              </w:rPr>
            </w:pPr>
            <w:r>
              <w:rPr>
                <w:sz w:val="20"/>
              </w:rPr>
              <w:t>RCO22</w:t>
            </w:r>
          </w:p>
        </w:tc>
        <w:tc>
          <w:tcPr>
            <w:tcW w:w="4184" w:type="dxa"/>
          </w:tcPr>
          <w:p w14:paraId="3F56D7BA" w14:textId="77777777" w:rsidR="00DD13BF" w:rsidRDefault="00DD13BF" w:rsidP="00355A56">
            <w:pPr>
              <w:pStyle w:val="TableParagraph"/>
              <w:rPr>
                <w:sz w:val="20"/>
              </w:rPr>
            </w:pPr>
            <w:r>
              <w:rPr>
                <w:sz w:val="20"/>
              </w:rPr>
              <w:t>Additional production capacity for renewable energy (of which: electricity, thermal)</w:t>
            </w:r>
          </w:p>
        </w:tc>
        <w:tc>
          <w:tcPr>
            <w:tcW w:w="1276" w:type="dxa"/>
          </w:tcPr>
          <w:p w14:paraId="019EDEE7" w14:textId="77777777" w:rsidR="00DD13BF" w:rsidRDefault="00DD13BF" w:rsidP="00355A56">
            <w:pPr>
              <w:pStyle w:val="TableParagraph"/>
              <w:rPr>
                <w:sz w:val="20"/>
              </w:rPr>
            </w:pPr>
            <w:r>
              <w:rPr>
                <w:sz w:val="20"/>
              </w:rPr>
              <w:t>MW</w:t>
            </w:r>
          </w:p>
        </w:tc>
        <w:tc>
          <w:tcPr>
            <w:tcW w:w="1418" w:type="dxa"/>
          </w:tcPr>
          <w:p w14:paraId="46D9FFB6" w14:textId="77777777" w:rsidR="00DD13BF" w:rsidRDefault="00DD13BF" w:rsidP="00355A56">
            <w:pPr>
              <w:pStyle w:val="TableParagraph"/>
              <w:rPr>
                <w:sz w:val="20"/>
              </w:rPr>
            </w:pPr>
            <w:r>
              <w:rPr>
                <w:sz w:val="20"/>
              </w:rPr>
              <w:t>0</w:t>
            </w:r>
          </w:p>
        </w:tc>
        <w:tc>
          <w:tcPr>
            <w:tcW w:w="1134" w:type="dxa"/>
          </w:tcPr>
          <w:p w14:paraId="3433C103" w14:textId="77777777" w:rsidR="00DD13BF" w:rsidRDefault="00DD13BF" w:rsidP="00355A56">
            <w:pPr>
              <w:pStyle w:val="TableParagraph"/>
              <w:rPr>
                <w:sz w:val="20"/>
              </w:rPr>
            </w:pPr>
            <w:r>
              <w:rPr>
                <w:sz w:val="20"/>
              </w:rPr>
              <w:t>55</w:t>
            </w:r>
          </w:p>
        </w:tc>
      </w:tr>
    </w:tbl>
    <w:p w14:paraId="15C38B4C" w14:textId="77777777" w:rsidR="00DD13BF" w:rsidRDefault="00DD13BF" w:rsidP="00DD13BF">
      <w:pPr>
        <w:rPr>
          <w:sz w:val="24"/>
        </w:rPr>
      </w:pPr>
    </w:p>
    <w:p w14:paraId="09C39663" w14:textId="77777777" w:rsidR="00DD13BF" w:rsidRDefault="00DD13BF" w:rsidP="00DD13BF">
      <w:pPr>
        <w:ind w:left="379"/>
      </w:pPr>
      <w:r>
        <w:t>Table 3: Result indicators</w:t>
      </w:r>
    </w:p>
    <w:p w14:paraId="2F6D1B26" w14:textId="77777777" w:rsidR="00DD13BF" w:rsidRDefault="00DD13BF" w:rsidP="00DD13BF">
      <w:pPr>
        <w:rPr>
          <w:sz w:val="21"/>
        </w:rPr>
      </w:pPr>
    </w:p>
    <w:tbl>
      <w:tblPr>
        <w:tblStyle w:val="NormalTable0"/>
        <w:tblW w:w="13735"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992"/>
        <w:gridCol w:w="708"/>
        <w:gridCol w:w="1560"/>
        <w:gridCol w:w="709"/>
        <w:gridCol w:w="3685"/>
        <w:gridCol w:w="850"/>
        <w:gridCol w:w="992"/>
        <w:gridCol w:w="709"/>
        <w:gridCol w:w="992"/>
        <w:gridCol w:w="709"/>
        <w:gridCol w:w="704"/>
      </w:tblGrid>
      <w:tr w:rsidR="00DD13BF" w:rsidRPr="00230DD7" w14:paraId="5842E7EE" w14:textId="77777777" w:rsidTr="00355A56">
        <w:trPr>
          <w:trHeight w:val="353"/>
        </w:trPr>
        <w:tc>
          <w:tcPr>
            <w:tcW w:w="1125" w:type="dxa"/>
          </w:tcPr>
          <w:p w14:paraId="07B749B7" w14:textId="77777777" w:rsidR="00DD13BF" w:rsidRPr="00230DD7" w:rsidRDefault="00DD13BF" w:rsidP="00355A56">
            <w:pPr>
              <w:pStyle w:val="TableParagraph"/>
            </w:pPr>
            <w:r>
              <w:t>Priority</w:t>
            </w:r>
          </w:p>
        </w:tc>
        <w:tc>
          <w:tcPr>
            <w:tcW w:w="992" w:type="dxa"/>
          </w:tcPr>
          <w:p w14:paraId="1D939AD8" w14:textId="77777777" w:rsidR="00DD13BF" w:rsidRPr="00230DD7" w:rsidRDefault="00DD13BF" w:rsidP="00355A56">
            <w:pPr>
              <w:pStyle w:val="TableParagraph"/>
            </w:pPr>
            <w:r>
              <w:t>Specific objective</w:t>
            </w:r>
          </w:p>
        </w:tc>
        <w:tc>
          <w:tcPr>
            <w:tcW w:w="708" w:type="dxa"/>
          </w:tcPr>
          <w:p w14:paraId="42A80E23" w14:textId="77777777" w:rsidR="00DD13BF" w:rsidRPr="00230DD7" w:rsidRDefault="00DD13BF" w:rsidP="00355A56">
            <w:pPr>
              <w:pStyle w:val="TableParagraph"/>
            </w:pPr>
            <w:r>
              <w:t>Fund</w:t>
            </w:r>
          </w:p>
        </w:tc>
        <w:tc>
          <w:tcPr>
            <w:tcW w:w="1560" w:type="dxa"/>
          </w:tcPr>
          <w:p w14:paraId="44331AFF" w14:textId="77777777" w:rsidR="00DD13BF" w:rsidRPr="00230DD7" w:rsidRDefault="00DD13BF" w:rsidP="00355A56">
            <w:pPr>
              <w:pStyle w:val="TableParagraph"/>
            </w:pPr>
            <w:r>
              <w:t>Category of region</w:t>
            </w:r>
          </w:p>
        </w:tc>
        <w:tc>
          <w:tcPr>
            <w:tcW w:w="709" w:type="dxa"/>
          </w:tcPr>
          <w:p w14:paraId="779F9102" w14:textId="77777777" w:rsidR="00DD13BF" w:rsidRPr="00230DD7" w:rsidRDefault="00DD13BF" w:rsidP="00355A56">
            <w:pPr>
              <w:pStyle w:val="TableParagraph"/>
            </w:pPr>
            <w:r>
              <w:t>ID</w:t>
            </w:r>
          </w:p>
        </w:tc>
        <w:tc>
          <w:tcPr>
            <w:tcW w:w="3685" w:type="dxa"/>
          </w:tcPr>
          <w:p w14:paraId="3F8AFAE7" w14:textId="77777777" w:rsidR="00DD13BF" w:rsidRPr="00230DD7" w:rsidRDefault="00DD13BF" w:rsidP="00355A56">
            <w:pPr>
              <w:pStyle w:val="TableParagraph"/>
            </w:pPr>
            <w:r>
              <w:t>Indicator</w:t>
            </w:r>
          </w:p>
        </w:tc>
        <w:tc>
          <w:tcPr>
            <w:tcW w:w="850" w:type="dxa"/>
          </w:tcPr>
          <w:p w14:paraId="51C84F73" w14:textId="77777777" w:rsidR="00DD13BF" w:rsidRPr="00230DD7" w:rsidRDefault="00DD13BF" w:rsidP="00355A56">
            <w:pPr>
              <w:pStyle w:val="TableParagraph"/>
            </w:pPr>
            <w:r>
              <w:t>Measurement unit</w:t>
            </w:r>
          </w:p>
        </w:tc>
        <w:tc>
          <w:tcPr>
            <w:tcW w:w="992" w:type="dxa"/>
          </w:tcPr>
          <w:p w14:paraId="0C9CDF53" w14:textId="77777777" w:rsidR="00DD13BF" w:rsidRPr="00230DD7" w:rsidRDefault="00DD13BF" w:rsidP="00355A56">
            <w:pPr>
              <w:pStyle w:val="TableParagraph"/>
            </w:pPr>
            <w:r>
              <w:t>Baseline or reference value</w:t>
            </w:r>
          </w:p>
        </w:tc>
        <w:tc>
          <w:tcPr>
            <w:tcW w:w="709" w:type="dxa"/>
          </w:tcPr>
          <w:p w14:paraId="79301FE2" w14:textId="77777777" w:rsidR="00DD13BF" w:rsidRPr="00230DD7" w:rsidRDefault="00DD13BF" w:rsidP="00355A56">
            <w:pPr>
              <w:pStyle w:val="TableParagraph"/>
            </w:pPr>
            <w:r>
              <w:t>Reference year</w:t>
            </w:r>
          </w:p>
        </w:tc>
        <w:tc>
          <w:tcPr>
            <w:tcW w:w="992" w:type="dxa"/>
          </w:tcPr>
          <w:p w14:paraId="46440BCD" w14:textId="77777777" w:rsidR="00DD13BF" w:rsidRPr="00230DD7" w:rsidRDefault="00DD13BF" w:rsidP="00355A56">
            <w:pPr>
              <w:pStyle w:val="TableParagraph"/>
            </w:pPr>
            <w:r>
              <w:t>Target (2029)</w:t>
            </w:r>
          </w:p>
        </w:tc>
        <w:tc>
          <w:tcPr>
            <w:tcW w:w="709" w:type="dxa"/>
          </w:tcPr>
          <w:p w14:paraId="3B858420" w14:textId="77777777" w:rsidR="00DD13BF" w:rsidRPr="00230DD7" w:rsidRDefault="00DD13BF" w:rsidP="00355A56">
            <w:pPr>
              <w:pStyle w:val="TableParagraph"/>
            </w:pPr>
            <w:r>
              <w:t>Source of data</w:t>
            </w:r>
          </w:p>
        </w:tc>
        <w:tc>
          <w:tcPr>
            <w:tcW w:w="704" w:type="dxa"/>
          </w:tcPr>
          <w:p w14:paraId="0C2A9280" w14:textId="77777777" w:rsidR="00DD13BF" w:rsidRPr="00230DD7" w:rsidRDefault="00DD13BF" w:rsidP="00355A56">
            <w:pPr>
              <w:pStyle w:val="TableParagraph"/>
            </w:pPr>
            <w:r>
              <w:t>Comments</w:t>
            </w:r>
          </w:p>
        </w:tc>
      </w:tr>
      <w:tr w:rsidR="00DD13BF" w14:paraId="4C1B5370" w14:textId="77777777" w:rsidTr="00355A56">
        <w:trPr>
          <w:trHeight w:val="353"/>
        </w:trPr>
        <w:tc>
          <w:tcPr>
            <w:tcW w:w="1125" w:type="dxa"/>
          </w:tcPr>
          <w:p w14:paraId="19C86E7A" w14:textId="77777777" w:rsidR="00DD13BF" w:rsidRPr="00347461" w:rsidRDefault="00DD13BF" w:rsidP="00355A56">
            <w:pPr>
              <w:pStyle w:val="TableParagraph"/>
              <w:rPr>
                <w:sz w:val="20"/>
              </w:rPr>
            </w:pPr>
            <w:r>
              <w:rPr>
                <w:sz w:val="20"/>
              </w:rPr>
              <w:t>3</w:t>
            </w:r>
          </w:p>
        </w:tc>
        <w:tc>
          <w:tcPr>
            <w:tcW w:w="992" w:type="dxa"/>
          </w:tcPr>
          <w:p w14:paraId="39431011" w14:textId="77777777" w:rsidR="00DD13BF" w:rsidRPr="00347461" w:rsidRDefault="00DD13BF" w:rsidP="00355A56">
            <w:pPr>
              <w:pStyle w:val="TableParagraph"/>
              <w:rPr>
                <w:sz w:val="20"/>
              </w:rPr>
            </w:pPr>
            <w:r>
              <w:rPr>
                <w:color w:val="000000"/>
                <w:sz w:val="20"/>
              </w:rPr>
              <w:t>RSO2.2</w:t>
            </w:r>
          </w:p>
        </w:tc>
        <w:tc>
          <w:tcPr>
            <w:tcW w:w="708" w:type="dxa"/>
          </w:tcPr>
          <w:p w14:paraId="5CCC3C88" w14:textId="77777777" w:rsidR="00DD13BF" w:rsidRPr="00347461" w:rsidRDefault="00DD13BF" w:rsidP="00355A56">
            <w:pPr>
              <w:pStyle w:val="TableParagraph"/>
              <w:rPr>
                <w:sz w:val="20"/>
              </w:rPr>
            </w:pPr>
            <w:r>
              <w:rPr>
                <w:sz w:val="20"/>
              </w:rPr>
              <w:t>ERDF</w:t>
            </w:r>
          </w:p>
        </w:tc>
        <w:tc>
          <w:tcPr>
            <w:tcW w:w="1560" w:type="dxa"/>
          </w:tcPr>
          <w:p w14:paraId="223B1DE0" w14:textId="77777777" w:rsidR="00DD13BF" w:rsidRPr="00965D67" w:rsidRDefault="00DD13BF" w:rsidP="00355A56">
            <w:pPr>
              <w:pStyle w:val="TableParagraph"/>
              <w:rPr>
                <w:sz w:val="20"/>
              </w:rPr>
            </w:pPr>
            <w:r>
              <w:rPr>
                <w:sz w:val="20"/>
              </w:rPr>
              <w:t>Less developed</w:t>
            </w:r>
          </w:p>
          <w:p w14:paraId="50F5E680" w14:textId="77777777" w:rsidR="00DD13BF" w:rsidRPr="00347461" w:rsidRDefault="00DD13BF" w:rsidP="00355A56">
            <w:pPr>
              <w:pStyle w:val="TableParagraph"/>
              <w:rPr>
                <w:sz w:val="20"/>
              </w:rPr>
            </w:pPr>
          </w:p>
        </w:tc>
        <w:tc>
          <w:tcPr>
            <w:tcW w:w="709" w:type="dxa"/>
          </w:tcPr>
          <w:p w14:paraId="0498AB53" w14:textId="77777777" w:rsidR="00DD13BF" w:rsidRPr="00347461" w:rsidRDefault="00DD13BF" w:rsidP="00355A56">
            <w:pPr>
              <w:pStyle w:val="TableParagraph"/>
              <w:rPr>
                <w:sz w:val="20"/>
              </w:rPr>
            </w:pPr>
            <w:r>
              <w:rPr>
                <w:sz w:val="20"/>
              </w:rPr>
              <w:t>RCR31</w:t>
            </w:r>
          </w:p>
        </w:tc>
        <w:tc>
          <w:tcPr>
            <w:tcW w:w="3685" w:type="dxa"/>
          </w:tcPr>
          <w:p w14:paraId="6FF13510" w14:textId="77777777" w:rsidR="00DD13BF" w:rsidRPr="00347461" w:rsidRDefault="00DD13BF" w:rsidP="00355A56">
            <w:pPr>
              <w:pStyle w:val="TableParagraph"/>
              <w:rPr>
                <w:sz w:val="20"/>
              </w:rPr>
            </w:pPr>
            <w:r>
              <w:rPr>
                <w:sz w:val="20"/>
              </w:rPr>
              <w:t>Total renewable energy produced (of which: electricity, thermal)</w:t>
            </w:r>
          </w:p>
        </w:tc>
        <w:tc>
          <w:tcPr>
            <w:tcW w:w="850" w:type="dxa"/>
          </w:tcPr>
          <w:p w14:paraId="138DA392" w14:textId="77777777" w:rsidR="00DD13BF" w:rsidRPr="00347461" w:rsidRDefault="00DD13BF" w:rsidP="00355A56">
            <w:pPr>
              <w:pStyle w:val="TableParagraph"/>
              <w:rPr>
                <w:sz w:val="20"/>
              </w:rPr>
            </w:pPr>
            <w:r>
              <w:rPr>
                <w:sz w:val="20"/>
              </w:rPr>
              <w:t>MWh/year</w:t>
            </w:r>
          </w:p>
        </w:tc>
        <w:tc>
          <w:tcPr>
            <w:tcW w:w="992" w:type="dxa"/>
          </w:tcPr>
          <w:p w14:paraId="3BC8DC26" w14:textId="77777777" w:rsidR="00DD13BF" w:rsidRPr="00347461" w:rsidRDefault="00DD13BF" w:rsidP="00355A56">
            <w:pPr>
              <w:pStyle w:val="TableParagraph"/>
              <w:rPr>
                <w:sz w:val="20"/>
              </w:rPr>
            </w:pPr>
            <w:r>
              <w:rPr>
                <w:sz w:val="20"/>
              </w:rPr>
              <w:t>0</w:t>
            </w:r>
          </w:p>
        </w:tc>
        <w:tc>
          <w:tcPr>
            <w:tcW w:w="709" w:type="dxa"/>
          </w:tcPr>
          <w:p w14:paraId="23B27BEB" w14:textId="77777777" w:rsidR="00DD13BF" w:rsidRPr="00347461" w:rsidRDefault="00DD13BF" w:rsidP="00355A56">
            <w:pPr>
              <w:pStyle w:val="TableParagraph"/>
              <w:rPr>
                <w:sz w:val="20"/>
              </w:rPr>
            </w:pPr>
            <w:r>
              <w:rPr>
                <w:sz w:val="20"/>
              </w:rPr>
              <w:t>2021</w:t>
            </w:r>
          </w:p>
        </w:tc>
        <w:tc>
          <w:tcPr>
            <w:tcW w:w="992" w:type="dxa"/>
          </w:tcPr>
          <w:p w14:paraId="11489F3F" w14:textId="77777777" w:rsidR="00DD13BF" w:rsidRPr="00402486" w:rsidRDefault="00DD13BF" w:rsidP="00355A56">
            <w:pPr>
              <w:pStyle w:val="TableParagraph"/>
              <w:spacing w:line="259" w:lineRule="auto"/>
              <w:rPr>
                <w:sz w:val="18"/>
                <w:szCs w:val="18"/>
              </w:rPr>
            </w:pPr>
            <w:r>
              <w:rPr>
                <w:sz w:val="20"/>
              </w:rPr>
              <w:t>340</w:t>
            </w:r>
          </w:p>
        </w:tc>
        <w:tc>
          <w:tcPr>
            <w:tcW w:w="709" w:type="dxa"/>
          </w:tcPr>
          <w:p w14:paraId="2A11E232" w14:textId="77777777" w:rsidR="00DD13BF" w:rsidRPr="00347461" w:rsidRDefault="00DD13BF" w:rsidP="00355A56">
            <w:pPr>
              <w:pStyle w:val="TableParagraph"/>
              <w:rPr>
                <w:sz w:val="20"/>
              </w:rPr>
            </w:pPr>
            <w:r>
              <w:rPr>
                <w:sz w:val="20"/>
              </w:rPr>
              <w:t>Ministries</w:t>
            </w:r>
          </w:p>
        </w:tc>
        <w:tc>
          <w:tcPr>
            <w:tcW w:w="704" w:type="dxa"/>
          </w:tcPr>
          <w:p w14:paraId="0B1F5562" w14:textId="77777777" w:rsidR="00DD13BF" w:rsidRPr="00347461" w:rsidRDefault="00DD13BF" w:rsidP="00355A56">
            <w:pPr>
              <w:pStyle w:val="TableParagraph"/>
              <w:rPr>
                <w:sz w:val="20"/>
              </w:rPr>
            </w:pPr>
          </w:p>
        </w:tc>
      </w:tr>
      <w:tr w:rsidR="00DD13BF" w14:paraId="3C2AC9E2" w14:textId="77777777" w:rsidTr="00355A56">
        <w:trPr>
          <w:trHeight w:val="353"/>
        </w:trPr>
        <w:tc>
          <w:tcPr>
            <w:tcW w:w="1125" w:type="dxa"/>
          </w:tcPr>
          <w:p w14:paraId="4F5CCA6D" w14:textId="77777777" w:rsidR="00DD13BF" w:rsidRDefault="00DD13BF" w:rsidP="00355A56">
            <w:pPr>
              <w:pStyle w:val="TableParagraph"/>
              <w:rPr>
                <w:sz w:val="20"/>
              </w:rPr>
            </w:pPr>
            <w:r>
              <w:rPr>
                <w:sz w:val="20"/>
              </w:rPr>
              <w:t>3</w:t>
            </w:r>
          </w:p>
        </w:tc>
        <w:tc>
          <w:tcPr>
            <w:tcW w:w="992" w:type="dxa"/>
          </w:tcPr>
          <w:p w14:paraId="35CE902A" w14:textId="77777777" w:rsidR="00DD13BF" w:rsidRDefault="00DD13BF" w:rsidP="00355A56">
            <w:pPr>
              <w:pStyle w:val="TableParagraph"/>
              <w:rPr>
                <w:sz w:val="20"/>
              </w:rPr>
            </w:pPr>
            <w:r>
              <w:rPr>
                <w:color w:val="000000"/>
                <w:sz w:val="20"/>
              </w:rPr>
              <w:t>RSO2.2</w:t>
            </w:r>
          </w:p>
        </w:tc>
        <w:tc>
          <w:tcPr>
            <w:tcW w:w="708" w:type="dxa"/>
          </w:tcPr>
          <w:p w14:paraId="507D698F" w14:textId="77777777" w:rsidR="00DD13BF" w:rsidRDefault="00DD13BF" w:rsidP="00355A56">
            <w:pPr>
              <w:pStyle w:val="TableParagraph"/>
              <w:rPr>
                <w:sz w:val="20"/>
              </w:rPr>
            </w:pPr>
            <w:r>
              <w:rPr>
                <w:sz w:val="20"/>
              </w:rPr>
              <w:t>ERDF</w:t>
            </w:r>
          </w:p>
        </w:tc>
        <w:tc>
          <w:tcPr>
            <w:tcW w:w="1560" w:type="dxa"/>
          </w:tcPr>
          <w:p w14:paraId="764765AB" w14:textId="77777777" w:rsidR="00DD13BF" w:rsidRDefault="00DD13BF" w:rsidP="00355A56">
            <w:pPr>
              <w:pStyle w:val="TableParagraph"/>
              <w:rPr>
                <w:sz w:val="20"/>
              </w:rPr>
            </w:pPr>
            <w:r>
              <w:rPr>
                <w:sz w:val="20"/>
              </w:rPr>
              <w:t>More developed</w:t>
            </w:r>
          </w:p>
        </w:tc>
        <w:tc>
          <w:tcPr>
            <w:tcW w:w="709" w:type="dxa"/>
          </w:tcPr>
          <w:p w14:paraId="2C143F58" w14:textId="77777777" w:rsidR="00DD13BF" w:rsidRDefault="00DD13BF" w:rsidP="00355A56">
            <w:pPr>
              <w:pStyle w:val="TableParagraph"/>
              <w:rPr>
                <w:sz w:val="20"/>
              </w:rPr>
            </w:pPr>
            <w:r>
              <w:rPr>
                <w:sz w:val="20"/>
              </w:rPr>
              <w:t>RCR31</w:t>
            </w:r>
          </w:p>
          <w:p w14:paraId="1FCECDF1" w14:textId="77777777" w:rsidR="00DD13BF" w:rsidRDefault="00DD13BF" w:rsidP="00355A56">
            <w:pPr>
              <w:pStyle w:val="TableParagraph"/>
              <w:rPr>
                <w:sz w:val="20"/>
              </w:rPr>
            </w:pPr>
          </w:p>
        </w:tc>
        <w:tc>
          <w:tcPr>
            <w:tcW w:w="3685" w:type="dxa"/>
          </w:tcPr>
          <w:p w14:paraId="5BBF4827" w14:textId="77777777" w:rsidR="00DD13BF" w:rsidRDefault="00DD13BF" w:rsidP="00355A56">
            <w:pPr>
              <w:pStyle w:val="TableParagraph"/>
              <w:rPr>
                <w:sz w:val="20"/>
              </w:rPr>
            </w:pPr>
            <w:r>
              <w:rPr>
                <w:sz w:val="20"/>
              </w:rPr>
              <w:t>Total renewable energy produced (of which: electricity, thermal)</w:t>
            </w:r>
          </w:p>
        </w:tc>
        <w:tc>
          <w:tcPr>
            <w:tcW w:w="850" w:type="dxa"/>
          </w:tcPr>
          <w:p w14:paraId="543FE372" w14:textId="77777777" w:rsidR="00DD13BF" w:rsidRDefault="00DD13BF" w:rsidP="00355A56">
            <w:pPr>
              <w:pStyle w:val="TableParagraph"/>
              <w:rPr>
                <w:sz w:val="20"/>
              </w:rPr>
            </w:pPr>
            <w:r>
              <w:rPr>
                <w:sz w:val="20"/>
              </w:rPr>
              <w:t>MWh/year</w:t>
            </w:r>
          </w:p>
        </w:tc>
        <w:tc>
          <w:tcPr>
            <w:tcW w:w="992" w:type="dxa"/>
          </w:tcPr>
          <w:p w14:paraId="3205801B" w14:textId="77777777" w:rsidR="00DD13BF" w:rsidRDefault="00DD13BF" w:rsidP="00355A56">
            <w:pPr>
              <w:pStyle w:val="TableParagraph"/>
              <w:rPr>
                <w:sz w:val="20"/>
              </w:rPr>
            </w:pPr>
            <w:r>
              <w:rPr>
                <w:sz w:val="20"/>
              </w:rPr>
              <w:t>0</w:t>
            </w:r>
          </w:p>
        </w:tc>
        <w:tc>
          <w:tcPr>
            <w:tcW w:w="709" w:type="dxa"/>
          </w:tcPr>
          <w:p w14:paraId="181050AC" w14:textId="77777777" w:rsidR="00DD13BF" w:rsidRDefault="00DD13BF" w:rsidP="00355A56">
            <w:pPr>
              <w:pStyle w:val="TableParagraph"/>
              <w:rPr>
                <w:sz w:val="20"/>
              </w:rPr>
            </w:pPr>
            <w:r>
              <w:rPr>
                <w:sz w:val="20"/>
              </w:rPr>
              <w:t>2021</w:t>
            </w:r>
          </w:p>
        </w:tc>
        <w:tc>
          <w:tcPr>
            <w:tcW w:w="992" w:type="dxa"/>
          </w:tcPr>
          <w:p w14:paraId="44F38730" w14:textId="77777777" w:rsidR="00DD13BF" w:rsidRDefault="00DD13BF" w:rsidP="00355A56">
            <w:pPr>
              <w:pStyle w:val="TableParagraph"/>
              <w:spacing w:line="259" w:lineRule="auto"/>
              <w:rPr>
                <w:sz w:val="20"/>
              </w:rPr>
            </w:pPr>
            <w:r>
              <w:rPr>
                <w:sz w:val="20"/>
              </w:rPr>
              <w:t>92</w:t>
            </w:r>
          </w:p>
        </w:tc>
        <w:tc>
          <w:tcPr>
            <w:tcW w:w="709" w:type="dxa"/>
          </w:tcPr>
          <w:p w14:paraId="4D9618D3" w14:textId="77777777" w:rsidR="00DD13BF" w:rsidRDefault="00DD13BF" w:rsidP="00355A56">
            <w:pPr>
              <w:pStyle w:val="TableParagraph"/>
              <w:rPr>
                <w:sz w:val="20"/>
              </w:rPr>
            </w:pPr>
            <w:r>
              <w:rPr>
                <w:sz w:val="20"/>
              </w:rPr>
              <w:t>Ministries</w:t>
            </w:r>
          </w:p>
          <w:p w14:paraId="12432F12" w14:textId="77777777" w:rsidR="00DD13BF" w:rsidRDefault="00DD13BF" w:rsidP="00355A56">
            <w:pPr>
              <w:pStyle w:val="TableParagraph"/>
              <w:rPr>
                <w:sz w:val="20"/>
              </w:rPr>
            </w:pPr>
          </w:p>
        </w:tc>
        <w:tc>
          <w:tcPr>
            <w:tcW w:w="704" w:type="dxa"/>
          </w:tcPr>
          <w:p w14:paraId="367185E7" w14:textId="77777777" w:rsidR="00DD13BF" w:rsidRDefault="00DD13BF" w:rsidP="00355A56">
            <w:pPr>
              <w:pStyle w:val="TableParagraph"/>
              <w:rPr>
                <w:sz w:val="20"/>
              </w:rPr>
            </w:pPr>
          </w:p>
        </w:tc>
      </w:tr>
      <w:tr w:rsidR="00DD13BF" w14:paraId="6E62150D" w14:textId="77777777" w:rsidTr="00355A56">
        <w:trPr>
          <w:trHeight w:val="353"/>
        </w:trPr>
        <w:tc>
          <w:tcPr>
            <w:tcW w:w="1125" w:type="dxa"/>
          </w:tcPr>
          <w:p w14:paraId="508FAA35" w14:textId="77777777" w:rsidR="00DD13BF" w:rsidRDefault="00DD13BF" w:rsidP="00355A56">
            <w:pPr>
              <w:pStyle w:val="TableParagraph"/>
              <w:rPr>
                <w:sz w:val="20"/>
              </w:rPr>
            </w:pPr>
            <w:r>
              <w:rPr>
                <w:sz w:val="20"/>
              </w:rPr>
              <w:t>3</w:t>
            </w:r>
          </w:p>
        </w:tc>
        <w:tc>
          <w:tcPr>
            <w:tcW w:w="992" w:type="dxa"/>
          </w:tcPr>
          <w:p w14:paraId="32819B8E" w14:textId="77777777" w:rsidR="00DD13BF" w:rsidRDefault="00DD13BF" w:rsidP="00355A56">
            <w:pPr>
              <w:pStyle w:val="TableParagraph"/>
              <w:rPr>
                <w:sz w:val="20"/>
              </w:rPr>
            </w:pPr>
            <w:r>
              <w:rPr>
                <w:color w:val="000000"/>
                <w:sz w:val="20"/>
              </w:rPr>
              <w:t>RSO2.2</w:t>
            </w:r>
          </w:p>
        </w:tc>
        <w:tc>
          <w:tcPr>
            <w:tcW w:w="708" w:type="dxa"/>
          </w:tcPr>
          <w:p w14:paraId="31396A6F" w14:textId="77777777" w:rsidR="00DD13BF" w:rsidRDefault="00DD13BF" w:rsidP="00355A56">
            <w:pPr>
              <w:pStyle w:val="TableParagraph"/>
              <w:rPr>
                <w:sz w:val="20"/>
              </w:rPr>
            </w:pPr>
            <w:r>
              <w:rPr>
                <w:sz w:val="20"/>
              </w:rPr>
              <w:t>CF</w:t>
            </w:r>
          </w:p>
        </w:tc>
        <w:tc>
          <w:tcPr>
            <w:tcW w:w="1560" w:type="dxa"/>
          </w:tcPr>
          <w:p w14:paraId="02B4E19F" w14:textId="77777777" w:rsidR="00DD13BF" w:rsidRDefault="00DD13BF" w:rsidP="00355A56">
            <w:pPr>
              <w:pStyle w:val="TableParagraph"/>
              <w:rPr>
                <w:sz w:val="20"/>
              </w:rPr>
            </w:pPr>
            <w:r>
              <w:rPr>
                <w:sz w:val="20"/>
              </w:rPr>
              <w:t>Entire Slovenia</w:t>
            </w:r>
          </w:p>
        </w:tc>
        <w:tc>
          <w:tcPr>
            <w:tcW w:w="709" w:type="dxa"/>
          </w:tcPr>
          <w:p w14:paraId="70403433" w14:textId="77777777" w:rsidR="00DD13BF" w:rsidRDefault="00DD13BF" w:rsidP="00355A56">
            <w:pPr>
              <w:pStyle w:val="TableParagraph"/>
              <w:rPr>
                <w:sz w:val="20"/>
              </w:rPr>
            </w:pPr>
            <w:r>
              <w:rPr>
                <w:sz w:val="20"/>
              </w:rPr>
              <w:t>RCR31</w:t>
            </w:r>
          </w:p>
          <w:p w14:paraId="6A1F8582" w14:textId="77777777" w:rsidR="00DD13BF" w:rsidRDefault="00DD13BF" w:rsidP="00355A56">
            <w:pPr>
              <w:pStyle w:val="TableParagraph"/>
              <w:rPr>
                <w:sz w:val="20"/>
              </w:rPr>
            </w:pPr>
          </w:p>
        </w:tc>
        <w:tc>
          <w:tcPr>
            <w:tcW w:w="3685" w:type="dxa"/>
          </w:tcPr>
          <w:p w14:paraId="5651BC3E" w14:textId="77777777" w:rsidR="00DD13BF" w:rsidRDefault="00DD13BF" w:rsidP="00355A56">
            <w:pPr>
              <w:pStyle w:val="TableParagraph"/>
              <w:rPr>
                <w:sz w:val="20"/>
              </w:rPr>
            </w:pPr>
            <w:r>
              <w:rPr>
                <w:sz w:val="20"/>
              </w:rPr>
              <w:t>Total renewable energy produced (of which: electricity, thermal)</w:t>
            </w:r>
          </w:p>
        </w:tc>
        <w:tc>
          <w:tcPr>
            <w:tcW w:w="850" w:type="dxa"/>
          </w:tcPr>
          <w:p w14:paraId="18AF8592" w14:textId="77777777" w:rsidR="00DD13BF" w:rsidRDefault="00DD13BF" w:rsidP="00355A56">
            <w:pPr>
              <w:pStyle w:val="TableParagraph"/>
              <w:rPr>
                <w:sz w:val="20"/>
              </w:rPr>
            </w:pPr>
            <w:r>
              <w:rPr>
                <w:sz w:val="20"/>
              </w:rPr>
              <w:t>MWh/year</w:t>
            </w:r>
          </w:p>
        </w:tc>
        <w:tc>
          <w:tcPr>
            <w:tcW w:w="992" w:type="dxa"/>
          </w:tcPr>
          <w:p w14:paraId="20A3ECDC" w14:textId="77777777" w:rsidR="00DD13BF" w:rsidRDefault="00DD13BF" w:rsidP="00355A56">
            <w:pPr>
              <w:pStyle w:val="TableParagraph"/>
              <w:rPr>
                <w:sz w:val="20"/>
              </w:rPr>
            </w:pPr>
            <w:r>
              <w:rPr>
                <w:sz w:val="20"/>
              </w:rPr>
              <w:t>0</w:t>
            </w:r>
          </w:p>
        </w:tc>
        <w:tc>
          <w:tcPr>
            <w:tcW w:w="709" w:type="dxa"/>
          </w:tcPr>
          <w:p w14:paraId="4BC27DF3" w14:textId="77777777" w:rsidR="00DD13BF" w:rsidRDefault="00DD13BF" w:rsidP="00355A56">
            <w:pPr>
              <w:pStyle w:val="TableParagraph"/>
              <w:rPr>
                <w:sz w:val="20"/>
              </w:rPr>
            </w:pPr>
            <w:r>
              <w:rPr>
                <w:sz w:val="20"/>
              </w:rPr>
              <w:t>2021</w:t>
            </w:r>
          </w:p>
        </w:tc>
        <w:tc>
          <w:tcPr>
            <w:tcW w:w="992" w:type="dxa"/>
          </w:tcPr>
          <w:p w14:paraId="7F66BECC" w14:textId="77777777" w:rsidR="00DD13BF" w:rsidRDefault="00DD13BF" w:rsidP="00355A56">
            <w:pPr>
              <w:pStyle w:val="TableParagraph"/>
              <w:spacing w:line="259" w:lineRule="auto"/>
              <w:rPr>
                <w:sz w:val="20"/>
              </w:rPr>
            </w:pPr>
            <w:r>
              <w:rPr>
                <w:sz w:val="20"/>
              </w:rPr>
              <w:t>55</w:t>
            </w:r>
          </w:p>
        </w:tc>
        <w:tc>
          <w:tcPr>
            <w:tcW w:w="709" w:type="dxa"/>
          </w:tcPr>
          <w:p w14:paraId="23B28B0D" w14:textId="77777777" w:rsidR="00DD13BF" w:rsidRDefault="00DD13BF" w:rsidP="00355A56">
            <w:pPr>
              <w:pStyle w:val="TableParagraph"/>
              <w:rPr>
                <w:sz w:val="20"/>
              </w:rPr>
            </w:pPr>
            <w:r>
              <w:rPr>
                <w:sz w:val="20"/>
              </w:rPr>
              <w:t>Ministries</w:t>
            </w:r>
          </w:p>
          <w:p w14:paraId="138D3DC7" w14:textId="77777777" w:rsidR="00DD13BF" w:rsidRDefault="00DD13BF" w:rsidP="00355A56">
            <w:pPr>
              <w:pStyle w:val="TableParagraph"/>
              <w:rPr>
                <w:sz w:val="20"/>
              </w:rPr>
            </w:pPr>
          </w:p>
        </w:tc>
        <w:tc>
          <w:tcPr>
            <w:tcW w:w="704" w:type="dxa"/>
          </w:tcPr>
          <w:p w14:paraId="2C87BCC8" w14:textId="77777777" w:rsidR="00DD13BF" w:rsidRDefault="00DD13BF" w:rsidP="00355A56">
            <w:pPr>
              <w:pStyle w:val="TableParagraph"/>
              <w:rPr>
                <w:sz w:val="20"/>
              </w:rPr>
            </w:pPr>
          </w:p>
        </w:tc>
      </w:tr>
    </w:tbl>
    <w:p w14:paraId="43CE901B" w14:textId="77777777" w:rsidR="00DD13BF" w:rsidRPr="00F81084" w:rsidRDefault="00DD13BF" w:rsidP="00DD13BF">
      <w:pPr>
        <w:pStyle w:val="Telobesedila"/>
      </w:pPr>
    </w:p>
    <w:p w14:paraId="667B235D" w14:textId="77777777" w:rsidR="00DD13BF" w:rsidRPr="00F81084" w:rsidRDefault="00DD13BF" w:rsidP="00DD13BF">
      <w:pPr>
        <w:pStyle w:val="Telobesedila"/>
      </w:pPr>
    </w:p>
    <w:p w14:paraId="1D089289" w14:textId="77777777" w:rsidR="00DD13BF" w:rsidRDefault="00DD13BF" w:rsidP="00DD13BF">
      <w:pPr>
        <w:pStyle w:val="Naslov5"/>
        <w:spacing w:before="0"/>
      </w:pPr>
      <w:r>
        <w:t>Indicative breakdown of the programme resources (EU) by type of intervention</w:t>
      </w:r>
    </w:p>
    <w:p w14:paraId="6CEA4CE3" w14:textId="77777777" w:rsidR="00DD13BF" w:rsidRDefault="00DD13BF" w:rsidP="00DD13BF">
      <w:pPr>
        <w:ind w:left="640"/>
        <w:rPr>
          <w:spacing w:val="-5"/>
        </w:rPr>
      </w:pPr>
    </w:p>
    <w:p w14:paraId="7394865D" w14:textId="77777777" w:rsidR="00DD13BF" w:rsidRPr="00673ADB" w:rsidRDefault="00DD13BF" w:rsidP="00DD13BF">
      <w:pPr>
        <w:ind w:left="339"/>
        <w:rPr>
          <w:spacing w:val="-7"/>
        </w:rPr>
      </w:pPr>
      <w:r>
        <w:t>Table 4: Dimension 1 – intervention field</w:t>
      </w:r>
    </w:p>
    <w:p w14:paraId="23F39F30" w14:textId="77777777" w:rsidR="00DD13BF" w:rsidRDefault="00DD13BF" w:rsidP="00DD13BF">
      <w:pPr>
        <w:rPr>
          <w:sz w:val="20"/>
        </w:rPr>
      </w:pPr>
    </w:p>
    <w:tbl>
      <w:tblPr>
        <w:tblStyle w:val="NormalTable0"/>
        <w:tblW w:w="0" w:type="auto"/>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88"/>
        <w:gridCol w:w="1133"/>
        <w:gridCol w:w="3249"/>
        <w:gridCol w:w="3099"/>
        <w:gridCol w:w="1161"/>
        <w:gridCol w:w="2731"/>
      </w:tblGrid>
      <w:tr w:rsidR="00DD13BF" w14:paraId="2A3CC516" w14:textId="77777777" w:rsidTr="00355A56">
        <w:trPr>
          <w:trHeight w:val="353"/>
        </w:trPr>
        <w:tc>
          <w:tcPr>
            <w:tcW w:w="2088" w:type="dxa"/>
          </w:tcPr>
          <w:p w14:paraId="542EC296" w14:textId="77777777" w:rsidR="00DD13BF" w:rsidRDefault="00DD13BF" w:rsidP="00355A56">
            <w:pPr>
              <w:pStyle w:val="TableParagraph"/>
              <w:ind w:left="115"/>
            </w:pPr>
            <w:r>
              <w:t>Priority no.</w:t>
            </w:r>
          </w:p>
        </w:tc>
        <w:tc>
          <w:tcPr>
            <w:tcW w:w="1133" w:type="dxa"/>
          </w:tcPr>
          <w:p w14:paraId="20EBDFA4" w14:textId="77777777" w:rsidR="00DD13BF" w:rsidRDefault="00DD13BF" w:rsidP="00355A56">
            <w:pPr>
              <w:pStyle w:val="TableParagraph"/>
              <w:ind w:left="320"/>
            </w:pPr>
            <w:r>
              <w:t>Fund</w:t>
            </w:r>
          </w:p>
        </w:tc>
        <w:tc>
          <w:tcPr>
            <w:tcW w:w="3249" w:type="dxa"/>
          </w:tcPr>
          <w:p w14:paraId="13EF66AE" w14:textId="77777777" w:rsidR="00DD13BF" w:rsidRDefault="00DD13BF" w:rsidP="00355A56">
            <w:pPr>
              <w:pStyle w:val="TableParagraph"/>
              <w:ind w:left="907"/>
            </w:pPr>
            <w:r>
              <w:t>Category of region</w:t>
            </w:r>
          </w:p>
        </w:tc>
        <w:tc>
          <w:tcPr>
            <w:tcW w:w="3099" w:type="dxa"/>
          </w:tcPr>
          <w:p w14:paraId="6242DB5B" w14:textId="77777777" w:rsidR="00DD13BF" w:rsidRDefault="00DD13BF" w:rsidP="00355A56">
            <w:pPr>
              <w:pStyle w:val="TableParagraph"/>
              <w:ind w:left="948"/>
            </w:pPr>
            <w:r>
              <w:t>Specific objective</w:t>
            </w:r>
          </w:p>
        </w:tc>
        <w:tc>
          <w:tcPr>
            <w:tcW w:w="1161" w:type="dxa"/>
          </w:tcPr>
          <w:p w14:paraId="39E60A1A" w14:textId="77777777" w:rsidR="00DD13BF" w:rsidRDefault="00DD13BF" w:rsidP="00355A56">
            <w:pPr>
              <w:pStyle w:val="TableParagraph"/>
              <w:ind w:left="333"/>
            </w:pPr>
            <w:r>
              <w:t>Code</w:t>
            </w:r>
          </w:p>
        </w:tc>
        <w:tc>
          <w:tcPr>
            <w:tcW w:w="2731" w:type="dxa"/>
          </w:tcPr>
          <w:p w14:paraId="491E4B55" w14:textId="77777777" w:rsidR="00DD13BF" w:rsidRDefault="00DD13BF" w:rsidP="00355A56">
            <w:pPr>
              <w:pStyle w:val="TableParagraph"/>
              <w:ind w:left="660"/>
            </w:pPr>
            <w:r>
              <w:t>Amount (in EUR)</w:t>
            </w:r>
          </w:p>
        </w:tc>
      </w:tr>
      <w:tr w:rsidR="00DD13BF" w14:paraId="59EA5FF0" w14:textId="77777777" w:rsidTr="00355A56">
        <w:trPr>
          <w:trHeight w:val="353"/>
        </w:trPr>
        <w:tc>
          <w:tcPr>
            <w:tcW w:w="2088" w:type="dxa"/>
          </w:tcPr>
          <w:p w14:paraId="7861A239" w14:textId="77777777" w:rsidR="00DD13BF" w:rsidRDefault="00DD13BF" w:rsidP="00355A56">
            <w:pPr>
              <w:pStyle w:val="TableParagraph"/>
              <w:rPr>
                <w:sz w:val="20"/>
              </w:rPr>
            </w:pPr>
            <w:r>
              <w:rPr>
                <w:sz w:val="20"/>
              </w:rPr>
              <w:t>3</w:t>
            </w:r>
          </w:p>
        </w:tc>
        <w:tc>
          <w:tcPr>
            <w:tcW w:w="1133" w:type="dxa"/>
          </w:tcPr>
          <w:p w14:paraId="54995E9D" w14:textId="77777777" w:rsidR="00DD13BF" w:rsidRDefault="00DD13BF" w:rsidP="00355A56">
            <w:pPr>
              <w:pStyle w:val="TableParagraph"/>
              <w:rPr>
                <w:sz w:val="20"/>
              </w:rPr>
            </w:pPr>
            <w:r>
              <w:rPr>
                <w:sz w:val="20"/>
              </w:rPr>
              <w:t>ERDF</w:t>
            </w:r>
          </w:p>
        </w:tc>
        <w:tc>
          <w:tcPr>
            <w:tcW w:w="3249" w:type="dxa"/>
          </w:tcPr>
          <w:p w14:paraId="1ACF9B42" w14:textId="77777777" w:rsidR="00DD13BF" w:rsidRDefault="00DD13BF" w:rsidP="00355A56">
            <w:pPr>
              <w:pStyle w:val="TableParagraph"/>
              <w:rPr>
                <w:sz w:val="20"/>
              </w:rPr>
            </w:pPr>
            <w:r>
              <w:rPr>
                <w:sz w:val="20"/>
              </w:rPr>
              <w:t>Less developed</w:t>
            </w:r>
          </w:p>
        </w:tc>
        <w:tc>
          <w:tcPr>
            <w:tcW w:w="3099" w:type="dxa"/>
          </w:tcPr>
          <w:p w14:paraId="2983EDDF" w14:textId="77777777" w:rsidR="00DD13BF" w:rsidRDefault="00DD13BF" w:rsidP="00355A56">
            <w:pPr>
              <w:pStyle w:val="TableParagraph"/>
              <w:rPr>
                <w:sz w:val="20"/>
              </w:rPr>
            </w:pPr>
            <w:r>
              <w:rPr>
                <w:color w:val="000000"/>
                <w:sz w:val="20"/>
              </w:rPr>
              <w:t>RSO2.2</w:t>
            </w:r>
          </w:p>
        </w:tc>
        <w:tc>
          <w:tcPr>
            <w:tcW w:w="1161" w:type="dxa"/>
          </w:tcPr>
          <w:p w14:paraId="45495502" w14:textId="77777777" w:rsidR="00DD13BF" w:rsidRDefault="00DD13BF" w:rsidP="00355A56">
            <w:pPr>
              <w:pStyle w:val="TableParagraph"/>
              <w:rPr>
                <w:sz w:val="20"/>
              </w:rPr>
            </w:pPr>
            <w:r>
              <w:rPr>
                <w:sz w:val="20"/>
              </w:rPr>
              <w:t>047</w:t>
            </w:r>
          </w:p>
        </w:tc>
        <w:tc>
          <w:tcPr>
            <w:tcW w:w="2731" w:type="dxa"/>
          </w:tcPr>
          <w:p w14:paraId="294F1521" w14:textId="77777777" w:rsidR="00DD13BF" w:rsidRDefault="00DD13BF" w:rsidP="00355A56">
            <w:pPr>
              <w:pStyle w:val="TableParagraph"/>
              <w:spacing w:line="259" w:lineRule="auto"/>
              <w:rPr>
                <w:sz w:val="20"/>
              </w:rPr>
            </w:pPr>
            <w:r>
              <w:rPr>
                <w:sz w:val="20"/>
              </w:rPr>
              <w:t>34,500,000</w:t>
            </w:r>
          </w:p>
        </w:tc>
      </w:tr>
      <w:tr w:rsidR="00DD13BF" w14:paraId="01385807" w14:textId="77777777" w:rsidTr="00355A56">
        <w:trPr>
          <w:trHeight w:val="353"/>
        </w:trPr>
        <w:tc>
          <w:tcPr>
            <w:tcW w:w="2088" w:type="dxa"/>
          </w:tcPr>
          <w:p w14:paraId="0F6F68EF" w14:textId="77777777" w:rsidR="00DD13BF" w:rsidRDefault="00DD13BF" w:rsidP="00355A56">
            <w:pPr>
              <w:pStyle w:val="TableParagraph"/>
              <w:rPr>
                <w:sz w:val="20"/>
              </w:rPr>
            </w:pPr>
            <w:r>
              <w:rPr>
                <w:sz w:val="20"/>
              </w:rPr>
              <w:t>3</w:t>
            </w:r>
          </w:p>
        </w:tc>
        <w:tc>
          <w:tcPr>
            <w:tcW w:w="1133" w:type="dxa"/>
          </w:tcPr>
          <w:p w14:paraId="40195E22" w14:textId="77777777" w:rsidR="00DD13BF" w:rsidRDefault="00DD13BF" w:rsidP="00355A56">
            <w:pPr>
              <w:pStyle w:val="TableParagraph"/>
              <w:rPr>
                <w:sz w:val="20"/>
              </w:rPr>
            </w:pPr>
            <w:r>
              <w:rPr>
                <w:sz w:val="20"/>
              </w:rPr>
              <w:t>ERDF</w:t>
            </w:r>
          </w:p>
        </w:tc>
        <w:tc>
          <w:tcPr>
            <w:tcW w:w="3249" w:type="dxa"/>
          </w:tcPr>
          <w:p w14:paraId="283D18DE" w14:textId="77777777" w:rsidR="00DD13BF" w:rsidRDefault="00DD13BF" w:rsidP="00355A56">
            <w:pPr>
              <w:pStyle w:val="TableParagraph"/>
              <w:rPr>
                <w:sz w:val="20"/>
              </w:rPr>
            </w:pPr>
            <w:r>
              <w:rPr>
                <w:sz w:val="20"/>
              </w:rPr>
              <w:t>More developed</w:t>
            </w:r>
          </w:p>
        </w:tc>
        <w:tc>
          <w:tcPr>
            <w:tcW w:w="3099" w:type="dxa"/>
          </w:tcPr>
          <w:p w14:paraId="4AEFC04F" w14:textId="77777777" w:rsidR="00DD13BF" w:rsidRDefault="00DD13BF" w:rsidP="00355A56">
            <w:pPr>
              <w:pStyle w:val="TableParagraph"/>
              <w:rPr>
                <w:sz w:val="20"/>
              </w:rPr>
            </w:pPr>
            <w:r>
              <w:rPr>
                <w:color w:val="000000"/>
                <w:sz w:val="20"/>
              </w:rPr>
              <w:t>RSO2.2</w:t>
            </w:r>
          </w:p>
        </w:tc>
        <w:tc>
          <w:tcPr>
            <w:tcW w:w="1161" w:type="dxa"/>
          </w:tcPr>
          <w:p w14:paraId="6AB1715C" w14:textId="77777777" w:rsidR="00DD13BF" w:rsidRDefault="00DD13BF" w:rsidP="00355A56">
            <w:pPr>
              <w:pStyle w:val="TableParagraph"/>
              <w:rPr>
                <w:sz w:val="20"/>
              </w:rPr>
            </w:pPr>
            <w:r>
              <w:rPr>
                <w:sz w:val="20"/>
              </w:rPr>
              <w:t>047</w:t>
            </w:r>
          </w:p>
        </w:tc>
        <w:tc>
          <w:tcPr>
            <w:tcW w:w="2731" w:type="dxa"/>
          </w:tcPr>
          <w:p w14:paraId="3456CE62" w14:textId="77777777" w:rsidR="00DD13BF" w:rsidRDefault="00DD13BF" w:rsidP="00355A56">
            <w:pPr>
              <w:pStyle w:val="TableParagraph"/>
              <w:rPr>
                <w:sz w:val="20"/>
              </w:rPr>
            </w:pPr>
            <w:r>
              <w:rPr>
                <w:sz w:val="20"/>
              </w:rPr>
              <w:t>6,500,000</w:t>
            </w:r>
          </w:p>
        </w:tc>
      </w:tr>
      <w:tr w:rsidR="00DD13BF" w14:paraId="1994B8BF" w14:textId="77777777" w:rsidTr="00355A56">
        <w:trPr>
          <w:trHeight w:val="353"/>
        </w:trPr>
        <w:tc>
          <w:tcPr>
            <w:tcW w:w="2088" w:type="dxa"/>
          </w:tcPr>
          <w:p w14:paraId="6995B086" w14:textId="77777777" w:rsidR="00DD13BF" w:rsidRDefault="00DD13BF" w:rsidP="00355A56">
            <w:pPr>
              <w:pStyle w:val="TableParagraph"/>
              <w:rPr>
                <w:sz w:val="20"/>
              </w:rPr>
            </w:pPr>
            <w:r>
              <w:rPr>
                <w:sz w:val="20"/>
              </w:rPr>
              <w:t>3</w:t>
            </w:r>
          </w:p>
        </w:tc>
        <w:tc>
          <w:tcPr>
            <w:tcW w:w="1133" w:type="dxa"/>
          </w:tcPr>
          <w:p w14:paraId="2EA1F66C" w14:textId="77777777" w:rsidR="00DD13BF" w:rsidRDefault="00DD13BF" w:rsidP="00355A56">
            <w:pPr>
              <w:pStyle w:val="TableParagraph"/>
              <w:rPr>
                <w:sz w:val="20"/>
              </w:rPr>
            </w:pPr>
            <w:r>
              <w:rPr>
                <w:sz w:val="20"/>
              </w:rPr>
              <w:t>ERDF</w:t>
            </w:r>
          </w:p>
        </w:tc>
        <w:tc>
          <w:tcPr>
            <w:tcW w:w="3249" w:type="dxa"/>
          </w:tcPr>
          <w:p w14:paraId="16776833" w14:textId="77777777" w:rsidR="00DD13BF" w:rsidRDefault="00DD13BF" w:rsidP="00355A56">
            <w:pPr>
              <w:pStyle w:val="TableParagraph"/>
              <w:rPr>
                <w:sz w:val="20"/>
              </w:rPr>
            </w:pPr>
            <w:r>
              <w:rPr>
                <w:sz w:val="20"/>
              </w:rPr>
              <w:t>Less developed</w:t>
            </w:r>
          </w:p>
        </w:tc>
        <w:tc>
          <w:tcPr>
            <w:tcW w:w="3099" w:type="dxa"/>
          </w:tcPr>
          <w:p w14:paraId="7DE533A1" w14:textId="77777777" w:rsidR="00DD13BF" w:rsidRDefault="00DD13BF" w:rsidP="00355A56">
            <w:pPr>
              <w:pStyle w:val="TableParagraph"/>
              <w:rPr>
                <w:sz w:val="20"/>
              </w:rPr>
            </w:pPr>
            <w:r>
              <w:rPr>
                <w:color w:val="000000"/>
                <w:sz w:val="20"/>
              </w:rPr>
              <w:t>RSO2.2</w:t>
            </w:r>
          </w:p>
        </w:tc>
        <w:tc>
          <w:tcPr>
            <w:tcW w:w="1161" w:type="dxa"/>
          </w:tcPr>
          <w:p w14:paraId="5CFAB626" w14:textId="77777777" w:rsidR="00DD13BF" w:rsidRDefault="00DD13BF" w:rsidP="00355A56">
            <w:pPr>
              <w:pStyle w:val="TableParagraph"/>
              <w:rPr>
                <w:sz w:val="20"/>
              </w:rPr>
            </w:pPr>
            <w:r>
              <w:rPr>
                <w:sz w:val="20"/>
              </w:rPr>
              <w:t>048</w:t>
            </w:r>
          </w:p>
        </w:tc>
        <w:tc>
          <w:tcPr>
            <w:tcW w:w="2731" w:type="dxa"/>
          </w:tcPr>
          <w:p w14:paraId="192ACA04" w14:textId="77777777" w:rsidR="00DD13BF" w:rsidRDefault="00DD13BF" w:rsidP="00355A56">
            <w:pPr>
              <w:pStyle w:val="TableParagraph"/>
              <w:rPr>
                <w:sz w:val="20"/>
              </w:rPr>
            </w:pPr>
            <w:r>
              <w:rPr>
                <w:sz w:val="20"/>
              </w:rPr>
              <w:t>32,682,343</w:t>
            </w:r>
          </w:p>
        </w:tc>
      </w:tr>
      <w:tr w:rsidR="00DD13BF" w14:paraId="532375DB" w14:textId="77777777" w:rsidTr="00355A56">
        <w:trPr>
          <w:trHeight w:val="353"/>
        </w:trPr>
        <w:tc>
          <w:tcPr>
            <w:tcW w:w="2088" w:type="dxa"/>
          </w:tcPr>
          <w:p w14:paraId="79804130" w14:textId="77777777" w:rsidR="00DD13BF" w:rsidRDefault="00DD13BF" w:rsidP="00355A56">
            <w:pPr>
              <w:pStyle w:val="TableParagraph"/>
              <w:rPr>
                <w:sz w:val="20"/>
              </w:rPr>
            </w:pPr>
            <w:r>
              <w:rPr>
                <w:sz w:val="20"/>
              </w:rPr>
              <w:t>3</w:t>
            </w:r>
          </w:p>
        </w:tc>
        <w:tc>
          <w:tcPr>
            <w:tcW w:w="1133" w:type="dxa"/>
          </w:tcPr>
          <w:p w14:paraId="4851CB6B" w14:textId="77777777" w:rsidR="00DD13BF" w:rsidRDefault="00DD13BF" w:rsidP="00355A56">
            <w:pPr>
              <w:pStyle w:val="TableParagraph"/>
              <w:rPr>
                <w:sz w:val="20"/>
              </w:rPr>
            </w:pPr>
            <w:r>
              <w:rPr>
                <w:sz w:val="20"/>
              </w:rPr>
              <w:t>ERDF</w:t>
            </w:r>
          </w:p>
        </w:tc>
        <w:tc>
          <w:tcPr>
            <w:tcW w:w="3249" w:type="dxa"/>
          </w:tcPr>
          <w:p w14:paraId="04F5A0D1" w14:textId="77777777" w:rsidR="00DD13BF" w:rsidRDefault="00DD13BF" w:rsidP="00355A56">
            <w:pPr>
              <w:pStyle w:val="TableParagraph"/>
              <w:rPr>
                <w:sz w:val="20"/>
              </w:rPr>
            </w:pPr>
            <w:r>
              <w:rPr>
                <w:sz w:val="20"/>
              </w:rPr>
              <w:t>More developed</w:t>
            </w:r>
          </w:p>
        </w:tc>
        <w:tc>
          <w:tcPr>
            <w:tcW w:w="3099" w:type="dxa"/>
          </w:tcPr>
          <w:p w14:paraId="5E271657" w14:textId="77777777" w:rsidR="00DD13BF" w:rsidRDefault="00DD13BF" w:rsidP="00355A56">
            <w:pPr>
              <w:pStyle w:val="TableParagraph"/>
              <w:rPr>
                <w:sz w:val="20"/>
              </w:rPr>
            </w:pPr>
            <w:r>
              <w:rPr>
                <w:color w:val="000000"/>
                <w:sz w:val="20"/>
              </w:rPr>
              <w:t>RSO2.2</w:t>
            </w:r>
          </w:p>
        </w:tc>
        <w:tc>
          <w:tcPr>
            <w:tcW w:w="1161" w:type="dxa"/>
          </w:tcPr>
          <w:p w14:paraId="1C90EC16" w14:textId="77777777" w:rsidR="00DD13BF" w:rsidRDefault="00DD13BF" w:rsidP="00355A56">
            <w:pPr>
              <w:pStyle w:val="TableParagraph"/>
              <w:rPr>
                <w:sz w:val="20"/>
              </w:rPr>
            </w:pPr>
            <w:r>
              <w:rPr>
                <w:sz w:val="20"/>
              </w:rPr>
              <w:t>048</w:t>
            </w:r>
          </w:p>
        </w:tc>
        <w:tc>
          <w:tcPr>
            <w:tcW w:w="2731" w:type="dxa"/>
          </w:tcPr>
          <w:p w14:paraId="7EBDD1B8" w14:textId="77777777" w:rsidR="00DD13BF" w:rsidRDefault="00DD13BF" w:rsidP="00355A56">
            <w:pPr>
              <w:pStyle w:val="TableParagraph"/>
              <w:rPr>
                <w:sz w:val="20"/>
              </w:rPr>
            </w:pPr>
            <w:r>
              <w:rPr>
                <w:sz w:val="20"/>
              </w:rPr>
              <w:t xml:space="preserve">8,319,821 </w:t>
            </w:r>
          </w:p>
        </w:tc>
      </w:tr>
      <w:tr w:rsidR="00DD13BF" w14:paraId="59D88B32" w14:textId="77777777" w:rsidTr="00355A56">
        <w:trPr>
          <w:trHeight w:val="353"/>
        </w:trPr>
        <w:tc>
          <w:tcPr>
            <w:tcW w:w="2088" w:type="dxa"/>
          </w:tcPr>
          <w:p w14:paraId="126D2FB3" w14:textId="77777777" w:rsidR="00DD13BF" w:rsidRDefault="00DD13BF" w:rsidP="00355A56">
            <w:pPr>
              <w:pStyle w:val="TableParagraph"/>
              <w:rPr>
                <w:sz w:val="20"/>
              </w:rPr>
            </w:pPr>
            <w:r>
              <w:rPr>
                <w:sz w:val="20"/>
              </w:rPr>
              <w:lastRenderedPageBreak/>
              <w:t>3</w:t>
            </w:r>
          </w:p>
        </w:tc>
        <w:tc>
          <w:tcPr>
            <w:tcW w:w="1133" w:type="dxa"/>
          </w:tcPr>
          <w:p w14:paraId="01CB910A" w14:textId="77777777" w:rsidR="00DD13BF" w:rsidRDefault="00DD13BF" w:rsidP="00355A56">
            <w:pPr>
              <w:pStyle w:val="TableParagraph"/>
              <w:rPr>
                <w:sz w:val="20"/>
              </w:rPr>
            </w:pPr>
            <w:r>
              <w:rPr>
                <w:sz w:val="20"/>
              </w:rPr>
              <w:t>ERDF</w:t>
            </w:r>
          </w:p>
        </w:tc>
        <w:tc>
          <w:tcPr>
            <w:tcW w:w="3249" w:type="dxa"/>
          </w:tcPr>
          <w:p w14:paraId="7987EA25" w14:textId="77777777" w:rsidR="00DD13BF" w:rsidRDefault="00DD13BF" w:rsidP="00355A56">
            <w:pPr>
              <w:pStyle w:val="TableParagraph"/>
              <w:rPr>
                <w:sz w:val="20"/>
              </w:rPr>
            </w:pPr>
            <w:r>
              <w:rPr>
                <w:sz w:val="20"/>
              </w:rPr>
              <w:t>Less developed</w:t>
            </w:r>
          </w:p>
        </w:tc>
        <w:tc>
          <w:tcPr>
            <w:tcW w:w="3099" w:type="dxa"/>
          </w:tcPr>
          <w:p w14:paraId="6E2E9284" w14:textId="77777777" w:rsidR="00DD13BF" w:rsidRDefault="00DD13BF" w:rsidP="00355A56">
            <w:pPr>
              <w:pStyle w:val="TableParagraph"/>
              <w:rPr>
                <w:sz w:val="20"/>
              </w:rPr>
            </w:pPr>
            <w:r>
              <w:rPr>
                <w:color w:val="000000"/>
                <w:sz w:val="20"/>
              </w:rPr>
              <w:t>RSO2.2</w:t>
            </w:r>
          </w:p>
        </w:tc>
        <w:tc>
          <w:tcPr>
            <w:tcW w:w="1161" w:type="dxa"/>
          </w:tcPr>
          <w:p w14:paraId="0BB7B34A" w14:textId="77777777" w:rsidR="00DD13BF" w:rsidRDefault="00DD13BF" w:rsidP="00355A56">
            <w:pPr>
              <w:pStyle w:val="TableParagraph"/>
              <w:rPr>
                <w:sz w:val="20"/>
              </w:rPr>
            </w:pPr>
            <w:r>
              <w:rPr>
                <w:sz w:val="20"/>
              </w:rPr>
              <w:t>055</w:t>
            </w:r>
          </w:p>
        </w:tc>
        <w:tc>
          <w:tcPr>
            <w:tcW w:w="2731" w:type="dxa"/>
          </w:tcPr>
          <w:p w14:paraId="2165CF90" w14:textId="77777777" w:rsidR="00DD13BF" w:rsidRDefault="00DD13BF" w:rsidP="00355A56">
            <w:pPr>
              <w:pStyle w:val="TableParagraph"/>
              <w:spacing w:line="259" w:lineRule="auto"/>
              <w:rPr>
                <w:sz w:val="20"/>
              </w:rPr>
            </w:pPr>
            <w:r>
              <w:rPr>
                <w:sz w:val="20"/>
              </w:rPr>
              <w:t>12,869,771</w:t>
            </w:r>
          </w:p>
        </w:tc>
      </w:tr>
      <w:tr w:rsidR="00DD13BF" w14:paraId="7C026401" w14:textId="77777777" w:rsidTr="00355A56">
        <w:trPr>
          <w:trHeight w:val="353"/>
        </w:trPr>
        <w:tc>
          <w:tcPr>
            <w:tcW w:w="2088" w:type="dxa"/>
            <w:tcBorders>
              <w:bottom w:val="single" w:sz="6" w:space="0" w:color="000000" w:themeColor="text1"/>
            </w:tcBorders>
          </w:tcPr>
          <w:p w14:paraId="6360ECBB" w14:textId="77777777" w:rsidR="00DD13BF" w:rsidRDefault="00DD13BF" w:rsidP="00355A56">
            <w:pPr>
              <w:pStyle w:val="TableParagraph"/>
              <w:rPr>
                <w:sz w:val="20"/>
              </w:rPr>
            </w:pPr>
            <w:r>
              <w:rPr>
                <w:sz w:val="20"/>
              </w:rPr>
              <w:t>3</w:t>
            </w:r>
          </w:p>
        </w:tc>
        <w:tc>
          <w:tcPr>
            <w:tcW w:w="1133" w:type="dxa"/>
            <w:tcBorders>
              <w:bottom w:val="single" w:sz="6" w:space="0" w:color="000000" w:themeColor="text1"/>
            </w:tcBorders>
          </w:tcPr>
          <w:p w14:paraId="1866AD89" w14:textId="77777777" w:rsidR="00DD13BF" w:rsidRDefault="00DD13BF" w:rsidP="00355A56">
            <w:pPr>
              <w:pStyle w:val="TableParagraph"/>
              <w:rPr>
                <w:sz w:val="20"/>
              </w:rPr>
            </w:pPr>
            <w:r>
              <w:rPr>
                <w:sz w:val="20"/>
              </w:rPr>
              <w:t>ERDF</w:t>
            </w:r>
          </w:p>
        </w:tc>
        <w:tc>
          <w:tcPr>
            <w:tcW w:w="3249" w:type="dxa"/>
            <w:tcBorders>
              <w:bottom w:val="single" w:sz="6" w:space="0" w:color="000000" w:themeColor="text1"/>
            </w:tcBorders>
          </w:tcPr>
          <w:p w14:paraId="361C0DF4" w14:textId="77777777" w:rsidR="00DD13BF" w:rsidRDefault="00DD13BF" w:rsidP="00355A56">
            <w:pPr>
              <w:pStyle w:val="TableParagraph"/>
              <w:rPr>
                <w:sz w:val="20"/>
              </w:rPr>
            </w:pPr>
            <w:r>
              <w:rPr>
                <w:sz w:val="20"/>
              </w:rPr>
              <w:t>More developed</w:t>
            </w:r>
          </w:p>
        </w:tc>
        <w:tc>
          <w:tcPr>
            <w:tcW w:w="3099" w:type="dxa"/>
            <w:tcBorders>
              <w:bottom w:val="single" w:sz="6" w:space="0" w:color="000000" w:themeColor="text1"/>
            </w:tcBorders>
          </w:tcPr>
          <w:p w14:paraId="6D50116B" w14:textId="77777777" w:rsidR="00DD13BF" w:rsidRDefault="00DD13BF" w:rsidP="00355A56">
            <w:pPr>
              <w:pStyle w:val="TableParagraph"/>
              <w:rPr>
                <w:sz w:val="20"/>
              </w:rPr>
            </w:pPr>
            <w:r>
              <w:rPr>
                <w:color w:val="000000"/>
                <w:sz w:val="20"/>
              </w:rPr>
              <w:t>RSO2.2</w:t>
            </w:r>
          </w:p>
        </w:tc>
        <w:tc>
          <w:tcPr>
            <w:tcW w:w="1161" w:type="dxa"/>
            <w:tcBorders>
              <w:bottom w:val="single" w:sz="6" w:space="0" w:color="000000" w:themeColor="text1"/>
            </w:tcBorders>
          </w:tcPr>
          <w:p w14:paraId="33B93686" w14:textId="77777777" w:rsidR="00DD13BF" w:rsidRDefault="00DD13BF" w:rsidP="00355A56">
            <w:pPr>
              <w:pStyle w:val="TableParagraph"/>
              <w:rPr>
                <w:sz w:val="20"/>
              </w:rPr>
            </w:pPr>
            <w:r>
              <w:rPr>
                <w:sz w:val="20"/>
              </w:rPr>
              <w:t>055</w:t>
            </w:r>
          </w:p>
        </w:tc>
        <w:tc>
          <w:tcPr>
            <w:tcW w:w="2731" w:type="dxa"/>
            <w:tcBorders>
              <w:bottom w:val="single" w:sz="6" w:space="0" w:color="000000" w:themeColor="text1"/>
            </w:tcBorders>
          </w:tcPr>
          <w:p w14:paraId="636D87DF" w14:textId="77777777" w:rsidR="00DD13BF" w:rsidRDefault="00DD13BF" w:rsidP="00355A56">
            <w:pPr>
              <w:pStyle w:val="TableParagraph"/>
              <w:spacing w:line="259" w:lineRule="auto"/>
              <w:rPr>
                <w:sz w:val="20"/>
              </w:rPr>
            </w:pPr>
            <w:r>
              <w:rPr>
                <w:sz w:val="20"/>
              </w:rPr>
              <w:t>6,351,792</w:t>
            </w:r>
          </w:p>
        </w:tc>
      </w:tr>
      <w:tr w:rsidR="00DD13BF" w14:paraId="302825C3" w14:textId="77777777" w:rsidTr="00355A56">
        <w:trPr>
          <w:trHeight w:val="353"/>
        </w:trPr>
        <w:tc>
          <w:tcPr>
            <w:tcW w:w="2088" w:type="dxa"/>
            <w:tcBorders>
              <w:bottom w:val="single" w:sz="4" w:space="0" w:color="auto"/>
            </w:tcBorders>
          </w:tcPr>
          <w:p w14:paraId="02C36D15" w14:textId="77777777" w:rsidR="00DD13BF" w:rsidRPr="008F1ACE" w:rsidRDefault="00DD13BF" w:rsidP="00355A56">
            <w:pPr>
              <w:pStyle w:val="TableParagraph"/>
              <w:rPr>
                <w:sz w:val="20"/>
              </w:rPr>
            </w:pPr>
            <w:r>
              <w:rPr>
                <w:sz w:val="20"/>
              </w:rPr>
              <w:t>3</w:t>
            </w:r>
          </w:p>
        </w:tc>
        <w:tc>
          <w:tcPr>
            <w:tcW w:w="1133" w:type="dxa"/>
            <w:tcBorders>
              <w:bottom w:val="single" w:sz="4" w:space="0" w:color="auto"/>
            </w:tcBorders>
          </w:tcPr>
          <w:p w14:paraId="1E3C75B4" w14:textId="77777777" w:rsidR="00DD13BF" w:rsidRPr="00F7627B" w:rsidRDefault="00DD13BF" w:rsidP="00355A56">
            <w:pPr>
              <w:pStyle w:val="TableParagraph"/>
              <w:rPr>
                <w:sz w:val="20"/>
              </w:rPr>
            </w:pPr>
            <w:r>
              <w:rPr>
                <w:sz w:val="20"/>
              </w:rPr>
              <w:t>CF</w:t>
            </w:r>
          </w:p>
        </w:tc>
        <w:tc>
          <w:tcPr>
            <w:tcW w:w="3249" w:type="dxa"/>
            <w:tcBorders>
              <w:bottom w:val="single" w:sz="4" w:space="0" w:color="auto"/>
            </w:tcBorders>
          </w:tcPr>
          <w:p w14:paraId="107C4147" w14:textId="77777777" w:rsidR="00DD13BF" w:rsidRDefault="00DD13BF" w:rsidP="00355A56">
            <w:pPr>
              <w:pStyle w:val="TableParagraph"/>
              <w:rPr>
                <w:sz w:val="20"/>
              </w:rPr>
            </w:pPr>
            <w:r>
              <w:rPr>
                <w:sz w:val="20"/>
              </w:rPr>
              <w:t>Entire Slovenia</w:t>
            </w:r>
          </w:p>
        </w:tc>
        <w:tc>
          <w:tcPr>
            <w:tcW w:w="3099" w:type="dxa"/>
            <w:tcBorders>
              <w:bottom w:val="single" w:sz="4" w:space="0" w:color="auto"/>
            </w:tcBorders>
          </w:tcPr>
          <w:p w14:paraId="09E104D5" w14:textId="77777777" w:rsidR="00DD13BF" w:rsidRPr="006B21C1" w:rsidRDefault="00DD13BF" w:rsidP="00355A56">
            <w:pPr>
              <w:pStyle w:val="TableParagraph"/>
              <w:rPr>
                <w:sz w:val="20"/>
              </w:rPr>
            </w:pPr>
            <w:r>
              <w:rPr>
                <w:color w:val="000000"/>
                <w:sz w:val="20"/>
              </w:rPr>
              <w:t>RSO2.2</w:t>
            </w:r>
          </w:p>
        </w:tc>
        <w:tc>
          <w:tcPr>
            <w:tcW w:w="1161" w:type="dxa"/>
            <w:tcBorders>
              <w:bottom w:val="single" w:sz="4" w:space="0" w:color="auto"/>
            </w:tcBorders>
          </w:tcPr>
          <w:p w14:paraId="18831029" w14:textId="77777777" w:rsidR="00DD13BF" w:rsidRDefault="00DD13BF" w:rsidP="00355A56">
            <w:pPr>
              <w:pStyle w:val="TableParagraph"/>
              <w:rPr>
                <w:sz w:val="20"/>
              </w:rPr>
            </w:pPr>
            <w:r>
              <w:rPr>
                <w:sz w:val="20"/>
              </w:rPr>
              <w:t>055</w:t>
            </w:r>
          </w:p>
        </w:tc>
        <w:tc>
          <w:tcPr>
            <w:tcW w:w="2731" w:type="dxa"/>
            <w:tcBorders>
              <w:bottom w:val="single" w:sz="4" w:space="0" w:color="auto"/>
            </w:tcBorders>
          </w:tcPr>
          <w:p w14:paraId="770FB1E2" w14:textId="77777777" w:rsidR="00DD13BF" w:rsidRDefault="00DD13BF" w:rsidP="00355A56">
            <w:pPr>
              <w:pStyle w:val="TableParagraph"/>
              <w:rPr>
                <w:sz w:val="20"/>
              </w:rPr>
            </w:pPr>
            <w:r>
              <w:rPr>
                <w:sz w:val="20"/>
              </w:rPr>
              <w:t>13,433,041</w:t>
            </w:r>
          </w:p>
        </w:tc>
      </w:tr>
    </w:tbl>
    <w:p w14:paraId="0F3D6AA8" w14:textId="77777777" w:rsidR="00DD13BF" w:rsidRDefault="00DD13BF" w:rsidP="00DD13BF"/>
    <w:p w14:paraId="42316714" w14:textId="77777777" w:rsidR="00DD13BF" w:rsidRPr="00673ADB" w:rsidRDefault="00DD13BF" w:rsidP="00DD13BF">
      <w:pPr>
        <w:ind w:left="339"/>
        <w:rPr>
          <w:spacing w:val="-7"/>
        </w:rPr>
      </w:pPr>
      <w:r>
        <w:t>Table 5: Dimension 2 – form of financing</w:t>
      </w:r>
    </w:p>
    <w:p w14:paraId="7C4C3F0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658AFAA" w14:textId="77777777" w:rsidTr="00355A56">
        <w:trPr>
          <w:trHeight w:val="353"/>
        </w:trPr>
        <w:tc>
          <w:tcPr>
            <w:tcW w:w="2088" w:type="dxa"/>
          </w:tcPr>
          <w:p w14:paraId="141A1A47" w14:textId="77777777" w:rsidR="00DD13BF" w:rsidRDefault="00DD13BF" w:rsidP="00355A56">
            <w:pPr>
              <w:pStyle w:val="TableParagraph"/>
              <w:ind w:left="115"/>
            </w:pPr>
            <w:r>
              <w:t>Priority no.</w:t>
            </w:r>
          </w:p>
        </w:tc>
        <w:tc>
          <w:tcPr>
            <w:tcW w:w="1133" w:type="dxa"/>
          </w:tcPr>
          <w:p w14:paraId="486ED4A8" w14:textId="77777777" w:rsidR="00DD13BF" w:rsidRDefault="00DD13BF" w:rsidP="00355A56">
            <w:pPr>
              <w:pStyle w:val="TableParagraph"/>
              <w:ind w:left="320"/>
            </w:pPr>
            <w:r>
              <w:t>Fund</w:t>
            </w:r>
          </w:p>
        </w:tc>
        <w:tc>
          <w:tcPr>
            <w:tcW w:w="3249" w:type="dxa"/>
          </w:tcPr>
          <w:p w14:paraId="5EE11A14" w14:textId="77777777" w:rsidR="00DD13BF" w:rsidRDefault="00DD13BF" w:rsidP="00355A56">
            <w:pPr>
              <w:pStyle w:val="TableParagraph"/>
              <w:ind w:left="907"/>
            </w:pPr>
            <w:r>
              <w:t>Category of region</w:t>
            </w:r>
          </w:p>
        </w:tc>
        <w:tc>
          <w:tcPr>
            <w:tcW w:w="3099" w:type="dxa"/>
          </w:tcPr>
          <w:p w14:paraId="7CB2646D" w14:textId="77777777" w:rsidR="00DD13BF" w:rsidRDefault="00DD13BF" w:rsidP="00355A56">
            <w:pPr>
              <w:pStyle w:val="TableParagraph"/>
              <w:ind w:left="948"/>
            </w:pPr>
            <w:r>
              <w:t>Specific objective</w:t>
            </w:r>
          </w:p>
        </w:tc>
        <w:tc>
          <w:tcPr>
            <w:tcW w:w="1161" w:type="dxa"/>
          </w:tcPr>
          <w:p w14:paraId="62C3B0C4" w14:textId="77777777" w:rsidR="00DD13BF" w:rsidRDefault="00DD13BF" w:rsidP="00355A56">
            <w:pPr>
              <w:pStyle w:val="TableParagraph"/>
              <w:ind w:left="334"/>
            </w:pPr>
            <w:r>
              <w:t>Code</w:t>
            </w:r>
          </w:p>
        </w:tc>
        <w:tc>
          <w:tcPr>
            <w:tcW w:w="2731" w:type="dxa"/>
          </w:tcPr>
          <w:p w14:paraId="0861431F" w14:textId="77777777" w:rsidR="00DD13BF" w:rsidRDefault="00DD13BF" w:rsidP="00355A56">
            <w:pPr>
              <w:pStyle w:val="TableParagraph"/>
              <w:ind w:left="661"/>
            </w:pPr>
            <w:r>
              <w:t>Amount (in EUR)</w:t>
            </w:r>
          </w:p>
        </w:tc>
      </w:tr>
      <w:tr w:rsidR="00DD13BF" w14:paraId="65E23DFC" w14:textId="77777777" w:rsidTr="00355A56">
        <w:trPr>
          <w:trHeight w:val="353"/>
        </w:trPr>
        <w:tc>
          <w:tcPr>
            <w:tcW w:w="2088" w:type="dxa"/>
          </w:tcPr>
          <w:p w14:paraId="6357D776" w14:textId="77777777" w:rsidR="00DD13BF" w:rsidRDefault="00DD13BF" w:rsidP="00355A56">
            <w:pPr>
              <w:pStyle w:val="TableParagraph"/>
              <w:rPr>
                <w:sz w:val="20"/>
              </w:rPr>
            </w:pPr>
            <w:r>
              <w:rPr>
                <w:sz w:val="20"/>
              </w:rPr>
              <w:t>3</w:t>
            </w:r>
          </w:p>
        </w:tc>
        <w:tc>
          <w:tcPr>
            <w:tcW w:w="1133" w:type="dxa"/>
          </w:tcPr>
          <w:p w14:paraId="3BF1A761" w14:textId="77777777" w:rsidR="00DD13BF" w:rsidRDefault="00DD13BF" w:rsidP="00355A56">
            <w:pPr>
              <w:pStyle w:val="TableParagraph"/>
              <w:rPr>
                <w:sz w:val="20"/>
              </w:rPr>
            </w:pPr>
            <w:r>
              <w:rPr>
                <w:sz w:val="20"/>
              </w:rPr>
              <w:t>CF</w:t>
            </w:r>
          </w:p>
        </w:tc>
        <w:tc>
          <w:tcPr>
            <w:tcW w:w="3249" w:type="dxa"/>
          </w:tcPr>
          <w:p w14:paraId="40AF0217" w14:textId="77777777" w:rsidR="00DD13BF" w:rsidRDefault="00DD13BF" w:rsidP="00355A56">
            <w:pPr>
              <w:pStyle w:val="TableParagraph"/>
              <w:rPr>
                <w:sz w:val="20"/>
              </w:rPr>
            </w:pPr>
            <w:r>
              <w:rPr>
                <w:sz w:val="20"/>
              </w:rPr>
              <w:t>Entire Slovenia</w:t>
            </w:r>
          </w:p>
        </w:tc>
        <w:tc>
          <w:tcPr>
            <w:tcW w:w="3099" w:type="dxa"/>
          </w:tcPr>
          <w:p w14:paraId="14EFFBA2" w14:textId="77777777" w:rsidR="00DD13BF" w:rsidRDefault="00DD13BF" w:rsidP="00355A56">
            <w:pPr>
              <w:pStyle w:val="TableParagraph"/>
              <w:rPr>
                <w:sz w:val="20"/>
              </w:rPr>
            </w:pPr>
            <w:r>
              <w:rPr>
                <w:color w:val="000000"/>
                <w:sz w:val="20"/>
              </w:rPr>
              <w:t>RSO2.2</w:t>
            </w:r>
          </w:p>
        </w:tc>
        <w:tc>
          <w:tcPr>
            <w:tcW w:w="1161" w:type="dxa"/>
          </w:tcPr>
          <w:p w14:paraId="55953012" w14:textId="77777777" w:rsidR="00DD13BF" w:rsidRDefault="00DD13BF" w:rsidP="00355A56">
            <w:pPr>
              <w:pStyle w:val="TableParagraph"/>
              <w:rPr>
                <w:sz w:val="20"/>
              </w:rPr>
            </w:pPr>
            <w:r>
              <w:rPr>
                <w:sz w:val="20"/>
              </w:rPr>
              <w:t>01</w:t>
            </w:r>
          </w:p>
        </w:tc>
        <w:tc>
          <w:tcPr>
            <w:tcW w:w="2731" w:type="dxa"/>
          </w:tcPr>
          <w:p w14:paraId="5762018C" w14:textId="77777777" w:rsidR="00DD13BF" w:rsidRDefault="00DD13BF" w:rsidP="00355A56">
            <w:pPr>
              <w:pStyle w:val="TableParagraph"/>
              <w:rPr>
                <w:sz w:val="20"/>
              </w:rPr>
            </w:pPr>
            <w:r>
              <w:rPr>
                <w:sz w:val="20"/>
              </w:rPr>
              <w:t>13,433,041</w:t>
            </w:r>
          </w:p>
        </w:tc>
      </w:tr>
      <w:tr w:rsidR="00DD13BF" w14:paraId="20D1BDC7" w14:textId="77777777" w:rsidTr="00355A56">
        <w:trPr>
          <w:trHeight w:val="353"/>
        </w:trPr>
        <w:tc>
          <w:tcPr>
            <w:tcW w:w="2088" w:type="dxa"/>
          </w:tcPr>
          <w:p w14:paraId="3370DC7E" w14:textId="77777777" w:rsidR="00DD13BF" w:rsidRDefault="00DD13BF" w:rsidP="00355A56">
            <w:pPr>
              <w:pStyle w:val="TableParagraph"/>
              <w:rPr>
                <w:sz w:val="20"/>
              </w:rPr>
            </w:pPr>
            <w:r>
              <w:rPr>
                <w:sz w:val="20"/>
              </w:rPr>
              <w:t>3</w:t>
            </w:r>
          </w:p>
        </w:tc>
        <w:tc>
          <w:tcPr>
            <w:tcW w:w="1133" w:type="dxa"/>
          </w:tcPr>
          <w:p w14:paraId="0BC78F7D" w14:textId="77777777" w:rsidR="00DD13BF" w:rsidRDefault="00DD13BF" w:rsidP="00355A56">
            <w:pPr>
              <w:pStyle w:val="TableParagraph"/>
              <w:rPr>
                <w:sz w:val="20"/>
              </w:rPr>
            </w:pPr>
            <w:r>
              <w:rPr>
                <w:sz w:val="20"/>
              </w:rPr>
              <w:t>ERDF</w:t>
            </w:r>
          </w:p>
        </w:tc>
        <w:tc>
          <w:tcPr>
            <w:tcW w:w="3249" w:type="dxa"/>
          </w:tcPr>
          <w:p w14:paraId="01D86D5B" w14:textId="77777777" w:rsidR="00DD13BF" w:rsidRDefault="00DD13BF" w:rsidP="00355A56">
            <w:pPr>
              <w:pStyle w:val="TableParagraph"/>
              <w:rPr>
                <w:sz w:val="20"/>
              </w:rPr>
            </w:pPr>
            <w:r>
              <w:rPr>
                <w:sz w:val="20"/>
              </w:rPr>
              <w:t>Less developed</w:t>
            </w:r>
          </w:p>
        </w:tc>
        <w:tc>
          <w:tcPr>
            <w:tcW w:w="3099" w:type="dxa"/>
          </w:tcPr>
          <w:p w14:paraId="66E7DF59" w14:textId="77777777" w:rsidR="00DD13BF" w:rsidRDefault="00DD13BF" w:rsidP="00355A56">
            <w:pPr>
              <w:pStyle w:val="TableParagraph"/>
              <w:rPr>
                <w:sz w:val="20"/>
              </w:rPr>
            </w:pPr>
            <w:r>
              <w:rPr>
                <w:color w:val="000000"/>
                <w:sz w:val="20"/>
              </w:rPr>
              <w:t>RSO2.2</w:t>
            </w:r>
          </w:p>
        </w:tc>
        <w:tc>
          <w:tcPr>
            <w:tcW w:w="1161" w:type="dxa"/>
          </w:tcPr>
          <w:p w14:paraId="68704860" w14:textId="77777777" w:rsidR="00DD13BF" w:rsidRDefault="00DD13BF" w:rsidP="00355A56">
            <w:pPr>
              <w:pStyle w:val="TableParagraph"/>
              <w:rPr>
                <w:sz w:val="20"/>
              </w:rPr>
            </w:pPr>
            <w:r>
              <w:rPr>
                <w:sz w:val="20"/>
              </w:rPr>
              <w:t>01</w:t>
            </w:r>
          </w:p>
        </w:tc>
        <w:tc>
          <w:tcPr>
            <w:tcW w:w="2731" w:type="dxa"/>
          </w:tcPr>
          <w:p w14:paraId="36958310" w14:textId="77777777" w:rsidR="00DD13BF" w:rsidRPr="00672BAF" w:rsidRDefault="00DD13BF" w:rsidP="00355A56">
            <w:pPr>
              <w:pStyle w:val="TableParagraph"/>
              <w:spacing w:line="259" w:lineRule="auto"/>
              <w:rPr>
                <w:sz w:val="20"/>
              </w:rPr>
            </w:pPr>
            <w:r>
              <w:rPr>
                <w:sz w:val="20"/>
              </w:rPr>
              <w:t>80,052,114</w:t>
            </w:r>
          </w:p>
        </w:tc>
      </w:tr>
      <w:tr w:rsidR="00DD13BF" w14:paraId="06900FA3" w14:textId="77777777" w:rsidTr="00355A56">
        <w:trPr>
          <w:trHeight w:val="353"/>
        </w:trPr>
        <w:tc>
          <w:tcPr>
            <w:tcW w:w="2088" w:type="dxa"/>
          </w:tcPr>
          <w:p w14:paraId="296A4147" w14:textId="77777777" w:rsidR="00DD13BF" w:rsidRDefault="00DD13BF" w:rsidP="00355A56">
            <w:pPr>
              <w:pStyle w:val="TableParagraph"/>
              <w:rPr>
                <w:sz w:val="20"/>
              </w:rPr>
            </w:pPr>
            <w:r>
              <w:rPr>
                <w:sz w:val="20"/>
              </w:rPr>
              <w:t>3</w:t>
            </w:r>
          </w:p>
        </w:tc>
        <w:tc>
          <w:tcPr>
            <w:tcW w:w="1133" w:type="dxa"/>
          </w:tcPr>
          <w:p w14:paraId="6C570D4B" w14:textId="77777777" w:rsidR="00DD13BF" w:rsidRDefault="00DD13BF" w:rsidP="00355A56">
            <w:pPr>
              <w:pStyle w:val="TableParagraph"/>
              <w:rPr>
                <w:sz w:val="20"/>
              </w:rPr>
            </w:pPr>
            <w:r>
              <w:rPr>
                <w:sz w:val="20"/>
              </w:rPr>
              <w:t>ERDF</w:t>
            </w:r>
          </w:p>
        </w:tc>
        <w:tc>
          <w:tcPr>
            <w:tcW w:w="3249" w:type="dxa"/>
          </w:tcPr>
          <w:p w14:paraId="62A5E18B" w14:textId="77777777" w:rsidR="00DD13BF" w:rsidRDefault="00DD13BF" w:rsidP="00355A56">
            <w:pPr>
              <w:pStyle w:val="TableParagraph"/>
              <w:rPr>
                <w:sz w:val="20"/>
              </w:rPr>
            </w:pPr>
            <w:r>
              <w:rPr>
                <w:sz w:val="20"/>
              </w:rPr>
              <w:t>More developed</w:t>
            </w:r>
          </w:p>
        </w:tc>
        <w:tc>
          <w:tcPr>
            <w:tcW w:w="3099" w:type="dxa"/>
          </w:tcPr>
          <w:p w14:paraId="10CA6F89" w14:textId="77777777" w:rsidR="00DD13BF" w:rsidRDefault="00DD13BF" w:rsidP="00355A56">
            <w:pPr>
              <w:pStyle w:val="TableParagraph"/>
              <w:rPr>
                <w:sz w:val="20"/>
              </w:rPr>
            </w:pPr>
            <w:r>
              <w:rPr>
                <w:color w:val="000000"/>
                <w:sz w:val="20"/>
              </w:rPr>
              <w:t>RSO2.2</w:t>
            </w:r>
          </w:p>
        </w:tc>
        <w:tc>
          <w:tcPr>
            <w:tcW w:w="1161" w:type="dxa"/>
          </w:tcPr>
          <w:p w14:paraId="41258CAC" w14:textId="77777777" w:rsidR="00DD13BF" w:rsidRDefault="00DD13BF" w:rsidP="00355A56">
            <w:pPr>
              <w:pStyle w:val="TableParagraph"/>
              <w:rPr>
                <w:sz w:val="20"/>
              </w:rPr>
            </w:pPr>
            <w:r>
              <w:rPr>
                <w:sz w:val="20"/>
              </w:rPr>
              <w:t>01</w:t>
            </w:r>
          </w:p>
        </w:tc>
        <w:tc>
          <w:tcPr>
            <w:tcW w:w="2731" w:type="dxa"/>
          </w:tcPr>
          <w:p w14:paraId="58927B46" w14:textId="77777777" w:rsidR="00DD13BF" w:rsidRPr="00672BAF" w:rsidRDefault="00DD13BF" w:rsidP="00355A56">
            <w:pPr>
              <w:pStyle w:val="TableParagraph"/>
              <w:rPr>
                <w:sz w:val="20"/>
              </w:rPr>
            </w:pPr>
            <w:r>
              <w:rPr>
                <w:sz w:val="20"/>
              </w:rPr>
              <w:t>21,171,613</w:t>
            </w:r>
          </w:p>
        </w:tc>
      </w:tr>
    </w:tbl>
    <w:p w14:paraId="5FB4A692" w14:textId="77777777" w:rsidR="00DD13BF" w:rsidRDefault="00DD13BF" w:rsidP="00DD13BF">
      <w:pPr>
        <w:rPr>
          <w:sz w:val="20"/>
        </w:rPr>
        <w:sectPr w:rsidR="00DD13BF" w:rsidSect="00BD3536">
          <w:headerReference w:type="default" r:id="rId37"/>
          <w:footerReference w:type="first" r:id="rId38"/>
          <w:type w:val="continuous"/>
          <w:pgSz w:w="16840" w:h="11910" w:orient="landscape"/>
          <w:pgMar w:top="1417" w:right="1417" w:bottom="1417" w:left="1417" w:header="708" w:footer="708" w:gutter="0"/>
          <w:cols w:space="708"/>
          <w:titlePg/>
          <w:docGrid w:linePitch="299"/>
        </w:sectPr>
      </w:pPr>
    </w:p>
    <w:p w14:paraId="30671E62" w14:textId="77777777" w:rsidR="00DD13BF" w:rsidRDefault="00DD13BF" w:rsidP="00DD13BF">
      <w:pPr>
        <w:ind w:left="339"/>
        <w:rPr>
          <w:spacing w:val="-7"/>
        </w:rPr>
      </w:pPr>
    </w:p>
    <w:p w14:paraId="7F056C4A" w14:textId="77777777" w:rsidR="00DD13BF" w:rsidRDefault="00DD13BF" w:rsidP="00DD13BF">
      <w:pPr>
        <w:ind w:left="339"/>
        <w:rPr>
          <w:spacing w:val="-6"/>
        </w:rPr>
      </w:pPr>
      <w:r>
        <w:t>Table 6: Dimension 3 – territorial delivery mechanism and territorial focus</w:t>
      </w:r>
    </w:p>
    <w:p w14:paraId="0E185928" w14:textId="77777777" w:rsidR="00DD13BF" w:rsidRDefault="00DD13BF" w:rsidP="00DD13BF">
      <w:pPr>
        <w:ind w:left="339"/>
        <w:rPr>
          <w:spacing w:val="-6"/>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48895FC" w14:textId="77777777" w:rsidTr="00355A56">
        <w:trPr>
          <w:trHeight w:val="353"/>
        </w:trPr>
        <w:tc>
          <w:tcPr>
            <w:tcW w:w="2088" w:type="dxa"/>
          </w:tcPr>
          <w:p w14:paraId="57211A30" w14:textId="77777777" w:rsidR="00DD13BF" w:rsidRDefault="00DD13BF" w:rsidP="00355A56">
            <w:pPr>
              <w:pStyle w:val="TableParagraph"/>
              <w:ind w:left="115"/>
            </w:pPr>
            <w:r>
              <w:t>Priority no.</w:t>
            </w:r>
          </w:p>
        </w:tc>
        <w:tc>
          <w:tcPr>
            <w:tcW w:w="1132" w:type="dxa"/>
          </w:tcPr>
          <w:p w14:paraId="2BF6884B" w14:textId="77777777" w:rsidR="00DD13BF" w:rsidRDefault="00DD13BF" w:rsidP="00355A56">
            <w:pPr>
              <w:pStyle w:val="TableParagraph"/>
              <w:ind w:left="320"/>
            </w:pPr>
            <w:r>
              <w:t>Fund</w:t>
            </w:r>
          </w:p>
        </w:tc>
        <w:tc>
          <w:tcPr>
            <w:tcW w:w="3248" w:type="dxa"/>
          </w:tcPr>
          <w:p w14:paraId="2BD76B75" w14:textId="77777777" w:rsidR="00DD13BF" w:rsidRDefault="00DD13BF" w:rsidP="00355A56">
            <w:pPr>
              <w:pStyle w:val="TableParagraph"/>
              <w:ind w:left="908"/>
            </w:pPr>
            <w:r>
              <w:t>Category of region</w:t>
            </w:r>
          </w:p>
        </w:tc>
        <w:tc>
          <w:tcPr>
            <w:tcW w:w="3098" w:type="dxa"/>
          </w:tcPr>
          <w:p w14:paraId="0242228D" w14:textId="77777777" w:rsidR="00DD13BF" w:rsidRDefault="00DD13BF" w:rsidP="00355A56">
            <w:pPr>
              <w:pStyle w:val="TableParagraph"/>
              <w:ind w:left="950"/>
            </w:pPr>
            <w:r>
              <w:t>Specific objective</w:t>
            </w:r>
          </w:p>
        </w:tc>
        <w:tc>
          <w:tcPr>
            <w:tcW w:w="1160" w:type="dxa"/>
          </w:tcPr>
          <w:p w14:paraId="3E3433CB" w14:textId="77777777" w:rsidR="00DD13BF" w:rsidRDefault="00DD13BF" w:rsidP="00355A56">
            <w:pPr>
              <w:pStyle w:val="TableParagraph"/>
              <w:ind w:left="336"/>
            </w:pPr>
            <w:r>
              <w:t>Code</w:t>
            </w:r>
          </w:p>
        </w:tc>
        <w:tc>
          <w:tcPr>
            <w:tcW w:w="2730" w:type="dxa"/>
          </w:tcPr>
          <w:p w14:paraId="73B3D1E8" w14:textId="77777777" w:rsidR="00DD13BF" w:rsidRDefault="00DD13BF" w:rsidP="00355A56">
            <w:pPr>
              <w:pStyle w:val="TableParagraph"/>
              <w:ind w:left="664"/>
            </w:pPr>
            <w:r>
              <w:t>Amount (in EUR)</w:t>
            </w:r>
          </w:p>
        </w:tc>
      </w:tr>
      <w:tr w:rsidR="00DD13BF" w14:paraId="767319CC" w14:textId="77777777" w:rsidTr="00355A56">
        <w:trPr>
          <w:trHeight w:val="353"/>
        </w:trPr>
        <w:tc>
          <w:tcPr>
            <w:tcW w:w="2088" w:type="dxa"/>
          </w:tcPr>
          <w:p w14:paraId="16EEC32F" w14:textId="77777777" w:rsidR="00DD13BF" w:rsidRDefault="00DD13BF" w:rsidP="00355A56">
            <w:pPr>
              <w:pStyle w:val="TableParagraph"/>
              <w:rPr>
                <w:sz w:val="20"/>
              </w:rPr>
            </w:pPr>
            <w:r>
              <w:rPr>
                <w:sz w:val="20"/>
              </w:rPr>
              <w:t>3</w:t>
            </w:r>
          </w:p>
        </w:tc>
        <w:tc>
          <w:tcPr>
            <w:tcW w:w="1132" w:type="dxa"/>
          </w:tcPr>
          <w:p w14:paraId="60C2A55C" w14:textId="77777777" w:rsidR="00DD13BF" w:rsidRDefault="00DD13BF" w:rsidP="00355A56">
            <w:pPr>
              <w:pStyle w:val="TableParagraph"/>
              <w:rPr>
                <w:sz w:val="20"/>
              </w:rPr>
            </w:pPr>
            <w:r>
              <w:rPr>
                <w:sz w:val="20"/>
              </w:rPr>
              <w:t>CF</w:t>
            </w:r>
          </w:p>
        </w:tc>
        <w:tc>
          <w:tcPr>
            <w:tcW w:w="3248" w:type="dxa"/>
          </w:tcPr>
          <w:p w14:paraId="264E989C" w14:textId="77777777" w:rsidR="00DD13BF" w:rsidRDefault="00DD13BF" w:rsidP="00355A56">
            <w:pPr>
              <w:pStyle w:val="TableParagraph"/>
              <w:rPr>
                <w:sz w:val="20"/>
              </w:rPr>
            </w:pPr>
            <w:r>
              <w:rPr>
                <w:sz w:val="20"/>
              </w:rPr>
              <w:t>Entire Slovenia</w:t>
            </w:r>
          </w:p>
        </w:tc>
        <w:tc>
          <w:tcPr>
            <w:tcW w:w="3098" w:type="dxa"/>
          </w:tcPr>
          <w:p w14:paraId="30415883" w14:textId="77777777" w:rsidR="00DD13BF" w:rsidRDefault="00DD13BF" w:rsidP="00355A56">
            <w:pPr>
              <w:pStyle w:val="TableParagraph"/>
              <w:rPr>
                <w:sz w:val="20"/>
              </w:rPr>
            </w:pPr>
            <w:r>
              <w:rPr>
                <w:color w:val="000000"/>
                <w:sz w:val="20"/>
              </w:rPr>
              <w:t>RSO2.2</w:t>
            </w:r>
          </w:p>
        </w:tc>
        <w:tc>
          <w:tcPr>
            <w:tcW w:w="1160" w:type="dxa"/>
          </w:tcPr>
          <w:p w14:paraId="55ED6A23" w14:textId="77777777" w:rsidR="00DD13BF" w:rsidRDefault="00DD13BF" w:rsidP="00355A56">
            <w:pPr>
              <w:pStyle w:val="TableParagraph"/>
              <w:rPr>
                <w:sz w:val="20"/>
              </w:rPr>
            </w:pPr>
            <w:r>
              <w:rPr>
                <w:sz w:val="20"/>
              </w:rPr>
              <w:t>33</w:t>
            </w:r>
          </w:p>
        </w:tc>
        <w:tc>
          <w:tcPr>
            <w:tcW w:w="2730" w:type="dxa"/>
          </w:tcPr>
          <w:p w14:paraId="100DA4AC" w14:textId="77777777" w:rsidR="00DD13BF" w:rsidRDefault="00DD13BF" w:rsidP="00355A56">
            <w:pPr>
              <w:pStyle w:val="TableParagraph"/>
              <w:rPr>
                <w:sz w:val="20"/>
              </w:rPr>
            </w:pPr>
            <w:r>
              <w:rPr>
                <w:sz w:val="20"/>
              </w:rPr>
              <w:t xml:space="preserve">13,433,041   </w:t>
            </w:r>
          </w:p>
        </w:tc>
      </w:tr>
      <w:tr w:rsidR="00DD13BF" w14:paraId="475BF670" w14:textId="77777777" w:rsidTr="00355A56">
        <w:trPr>
          <w:trHeight w:val="353"/>
        </w:trPr>
        <w:tc>
          <w:tcPr>
            <w:tcW w:w="2088" w:type="dxa"/>
          </w:tcPr>
          <w:p w14:paraId="38B1939B" w14:textId="77777777" w:rsidR="00DD13BF" w:rsidRDefault="00DD13BF" w:rsidP="00355A56">
            <w:pPr>
              <w:pStyle w:val="TableParagraph"/>
              <w:rPr>
                <w:sz w:val="20"/>
              </w:rPr>
            </w:pPr>
            <w:r>
              <w:rPr>
                <w:sz w:val="20"/>
              </w:rPr>
              <w:t>3</w:t>
            </w:r>
          </w:p>
        </w:tc>
        <w:tc>
          <w:tcPr>
            <w:tcW w:w="1132" w:type="dxa"/>
          </w:tcPr>
          <w:p w14:paraId="0F787BC0" w14:textId="77777777" w:rsidR="00DD13BF" w:rsidRDefault="00DD13BF" w:rsidP="00355A56">
            <w:pPr>
              <w:pStyle w:val="TableParagraph"/>
              <w:rPr>
                <w:sz w:val="20"/>
              </w:rPr>
            </w:pPr>
            <w:r>
              <w:rPr>
                <w:sz w:val="20"/>
              </w:rPr>
              <w:t>ERDF</w:t>
            </w:r>
          </w:p>
        </w:tc>
        <w:tc>
          <w:tcPr>
            <w:tcW w:w="3248" w:type="dxa"/>
          </w:tcPr>
          <w:p w14:paraId="1C303172" w14:textId="77777777" w:rsidR="00DD13BF" w:rsidRDefault="00DD13BF" w:rsidP="00355A56">
            <w:pPr>
              <w:pStyle w:val="TableParagraph"/>
              <w:rPr>
                <w:sz w:val="20"/>
              </w:rPr>
            </w:pPr>
            <w:r>
              <w:rPr>
                <w:sz w:val="20"/>
              </w:rPr>
              <w:t>Less developed</w:t>
            </w:r>
          </w:p>
        </w:tc>
        <w:tc>
          <w:tcPr>
            <w:tcW w:w="3098" w:type="dxa"/>
          </w:tcPr>
          <w:p w14:paraId="7FE59AD5" w14:textId="77777777" w:rsidR="00DD13BF" w:rsidRDefault="00DD13BF" w:rsidP="00355A56">
            <w:pPr>
              <w:pStyle w:val="TableParagraph"/>
              <w:rPr>
                <w:sz w:val="20"/>
              </w:rPr>
            </w:pPr>
            <w:r>
              <w:rPr>
                <w:color w:val="000000"/>
                <w:sz w:val="20"/>
              </w:rPr>
              <w:t>RSO2.2</w:t>
            </w:r>
          </w:p>
        </w:tc>
        <w:tc>
          <w:tcPr>
            <w:tcW w:w="1160" w:type="dxa"/>
          </w:tcPr>
          <w:p w14:paraId="2671D4F7" w14:textId="77777777" w:rsidR="00DD13BF" w:rsidRDefault="00DD13BF" w:rsidP="00355A56">
            <w:pPr>
              <w:pStyle w:val="TableParagraph"/>
              <w:rPr>
                <w:sz w:val="20"/>
              </w:rPr>
            </w:pPr>
            <w:r>
              <w:rPr>
                <w:sz w:val="20"/>
              </w:rPr>
              <w:t>33</w:t>
            </w:r>
          </w:p>
        </w:tc>
        <w:tc>
          <w:tcPr>
            <w:tcW w:w="2730" w:type="dxa"/>
          </w:tcPr>
          <w:p w14:paraId="7803DDAC" w14:textId="77777777" w:rsidR="00DD13BF" w:rsidRPr="00672BAF" w:rsidRDefault="00DD13BF" w:rsidP="00355A56">
            <w:pPr>
              <w:pStyle w:val="TableParagraph"/>
              <w:spacing w:line="259" w:lineRule="auto"/>
              <w:rPr>
                <w:sz w:val="20"/>
              </w:rPr>
            </w:pPr>
            <w:r>
              <w:rPr>
                <w:sz w:val="20"/>
              </w:rPr>
              <w:t>80,052,114</w:t>
            </w:r>
          </w:p>
        </w:tc>
      </w:tr>
      <w:tr w:rsidR="00DD13BF" w14:paraId="4BDBA411" w14:textId="77777777" w:rsidTr="00355A56">
        <w:trPr>
          <w:trHeight w:val="353"/>
        </w:trPr>
        <w:tc>
          <w:tcPr>
            <w:tcW w:w="2088" w:type="dxa"/>
          </w:tcPr>
          <w:p w14:paraId="2E09F058" w14:textId="77777777" w:rsidR="00DD13BF" w:rsidRDefault="00DD13BF" w:rsidP="00355A56">
            <w:pPr>
              <w:pStyle w:val="TableParagraph"/>
              <w:rPr>
                <w:sz w:val="20"/>
              </w:rPr>
            </w:pPr>
            <w:r>
              <w:rPr>
                <w:sz w:val="20"/>
              </w:rPr>
              <w:t>3</w:t>
            </w:r>
          </w:p>
        </w:tc>
        <w:tc>
          <w:tcPr>
            <w:tcW w:w="1132" w:type="dxa"/>
          </w:tcPr>
          <w:p w14:paraId="4E5628A6" w14:textId="77777777" w:rsidR="00DD13BF" w:rsidRDefault="00DD13BF" w:rsidP="00355A56">
            <w:pPr>
              <w:pStyle w:val="TableParagraph"/>
              <w:rPr>
                <w:sz w:val="20"/>
              </w:rPr>
            </w:pPr>
            <w:r>
              <w:rPr>
                <w:sz w:val="20"/>
              </w:rPr>
              <w:t>ERDF</w:t>
            </w:r>
          </w:p>
        </w:tc>
        <w:tc>
          <w:tcPr>
            <w:tcW w:w="3248" w:type="dxa"/>
          </w:tcPr>
          <w:p w14:paraId="5A62497C" w14:textId="77777777" w:rsidR="00DD13BF" w:rsidRDefault="00DD13BF" w:rsidP="00355A56">
            <w:pPr>
              <w:pStyle w:val="TableParagraph"/>
              <w:rPr>
                <w:sz w:val="20"/>
              </w:rPr>
            </w:pPr>
            <w:r>
              <w:rPr>
                <w:sz w:val="20"/>
              </w:rPr>
              <w:t>More developed</w:t>
            </w:r>
          </w:p>
        </w:tc>
        <w:tc>
          <w:tcPr>
            <w:tcW w:w="3098" w:type="dxa"/>
          </w:tcPr>
          <w:p w14:paraId="07AA0A71" w14:textId="77777777" w:rsidR="00DD13BF" w:rsidRDefault="00DD13BF" w:rsidP="00355A56">
            <w:pPr>
              <w:pStyle w:val="TableParagraph"/>
              <w:rPr>
                <w:sz w:val="20"/>
              </w:rPr>
            </w:pPr>
            <w:r>
              <w:rPr>
                <w:color w:val="000000"/>
                <w:sz w:val="20"/>
              </w:rPr>
              <w:t>RSO2.2</w:t>
            </w:r>
          </w:p>
        </w:tc>
        <w:tc>
          <w:tcPr>
            <w:tcW w:w="1160" w:type="dxa"/>
          </w:tcPr>
          <w:p w14:paraId="215F5636" w14:textId="77777777" w:rsidR="00DD13BF" w:rsidRDefault="00DD13BF" w:rsidP="00355A56">
            <w:pPr>
              <w:pStyle w:val="TableParagraph"/>
              <w:rPr>
                <w:sz w:val="20"/>
              </w:rPr>
            </w:pPr>
            <w:r>
              <w:rPr>
                <w:sz w:val="20"/>
              </w:rPr>
              <w:t>33</w:t>
            </w:r>
          </w:p>
        </w:tc>
        <w:tc>
          <w:tcPr>
            <w:tcW w:w="2730" w:type="dxa"/>
          </w:tcPr>
          <w:p w14:paraId="617B2231" w14:textId="77777777" w:rsidR="00DD13BF" w:rsidRPr="00672BAF" w:rsidRDefault="00DD13BF" w:rsidP="00355A56">
            <w:pPr>
              <w:pStyle w:val="TableParagraph"/>
              <w:rPr>
                <w:sz w:val="20"/>
              </w:rPr>
            </w:pPr>
            <w:r>
              <w:rPr>
                <w:sz w:val="20"/>
              </w:rPr>
              <w:t>21,171,613</w:t>
            </w:r>
          </w:p>
        </w:tc>
      </w:tr>
    </w:tbl>
    <w:p w14:paraId="4431FA17" w14:textId="77777777" w:rsidR="00DD13BF" w:rsidRDefault="00DD13BF" w:rsidP="00DD13BF"/>
    <w:p w14:paraId="4C541CFF" w14:textId="77777777" w:rsidR="00DD13BF" w:rsidRDefault="00DD13BF" w:rsidP="00DD13BF">
      <w:pPr>
        <w:ind w:left="339"/>
      </w:pPr>
      <w:r>
        <w:t>Table 7: Dimension 6 – ESF+ secondary themes</w:t>
      </w:r>
    </w:p>
    <w:p w14:paraId="51E937E8"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C8F48C2" w14:textId="77777777" w:rsidTr="00355A56">
        <w:trPr>
          <w:trHeight w:val="353"/>
        </w:trPr>
        <w:tc>
          <w:tcPr>
            <w:tcW w:w="2088" w:type="dxa"/>
          </w:tcPr>
          <w:p w14:paraId="7B128DE1" w14:textId="77777777" w:rsidR="00DD13BF" w:rsidRDefault="00DD13BF" w:rsidP="00355A56">
            <w:pPr>
              <w:pStyle w:val="TableParagraph"/>
              <w:ind w:left="115"/>
            </w:pPr>
            <w:r>
              <w:t>Priority no.</w:t>
            </w:r>
          </w:p>
        </w:tc>
        <w:tc>
          <w:tcPr>
            <w:tcW w:w="1132" w:type="dxa"/>
          </w:tcPr>
          <w:p w14:paraId="11D9DF56" w14:textId="77777777" w:rsidR="00DD13BF" w:rsidRDefault="00DD13BF" w:rsidP="00355A56">
            <w:pPr>
              <w:pStyle w:val="TableParagraph"/>
              <w:ind w:left="321"/>
            </w:pPr>
            <w:r>
              <w:t>Fund</w:t>
            </w:r>
          </w:p>
        </w:tc>
        <w:tc>
          <w:tcPr>
            <w:tcW w:w="3248" w:type="dxa"/>
          </w:tcPr>
          <w:p w14:paraId="6E599D9D" w14:textId="77777777" w:rsidR="00DD13BF" w:rsidRDefault="00DD13BF" w:rsidP="00355A56">
            <w:pPr>
              <w:pStyle w:val="TableParagraph"/>
              <w:ind w:left="909"/>
            </w:pPr>
            <w:r>
              <w:t>Category of region</w:t>
            </w:r>
          </w:p>
        </w:tc>
        <w:tc>
          <w:tcPr>
            <w:tcW w:w="3098" w:type="dxa"/>
          </w:tcPr>
          <w:p w14:paraId="7F0072CA" w14:textId="77777777" w:rsidR="00DD13BF" w:rsidRDefault="00DD13BF" w:rsidP="00355A56">
            <w:pPr>
              <w:pStyle w:val="TableParagraph"/>
              <w:ind w:left="950"/>
            </w:pPr>
            <w:r>
              <w:t>Specific objective</w:t>
            </w:r>
          </w:p>
        </w:tc>
        <w:tc>
          <w:tcPr>
            <w:tcW w:w="1160" w:type="dxa"/>
          </w:tcPr>
          <w:p w14:paraId="4F4098CE" w14:textId="77777777" w:rsidR="00DD13BF" w:rsidRDefault="00DD13BF" w:rsidP="00355A56">
            <w:pPr>
              <w:pStyle w:val="TableParagraph"/>
              <w:ind w:left="337"/>
            </w:pPr>
            <w:r>
              <w:t>Code</w:t>
            </w:r>
          </w:p>
        </w:tc>
        <w:tc>
          <w:tcPr>
            <w:tcW w:w="2730" w:type="dxa"/>
          </w:tcPr>
          <w:p w14:paraId="7C33068D" w14:textId="77777777" w:rsidR="00DD13BF" w:rsidRDefault="00DD13BF" w:rsidP="00355A56">
            <w:pPr>
              <w:pStyle w:val="TableParagraph"/>
              <w:ind w:left="665"/>
            </w:pPr>
            <w:r>
              <w:t>Amount (in EUR)</w:t>
            </w:r>
          </w:p>
        </w:tc>
      </w:tr>
    </w:tbl>
    <w:p w14:paraId="2FE705EE" w14:textId="77777777" w:rsidR="00DD13BF" w:rsidRPr="00673ADB" w:rsidRDefault="00DD13BF" w:rsidP="00DD13BF"/>
    <w:p w14:paraId="4CDB51ED" w14:textId="77777777" w:rsidR="00DD13BF" w:rsidRDefault="00DD13BF" w:rsidP="00DD13BF">
      <w:pPr>
        <w:ind w:left="339"/>
      </w:pPr>
      <w:r>
        <w:t>Table 8: Dimension 7 – ESF+*, ERDF, Cohesion Fund and JTF gender equality dimension</w:t>
      </w:r>
    </w:p>
    <w:p w14:paraId="14E2E278"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4AB66D6" w14:textId="77777777" w:rsidTr="00355A56">
        <w:trPr>
          <w:trHeight w:val="353"/>
        </w:trPr>
        <w:tc>
          <w:tcPr>
            <w:tcW w:w="2088" w:type="dxa"/>
          </w:tcPr>
          <w:p w14:paraId="5F16C240" w14:textId="77777777" w:rsidR="00DD13BF" w:rsidRDefault="00DD13BF" w:rsidP="00355A56">
            <w:pPr>
              <w:pStyle w:val="TableParagraph"/>
              <w:ind w:left="115"/>
            </w:pPr>
            <w:r>
              <w:t>Priority no.</w:t>
            </w:r>
          </w:p>
        </w:tc>
        <w:tc>
          <w:tcPr>
            <w:tcW w:w="1132" w:type="dxa"/>
          </w:tcPr>
          <w:p w14:paraId="0726F4FC" w14:textId="77777777" w:rsidR="00DD13BF" w:rsidRDefault="00DD13BF" w:rsidP="00355A56">
            <w:pPr>
              <w:pStyle w:val="TableParagraph"/>
              <w:ind w:left="320"/>
            </w:pPr>
            <w:r>
              <w:t>Fund</w:t>
            </w:r>
          </w:p>
        </w:tc>
        <w:tc>
          <w:tcPr>
            <w:tcW w:w="3248" w:type="dxa"/>
          </w:tcPr>
          <w:p w14:paraId="7C9111F4" w14:textId="77777777" w:rsidR="00DD13BF" w:rsidRDefault="00DD13BF" w:rsidP="00355A56">
            <w:pPr>
              <w:pStyle w:val="TableParagraph"/>
              <w:ind w:left="908"/>
            </w:pPr>
            <w:r>
              <w:t>Category of region</w:t>
            </w:r>
          </w:p>
        </w:tc>
        <w:tc>
          <w:tcPr>
            <w:tcW w:w="3098" w:type="dxa"/>
          </w:tcPr>
          <w:p w14:paraId="646AB680" w14:textId="77777777" w:rsidR="00DD13BF" w:rsidRDefault="00DD13BF" w:rsidP="00355A56">
            <w:pPr>
              <w:pStyle w:val="TableParagraph"/>
              <w:ind w:left="950"/>
            </w:pPr>
            <w:r>
              <w:t>Specific objective</w:t>
            </w:r>
          </w:p>
        </w:tc>
        <w:tc>
          <w:tcPr>
            <w:tcW w:w="1160" w:type="dxa"/>
          </w:tcPr>
          <w:p w14:paraId="6CE825E3" w14:textId="77777777" w:rsidR="00DD13BF" w:rsidRDefault="00DD13BF" w:rsidP="00355A56">
            <w:pPr>
              <w:pStyle w:val="TableParagraph"/>
              <w:ind w:left="336"/>
            </w:pPr>
            <w:r>
              <w:t>Code</w:t>
            </w:r>
          </w:p>
        </w:tc>
        <w:tc>
          <w:tcPr>
            <w:tcW w:w="2730" w:type="dxa"/>
          </w:tcPr>
          <w:p w14:paraId="21026A0E" w14:textId="77777777" w:rsidR="00DD13BF" w:rsidRDefault="00DD13BF" w:rsidP="00355A56">
            <w:pPr>
              <w:pStyle w:val="TableParagraph"/>
              <w:ind w:left="664"/>
            </w:pPr>
            <w:r>
              <w:t>Amount (in EUR)</w:t>
            </w:r>
          </w:p>
        </w:tc>
      </w:tr>
      <w:tr w:rsidR="00DD13BF" w14:paraId="3880477D" w14:textId="77777777" w:rsidTr="00355A56">
        <w:trPr>
          <w:trHeight w:val="353"/>
        </w:trPr>
        <w:tc>
          <w:tcPr>
            <w:tcW w:w="2088" w:type="dxa"/>
          </w:tcPr>
          <w:p w14:paraId="6E951215" w14:textId="77777777" w:rsidR="00DD13BF" w:rsidRDefault="00DD13BF" w:rsidP="00355A56">
            <w:pPr>
              <w:pStyle w:val="TableParagraph"/>
              <w:rPr>
                <w:sz w:val="20"/>
              </w:rPr>
            </w:pPr>
            <w:r>
              <w:rPr>
                <w:sz w:val="20"/>
              </w:rPr>
              <w:t>3</w:t>
            </w:r>
          </w:p>
        </w:tc>
        <w:tc>
          <w:tcPr>
            <w:tcW w:w="1132" w:type="dxa"/>
          </w:tcPr>
          <w:p w14:paraId="67E390A9" w14:textId="77777777" w:rsidR="00DD13BF" w:rsidRDefault="00DD13BF" w:rsidP="00355A56">
            <w:pPr>
              <w:pStyle w:val="TableParagraph"/>
              <w:rPr>
                <w:sz w:val="20"/>
              </w:rPr>
            </w:pPr>
            <w:r>
              <w:rPr>
                <w:sz w:val="20"/>
              </w:rPr>
              <w:t>CF</w:t>
            </w:r>
          </w:p>
        </w:tc>
        <w:tc>
          <w:tcPr>
            <w:tcW w:w="3248" w:type="dxa"/>
          </w:tcPr>
          <w:p w14:paraId="203185ED" w14:textId="77777777" w:rsidR="00DD13BF" w:rsidRDefault="00DD13BF" w:rsidP="00355A56">
            <w:pPr>
              <w:pStyle w:val="TableParagraph"/>
              <w:rPr>
                <w:sz w:val="20"/>
              </w:rPr>
            </w:pPr>
            <w:r>
              <w:rPr>
                <w:sz w:val="20"/>
              </w:rPr>
              <w:t>Entire Slovenia</w:t>
            </w:r>
          </w:p>
        </w:tc>
        <w:tc>
          <w:tcPr>
            <w:tcW w:w="3098" w:type="dxa"/>
          </w:tcPr>
          <w:p w14:paraId="26EBA978" w14:textId="77777777" w:rsidR="00DD13BF" w:rsidRDefault="00DD13BF" w:rsidP="00355A56">
            <w:pPr>
              <w:pStyle w:val="TableParagraph"/>
              <w:rPr>
                <w:sz w:val="20"/>
              </w:rPr>
            </w:pPr>
            <w:r>
              <w:rPr>
                <w:color w:val="000000"/>
                <w:sz w:val="20"/>
              </w:rPr>
              <w:t>RSO2.2</w:t>
            </w:r>
          </w:p>
        </w:tc>
        <w:tc>
          <w:tcPr>
            <w:tcW w:w="1160" w:type="dxa"/>
          </w:tcPr>
          <w:p w14:paraId="39D1284D" w14:textId="77777777" w:rsidR="00DD13BF" w:rsidRDefault="00DD13BF" w:rsidP="00355A56">
            <w:pPr>
              <w:pStyle w:val="TableParagraph"/>
              <w:rPr>
                <w:sz w:val="20"/>
              </w:rPr>
            </w:pPr>
            <w:r>
              <w:rPr>
                <w:sz w:val="20"/>
              </w:rPr>
              <w:t>03</w:t>
            </w:r>
          </w:p>
        </w:tc>
        <w:tc>
          <w:tcPr>
            <w:tcW w:w="2730" w:type="dxa"/>
          </w:tcPr>
          <w:p w14:paraId="2803E54B" w14:textId="77777777" w:rsidR="00DD13BF" w:rsidRPr="00672BAF" w:rsidRDefault="00DD13BF" w:rsidP="00355A56">
            <w:pPr>
              <w:pStyle w:val="TableParagraph"/>
              <w:rPr>
                <w:sz w:val="20"/>
              </w:rPr>
            </w:pPr>
            <w:r>
              <w:rPr>
                <w:sz w:val="20"/>
              </w:rPr>
              <w:t>13,433,041</w:t>
            </w:r>
          </w:p>
        </w:tc>
      </w:tr>
      <w:tr w:rsidR="00DD13BF" w14:paraId="4CEF460A" w14:textId="77777777" w:rsidTr="00355A56">
        <w:trPr>
          <w:trHeight w:val="353"/>
        </w:trPr>
        <w:tc>
          <w:tcPr>
            <w:tcW w:w="2088" w:type="dxa"/>
          </w:tcPr>
          <w:p w14:paraId="2C4346B3" w14:textId="77777777" w:rsidR="00DD13BF" w:rsidRDefault="00DD13BF" w:rsidP="00355A56">
            <w:pPr>
              <w:pStyle w:val="TableParagraph"/>
              <w:rPr>
                <w:sz w:val="20"/>
              </w:rPr>
            </w:pPr>
            <w:r>
              <w:rPr>
                <w:sz w:val="20"/>
              </w:rPr>
              <w:t>3</w:t>
            </w:r>
          </w:p>
        </w:tc>
        <w:tc>
          <w:tcPr>
            <w:tcW w:w="1132" w:type="dxa"/>
          </w:tcPr>
          <w:p w14:paraId="2BFC1506" w14:textId="77777777" w:rsidR="00DD13BF" w:rsidRDefault="00DD13BF" w:rsidP="00355A56">
            <w:pPr>
              <w:pStyle w:val="TableParagraph"/>
              <w:rPr>
                <w:sz w:val="20"/>
              </w:rPr>
            </w:pPr>
            <w:r>
              <w:rPr>
                <w:sz w:val="20"/>
              </w:rPr>
              <w:t>ERDF</w:t>
            </w:r>
          </w:p>
        </w:tc>
        <w:tc>
          <w:tcPr>
            <w:tcW w:w="3248" w:type="dxa"/>
          </w:tcPr>
          <w:p w14:paraId="00BF5269" w14:textId="77777777" w:rsidR="00DD13BF" w:rsidRDefault="00DD13BF" w:rsidP="00355A56">
            <w:pPr>
              <w:pStyle w:val="TableParagraph"/>
              <w:rPr>
                <w:sz w:val="20"/>
              </w:rPr>
            </w:pPr>
            <w:r>
              <w:rPr>
                <w:sz w:val="20"/>
              </w:rPr>
              <w:t>Less developed</w:t>
            </w:r>
          </w:p>
        </w:tc>
        <w:tc>
          <w:tcPr>
            <w:tcW w:w="3098" w:type="dxa"/>
          </w:tcPr>
          <w:p w14:paraId="46C947B5" w14:textId="77777777" w:rsidR="00DD13BF" w:rsidRDefault="00DD13BF" w:rsidP="00355A56">
            <w:pPr>
              <w:pStyle w:val="TableParagraph"/>
              <w:rPr>
                <w:sz w:val="20"/>
              </w:rPr>
            </w:pPr>
            <w:r>
              <w:rPr>
                <w:color w:val="000000"/>
                <w:sz w:val="20"/>
              </w:rPr>
              <w:t>RSO2.2</w:t>
            </w:r>
          </w:p>
        </w:tc>
        <w:tc>
          <w:tcPr>
            <w:tcW w:w="1160" w:type="dxa"/>
          </w:tcPr>
          <w:p w14:paraId="32D0C21F" w14:textId="77777777" w:rsidR="00DD13BF" w:rsidRDefault="00DD13BF" w:rsidP="00355A56">
            <w:pPr>
              <w:pStyle w:val="TableParagraph"/>
              <w:rPr>
                <w:sz w:val="20"/>
              </w:rPr>
            </w:pPr>
            <w:r>
              <w:rPr>
                <w:sz w:val="20"/>
              </w:rPr>
              <w:t>03</w:t>
            </w:r>
          </w:p>
        </w:tc>
        <w:tc>
          <w:tcPr>
            <w:tcW w:w="2730" w:type="dxa"/>
          </w:tcPr>
          <w:p w14:paraId="0DB3FCA0" w14:textId="77777777" w:rsidR="00DD13BF" w:rsidRPr="00672BAF" w:rsidRDefault="00DD13BF" w:rsidP="00355A56">
            <w:pPr>
              <w:pStyle w:val="TableParagraph"/>
              <w:rPr>
                <w:sz w:val="20"/>
              </w:rPr>
            </w:pPr>
            <w:r>
              <w:rPr>
                <w:sz w:val="20"/>
              </w:rPr>
              <w:t xml:space="preserve"> 80,052,114</w:t>
            </w:r>
          </w:p>
        </w:tc>
      </w:tr>
      <w:tr w:rsidR="00DD13BF" w14:paraId="1F808E5A" w14:textId="77777777" w:rsidTr="00355A56">
        <w:trPr>
          <w:trHeight w:val="353"/>
        </w:trPr>
        <w:tc>
          <w:tcPr>
            <w:tcW w:w="2088" w:type="dxa"/>
          </w:tcPr>
          <w:p w14:paraId="125EC527" w14:textId="77777777" w:rsidR="00DD13BF" w:rsidRDefault="00DD13BF" w:rsidP="00355A56">
            <w:pPr>
              <w:pStyle w:val="TableParagraph"/>
              <w:rPr>
                <w:sz w:val="20"/>
              </w:rPr>
            </w:pPr>
            <w:r>
              <w:rPr>
                <w:sz w:val="20"/>
              </w:rPr>
              <w:lastRenderedPageBreak/>
              <w:t>3</w:t>
            </w:r>
          </w:p>
        </w:tc>
        <w:tc>
          <w:tcPr>
            <w:tcW w:w="1132" w:type="dxa"/>
          </w:tcPr>
          <w:p w14:paraId="58BE22A3" w14:textId="77777777" w:rsidR="00DD13BF" w:rsidRDefault="00DD13BF" w:rsidP="00355A56">
            <w:pPr>
              <w:pStyle w:val="TableParagraph"/>
              <w:rPr>
                <w:sz w:val="20"/>
              </w:rPr>
            </w:pPr>
            <w:r>
              <w:rPr>
                <w:sz w:val="20"/>
              </w:rPr>
              <w:t>ERDF</w:t>
            </w:r>
          </w:p>
        </w:tc>
        <w:tc>
          <w:tcPr>
            <w:tcW w:w="3248" w:type="dxa"/>
          </w:tcPr>
          <w:p w14:paraId="1143AD45" w14:textId="77777777" w:rsidR="00DD13BF" w:rsidRDefault="00DD13BF" w:rsidP="00355A56">
            <w:pPr>
              <w:pStyle w:val="TableParagraph"/>
              <w:rPr>
                <w:sz w:val="20"/>
              </w:rPr>
            </w:pPr>
            <w:r>
              <w:rPr>
                <w:sz w:val="20"/>
              </w:rPr>
              <w:t>More developed</w:t>
            </w:r>
          </w:p>
        </w:tc>
        <w:tc>
          <w:tcPr>
            <w:tcW w:w="3098" w:type="dxa"/>
          </w:tcPr>
          <w:p w14:paraId="6C5AF2AD" w14:textId="77777777" w:rsidR="00DD13BF" w:rsidRDefault="00DD13BF" w:rsidP="00355A56">
            <w:pPr>
              <w:pStyle w:val="TableParagraph"/>
              <w:rPr>
                <w:sz w:val="20"/>
              </w:rPr>
            </w:pPr>
            <w:r>
              <w:rPr>
                <w:color w:val="000000"/>
                <w:sz w:val="20"/>
              </w:rPr>
              <w:t>RSO2.2</w:t>
            </w:r>
          </w:p>
        </w:tc>
        <w:tc>
          <w:tcPr>
            <w:tcW w:w="1160" w:type="dxa"/>
          </w:tcPr>
          <w:p w14:paraId="781CC30A" w14:textId="77777777" w:rsidR="00DD13BF" w:rsidRDefault="00DD13BF" w:rsidP="00355A56">
            <w:pPr>
              <w:pStyle w:val="TableParagraph"/>
              <w:rPr>
                <w:sz w:val="20"/>
              </w:rPr>
            </w:pPr>
            <w:r>
              <w:rPr>
                <w:sz w:val="20"/>
              </w:rPr>
              <w:t>03</w:t>
            </w:r>
          </w:p>
        </w:tc>
        <w:tc>
          <w:tcPr>
            <w:tcW w:w="2730" w:type="dxa"/>
          </w:tcPr>
          <w:p w14:paraId="027361EE" w14:textId="77777777" w:rsidR="00DD13BF" w:rsidRDefault="00DD13BF" w:rsidP="00355A56">
            <w:pPr>
              <w:pStyle w:val="TableParagraph"/>
              <w:rPr>
                <w:sz w:val="20"/>
              </w:rPr>
            </w:pPr>
            <w:r>
              <w:rPr>
                <w:sz w:val="20"/>
              </w:rPr>
              <w:t xml:space="preserve"> 21,171,613 </w:t>
            </w:r>
          </w:p>
        </w:tc>
      </w:tr>
    </w:tbl>
    <w:p w14:paraId="21E1D097" w14:textId="77777777" w:rsidR="00DD13BF" w:rsidRPr="00673ADB" w:rsidRDefault="00DD13BF" w:rsidP="00DD13BF">
      <w:pPr>
        <w:tabs>
          <w:tab w:val="left" w:pos="426"/>
        </w:tabs>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6F0BFCAE" w14:textId="77777777" w:rsidR="00DD13BF" w:rsidRDefault="00DD13BF" w:rsidP="00DD13BF"/>
    <w:p w14:paraId="39E99885" w14:textId="77777777" w:rsidR="00DD13BF" w:rsidRDefault="00DD13BF" w:rsidP="00DD13BF">
      <w:pPr>
        <w:sectPr w:rsidR="00DD13BF" w:rsidSect="00FC3010">
          <w:headerReference w:type="default" r:id="rId39"/>
          <w:footerReference w:type="first" r:id="rId40"/>
          <w:type w:val="continuous"/>
          <w:pgSz w:w="16840" w:h="11910" w:orient="landscape"/>
          <w:pgMar w:top="1417" w:right="1417" w:bottom="1417" w:left="1417" w:header="708" w:footer="708" w:gutter="0"/>
          <w:cols w:space="708"/>
        </w:sectPr>
      </w:pPr>
    </w:p>
    <w:p w14:paraId="518D0327" w14:textId="77777777" w:rsidR="00DD13BF" w:rsidRDefault="00DD13BF" w:rsidP="00DD13BF">
      <w:pPr>
        <w:rPr>
          <w:sz w:val="24"/>
        </w:rPr>
      </w:pPr>
    </w:p>
    <w:p w14:paraId="29BECB08" w14:textId="77777777" w:rsidR="00DD13BF" w:rsidRDefault="00DD13BF" w:rsidP="00DD13BF">
      <w:r>
        <w:br w:type="page"/>
      </w:r>
    </w:p>
    <w:p w14:paraId="177FBFE9" w14:textId="77777777" w:rsidR="00DD13BF" w:rsidRPr="00BD3536" w:rsidRDefault="00DD13BF" w:rsidP="00DD13BF">
      <w:pPr>
        <w:pStyle w:val="Naslov4"/>
        <w:ind w:left="1134"/>
      </w:pPr>
      <w:bookmarkStart w:id="27" w:name="_Toc131161706"/>
      <w:r>
        <w:lastRenderedPageBreak/>
        <w:t>Specific objective RSO2.3. Developing smart energy systems, grids and storage outside the Trans-European Energy Network (TEN-E)(ERDF) (Cohesion Fund)</w:t>
      </w:r>
      <w:bookmarkEnd w:id="27"/>
    </w:p>
    <w:p w14:paraId="1AF2047F" w14:textId="77777777" w:rsidR="00DD13BF" w:rsidRDefault="00DD13BF" w:rsidP="00DD13BF">
      <w:pPr>
        <w:rPr>
          <w:sz w:val="30"/>
        </w:rPr>
      </w:pPr>
    </w:p>
    <w:p w14:paraId="51A32E1D" w14:textId="77777777" w:rsidR="00DD13BF" w:rsidRPr="00C10464" w:rsidRDefault="00DD13BF" w:rsidP="00DD13BF">
      <w:pPr>
        <w:pStyle w:val="Naslov5"/>
        <w:spacing w:before="0"/>
      </w:pPr>
      <w:r>
        <w:t>Interventions of the Funds</w:t>
      </w:r>
    </w:p>
    <w:p w14:paraId="7C2CEE4A" w14:textId="77777777" w:rsidR="00DD13BF" w:rsidRDefault="00DD13BF" w:rsidP="00DD13BF">
      <w:pPr>
        <w:rPr>
          <w:sz w:val="30"/>
        </w:rPr>
      </w:pPr>
    </w:p>
    <w:p w14:paraId="62BE9254" w14:textId="77777777" w:rsidR="00DD13BF" w:rsidRDefault="00DD13BF" w:rsidP="00DD13BF">
      <w:pPr>
        <w:ind w:left="1349"/>
        <w:rPr>
          <w:spacing w:val="-2"/>
        </w:rPr>
      </w:pPr>
      <w:r>
        <w:t>Related types of actions:</w:t>
      </w:r>
    </w:p>
    <w:p w14:paraId="44008DB0"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0B5DCAB2" w14:textId="77777777" w:rsidTr="00355A56">
        <w:trPr>
          <w:trHeight w:val="316"/>
        </w:trPr>
        <w:tc>
          <w:tcPr>
            <w:tcW w:w="12758" w:type="dxa"/>
          </w:tcPr>
          <w:p w14:paraId="6448655D" w14:textId="77777777" w:rsidR="00DD13BF" w:rsidRDefault="00DD13BF" w:rsidP="00355A56">
            <w:pPr>
              <w:jc w:val="both"/>
              <w:rPr>
                <w:rFonts w:cstheme="minorHAnsi"/>
              </w:rPr>
            </w:pPr>
            <w:r w:rsidRPr="006211ED">
              <w:t>Facilitating energy communities at the level of electricity distribution networks is an important step towards attaining binding objectives in the field of RES, which follows the European trends of transition to a low-carbon society. The NECP is based on the assumption that new energy technologies, particularly in the fields of EE, RES and local energy supply, will be crucial to successfully tackling climate change and must enable the attainment of objectives at costs that the economy can bear. The key is to invest in projects that will increase energy production from RES and support energy self-sufficiency, and in projects for the conversion of surplus electricity from RES and for connecting networks for the needs of energy storage during conversion.</w:t>
            </w:r>
            <w:r>
              <w:t xml:space="preserve"> </w:t>
            </w:r>
          </w:p>
          <w:p w14:paraId="4865851D" w14:textId="77777777" w:rsidR="00DD13BF" w:rsidRDefault="00DD13BF" w:rsidP="00355A56">
            <w:pPr>
              <w:jc w:val="both"/>
              <w:rPr>
                <w:rFonts w:cstheme="minorHAnsi"/>
              </w:rPr>
            </w:pPr>
          </w:p>
          <w:p w14:paraId="79B08BB0" w14:textId="77777777" w:rsidR="00DD13BF" w:rsidRDefault="00DD13BF" w:rsidP="00355A56">
            <w:pPr>
              <w:jc w:val="both"/>
              <w:rPr>
                <w:rFonts w:cstheme="minorHAnsi"/>
              </w:rPr>
            </w:pPr>
            <w:r>
              <w:t>Therefore, investments in the following key measures will be accelerate under this specific objective:</w:t>
            </w:r>
          </w:p>
          <w:p w14:paraId="04EBDD32" w14:textId="77777777" w:rsidR="00DD13BF" w:rsidRPr="00B6361C"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i/>
                <w:iCs/>
              </w:rPr>
              <w:t>Investments in accelerating new energy communities, the conversion of surplus electricity from RES and for connecting networks for the needs of energy storage</w:t>
            </w:r>
            <w:r>
              <w:rPr>
                <w:rFonts w:ascii="Times New Roman" w:hAnsi="Times New Roman"/>
              </w:rPr>
              <w:t>: these measures are recognised as key challenges according to the NECP and without them, green transformation is not possible, i.e.:</w:t>
            </w:r>
          </w:p>
          <w:p w14:paraId="67917D2F" w14:textId="77777777" w:rsidR="00DD13BF" w:rsidRPr="00936716" w:rsidRDefault="00DD13BF" w:rsidP="00DD13BF">
            <w:pPr>
              <w:pStyle w:val="Odstavekseznama"/>
              <w:widowControl/>
              <w:numPr>
                <w:ilvl w:val="1"/>
                <w:numId w:val="17"/>
              </w:numPr>
              <w:autoSpaceDE/>
              <w:autoSpaceDN/>
              <w:jc w:val="both"/>
              <w:rPr>
                <w:rFonts w:ascii="Times New Roman" w:hAnsi="Times New Roman" w:cs="Times New Roman"/>
              </w:rPr>
            </w:pPr>
            <w:r>
              <w:rPr>
                <w:rFonts w:ascii="Times New Roman" w:hAnsi="Times New Roman"/>
              </w:rPr>
              <w:t>Promoting first energy communities in the field of the use of energy from RES in the local environment, which also facilitates extended self-sufficiency through the community and is essential for the transition to a low-carbon society. The measure will promote the creation of communities that rely on RES in the local environment, which will produce and supply energy, and may also provide aggregation or other commercial energy services. Participation in energy communities will be available to all end customers, including those in low income or vulnerable households. The measure also foresees technical and personnel support to establish a scheme to promote the development of local energy communities and other projects at the local level.</w:t>
            </w:r>
          </w:p>
          <w:p w14:paraId="537C72DA" w14:textId="77777777" w:rsidR="00DD13BF" w:rsidRPr="009C4DF6" w:rsidRDefault="00DD13BF" w:rsidP="00DD13BF">
            <w:pPr>
              <w:pStyle w:val="Odstavekseznama"/>
              <w:widowControl/>
              <w:numPr>
                <w:ilvl w:val="1"/>
                <w:numId w:val="17"/>
              </w:numPr>
              <w:autoSpaceDE/>
              <w:autoSpaceDN/>
              <w:jc w:val="both"/>
              <w:rPr>
                <w:rFonts w:ascii="Times New Roman" w:hAnsi="Times New Roman"/>
              </w:rPr>
            </w:pPr>
            <w:r>
              <w:rPr>
                <w:rFonts w:ascii="Times New Roman" w:hAnsi="Times New Roman"/>
              </w:rPr>
              <w:t>Promoting investments and technologies for the conversion of surplus energy from RES and connecting networks for the needs of energy storage during conversion: the purpose is to support investments in the conversion of surplus electricity into another form of energy (e.g. heat) or energy products such as hydrogen, synthetic methane, biogas, etc. for own needs in energy-intensive industry and the sale of produced surpluses. As part of the measure, various options and technologies for storing and converting surplus electricity from RES will be supported. In this area, Slovenia has already identified key challenges within the NECP, where it noted that the gas and electricity sectors must be integrated. The sufficiency of supply in various seasons, the storage of surplus electricity from RES by integrating sectors and suitable resources will have to be provided. In accordance with the NECP, the measure is part of a comprehensive strategy for the energy system transformation and the development of individual sectors to attain energy and climate objectives.</w:t>
            </w:r>
          </w:p>
          <w:p w14:paraId="684EFBEB" w14:textId="77777777" w:rsidR="00DD13BF" w:rsidRDefault="00DD13BF" w:rsidP="00355A56">
            <w:pPr>
              <w:pStyle w:val="Odstavekseznama"/>
              <w:ind w:left="1440"/>
              <w:jc w:val="both"/>
              <w:rPr>
                <w:rFonts w:ascii="Times New Roman" w:hAnsi="Times New Roman" w:cs="Times New Roman"/>
              </w:rPr>
            </w:pPr>
            <w:r>
              <w:rPr>
                <w:rFonts w:ascii="Times New Roman" w:hAnsi="Times New Roman"/>
              </w:rPr>
              <w:t xml:space="preserve">Slovenia wishes to actively participate in the development of centralised and decentralised solutions and support the </w:t>
            </w:r>
            <w:r>
              <w:rPr>
                <w:rFonts w:ascii="Times New Roman" w:hAnsi="Times New Roman"/>
              </w:rPr>
              <w:lastRenderedPageBreak/>
              <w:t xml:space="preserve">implementation of as many energy storage facility projects as possible by 2030, including the installation of battery capacity and other storage facilities in the transmission and distribution network, thermal stores in district heating systems, and the use of pipeline systems for storing surplus electricity in the form of SNP/H2. </w:t>
            </w:r>
          </w:p>
          <w:p w14:paraId="392367B3" w14:textId="77777777" w:rsidR="00DD13BF" w:rsidRDefault="00DD13BF" w:rsidP="00355A56">
            <w:pPr>
              <w:pStyle w:val="Odstavekseznama"/>
              <w:ind w:left="1440"/>
              <w:jc w:val="both"/>
              <w:rPr>
                <w:rFonts w:ascii="Times New Roman" w:hAnsi="Times New Roman" w:cs="Times New Roman"/>
              </w:rPr>
            </w:pPr>
            <w:r>
              <w:rPr>
                <w:rFonts w:ascii="Times New Roman" w:hAnsi="Times New Roman"/>
              </w:rPr>
              <w:t>Investments will support the seasonal storage of renewable energy. Renewable gases will have to be stored even for short periods or compensation for shorter fluctuations in consumption within the day will have to be provided (within the storage capacity of the transmission pipeline, thermal stores, etc.), which are significantly more facilitated by the pipeline system and district heating systems than the electricity system. Energy conversion will optimise the construction of the electricity and pipeline networks, as the network that is most appropriate in the given conditions can be used for energy transmission. This will reduce the investment costs of the transition to a climate-neutral society. To achieve the largest possible share of RES in the gross final energy consumption by 2030, a sufficient amount of various energy storage facilities, suitable in terms of technology, size and storage time, connected to the transmission or distribution network is planned to be constructed in accordance with the NECP, which will facilitate the storage of as much energy as possible for daily electricity needs in the Slovenian electricity system.</w:t>
            </w:r>
          </w:p>
          <w:p w14:paraId="1E4E0523" w14:textId="77777777" w:rsidR="00DD13BF" w:rsidRDefault="00DD13BF" w:rsidP="00355A56">
            <w:pPr>
              <w:jc w:val="both"/>
              <w:rPr>
                <w:rFonts w:cstheme="minorHAnsi"/>
              </w:rPr>
            </w:pPr>
          </w:p>
          <w:p w14:paraId="3227D1A7" w14:textId="77777777" w:rsidR="00DD13BF" w:rsidRDefault="00DD13BF" w:rsidP="00355A56">
            <w:pPr>
              <w:jc w:val="both"/>
              <w:rPr>
                <w:rFonts w:cstheme="minorHAnsi"/>
              </w:rPr>
            </w:pPr>
            <w:r>
              <w:t xml:space="preserve">Within the RRP, investments will be made in the modernisation of the low-voltage distribution network for the integration of scattered RES production sources in the form of the distribution network renovation and new transformer stations, and both will be prepared to be integrated into advanced networks. While the RRP includes the promotion of new large-scale electricity generation facilities from RES, primarily hydro- and geothermal power plants, and directs unused funds to the construction of solar power plants on public buildings, it is focused, within the framework of this programme, on supporting private investments in community self-sufficiency from RES and investments in the storage and conversion of surplus electricity from RES, thereby eliminating the risk of double financing.  </w:t>
            </w:r>
          </w:p>
          <w:p w14:paraId="3CA2C783" w14:textId="77777777" w:rsidR="00DD13BF" w:rsidRPr="001C197B" w:rsidRDefault="00DD13BF" w:rsidP="00355A56">
            <w:pPr>
              <w:jc w:val="both"/>
              <w:rPr>
                <w:rFonts w:cstheme="minorHAnsi"/>
                <w:u w:val="single"/>
              </w:rPr>
            </w:pPr>
          </w:p>
          <w:p w14:paraId="4BCCD03E" w14:textId="77777777" w:rsidR="00DD13BF" w:rsidRPr="00B6361C" w:rsidRDefault="00DD13BF" w:rsidP="00355A56">
            <w:pPr>
              <w:jc w:val="both"/>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The recommendations of the study “Facilitating Renewable Energy Deployment In Electricity Sector Of Slovenia« (Request For Service REFORM/SC2021/091)</w:t>
            </w:r>
            <w:r w:rsidRPr="00C05046">
              <w:rPr>
                <w:vertAlign w:val="superscript"/>
              </w:rPr>
              <w:footnoteReference w:id="145"/>
            </w:r>
            <w:r>
              <w:t xml:space="preserve"> will be reasonably taken into account. None of the measures foreseen has a significant adverse impact on any of the six environmental objectives, taking into account the technical screening criteria listed in annex DNSH.</w:t>
            </w:r>
          </w:p>
        </w:tc>
      </w:tr>
    </w:tbl>
    <w:p w14:paraId="2835BEEB" w14:textId="77777777" w:rsidR="00DD13BF" w:rsidRDefault="00DD13BF" w:rsidP="00DD13BF">
      <w:pPr>
        <w:ind w:left="1349"/>
        <w:rPr>
          <w:spacing w:val="-6"/>
        </w:rPr>
      </w:pPr>
    </w:p>
    <w:p w14:paraId="30EA1650" w14:textId="77777777" w:rsidR="00DD13BF" w:rsidRDefault="00DD13BF" w:rsidP="00DD13BF">
      <w:pPr>
        <w:ind w:left="1349"/>
      </w:pPr>
      <w:r>
        <w:t>Main target groups:</w:t>
      </w:r>
    </w:p>
    <w:p w14:paraId="1F66C5D8"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707F71F" w14:textId="77777777" w:rsidTr="00355A56">
        <w:tc>
          <w:tcPr>
            <w:tcW w:w="12763" w:type="dxa"/>
          </w:tcPr>
          <w:p w14:paraId="44C0AD96" w14:textId="77777777" w:rsidR="00DD13BF" w:rsidRDefault="00DD13BF" w:rsidP="00355A56">
            <w:pPr>
              <w:rPr>
                <w:rFonts w:cstheme="minorHAnsi"/>
              </w:rPr>
            </w:pPr>
            <w:r>
              <w:t>Target groups: enterprises, public sector, households, local communities, cooperatives, institutions.</w:t>
            </w:r>
          </w:p>
          <w:p w14:paraId="2ED01D39" w14:textId="77777777" w:rsidR="00DD13BF" w:rsidRDefault="00DD13BF" w:rsidP="00355A56">
            <w:pPr>
              <w:rPr>
                <w:rFonts w:cstheme="minorHAnsi"/>
              </w:rPr>
            </w:pPr>
          </w:p>
          <w:p w14:paraId="00FDE35C" w14:textId="77777777" w:rsidR="00DD13BF" w:rsidRPr="00B3569A" w:rsidRDefault="00DD13BF" w:rsidP="00355A56">
            <w:pPr>
              <w:rPr>
                <w:rFonts w:cstheme="minorHAnsi"/>
              </w:rPr>
            </w:pPr>
            <w:r>
              <w:t>Beneficiaries: enterprises, public sector, local communities, institutions, cooperatives.</w:t>
            </w:r>
          </w:p>
        </w:tc>
      </w:tr>
    </w:tbl>
    <w:p w14:paraId="77A02AAA" w14:textId="77777777" w:rsidR="00DD13BF" w:rsidRPr="006B7178" w:rsidRDefault="00DD13BF" w:rsidP="00DD13BF">
      <w:pPr>
        <w:ind w:left="1349"/>
      </w:pPr>
    </w:p>
    <w:p w14:paraId="5691AF42" w14:textId="77777777" w:rsidR="00DD13BF" w:rsidRDefault="00DD13BF" w:rsidP="00DD13BF">
      <w:pPr>
        <w:ind w:left="1349"/>
        <w:rPr>
          <w:spacing w:val="-2"/>
        </w:rPr>
      </w:pPr>
      <w:r>
        <w:lastRenderedPageBreak/>
        <w:t>Measures to protect equality, inclusion and non-discrimination:</w:t>
      </w:r>
    </w:p>
    <w:p w14:paraId="2DFD6400"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1DBC31FC" w14:textId="77777777" w:rsidTr="00355A56">
        <w:tc>
          <w:tcPr>
            <w:tcW w:w="12715" w:type="dxa"/>
          </w:tcPr>
          <w:p w14:paraId="6CF2127D" w14:textId="77777777" w:rsidR="00DD13BF" w:rsidRPr="00B3569A" w:rsidRDefault="00DD13BF" w:rsidP="00355A56">
            <w:pPr>
              <w:jc w:val="both"/>
              <w:rPr>
                <w:rFonts w:cstheme="minorHAnsi"/>
              </w:rPr>
            </w:pPr>
            <w:r>
              <w:t>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tc>
      </w:tr>
    </w:tbl>
    <w:p w14:paraId="57D64BAA" w14:textId="77777777" w:rsidR="00DD13BF" w:rsidRDefault="00DD13BF" w:rsidP="00DD13BF">
      <w:pPr>
        <w:rPr>
          <w:sz w:val="20"/>
        </w:rPr>
      </w:pPr>
    </w:p>
    <w:p w14:paraId="53219EA9" w14:textId="77777777" w:rsidR="00DD13BF" w:rsidRDefault="00DD13BF" w:rsidP="00DD13BF">
      <w:pPr>
        <w:ind w:left="1415"/>
        <w:rPr>
          <w:spacing w:val="-4"/>
        </w:rPr>
      </w:pPr>
      <w:r>
        <w:t>Indication of the specific territories targeted, including the planned use of territorial tools:</w:t>
      </w:r>
    </w:p>
    <w:p w14:paraId="4BD0946F"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4376113C" w14:textId="77777777" w:rsidTr="00355A56">
        <w:tc>
          <w:tcPr>
            <w:tcW w:w="12763" w:type="dxa"/>
          </w:tcPr>
          <w:p w14:paraId="1BDB3467" w14:textId="77777777" w:rsidR="00DD13BF" w:rsidRPr="00B3569A" w:rsidRDefault="00DD13BF" w:rsidP="00355A56">
            <w:pPr>
              <w:jc w:val="both"/>
              <w:rPr>
                <w:rFonts w:cstheme="minorHAnsi"/>
              </w:rPr>
            </w:pPr>
            <w:r w:rsidRPr="006211ED">
              <w:t>Under this specific objective, the use of territorial tools is not foreseen.</w:t>
            </w:r>
          </w:p>
        </w:tc>
      </w:tr>
    </w:tbl>
    <w:p w14:paraId="237FFF05" w14:textId="77777777" w:rsidR="00DD13BF" w:rsidRDefault="00DD13BF" w:rsidP="00DD13BF">
      <w:pPr>
        <w:rPr>
          <w:sz w:val="18"/>
        </w:rPr>
      </w:pPr>
    </w:p>
    <w:p w14:paraId="00671C97" w14:textId="77777777" w:rsidR="00DD13BF" w:rsidRDefault="00DD13BF" w:rsidP="00DD13BF">
      <w:pPr>
        <w:ind w:left="1415"/>
      </w:pPr>
      <w:r>
        <w:t>The interregional, cross-border and transnational actions:</w:t>
      </w:r>
    </w:p>
    <w:p w14:paraId="0EC0820F"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A76A277" w14:textId="77777777" w:rsidTr="00355A56">
        <w:tc>
          <w:tcPr>
            <w:tcW w:w="12763" w:type="dxa"/>
          </w:tcPr>
          <w:p w14:paraId="0A4A2B95" w14:textId="77777777" w:rsidR="00DD13BF" w:rsidRPr="00B3569A" w:rsidRDefault="00DD13BF" w:rsidP="00355A56">
            <w:pPr>
              <w:jc w:val="both"/>
              <w:rPr>
                <w:rFonts w:cstheme="minorBidi"/>
              </w:rPr>
            </w:pPr>
            <w:r>
              <w:t>Under this specific objective, the implementation of interregional, cross-border and transnational actions is not planned, as these are measures to promote energy efficiency and reduce greenhouse gas emissions primarily intended for target groups in the territory of Slovenia.</w:t>
            </w:r>
          </w:p>
        </w:tc>
      </w:tr>
    </w:tbl>
    <w:p w14:paraId="14438921" w14:textId="77777777" w:rsidR="00DD13BF" w:rsidRDefault="00DD13BF" w:rsidP="00DD13BF">
      <w:pPr>
        <w:rPr>
          <w:sz w:val="17"/>
        </w:rPr>
      </w:pPr>
    </w:p>
    <w:p w14:paraId="7DF07121" w14:textId="77777777" w:rsidR="00DD13BF" w:rsidRDefault="00DD13BF" w:rsidP="00DD13BF">
      <w:pPr>
        <w:ind w:left="1415"/>
        <w:rPr>
          <w:spacing w:val="-3"/>
        </w:rPr>
      </w:pPr>
      <w:r>
        <w:t>Planned use of financial instruments:</w:t>
      </w:r>
    </w:p>
    <w:p w14:paraId="0C30FD65" w14:textId="77777777" w:rsidR="00DD13BF" w:rsidRDefault="00DD13BF" w:rsidP="00DD13BF">
      <w:pPr>
        <w:jc w:val="both"/>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18AC09D8" w14:textId="77777777" w:rsidTr="00355A56">
        <w:tc>
          <w:tcPr>
            <w:tcW w:w="12758" w:type="dxa"/>
          </w:tcPr>
          <w:p w14:paraId="4E75CFA7" w14:textId="77777777" w:rsidR="00DD13BF" w:rsidRPr="00B3569A" w:rsidRDefault="00DD13BF" w:rsidP="00355A56">
            <w:pPr>
              <w:jc w:val="both"/>
              <w:rPr>
                <w:rFonts w:cstheme="minorBid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When using grants, an appropriately reduced rate of co-financing will be determined, which will take into account savings/revenues during the economic life of an investment, or revenue in accordance with state aid rules.</w:t>
            </w:r>
          </w:p>
        </w:tc>
      </w:tr>
    </w:tbl>
    <w:p w14:paraId="1B026496" w14:textId="77777777" w:rsidR="00DD13BF" w:rsidRDefault="00DD13BF" w:rsidP="00DD13BF">
      <w:pPr>
        <w:rPr>
          <w:sz w:val="20"/>
        </w:rPr>
      </w:pPr>
    </w:p>
    <w:p w14:paraId="45D97C0C" w14:textId="77777777" w:rsidR="00DD13BF" w:rsidRDefault="00DD13BF" w:rsidP="00DD13BF">
      <w:pPr>
        <w:rPr>
          <w:sz w:val="20"/>
        </w:rPr>
      </w:pPr>
    </w:p>
    <w:p w14:paraId="4378C2FC" w14:textId="77777777" w:rsidR="00DD13BF" w:rsidRDefault="00DD13BF" w:rsidP="00DD13BF">
      <w:pPr>
        <w:pStyle w:val="Naslov5"/>
        <w:spacing w:before="0"/>
      </w:pPr>
      <w:r>
        <w:t>Indicators</w:t>
      </w:r>
    </w:p>
    <w:p w14:paraId="0ADD033C" w14:textId="77777777" w:rsidR="00DD13BF" w:rsidRDefault="00DD13BF" w:rsidP="00DD13BF"/>
    <w:p w14:paraId="5BD1C56D" w14:textId="77777777" w:rsidR="00DD13BF" w:rsidRDefault="00DD13BF" w:rsidP="00DD13BF">
      <w:pPr>
        <w:ind w:left="379"/>
      </w:pPr>
      <w:r>
        <w:t>Table 2: Output indicators</w:t>
      </w:r>
    </w:p>
    <w:p w14:paraId="198FBC05" w14:textId="77777777" w:rsidR="00DD13BF" w:rsidRDefault="00DD13BF" w:rsidP="00DD13BF">
      <w:pPr>
        <w:rPr>
          <w:sz w:val="21"/>
        </w:rPr>
      </w:pPr>
    </w:p>
    <w:tbl>
      <w:tblPr>
        <w:tblStyle w:val="NormalTable0"/>
        <w:tblW w:w="13458"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834"/>
        <w:gridCol w:w="1417"/>
        <w:gridCol w:w="708"/>
        <w:gridCol w:w="1844"/>
        <w:gridCol w:w="778"/>
        <w:gridCol w:w="3049"/>
        <w:gridCol w:w="1276"/>
        <w:gridCol w:w="1418"/>
        <w:gridCol w:w="1134"/>
      </w:tblGrid>
      <w:tr w:rsidR="00DD13BF" w14:paraId="15EE056A" w14:textId="77777777" w:rsidTr="00355A56">
        <w:trPr>
          <w:trHeight w:val="254"/>
        </w:trPr>
        <w:tc>
          <w:tcPr>
            <w:tcW w:w="1834" w:type="dxa"/>
            <w:vAlign w:val="center"/>
          </w:tcPr>
          <w:p w14:paraId="3A2CC1FE" w14:textId="77777777" w:rsidR="00DD13BF" w:rsidRDefault="00DD13BF" w:rsidP="00355A56">
            <w:pPr>
              <w:pStyle w:val="TableParagraph"/>
              <w:ind w:right="82"/>
            </w:pPr>
            <w:r>
              <w:t>Priority</w:t>
            </w:r>
          </w:p>
        </w:tc>
        <w:tc>
          <w:tcPr>
            <w:tcW w:w="1417" w:type="dxa"/>
            <w:vAlign w:val="center"/>
          </w:tcPr>
          <w:p w14:paraId="621AED43" w14:textId="77777777" w:rsidR="00DD13BF" w:rsidRDefault="00DD13BF" w:rsidP="00355A56">
            <w:pPr>
              <w:pStyle w:val="TableParagraph"/>
            </w:pPr>
            <w:r>
              <w:t>Specific objective</w:t>
            </w:r>
          </w:p>
        </w:tc>
        <w:tc>
          <w:tcPr>
            <w:tcW w:w="708" w:type="dxa"/>
            <w:vAlign w:val="center"/>
          </w:tcPr>
          <w:p w14:paraId="3E0D01D3" w14:textId="77777777" w:rsidR="00DD13BF" w:rsidRDefault="00DD13BF" w:rsidP="00355A56">
            <w:pPr>
              <w:pStyle w:val="TableParagraph"/>
            </w:pPr>
            <w:r>
              <w:t>Fund</w:t>
            </w:r>
          </w:p>
        </w:tc>
        <w:tc>
          <w:tcPr>
            <w:tcW w:w="1844" w:type="dxa"/>
            <w:vAlign w:val="center"/>
          </w:tcPr>
          <w:p w14:paraId="140BD75E" w14:textId="77777777" w:rsidR="00DD13BF" w:rsidRDefault="00DD13BF" w:rsidP="00355A56">
            <w:pPr>
              <w:pStyle w:val="TableParagraph"/>
            </w:pPr>
            <w:r>
              <w:t>Category of region</w:t>
            </w:r>
          </w:p>
        </w:tc>
        <w:tc>
          <w:tcPr>
            <w:tcW w:w="778" w:type="dxa"/>
            <w:vAlign w:val="center"/>
          </w:tcPr>
          <w:p w14:paraId="2551F137" w14:textId="77777777" w:rsidR="00DD13BF" w:rsidRPr="00347461" w:rsidRDefault="00DD13BF" w:rsidP="00355A56">
            <w:pPr>
              <w:pStyle w:val="TableParagraph"/>
              <w:rPr>
                <w:sz w:val="20"/>
              </w:rPr>
            </w:pPr>
            <w:r>
              <w:t>ID</w:t>
            </w:r>
          </w:p>
        </w:tc>
        <w:tc>
          <w:tcPr>
            <w:tcW w:w="3049" w:type="dxa"/>
            <w:vAlign w:val="center"/>
          </w:tcPr>
          <w:p w14:paraId="539F8A12" w14:textId="77777777" w:rsidR="00DD13BF" w:rsidRPr="00347461" w:rsidRDefault="00DD13BF" w:rsidP="00355A56">
            <w:pPr>
              <w:pStyle w:val="TableParagraph"/>
              <w:rPr>
                <w:sz w:val="20"/>
              </w:rPr>
            </w:pPr>
            <w:r>
              <w:t>Indicators</w:t>
            </w:r>
          </w:p>
        </w:tc>
        <w:tc>
          <w:tcPr>
            <w:tcW w:w="1276" w:type="dxa"/>
            <w:vAlign w:val="center"/>
          </w:tcPr>
          <w:p w14:paraId="2A80AC22" w14:textId="77777777" w:rsidR="00DD13BF" w:rsidRPr="00347461" w:rsidRDefault="00DD13BF" w:rsidP="00355A56">
            <w:pPr>
              <w:pStyle w:val="TableParagraph"/>
              <w:rPr>
                <w:sz w:val="20"/>
              </w:rPr>
            </w:pPr>
            <w:r>
              <w:t>Measurement unit</w:t>
            </w:r>
          </w:p>
        </w:tc>
        <w:tc>
          <w:tcPr>
            <w:tcW w:w="1418" w:type="dxa"/>
            <w:vAlign w:val="center"/>
          </w:tcPr>
          <w:p w14:paraId="255854CB" w14:textId="77777777" w:rsidR="00DD13BF" w:rsidRPr="00347461" w:rsidRDefault="00DD13BF" w:rsidP="00355A56">
            <w:pPr>
              <w:pStyle w:val="TableParagraph"/>
              <w:rPr>
                <w:sz w:val="20"/>
              </w:rPr>
            </w:pPr>
            <w:r>
              <w:t>Milestone (2014)</w:t>
            </w:r>
          </w:p>
        </w:tc>
        <w:tc>
          <w:tcPr>
            <w:tcW w:w="1134" w:type="dxa"/>
            <w:vAlign w:val="center"/>
          </w:tcPr>
          <w:p w14:paraId="48B9AB50" w14:textId="77777777" w:rsidR="00DD13BF" w:rsidRDefault="00DD13BF" w:rsidP="00355A56">
            <w:pPr>
              <w:pStyle w:val="TableParagraph"/>
            </w:pPr>
            <w:r>
              <w:t>Target (2029)</w:t>
            </w:r>
          </w:p>
        </w:tc>
      </w:tr>
      <w:tr w:rsidR="00DD13BF" w14:paraId="2BC7FCFF" w14:textId="77777777" w:rsidTr="00355A56">
        <w:trPr>
          <w:trHeight w:val="367"/>
        </w:trPr>
        <w:tc>
          <w:tcPr>
            <w:tcW w:w="1834" w:type="dxa"/>
          </w:tcPr>
          <w:p w14:paraId="675275D1" w14:textId="77777777" w:rsidR="00DD13BF" w:rsidRPr="00965D67" w:rsidRDefault="00DD13BF" w:rsidP="00355A56">
            <w:pPr>
              <w:pStyle w:val="TableParagraph"/>
              <w:rPr>
                <w:sz w:val="20"/>
              </w:rPr>
            </w:pPr>
            <w:r>
              <w:rPr>
                <w:sz w:val="20"/>
              </w:rPr>
              <w:t>3</w:t>
            </w:r>
          </w:p>
        </w:tc>
        <w:tc>
          <w:tcPr>
            <w:tcW w:w="1417" w:type="dxa"/>
          </w:tcPr>
          <w:p w14:paraId="617EC99C" w14:textId="77777777" w:rsidR="00DD13BF" w:rsidRPr="00965D67" w:rsidRDefault="00DD13BF" w:rsidP="00355A56">
            <w:pPr>
              <w:pStyle w:val="TableParagraph"/>
              <w:rPr>
                <w:sz w:val="20"/>
              </w:rPr>
            </w:pPr>
            <w:r>
              <w:rPr>
                <w:color w:val="000000"/>
                <w:sz w:val="20"/>
              </w:rPr>
              <w:t>RSO2.3</w:t>
            </w:r>
          </w:p>
        </w:tc>
        <w:tc>
          <w:tcPr>
            <w:tcW w:w="708" w:type="dxa"/>
          </w:tcPr>
          <w:p w14:paraId="58095B15" w14:textId="77777777" w:rsidR="00DD13BF" w:rsidRDefault="00DD13BF" w:rsidP="00355A56">
            <w:pPr>
              <w:pStyle w:val="TableParagraph"/>
              <w:rPr>
                <w:sz w:val="20"/>
              </w:rPr>
            </w:pPr>
            <w:r>
              <w:rPr>
                <w:sz w:val="20"/>
              </w:rPr>
              <w:t>ERDF</w:t>
            </w:r>
          </w:p>
          <w:p w14:paraId="79F826AB" w14:textId="77777777" w:rsidR="00DD13BF" w:rsidRPr="00965D67" w:rsidRDefault="00DD13BF" w:rsidP="00355A56">
            <w:pPr>
              <w:pStyle w:val="TableParagraph"/>
              <w:rPr>
                <w:sz w:val="20"/>
              </w:rPr>
            </w:pPr>
          </w:p>
        </w:tc>
        <w:tc>
          <w:tcPr>
            <w:tcW w:w="1844" w:type="dxa"/>
          </w:tcPr>
          <w:p w14:paraId="3FF0597E" w14:textId="77777777" w:rsidR="00DD13BF" w:rsidRDefault="00DD13BF" w:rsidP="00355A56">
            <w:pPr>
              <w:pStyle w:val="TableParagraph"/>
              <w:rPr>
                <w:sz w:val="20"/>
              </w:rPr>
            </w:pPr>
            <w:r>
              <w:rPr>
                <w:sz w:val="20"/>
              </w:rPr>
              <w:t>Less developed</w:t>
            </w:r>
          </w:p>
          <w:p w14:paraId="02A61BDB" w14:textId="77777777" w:rsidR="00DD13BF" w:rsidRPr="00965D67" w:rsidRDefault="00DD13BF" w:rsidP="00355A56">
            <w:pPr>
              <w:pStyle w:val="TableParagraph"/>
              <w:rPr>
                <w:sz w:val="20"/>
              </w:rPr>
            </w:pPr>
          </w:p>
        </w:tc>
        <w:tc>
          <w:tcPr>
            <w:tcW w:w="778" w:type="dxa"/>
          </w:tcPr>
          <w:p w14:paraId="3987554F" w14:textId="77777777" w:rsidR="00DD13BF" w:rsidRPr="00965D67" w:rsidRDefault="00DD13BF" w:rsidP="00355A56">
            <w:pPr>
              <w:pStyle w:val="TableParagraph"/>
              <w:rPr>
                <w:sz w:val="20"/>
              </w:rPr>
            </w:pPr>
            <w:r>
              <w:rPr>
                <w:sz w:val="20"/>
              </w:rPr>
              <w:t>RCO22</w:t>
            </w:r>
          </w:p>
        </w:tc>
        <w:tc>
          <w:tcPr>
            <w:tcW w:w="3049" w:type="dxa"/>
          </w:tcPr>
          <w:p w14:paraId="17E08CBF" w14:textId="77777777" w:rsidR="00DD13BF" w:rsidRPr="009568E8" w:rsidRDefault="00DD13BF" w:rsidP="00355A56">
            <w:pPr>
              <w:pStyle w:val="TableParagraph"/>
              <w:rPr>
                <w:sz w:val="20"/>
              </w:rPr>
            </w:pPr>
            <w:r>
              <w:rPr>
                <w:sz w:val="20"/>
              </w:rPr>
              <w:t>Additional production capacity for renewable energy (of which: electricity, thermal)</w:t>
            </w:r>
          </w:p>
        </w:tc>
        <w:tc>
          <w:tcPr>
            <w:tcW w:w="1276" w:type="dxa"/>
          </w:tcPr>
          <w:p w14:paraId="1C844C16" w14:textId="77777777" w:rsidR="00DD13BF" w:rsidRPr="00965D67" w:rsidRDefault="00DD13BF" w:rsidP="00355A56">
            <w:pPr>
              <w:pStyle w:val="TableParagraph"/>
              <w:rPr>
                <w:sz w:val="20"/>
              </w:rPr>
            </w:pPr>
            <w:r>
              <w:rPr>
                <w:sz w:val="20"/>
              </w:rPr>
              <w:t>MW</w:t>
            </w:r>
          </w:p>
        </w:tc>
        <w:tc>
          <w:tcPr>
            <w:tcW w:w="1418" w:type="dxa"/>
          </w:tcPr>
          <w:p w14:paraId="1A67B386" w14:textId="77777777" w:rsidR="00DD13BF" w:rsidRPr="00965D67" w:rsidRDefault="00DD13BF" w:rsidP="00355A56">
            <w:pPr>
              <w:pStyle w:val="TableParagraph"/>
              <w:rPr>
                <w:sz w:val="20"/>
              </w:rPr>
            </w:pPr>
            <w:r>
              <w:rPr>
                <w:sz w:val="20"/>
              </w:rPr>
              <w:t>0</w:t>
            </w:r>
          </w:p>
        </w:tc>
        <w:tc>
          <w:tcPr>
            <w:tcW w:w="1134" w:type="dxa"/>
          </w:tcPr>
          <w:p w14:paraId="175ED2C1" w14:textId="77777777" w:rsidR="00DD13BF" w:rsidRPr="00965D67" w:rsidRDefault="00DD13BF" w:rsidP="00355A56">
            <w:pPr>
              <w:pStyle w:val="TableParagraph"/>
              <w:rPr>
                <w:sz w:val="20"/>
              </w:rPr>
            </w:pPr>
            <w:r>
              <w:rPr>
                <w:sz w:val="20"/>
              </w:rPr>
              <w:t>24</w:t>
            </w:r>
          </w:p>
        </w:tc>
      </w:tr>
      <w:tr w:rsidR="00DD13BF" w14:paraId="5FF77B5C" w14:textId="77777777" w:rsidTr="00355A56">
        <w:trPr>
          <w:trHeight w:val="367"/>
        </w:trPr>
        <w:tc>
          <w:tcPr>
            <w:tcW w:w="1834" w:type="dxa"/>
          </w:tcPr>
          <w:p w14:paraId="32419608" w14:textId="77777777" w:rsidR="00DD13BF" w:rsidRDefault="00DD13BF" w:rsidP="00355A56">
            <w:pPr>
              <w:pStyle w:val="TableParagraph"/>
              <w:rPr>
                <w:sz w:val="20"/>
              </w:rPr>
            </w:pPr>
            <w:r>
              <w:rPr>
                <w:sz w:val="20"/>
              </w:rPr>
              <w:t>3</w:t>
            </w:r>
          </w:p>
        </w:tc>
        <w:tc>
          <w:tcPr>
            <w:tcW w:w="1417" w:type="dxa"/>
          </w:tcPr>
          <w:p w14:paraId="1925911E" w14:textId="77777777" w:rsidR="00DD13BF" w:rsidRDefault="00DD13BF" w:rsidP="00355A56">
            <w:pPr>
              <w:pStyle w:val="TableParagraph"/>
              <w:rPr>
                <w:sz w:val="20"/>
              </w:rPr>
            </w:pPr>
            <w:r>
              <w:rPr>
                <w:color w:val="000000"/>
                <w:sz w:val="20"/>
              </w:rPr>
              <w:t>RSO2.3</w:t>
            </w:r>
          </w:p>
        </w:tc>
        <w:tc>
          <w:tcPr>
            <w:tcW w:w="708" w:type="dxa"/>
          </w:tcPr>
          <w:p w14:paraId="513CE811" w14:textId="77777777" w:rsidR="00DD13BF" w:rsidRDefault="00DD13BF" w:rsidP="00355A56">
            <w:pPr>
              <w:pStyle w:val="TableParagraph"/>
              <w:rPr>
                <w:sz w:val="20"/>
              </w:rPr>
            </w:pPr>
            <w:r>
              <w:rPr>
                <w:sz w:val="20"/>
              </w:rPr>
              <w:t>ERDF</w:t>
            </w:r>
          </w:p>
        </w:tc>
        <w:tc>
          <w:tcPr>
            <w:tcW w:w="1844" w:type="dxa"/>
          </w:tcPr>
          <w:p w14:paraId="289FA88C" w14:textId="77777777" w:rsidR="00DD13BF" w:rsidRDefault="00DD13BF" w:rsidP="00355A56">
            <w:pPr>
              <w:pStyle w:val="TableParagraph"/>
              <w:rPr>
                <w:sz w:val="20"/>
              </w:rPr>
            </w:pPr>
            <w:r>
              <w:rPr>
                <w:sz w:val="20"/>
              </w:rPr>
              <w:t>More developed</w:t>
            </w:r>
          </w:p>
        </w:tc>
        <w:tc>
          <w:tcPr>
            <w:tcW w:w="778" w:type="dxa"/>
          </w:tcPr>
          <w:p w14:paraId="1011CA92" w14:textId="77777777" w:rsidR="00DD13BF" w:rsidRDefault="00DD13BF" w:rsidP="00355A56">
            <w:pPr>
              <w:pStyle w:val="TableParagraph"/>
              <w:rPr>
                <w:sz w:val="20"/>
              </w:rPr>
            </w:pPr>
            <w:r>
              <w:rPr>
                <w:sz w:val="20"/>
              </w:rPr>
              <w:t>RCO22</w:t>
            </w:r>
          </w:p>
        </w:tc>
        <w:tc>
          <w:tcPr>
            <w:tcW w:w="3049" w:type="dxa"/>
          </w:tcPr>
          <w:p w14:paraId="1594F000" w14:textId="77777777" w:rsidR="00DD13BF" w:rsidRDefault="00DD13BF" w:rsidP="00355A56">
            <w:pPr>
              <w:pStyle w:val="TableParagraph"/>
              <w:rPr>
                <w:sz w:val="20"/>
              </w:rPr>
            </w:pPr>
            <w:r>
              <w:rPr>
                <w:sz w:val="20"/>
              </w:rPr>
              <w:t>Additional production capacity for renewable energy (of which: electricity, thermal)</w:t>
            </w:r>
          </w:p>
        </w:tc>
        <w:tc>
          <w:tcPr>
            <w:tcW w:w="1276" w:type="dxa"/>
          </w:tcPr>
          <w:p w14:paraId="0DC7E2E1" w14:textId="77777777" w:rsidR="00DD13BF" w:rsidRDefault="00DD13BF" w:rsidP="00355A56">
            <w:pPr>
              <w:pStyle w:val="TableParagraph"/>
              <w:rPr>
                <w:sz w:val="20"/>
              </w:rPr>
            </w:pPr>
            <w:r>
              <w:rPr>
                <w:sz w:val="20"/>
              </w:rPr>
              <w:t>MW</w:t>
            </w:r>
          </w:p>
        </w:tc>
        <w:tc>
          <w:tcPr>
            <w:tcW w:w="1418" w:type="dxa"/>
          </w:tcPr>
          <w:p w14:paraId="48579207" w14:textId="77777777" w:rsidR="00DD13BF" w:rsidRDefault="00DD13BF" w:rsidP="00355A56">
            <w:pPr>
              <w:pStyle w:val="TableParagraph"/>
              <w:rPr>
                <w:sz w:val="20"/>
              </w:rPr>
            </w:pPr>
            <w:r>
              <w:rPr>
                <w:sz w:val="20"/>
              </w:rPr>
              <w:t>0</w:t>
            </w:r>
          </w:p>
        </w:tc>
        <w:tc>
          <w:tcPr>
            <w:tcW w:w="1134" w:type="dxa"/>
          </w:tcPr>
          <w:p w14:paraId="6289EA89" w14:textId="77777777" w:rsidR="00DD13BF" w:rsidRDefault="00DD13BF" w:rsidP="00355A56">
            <w:pPr>
              <w:pStyle w:val="TableParagraph"/>
              <w:rPr>
                <w:sz w:val="20"/>
              </w:rPr>
            </w:pPr>
            <w:r>
              <w:rPr>
                <w:sz w:val="20"/>
              </w:rPr>
              <w:t>6</w:t>
            </w:r>
          </w:p>
        </w:tc>
      </w:tr>
      <w:tr w:rsidR="00DD13BF" w14:paraId="3FDD70C5" w14:textId="77777777" w:rsidTr="00355A56">
        <w:trPr>
          <w:trHeight w:val="367"/>
        </w:trPr>
        <w:tc>
          <w:tcPr>
            <w:tcW w:w="1834" w:type="dxa"/>
          </w:tcPr>
          <w:p w14:paraId="34446059" w14:textId="77777777" w:rsidR="00DD13BF" w:rsidRDefault="00DD13BF" w:rsidP="00355A56">
            <w:pPr>
              <w:pStyle w:val="TableParagraph"/>
              <w:rPr>
                <w:sz w:val="20"/>
              </w:rPr>
            </w:pPr>
            <w:r>
              <w:rPr>
                <w:sz w:val="20"/>
              </w:rPr>
              <w:t>3</w:t>
            </w:r>
          </w:p>
        </w:tc>
        <w:tc>
          <w:tcPr>
            <w:tcW w:w="1417" w:type="dxa"/>
          </w:tcPr>
          <w:p w14:paraId="3E310DB3" w14:textId="77777777" w:rsidR="00DD13BF" w:rsidRDefault="00DD13BF" w:rsidP="00355A56">
            <w:pPr>
              <w:pStyle w:val="TableParagraph"/>
              <w:rPr>
                <w:sz w:val="20"/>
              </w:rPr>
            </w:pPr>
            <w:r>
              <w:rPr>
                <w:color w:val="000000"/>
                <w:sz w:val="20"/>
              </w:rPr>
              <w:t>RSO2.3</w:t>
            </w:r>
          </w:p>
        </w:tc>
        <w:tc>
          <w:tcPr>
            <w:tcW w:w="708" w:type="dxa"/>
          </w:tcPr>
          <w:p w14:paraId="7AE75DEC" w14:textId="77777777" w:rsidR="00DD13BF" w:rsidRDefault="00DD13BF" w:rsidP="00355A56">
            <w:pPr>
              <w:pStyle w:val="TableParagraph"/>
              <w:rPr>
                <w:sz w:val="20"/>
              </w:rPr>
            </w:pPr>
            <w:r>
              <w:rPr>
                <w:sz w:val="20"/>
              </w:rPr>
              <w:t>CF</w:t>
            </w:r>
          </w:p>
        </w:tc>
        <w:tc>
          <w:tcPr>
            <w:tcW w:w="1844" w:type="dxa"/>
          </w:tcPr>
          <w:p w14:paraId="190B1508" w14:textId="77777777" w:rsidR="00DD13BF" w:rsidRDefault="00DD13BF" w:rsidP="00355A56">
            <w:pPr>
              <w:pStyle w:val="TableParagraph"/>
              <w:rPr>
                <w:sz w:val="20"/>
              </w:rPr>
            </w:pPr>
            <w:r>
              <w:rPr>
                <w:sz w:val="20"/>
              </w:rPr>
              <w:t>Entire Slovenia</w:t>
            </w:r>
          </w:p>
        </w:tc>
        <w:tc>
          <w:tcPr>
            <w:tcW w:w="778" w:type="dxa"/>
          </w:tcPr>
          <w:p w14:paraId="593295C4" w14:textId="77777777" w:rsidR="00DD13BF" w:rsidRDefault="00DD13BF" w:rsidP="00355A56">
            <w:pPr>
              <w:pStyle w:val="TableParagraph"/>
              <w:rPr>
                <w:sz w:val="20"/>
              </w:rPr>
            </w:pPr>
            <w:r>
              <w:rPr>
                <w:sz w:val="20"/>
              </w:rPr>
              <w:t>RCO22</w:t>
            </w:r>
          </w:p>
        </w:tc>
        <w:tc>
          <w:tcPr>
            <w:tcW w:w="3049" w:type="dxa"/>
          </w:tcPr>
          <w:p w14:paraId="04A87372" w14:textId="77777777" w:rsidR="00DD13BF" w:rsidRDefault="00DD13BF" w:rsidP="00355A56">
            <w:pPr>
              <w:pStyle w:val="TableParagraph"/>
              <w:rPr>
                <w:sz w:val="20"/>
              </w:rPr>
            </w:pPr>
            <w:r>
              <w:rPr>
                <w:sz w:val="20"/>
              </w:rPr>
              <w:t>Additional production capacity for renewable energy (of which: electricity, thermal)</w:t>
            </w:r>
          </w:p>
        </w:tc>
        <w:tc>
          <w:tcPr>
            <w:tcW w:w="1276" w:type="dxa"/>
          </w:tcPr>
          <w:p w14:paraId="4D619DD3" w14:textId="77777777" w:rsidR="00DD13BF" w:rsidRDefault="00DD13BF" w:rsidP="00355A56">
            <w:pPr>
              <w:pStyle w:val="TableParagraph"/>
              <w:rPr>
                <w:sz w:val="20"/>
              </w:rPr>
            </w:pPr>
            <w:r>
              <w:rPr>
                <w:sz w:val="20"/>
              </w:rPr>
              <w:t>MW</w:t>
            </w:r>
          </w:p>
        </w:tc>
        <w:tc>
          <w:tcPr>
            <w:tcW w:w="1418" w:type="dxa"/>
          </w:tcPr>
          <w:p w14:paraId="34F09772" w14:textId="77777777" w:rsidR="00DD13BF" w:rsidRDefault="00DD13BF" w:rsidP="00355A56">
            <w:pPr>
              <w:pStyle w:val="TableParagraph"/>
              <w:rPr>
                <w:sz w:val="20"/>
              </w:rPr>
            </w:pPr>
            <w:r>
              <w:rPr>
                <w:sz w:val="20"/>
              </w:rPr>
              <w:t>0</w:t>
            </w:r>
          </w:p>
        </w:tc>
        <w:tc>
          <w:tcPr>
            <w:tcW w:w="1134" w:type="dxa"/>
          </w:tcPr>
          <w:p w14:paraId="0CEECA8E" w14:textId="77777777" w:rsidR="00DD13BF" w:rsidRDefault="00DD13BF" w:rsidP="00355A56">
            <w:pPr>
              <w:pStyle w:val="TableParagraph"/>
              <w:rPr>
                <w:sz w:val="20"/>
              </w:rPr>
            </w:pPr>
            <w:r>
              <w:rPr>
                <w:sz w:val="20"/>
              </w:rPr>
              <w:t>15</w:t>
            </w:r>
          </w:p>
        </w:tc>
      </w:tr>
      <w:tr w:rsidR="00DD13BF" w14:paraId="0069E17B" w14:textId="77777777" w:rsidTr="00355A56">
        <w:trPr>
          <w:trHeight w:val="367"/>
        </w:trPr>
        <w:tc>
          <w:tcPr>
            <w:tcW w:w="1834" w:type="dxa"/>
          </w:tcPr>
          <w:p w14:paraId="2D3BFE79" w14:textId="77777777" w:rsidR="00DD13BF" w:rsidRDefault="00DD13BF" w:rsidP="00355A56">
            <w:pPr>
              <w:pStyle w:val="TableParagraph"/>
              <w:rPr>
                <w:sz w:val="20"/>
              </w:rPr>
            </w:pPr>
            <w:r>
              <w:rPr>
                <w:sz w:val="20"/>
              </w:rPr>
              <w:t>3</w:t>
            </w:r>
          </w:p>
        </w:tc>
        <w:tc>
          <w:tcPr>
            <w:tcW w:w="1417" w:type="dxa"/>
          </w:tcPr>
          <w:p w14:paraId="719E37AE" w14:textId="77777777" w:rsidR="00DD13BF" w:rsidRDefault="00DD13BF" w:rsidP="00355A56">
            <w:pPr>
              <w:pStyle w:val="TableParagraph"/>
              <w:rPr>
                <w:sz w:val="20"/>
              </w:rPr>
            </w:pPr>
            <w:r>
              <w:rPr>
                <w:color w:val="000000"/>
                <w:sz w:val="20"/>
              </w:rPr>
              <w:t>RSO2.3</w:t>
            </w:r>
          </w:p>
        </w:tc>
        <w:tc>
          <w:tcPr>
            <w:tcW w:w="708" w:type="dxa"/>
          </w:tcPr>
          <w:p w14:paraId="5DCAF23D" w14:textId="77777777" w:rsidR="00DD13BF" w:rsidRDefault="00DD13BF" w:rsidP="00355A56">
            <w:pPr>
              <w:pStyle w:val="TableParagraph"/>
              <w:rPr>
                <w:sz w:val="20"/>
              </w:rPr>
            </w:pPr>
            <w:r>
              <w:rPr>
                <w:sz w:val="20"/>
              </w:rPr>
              <w:t>ERDF</w:t>
            </w:r>
          </w:p>
          <w:p w14:paraId="4DBBFAE1" w14:textId="77777777" w:rsidR="00DD13BF" w:rsidRDefault="00DD13BF" w:rsidP="00355A56">
            <w:pPr>
              <w:pStyle w:val="TableParagraph"/>
              <w:rPr>
                <w:sz w:val="20"/>
              </w:rPr>
            </w:pPr>
          </w:p>
        </w:tc>
        <w:tc>
          <w:tcPr>
            <w:tcW w:w="1844" w:type="dxa"/>
          </w:tcPr>
          <w:p w14:paraId="3F947915" w14:textId="77777777" w:rsidR="00DD13BF" w:rsidRDefault="00DD13BF" w:rsidP="00355A56">
            <w:pPr>
              <w:pStyle w:val="TableParagraph"/>
              <w:rPr>
                <w:sz w:val="20"/>
              </w:rPr>
            </w:pPr>
            <w:r>
              <w:rPr>
                <w:sz w:val="20"/>
              </w:rPr>
              <w:t>Less developed</w:t>
            </w:r>
          </w:p>
          <w:p w14:paraId="3DF5F152" w14:textId="77777777" w:rsidR="00DD13BF" w:rsidRDefault="00DD13BF" w:rsidP="00355A56">
            <w:pPr>
              <w:pStyle w:val="TableParagraph"/>
              <w:rPr>
                <w:sz w:val="20"/>
              </w:rPr>
            </w:pPr>
          </w:p>
        </w:tc>
        <w:tc>
          <w:tcPr>
            <w:tcW w:w="778" w:type="dxa"/>
          </w:tcPr>
          <w:p w14:paraId="1F37B6B3" w14:textId="77777777" w:rsidR="00DD13BF" w:rsidRDefault="00DD13BF" w:rsidP="00355A56">
            <w:pPr>
              <w:pStyle w:val="TableParagraph"/>
              <w:rPr>
                <w:sz w:val="20"/>
              </w:rPr>
            </w:pPr>
            <w:r>
              <w:rPr>
                <w:sz w:val="20"/>
              </w:rPr>
              <w:t>RCO105</w:t>
            </w:r>
          </w:p>
        </w:tc>
        <w:tc>
          <w:tcPr>
            <w:tcW w:w="3049" w:type="dxa"/>
          </w:tcPr>
          <w:p w14:paraId="3768B7B0" w14:textId="77777777" w:rsidR="00DD13BF" w:rsidRPr="009568E8" w:rsidRDefault="00DD13BF" w:rsidP="00355A56">
            <w:pPr>
              <w:pStyle w:val="TableParagraph"/>
              <w:rPr>
                <w:sz w:val="20"/>
              </w:rPr>
            </w:pPr>
            <w:r>
              <w:rPr>
                <w:sz w:val="20"/>
              </w:rPr>
              <w:t xml:space="preserve"> Solutions for electricity storage</w:t>
            </w:r>
          </w:p>
        </w:tc>
        <w:tc>
          <w:tcPr>
            <w:tcW w:w="1276" w:type="dxa"/>
          </w:tcPr>
          <w:p w14:paraId="475B996D" w14:textId="77777777" w:rsidR="00DD13BF" w:rsidRDefault="00DD13BF" w:rsidP="00355A56">
            <w:pPr>
              <w:pStyle w:val="TableParagraph"/>
              <w:rPr>
                <w:sz w:val="20"/>
              </w:rPr>
            </w:pPr>
            <w:r>
              <w:rPr>
                <w:color w:val="000000"/>
                <w:sz w:val="20"/>
              </w:rPr>
              <w:t>MWh</w:t>
            </w:r>
          </w:p>
        </w:tc>
        <w:tc>
          <w:tcPr>
            <w:tcW w:w="1418" w:type="dxa"/>
          </w:tcPr>
          <w:p w14:paraId="2019D72C" w14:textId="77777777" w:rsidR="00DD13BF" w:rsidRDefault="00DD13BF" w:rsidP="00355A56">
            <w:pPr>
              <w:pStyle w:val="TableParagraph"/>
              <w:rPr>
                <w:sz w:val="20"/>
              </w:rPr>
            </w:pPr>
            <w:r>
              <w:rPr>
                <w:sz w:val="20"/>
              </w:rPr>
              <w:t>0</w:t>
            </w:r>
          </w:p>
        </w:tc>
        <w:tc>
          <w:tcPr>
            <w:tcW w:w="1134" w:type="dxa"/>
          </w:tcPr>
          <w:p w14:paraId="1A606E08" w14:textId="77777777" w:rsidR="00DD13BF" w:rsidRDefault="00DD13BF" w:rsidP="00355A56">
            <w:pPr>
              <w:pStyle w:val="TableParagraph"/>
              <w:rPr>
                <w:sz w:val="20"/>
              </w:rPr>
            </w:pPr>
            <w:r>
              <w:rPr>
                <w:sz w:val="20"/>
              </w:rPr>
              <w:t>2</w:t>
            </w:r>
          </w:p>
        </w:tc>
      </w:tr>
      <w:tr w:rsidR="00DD13BF" w14:paraId="44864B8B" w14:textId="77777777" w:rsidTr="00355A56">
        <w:trPr>
          <w:trHeight w:val="367"/>
        </w:trPr>
        <w:tc>
          <w:tcPr>
            <w:tcW w:w="1834" w:type="dxa"/>
          </w:tcPr>
          <w:p w14:paraId="78FBE47A" w14:textId="77777777" w:rsidR="00DD13BF" w:rsidRDefault="00DD13BF" w:rsidP="00355A56">
            <w:pPr>
              <w:pStyle w:val="TableParagraph"/>
              <w:rPr>
                <w:sz w:val="20"/>
              </w:rPr>
            </w:pPr>
            <w:r>
              <w:rPr>
                <w:sz w:val="20"/>
              </w:rPr>
              <w:t>3</w:t>
            </w:r>
          </w:p>
        </w:tc>
        <w:tc>
          <w:tcPr>
            <w:tcW w:w="1417" w:type="dxa"/>
          </w:tcPr>
          <w:p w14:paraId="72791062" w14:textId="77777777" w:rsidR="00DD13BF" w:rsidRDefault="00DD13BF" w:rsidP="00355A56">
            <w:pPr>
              <w:pStyle w:val="TableParagraph"/>
              <w:rPr>
                <w:sz w:val="20"/>
              </w:rPr>
            </w:pPr>
            <w:r>
              <w:rPr>
                <w:color w:val="000000"/>
                <w:sz w:val="20"/>
              </w:rPr>
              <w:t>RSO2.3</w:t>
            </w:r>
          </w:p>
        </w:tc>
        <w:tc>
          <w:tcPr>
            <w:tcW w:w="708" w:type="dxa"/>
          </w:tcPr>
          <w:p w14:paraId="297675C4" w14:textId="77777777" w:rsidR="00DD13BF" w:rsidRDefault="00DD13BF" w:rsidP="00355A56">
            <w:pPr>
              <w:pStyle w:val="TableParagraph"/>
              <w:rPr>
                <w:sz w:val="20"/>
              </w:rPr>
            </w:pPr>
            <w:r>
              <w:rPr>
                <w:sz w:val="20"/>
              </w:rPr>
              <w:t>ERDF</w:t>
            </w:r>
          </w:p>
        </w:tc>
        <w:tc>
          <w:tcPr>
            <w:tcW w:w="1844" w:type="dxa"/>
          </w:tcPr>
          <w:p w14:paraId="4090A4EA" w14:textId="77777777" w:rsidR="00DD13BF" w:rsidRDefault="00DD13BF" w:rsidP="00355A56">
            <w:pPr>
              <w:pStyle w:val="TableParagraph"/>
              <w:rPr>
                <w:sz w:val="20"/>
              </w:rPr>
            </w:pPr>
            <w:r>
              <w:rPr>
                <w:sz w:val="20"/>
              </w:rPr>
              <w:t>More developed</w:t>
            </w:r>
          </w:p>
        </w:tc>
        <w:tc>
          <w:tcPr>
            <w:tcW w:w="778" w:type="dxa"/>
          </w:tcPr>
          <w:p w14:paraId="08136E24" w14:textId="77777777" w:rsidR="00DD13BF" w:rsidRDefault="00DD13BF" w:rsidP="00355A56">
            <w:pPr>
              <w:pStyle w:val="TableParagraph"/>
              <w:rPr>
                <w:sz w:val="20"/>
              </w:rPr>
            </w:pPr>
            <w:r>
              <w:rPr>
                <w:sz w:val="20"/>
              </w:rPr>
              <w:t>RCO105</w:t>
            </w:r>
          </w:p>
        </w:tc>
        <w:tc>
          <w:tcPr>
            <w:tcW w:w="3049" w:type="dxa"/>
          </w:tcPr>
          <w:p w14:paraId="6C751957" w14:textId="77777777" w:rsidR="00DD13BF" w:rsidRDefault="00DD13BF" w:rsidP="00355A56">
            <w:pPr>
              <w:pStyle w:val="TableParagraph"/>
              <w:rPr>
                <w:sz w:val="20"/>
              </w:rPr>
            </w:pPr>
            <w:r>
              <w:rPr>
                <w:sz w:val="20"/>
              </w:rPr>
              <w:t>Solutions for electricity storage</w:t>
            </w:r>
          </w:p>
        </w:tc>
        <w:tc>
          <w:tcPr>
            <w:tcW w:w="1276" w:type="dxa"/>
          </w:tcPr>
          <w:p w14:paraId="635A1CA2" w14:textId="77777777" w:rsidR="00DD13BF" w:rsidRDefault="00DD13BF" w:rsidP="00355A56">
            <w:pPr>
              <w:pStyle w:val="TableParagraph"/>
              <w:rPr>
                <w:sz w:val="20"/>
              </w:rPr>
            </w:pPr>
            <w:r>
              <w:rPr>
                <w:color w:val="000000"/>
                <w:sz w:val="20"/>
              </w:rPr>
              <w:t>MWh</w:t>
            </w:r>
          </w:p>
        </w:tc>
        <w:tc>
          <w:tcPr>
            <w:tcW w:w="1418" w:type="dxa"/>
          </w:tcPr>
          <w:p w14:paraId="130960C6" w14:textId="77777777" w:rsidR="00DD13BF" w:rsidRDefault="00DD13BF" w:rsidP="00355A56">
            <w:pPr>
              <w:pStyle w:val="TableParagraph"/>
              <w:rPr>
                <w:sz w:val="20"/>
              </w:rPr>
            </w:pPr>
            <w:r>
              <w:rPr>
                <w:sz w:val="20"/>
              </w:rPr>
              <w:t>0</w:t>
            </w:r>
          </w:p>
        </w:tc>
        <w:tc>
          <w:tcPr>
            <w:tcW w:w="1134" w:type="dxa"/>
          </w:tcPr>
          <w:p w14:paraId="69D25150" w14:textId="77777777" w:rsidR="00DD13BF" w:rsidRDefault="00DD13BF" w:rsidP="00355A56">
            <w:pPr>
              <w:pStyle w:val="TableParagraph"/>
              <w:rPr>
                <w:sz w:val="20"/>
              </w:rPr>
            </w:pPr>
            <w:r>
              <w:rPr>
                <w:sz w:val="20"/>
              </w:rPr>
              <w:t>1</w:t>
            </w:r>
          </w:p>
        </w:tc>
      </w:tr>
      <w:tr w:rsidR="00DD13BF" w14:paraId="45D68D22" w14:textId="77777777" w:rsidTr="00355A56">
        <w:trPr>
          <w:trHeight w:val="367"/>
        </w:trPr>
        <w:tc>
          <w:tcPr>
            <w:tcW w:w="1834" w:type="dxa"/>
          </w:tcPr>
          <w:p w14:paraId="6F0CF965" w14:textId="77777777" w:rsidR="00DD13BF" w:rsidRDefault="00DD13BF" w:rsidP="00355A56">
            <w:pPr>
              <w:pStyle w:val="TableParagraph"/>
              <w:rPr>
                <w:sz w:val="20"/>
              </w:rPr>
            </w:pPr>
            <w:r>
              <w:rPr>
                <w:sz w:val="20"/>
              </w:rPr>
              <w:t>3</w:t>
            </w:r>
          </w:p>
        </w:tc>
        <w:tc>
          <w:tcPr>
            <w:tcW w:w="1417" w:type="dxa"/>
          </w:tcPr>
          <w:p w14:paraId="5FC89917" w14:textId="77777777" w:rsidR="00DD13BF" w:rsidRDefault="00DD13BF" w:rsidP="00355A56">
            <w:pPr>
              <w:pStyle w:val="TableParagraph"/>
              <w:rPr>
                <w:sz w:val="20"/>
              </w:rPr>
            </w:pPr>
            <w:r>
              <w:rPr>
                <w:color w:val="000000"/>
                <w:sz w:val="20"/>
              </w:rPr>
              <w:t>RSO2.3</w:t>
            </w:r>
          </w:p>
        </w:tc>
        <w:tc>
          <w:tcPr>
            <w:tcW w:w="708" w:type="dxa"/>
          </w:tcPr>
          <w:p w14:paraId="2DA5FBDF" w14:textId="77777777" w:rsidR="00DD13BF" w:rsidRDefault="00DD13BF" w:rsidP="00355A56">
            <w:pPr>
              <w:pStyle w:val="TableParagraph"/>
              <w:rPr>
                <w:sz w:val="20"/>
              </w:rPr>
            </w:pPr>
            <w:r>
              <w:rPr>
                <w:sz w:val="20"/>
              </w:rPr>
              <w:t>CF</w:t>
            </w:r>
          </w:p>
        </w:tc>
        <w:tc>
          <w:tcPr>
            <w:tcW w:w="1844" w:type="dxa"/>
          </w:tcPr>
          <w:p w14:paraId="53BC5ECC" w14:textId="77777777" w:rsidR="00DD13BF" w:rsidRDefault="00DD13BF" w:rsidP="00355A56">
            <w:pPr>
              <w:pStyle w:val="TableParagraph"/>
              <w:rPr>
                <w:sz w:val="20"/>
              </w:rPr>
            </w:pPr>
            <w:r>
              <w:rPr>
                <w:sz w:val="20"/>
              </w:rPr>
              <w:t>Entire Slovenia</w:t>
            </w:r>
          </w:p>
        </w:tc>
        <w:tc>
          <w:tcPr>
            <w:tcW w:w="778" w:type="dxa"/>
          </w:tcPr>
          <w:p w14:paraId="7C8D8834" w14:textId="77777777" w:rsidR="00DD13BF" w:rsidRDefault="00DD13BF" w:rsidP="00355A56">
            <w:pPr>
              <w:pStyle w:val="TableParagraph"/>
              <w:rPr>
                <w:sz w:val="20"/>
              </w:rPr>
            </w:pPr>
            <w:r>
              <w:rPr>
                <w:sz w:val="20"/>
              </w:rPr>
              <w:t>RCO105</w:t>
            </w:r>
          </w:p>
        </w:tc>
        <w:tc>
          <w:tcPr>
            <w:tcW w:w="3049" w:type="dxa"/>
          </w:tcPr>
          <w:p w14:paraId="5CAF39C3" w14:textId="77777777" w:rsidR="00DD13BF" w:rsidRDefault="00DD13BF" w:rsidP="00355A56">
            <w:pPr>
              <w:pStyle w:val="TableParagraph"/>
              <w:rPr>
                <w:sz w:val="20"/>
              </w:rPr>
            </w:pPr>
            <w:r>
              <w:rPr>
                <w:sz w:val="20"/>
              </w:rPr>
              <w:t>Solutions for electricity storage</w:t>
            </w:r>
          </w:p>
        </w:tc>
        <w:tc>
          <w:tcPr>
            <w:tcW w:w="1276" w:type="dxa"/>
          </w:tcPr>
          <w:p w14:paraId="4947C5E1" w14:textId="77777777" w:rsidR="00DD13BF" w:rsidRDefault="00DD13BF" w:rsidP="00355A56">
            <w:pPr>
              <w:pStyle w:val="TableParagraph"/>
              <w:rPr>
                <w:sz w:val="20"/>
              </w:rPr>
            </w:pPr>
            <w:r>
              <w:rPr>
                <w:color w:val="000000"/>
                <w:sz w:val="20"/>
              </w:rPr>
              <w:t>MWh</w:t>
            </w:r>
          </w:p>
        </w:tc>
        <w:tc>
          <w:tcPr>
            <w:tcW w:w="1418" w:type="dxa"/>
          </w:tcPr>
          <w:p w14:paraId="617F32FC" w14:textId="77777777" w:rsidR="00DD13BF" w:rsidRDefault="00DD13BF" w:rsidP="00355A56">
            <w:pPr>
              <w:pStyle w:val="TableParagraph"/>
              <w:rPr>
                <w:sz w:val="20"/>
              </w:rPr>
            </w:pPr>
            <w:r>
              <w:rPr>
                <w:sz w:val="20"/>
              </w:rPr>
              <w:t>0</w:t>
            </w:r>
          </w:p>
        </w:tc>
        <w:tc>
          <w:tcPr>
            <w:tcW w:w="1134" w:type="dxa"/>
          </w:tcPr>
          <w:p w14:paraId="67D3DD1D" w14:textId="77777777" w:rsidR="00DD13BF" w:rsidRDefault="00DD13BF" w:rsidP="00355A56">
            <w:pPr>
              <w:pStyle w:val="TableParagraph"/>
              <w:rPr>
                <w:sz w:val="20"/>
              </w:rPr>
            </w:pPr>
            <w:r>
              <w:rPr>
                <w:sz w:val="20"/>
              </w:rPr>
              <w:t>2</w:t>
            </w:r>
          </w:p>
        </w:tc>
      </w:tr>
    </w:tbl>
    <w:p w14:paraId="52F124E5" w14:textId="77777777" w:rsidR="00DD13BF" w:rsidRDefault="00DD13BF" w:rsidP="00DD13BF">
      <w:pPr>
        <w:rPr>
          <w:sz w:val="24"/>
        </w:rPr>
      </w:pPr>
    </w:p>
    <w:p w14:paraId="08215357" w14:textId="77777777" w:rsidR="00DD13BF" w:rsidRDefault="00DD13BF" w:rsidP="00DD13BF">
      <w:pPr>
        <w:ind w:left="379"/>
      </w:pPr>
      <w:r>
        <w:t>Table 3: Result indicators</w:t>
      </w:r>
    </w:p>
    <w:p w14:paraId="0186E489" w14:textId="77777777" w:rsidR="00DD13BF" w:rsidRDefault="00DD13BF" w:rsidP="00DD13BF">
      <w:pPr>
        <w:rPr>
          <w:sz w:val="21"/>
        </w:rPr>
      </w:pPr>
    </w:p>
    <w:tbl>
      <w:tblPr>
        <w:tblStyle w:val="NormalTable0"/>
        <w:tblW w:w="13600"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692"/>
        <w:gridCol w:w="1276"/>
        <w:gridCol w:w="696"/>
        <w:gridCol w:w="1572"/>
        <w:gridCol w:w="709"/>
        <w:gridCol w:w="1843"/>
        <w:gridCol w:w="850"/>
        <w:gridCol w:w="1134"/>
        <w:gridCol w:w="993"/>
        <w:gridCol w:w="1134"/>
        <w:gridCol w:w="851"/>
        <w:gridCol w:w="850"/>
      </w:tblGrid>
      <w:tr w:rsidR="00DD13BF" w14:paraId="3556220D" w14:textId="77777777" w:rsidTr="00355A56">
        <w:trPr>
          <w:trHeight w:val="353"/>
        </w:trPr>
        <w:tc>
          <w:tcPr>
            <w:tcW w:w="1692" w:type="dxa"/>
          </w:tcPr>
          <w:p w14:paraId="2EFA0A87" w14:textId="77777777" w:rsidR="00DD13BF" w:rsidRPr="00347461" w:rsidRDefault="00DD13BF" w:rsidP="00355A56">
            <w:pPr>
              <w:pStyle w:val="TableParagraph"/>
              <w:rPr>
                <w:sz w:val="20"/>
              </w:rPr>
            </w:pPr>
            <w:r>
              <w:rPr>
                <w:sz w:val="20"/>
              </w:rPr>
              <w:t>Priority</w:t>
            </w:r>
          </w:p>
        </w:tc>
        <w:tc>
          <w:tcPr>
            <w:tcW w:w="1276" w:type="dxa"/>
          </w:tcPr>
          <w:p w14:paraId="49729DB5" w14:textId="77777777" w:rsidR="00DD13BF" w:rsidRPr="00347461" w:rsidRDefault="00DD13BF" w:rsidP="00355A56">
            <w:pPr>
              <w:pStyle w:val="TableParagraph"/>
              <w:rPr>
                <w:sz w:val="20"/>
              </w:rPr>
            </w:pPr>
            <w:r>
              <w:rPr>
                <w:sz w:val="20"/>
              </w:rPr>
              <w:t>Specific objective</w:t>
            </w:r>
          </w:p>
        </w:tc>
        <w:tc>
          <w:tcPr>
            <w:tcW w:w="696" w:type="dxa"/>
          </w:tcPr>
          <w:p w14:paraId="4D1904BA" w14:textId="77777777" w:rsidR="00DD13BF" w:rsidRPr="00347461" w:rsidRDefault="00DD13BF" w:rsidP="00355A56">
            <w:pPr>
              <w:pStyle w:val="TableParagraph"/>
              <w:rPr>
                <w:sz w:val="20"/>
              </w:rPr>
            </w:pPr>
            <w:r>
              <w:rPr>
                <w:sz w:val="20"/>
              </w:rPr>
              <w:t>Fund</w:t>
            </w:r>
          </w:p>
        </w:tc>
        <w:tc>
          <w:tcPr>
            <w:tcW w:w="1572" w:type="dxa"/>
          </w:tcPr>
          <w:p w14:paraId="53D73F2B" w14:textId="77777777" w:rsidR="00DD13BF" w:rsidRPr="00347461" w:rsidRDefault="00DD13BF" w:rsidP="00355A56">
            <w:pPr>
              <w:pStyle w:val="TableParagraph"/>
              <w:rPr>
                <w:sz w:val="20"/>
              </w:rPr>
            </w:pPr>
            <w:r>
              <w:rPr>
                <w:sz w:val="20"/>
              </w:rPr>
              <w:t>Category of region</w:t>
            </w:r>
          </w:p>
        </w:tc>
        <w:tc>
          <w:tcPr>
            <w:tcW w:w="709" w:type="dxa"/>
          </w:tcPr>
          <w:p w14:paraId="039F282C" w14:textId="77777777" w:rsidR="00DD13BF" w:rsidRPr="00347461" w:rsidRDefault="00DD13BF" w:rsidP="00355A56">
            <w:pPr>
              <w:pStyle w:val="TableParagraph"/>
              <w:rPr>
                <w:sz w:val="20"/>
              </w:rPr>
            </w:pPr>
            <w:r>
              <w:rPr>
                <w:sz w:val="20"/>
              </w:rPr>
              <w:t>ID</w:t>
            </w:r>
          </w:p>
        </w:tc>
        <w:tc>
          <w:tcPr>
            <w:tcW w:w="1843" w:type="dxa"/>
          </w:tcPr>
          <w:p w14:paraId="0BD4C168" w14:textId="77777777" w:rsidR="00DD13BF" w:rsidRPr="00347461" w:rsidRDefault="00DD13BF" w:rsidP="00355A56">
            <w:pPr>
              <w:pStyle w:val="TableParagraph"/>
              <w:rPr>
                <w:sz w:val="20"/>
              </w:rPr>
            </w:pPr>
            <w:r>
              <w:rPr>
                <w:sz w:val="20"/>
              </w:rPr>
              <w:t>Indicator</w:t>
            </w:r>
          </w:p>
        </w:tc>
        <w:tc>
          <w:tcPr>
            <w:tcW w:w="850" w:type="dxa"/>
          </w:tcPr>
          <w:p w14:paraId="7C0C66B4" w14:textId="77777777" w:rsidR="00DD13BF" w:rsidRPr="00347461" w:rsidRDefault="00DD13BF" w:rsidP="00355A56">
            <w:pPr>
              <w:pStyle w:val="TableParagraph"/>
              <w:rPr>
                <w:sz w:val="20"/>
              </w:rPr>
            </w:pPr>
            <w:r>
              <w:rPr>
                <w:sz w:val="20"/>
              </w:rPr>
              <w:t>Measurement unit</w:t>
            </w:r>
          </w:p>
        </w:tc>
        <w:tc>
          <w:tcPr>
            <w:tcW w:w="1134" w:type="dxa"/>
          </w:tcPr>
          <w:p w14:paraId="02CD02E0" w14:textId="77777777" w:rsidR="00DD13BF" w:rsidRPr="00347461" w:rsidRDefault="00DD13BF" w:rsidP="00355A56">
            <w:pPr>
              <w:pStyle w:val="TableParagraph"/>
              <w:rPr>
                <w:sz w:val="20"/>
              </w:rPr>
            </w:pPr>
            <w:r>
              <w:rPr>
                <w:sz w:val="20"/>
              </w:rPr>
              <w:t>Baseline or reference value</w:t>
            </w:r>
          </w:p>
        </w:tc>
        <w:tc>
          <w:tcPr>
            <w:tcW w:w="993" w:type="dxa"/>
          </w:tcPr>
          <w:p w14:paraId="0DF40C0B" w14:textId="77777777" w:rsidR="00DD13BF" w:rsidRPr="00347461" w:rsidRDefault="00DD13BF" w:rsidP="00355A56">
            <w:pPr>
              <w:pStyle w:val="TableParagraph"/>
              <w:rPr>
                <w:sz w:val="20"/>
              </w:rPr>
            </w:pPr>
            <w:r>
              <w:rPr>
                <w:sz w:val="20"/>
              </w:rPr>
              <w:t>Reference year</w:t>
            </w:r>
          </w:p>
        </w:tc>
        <w:tc>
          <w:tcPr>
            <w:tcW w:w="1134" w:type="dxa"/>
          </w:tcPr>
          <w:p w14:paraId="667EAC1B" w14:textId="77777777" w:rsidR="00DD13BF" w:rsidRPr="00347461" w:rsidRDefault="00DD13BF" w:rsidP="00355A56">
            <w:pPr>
              <w:pStyle w:val="TableParagraph"/>
              <w:rPr>
                <w:sz w:val="20"/>
              </w:rPr>
            </w:pPr>
            <w:r>
              <w:rPr>
                <w:sz w:val="20"/>
              </w:rPr>
              <w:t>Target (2029)</w:t>
            </w:r>
          </w:p>
        </w:tc>
        <w:tc>
          <w:tcPr>
            <w:tcW w:w="851" w:type="dxa"/>
          </w:tcPr>
          <w:p w14:paraId="249D7BCD" w14:textId="77777777" w:rsidR="00DD13BF" w:rsidRPr="00347461" w:rsidRDefault="00DD13BF" w:rsidP="00355A56">
            <w:pPr>
              <w:pStyle w:val="TableParagraph"/>
              <w:rPr>
                <w:sz w:val="20"/>
              </w:rPr>
            </w:pPr>
            <w:r>
              <w:rPr>
                <w:sz w:val="20"/>
              </w:rPr>
              <w:t>Source of data</w:t>
            </w:r>
          </w:p>
        </w:tc>
        <w:tc>
          <w:tcPr>
            <w:tcW w:w="850" w:type="dxa"/>
          </w:tcPr>
          <w:p w14:paraId="48A321D7" w14:textId="77777777" w:rsidR="00DD13BF" w:rsidRPr="00347461" w:rsidRDefault="00DD13BF" w:rsidP="00355A56">
            <w:pPr>
              <w:pStyle w:val="TableParagraph"/>
              <w:rPr>
                <w:sz w:val="20"/>
              </w:rPr>
            </w:pPr>
            <w:r>
              <w:rPr>
                <w:sz w:val="20"/>
              </w:rPr>
              <w:t>Comments</w:t>
            </w:r>
          </w:p>
        </w:tc>
      </w:tr>
      <w:tr w:rsidR="00DD13BF" w14:paraId="365786BF" w14:textId="77777777" w:rsidTr="00355A56">
        <w:trPr>
          <w:trHeight w:val="353"/>
        </w:trPr>
        <w:tc>
          <w:tcPr>
            <w:tcW w:w="1692" w:type="dxa"/>
          </w:tcPr>
          <w:p w14:paraId="44652A9C" w14:textId="77777777" w:rsidR="00DD13BF" w:rsidRDefault="00DD13BF" w:rsidP="00355A56">
            <w:pPr>
              <w:pStyle w:val="TableParagraph"/>
              <w:rPr>
                <w:sz w:val="20"/>
              </w:rPr>
            </w:pPr>
            <w:r>
              <w:rPr>
                <w:sz w:val="20"/>
              </w:rPr>
              <w:t>3</w:t>
            </w:r>
          </w:p>
        </w:tc>
        <w:tc>
          <w:tcPr>
            <w:tcW w:w="1276" w:type="dxa"/>
          </w:tcPr>
          <w:p w14:paraId="78206CFF" w14:textId="77777777" w:rsidR="00DD13BF" w:rsidRDefault="00DD13BF" w:rsidP="00355A56">
            <w:pPr>
              <w:pStyle w:val="TableParagraph"/>
              <w:rPr>
                <w:sz w:val="20"/>
              </w:rPr>
            </w:pPr>
            <w:r>
              <w:rPr>
                <w:color w:val="000000"/>
                <w:sz w:val="20"/>
              </w:rPr>
              <w:t>RSO2.3</w:t>
            </w:r>
          </w:p>
        </w:tc>
        <w:tc>
          <w:tcPr>
            <w:tcW w:w="696" w:type="dxa"/>
          </w:tcPr>
          <w:p w14:paraId="0F027A09" w14:textId="77777777" w:rsidR="00DD13BF" w:rsidRDefault="00DD13BF" w:rsidP="00355A56">
            <w:pPr>
              <w:pStyle w:val="TableParagraph"/>
              <w:spacing w:line="259" w:lineRule="auto"/>
              <w:rPr>
                <w:sz w:val="20"/>
              </w:rPr>
            </w:pPr>
            <w:r>
              <w:rPr>
                <w:sz w:val="20"/>
              </w:rPr>
              <w:t>ERDF</w:t>
            </w:r>
          </w:p>
        </w:tc>
        <w:tc>
          <w:tcPr>
            <w:tcW w:w="1572" w:type="dxa"/>
          </w:tcPr>
          <w:p w14:paraId="6D10676F" w14:textId="77777777" w:rsidR="00DD13BF" w:rsidRDefault="00DD13BF" w:rsidP="00355A56">
            <w:pPr>
              <w:pStyle w:val="TableParagraph"/>
              <w:spacing w:line="259" w:lineRule="auto"/>
              <w:rPr>
                <w:sz w:val="20"/>
              </w:rPr>
            </w:pPr>
            <w:r>
              <w:rPr>
                <w:sz w:val="20"/>
              </w:rPr>
              <w:t>Less developed</w:t>
            </w:r>
          </w:p>
        </w:tc>
        <w:tc>
          <w:tcPr>
            <w:tcW w:w="709" w:type="dxa"/>
          </w:tcPr>
          <w:p w14:paraId="295D080F" w14:textId="77777777" w:rsidR="00DD13BF" w:rsidRPr="00965D67" w:rsidRDefault="00DD13BF" w:rsidP="00355A56">
            <w:pPr>
              <w:pStyle w:val="TableParagraph"/>
              <w:rPr>
                <w:rFonts w:cstheme="minorHAnsi"/>
                <w:sz w:val="20"/>
              </w:rPr>
            </w:pPr>
            <w:r>
              <w:rPr>
                <w:sz w:val="20"/>
              </w:rPr>
              <w:t>RCR34</w:t>
            </w:r>
          </w:p>
        </w:tc>
        <w:tc>
          <w:tcPr>
            <w:tcW w:w="1843" w:type="dxa"/>
          </w:tcPr>
          <w:p w14:paraId="710AEF4E" w14:textId="77777777" w:rsidR="00DD13BF" w:rsidRDefault="00DD13BF" w:rsidP="00355A56">
            <w:pPr>
              <w:pStyle w:val="TableParagraph"/>
              <w:rPr>
                <w:rFonts w:cstheme="minorHAnsi"/>
                <w:sz w:val="20"/>
              </w:rPr>
            </w:pPr>
            <w:r>
              <w:rPr>
                <w:sz w:val="20"/>
              </w:rPr>
              <w:t>Roll-out of projects for smart energy systems</w:t>
            </w:r>
          </w:p>
        </w:tc>
        <w:tc>
          <w:tcPr>
            <w:tcW w:w="850" w:type="dxa"/>
          </w:tcPr>
          <w:p w14:paraId="4B8B6498" w14:textId="77777777" w:rsidR="00DD13BF" w:rsidRDefault="00DD13BF" w:rsidP="00355A56">
            <w:pPr>
              <w:pStyle w:val="TableParagraph"/>
              <w:rPr>
                <w:rFonts w:cstheme="minorHAnsi"/>
                <w:sz w:val="20"/>
              </w:rPr>
            </w:pPr>
            <w:r>
              <w:rPr>
                <w:sz w:val="20"/>
              </w:rPr>
              <w:t>Projects</w:t>
            </w:r>
          </w:p>
        </w:tc>
        <w:tc>
          <w:tcPr>
            <w:tcW w:w="1134" w:type="dxa"/>
          </w:tcPr>
          <w:p w14:paraId="3D9EEC5E" w14:textId="77777777" w:rsidR="00DD13BF" w:rsidRPr="00965D67" w:rsidRDefault="00DD13BF" w:rsidP="00355A56">
            <w:pPr>
              <w:pStyle w:val="TableParagraph"/>
              <w:rPr>
                <w:sz w:val="20"/>
              </w:rPr>
            </w:pPr>
            <w:r>
              <w:rPr>
                <w:sz w:val="20"/>
              </w:rPr>
              <w:t>0</w:t>
            </w:r>
          </w:p>
        </w:tc>
        <w:tc>
          <w:tcPr>
            <w:tcW w:w="993" w:type="dxa"/>
          </w:tcPr>
          <w:p w14:paraId="14DEA120" w14:textId="77777777" w:rsidR="00DD13BF" w:rsidRPr="00965D67" w:rsidRDefault="00DD13BF" w:rsidP="00355A56">
            <w:pPr>
              <w:pStyle w:val="TableParagraph"/>
              <w:rPr>
                <w:sz w:val="20"/>
              </w:rPr>
            </w:pPr>
            <w:r>
              <w:rPr>
                <w:sz w:val="20"/>
              </w:rPr>
              <w:t>2021</w:t>
            </w:r>
          </w:p>
        </w:tc>
        <w:tc>
          <w:tcPr>
            <w:tcW w:w="1134" w:type="dxa"/>
          </w:tcPr>
          <w:p w14:paraId="3BD80D56" w14:textId="77777777" w:rsidR="00DD13BF" w:rsidRPr="001F4EBE" w:rsidRDefault="00DD13BF" w:rsidP="00355A56">
            <w:pPr>
              <w:pStyle w:val="TableParagraph"/>
              <w:rPr>
                <w:sz w:val="16"/>
                <w:szCs w:val="16"/>
              </w:rPr>
            </w:pPr>
            <w:r>
              <w:rPr>
                <w:sz w:val="20"/>
              </w:rPr>
              <w:t>16</w:t>
            </w:r>
          </w:p>
        </w:tc>
        <w:tc>
          <w:tcPr>
            <w:tcW w:w="851" w:type="dxa"/>
          </w:tcPr>
          <w:p w14:paraId="6A84655F" w14:textId="77777777" w:rsidR="00DD13BF" w:rsidRPr="00965D67" w:rsidRDefault="00DD13BF" w:rsidP="00355A56">
            <w:pPr>
              <w:pStyle w:val="TableParagraph"/>
              <w:rPr>
                <w:sz w:val="20"/>
              </w:rPr>
            </w:pPr>
            <w:r>
              <w:rPr>
                <w:sz w:val="20"/>
              </w:rPr>
              <w:t>Ministries</w:t>
            </w:r>
          </w:p>
        </w:tc>
        <w:tc>
          <w:tcPr>
            <w:tcW w:w="850" w:type="dxa"/>
          </w:tcPr>
          <w:p w14:paraId="7431D223" w14:textId="77777777" w:rsidR="00DD13BF" w:rsidRPr="00965D67" w:rsidRDefault="00DD13BF" w:rsidP="00355A56">
            <w:pPr>
              <w:pStyle w:val="TableParagraph"/>
              <w:rPr>
                <w:sz w:val="20"/>
              </w:rPr>
            </w:pPr>
          </w:p>
        </w:tc>
      </w:tr>
      <w:tr w:rsidR="00DD13BF" w14:paraId="6B513FA1" w14:textId="77777777" w:rsidTr="00355A56">
        <w:trPr>
          <w:trHeight w:val="353"/>
        </w:trPr>
        <w:tc>
          <w:tcPr>
            <w:tcW w:w="1692" w:type="dxa"/>
          </w:tcPr>
          <w:p w14:paraId="56D914F1" w14:textId="77777777" w:rsidR="00DD13BF" w:rsidRDefault="00DD13BF" w:rsidP="00355A56">
            <w:pPr>
              <w:pStyle w:val="TableParagraph"/>
              <w:rPr>
                <w:sz w:val="20"/>
              </w:rPr>
            </w:pPr>
            <w:r>
              <w:rPr>
                <w:sz w:val="20"/>
              </w:rPr>
              <w:t>3</w:t>
            </w:r>
          </w:p>
        </w:tc>
        <w:tc>
          <w:tcPr>
            <w:tcW w:w="1276" w:type="dxa"/>
          </w:tcPr>
          <w:p w14:paraId="61054D4C" w14:textId="77777777" w:rsidR="00DD13BF" w:rsidRDefault="00DD13BF" w:rsidP="00355A56">
            <w:pPr>
              <w:pStyle w:val="TableParagraph"/>
              <w:rPr>
                <w:sz w:val="20"/>
              </w:rPr>
            </w:pPr>
            <w:r>
              <w:rPr>
                <w:color w:val="000000"/>
                <w:sz w:val="20"/>
              </w:rPr>
              <w:t>RSO2.3</w:t>
            </w:r>
          </w:p>
        </w:tc>
        <w:tc>
          <w:tcPr>
            <w:tcW w:w="696" w:type="dxa"/>
          </w:tcPr>
          <w:p w14:paraId="23733E18" w14:textId="77777777" w:rsidR="00DD13BF" w:rsidRDefault="00DD13BF" w:rsidP="00355A56">
            <w:pPr>
              <w:pStyle w:val="TableParagraph"/>
              <w:spacing w:line="259" w:lineRule="auto"/>
              <w:rPr>
                <w:sz w:val="20"/>
              </w:rPr>
            </w:pPr>
            <w:r>
              <w:rPr>
                <w:sz w:val="20"/>
              </w:rPr>
              <w:t>ERDF</w:t>
            </w:r>
          </w:p>
        </w:tc>
        <w:tc>
          <w:tcPr>
            <w:tcW w:w="1572" w:type="dxa"/>
          </w:tcPr>
          <w:p w14:paraId="1721DE43" w14:textId="77777777" w:rsidR="00DD13BF" w:rsidRDefault="00DD13BF" w:rsidP="00355A56">
            <w:pPr>
              <w:pStyle w:val="TableParagraph"/>
              <w:spacing w:line="259" w:lineRule="auto"/>
              <w:rPr>
                <w:sz w:val="20"/>
              </w:rPr>
            </w:pPr>
            <w:r>
              <w:rPr>
                <w:sz w:val="20"/>
              </w:rPr>
              <w:t>More developed</w:t>
            </w:r>
          </w:p>
        </w:tc>
        <w:tc>
          <w:tcPr>
            <w:tcW w:w="709" w:type="dxa"/>
          </w:tcPr>
          <w:p w14:paraId="09586505" w14:textId="77777777" w:rsidR="00DD13BF" w:rsidRDefault="00DD13BF" w:rsidP="00355A56">
            <w:pPr>
              <w:pStyle w:val="TableParagraph"/>
              <w:rPr>
                <w:sz w:val="20"/>
              </w:rPr>
            </w:pPr>
            <w:r>
              <w:rPr>
                <w:sz w:val="20"/>
              </w:rPr>
              <w:t>RCR34</w:t>
            </w:r>
          </w:p>
        </w:tc>
        <w:tc>
          <w:tcPr>
            <w:tcW w:w="1843" w:type="dxa"/>
          </w:tcPr>
          <w:p w14:paraId="1F281888" w14:textId="77777777" w:rsidR="00DD13BF" w:rsidRDefault="00DD13BF" w:rsidP="00355A56">
            <w:pPr>
              <w:pStyle w:val="TableParagraph"/>
              <w:rPr>
                <w:sz w:val="20"/>
              </w:rPr>
            </w:pPr>
            <w:r>
              <w:rPr>
                <w:sz w:val="20"/>
              </w:rPr>
              <w:t>Roll-out of projects for smart energy systems</w:t>
            </w:r>
          </w:p>
        </w:tc>
        <w:tc>
          <w:tcPr>
            <w:tcW w:w="850" w:type="dxa"/>
          </w:tcPr>
          <w:p w14:paraId="6041D738" w14:textId="77777777" w:rsidR="00DD13BF" w:rsidRDefault="00DD13BF" w:rsidP="00355A56">
            <w:pPr>
              <w:pStyle w:val="TableParagraph"/>
              <w:rPr>
                <w:sz w:val="20"/>
              </w:rPr>
            </w:pPr>
            <w:r>
              <w:rPr>
                <w:sz w:val="20"/>
              </w:rPr>
              <w:t>Projects</w:t>
            </w:r>
          </w:p>
        </w:tc>
        <w:tc>
          <w:tcPr>
            <w:tcW w:w="1134" w:type="dxa"/>
          </w:tcPr>
          <w:p w14:paraId="58EA79ED" w14:textId="77777777" w:rsidR="00DD13BF" w:rsidRDefault="00DD13BF" w:rsidP="00355A56">
            <w:pPr>
              <w:pStyle w:val="TableParagraph"/>
              <w:rPr>
                <w:sz w:val="20"/>
              </w:rPr>
            </w:pPr>
            <w:r>
              <w:rPr>
                <w:sz w:val="20"/>
              </w:rPr>
              <w:t>0</w:t>
            </w:r>
          </w:p>
        </w:tc>
        <w:tc>
          <w:tcPr>
            <w:tcW w:w="993" w:type="dxa"/>
          </w:tcPr>
          <w:p w14:paraId="3654593B" w14:textId="77777777" w:rsidR="00DD13BF" w:rsidRDefault="00DD13BF" w:rsidP="00355A56">
            <w:pPr>
              <w:pStyle w:val="TableParagraph"/>
              <w:rPr>
                <w:sz w:val="20"/>
              </w:rPr>
            </w:pPr>
            <w:r>
              <w:rPr>
                <w:sz w:val="20"/>
              </w:rPr>
              <w:t>2021</w:t>
            </w:r>
          </w:p>
        </w:tc>
        <w:tc>
          <w:tcPr>
            <w:tcW w:w="1134" w:type="dxa"/>
          </w:tcPr>
          <w:p w14:paraId="5CF007FF" w14:textId="77777777" w:rsidR="00DD13BF" w:rsidRDefault="00DD13BF" w:rsidP="00355A56">
            <w:pPr>
              <w:pStyle w:val="TableParagraph"/>
              <w:rPr>
                <w:sz w:val="20"/>
              </w:rPr>
            </w:pPr>
            <w:r>
              <w:rPr>
                <w:sz w:val="20"/>
              </w:rPr>
              <w:t>4</w:t>
            </w:r>
          </w:p>
        </w:tc>
        <w:tc>
          <w:tcPr>
            <w:tcW w:w="851" w:type="dxa"/>
          </w:tcPr>
          <w:p w14:paraId="7F6F9A20" w14:textId="77777777" w:rsidR="00DD13BF" w:rsidRDefault="00DD13BF" w:rsidP="00355A56">
            <w:pPr>
              <w:pStyle w:val="TableParagraph"/>
              <w:rPr>
                <w:sz w:val="20"/>
              </w:rPr>
            </w:pPr>
            <w:r>
              <w:rPr>
                <w:sz w:val="20"/>
              </w:rPr>
              <w:t>Ministries</w:t>
            </w:r>
          </w:p>
        </w:tc>
        <w:tc>
          <w:tcPr>
            <w:tcW w:w="850" w:type="dxa"/>
          </w:tcPr>
          <w:p w14:paraId="7778AB51" w14:textId="77777777" w:rsidR="00DD13BF" w:rsidRDefault="00DD13BF" w:rsidP="00355A56">
            <w:pPr>
              <w:pStyle w:val="TableParagraph"/>
              <w:rPr>
                <w:sz w:val="20"/>
              </w:rPr>
            </w:pPr>
          </w:p>
        </w:tc>
      </w:tr>
      <w:tr w:rsidR="00DD13BF" w14:paraId="0E936B46" w14:textId="77777777" w:rsidTr="00355A56">
        <w:trPr>
          <w:trHeight w:val="353"/>
        </w:trPr>
        <w:tc>
          <w:tcPr>
            <w:tcW w:w="1692" w:type="dxa"/>
          </w:tcPr>
          <w:p w14:paraId="2702F169" w14:textId="77777777" w:rsidR="00DD13BF" w:rsidRDefault="00DD13BF" w:rsidP="00355A56">
            <w:pPr>
              <w:pStyle w:val="TableParagraph"/>
              <w:rPr>
                <w:sz w:val="20"/>
              </w:rPr>
            </w:pPr>
            <w:r>
              <w:rPr>
                <w:sz w:val="20"/>
              </w:rPr>
              <w:t>3</w:t>
            </w:r>
          </w:p>
        </w:tc>
        <w:tc>
          <w:tcPr>
            <w:tcW w:w="1276" w:type="dxa"/>
          </w:tcPr>
          <w:p w14:paraId="36F40E9B" w14:textId="77777777" w:rsidR="00DD13BF" w:rsidRDefault="00DD13BF" w:rsidP="00355A56">
            <w:pPr>
              <w:pStyle w:val="TableParagraph"/>
              <w:rPr>
                <w:sz w:val="20"/>
              </w:rPr>
            </w:pPr>
            <w:r>
              <w:rPr>
                <w:color w:val="000000"/>
                <w:sz w:val="20"/>
              </w:rPr>
              <w:t>RSO2.3</w:t>
            </w:r>
          </w:p>
        </w:tc>
        <w:tc>
          <w:tcPr>
            <w:tcW w:w="696" w:type="dxa"/>
          </w:tcPr>
          <w:p w14:paraId="4BE11265" w14:textId="77777777" w:rsidR="00DD13BF" w:rsidRDefault="00DD13BF" w:rsidP="00355A56">
            <w:pPr>
              <w:pStyle w:val="TableParagraph"/>
              <w:spacing w:line="259" w:lineRule="auto"/>
              <w:rPr>
                <w:sz w:val="20"/>
              </w:rPr>
            </w:pPr>
            <w:r>
              <w:rPr>
                <w:sz w:val="20"/>
              </w:rPr>
              <w:t>CF</w:t>
            </w:r>
          </w:p>
        </w:tc>
        <w:tc>
          <w:tcPr>
            <w:tcW w:w="1572" w:type="dxa"/>
          </w:tcPr>
          <w:p w14:paraId="148B8E7A" w14:textId="77777777" w:rsidR="00DD13BF" w:rsidRDefault="00DD13BF" w:rsidP="00355A56">
            <w:pPr>
              <w:pStyle w:val="TableParagraph"/>
              <w:spacing w:line="259" w:lineRule="auto"/>
              <w:rPr>
                <w:sz w:val="20"/>
              </w:rPr>
            </w:pPr>
            <w:r>
              <w:rPr>
                <w:sz w:val="20"/>
              </w:rPr>
              <w:t>Entire Slovenia</w:t>
            </w:r>
          </w:p>
        </w:tc>
        <w:tc>
          <w:tcPr>
            <w:tcW w:w="709" w:type="dxa"/>
          </w:tcPr>
          <w:p w14:paraId="48E5935F" w14:textId="77777777" w:rsidR="00DD13BF" w:rsidRDefault="00DD13BF" w:rsidP="00355A56">
            <w:pPr>
              <w:pStyle w:val="TableParagraph"/>
              <w:rPr>
                <w:sz w:val="20"/>
              </w:rPr>
            </w:pPr>
            <w:r>
              <w:rPr>
                <w:sz w:val="20"/>
              </w:rPr>
              <w:t>RCR34</w:t>
            </w:r>
          </w:p>
        </w:tc>
        <w:tc>
          <w:tcPr>
            <w:tcW w:w="1843" w:type="dxa"/>
          </w:tcPr>
          <w:p w14:paraId="2A536E11" w14:textId="77777777" w:rsidR="00DD13BF" w:rsidRDefault="00DD13BF" w:rsidP="00355A56">
            <w:pPr>
              <w:pStyle w:val="TableParagraph"/>
              <w:rPr>
                <w:rFonts w:cstheme="minorBidi"/>
                <w:sz w:val="20"/>
              </w:rPr>
            </w:pPr>
            <w:r>
              <w:rPr>
                <w:sz w:val="20"/>
              </w:rPr>
              <w:t>Roll-out of projects for smart energy systems</w:t>
            </w:r>
          </w:p>
        </w:tc>
        <w:tc>
          <w:tcPr>
            <w:tcW w:w="850" w:type="dxa"/>
          </w:tcPr>
          <w:p w14:paraId="5DB251C0" w14:textId="77777777" w:rsidR="00DD13BF" w:rsidRDefault="00DD13BF" w:rsidP="00355A56">
            <w:pPr>
              <w:pStyle w:val="TableParagraph"/>
              <w:rPr>
                <w:rFonts w:cstheme="minorBidi"/>
                <w:sz w:val="20"/>
              </w:rPr>
            </w:pPr>
            <w:r>
              <w:rPr>
                <w:sz w:val="20"/>
              </w:rPr>
              <w:t>Projects</w:t>
            </w:r>
          </w:p>
        </w:tc>
        <w:tc>
          <w:tcPr>
            <w:tcW w:w="1134" w:type="dxa"/>
          </w:tcPr>
          <w:p w14:paraId="1CF708D8" w14:textId="77777777" w:rsidR="00DD13BF" w:rsidRDefault="00DD13BF" w:rsidP="00355A56">
            <w:pPr>
              <w:pStyle w:val="TableParagraph"/>
              <w:rPr>
                <w:sz w:val="20"/>
              </w:rPr>
            </w:pPr>
            <w:r>
              <w:rPr>
                <w:sz w:val="20"/>
              </w:rPr>
              <w:t>0</w:t>
            </w:r>
          </w:p>
        </w:tc>
        <w:tc>
          <w:tcPr>
            <w:tcW w:w="993" w:type="dxa"/>
          </w:tcPr>
          <w:p w14:paraId="4C1B14FE" w14:textId="77777777" w:rsidR="00DD13BF" w:rsidRDefault="00DD13BF" w:rsidP="00355A56">
            <w:pPr>
              <w:pStyle w:val="TableParagraph"/>
              <w:rPr>
                <w:sz w:val="20"/>
              </w:rPr>
            </w:pPr>
            <w:r>
              <w:rPr>
                <w:sz w:val="20"/>
              </w:rPr>
              <w:t>2021</w:t>
            </w:r>
          </w:p>
        </w:tc>
        <w:tc>
          <w:tcPr>
            <w:tcW w:w="1134" w:type="dxa"/>
          </w:tcPr>
          <w:p w14:paraId="46013BE6" w14:textId="77777777" w:rsidR="00DD13BF" w:rsidRDefault="00DD13BF" w:rsidP="00355A56">
            <w:pPr>
              <w:pStyle w:val="TableParagraph"/>
              <w:rPr>
                <w:sz w:val="20"/>
              </w:rPr>
            </w:pPr>
            <w:r>
              <w:rPr>
                <w:sz w:val="20"/>
              </w:rPr>
              <w:t>11</w:t>
            </w:r>
          </w:p>
        </w:tc>
        <w:tc>
          <w:tcPr>
            <w:tcW w:w="851" w:type="dxa"/>
          </w:tcPr>
          <w:p w14:paraId="3863C869" w14:textId="77777777" w:rsidR="00DD13BF" w:rsidRDefault="00DD13BF" w:rsidP="00355A56">
            <w:pPr>
              <w:pStyle w:val="TableParagraph"/>
              <w:rPr>
                <w:sz w:val="20"/>
              </w:rPr>
            </w:pPr>
            <w:r>
              <w:rPr>
                <w:sz w:val="20"/>
              </w:rPr>
              <w:t>Ministries</w:t>
            </w:r>
          </w:p>
          <w:p w14:paraId="670C4686" w14:textId="77777777" w:rsidR="00DD13BF" w:rsidRDefault="00DD13BF" w:rsidP="00355A56">
            <w:pPr>
              <w:pStyle w:val="TableParagraph"/>
              <w:rPr>
                <w:sz w:val="20"/>
              </w:rPr>
            </w:pPr>
          </w:p>
        </w:tc>
        <w:tc>
          <w:tcPr>
            <w:tcW w:w="850" w:type="dxa"/>
          </w:tcPr>
          <w:p w14:paraId="5CFA6F79" w14:textId="77777777" w:rsidR="00DD13BF" w:rsidRDefault="00DD13BF" w:rsidP="00355A56">
            <w:pPr>
              <w:pStyle w:val="TableParagraph"/>
              <w:rPr>
                <w:sz w:val="20"/>
              </w:rPr>
            </w:pPr>
          </w:p>
        </w:tc>
      </w:tr>
    </w:tbl>
    <w:p w14:paraId="488708A3" w14:textId="77777777" w:rsidR="00DD13BF" w:rsidRPr="00F81084" w:rsidRDefault="00DD13BF" w:rsidP="00DD13BF">
      <w:pPr>
        <w:pStyle w:val="Telobesedila"/>
      </w:pPr>
    </w:p>
    <w:p w14:paraId="7F63357F" w14:textId="77777777" w:rsidR="00DD13BF" w:rsidRPr="00F81084" w:rsidRDefault="00DD13BF" w:rsidP="00DD13BF">
      <w:pPr>
        <w:pStyle w:val="Telobesedila"/>
      </w:pPr>
    </w:p>
    <w:p w14:paraId="1C0832A3" w14:textId="77777777" w:rsidR="00DD13BF" w:rsidRDefault="00DD13BF" w:rsidP="00DD13BF">
      <w:pPr>
        <w:pStyle w:val="Naslov5"/>
        <w:spacing w:before="0"/>
      </w:pPr>
      <w:r>
        <w:t>Indicative breakdown of the programme resources (EU) by type of intervention</w:t>
      </w:r>
    </w:p>
    <w:p w14:paraId="018B6778" w14:textId="77777777" w:rsidR="00DD13BF" w:rsidRDefault="00DD13BF" w:rsidP="00DD13BF">
      <w:pPr>
        <w:ind w:left="640"/>
        <w:rPr>
          <w:spacing w:val="-5"/>
        </w:rPr>
      </w:pPr>
    </w:p>
    <w:p w14:paraId="5C0D084F" w14:textId="77777777" w:rsidR="00DD13BF" w:rsidRPr="00673ADB" w:rsidRDefault="00DD13BF" w:rsidP="00DD13BF">
      <w:pPr>
        <w:ind w:left="339"/>
        <w:rPr>
          <w:spacing w:val="-7"/>
        </w:rPr>
      </w:pPr>
      <w:r>
        <w:t>Table 4: Dimension 1 – intervention field</w:t>
      </w:r>
    </w:p>
    <w:p w14:paraId="7B04B4DC"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EF68D90" w14:textId="77777777" w:rsidTr="00355A56">
        <w:trPr>
          <w:trHeight w:val="353"/>
        </w:trPr>
        <w:tc>
          <w:tcPr>
            <w:tcW w:w="2088" w:type="dxa"/>
          </w:tcPr>
          <w:p w14:paraId="7E9B5261" w14:textId="77777777" w:rsidR="00DD13BF" w:rsidRDefault="00DD13BF" w:rsidP="00355A56">
            <w:pPr>
              <w:pStyle w:val="TableParagraph"/>
              <w:ind w:left="115"/>
            </w:pPr>
            <w:r>
              <w:t>Priority no.</w:t>
            </w:r>
          </w:p>
        </w:tc>
        <w:tc>
          <w:tcPr>
            <w:tcW w:w="1133" w:type="dxa"/>
          </w:tcPr>
          <w:p w14:paraId="27B45A30" w14:textId="77777777" w:rsidR="00DD13BF" w:rsidRDefault="00DD13BF" w:rsidP="00355A56">
            <w:pPr>
              <w:pStyle w:val="TableParagraph"/>
              <w:ind w:left="320"/>
            </w:pPr>
            <w:r>
              <w:t>Fund</w:t>
            </w:r>
          </w:p>
        </w:tc>
        <w:tc>
          <w:tcPr>
            <w:tcW w:w="3249" w:type="dxa"/>
          </w:tcPr>
          <w:p w14:paraId="4CF49C28" w14:textId="77777777" w:rsidR="00DD13BF" w:rsidRDefault="00DD13BF" w:rsidP="00355A56">
            <w:pPr>
              <w:pStyle w:val="TableParagraph"/>
              <w:ind w:left="907"/>
            </w:pPr>
            <w:r>
              <w:t>Category of region</w:t>
            </w:r>
          </w:p>
        </w:tc>
        <w:tc>
          <w:tcPr>
            <w:tcW w:w="3099" w:type="dxa"/>
          </w:tcPr>
          <w:p w14:paraId="5F1797A0" w14:textId="77777777" w:rsidR="00DD13BF" w:rsidRDefault="00DD13BF" w:rsidP="00355A56">
            <w:pPr>
              <w:pStyle w:val="TableParagraph"/>
              <w:ind w:left="948"/>
            </w:pPr>
            <w:r>
              <w:t>Specific objective</w:t>
            </w:r>
          </w:p>
        </w:tc>
        <w:tc>
          <w:tcPr>
            <w:tcW w:w="1161" w:type="dxa"/>
          </w:tcPr>
          <w:p w14:paraId="2720C0F3" w14:textId="77777777" w:rsidR="00DD13BF" w:rsidRDefault="00DD13BF" w:rsidP="00355A56">
            <w:pPr>
              <w:pStyle w:val="TableParagraph"/>
              <w:ind w:left="333"/>
            </w:pPr>
            <w:r>
              <w:t>Code</w:t>
            </w:r>
          </w:p>
        </w:tc>
        <w:tc>
          <w:tcPr>
            <w:tcW w:w="2731" w:type="dxa"/>
          </w:tcPr>
          <w:p w14:paraId="2E96EC5E" w14:textId="77777777" w:rsidR="00DD13BF" w:rsidRDefault="00DD13BF" w:rsidP="00355A56">
            <w:pPr>
              <w:pStyle w:val="TableParagraph"/>
              <w:ind w:left="660"/>
            </w:pPr>
            <w:r>
              <w:t>Amount (in EUR)</w:t>
            </w:r>
          </w:p>
        </w:tc>
      </w:tr>
      <w:tr w:rsidR="00DD13BF" w14:paraId="127BBDCA" w14:textId="77777777" w:rsidTr="00355A56">
        <w:trPr>
          <w:trHeight w:val="353"/>
        </w:trPr>
        <w:tc>
          <w:tcPr>
            <w:tcW w:w="2088" w:type="dxa"/>
          </w:tcPr>
          <w:p w14:paraId="03A1CF18" w14:textId="77777777" w:rsidR="00DD13BF" w:rsidRDefault="00DD13BF" w:rsidP="00355A56">
            <w:pPr>
              <w:pStyle w:val="TableParagraph"/>
              <w:rPr>
                <w:sz w:val="20"/>
              </w:rPr>
            </w:pPr>
            <w:r>
              <w:rPr>
                <w:sz w:val="20"/>
              </w:rPr>
              <w:t>3</w:t>
            </w:r>
          </w:p>
        </w:tc>
        <w:tc>
          <w:tcPr>
            <w:tcW w:w="1133" w:type="dxa"/>
          </w:tcPr>
          <w:p w14:paraId="71926FE8" w14:textId="77777777" w:rsidR="00DD13BF" w:rsidRDefault="00DD13BF" w:rsidP="00355A56">
            <w:pPr>
              <w:pStyle w:val="TableParagraph"/>
              <w:rPr>
                <w:sz w:val="20"/>
              </w:rPr>
            </w:pPr>
            <w:r>
              <w:rPr>
                <w:sz w:val="20"/>
              </w:rPr>
              <w:t>ERDF</w:t>
            </w:r>
          </w:p>
        </w:tc>
        <w:tc>
          <w:tcPr>
            <w:tcW w:w="3249" w:type="dxa"/>
          </w:tcPr>
          <w:p w14:paraId="19DC0D39" w14:textId="77777777" w:rsidR="00DD13BF" w:rsidRDefault="00DD13BF" w:rsidP="00355A56">
            <w:pPr>
              <w:pStyle w:val="TableParagraph"/>
              <w:rPr>
                <w:sz w:val="20"/>
              </w:rPr>
            </w:pPr>
            <w:r>
              <w:rPr>
                <w:sz w:val="20"/>
              </w:rPr>
              <w:t>Less developed</w:t>
            </w:r>
          </w:p>
        </w:tc>
        <w:tc>
          <w:tcPr>
            <w:tcW w:w="3099" w:type="dxa"/>
          </w:tcPr>
          <w:p w14:paraId="29F3F396" w14:textId="77777777" w:rsidR="00DD13BF" w:rsidRDefault="00DD13BF" w:rsidP="00355A56">
            <w:pPr>
              <w:pStyle w:val="TableParagraph"/>
              <w:rPr>
                <w:sz w:val="20"/>
              </w:rPr>
            </w:pPr>
            <w:r>
              <w:rPr>
                <w:color w:val="000000"/>
                <w:sz w:val="20"/>
              </w:rPr>
              <w:t>RSO2.3</w:t>
            </w:r>
          </w:p>
        </w:tc>
        <w:tc>
          <w:tcPr>
            <w:tcW w:w="1161" w:type="dxa"/>
          </w:tcPr>
          <w:p w14:paraId="0ED49DF5" w14:textId="77777777" w:rsidR="00DD13BF" w:rsidRDefault="00DD13BF" w:rsidP="00355A56">
            <w:pPr>
              <w:pStyle w:val="TableParagraph"/>
              <w:rPr>
                <w:sz w:val="20"/>
              </w:rPr>
            </w:pPr>
            <w:r>
              <w:rPr>
                <w:sz w:val="20"/>
              </w:rPr>
              <w:t>053</w:t>
            </w:r>
          </w:p>
        </w:tc>
        <w:tc>
          <w:tcPr>
            <w:tcW w:w="2731" w:type="dxa"/>
          </w:tcPr>
          <w:p w14:paraId="0DBC7907" w14:textId="77777777" w:rsidR="00DD13BF" w:rsidRDefault="00DD13BF" w:rsidP="00355A56">
            <w:pPr>
              <w:pStyle w:val="TableParagraph"/>
              <w:rPr>
                <w:sz w:val="20"/>
              </w:rPr>
            </w:pPr>
            <w:r>
              <w:rPr>
                <w:sz w:val="20"/>
              </w:rPr>
              <w:t>33,002,978</w:t>
            </w:r>
          </w:p>
        </w:tc>
      </w:tr>
      <w:tr w:rsidR="00DD13BF" w14:paraId="289C99D2" w14:textId="77777777" w:rsidTr="00355A56">
        <w:trPr>
          <w:trHeight w:val="353"/>
        </w:trPr>
        <w:tc>
          <w:tcPr>
            <w:tcW w:w="2088" w:type="dxa"/>
          </w:tcPr>
          <w:p w14:paraId="302CA35C" w14:textId="77777777" w:rsidR="00DD13BF" w:rsidRDefault="00DD13BF" w:rsidP="00355A56">
            <w:pPr>
              <w:pStyle w:val="TableParagraph"/>
              <w:rPr>
                <w:sz w:val="20"/>
              </w:rPr>
            </w:pPr>
            <w:r>
              <w:rPr>
                <w:sz w:val="20"/>
              </w:rPr>
              <w:t>3</w:t>
            </w:r>
          </w:p>
        </w:tc>
        <w:tc>
          <w:tcPr>
            <w:tcW w:w="1133" w:type="dxa"/>
          </w:tcPr>
          <w:p w14:paraId="3B83C402" w14:textId="77777777" w:rsidR="00DD13BF" w:rsidRDefault="00DD13BF" w:rsidP="00355A56">
            <w:pPr>
              <w:pStyle w:val="TableParagraph"/>
              <w:rPr>
                <w:sz w:val="20"/>
              </w:rPr>
            </w:pPr>
            <w:r>
              <w:rPr>
                <w:sz w:val="20"/>
              </w:rPr>
              <w:t>ERDF</w:t>
            </w:r>
          </w:p>
        </w:tc>
        <w:tc>
          <w:tcPr>
            <w:tcW w:w="3249" w:type="dxa"/>
          </w:tcPr>
          <w:p w14:paraId="4903546C" w14:textId="77777777" w:rsidR="00DD13BF" w:rsidRDefault="00DD13BF" w:rsidP="00355A56">
            <w:pPr>
              <w:pStyle w:val="TableParagraph"/>
              <w:rPr>
                <w:sz w:val="20"/>
              </w:rPr>
            </w:pPr>
            <w:r>
              <w:rPr>
                <w:sz w:val="20"/>
              </w:rPr>
              <w:t>More developed</w:t>
            </w:r>
          </w:p>
        </w:tc>
        <w:tc>
          <w:tcPr>
            <w:tcW w:w="3099" w:type="dxa"/>
          </w:tcPr>
          <w:p w14:paraId="1FCA88F4" w14:textId="77777777" w:rsidR="00DD13BF" w:rsidRDefault="00DD13BF" w:rsidP="00355A56">
            <w:pPr>
              <w:pStyle w:val="TableParagraph"/>
              <w:rPr>
                <w:sz w:val="20"/>
              </w:rPr>
            </w:pPr>
            <w:r>
              <w:rPr>
                <w:color w:val="000000"/>
                <w:sz w:val="20"/>
              </w:rPr>
              <w:t>RSO2.3</w:t>
            </w:r>
          </w:p>
        </w:tc>
        <w:tc>
          <w:tcPr>
            <w:tcW w:w="1161" w:type="dxa"/>
          </w:tcPr>
          <w:p w14:paraId="37F4CAB0" w14:textId="77777777" w:rsidR="00DD13BF" w:rsidRDefault="00DD13BF" w:rsidP="00355A56">
            <w:pPr>
              <w:pStyle w:val="TableParagraph"/>
              <w:rPr>
                <w:sz w:val="20"/>
              </w:rPr>
            </w:pPr>
            <w:r>
              <w:rPr>
                <w:sz w:val="20"/>
              </w:rPr>
              <w:t>053</w:t>
            </w:r>
          </w:p>
        </w:tc>
        <w:tc>
          <w:tcPr>
            <w:tcW w:w="2731" w:type="dxa"/>
          </w:tcPr>
          <w:p w14:paraId="451097CE" w14:textId="77777777" w:rsidR="00DD13BF" w:rsidRDefault="00DD13BF" w:rsidP="00355A56">
            <w:pPr>
              <w:pStyle w:val="TableParagraph"/>
              <w:rPr>
                <w:sz w:val="20"/>
              </w:rPr>
            </w:pPr>
            <w:r>
              <w:rPr>
                <w:sz w:val="20"/>
              </w:rPr>
              <w:t>5,997,912</w:t>
            </w:r>
          </w:p>
        </w:tc>
      </w:tr>
      <w:tr w:rsidR="00DD13BF" w14:paraId="16E0115F" w14:textId="77777777" w:rsidTr="00355A56">
        <w:trPr>
          <w:trHeight w:val="353"/>
        </w:trPr>
        <w:tc>
          <w:tcPr>
            <w:tcW w:w="2088" w:type="dxa"/>
          </w:tcPr>
          <w:p w14:paraId="1AC5DAEB" w14:textId="77777777" w:rsidR="00DD13BF" w:rsidRDefault="00DD13BF" w:rsidP="00355A56">
            <w:pPr>
              <w:pStyle w:val="TableParagraph"/>
              <w:rPr>
                <w:sz w:val="20"/>
              </w:rPr>
            </w:pPr>
            <w:r>
              <w:rPr>
                <w:sz w:val="20"/>
              </w:rPr>
              <w:t>3</w:t>
            </w:r>
          </w:p>
        </w:tc>
        <w:tc>
          <w:tcPr>
            <w:tcW w:w="1133" w:type="dxa"/>
          </w:tcPr>
          <w:p w14:paraId="336C23BE" w14:textId="77777777" w:rsidR="00DD13BF" w:rsidRDefault="00DD13BF" w:rsidP="00355A56">
            <w:pPr>
              <w:pStyle w:val="TableParagraph"/>
              <w:rPr>
                <w:sz w:val="20"/>
              </w:rPr>
            </w:pPr>
            <w:r>
              <w:rPr>
                <w:sz w:val="20"/>
              </w:rPr>
              <w:t>CF</w:t>
            </w:r>
          </w:p>
        </w:tc>
        <w:tc>
          <w:tcPr>
            <w:tcW w:w="3249" w:type="dxa"/>
          </w:tcPr>
          <w:p w14:paraId="56A3F69B" w14:textId="77777777" w:rsidR="00DD13BF" w:rsidRDefault="00DD13BF" w:rsidP="00355A56">
            <w:pPr>
              <w:pStyle w:val="TableParagraph"/>
              <w:rPr>
                <w:sz w:val="20"/>
              </w:rPr>
            </w:pPr>
            <w:r>
              <w:rPr>
                <w:sz w:val="20"/>
              </w:rPr>
              <w:t>Entire Slovenia</w:t>
            </w:r>
          </w:p>
        </w:tc>
        <w:tc>
          <w:tcPr>
            <w:tcW w:w="3099" w:type="dxa"/>
          </w:tcPr>
          <w:p w14:paraId="6B387631" w14:textId="77777777" w:rsidR="00DD13BF" w:rsidRDefault="00DD13BF" w:rsidP="00355A56">
            <w:pPr>
              <w:pStyle w:val="TableParagraph"/>
              <w:rPr>
                <w:sz w:val="20"/>
              </w:rPr>
            </w:pPr>
            <w:r>
              <w:rPr>
                <w:color w:val="000000"/>
                <w:sz w:val="20"/>
              </w:rPr>
              <w:t>RSO2.3</w:t>
            </w:r>
          </w:p>
        </w:tc>
        <w:tc>
          <w:tcPr>
            <w:tcW w:w="1161" w:type="dxa"/>
          </w:tcPr>
          <w:p w14:paraId="701B267E" w14:textId="77777777" w:rsidR="00DD13BF" w:rsidRDefault="00DD13BF" w:rsidP="00355A56">
            <w:pPr>
              <w:pStyle w:val="TableParagraph"/>
              <w:rPr>
                <w:sz w:val="20"/>
              </w:rPr>
            </w:pPr>
            <w:r>
              <w:rPr>
                <w:sz w:val="20"/>
              </w:rPr>
              <w:t>053</w:t>
            </w:r>
          </w:p>
        </w:tc>
        <w:tc>
          <w:tcPr>
            <w:tcW w:w="2731" w:type="dxa"/>
          </w:tcPr>
          <w:p w14:paraId="5CA090CE" w14:textId="77777777" w:rsidR="00DD13BF" w:rsidRDefault="00DD13BF" w:rsidP="00355A56">
            <w:pPr>
              <w:pStyle w:val="TableParagraph"/>
              <w:rPr>
                <w:sz w:val="20"/>
              </w:rPr>
            </w:pPr>
            <w:r>
              <w:rPr>
                <w:sz w:val="20"/>
              </w:rPr>
              <w:t xml:space="preserve">15,000,000 </w:t>
            </w:r>
          </w:p>
        </w:tc>
      </w:tr>
    </w:tbl>
    <w:p w14:paraId="2D071785" w14:textId="77777777" w:rsidR="00DD13BF" w:rsidRDefault="00DD13BF" w:rsidP="00DD13BF"/>
    <w:p w14:paraId="041E1107" w14:textId="77777777" w:rsidR="00DD13BF" w:rsidRPr="00673ADB" w:rsidRDefault="00DD13BF" w:rsidP="00DD13BF">
      <w:pPr>
        <w:ind w:left="339"/>
        <w:rPr>
          <w:spacing w:val="-7"/>
        </w:rPr>
      </w:pPr>
      <w:r>
        <w:t>Table 5: Dimension 2 – form of financing</w:t>
      </w:r>
    </w:p>
    <w:p w14:paraId="107FE681"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7BC24560" w14:textId="77777777" w:rsidTr="00355A56">
        <w:trPr>
          <w:trHeight w:val="353"/>
        </w:trPr>
        <w:tc>
          <w:tcPr>
            <w:tcW w:w="2088" w:type="dxa"/>
          </w:tcPr>
          <w:p w14:paraId="15BA95BE" w14:textId="77777777" w:rsidR="00DD13BF" w:rsidRDefault="00DD13BF" w:rsidP="00355A56">
            <w:pPr>
              <w:pStyle w:val="TableParagraph"/>
              <w:ind w:left="115"/>
            </w:pPr>
            <w:r>
              <w:t>Priority no.</w:t>
            </w:r>
          </w:p>
        </w:tc>
        <w:tc>
          <w:tcPr>
            <w:tcW w:w="1133" w:type="dxa"/>
          </w:tcPr>
          <w:p w14:paraId="320F5A50" w14:textId="77777777" w:rsidR="00DD13BF" w:rsidRDefault="00DD13BF" w:rsidP="00355A56">
            <w:pPr>
              <w:pStyle w:val="TableParagraph"/>
              <w:ind w:left="320"/>
            </w:pPr>
            <w:r>
              <w:t>Fund</w:t>
            </w:r>
          </w:p>
        </w:tc>
        <w:tc>
          <w:tcPr>
            <w:tcW w:w="3249" w:type="dxa"/>
          </w:tcPr>
          <w:p w14:paraId="1208830F" w14:textId="77777777" w:rsidR="00DD13BF" w:rsidRDefault="00DD13BF" w:rsidP="00355A56">
            <w:pPr>
              <w:pStyle w:val="TableParagraph"/>
              <w:ind w:left="907"/>
            </w:pPr>
            <w:r>
              <w:t>Category of region</w:t>
            </w:r>
          </w:p>
        </w:tc>
        <w:tc>
          <w:tcPr>
            <w:tcW w:w="3099" w:type="dxa"/>
          </w:tcPr>
          <w:p w14:paraId="6B98A1AD" w14:textId="77777777" w:rsidR="00DD13BF" w:rsidRDefault="00DD13BF" w:rsidP="00355A56">
            <w:pPr>
              <w:pStyle w:val="TableParagraph"/>
              <w:ind w:left="948"/>
            </w:pPr>
            <w:r>
              <w:t>Specific objective</w:t>
            </w:r>
          </w:p>
        </w:tc>
        <w:tc>
          <w:tcPr>
            <w:tcW w:w="1161" w:type="dxa"/>
          </w:tcPr>
          <w:p w14:paraId="597F51C6" w14:textId="77777777" w:rsidR="00DD13BF" w:rsidRDefault="00DD13BF" w:rsidP="00355A56">
            <w:pPr>
              <w:pStyle w:val="TableParagraph"/>
              <w:ind w:left="334"/>
            </w:pPr>
            <w:r>
              <w:t>Code</w:t>
            </w:r>
          </w:p>
        </w:tc>
        <w:tc>
          <w:tcPr>
            <w:tcW w:w="2731" w:type="dxa"/>
          </w:tcPr>
          <w:p w14:paraId="0470F060" w14:textId="77777777" w:rsidR="00DD13BF" w:rsidRDefault="00DD13BF" w:rsidP="00355A56">
            <w:pPr>
              <w:pStyle w:val="TableParagraph"/>
              <w:ind w:left="661"/>
            </w:pPr>
            <w:r>
              <w:t>Amount (in EUR)</w:t>
            </w:r>
          </w:p>
        </w:tc>
      </w:tr>
      <w:tr w:rsidR="00DD13BF" w14:paraId="043033B3" w14:textId="77777777" w:rsidTr="00355A56">
        <w:trPr>
          <w:trHeight w:val="353"/>
        </w:trPr>
        <w:tc>
          <w:tcPr>
            <w:tcW w:w="2088" w:type="dxa"/>
          </w:tcPr>
          <w:p w14:paraId="66EC5E0C" w14:textId="77777777" w:rsidR="00DD13BF" w:rsidRDefault="00DD13BF" w:rsidP="00355A56">
            <w:pPr>
              <w:pStyle w:val="TableParagraph"/>
              <w:rPr>
                <w:sz w:val="20"/>
              </w:rPr>
            </w:pPr>
            <w:r>
              <w:rPr>
                <w:sz w:val="20"/>
              </w:rPr>
              <w:t>3</w:t>
            </w:r>
          </w:p>
        </w:tc>
        <w:tc>
          <w:tcPr>
            <w:tcW w:w="1133" w:type="dxa"/>
          </w:tcPr>
          <w:p w14:paraId="14E0DB0A" w14:textId="77777777" w:rsidR="00DD13BF" w:rsidRDefault="00DD13BF" w:rsidP="00355A56">
            <w:pPr>
              <w:pStyle w:val="TableParagraph"/>
              <w:rPr>
                <w:sz w:val="20"/>
              </w:rPr>
            </w:pPr>
            <w:r>
              <w:rPr>
                <w:sz w:val="20"/>
              </w:rPr>
              <w:t>ERDF</w:t>
            </w:r>
          </w:p>
        </w:tc>
        <w:tc>
          <w:tcPr>
            <w:tcW w:w="3249" w:type="dxa"/>
          </w:tcPr>
          <w:p w14:paraId="113FB899" w14:textId="77777777" w:rsidR="00DD13BF" w:rsidRDefault="00DD13BF" w:rsidP="00355A56">
            <w:pPr>
              <w:pStyle w:val="TableParagraph"/>
              <w:rPr>
                <w:sz w:val="20"/>
              </w:rPr>
            </w:pPr>
            <w:r>
              <w:rPr>
                <w:sz w:val="20"/>
              </w:rPr>
              <w:t>Less developed</w:t>
            </w:r>
          </w:p>
        </w:tc>
        <w:tc>
          <w:tcPr>
            <w:tcW w:w="3099" w:type="dxa"/>
          </w:tcPr>
          <w:p w14:paraId="54996E44" w14:textId="77777777" w:rsidR="00DD13BF" w:rsidRDefault="00DD13BF" w:rsidP="00355A56">
            <w:pPr>
              <w:pStyle w:val="TableParagraph"/>
              <w:rPr>
                <w:sz w:val="20"/>
              </w:rPr>
            </w:pPr>
            <w:r>
              <w:rPr>
                <w:color w:val="000000"/>
                <w:sz w:val="20"/>
              </w:rPr>
              <w:t>RSO2.3</w:t>
            </w:r>
          </w:p>
        </w:tc>
        <w:tc>
          <w:tcPr>
            <w:tcW w:w="1161" w:type="dxa"/>
          </w:tcPr>
          <w:p w14:paraId="1D2818BF" w14:textId="77777777" w:rsidR="00DD13BF" w:rsidRDefault="00DD13BF" w:rsidP="00355A56">
            <w:pPr>
              <w:pStyle w:val="TableParagraph"/>
              <w:rPr>
                <w:sz w:val="20"/>
              </w:rPr>
            </w:pPr>
            <w:r>
              <w:rPr>
                <w:sz w:val="20"/>
              </w:rPr>
              <w:t>01</w:t>
            </w:r>
          </w:p>
        </w:tc>
        <w:tc>
          <w:tcPr>
            <w:tcW w:w="2731" w:type="dxa"/>
          </w:tcPr>
          <w:p w14:paraId="264A1C66" w14:textId="77777777" w:rsidR="00DD13BF" w:rsidRDefault="00DD13BF" w:rsidP="00355A56">
            <w:pPr>
              <w:pStyle w:val="TableParagraph"/>
              <w:rPr>
                <w:sz w:val="20"/>
              </w:rPr>
            </w:pPr>
            <w:r>
              <w:rPr>
                <w:sz w:val="20"/>
              </w:rPr>
              <w:t>33,002,978</w:t>
            </w:r>
          </w:p>
        </w:tc>
      </w:tr>
      <w:tr w:rsidR="00DD13BF" w14:paraId="4A851E1B" w14:textId="77777777" w:rsidTr="00355A56">
        <w:trPr>
          <w:trHeight w:val="353"/>
        </w:trPr>
        <w:tc>
          <w:tcPr>
            <w:tcW w:w="2088" w:type="dxa"/>
          </w:tcPr>
          <w:p w14:paraId="483C07CF" w14:textId="77777777" w:rsidR="00DD13BF" w:rsidRDefault="00DD13BF" w:rsidP="00355A56">
            <w:pPr>
              <w:pStyle w:val="TableParagraph"/>
              <w:rPr>
                <w:sz w:val="20"/>
              </w:rPr>
            </w:pPr>
            <w:r>
              <w:rPr>
                <w:sz w:val="20"/>
              </w:rPr>
              <w:t>3</w:t>
            </w:r>
          </w:p>
        </w:tc>
        <w:tc>
          <w:tcPr>
            <w:tcW w:w="1133" w:type="dxa"/>
          </w:tcPr>
          <w:p w14:paraId="4204695D" w14:textId="77777777" w:rsidR="00DD13BF" w:rsidRDefault="00DD13BF" w:rsidP="00355A56">
            <w:pPr>
              <w:pStyle w:val="TableParagraph"/>
              <w:rPr>
                <w:sz w:val="20"/>
              </w:rPr>
            </w:pPr>
            <w:r>
              <w:rPr>
                <w:sz w:val="20"/>
              </w:rPr>
              <w:t>ERDF</w:t>
            </w:r>
          </w:p>
        </w:tc>
        <w:tc>
          <w:tcPr>
            <w:tcW w:w="3249" w:type="dxa"/>
          </w:tcPr>
          <w:p w14:paraId="3E4AF478" w14:textId="77777777" w:rsidR="00DD13BF" w:rsidRDefault="00DD13BF" w:rsidP="00355A56">
            <w:pPr>
              <w:pStyle w:val="TableParagraph"/>
              <w:rPr>
                <w:sz w:val="20"/>
              </w:rPr>
            </w:pPr>
            <w:r>
              <w:rPr>
                <w:sz w:val="20"/>
              </w:rPr>
              <w:t>More developed</w:t>
            </w:r>
          </w:p>
        </w:tc>
        <w:tc>
          <w:tcPr>
            <w:tcW w:w="3099" w:type="dxa"/>
          </w:tcPr>
          <w:p w14:paraId="5C9177B5" w14:textId="77777777" w:rsidR="00DD13BF" w:rsidRDefault="00DD13BF" w:rsidP="00355A56">
            <w:pPr>
              <w:pStyle w:val="TableParagraph"/>
              <w:rPr>
                <w:sz w:val="20"/>
              </w:rPr>
            </w:pPr>
            <w:r>
              <w:rPr>
                <w:color w:val="000000"/>
                <w:sz w:val="20"/>
              </w:rPr>
              <w:t>RSO2.3</w:t>
            </w:r>
          </w:p>
        </w:tc>
        <w:tc>
          <w:tcPr>
            <w:tcW w:w="1161" w:type="dxa"/>
          </w:tcPr>
          <w:p w14:paraId="53AA4BF8" w14:textId="77777777" w:rsidR="00DD13BF" w:rsidRDefault="00DD13BF" w:rsidP="00355A56">
            <w:pPr>
              <w:pStyle w:val="TableParagraph"/>
              <w:rPr>
                <w:sz w:val="20"/>
              </w:rPr>
            </w:pPr>
            <w:r>
              <w:rPr>
                <w:sz w:val="20"/>
              </w:rPr>
              <w:t>01</w:t>
            </w:r>
          </w:p>
        </w:tc>
        <w:tc>
          <w:tcPr>
            <w:tcW w:w="2731" w:type="dxa"/>
          </w:tcPr>
          <w:p w14:paraId="4731548A" w14:textId="77777777" w:rsidR="00DD13BF" w:rsidRDefault="00DD13BF" w:rsidP="00355A56">
            <w:pPr>
              <w:pStyle w:val="TableParagraph"/>
              <w:rPr>
                <w:sz w:val="20"/>
              </w:rPr>
            </w:pPr>
            <w:r>
              <w:rPr>
                <w:sz w:val="20"/>
              </w:rPr>
              <w:t>5,997,912</w:t>
            </w:r>
          </w:p>
        </w:tc>
      </w:tr>
      <w:tr w:rsidR="00DD13BF" w14:paraId="5E7E4E97" w14:textId="77777777" w:rsidTr="00355A56">
        <w:trPr>
          <w:trHeight w:val="353"/>
        </w:trPr>
        <w:tc>
          <w:tcPr>
            <w:tcW w:w="2088" w:type="dxa"/>
          </w:tcPr>
          <w:p w14:paraId="6FE0C1D4" w14:textId="77777777" w:rsidR="00DD13BF" w:rsidRDefault="00DD13BF" w:rsidP="00355A56">
            <w:pPr>
              <w:pStyle w:val="TableParagraph"/>
              <w:rPr>
                <w:sz w:val="20"/>
              </w:rPr>
            </w:pPr>
            <w:r>
              <w:rPr>
                <w:sz w:val="20"/>
              </w:rPr>
              <w:t>3</w:t>
            </w:r>
          </w:p>
        </w:tc>
        <w:tc>
          <w:tcPr>
            <w:tcW w:w="1133" w:type="dxa"/>
          </w:tcPr>
          <w:p w14:paraId="1C78E1EC" w14:textId="77777777" w:rsidR="00DD13BF" w:rsidRDefault="00DD13BF" w:rsidP="00355A56">
            <w:pPr>
              <w:pStyle w:val="TableParagraph"/>
              <w:rPr>
                <w:sz w:val="20"/>
              </w:rPr>
            </w:pPr>
            <w:r>
              <w:rPr>
                <w:sz w:val="20"/>
              </w:rPr>
              <w:t>CF</w:t>
            </w:r>
          </w:p>
        </w:tc>
        <w:tc>
          <w:tcPr>
            <w:tcW w:w="3249" w:type="dxa"/>
          </w:tcPr>
          <w:p w14:paraId="647FD09B" w14:textId="77777777" w:rsidR="00DD13BF" w:rsidRDefault="00DD13BF" w:rsidP="00355A56">
            <w:pPr>
              <w:pStyle w:val="TableParagraph"/>
              <w:rPr>
                <w:sz w:val="20"/>
              </w:rPr>
            </w:pPr>
            <w:r>
              <w:rPr>
                <w:sz w:val="20"/>
              </w:rPr>
              <w:t>Entire Slovenia</w:t>
            </w:r>
          </w:p>
        </w:tc>
        <w:tc>
          <w:tcPr>
            <w:tcW w:w="3099" w:type="dxa"/>
          </w:tcPr>
          <w:p w14:paraId="1672BB27" w14:textId="77777777" w:rsidR="00DD13BF" w:rsidRDefault="00DD13BF" w:rsidP="00355A56">
            <w:pPr>
              <w:pStyle w:val="TableParagraph"/>
              <w:rPr>
                <w:sz w:val="20"/>
              </w:rPr>
            </w:pPr>
            <w:r>
              <w:rPr>
                <w:color w:val="000000"/>
                <w:sz w:val="20"/>
              </w:rPr>
              <w:t>RSO2.3</w:t>
            </w:r>
          </w:p>
        </w:tc>
        <w:tc>
          <w:tcPr>
            <w:tcW w:w="1161" w:type="dxa"/>
          </w:tcPr>
          <w:p w14:paraId="4A828FC6" w14:textId="77777777" w:rsidR="00DD13BF" w:rsidRDefault="00DD13BF" w:rsidP="00355A56">
            <w:pPr>
              <w:pStyle w:val="TableParagraph"/>
              <w:rPr>
                <w:sz w:val="20"/>
              </w:rPr>
            </w:pPr>
            <w:r>
              <w:rPr>
                <w:sz w:val="20"/>
              </w:rPr>
              <w:t>01</w:t>
            </w:r>
          </w:p>
        </w:tc>
        <w:tc>
          <w:tcPr>
            <w:tcW w:w="2731" w:type="dxa"/>
          </w:tcPr>
          <w:p w14:paraId="0DD27926" w14:textId="77777777" w:rsidR="00DD13BF" w:rsidRDefault="00DD13BF" w:rsidP="00355A56">
            <w:pPr>
              <w:pStyle w:val="TableParagraph"/>
              <w:rPr>
                <w:sz w:val="20"/>
              </w:rPr>
            </w:pPr>
            <w:r>
              <w:rPr>
                <w:sz w:val="20"/>
              </w:rPr>
              <w:t xml:space="preserve">15,000,000 </w:t>
            </w:r>
          </w:p>
        </w:tc>
      </w:tr>
    </w:tbl>
    <w:p w14:paraId="2E99E201" w14:textId="77777777" w:rsidR="00DD13BF" w:rsidRDefault="00DD13BF" w:rsidP="00DD13BF">
      <w:pPr>
        <w:rPr>
          <w:sz w:val="20"/>
        </w:rPr>
        <w:sectPr w:rsidR="00DD13BF" w:rsidSect="00BD3536">
          <w:headerReference w:type="default" r:id="rId41"/>
          <w:footerReference w:type="first" r:id="rId42"/>
          <w:type w:val="continuous"/>
          <w:pgSz w:w="16840" w:h="11910" w:orient="landscape"/>
          <w:pgMar w:top="1417" w:right="1417" w:bottom="1417" w:left="1417" w:header="708" w:footer="708" w:gutter="0"/>
          <w:cols w:space="708"/>
          <w:titlePg/>
          <w:docGrid w:linePitch="299"/>
        </w:sectPr>
      </w:pPr>
    </w:p>
    <w:p w14:paraId="60801076" w14:textId="77777777" w:rsidR="00DD13BF" w:rsidRDefault="00DD13BF" w:rsidP="00DD13BF">
      <w:pPr>
        <w:ind w:left="339"/>
        <w:rPr>
          <w:spacing w:val="-7"/>
        </w:rPr>
      </w:pPr>
    </w:p>
    <w:p w14:paraId="2C045F60" w14:textId="77777777" w:rsidR="00DD13BF" w:rsidRDefault="00DD13BF" w:rsidP="00DD13BF">
      <w:pPr>
        <w:ind w:left="339"/>
      </w:pPr>
      <w:r>
        <w:t>Table 6: Dimension 3 – territorial delivery mechanism and territorial focus</w:t>
      </w:r>
    </w:p>
    <w:p w14:paraId="3ECBBDEB" w14:textId="77777777" w:rsidR="00DD13BF" w:rsidRDefault="00DD13BF" w:rsidP="00DD13BF"/>
    <w:tbl>
      <w:tblPr>
        <w:tblStyle w:val="NormalTable0"/>
        <w:tblW w:w="0" w:type="auto"/>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88"/>
        <w:gridCol w:w="1132"/>
        <w:gridCol w:w="3248"/>
        <w:gridCol w:w="3098"/>
        <w:gridCol w:w="1160"/>
        <w:gridCol w:w="2730"/>
      </w:tblGrid>
      <w:tr w:rsidR="00DD13BF" w14:paraId="01D82A44" w14:textId="77777777" w:rsidTr="00355A56">
        <w:trPr>
          <w:trHeight w:val="353"/>
        </w:trPr>
        <w:tc>
          <w:tcPr>
            <w:tcW w:w="2088" w:type="dxa"/>
          </w:tcPr>
          <w:p w14:paraId="2941A442" w14:textId="77777777" w:rsidR="00DD13BF" w:rsidRDefault="00DD13BF" w:rsidP="00355A56">
            <w:pPr>
              <w:pStyle w:val="TableParagraph"/>
              <w:ind w:left="115"/>
            </w:pPr>
            <w:r>
              <w:t>Priority no.</w:t>
            </w:r>
          </w:p>
        </w:tc>
        <w:tc>
          <w:tcPr>
            <w:tcW w:w="1132" w:type="dxa"/>
          </w:tcPr>
          <w:p w14:paraId="5647412E" w14:textId="77777777" w:rsidR="00DD13BF" w:rsidRDefault="00DD13BF" w:rsidP="00355A56">
            <w:pPr>
              <w:pStyle w:val="TableParagraph"/>
              <w:ind w:left="320"/>
            </w:pPr>
            <w:r>
              <w:t>Fund</w:t>
            </w:r>
          </w:p>
        </w:tc>
        <w:tc>
          <w:tcPr>
            <w:tcW w:w="3248" w:type="dxa"/>
          </w:tcPr>
          <w:p w14:paraId="069C6D50" w14:textId="77777777" w:rsidR="00DD13BF" w:rsidRDefault="00DD13BF" w:rsidP="00355A56">
            <w:pPr>
              <w:pStyle w:val="TableParagraph"/>
              <w:ind w:left="908"/>
            </w:pPr>
            <w:r>
              <w:t>Category of region</w:t>
            </w:r>
          </w:p>
        </w:tc>
        <w:tc>
          <w:tcPr>
            <w:tcW w:w="3098" w:type="dxa"/>
          </w:tcPr>
          <w:p w14:paraId="3A1A433F" w14:textId="77777777" w:rsidR="00DD13BF" w:rsidRDefault="00DD13BF" w:rsidP="00355A56">
            <w:pPr>
              <w:pStyle w:val="TableParagraph"/>
              <w:ind w:left="950"/>
            </w:pPr>
            <w:r>
              <w:t>Specific objective</w:t>
            </w:r>
          </w:p>
        </w:tc>
        <w:tc>
          <w:tcPr>
            <w:tcW w:w="1160" w:type="dxa"/>
          </w:tcPr>
          <w:p w14:paraId="1C928FAC" w14:textId="77777777" w:rsidR="00DD13BF" w:rsidRDefault="00DD13BF" w:rsidP="00355A56">
            <w:pPr>
              <w:pStyle w:val="TableParagraph"/>
              <w:ind w:left="336"/>
            </w:pPr>
            <w:r>
              <w:t>Code</w:t>
            </w:r>
          </w:p>
        </w:tc>
        <w:tc>
          <w:tcPr>
            <w:tcW w:w="2730" w:type="dxa"/>
          </w:tcPr>
          <w:p w14:paraId="3D9E6D69" w14:textId="77777777" w:rsidR="00DD13BF" w:rsidRDefault="00DD13BF" w:rsidP="00355A56">
            <w:pPr>
              <w:pStyle w:val="TableParagraph"/>
              <w:ind w:left="664"/>
            </w:pPr>
            <w:r>
              <w:t>Amount (in EUR)</w:t>
            </w:r>
          </w:p>
        </w:tc>
      </w:tr>
      <w:tr w:rsidR="00DD13BF" w14:paraId="797BCDF6" w14:textId="77777777" w:rsidTr="00355A56">
        <w:trPr>
          <w:trHeight w:val="353"/>
        </w:trPr>
        <w:tc>
          <w:tcPr>
            <w:tcW w:w="2088" w:type="dxa"/>
          </w:tcPr>
          <w:p w14:paraId="5CDA335D" w14:textId="77777777" w:rsidR="00DD13BF" w:rsidRDefault="00DD13BF" w:rsidP="00355A56">
            <w:pPr>
              <w:pStyle w:val="TableParagraph"/>
              <w:rPr>
                <w:sz w:val="20"/>
              </w:rPr>
            </w:pPr>
            <w:r>
              <w:rPr>
                <w:sz w:val="20"/>
              </w:rPr>
              <w:t>3</w:t>
            </w:r>
          </w:p>
        </w:tc>
        <w:tc>
          <w:tcPr>
            <w:tcW w:w="1132" w:type="dxa"/>
          </w:tcPr>
          <w:p w14:paraId="39F16DA0" w14:textId="77777777" w:rsidR="00DD13BF" w:rsidRDefault="00DD13BF" w:rsidP="00355A56">
            <w:pPr>
              <w:pStyle w:val="TableParagraph"/>
              <w:rPr>
                <w:sz w:val="20"/>
              </w:rPr>
            </w:pPr>
            <w:r>
              <w:rPr>
                <w:sz w:val="20"/>
              </w:rPr>
              <w:t>ERDF</w:t>
            </w:r>
          </w:p>
        </w:tc>
        <w:tc>
          <w:tcPr>
            <w:tcW w:w="3248" w:type="dxa"/>
          </w:tcPr>
          <w:p w14:paraId="7E0760BF" w14:textId="77777777" w:rsidR="00DD13BF" w:rsidRDefault="00DD13BF" w:rsidP="00355A56">
            <w:pPr>
              <w:pStyle w:val="TableParagraph"/>
              <w:rPr>
                <w:sz w:val="20"/>
              </w:rPr>
            </w:pPr>
            <w:r>
              <w:rPr>
                <w:sz w:val="20"/>
              </w:rPr>
              <w:t>Less developed</w:t>
            </w:r>
          </w:p>
        </w:tc>
        <w:tc>
          <w:tcPr>
            <w:tcW w:w="3098" w:type="dxa"/>
          </w:tcPr>
          <w:p w14:paraId="7C17867B" w14:textId="77777777" w:rsidR="00DD13BF" w:rsidRDefault="00DD13BF" w:rsidP="00355A56">
            <w:pPr>
              <w:pStyle w:val="TableParagraph"/>
              <w:rPr>
                <w:sz w:val="20"/>
              </w:rPr>
            </w:pPr>
            <w:r>
              <w:rPr>
                <w:color w:val="000000"/>
                <w:sz w:val="20"/>
              </w:rPr>
              <w:t>RSO2.3</w:t>
            </w:r>
          </w:p>
        </w:tc>
        <w:tc>
          <w:tcPr>
            <w:tcW w:w="1160" w:type="dxa"/>
          </w:tcPr>
          <w:p w14:paraId="2D8F09B5" w14:textId="77777777" w:rsidR="00DD13BF" w:rsidRDefault="00DD13BF" w:rsidP="00355A56">
            <w:pPr>
              <w:pStyle w:val="TableParagraph"/>
              <w:rPr>
                <w:sz w:val="20"/>
              </w:rPr>
            </w:pPr>
            <w:r>
              <w:rPr>
                <w:sz w:val="20"/>
              </w:rPr>
              <w:t>33</w:t>
            </w:r>
          </w:p>
        </w:tc>
        <w:tc>
          <w:tcPr>
            <w:tcW w:w="2730" w:type="dxa"/>
          </w:tcPr>
          <w:p w14:paraId="63742351" w14:textId="77777777" w:rsidR="00DD13BF" w:rsidRDefault="00DD13BF" w:rsidP="00355A56">
            <w:pPr>
              <w:pStyle w:val="TableParagraph"/>
              <w:rPr>
                <w:sz w:val="20"/>
              </w:rPr>
            </w:pPr>
            <w:r>
              <w:rPr>
                <w:sz w:val="20"/>
              </w:rPr>
              <w:t>33,002,978</w:t>
            </w:r>
          </w:p>
        </w:tc>
      </w:tr>
      <w:tr w:rsidR="00DD13BF" w14:paraId="5E23A654" w14:textId="77777777" w:rsidTr="00355A56">
        <w:trPr>
          <w:trHeight w:val="353"/>
        </w:trPr>
        <w:tc>
          <w:tcPr>
            <w:tcW w:w="2088" w:type="dxa"/>
          </w:tcPr>
          <w:p w14:paraId="1D995A05" w14:textId="77777777" w:rsidR="00DD13BF" w:rsidRDefault="00DD13BF" w:rsidP="00355A56">
            <w:pPr>
              <w:pStyle w:val="TableParagraph"/>
              <w:rPr>
                <w:sz w:val="20"/>
              </w:rPr>
            </w:pPr>
            <w:r>
              <w:rPr>
                <w:sz w:val="20"/>
              </w:rPr>
              <w:t>3</w:t>
            </w:r>
          </w:p>
        </w:tc>
        <w:tc>
          <w:tcPr>
            <w:tcW w:w="1132" w:type="dxa"/>
          </w:tcPr>
          <w:p w14:paraId="1F1F2AD7" w14:textId="77777777" w:rsidR="00DD13BF" w:rsidRDefault="00DD13BF" w:rsidP="00355A56">
            <w:pPr>
              <w:pStyle w:val="TableParagraph"/>
              <w:rPr>
                <w:sz w:val="20"/>
              </w:rPr>
            </w:pPr>
            <w:r>
              <w:rPr>
                <w:sz w:val="20"/>
              </w:rPr>
              <w:t>ERDF</w:t>
            </w:r>
          </w:p>
        </w:tc>
        <w:tc>
          <w:tcPr>
            <w:tcW w:w="3248" w:type="dxa"/>
          </w:tcPr>
          <w:p w14:paraId="09BB365A" w14:textId="77777777" w:rsidR="00DD13BF" w:rsidRDefault="00DD13BF" w:rsidP="00355A56">
            <w:pPr>
              <w:pStyle w:val="TableParagraph"/>
              <w:rPr>
                <w:sz w:val="20"/>
              </w:rPr>
            </w:pPr>
            <w:r>
              <w:rPr>
                <w:sz w:val="20"/>
              </w:rPr>
              <w:t>More developed</w:t>
            </w:r>
          </w:p>
        </w:tc>
        <w:tc>
          <w:tcPr>
            <w:tcW w:w="3098" w:type="dxa"/>
          </w:tcPr>
          <w:p w14:paraId="6E20CFAB" w14:textId="77777777" w:rsidR="00DD13BF" w:rsidRDefault="00DD13BF" w:rsidP="00355A56">
            <w:pPr>
              <w:pStyle w:val="TableParagraph"/>
              <w:rPr>
                <w:sz w:val="20"/>
              </w:rPr>
            </w:pPr>
            <w:r>
              <w:rPr>
                <w:color w:val="000000"/>
                <w:sz w:val="20"/>
              </w:rPr>
              <w:t>RSO2.3</w:t>
            </w:r>
          </w:p>
        </w:tc>
        <w:tc>
          <w:tcPr>
            <w:tcW w:w="1160" w:type="dxa"/>
          </w:tcPr>
          <w:p w14:paraId="7BCBBD11" w14:textId="77777777" w:rsidR="00DD13BF" w:rsidRDefault="00DD13BF" w:rsidP="00355A56">
            <w:pPr>
              <w:pStyle w:val="TableParagraph"/>
              <w:rPr>
                <w:sz w:val="20"/>
              </w:rPr>
            </w:pPr>
            <w:r>
              <w:rPr>
                <w:sz w:val="20"/>
              </w:rPr>
              <w:t>33</w:t>
            </w:r>
          </w:p>
        </w:tc>
        <w:tc>
          <w:tcPr>
            <w:tcW w:w="2730" w:type="dxa"/>
          </w:tcPr>
          <w:p w14:paraId="52212F62" w14:textId="77777777" w:rsidR="00DD13BF" w:rsidRDefault="00DD13BF" w:rsidP="00355A56">
            <w:pPr>
              <w:pStyle w:val="TableParagraph"/>
              <w:rPr>
                <w:sz w:val="20"/>
              </w:rPr>
            </w:pPr>
            <w:r>
              <w:rPr>
                <w:sz w:val="20"/>
              </w:rPr>
              <w:t>5,997,912</w:t>
            </w:r>
          </w:p>
        </w:tc>
      </w:tr>
      <w:tr w:rsidR="00DD13BF" w14:paraId="03FE756B" w14:textId="77777777" w:rsidTr="00355A56">
        <w:trPr>
          <w:trHeight w:val="353"/>
        </w:trPr>
        <w:tc>
          <w:tcPr>
            <w:tcW w:w="2088" w:type="dxa"/>
          </w:tcPr>
          <w:p w14:paraId="18B0DBA8" w14:textId="77777777" w:rsidR="00DD13BF" w:rsidRDefault="00DD13BF" w:rsidP="00355A56">
            <w:pPr>
              <w:pStyle w:val="TableParagraph"/>
              <w:rPr>
                <w:sz w:val="20"/>
              </w:rPr>
            </w:pPr>
            <w:r>
              <w:rPr>
                <w:sz w:val="20"/>
              </w:rPr>
              <w:t>3</w:t>
            </w:r>
          </w:p>
        </w:tc>
        <w:tc>
          <w:tcPr>
            <w:tcW w:w="1132" w:type="dxa"/>
          </w:tcPr>
          <w:p w14:paraId="53E7682A" w14:textId="77777777" w:rsidR="00DD13BF" w:rsidRDefault="00DD13BF" w:rsidP="00355A56">
            <w:pPr>
              <w:pStyle w:val="TableParagraph"/>
              <w:rPr>
                <w:sz w:val="20"/>
              </w:rPr>
            </w:pPr>
            <w:r>
              <w:rPr>
                <w:sz w:val="20"/>
              </w:rPr>
              <w:t>CF</w:t>
            </w:r>
          </w:p>
        </w:tc>
        <w:tc>
          <w:tcPr>
            <w:tcW w:w="3248" w:type="dxa"/>
          </w:tcPr>
          <w:p w14:paraId="6F93EC92" w14:textId="77777777" w:rsidR="00DD13BF" w:rsidRDefault="00DD13BF" w:rsidP="00355A56">
            <w:pPr>
              <w:pStyle w:val="TableParagraph"/>
              <w:rPr>
                <w:sz w:val="20"/>
              </w:rPr>
            </w:pPr>
            <w:r>
              <w:rPr>
                <w:sz w:val="20"/>
              </w:rPr>
              <w:t>Entire Slovenia</w:t>
            </w:r>
          </w:p>
        </w:tc>
        <w:tc>
          <w:tcPr>
            <w:tcW w:w="3098" w:type="dxa"/>
          </w:tcPr>
          <w:p w14:paraId="18E78AA9" w14:textId="77777777" w:rsidR="00DD13BF" w:rsidRDefault="00DD13BF" w:rsidP="00355A56">
            <w:pPr>
              <w:pStyle w:val="TableParagraph"/>
              <w:rPr>
                <w:sz w:val="20"/>
              </w:rPr>
            </w:pPr>
            <w:r>
              <w:rPr>
                <w:color w:val="000000"/>
                <w:sz w:val="20"/>
              </w:rPr>
              <w:t>RSO2.3</w:t>
            </w:r>
          </w:p>
        </w:tc>
        <w:tc>
          <w:tcPr>
            <w:tcW w:w="1160" w:type="dxa"/>
          </w:tcPr>
          <w:p w14:paraId="05BF4559" w14:textId="77777777" w:rsidR="00DD13BF" w:rsidRPr="001F4EBE" w:rsidRDefault="00DD13BF" w:rsidP="00355A56">
            <w:pPr>
              <w:pStyle w:val="TableParagraph"/>
              <w:rPr>
                <w:sz w:val="20"/>
              </w:rPr>
            </w:pPr>
            <w:r>
              <w:rPr>
                <w:sz w:val="20"/>
              </w:rPr>
              <w:t>33</w:t>
            </w:r>
          </w:p>
        </w:tc>
        <w:tc>
          <w:tcPr>
            <w:tcW w:w="2730" w:type="dxa"/>
          </w:tcPr>
          <w:p w14:paraId="15D4138B" w14:textId="77777777" w:rsidR="00DD13BF" w:rsidRDefault="00DD13BF" w:rsidP="00355A56">
            <w:pPr>
              <w:pStyle w:val="TableParagraph"/>
              <w:rPr>
                <w:sz w:val="20"/>
              </w:rPr>
            </w:pPr>
            <w:r>
              <w:rPr>
                <w:sz w:val="20"/>
              </w:rPr>
              <w:t xml:space="preserve">15,000,000 </w:t>
            </w:r>
          </w:p>
        </w:tc>
      </w:tr>
    </w:tbl>
    <w:p w14:paraId="53EB4D02" w14:textId="77777777" w:rsidR="00DD13BF" w:rsidRDefault="00DD13BF" w:rsidP="00DD13BF"/>
    <w:p w14:paraId="04F615FB" w14:textId="77777777" w:rsidR="00DD13BF" w:rsidRDefault="00DD13BF" w:rsidP="00DD13BF">
      <w:pPr>
        <w:ind w:left="339"/>
      </w:pPr>
      <w:r>
        <w:t>Table 7: Dimension 6 – ESF+ secondary themes</w:t>
      </w:r>
    </w:p>
    <w:p w14:paraId="6FB5DFE6"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9D35366" w14:textId="77777777" w:rsidTr="00355A56">
        <w:trPr>
          <w:trHeight w:val="353"/>
        </w:trPr>
        <w:tc>
          <w:tcPr>
            <w:tcW w:w="2088" w:type="dxa"/>
          </w:tcPr>
          <w:p w14:paraId="2F5B70B8" w14:textId="77777777" w:rsidR="00DD13BF" w:rsidRDefault="00DD13BF" w:rsidP="00355A56">
            <w:pPr>
              <w:pStyle w:val="TableParagraph"/>
              <w:ind w:left="115"/>
            </w:pPr>
            <w:r>
              <w:t>Priority no.</w:t>
            </w:r>
          </w:p>
        </w:tc>
        <w:tc>
          <w:tcPr>
            <w:tcW w:w="1132" w:type="dxa"/>
          </w:tcPr>
          <w:p w14:paraId="6200078D" w14:textId="77777777" w:rsidR="00DD13BF" w:rsidRDefault="00DD13BF" w:rsidP="00355A56">
            <w:pPr>
              <w:pStyle w:val="TableParagraph"/>
              <w:ind w:left="321"/>
            </w:pPr>
            <w:r>
              <w:t>Fund</w:t>
            </w:r>
          </w:p>
        </w:tc>
        <w:tc>
          <w:tcPr>
            <w:tcW w:w="3248" w:type="dxa"/>
          </w:tcPr>
          <w:p w14:paraId="362E9BB8" w14:textId="77777777" w:rsidR="00DD13BF" w:rsidRDefault="00DD13BF" w:rsidP="00355A56">
            <w:pPr>
              <w:pStyle w:val="TableParagraph"/>
              <w:ind w:left="909"/>
            </w:pPr>
            <w:r>
              <w:t>Category of region</w:t>
            </w:r>
          </w:p>
        </w:tc>
        <w:tc>
          <w:tcPr>
            <w:tcW w:w="3098" w:type="dxa"/>
          </w:tcPr>
          <w:p w14:paraId="3518A01C" w14:textId="77777777" w:rsidR="00DD13BF" w:rsidRDefault="00DD13BF" w:rsidP="00355A56">
            <w:pPr>
              <w:pStyle w:val="TableParagraph"/>
              <w:ind w:left="950"/>
            </w:pPr>
            <w:r>
              <w:t>Specific objective</w:t>
            </w:r>
          </w:p>
        </w:tc>
        <w:tc>
          <w:tcPr>
            <w:tcW w:w="1160" w:type="dxa"/>
          </w:tcPr>
          <w:p w14:paraId="0CC329D7" w14:textId="77777777" w:rsidR="00DD13BF" w:rsidRDefault="00DD13BF" w:rsidP="00355A56">
            <w:pPr>
              <w:pStyle w:val="TableParagraph"/>
              <w:ind w:left="337"/>
            </w:pPr>
            <w:r>
              <w:t>Code</w:t>
            </w:r>
          </w:p>
        </w:tc>
        <w:tc>
          <w:tcPr>
            <w:tcW w:w="2730" w:type="dxa"/>
          </w:tcPr>
          <w:p w14:paraId="3628E483" w14:textId="77777777" w:rsidR="00DD13BF" w:rsidRDefault="00DD13BF" w:rsidP="00355A56">
            <w:pPr>
              <w:pStyle w:val="TableParagraph"/>
              <w:ind w:left="665"/>
            </w:pPr>
            <w:r>
              <w:t>Amount (in EUR)</w:t>
            </w:r>
          </w:p>
        </w:tc>
      </w:tr>
    </w:tbl>
    <w:p w14:paraId="1B3359C8" w14:textId="77777777" w:rsidR="00DD13BF" w:rsidRPr="00673ADB" w:rsidRDefault="00DD13BF" w:rsidP="00DD13BF"/>
    <w:p w14:paraId="1C080C73" w14:textId="77777777" w:rsidR="00DD13BF" w:rsidRDefault="00DD13BF" w:rsidP="00DD13BF">
      <w:pPr>
        <w:ind w:left="339"/>
      </w:pPr>
      <w:r>
        <w:t>Table 8: Dimension 7 – ESF+*, ERDF, Cohesion Fund and JTF gender equality dimension</w:t>
      </w:r>
    </w:p>
    <w:p w14:paraId="7BD2537E"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1A5B648" w14:textId="77777777" w:rsidTr="00355A56">
        <w:trPr>
          <w:trHeight w:val="353"/>
        </w:trPr>
        <w:tc>
          <w:tcPr>
            <w:tcW w:w="2088" w:type="dxa"/>
          </w:tcPr>
          <w:p w14:paraId="4EDA000F" w14:textId="77777777" w:rsidR="00DD13BF" w:rsidRDefault="00DD13BF" w:rsidP="00355A56">
            <w:pPr>
              <w:pStyle w:val="TableParagraph"/>
              <w:ind w:left="115"/>
            </w:pPr>
            <w:r>
              <w:t>Priority no.</w:t>
            </w:r>
          </w:p>
        </w:tc>
        <w:tc>
          <w:tcPr>
            <w:tcW w:w="1132" w:type="dxa"/>
          </w:tcPr>
          <w:p w14:paraId="1C411FE2" w14:textId="77777777" w:rsidR="00DD13BF" w:rsidRDefault="00DD13BF" w:rsidP="00355A56">
            <w:pPr>
              <w:pStyle w:val="TableParagraph"/>
              <w:ind w:left="320"/>
            </w:pPr>
            <w:r>
              <w:t>Fund</w:t>
            </w:r>
          </w:p>
        </w:tc>
        <w:tc>
          <w:tcPr>
            <w:tcW w:w="3248" w:type="dxa"/>
          </w:tcPr>
          <w:p w14:paraId="0970F22D" w14:textId="77777777" w:rsidR="00DD13BF" w:rsidRDefault="00DD13BF" w:rsidP="00355A56">
            <w:pPr>
              <w:pStyle w:val="TableParagraph"/>
              <w:ind w:left="908"/>
            </w:pPr>
            <w:r>
              <w:t>Category of region</w:t>
            </w:r>
          </w:p>
        </w:tc>
        <w:tc>
          <w:tcPr>
            <w:tcW w:w="3098" w:type="dxa"/>
          </w:tcPr>
          <w:p w14:paraId="4D07705A" w14:textId="77777777" w:rsidR="00DD13BF" w:rsidRDefault="00DD13BF" w:rsidP="00355A56">
            <w:pPr>
              <w:pStyle w:val="TableParagraph"/>
              <w:ind w:left="950"/>
            </w:pPr>
            <w:r>
              <w:t>Specific objective</w:t>
            </w:r>
          </w:p>
        </w:tc>
        <w:tc>
          <w:tcPr>
            <w:tcW w:w="1160" w:type="dxa"/>
          </w:tcPr>
          <w:p w14:paraId="316E1BE4" w14:textId="77777777" w:rsidR="00DD13BF" w:rsidRDefault="00DD13BF" w:rsidP="00355A56">
            <w:pPr>
              <w:pStyle w:val="TableParagraph"/>
              <w:ind w:left="336"/>
            </w:pPr>
            <w:r>
              <w:t>Code</w:t>
            </w:r>
          </w:p>
        </w:tc>
        <w:tc>
          <w:tcPr>
            <w:tcW w:w="2730" w:type="dxa"/>
          </w:tcPr>
          <w:p w14:paraId="6830C295" w14:textId="77777777" w:rsidR="00DD13BF" w:rsidRDefault="00DD13BF" w:rsidP="00355A56">
            <w:pPr>
              <w:pStyle w:val="TableParagraph"/>
              <w:ind w:left="664"/>
            </w:pPr>
            <w:r>
              <w:t>Amount (in EUR)</w:t>
            </w:r>
          </w:p>
        </w:tc>
      </w:tr>
      <w:tr w:rsidR="00DD13BF" w14:paraId="401160EF" w14:textId="77777777" w:rsidTr="00355A56">
        <w:trPr>
          <w:trHeight w:val="353"/>
        </w:trPr>
        <w:tc>
          <w:tcPr>
            <w:tcW w:w="2088" w:type="dxa"/>
          </w:tcPr>
          <w:p w14:paraId="3D4EAE11" w14:textId="77777777" w:rsidR="00DD13BF" w:rsidRDefault="00DD13BF" w:rsidP="00355A56">
            <w:pPr>
              <w:pStyle w:val="TableParagraph"/>
              <w:rPr>
                <w:sz w:val="20"/>
              </w:rPr>
            </w:pPr>
            <w:r>
              <w:rPr>
                <w:sz w:val="20"/>
              </w:rPr>
              <w:t>3</w:t>
            </w:r>
          </w:p>
        </w:tc>
        <w:tc>
          <w:tcPr>
            <w:tcW w:w="1132" w:type="dxa"/>
          </w:tcPr>
          <w:p w14:paraId="0E7887B6" w14:textId="77777777" w:rsidR="00DD13BF" w:rsidRDefault="00DD13BF" w:rsidP="00355A56">
            <w:pPr>
              <w:pStyle w:val="TableParagraph"/>
              <w:rPr>
                <w:sz w:val="20"/>
              </w:rPr>
            </w:pPr>
            <w:r>
              <w:rPr>
                <w:sz w:val="20"/>
              </w:rPr>
              <w:t>ERDF</w:t>
            </w:r>
          </w:p>
        </w:tc>
        <w:tc>
          <w:tcPr>
            <w:tcW w:w="3248" w:type="dxa"/>
          </w:tcPr>
          <w:p w14:paraId="40FB1A2C" w14:textId="77777777" w:rsidR="00DD13BF" w:rsidRDefault="00DD13BF" w:rsidP="00355A56">
            <w:pPr>
              <w:pStyle w:val="TableParagraph"/>
              <w:rPr>
                <w:sz w:val="20"/>
              </w:rPr>
            </w:pPr>
            <w:r>
              <w:rPr>
                <w:sz w:val="20"/>
              </w:rPr>
              <w:t>Less developed</w:t>
            </w:r>
          </w:p>
        </w:tc>
        <w:tc>
          <w:tcPr>
            <w:tcW w:w="3098" w:type="dxa"/>
          </w:tcPr>
          <w:p w14:paraId="7C27E7A4" w14:textId="77777777" w:rsidR="00DD13BF" w:rsidRDefault="00DD13BF" w:rsidP="00355A56">
            <w:pPr>
              <w:pStyle w:val="TableParagraph"/>
              <w:rPr>
                <w:sz w:val="20"/>
              </w:rPr>
            </w:pPr>
            <w:r>
              <w:rPr>
                <w:color w:val="000000"/>
                <w:sz w:val="20"/>
              </w:rPr>
              <w:t>RSO2.3</w:t>
            </w:r>
          </w:p>
        </w:tc>
        <w:tc>
          <w:tcPr>
            <w:tcW w:w="1160" w:type="dxa"/>
          </w:tcPr>
          <w:p w14:paraId="21EE80BB" w14:textId="77777777" w:rsidR="00DD13BF" w:rsidRDefault="00DD13BF" w:rsidP="00355A56">
            <w:pPr>
              <w:pStyle w:val="TableParagraph"/>
              <w:rPr>
                <w:sz w:val="20"/>
              </w:rPr>
            </w:pPr>
            <w:r>
              <w:rPr>
                <w:sz w:val="20"/>
              </w:rPr>
              <w:t>03</w:t>
            </w:r>
          </w:p>
        </w:tc>
        <w:tc>
          <w:tcPr>
            <w:tcW w:w="2730" w:type="dxa"/>
          </w:tcPr>
          <w:p w14:paraId="55CD4D0A" w14:textId="77777777" w:rsidR="00DD13BF" w:rsidRDefault="00DD13BF" w:rsidP="00355A56">
            <w:pPr>
              <w:pStyle w:val="TableParagraph"/>
              <w:rPr>
                <w:sz w:val="20"/>
              </w:rPr>
            </w:pPr>
            <w:r>
              <w:rPr>
                <w:sz w:val="20"/>
              </w:rPr>
              <w:t>33,002,978</w:t>
            </w:r>
          </w:p>
        </w:tc>
      </w:tr>
      <w:tr w:rsidR="00DD13BF" w14:paraId="38AEA56F" w14:textId="77777777" w:rsidTr="00355A56">
        <w:trPr>
          <w:trHeight w:val="353"/>
        </w:trPr>
        <w:tc>
          <w:tcPr>
            <w:tcW w:w="2088" w:type="dxa"/>
          </w:tcPr>
          <w:p w14:paraId="75C084AB" w14:textId="77777777" w:rsidR="00DD13BF" w:rsidRDefault="00DD13BF" w:rsidP="00355A56">
            <w:pPr>
              <w:pStyle w:val="TableParagraph"/>
              <w:rPr>
                <w:sz w:val="20"/>
              </w:rPr>
            </w:pPr>
            <w:r>
              <w:rPr>
                <w:sz w:val="20"/>
              </w:rPr>
              <w:lastRenderedPageBreak/>
              <w:t>3</w:t>
            </w:r>
          </w:p>
        </w:tc>
        <w:tc>
          <w:tcPr>
            <w:tcW w:w="1132" w:type="dxa"/>
          </w:tcPr>
          <w:p w14:paraId="75AE77C6" w14:textId="77777777" w:rsidR="00DD13BF" w:rsidRDefault="00DD13BF" w:rsidP="00355A56">
            <w:pPr>
              <w:pStyle w:val="TableParagraph"/>
              <w:rPr>
                <w:sz w:val="20"/>
              </w:rPr>
            </w:pPr>
            <w:r>
              <w:rPr>
                <w:sz w:val="20"/>
              </w:rPr>
              <w:t>ERDF</w:t>
            </w:r>
          </w:p>
        </w:tc>
        <w:tc>
          <w:tcPr>
            <w:tcW w:w="3248" w:type="dxa"/>
          </w:tcPr>
          <w:p w14:paraId="4135D73F" w14:textId="77777777" w:rsidR="00DD13BF" w:rsidRDefault="00DD13BF" w:rsidP="00355A56">
            <w:pPr>
              <w:pStyle w:val="TableParagraph"/>
              <w:rPr>
                <w:sz w:val="20"/>
              </w:rPr>
            </w:pPr>
            <w:r>
              <w:rPr>
                <w:sz w:val="20"/>
              </w:rPr>
              <w:t>More developed</w:t>
            </w:r>
          </w:p>
        </w:tc>
        <w:tc>
          <w:tcPr>
            <w:tcW w:w="3098" w:type="dxa"/>
          </w:tcPr>
          <w:p w14:paraId="498F7084" w14:textId="77777777" w:rsidR="00DD13BF" w:rsidRDefault="00DD13BF" w:rsidP="00355A56">
            <w:pPr>
              <w:pStyle w:val="TableParagraph"/>
              <w:rPr>
                <w:sz w:val="20"/>
              </w:rPr>
            </w:pPr>
            <w:r>
              <w:rPr>
                <w:color w:val="000000"/>
                <w:sz w:val="20"/>
              </w:rPr>
              <w:t>RSO2.3</w:t>
            </w:r>
          </w:p>
        </w:tc>
        <w:tc>
          <w:tcPr>
            <w:tcW w:w="1160" w:type="dxa"/>
          </w:tcPr>
          <w:p w14:paraId="1EDC4F9F" w14:textId="77777777" w:rsidR="00DD13BF" w:rsidRDefault="00DD13BF" w:rsidP="00355A56">
            <w:pPr>
              <w:pStyle w:val="TableParagraph"/>
              <w:rPr>
                <w:sz w:val="20"/>
              </w:rPr>
            </w:pPr>
            <w:r>
              <w:rPr>
                <w:sz w:val="20"/>
              </w:rPr>
              <w:t>03</w:t>
            </w:r>
          </w:p>
        </w:tc>
        <w:tc>
          <w:tcPr>
            <w:tcW w:w="2730" w:type="dxa"/>
          </w:tcPr>
          <w:p w14:paraId="04E74E2C" w14:textId="77777777" w:rsidR="00DD13BF" w:rsidRDefault="00DD13BF" w:rsidP="00355A56">
            <w:pPr>
              <w:pStyle w:val="TableParagraph"/>
              <w:rPr>
                <w:sz w:val="20"/>
              </w:rPr>
            </w:pPr>
            <w:r>
              <w:rPr>
                <w:sz w:val="20"/>
              </w:rPr>
              <w:t>5,997,912</w:t>
            </w:r>
          </w:p>
        </w:tc>
      </w:tr>
      <w:tr w:rsidR="00DD13BF" w14:paraId="0F55BA04" w14:textId="77777777" w:rsidTr="00355A56">
        <w:trPr>
          <w:trHeight w:val="353"/>
        </w:trPr>
        <w:tc>
          <w:tcPr>
            <w:tcW w:w="2088" w:type="dxa"/>
          </w:tcPr>
          <w:p w14:paraId="1F0D56B0" w14:textId="77777777" w:rsidR="00DD13BF" w:rsidRDefault="00DD13BF" w:rsidP="00355A56">
            <w:pPr>
              <w:pStyle w:val="TableParagraph"/>
              <w:rPr>
                <w:sz w:val="20"/>
              </w:rPr>
            </w:pPr>
            <w:r>
              <w:rPr>
                <w:sz w:val="20"/>
              </w:rPr>
              <w:t>3</w:t>
            </w:r>
          </w:p>
        </w:tc>
        <w:tc>
          <w:tcPr>
            <w:tcW w:w="1132" w:type="dxa"/>
          </w:tcPr>
          <w:p w14:paraId="5DC35CBA" w14:textId="77777777" w:rsidR="00DD13BF" w:rsidRDefault="00DD13BF" w:rsidP="00355A56">
            <w:pPr>
              <w:pStyle w:val="TableParagraph"/>
              <w:rPr>
                <w:sz w:val="20"/>
              </w:rPr>
            </w:pPr>
            <w:r>
              <w:rPr>
                <w:sz w:val="20"/>
              </w:rPr>
              <w:t>CF</w:t>
            </w:r>
          </w:p>
        </w:tc>
        <w:tc>
          <w:tcPr>
            <w:tcW w:w="3248" w:type="dxa"/>
          </w:tcPr>
          <w:p w14:paraId="2AC92DA7" w14:textId="77777777" w:rsidR="00DD13BF" w:rsidRDefault="00DD13BF" w:rsidP="00355A56">
            <w:pPr>
              <w:pStyle w:val="TableParagraph"/>
              <w:rPr>
                <w:sz w:val="20"/>
              </w:rPr>
            </w:pPr>
            <w:r>
              <w:rPr>
                <w:sz w:val="20"/>
              </w:rPr>
              <w:t>Entire Slovenia</w:t>
            </w:r>
          </w:p>
        </w:tc>
        <w:tc>
          <w:tcPr>
            <w:tcW w:w="3098" w:type="dxa"/>
          </w:tcPr>
          <w:p w14:paraId="02E93098" w14:textId="77777777" w:rsidR="00DD13BF" w:rsidRDefault="00DD13BF" w:rsidP="00355A56">
            <w:pPr>
              <w:pStyle w:val="TableParagraph"/>
              <w:rPr>
                <w:sz w:val="20"/>
              </w:rPr>
            </w:pPr>
            <w:r>
              <w:rPr>
                <w:color w:val="000000"/>
                <w:sz w:val="20"/>
              </w:rPr>
              <w:t>RSO2.3</w:t>
            </w:r>
          </w:p>
        </w:tc>
        <w:tc>
          <w:tcPr>
            <w:tcW w:w="1160" w:type="dxa"/>
          </w:tcPr>
          <w:p w14:paraId="46F9F14A" w14:textId="77777777" w:rsidR="00DD13BF" w:rsidRDefault="00DD13BF" w:rsidP="00355A56">
            <w:pPr>
              <w:pStyle w:val="TableParagraph"/>
              <w:rPr>
                <w:sz w:val="20"/>
              </w:rPr>
            </w:pPr>
            <w:r>
              <w:rPr>
                <w:sz w:val="20"/>
              </w:rPr>
              <w:t>03</w:t>
            </w:r>
          </w:p>
        </w:tc>
        <w:tc>
          <w:tcPr>
            <w:tcW w:w="2730" w:type="dxa"/>
          </w:tcPr>
          <w:p w14:paraId="7DAA74F4" w14:textId="77777777" w:rsidR="00DD13BF" w:rsidRDefault="00DD13BF" w:rsidP="00355A56">
            <w:pPr>
              <w:pStyle w:val="TableParagraph"/>
              <w:rPr>
                <w:sz w:val="20"/>
              </w:rPr>
            </w:pPr>
            <w:r>
              <w:rPr>
                <w:sz w:val="20"/>
              </w:rPr>
              <w:t>15,000,000</w:t>
            </w:r>
          </w:p>
        </w:tc>
      </w:tr>
    </w:tbl>
    <w:p w14:paraId="66CDEB37" w14:textId="77777777" w:rsidR="00DD13BF" w:rsidRPr="00673ADB" w:rsidRDefault="00DD13BF" w:rsidP="00DD13BF">
      <w:pPr>
        <w:tabs>
          <w:tab w:val="left" w:pos="426"/>
        </w:tabs>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04C58CED" w14:textId="77777777" w:rsidR="00DD13BF" w:rsidRPr="00673ADB" w:rsidRDefault="00DD13BF" w:rsidP="00DD13BF">
      <w:pPr>
        <w:tabs>
          <w:tab w:val="left" w:pos="426"/>
        </w:tabs>
        <w:ind w:left="284"/>
        <w:rPr>
          <w:sz w:val="16"/>
          <w:szCs w:val="16"/>
        </w:rPr>
      </w:pPr>
    </w:p>
    <w:p w14:paraId="29BC21D0" w14:textId="77777777" w:rsidR="00DD13BF" w:rsidRDefault="00DD13BF" w:rsidP="00DD13BF"/>
    <w:p w14:paraId="3169E781" w14:textId="77777777" w:rsidR="00DD13BF" w:rsidRDefault="00DD13BF" w:rsidP="00DD13BF">
      <w:pPr>
        <w:sectPr w:rsidR="00DD13BF" w:rsidSect="00FC3010">
          <w:headerReference w:type="default" r:id="rId43"/>
          <w:footerReference w:type="first" r:id="rId44"/>
          <w:type w:val="continuous"/>
          <w:pgSz w:w="16840" w:h="11910" w:orient="landscape"/>
          <w:pgMar w:top="1417" w:right="1417" w:bottom="1417" w:left="1417" w:header="708" w:footer="708" w:gutter="0"/>
          <w:cols w:space="708"/>
        </w:sectPr>
      </w:pPr>
    </w:p>
    <w:p w14:paraId="46E30985" w14:textId="77777777" w:rsidR="00DD13BF" w:rsidRDefault="00DD13BF" w:rsidP="00DD13BF">
      <w:r>
        <w:br w:type="page"/>
      </w:r>
    </w:p>
    <w:p w14:paraId="0EF0FC00" w14:textId="77777777" w:rsidR="00DD13BF" w:rsidRPr="00BD3536" w:rsidRDefault="00DD13BF" w:rsidP="00DD13BF">
      <w:pPr>
        <w:pStyle w:val="Naslov4"/>
        <w:ind w:left="1134"/>
      </w:pPr>
      <w:bookmarkStart w:id="28" w:name="_Toc131161707"/>
      <w:r>
        <w:lastRenderedPageBreak/>
        <w:t>Specific objective RSO2.4. Promoting climate change adaptation and disaster risk prevention and resilience, taking into account eco-system based approaches (ERDF) (Cohesion Fund)</w:t>
      </w:r>
      <w:bookmarkEnd w:id="28"/>
      <w:r>
        <w:t xml:space="preserve"> </w:t>
      </w:r>
    </w:p>
    <w:p w14:paraId="4E0046D1" w14:textId="77777777" w:rsidR="00DD13BF" w:rsidRDefault="00DD13BF" w:rsidP="00DD13BF">
      <w:pPr>
        <w:rPr>
          <w:sz w:val="30"/>
        </w:rPr>
      </w:pPr>
    </w:p>
    <w:p w14:paraId="7BA9B051" w14:textId="77777777" w:rsidR="00DD13BF" w:rsidRPr="00C10464" w:rsidRDefault="00DD13BF" w:rsidP="00DD13BF">
      <w:pPr>
        <w:pStyle w:val="Naslov5"/>
        <w:spacing w:before="0"/>
      </w:pPr>
      <w:r>
        <w:t>Interventions of the Funds</w:t>
      </w:r>
    </w:p>
    <w:p w14:paraId="37DDFEF3" w14:textId="77777777" w:rsidR="00DD13BF" w:rsidRDefault="00DD13BF" w:rsidP="00DD13BF">
      <w:pPr>
        <w:rPr>
          <w:sz w:val="30"/>
        </w:rPr>
      </w:pPr>
    </w:p>
    <w:p w14:paraId="5A8A7CED" w14:textId="77777777" w:rsidR="00DD13BF" w:rsidRDefault="00DD13BF" w:rsidP="00DD13BF">
      <w:pPr>
        <w:ind w:left="1349"/>
        <w:rPr>
          <w:spacing w:val="-2"/>
        </w:rPr>
      </w:pPr>
      <w:r>
        <w:t>Related types of actions:</w:t>
      </w:r>
    </w:p>
    <w:p w14:paraId="0DE78956"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3F6CE9E6" w14:textId="77777777" w:rsidTr="00355A56">
        <w:trPr>
          <w:trHeight w:val="316"/>
        </w:trPr>
        <w:tc>
          <w:tcPr>
            <w:tcW w:w="12758" w:type="dxa"/>
          </w:tcPr>
          <w:p w14:paraId="068C57AD" w14:textId="77777777" w:rsidR="00DD13BF" w:rsidRDefault="00DD13BF" w:rsidP="00355A56">
            <w:pPr>
              <w:jc w:val="both"/>
              <w:rPr>
                <w:rFonts w:cstheme="minorHAnsi"/>
              </w:rPr>
            </w:pPr>
            <w:r>
              <w:t>According to experts, the increasing trend towards climate-related natural disasters by frequency, intensity and the extent of the damage caused is expected to continue in Slovenia. Despite preventive actions, such disasters cannot be fully prevented or forecast; therefore, we must prepare well for them with suitable preventive structural and non-structural measures, enhance our preparedness, and respond promptly and adequately if a natural disaster strikes. We will focus on climate-related natural disasters that pose a significant risk</w:t>
            </w:r>
            <w:r w:rsidRPr="00D7356A">
              <w:rPr>
                <w:rStyle w:val="Sprotnaopomba-sklic"/>
              </w:rPr>
              <w:footnoteReference w:id="146"/>
            </w:r>
            <w:r>
              <w:t>, i.e. floods, wildfires, glaze ice, and implement the following measures:</w:t>
            </w:r>
          </w:p>
          <w:p w14:paraId="510C3A80" w14:textId="77777777" w:rsidR="00DD13BF" w:rsidRDefault="00DD13BF" w:rsidP="00355A56">
            <w:pPr>
              <w:jc w:val="both"/>
              <w:rPr>
                <w:rFonts w:cstheme="minorHAnsi"/>
              </w:rPr>
            </w:pPr>
          </w:p>
          <w:p w14:paraId="5D2D123F" w14:textId="77777777" w:rsidR="00DD13BF" w:rsidRPr="007C3CEB" w:rsidRDefault="00DD13BF" w:rsidP="00DD13BF">
            <w:pPr>
              <w:widowControl/>
              <w:numPr>
                <w:ilvl w:val="0"/>
                <w:numId w:val="21"/>
              </w:numPr>
              <w:autoSpaceDE/>
              <w:autoSpaceDN/>
              <w:jc w:val="both"/>
              <w:rPr>
                <w:rFonts w:cstheme="minorBidi"/>
              </w:rPr>
            </w:pPr>
            <w:r>
              <w:rPr>
                <w:i/>
                <w:iCs/>
              </w:rPr>
              <w:t>Reducing flood risk in areas of important impacts of floods, which show the highest level of preparedness for implementation</w:t>
            </w:r>
            <w:r>
              <w:t>: In accordance with Directive 2007/60/EC of the European Parliament and of the Council of 23 October 2007 on the assessment and management of flood risks, Slovenian addressed flood risk with the Preliminary Flood Risk Assessment (2011) and the Flood Risk Management Plan (July 2017) (hereinafter: FRMP) and the updated Flood Risk Management Plan that is being drafted. In 2019, Slovenia adopted the updated Preliminary Flood Risk Assessment</w:t>
            </w:r>
            <w:r>
              <w:rPr>
                <w:rStyle w:val="Sprotnaopomba-sklic"/>
                <w:rFonts w:cstheme="minorBidi"/>
              </w:rPr>
              <w:footnoteReference w:id="147"/>
            </w:r>
            <w:r>
              <w:t>. In Slovenia, 86 areas of potential significant flood risk (hereinafter: APSFR) were recognised. Individual measures will be harmonised with the FRMP</w:t>
            </w:r>
            <w:r w:rsidRPr="0848C57F">
              <w:rPr>
                <w:rStyle w:val="Sprotnaopomba-sklic"/>
                <w:rFonts w:cstheme="minorBidi"/>
              </w:rPr>
              <w:footnoteReference w:id="148"/>
            </w:r>
            <w:r>
              <w:t xml:space="preserve"> and planned with ecosystem approaches to take into account the simultaneous maintenance of good water status as much as possible. Similar to the 2014–2020 period, major measures (hydrotechnical, ecosystem and non-structural) will be implemented within the framework of the European Cohesion Policy, which will contribute the most to reducing the flood risk in APSFR and are of exceptional importance for Slovenia. These measures will be logically complemented by the implementation of minor measures within the framework of the RRP and national resources. The measures will take into account all the required mitigating measures to maintain good water status and protect the environment and flood risk areas by adjusting land use, taking into consideration the guidelines from the FRMP and the Water Management Plan. As part of non-structural measures, documentation will also be drafted to prepare projects to reduce flood risk with the associated bases and obtaining the right to build for their future construction-related implementation. When planning, the objectives of the NMP and the provisions derived from the management plans for protected areas or provisions from the acts of their insurance are taken into account during hydrological studies and analyses at a Natura 2000 site. Nature-based solutions are being sought within the framework of supported investments for structural flood protection measures, while part of the funds will be allocated to the </w:t>
            </w:r>
            <w:r>
              <w:lastRenderedPageBreak/>
              <w:t xml:space="preserve">implementation of ecosystem measures, particularly at Natura 2000 sites (watercourse renaturation, protection of flooding areas by adapting land use, etc.). </w:t>
            </w:r>
          </w:p>
          <w:p w14:paraId="2521DB3F" w14:textId="77777777" w:rsidR="00DD13BF" w:rsidRDefault="00DD13BF" w:rsidP="00355A56">
            <w:pPr>
              <w:ind w:left="741"/>
              <w:jc w:val="both"/>
              <w:rPr>
                <w:rFonts w:cstheme="minorBidi"/>
              </w:rPr>
            </w:pPr>
            <w:r>
              <w:t xml:space="preserve">Based on the experience from the ECP 2007–2013 and 2014–2020, special attention will be paid to the preparedness of projects to ensure quality implementation without significant delays. </w:t>
            </w:r>
          </w:p>
          <w:p w14:paraId="1EE4C9FE" w14:textId="77777777" w:rsidR="00DD13BF" w:rsidRDefault="00DD13BF" w:rsidP="00355A56">
            <w:pPr>
              <w:ind w:left="741"/>
              <w:jc w:val="both"/>
              <w:rPr>
                <w:rFonts w:cstheme="minorBidi"/>
              </w:rPr>
            </w:pPr>
            <w:r>
              <w:t>Depending on the funds available and the level of project preparedness, the ERDF funds in the 2021–2027 period will be used to support a project to reduce flood risk in the basin of:</w:t>
            </w:r>
          </w:p>
          <w:p w14:paraId="4A25E166" w14:textId="77777777" w:rsidR="00DD13BF" w:rsidRDefault="00DD13BF" w:rsidP="00DD13BF">
            <w:pPr>
              <w:pStyle w:val="Odstavekseznama"/>
              <w:widowControl/>
              <w:numPr>
                <w:ilvl w:val="0"/>
                <w:numId w:val="53"/>
              </w:numPr>
              <w:autoSpaceDE/>
              <w:autoSpaceDN/>
              <w:jc w:val="both"/>
              <w:rPr>
                <w:rFonts w:ascii="Times New Roman" w:hAnsi="Times New Roman" w:cs="Times New Roman"/>
              </w:rPr>
            </w:pPr>
            <w:r>
              <w:rPr>
                <w:rFonts w:ascii="Times New Roman" w:hAnsi="Times New Roman"/>
              </w:rPr>
              <w:t>Savinja River: the continuation and completion of the project to ensure flood safety in the Savinja River basin, i.e. the completion of Phase I projects and the continuation of priority investments for the comprehensive flood protection regulation of the Savinja River basin with its tributaries. The scope of measures and their exact nature will be determined on the bases of the Comprehensive hydrological hydraulic study of the entire Savinja River basin, which will take into account the flood protection measures in the Savinja River basin implemented between 2007 and 2013. The project will be implemented in two sets:</w:t>
            </w:r>
          </w:p>
          <w:p w14:paraId="2A44F4E0" w14:textId="77777777" w:rsidR="00DD13BF" w:rsidRDefault="00DD13BF" w:rsidP="00355A56">
            <w:pPr>
              <w:pStyle w:val="Odstavekseznama"/>
              <w:ind w:left="1461"/>
              <w:jc w:val="both"/>
              <w:rPr>
                <w:rFonts w:ascii="Times New Roman" w:hAnsi="Times New Roman" w:cs="Times New Roman"/>
              </w:rPr>
            </w:pPr>
            <w:r>
              <w:rPr>
                <w:rFonts w:ascii="Times New Roman" w:hAnsi="Times New Roman"/>
              </w:rPr>
              <w:t xml:space="preserve">- Set 1: non-structural part (designing and obtaining the right to build, obtaining a building permit and siting); </w:t>
            </w:r>
          </w:p>
          <w:p w14:paraId="327301A7" w14:textId="77777777" w:rsidR="00DD13BF" w:rsidRDefault="00DD13BF" w:rsidP="00355A56">
            <w:pPr>
              <w:pStyle w:val="Odstavekseznama"/>
              <w:ind w:left="1461"/>
              <w:jc w:val="both"/>
              <w:rPr>
                <w:rFonts w:ascii="Times New Roman" w:hAnsi="Times New Roman" w:cs="Times New Roman"/>
              </w:rPr>
            </w:pPr>
            <w:r>
              <w:rPr>
                <w:rFonts w:ascii="Times New Roman" w:hAnsi="Times New Roman"/>
              </w:rPr>
              <w:t>- Set 2: construction, whereby nature-based solutions will have priority.</w:t>
            </w:r>
          </w:p>
          <w:p w14:paraId="01133A11" w14:textId="77777777" w:rsidR="00DD13BF" w:rsidRPr="004A073A" w:rsidRDefault="00DD13BF" w:rsidP="00DD13BF">
            <w:pPr>
              <w:pStyle w:val="Odstavekseznama"/>
              <w:widowControl/>
              <w:numPr>
                <w:ilvl w:val="0"/>
                <w:numId w:val="53"/>
              </w:numPr>
              <w:autoSpaceDE/>
              <w:autoSpaceDN/>
              <w:jc w:val="both"/>
              <w:rPr>
                <w:rFonts w:ascii="Times New Roman" w:hAnsi="Times New Roman" w:cs="Times New Roman"/>
              </w:rPr>
            </w:pPr>
            <w:r>
              <w:rPr>
                <w:rFonts w:ascii="Times New Roman" w:hAnsi="Times New Roman"/>
              </w:rPr>
              <w:t>If the said project will not utilise all the available grants in the planned scope of the framework due to time constraints, these funds may be used to finance projects in the Drava River basin and other basins in APSFR, particularly those with the greatest risk of erosion in watercourses and where flood protection investments are ready to be implemented and are urgently needed as a priority and included in the FRMP.</w:t>
            </w:r>
          </w:p>
          <w:p w14:paraId="59A73BD9" w14:textId="77777777" w:rsidR="00DD13BF" w:rsidRPr="0077699A" w:rsidRDefault="00DD13BF" w:rsidP="00355A56">
            <w:pPr>
              <w:ind w:left="747"/>
              <w:jc w:val="both"/>
            </w:pPr>
            <w:r>
              <w:t>Depending on the funds available and the level of project preparedness, the CF funds in the 2021–2027 period will be used to support a project to reduce flood risk in the basin of:</w:t>
            </w:r>
          </w:p>
          <w:p w14:paraId="7FAFCAF9" w14:textId="77777777" w:rsidR="00DD13BF" w:rsidRPr="00CC154B" w:rsidRDefault="00DD13BF" w:rsidP="00DD13BF">
            <w:pPr>
              <w:pStyle w:val="Odstavekseznama"/>
              <w:widowControl/>
              <w:numPr>
                <w:ilvl w:val="0"/>
                <w:numId w:val="53"/>
              </w:numPr>
              <w:autoSpaceDE/>
              <w:autoSpaceDN/>
              <w:jc w:val="both"/>
              <w:rPr>
                <w:rFonts w:ascii="Times New Roman" w:hAnsi="Times New Roman" w:cs="Times New Roman"/>
              </w:rPr>
            </w:pPr>
            <w:r>
              <w:rPr>
                <w:rFonts w:ascii="Times New Roman" w:hAnsi="Times New Roman"/>
              </w:rPr>
              <w:t>Vipava River (in the area of the Vrtojbica Stream – anticipated implementation of Phase II of the project) and other basins, particularly those with the greatest risk of erosion in watercourses and where flood protection investments are ready to be implemented and are urgently needed as a priority and included in the FRMP.</w:t>
            </w:r>
          </w:p>
          <w:p w14:paraId="160AA147" w14:textId="77777777" w:rsidR="00DD13BF" w:rsidRPr="00F16113" w:rsidRDefault="00DD13BF" w:rsidP="00355A56">
            <w:pPr>
              <w:jc w:val="both"/>
              <w:rPr>
                <w:rFonts w:cstheme="minorHAnsi"/>
                <w:i/>
              </w:rPr>
            </w:pPr>
          </w:p>
          <w:p w14:paraId="30D9ED25" w14:textId="77777777" w:rsidR="00DD13BF" w:rsidRPr="005B77DD" w:rsidRDefault="00DD13BF" w:rsidP="00DD13BF">
            <w:pPr>
              <w:pStyle w:val="Odstavekseznama"/>
              <w:widowControl/>
              <w:numPr>
                <w:ilvl w:val="0"/>
                <w:numId w:val="22"/>
              </w:numPr>
              <w:autoSpaceDE/>
              <w:autoSpaceDN/>
              <w:jc w:val="both"/>
              <w:rPr>
                <w:rFonts w:ascii="Times New Roman" w:hAnsi="Times New Roman" w:cs="Times New Roman"/>
              </w:rPr>
            </w:pPr>
            <w:r>
              <w:rPr>
                <w:rFonts w:ascii="Times New Roman" w:hAnsi="Times New Roman"/>
                <w:i/>
                <w:iCs/>
              </w:rPr>
              <w:t>Upgrading the system for alerting to, and raising awareness of, weather emergencies and adapting to them in a changed climate</w:t>
            </w:r>
            <w:r>
              <w:rPr>
                <w:rFonts w:ascii="Times New Roman" w:hAnsi="Times New Roman"/>
              </w:rPr>
              <w:t xml:space="preserve">: The main objective of the measure is to upgrade and expand the operational system with new products (including a mobile app) to provide early information to residents on catastrophic weather events, and climate data and projections for long-term adaptation to changed climate conditions. The monitoring and forecasting of such events, alerting residents thereof, and providing adequate technical, infrastructural and other capacities for preparedness and response in extreme events are crucial. These capacities include updating online content for informing and alerting the public, extreme event risk assessments, upgrading measurement and information infrastructures for constant monitoring and forecasting of meteorological, hydrological and oceanographic conditions (19 renovated measuring sites, developing and upgrading tools for effective notifications and alerting, renovating the infrastructure of the radar centre on the Lisca Hill, installing a high-altitude climate observatory, etc.). The measure complements the other two measures under this specific objective, but also covers a field the other two do not. Notification of weather emergencies includes all climate-related extreme events, among which special attention is paid to floods.  </w:t>
            </w:r>
          </w:p>
          <w:p w14:paraId="336B81CE" w14:textId="77777777" w:rsidR="00DD13BF" w:rsidRPr="005B77DD" w:rsidRDefault="00DD13BF" w:rsidP="00355A56">
            <w:pPr>
              <w:jc w:val="both"/>
              <w:rPr>
                <w:i/>
              </w:rPr>
            </w:pPr>
          </w:p>
          <w:p w14:paraId="3E5F7BC0" w14:textId="77777777" w:rsidR="00DD13BF" w:rsidRPr="00C72D03" w:rsidRDefault="00DD13BF" w:rsidP="00DD13BF">
            <w:pPr>
              <w:pStyle w:val="Odstavekseznama"/>
              <w:widowControl/>
              <w:numPr>
                <w:ilvl w:val="0"/>
                <w:numId w:val="22"/>
              </w:numPr>
              <w:autoSpaceDE/>
              <w:autoSpaceDN/>
              <w:jc w:val="both"/>
              <w:rPr>
                <w:rFonts w:cstheme="minorHAnsi"/>
              </w:rPr>
            </w:pPr>
            <w:r>
              <w:rPr>
                <w:rFonts w:ascii="Times New Roman" w:hAnsi="Times New Roman"/>
                <w:i/>
                <w:iCs/>
              </w:rPr>
              <w:t>Measures to respond to climate-related natural disasters</w:t>
            </w:r>
            <w:r>
              <w:rPr>
                <w:rFonts w:ascii="Times New Roman" w:hAnsi="Times New Roman"/>
              </w:rPr>
              <w:t>: The objective of the measure is to provide conditions for an effective, prompt and safe response to climate-related natural disasters, which include suitable equipment, good training and infrastructure that supports the operation of units for response to such disasters. In accordance with the National Disaster Risk Assessment, version 2.0</w:t>
            </w:r>
            <w:r w:rsidRPr="00F80768">
              <w:rPr>
                <w:rFonts w:ascii="Times New Roman" w:hAnsi="Times New Roman" w:cs="Times New Roman"/>
                <w:vertAlign w:val="superscript"/>
              </w:rPr>
              <w:footnoteReference w:id="149"/>
            </w:r>
            <w:r>
              <w:rPr>
                <w:rFonts w:ascii="Times New Roman" w:hAnsi="Times New Roman"/>
              </w:rPr>
              <w:t>, and past experiences, the measure will focus on floods, wildfires and glaze ice, which pose the highest risk, while, at the same time, the conditions to respond to them are insufficient. Specialised equipment and technical means for response to floods (up to five specialised vehicles), large wildfires (up to ten vehicles (road tankers) and ten specialised roll-off containers for extinguishing large wildfires, and other equipment and technical means for aerial firefighting and firefighting on inaccessible terrain and for the supply of fire extinguishing agents) and glaze ice (up to ten specialised vehicles (turntable ladders) and 40 specialised roll-off containers for glaze ice) will be provided, and a sub-centre for training for glaze ice by designing and implementing training programmes for up to 1,000 Slovenian and 100 foreign candidates will be established. Various disasters require different specialised equipment for response (e.g. road tankers for large fires and turntable ladders for glaze ice, which cannot be used for floods; there is also different specialised equipment used according to the type of disaster, such as water pumps for floods, chainsaws, aggregates for glaze ice, etc.), which will be deployed in areas where the risk of such disasters is the highest (in accordance with the National Disaster Risk Assessment, version 2.0). Suitable infrastructure will also be provided for which units that respond to glaze ice will be trained. The training infrastructure for glaze ice will be located in the area of ​​significant glaze ice risk (southern Slovenia), i.e. in the area that is most forested and where the consequences of such disasters (in terms of chain accidents and economic damage caused as a result of glaze ice) are the most devastating.</w:t>
            </w:r>
          </w:p>
          <w:p w14:paraId="701B4C43" w14:textId="77777777" w:rsidR="00DD13BF" w:rsidRDefault="00DD13BF" w:rsidP="00355A56">
            <w:pPr>
              <w:pStyle w:val="Odstavekseznama"/>
              <w:ind w:left="720"/>
              <w:jc w:val="both"/>
              <w:rPr>
                <w:rFonts w:ascii="Times New Roman" w:hAnsi="Times New Roman" w:cs="Times New Roman"/>
                <w:i/>
                <w:iCs/>
              </w:rPr>
            </w:pPr>
          </w:p>
          <w:p w14:paraId="6249AC89" w14:textId="77777777" w:rsidR="00DD13BF" w:rsidRPr="00C72D03" w:rsidRDefault="00DD13BF" w:rsidP="00355A56">
            <w:pPr>
              <w:jc w:val="both"/>
              <w:rPr>
                <w:rFonts w:ascii="Calibri" w:eastAsia="Calibri" w:hAnsi="Calibri"/>
              </w:rPr>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By its nature, none of the measures foreseen has a significant adverse impact on any of the six environmental objectives, taking into account the technical screening criteria listed in annex DNSH.</w:t>
            </w:r>
          </w:p>
        </w:tc>
      </w:tr>
    </w:tbl>
    <w:p w14:paraId="5055E622" w14:textId="77777777" w:rsidR="00DD13BF" w:rsidRDefault="00DD13BF" w:rsidP="00DD13BF">
      <w:pPr>
        <w:ind w:left="1349"/>
        <w:rPr>
          <w:spacing w:val="-6"/>
        </w:rPr>
      </w:pPr>
    </w:p>
    <w:p w14:paraId="0A6A8E6E" w14:textId="77777777" w:rsidR="00DD13BF" w:rsidRDefault="00DD13BF" w:rsidP="00DD13BF">
      <w:pPr>
        <w:ind w:left="1349"/>
      </w:pPr>
      <w:r>
        <w:t>Main target groups:</w:t>
      </w:r>
    </w:p>
    <w:p w14:paraId="34E6D0E7"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64C4698" w14:textId="77777777" w:rsidTr="00355A56">
        <w:tc>
          <w:tcPr>
            <w:tcW w:w="12763" w:type="dxa"/>
          </w:tcPr>
          <w:p w14:paraId="15E8F793" w14:textId="77777777" w:rsidR="00DD13BF" w:rsidRDefault="00DD13BF" w:rsidP="00355A56">
            <w:pPr>
              <w:jc w:val="both"/>
              <w:rPr>
                <w:rFonts w:cstheme="minorBidi"/>
              </w:rPr>
            </w:pPr>
            <w:r>
              <w:t>Target groups: residents and local communities.</w:t>
            </w:r>
          </w:p>
          <w:p w14:paraId="256E8B16" w14:textId="77777777" w:rsidR="00DD13BF" w:rsidRDefault="00DD13BF" w:rsidP="00355A56">
            <w:pPr>
              <w:jc w:val="both"/>
              <w:rPr>
                <w:rFonts w:cstheme="minorBidi"/>
              </w:rPr>
            </w:pPr>
          </w:p>
          <w:p w14:paraId="1CDA85D0" w14:textId="77777777" w:rsidR="00DD13BF" w:rsidRPr="00B3569A" w:rsidRDefault="00DD13BF" w:rsidP="00355A56">
            <w:pPr>
              <w:jc w:val="both"/>
              <w:rPr>
                <w:rFonts w:cstheme="minorBidi"/>
              </w:rPr>
            </w:pPr>
            <w:r>
              <w:t>Beneficiaries: Slovenian Environment Agency, Slovenian Water Agency, ministries, Administration for Civil Protection and Disaster Relief, protection, rescue and relief forces, local communities and potential other beneficiaries who may significantly contribute to attaining the objectives of this specific objective.</w:t>
            </w:r>
          </w:p>
        </w:tc>
      </w:tr>
    </w:tbl>
    <w:p w14:paraId="373CFA61" w14:textId="77777777" w:rsidR="00DD13BF" w:rsidRPr="006B7178" w:rsidRDefault="00DD13BF" w:rsidP="00DD13BF">
      <w:pPr>
        <w:ind w:left="1349"/>
      </w:pPr>
    </w:p>
    <w:p w14:paraId="395E27D1" w14:textId="77777777" w:rsidR="00DD13BF" w:rsidRDefault="00DD13BF" w:rsidP="00DD13BF">
      <w:pPr>
        <w:ind w:left="1349"/>
        <w:rPr>
          <w:spacing w:val="-2"/>
        </w:rPr>
      </w:pPr>
      <w:r>
        <w:t>Measures to protect equality, inclusion and non-discrimination:</w:t>
      </w:r>
    </w:p>
    <w:p w14:paraId="6C2A48D3"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4171863B" w14:textId="77777777" w:rsidTr="00355A56">
        <w:tc>
          <w:tcPr>
            <w:tcW w:w="12715" w:type="dxa"/>
          </w:tcPr>
          <w:p w14:paraId="2D38C6EE" w14:textId="77777777" w:rsidR="00DD13BF" w:rsidRPr="00274911" w:rsidRDefault="00DD13BF" w:rsidP="00355A56">
            <w:pPr>
              <w:jc w:val="both"/>
              <w:rPr>
                <w:rFonts w:cs="Calibri"/>
              </w:rPr>
            </w:pPr>
            <w:r>
              <w:lastRenderedPageBreak/>
              <w:t>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p w14:paraId="76347119" w14:textId="77777777" w:rsidR="00DD13BF" w:rsidRDefault="00DD13BF" w:rsidP="00355A56">
            <w:pPr>
              <w:jc w:val="both"/>
              <w:rPr>
                <w:rFonts w:eastAsia="Arial"/>
                <w:color w:val="000000"/>
              </w:rPr>
            </w:pPr>
          </w:p>
          <w:p w14:paraId="54E3C7B6" w14:textId="77777777" w:rsidR="00DD13BF" w:rsidRPr="00B3569A" w:rsidRDefault="00DD13BF" w:rsidP="00355A56">
            <w:pPr>
              <w:jc w:val="both"/>
              <w:rPr>
                <w:rFonts w:cstheme="minorHAnsi"/>
              </w:rPr>
            </w:pPr>
            <w:r>
              <w:rPr>
                <w:color w:val="000000"/>
              </w:rPr>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3B375B9A" w14:textId="77777777" w:rsidR="00DD13BF" w:rsidRDefault="00DD13BF" w:rsidP="00DD13BF">
      <w:pPr>
        <w:rPr>
          <w:sz w:val="20"/>
        </w:rPr>
      </w:pPr>
    </w:p>
    <w:p w14:paraId="55C1F870" w14:textId="77777777" w:rsidR="00DD13BF" w:rsidRDefault="00DD13BF" w:rsidP="00DD13BF">
      <w:pPr>
        <w:ind w:left="1415"/>
        <w:rPr>
          <w:spacing w:val="-4"/>
        </w:rPr>
      </w:pPr>
      <w:r>
        <w:t>Indication of the specific territories targeted, including the planned use of territorial tools:</w:t>
      </w:r>
    </w:p>
    <w:p w14:paraId="0D64C432"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16D507C5" w14:textId="77777777" w:rsidTr="00355A56">
        <w:tc>
          <w:tcPr>
            <w:tcW w:w="12763" w:type="dxa"/>
          </w:tcPr>
          <w:p w14:paraId="6DC76E08" w14:textId="77777777" w:rsidR="00DD13BF" w:rsidRPr="00B3569A" w:rsidRDefault="00DD13BF" w:rsidP="00355A56">
            <w:pPr>
              <w:jc w:val="both"/>
              <w:rPr>
                <w:rFonts w:cstheme="minorHAnsi"/>
              </w:rPr>
            </w:pPr>
            <w:r>
              <w:t>Under this specific objective, the use of territorial approaches is not foreseen.</w:t>
            </w:r>
          </w:p>
        </w:tc>
      </w:tr>
    </w:tbl>
    <w:p w14:paraId="0597C28C" w14:textId="77777777" w:rsidR="00DD13BF" w:rsidRDefault="00DD13BF" w:rsidP="00DD13BF">
      <w:pPr>
        <w:ind w:left="1415"/>
        <w:rPr>
          <w:spacing w:val="-4"/>
        </w:rPr>
      </w:pPr>
    </w:p>
    <w:p w14:paraId="2A0F2E42" w14:textId="77777777" w:rsidR="00DD13BF" w:rsidRDefault="00DD13BF" w:rsidP="00DD13BF">
      <w:pPr>
        <w:ind w:left="1415"/>
      </w:pPr>
      <w:r>
        <w:t>The interregional, cross-border and transnational actions:</w:t>
      </w:r>
    </w:p>
    <w:p w14:paraId="236E52B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B6AF54C" w14:textId="77777777" w:rsidTr="00355A56">
        <w:tc>
          <w:tcPr>
            <w:tcW w:w="12763" w:type="dxa"/>
          </w:tcPr>
          <w:p w14:paraId="5A6763C2" w14:textId="77777777" w:rsidR="00DD13BF" w:rsidRPr="00B3569A" w:rsidRDefault="00DD13BF" w:rsidP="00355A56">
            <w:pPr>
              <w:jc w:val="both"/>
              <w:rPr>
                <w:rFonts w:cstheme="minorHAnsi"/>
              </w:rPr>
            </w:pPr>
            <w:r>
              <w:t xml:space="preserve">The measures to reduce flood risk in areas of significant flood risk, which show the highest level of preparedness for implementation, will have the greatest impact on the area where the EU Strategy for the Danube Region (EUSDR) is implemented, Priority Area 5 “Environmental risk management” and on Pillar 3 of the EU Strategy for the Adriatic-Ionian Region (EUSAIR) “Environmental quality”. The measure to upgrade the system for alerting to, and raising awareness of, weather emergencies and adapting to them in a changed climate will contribute to the implementation of all three macro-regional strategies, in which Slovenia participates, i.e. the EUSAIR, the EUSDR and the EU Strategy for the Alpine Region (EUSALP), as the measure is planned at the state level. Measures to respond to climate-related natural disasters are planned at the state level or the level of individual areas of significant climate-related natural disaster risk, which are geographically dispersed within all three macro-regions of which Slovenia is part. Measures related to providing specialised equipment for floods will have the greatest impact on the Danube macro-region, which corresponds to the activities within Priority Area 5 “Environmental risk management” of the EUSDR. The greatest positive impacts of measures to strengthen competence, preparedness and response to large wildfires and glaze ice are expected mainly in areas where the EUSAIR is implemented, and, to a certain extent, also in areas where the EUSALP is implemented (activities related to preparedness and response to glaze ice). The measure, or more specifically the glaze ice sub-centre where foreign units will also train, is expected </w:t>
            </w:r>
            <w:r>
              <w:lastRenderedPageBreak/>
              <w:t>to have cross-border effects. The foreseen cross-border or macro-regional effects of the measure correspond to the position of the working group at the EUSDR level and the position of DG REGIO on establishing training infrastructure. In parallel with the implementation of the measures from the ECP 2021-2027, bilateral activities will be carried out to prepare or upgrade cross-border protocols or plans for response to floods, large wildfires and glaze ice.</w:t>
            </w:r>
          </w:p>
        </w:tc>
      </w:tr>
    </w:tbl>
    <w:p w14:paraId="61514D0F" w14:textId="77777777" w:rsidR="00DD13BF" w:rsidRDefault="00DD13BF" w:rsidP="00DD13BF">
      <w:pPr>
        <w:rPr>
          <w:sz w:val="17"/>
        </w:rPr>
      </w:pPr>
    </w:p>
    <w:p w14:paraId="07061A3C" w14:textId="77777777" w:rsidR="00DD13BF" w:rsidRDefault="00DD13BF" w:rsidP="00DD13BF">
      <w:pPr>
        <w:ind w:left="1415"/>
        <w:rPr>
          <w:spacing w:val="-3"/>
        </w:rPr>
      </w:pPr>
      <w:r>
        <w:t>Planned use of financial instruments:</w:t>
      </w:r>
    </w:p>
    <w:p w14:paraId="102924D9"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202C9C8A" w14:textId="77777777" w:rsidTr="00355A56">
        <w:tc>
          <w:tcPr>
            <w:tcW w:w="12758" w:type="dxa"/>
          </w:tcPr>
          <w:p w14:paraId="15776363"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which was established on the basis of past experience in implementing comparable measures in the 2007–2013 and 2014–2020 financial frameworks, due to which the use of financial instruments is not sensible or appropriate. These are measures related to activities of institutions that are part of public administration and the protection, rescue and relief system, do not carry out commercial activities, and the funds for their operations are limited and provided from the state budget.</w:t>
            </w:r>
          </w:p>
        </w:tc>
      </w:tr>
    </w:tbl>
    <w:p w14:paraId="6A7E3039" w14:textId="77777777" w:rsidR="00DD13BF" w:rsidRDefault="00DD13BF" w:rsidP="00DD13BF">
      <w:pPr>
        <w:rPr>
          <w:sz w:val="20"/>
        </w:rPr>
      </w:pPr>
    </w:p>
    <w:p w14:paraId="060CEF99" w14:textId="77777777" w:rsidR="00DD13BF" w:rsidRDefault="00DD13BF" w:rsidP="00DD13BF">
      <w:pPr>
        <w:rPr>
          <w:sz w:val="20"/>
        </w:rPr>
      </w:pPr>
    </w:p>
    <w:p w14:paraId="395081D8" w14:textId="77777777" w:rsidR="00DD13BF" w:rsidRDefault="00DD13BF" w:rsidP="00DD13BF">
      <w:pPr>
        <w:pStyle w:val="Naslov5"/>
        <w:spacing w:before="0"/>
      </w:pPr>
      <w:r>
        <w:t>Indicators</w:t>
      </w:r>
    </w:p>
    <w:p w14:paraId="60921D53" w14:textId="77777777" w:rsidR="00DD13BF" w:rsidRDefault="00DD13BF" w:rsidP="00DD13BF"/>
    <w:p w14:paraId="607BDB88" w14:textId="77777777" w:rsidR="00DD13BF" w:rsidRDefault="00DD13BF" w:rsidP="00DD13BF">
      <w:pPr>
        <w:ind w:left="379"/>
      </w:pPr>
      <w:r>
        <w:t>Table 2: Output indicators</w:t>
      </w:r>
    </w:p>
    <w:p w14:paraId="0AA1DD35" w14:textId="77777777" w:rsidR="00DD13BF" w:rsidRDefault="00DD13BF" w:rsidP="00DD13BF">
      <w:pPr>
        <w:rPr>
          <w:sz w:val="21"/>
        </w:rPr>
      </w:pPr>
    </w:p>
    <w:tbl>
      <w:tblPr>
        <w:tblStyle w:val="NormalTable0"/>
        <w:tblW w:w="13746" w:type="dxa"/>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34"/>
        <w:gridCol w:w="1134"/>
        <w:gridCol w:w="707"/>
        <w:gridCol w:w="1699"/>
        <w:gridCol w:w="777"/>
        <w:gridCol w:w="4471"/>
        <w:gridCol w:w="1275"/>
        <w:gridCol w:w="1416"/>
        <w:gridCol w:w="1133"/>
      </w:tblGrid>
      <w:tr w:rsidR="00DD13BF" w14:paraId="3E3F5C14" w14:textId="77777777" w:rsidTr="00355A56">
        <w:trPr>
          <w:trHeight w:val="254"/>
        </w:trPr>
        <w:tc>
          <w:tcPr>
            <w:tcW w:w="1134" w:type="dxa"/>
            <w:vAlign w:val="center"/>
          </w:tcPr>
          <w:p w14:paraId="7EAFE3D6" w14:textId="77777777" w:rsidR="00DD13BF" w:rsidRDefault="00DD13BF" w:rsidP="00355A56">
            <w:pPr>
              <w:pStyle w:val="TableParagraph"/>
              <w:ind w:right="82"/>
            </w:pPr>
            <w:r>
              <w:t>Priority</w:t>
            </w:r>
          </w:p>
        </w:tc>
        <w:tc>
          <w:tcPr>
            <w:tcW w:w="1134" w:type="dxa"/>
            <w:vAlign w:val="center"/>
          </w:tcPr>
          <w:p w14:paraId="3CC481AD" w14:textId="77777777" w:rsidR="00DD13BF" w:rsidRDefault="00DD13BF" w:rsidP="00355A56">
            <w:pPr>
              <w:pStyle w:val="TableParagraph"/>
            </w:pPr>
            <w:r>
              <w:t>Specific objective</w:t>
            </w:r>
          </w:p>
        </w:tc>
        <w:tc>
          <w:tcPr>
            <w:tcW w:w="707" w:type="dxa"/>
            <w:vAlign w:val="center"/>
          </w:tcPr>
          <w:p w14:paraId="59AFAA47" w14:textId="77777777" w:rsidR="00DD13BF" w:rsidRDefault="00DD13BF" w:rsidP="00355A56">
            <w:pPr>
              <w:pStyle w:val="TableParagraph"/>
            </w:pPr>
            <w:r>
              <w:t>Fund</w:t>
            </w:r>
          </w:p>
        </w:tc>
        <w:tc>
          <w:tcPr>
            <w:tcW w:w="1699" w:type="dxa"/>
            <w:vAlign w:val="center"/>
          </w:tcPr>
          <w:p w14:paraId="43245D3B" w14:textId="77777777" w:rsidR="00DD13BF" w:rsidRDefault="00DD13BF" w:rsidP="00355A56">
            <w:pPr>
              <w:pStyle w:val="TableParagraph"/>
            </w:pPr>
            <w:r>
              <w:t>Category of region</w:t>
            </w:r>
          </w:p>
        </w:tc>
        <w:tc>
          <w:tcPr>
            <w:tcW w:w="777" w:type="dxa"/>
            <w:vAlign w:val="center"/>
          </w:tcPr>
          <w:p w14:paraId="65196870" w14:textId="77777777" w:rsidR="00DD13BF" w:rsidRPr="00347461" w:rsidRDefault="00DD13BF" w:rsidP="00355A56">
            <w:pPr>
              <w:pStyle w:val="TableParagraph"/>
              <w:rPr>
                <w:sz w:val="20"/>
              </w:rPr>
            </w:pPr>
            <w:r>
              <w:t>ID</w:t>
            </w:r>
          </w:p>
        </w:tc>
        <w:tc>
          <w:tcPr>
            <w:tcW w:w="4471" w:type="dxa"/>
            <w:vAlign w:val="center"/>
          </w:tcPr>
          <w:p w14:paraId="1AC87FE2" w14:textId="77777777" w:rsidR="00DD13BF" w:rsidRPr="00347461" w:rsidRDefault="00DD13BF" w:rsidP="00355A56">
            <w:pPr>
              <w:pStyle w:val="TableParagraph"/>
              <w:rPr>
                <w:sz w:val="20"/>
              </w:rPr>
            </w:pPr>
            <w:r>
              <w:t>Indicators</w:t>
            </w:r>
          </w:p>
        </w:tc>
        <w:tc>
          <w:tcPr>
            <w:tcW w:w="1275" w:type="dxa"/>
            <w:vAlign w:val="center"/>
          </w:tcPr>
          <w:p w14:paraId="18DEC9DC" w14:textId="77777777" w:rsidR="00DD13BF" w:rsidRPr="00347461" w:rsidRDefault="00DD13BF" w:rsidP="00355A56">
            <w:pPr>
              <w:pStyle w:val="TableParagraph"/>
              <w:rPr>
                <w:sz w:val="20"/>
              </w:rPr>
            </w:pPr>
            <w:r>
              <w:t>Measurement unit</w:t>
            </w:r>
          </w:p>
        </w:tc>
        <w:tc>
          <w:tcPr>
            <w:tcW w:w="1416" w:type="dxa"/>
            <w:vAlign w:val="center"/>
          </w:tcPr>
          <w:p w14:paraId="35F2BEB6" w14:textId="77777777" w:rsidR="00DD13BF" w:rsidRPr="00347461" w:rsidRDefault="00DD13BF" w:rsidP="00355A56">
            <w:pPr>
              <w:pStyle w:val="TableParagraph"/>
              <w:rPr>
                <w:sz w:val="20"/>
              </w:rPr>
            </w:pPr>
            <w:r>
              <w:t>Milestone (2014)</w:t>
            </w:r>
          </w:p>
        </w:tc>
        <w:tc>
          <w:tcPr>
            <w:tcW w:w="1133" w:type="dxa"/>
            <w:vAlign w:val="center"/>
          </w:tcPr>
          <w:p w14:paraId="3C8B1207" w14:textId="77777777" w:rsidR="00DD13BF" w:rsidRDefault="00DD13BF" w:rsidP="00355A56">
            <w:pPr>
              <w:pStyle w:val="TableParagraph"/>
            </w:pPr>
            <w:r>
              <w:t>Target (2029)</w:t>
            </w:r>
          </w:p>
        </w:tc>
      </w:tr>
      <w:tr w:rsidR="00DD13BF" w14:paraId="53737A21" w14:textId="77777777" w:rsidTr="00355A56">
        <w:trPr>
          <w:trHeight w:val="254"/>
        </w:trPr>
        <w:tc>
          <w:tcPr>
            <w:tcW w:w="1134" w:type="dxa"/>
          </w:tcPr>
          <w:p w14:paraId="1FBC3453" w14:textId="77777777" w:rsidR="00DD13BF" w:rsidRPr="00BE59C9" w:rsidRDefault="00DD13BF" w:rsidP="00355A56">
            <w:pPr>
              <w:pStyle w:val="TableParagraph"/>
              <w:ind w:right="82"/>
            </w:pPr>
            <w:r>
              <w:rPr>
                <w:sz w:val="20"/>
              </w:rPr>
              <w:t>3</w:t>
            </w:r>
          </w:p>
        </w:tc>
        <w:tc>
          <w:tcPr>
            <w:tcW w:w="1134" w:type="dxa"/>
          </w:tcPr>
          <w:p w14:paraId="12300B74" w14:textId="77777777" w:rsidR="00DD13BF" w:rsidRPr="00BE59C9" w:rsidRDefault="00DD13BF" w:rsidP="00355A56">
            <w:pPr>
              <w:pStyle w:val="TableParagraph"/>
            </w:pPr>
            <w:r>
              <w:rPr>
                <w:color w:val="000000"/>
                <w:sz w:val="20"/>
              </w:rPr>
              <w:t>RSO2.4</w:t>
            </w:r>
          </w:p>
        </w:tc>
        <w:tc>
          <w:tcPr>
            <w:tcW w:w="707" w:type="dxa"/>
          </w:tcPr>
          <w:p w14:paraId="58341690" w14:textId="77777777" w:rsidR="00DD13BF" w:rsidRPr="00BE59C9" w:rsidRDefault="00DD13BF" w:rsidP="00355A56">
            <w:pPr>
              <w:pStyle w:val="TableParagraph"/>
            </w:pPr>
            <w:r>
              <w:rPr>
                <w:sz w:val="20"/>
              </w:rPr>
              <w:t>CF</w:t>
            </w:r>
          </w:p>
        </w:tc>
        <w:tc>
          <w:tcPr>
            <w:tcW w:w="1699" w:type="dxa"/>
          </w:tcPr>
          <w:p w14:paraId="61527FB5" w14:textId="77777777" w:rsidR="00DD13BF" w:rsidRPr="00F16113" w:rsidRDefault="00DD13BF" w:rsidP="00355A56">
            <w:pPr>
              <w:pStyle w:val="TableParagraph"/>
              <w:rPr>
                <w:sz w:val="20"/>
              </w:rPr>
            </w:pPr>
            <w:r>
              <w:rPr>
                <w:color w:val="000000"/>
                <w:sz w:val="20"/>
              </w:rPr>
              <w:t>Entire Slovenia</w:t>
            </w:r>
          </w:p>
        </w:tc>
        <w:tc>
          <w:tcPr>
            <w:tcW w:w="777" w:type="dxa"/>
          </w:tcPr>
          <w:p w14:paraId="34FA2416" w14:textId="77777777" w:rsidR="00DD13BF" w:rsidRPr="00F16113" w:rsidRDefault="00DD13BF" w:rsidP="00355A56">
            <w:pPr>
              <w:pStyle w:val="TableParagraph"/>
              <w:rPr>
                <w:sz w:val="20"/>
              </w:rPr>
            </w:pPr>
            <w:r>
              <w:rPr>
                <w:color w:val="000000"/>
                <w:sz w:val="20"/>
              </w:rPr>
              <w:t>RCO24</w:t>
            </w:r>
          </w:p>
        </w:tc>
        <w:tc>
          <w:tcPr>
            <w:tcW w:w="4471" w:type="dxa"/>
          </w:tcPr>
          <w:p w14:paraId="7B4737F4" w14:textId="77777777" w:rsidR="00DD13BF" w:rsidRPr="00F16113" w:rsidRDefault="00DD13BF" w:rsidP="00355A56">
            <w:pPr>
              <w:pStyle w:val="TableParagraph"/>
              <w:rPr>
                <w:sz w:val="20"/>
              </w:rPr>
            </w:pPr>
            <w:r>
              <w:rPr>
                <w:color w:val="000000"/>
                <w:sz w:val="20"/>
              </w:rPr>
              <w:t>Investments in new or upgraded disaster monitoring, preparedness, warning and response systems against natural disasters</w:t>
            </w:r>
          </w:p>
        </w:tc>
        <w:tc>
          <w:tcPr>
            <w:tcW w:w="1275" w:type="dxa"/>
          </w:tcPr>
          <w:p w14:paraId="763A9548" w14:textId="77777777" w:rsidR="00DD13BF" w:rsidRPr="00F16113" w:rsidRDefault="00DD13BF" w:rsidP="00355A56">
            <w:pPr>
              <w:pStyle w:val="TableParagraph"/>
              <w:rPr>
                <w:sz w:val="20"/>
              </w:rPr>
            </w:pPr>
            <w:r>
              <w:rPr>
                <w:sz w:val="20"/>
              </w:rPr>
              <w:t>EUR</w:t>
            </w:r>
          </w:p>
        </w:tc>
        <w:tc>
          <w:tcPr>
            <w:tcW w:w="1416" w:type="dxa"/>
          </w:tcPr>
          <w:p w14:paraId="407DDEEC" w14:textId="77777777" w:rsidR="00DD13BF" w:rsidRPr="002B54F1" w:rsidRDefault="00DD13BF" w:rsidP="00355A56">
            <w:pPr>
              <w:pStyle w:val="TableParagraph"/>
              <w:rPr>
                <w:sz w:val="20"/>
              </w:rPr>
            </w:pPr>
            <w:r>
              <w:rPr>
                <w:sz w:val="20"/>
              </w:rPr>
              <w:t>1,300,000</w:t>
            </w:r>
          </w:p>
        </w:tc>
        <w:tc>
          <w:tcPr>
            <w:tcW w:w="1133" w:type="dxa"/>
          </w:tcPr>
          <w:p w14:paraId="37DDCFA3" w14:textId="77777777" w:rsidR="00DD13BF" w:rsidRPr="002B54F1" w:rsidRDefault="00DD13BF" w:rsidP="00355A56">
            <w:pPr>
              <w:pStyle w:val="TableParagraph"/>
              <w:rPr>
                <w:sz w:val="20"/>
              </w:rPr>
            </w:pPr>
            <w:r>
              <w:rPr>
                <w:sz w:val="20"/>
              </w:rPr>
              <w:t>13,500,000</w:t>
            </w:r>
          </w:p>
        </w:tc>
      </w:tr>
      <w:tr w:rsidR="00DD13BF" w14:paraId="555EFD95" w14:textId="77777777" w:rsidTr="00355A56">
        <w:trPr>
          <w:trHeight w:val="367"/>
        </w:trPr>
        <w:tc>
          <w:tcPr>
            <w:tcW w:w="1134" w:type="dxa"/>
          </w:tcPr>
          <w:p w14:paraId="10211CA2" w14:textId="77777777" w:rsidR="00DD13BF" w:rsidRDefault="00DD13BF" w:rsidP="00355A56">
            <w:pPr>
              <w:pStyle w:val="TableParagraph"/>
              <w:rPr>
                <w:sz w:val="20"/>
              </w:rPr>
            </w:pPr>
            <w:r>
              <w:rPr>
                <w:sz w:val="20"/>
              </w:rPr>
              <w:t>3</w:t>
            </w:r>
          </w:p>
        </w:tc>
        <w:tc>
          <w:tcPr>
            <w:tcW w:w="1134" w:type="dxa"/>
          </w:tcPr>
          <w:p w14:paraId="615421C1" w14:textId="77777777" w:rsidR="00DD13BF" w:rsidRPr="00347461" w:rsidRDefault="00DD13BF" w:rsidP="00355A56">
            <w:pPr>
              <w:pStyle w:val="TableParagraph"/>
              <w:rPr>
                <w:sz w:val="20"/>
              </w:rPr>
            </w:pPr>
            <w:r>
              <w:rPr>
                <w:color w:val="000000"/>
                <w:sz w:val="20"/>
              </w:rPr>
              <w:t>RSO2.4</w:t>
            </w:r>
          </w:p>
        </w:tc>
        <w:tc>
          <w:tcPr>
            <w:tcW w:w="707" w:type="dxa"/>
          </w:tcPr>
          <w:p w14:paraId="739FDE13" w14:textId="77777777" w:rsidR="00DD13BF" w:rsidRDefault="00DD13BF" w:rsidP="00355A56">
            <w:pPr>
              <w:pStyle w:val="TableParagraph"/>
              <w:rPr>
                <w:sz w:val="20"/>
              </w:rPr>
            </w:pPr>
            <w:r>
              <w:rPr>
                <w:sz w:val="20"/>
              </w:rPr>
              <w:t>CF</w:t>
            </w:r>
          </w:p>
        </w:tc>
        <w:tc>
          <w:tcPr>
            <w:tcW w:w="1699" w:type="dxa"/>
          </w:tcPr>
          <w:p w14:paraId="57176D7F" w14:textId="77777777" w:rsidR="00DD13BF" w:rsidRPr="002712C9" w:rsidRDefault="00DD13BF" w:rsidP="00355A56">
            <w:pPr>
              <w:pStyle w:val="TableParagraph"/>
              <w:rPr>
                <w:color w:val="000000"/>
                <w:sz w:val="20"/>
              </w:rPr>
            </w:pPr>
            <w:r>
              <w:rPr>
                <w:color w:val="000000"/>
                <w:sz w:val="20"/>
              </w:rPr>
              <w:t>Entire Slovenia</w:t>
            </w:r>
          </w:p>
        </w:tc>
        <w:tc>
          <w:tcPr>
            <w:tcW w:w="777" w:type="dxa"/>
          </w:tcPr>
          <w:p w14:paraId="38D07EDF" w14:textId="77777777" w:rsidR="00DD13BF" w:rsidRPr="00F16113" w:rsidRDefault="00DD13BF" w:rsidP="00355A56">
            <w:pPr>
              <w:pStyle w:val="TableParagraph"/>
              <w:rPr>
                <w:sz w:val="20"/>
              </w:rPr>
            </w:pPr>
            <w:r>
              <w:rPr>
                <w:color w:val="000000"/>
                <w:sz w:val="20"/>
              </w:rPr>
              <w:t>RCO25</w:t>
            </w:r>
          </w:p>
        </w:tc>
        <w:tc>
          <w:tcPr>
            <w:tcW w:w="4471" w:type="dxa"/>
          </w:tcPr>
          <w:p w14:paraId="31A013C5" w14:textId="77777777" w:rsidR="00DD13BF" w:rsidRPr="00F16113" w:rsidRDefault="00DD13BF" w:rsidP="00355A56">
            <w:pPr>
              <w:pStyle w:val="TableParagraph"/>
              <w:rPr>
                <w:sz w:val="20"/>
              </w:rPr>
            </w:pPr>
            <w:r>
              <w:rPr>
                <w:color w:val="000000"/>
                <w:sz w:val="20"/>
              </w:rPr>
              <w:t>Coastal strip, river bank and lakeshore flood protection newly built or consolidated</w:t>
            </w:r>
          </w:p>
        </w:tc>
        <w:tc>
          <w:tcPr>
            <w:tcW w:w="1275" w:type="dxa"/>
          </w:tcPr>
          <w:p w14:paraId="65232F7A" w14:textId="77777777" w:rsidR="00DD13BF" w:rsidRPr="00F16113" w:rsidRDefault="00DD13BF" w:rsidP="00355A56">
            <w:pPr>
              <w:pStyle w:val="TableParagraph"/>
              <w:rPr>
                <w:sz w:val="20"/>
              </w:rPr>
            </w:pPr>
            <w:r>
              <w:rPr>
                <w:color w:val="000000"/>
                <w:sz w:val="20"/>
              </w:rPr>
              <w:t>Km</w:t>
            </w:r>
          </w:p>
        </w:tc>
        <w:tc>
          <w:tcPr>
            <w:tcW w:w="1416" w:type="dxa"/>
            <w:shd w:val="clear" w:color="auto" w:fill="auto"/>
          </w:tcPr>
          <w:p w14:paraId="11E13D08" w14:textId="77777777" w:rsidR="00DD13BF" w:rsidRPr="00347461" w:rsidRDefault="00DD13BF" w:rsidP="00355A56">
            <w:pPr>
              <w:pStyle w:val="TableParagraph"/>
              <w:rPr>
                <w:sz w:val="20"/>
              </w:rPr>
            </w:pPr>
            <w:r>
              <w:rPr>
                <w:sz w:val="20"/>
              </w:rPr>
              <w:t>0</w:t>
            </w:r>
          </w:p>
        </w:tc>
        <w:tc>
          <w:tcPr>
            <w:tcW w:w="1133" w:type="dxa"/>
            <w:shd w:val="clear" w:color="auto" w:fill="auto"/>
          </w:tcPr>
          <w:p w14:paraId="08EF09FE" w14:textId="77777777" w:rsidR="00DD13BF" w:rsidRPr="002712C9" w:rsidRDefault="00DD13BF" w:rsidP="00355A56">
            <w:pPr>
              <w:pStyle w:val="TableParagraph"/>
              <w:rPr>
                <w:sz w:val="20"/>
              </w:rPr>
            </w:pPr>
            <w:r>
              <w:rPr>
                <w:sz w:val="20"/>
              </w:rPr>
              <w:t>2</w:t>
            </w:r>
          </w:p>
        </w:tc>
      </w:tr>
      <w:tr w:rsidR="00DD13BF" w14:paraId="370953BF" w14:textId="77777777" w:rsidTr="00355A56">
        <w:trPr>
          <w:trHeight w:val="367"/>
        </w:trPr>
        <w:tc>
          <w:tcPr>
            <w:tcW w:w="1134" w:type="dxa"/>
          </w:tcPr>
          <w:p w14:paraId="383332B1" w14:textId="77777777" w:rsidR="00DD13BF" w:rsidRDefault="00DD13BF" w:rsidP="00355A56">
            <w:pPr>
              <w:pStyle w:val="TableParagraph"/>
              <w:rPr>
                <w:sz w:val="20"/>
              </w:rPr>
            </w:pPr>
            <w:r>
              <w:rPr>
                <w:sz w:val="20"/>
              </w:rPr>
              <w:t>3</w:t>
            </w:r>
          </w:p>
        </w:tc>
        <w:tc>
          <w:tcPr>
            <w:tcW w:w="1134" w:type="dxa"/>
          </w:tcPr>
          <w:p w14:paraId="1F2C89EB" w14:textId="77777777" w:rsidR="00DD13BF" w:rsidRPr="00347461" w:rsidRDefault="00DD13BF" w:rsidP="00355A56">
            <w:pPr>
              <w:pStyle w:val="TableParagraph"/>
              <w:rPr>
                <w:sz w:val="20"/>
              </w:rPr>
            </w:pPr>
            <w:r>
              <w:rPr>
                <w:color w:val="000000"/>
                <w:sz w:val="20"/>
              </w:rPr>
              <w:t>RSO2.4</w:t>
            </w:r>
          </w:p>
        </w:tc>
        <w:tc>
          <w:tcPr>
            <w:tcW w:w="707" w:type="dxa"/>
          </w:tcPr>
          <w:p w14:paraId="0AB3B924" w14:textId="77777777" w:rsidR="00DD13BF" w:rsidRDefault="00DD13BF" w:rsidP="00355A56">
            <w:pPr>
              <w:pStyle w:val="TableParagraph"/>
              <w:rPr>
                <w:sz w:val="20"/>
              </w:rPr>
            </w:pPr>
            <w:r>
              <w:rPr>
                <w:sz w:val="20"/>
              </w:rPr>
              <w:t>ERDF</w:t>
            </w:r>
          </w:p>
        </w:tc>
        <w:tc>
          <w:tcPr>
            <w:tcW w:w="1699" w:type="dxa"/>
          </w:tcPr>
          <w:p w14:paraId="2BD25978" w14:textId="77777777" w:rsidR="00DD13BF" w:rsidRPr="00F16113" w:rsidRDefault="00DD13BF" w:rsidP="00355A56">
            <w:pPr>
              <w:pStyle w:val="TableParagraph"/>
              <w:rPr>
                <w:sz w:val="20"/>
              </w:rPr>
            </w:pPr>
            <w:r>
              <w:rPr>
                <w:color w:val="000000"/>
                <w:sz w:val="20"/>
              </w:rPr>
              <w:t>Less developed</w:t>
            </w:r>
          </w:p>
        </w:tc>
        <w:tc>
          <w:tcPr>
            <w:tcW w:w="777" w:type="dxa"/>
          </w:tcPr>
          <w:p w14:paraId="3FBF1DB2" w14:textId="77777777" w:rsidR="00DD13BF" w:rsidRPr="00F16113" w:rsidRDefault="00DD13BF" w:rsidP="00355A56">
            <w:pPr>
              <w:pStyle w:val="TableParagraph"/>
              <w:rPr>
                <w:sz w:val="20"/>
              </w:rPr>
            </w:pPr>
            <w:r>
              <w:rPr>
                <w:color w:val="000000"/>
                <w:sz w:val="20"/>
              </w:rPr>
              <w:t>RCO25</w:t>
            </w:r>
          </w:p>
        </w:tc>
        <w:tc>
          <w:tcPr>
            <w:tcW w:w="4471" w:type="dxa"/>
          </w:tcPr>
          <w:p w14:paraId="21E30BFC" w14:textId="77777777" w:rsidR="00DD13BF" w:rsidRPr="00F16113" w:rsidRDefault="00DD13BF" w:rsidP="00355A56">
            <w:pPr>
              <w:pStyle w:val="TableParagraph"/>
              <w:rPr>
                <w:sz w:val="20"/>
              </w:rPr>
            </w:pPr>
            <w:r>
              <w:rPr>
                <w:color w:val="000000"/>
                <w:sz w:val="20"/>
              </w:rPr>
              <w:t>Coastal strip, river bank and lakeshore flood protection newly built or consolidated</w:t>
            </w:r>
          </w:p>
        </w:tc>
        <w:tc>
          <w:tcPr>
            <w:tcW w:w="1275" w:type="dxa"/>
          </w:tcPr>
          <w:p w14:paraId="1E4F7F9E" w14:textId="77777777" w:rsidR="00DD13BF" w:rsidRPr="00F16113" w:rsidRDefault="00DD13BF" w:rsidP="00355A56">
            <w:pPr>
              <w:pStyle w:val="TableParagraph"/>
              <w:rPr>
                <w:sz w:val="20"/>
              </w:rPr>
            </w:pPr>
            <w:r>
              <w:rPr>
                <w:color w:val="000000"/>
                <w:sz w:val="20"/>
              </w:rPr>
              <w:t>Km</w:t>
            </w:r>
          </w:p>
        </w:tc>
        <w:tc>
          <w:tcPr>
            <w:tcW w:w="1416" w:type="dxa"/>
            <w:shd w:val="clear" w:color="auto" w:fill="auto"/>
          </w:tcPr>
          <w:p w14:paraId="6ADF854C" w14:textId="77777777" w:rsidR="00DD13BF" w:rsidRPr="00347461" w:rsidRDefault="00DD13BF" w:rsidP="00355A56">
            <w:pPr>
              <w:pStyle w:val="TableParagraph"/>
              <w:rPr>
                <w:sz w:val="20"/>
              </w:rPr>
            </w:pPr>
            <w:r>
              <w:rPr>
                <w:sz w:val="20"/>
              </w:rPr>
              <w:t>0</w:t>
            </w:r>
          </w:p>
        </w:tc>
        <w:tc>
          <w:tcPr>
            <w:tcW w:w="1133" w:type="dxa"/>
            <w:shd w:val="clear" w:color="auto" w:fill="auto"/>
          </w:tcPr>
          <w:p w14:paraId="1C099798" w14:textId="77777777" w:rsidR="00DD13BF" w:rsidRDefault="00DD13BF" w:rsidP="00355A56">
            <w:pPr>
              <w:pStyle w:val="TableParagraph"/>
              <w:rPr>
                <w:sz w:val="20"/>
              </w:rPr>
            </w:pPr>
            <w:r>
              <w:rPr>
                <w:sz w:val="20"/>
              </w:rPr>
              <w:t>3</w:t>
            </w:r>
          </w:p>
        </w:tc>
      </w:tr>
      <w:tr w:rsidR="00DD13BF" w14:paraId="7148F748" w14:textId="77777777" w:rsidTr="00355A56">
        <w:trPr>
          <w:trHeight w:val="367"/>
        </w:trPr>
        <w:tc>
          <w:tcPr>
            <w:tcW w:w="1134" w:type="dxa"/>
          </w:tcPr>
          <w:p w14:paraId="7BDEA2B2" w14:textId="77777777" w:rsidR="00DD13BF" w:rsidRDefault="00DD13BF" w:rsidP="00355A56">
            <w:pPr>
              <w:pStyle w:val="TableParagraph"/>
              <w:rPr>
                <w:sz w:val="20"/>
              </w:rPr>
            </w:pPr>
            <w:r>
              <w:rPr>
                <w:sz w:val="20"/>
              </w:rPr>
              <w:t>3</w:t>
            </w:r>
          </w:p>
        </w:tc>
        <w:tc>
          <w:tcPr>
            <w:tcW w:w="1134" w:type="dxa"/>
          </w:tcPr>
          <w:p w14:paraId="27147E7A" w14:textId="77777777" w:rsidR="00DD13BF" w:rsidRDefault="00DD13BF" w:rsidP="00355A56">
            <w:pPr>
              <w:pStyle w:val="TableParagraph"/>
              <w:rPr>
                <w:sz w:val="20"/>
              </w:rPr>
            </w:pPr>
            <w:r>
              <w:rPr>
                <w:color w:val="000000"/>
                <w:sz w:val="20"/>
              </w:rPr>
              <w:t>RSO2.4</w:t>
            </w:r>
          </w:p>
        </w:tc>
        <w:tc>
          <w:tcPr>
            <w:tcW w:w="707" w:type="dxa"/>
          </w:tcPr>
          <w:p w14:paraId="5844D2E1" w14:textId="77777777" w:rsidR="00DD13BF" w:rsidRDefault="00DD13BF" w:rsidP="00355A56">
            <w:pPr>
              <w:pStyle w:val="TableParagraph"/>
              <w:rPr>
                <w:sz w:val="20"/>
              </w:rPr>
            </w:pPr>
            <w:r>
              <w:rPr>
                <w:sz w:val="20"/>
              </w:rPr>
              <w:t>CF</w:t>
            </w:r>
          </w:p>
        </w:tc>
        <w:tc>
          <w:tcPr>
            <w:tcW w:w="1699" w:type="dxa"/>
          </w:tcPr>
          <w:p w14:paraId="635AE34B" w14:textId="77777777" w:rsidR="00DD13BF" w:rsidRPr="00F16113" w:rsidRDefault="00DD13BF" w:rsidP="00355A56">
            <w:pPr>
              <w:pStyle w:val="TableParagraph"/>
              <w:rPr>
                <w:color w:val="000000"/>
                <w:sz w:val="20"/>
              </w:rPr>
            </w:pPr>
            <w:r>
              <w:rPr>
                <w:color w:val="000000"/>
                <w:sz w:val="20"/>
              </w:rPr>
              <w:t>Entire Slovenia</w:t>
            </w:r>
          </w:p>
        </w:tc>
        <w:tc>
          <w:tcPr>
            <w:tcW w:w="777" w:type="dxa"/>
          </w:tcPr>
          <w:p w14:paraId="30CEA11E" w14:textId="77777777" w:rsidR="00DD13BF" w:rsidRPr="00E02FC2" w:rsidRDefault="00DD13BF" w:rsidP="00355A56">
            <w:pPr>
              <w:rPr>
                <w:color w:val="000000"/>
                <w:sz w:val="20"/>
              </w:rPr>
            </w:pPr>
            <w:r>
              <w:rPr>
                <w:color w:val="000000"/>
                <w:sz w:val="20"/>
              </w:rPr>
              <w:t>RCO26</w:t>
            </w:r>
          </w:p>
          <w:p w14:paraId="0207D2D2" w14:textId="77777777" w:rsidR="00DD13BF" w:rsidRPr="00E02FC2" w:rsidRDefault="00DD13BF" w:rsidP="00355A56">
            <w:pPr>
              <w:pStyle w:val="TableParagraph"/>
              <w:rPr>
                <w:color w:val="000000"/>
                <w:sz w:val="20"/>
              </w:rPr>
            </w:pPr>
          </w:p>
        </w:tc>
        <w:tc>
          <w:tcPr>
            <w:tcW w:w="4471" w:type="dxa"/>
          </w:tcPr>
          <w:p w14:paraId="012F6A61" w14:textId="77777777" w:rsidR="00DD13BF" w:rsidRDefault="00DD13BF" w:rsidP="00355A56">
            <w:pPr>
              <w:pStyle w:val="TableParagraph"/>
              <w:rPr>
                <w:color w:val="000000"/>
                <w:sz w:val="20"/>
              </w:rPr>
            </w:pPr>
            <w:r>
              <w:rPr>
                <w:color w:val="000000"/>
                <w:sz w:val="20"/>
              </w:rPr>
              <w:t>Green infrastructure built or upgraded for adaptation to climate change</w:t>
            </w:r>
          </w:p>
        </w:tc>
        <w:tc>
          <w:tcPr>
            <w:tcW w:w="1275" w:type="dxa"/>
          </w:tcPr>
          <w:p w14:paraId="1310C58A" w14:textId="77777777" w:rsidR="00DD13BF" w:rsidRPr="00F16113" w:rsidRDefault="00DD13BF" w:rsidP="00355A56">
            <w:pPr>
              <w:pStyle w:val="TableParagraph"/>
              <w:rPr>
                <w:color w:val="000000"/>
                <w:sz w:val="20"/>
              </w:rPr>
            </w:pPr>
            <w:r>
              <w:rPr>
                <w:color w:val="000000"/>
                <w:sz w:val="20"/>
              </w:rPr>
              <w:t>Hectares</w:t>
            </w:r>
          </w:p>
        </w:tc>
        <w:tc>
          <w:tcPr>
            <w:tcW w:w="1416" w:type="dxa"/>
          </w:tcPr>
          <w:p w14:paraId="0576EF62" w14:textId="77777777" w:rsidR="00DD13BF" w:rsidRPr="00347461" w:rsidRDefault="00DD13BF" w:rsidP="00355A56">
            <w:pPr>
              <w:pStyle w:val="TableParagraph"/>
              <w:rPr>
                <w:sz w:val="20"/>
              </w:rPr>
            </w:pPr>
            <w:r>
              <w:rPr>
                <w:sz w:val="20"/>
              </w:rPr>
              <w:t>0</w:t>
            </w:r>
          </w:p>
        </w:tc>
        <w:tc>
          <w:tcPr>
            <w:tcW w:w="1133" w:type="dxa"/>
          </w:tcPr>
          <w:p w14:paraId="3ECA486B" w14:textId="77777777" w:rsidR="00DD13BF" w:rsidRDefault="00DD13BF" w:rsidP="00355A56">
            <w:pPr>
              <w:pStyle w:val="TableParagraph"/>
              <w:rPr>
                <w:sz w:val="20"/>
              </w:rPr>
            </w:pPr>
            <w:r>
              <w:rPr>
                <w:sz w:val="20"/>
              </w:rPr>
              <w:t>126,690</w:t>
            </w:r>
          </w:p>
        </w:tc>
      </w:tr>
      <w:tr w:rsidR="00DD13BF" w14:paraId="3D67584C" w14:textId="77777777" w:rsidTr="00355A56">
        <w:trPr>
          <w:trHeight w:val="367"/>
        </w:trPr>
        <w:tc>
          <w:tcPr>
            <w:tcW w:w="1134" w:type="dxa"/>
          </w:tcPr>
          <w:p w14:paraId="17438357" w14:textId="77777777" w:rsidR="00DD13BF" w:rsidRDefault="00DD13BF" w:rsidP="00355A56">
            <w:pPr>
              <w:pStyle w:val="TableParagraph"/>
              <w:rPr>
                <w:sz w:val="20"/>
              </w:rPr>
            </w:pPr>
            <w:r>
              <w:rPr>
                <w:sz w:val="20"/>
              </w:rPr>
              <w:t>3</w:t>
            </w:r>
          </w:p>
        </w:tc>
        <w:tc>
          <w:tcPr>
            <w:tcW w:w="1134" w:type="dxa"/>
          </w:tcPr>
          <w:p w14:paraId="14124F97" w14:textId="77777777" w:rsidR="00DD13BF" w:rsidRDefault="00DD13BF" w:rsidP="00355A56">
            <w:pPr>
              <w:pStyle w:val="TableParagraph"/>
              <w:rPr>
                <w:sz w:val="20"/>
              </w:rPr>
            </w:pPr>
            <w:r>
              <w:rPr>
                <w:color w:val="000000"/>
                <w:sz w:val="20"/>
              </w:rPr>
              <w:t>RSO2.4</w:t>
            </w:r>
          </w:p>
        </w:tc>
        <w:tc>
          <w:tcPr>
            <w:tcW w:w="707" w:type="dxa"/>
          </w:tcPr>
          <w:p w14:paraId="1D840310" w14:textId="77777777" w:rsidR="00DD13BF" w:rsidRDefault="00DD13BF" w:rsidP="00355A56">
            <w:pPr>
              <w:pStyle w:val="TableParagraph"/>
              <w:rPr>
                <w:sz w:val="20"/>
              </w:rPr>
            </w:pPr>
            <w:r>
              <w:rPr>
                <w:sz w:val="20"/>
              </w:rPr>
              <w:t>CF</w:t>
            </w:r>
          </w:p>
        </w:tc>
        <w:tc>
          <w:tcPr>
            <w:tcW w:w="1699" w:type="dxa"/>
          </w:tcPr>
          <w:p w14:paraId="6C7640EC" w14:textId="77777777" w:rsidR="00DD13BF" w:rsidRPr="00F16113" w:rsidRDefault="00DD13BF" w:rsidP="00355A56">
            <w:pPr>
              <w:pStyle w:val="TableParagraph"/>
              <w:rPr>
                <w:color w:val="000000"/>
                <w:sz w:val="20"/>
              </w:rPr>
            </w:pPr>
            <w:r>
              <w:rPr>
                <w:color w:val="000000"/>
                <w:sz w:val="20"/>
              </w:rPr>
              <w:t>Entire Slovenia</w:t>
            </w:r>
          </w:p>
        </w:tc>
        <w:tc>
          <w:tcPr>
            <w:tcW w:w="777" w:type="dxa"/>
          </w:tcPr>
          <w:p w14:paraId="0FA57BD9" w14:textId="77777777" w:rsidR="00DD13BF" w:rsidRPr="00E02FC2" w:rsidRDefault="00DD13BF" w:rsidP="00355A56">
            <w:pPr>
              <w:rPr>
                <w:color w:val="000000"/>
                <w:sz w:val="20"/>
              </w:rPr>
            </w:pPr>
            <w:r>
              <w:rPr>
                <w:color w:val="000000"/>
                <w:sz w:val="20"/>
              </w:rPr>
              <w:t>RCO28</w:t>
            </w:r>
          </w:p>
          <w:p w14:paraId="5A8CECB4" w14:textId="77777777" w:rsidR="00DD13BF" w:rsidRPr="00E02FC2" w:rsidRDefault="00DD13BF" w:rsidP="00355A56">
            <w:pPr>
              <w:rPr>
                <w:color w:val="000000"/>
                <w:sz w:val="20"/>
              </w:rPr>
            </w:pPr>
          </w:p>
        </w:tc>
        <w:tc>
          <w:tcPr>
            <w:tcW w:w="4471" w:type="dxa"/>
          </w:tcPr>
          <w:p w14:paraId="6B618A0F" w14:textId="77777777" w:rsidR="00DD13BF" w:rsidRDefault="00DD13BF" w:rsidP="00355A56">
            <w:pPr>
              <w:pStyle w:val="TableParagraph"/>
              <w:rPr>
                <w:color w:val="000000"/>
                <w:sz w:val="20"/>
              </w:rPr>
            </w:pPr>
            <w:r>
              <w:rPr>
                <w:color w:val="000000"/>
                <w:sz w:val="20"/>
              </w:rPr>
              <w:t>Area covered by protection measures against wildfires</w:t>
            </w:r>
          </w:p>
        </w:tc>
        <w:tc>
          <w:tcPr>
            <w:tcW w:w="1275" w:type="dxa"/>
          </w:tcPr>
          <w:p w14:paraId="17FA4508" w14:textId="77777777" w:rsidR="00DD13BF" w:rsidRPr="00F16113" w:rsidRDefault="00DD13BF" w:rsidP="00355A56">
            <w:pPr>
              <w:pStyle w:val="TableParagraph"/>
              <w:rPr>
                <w:color w:val="000000"/>
                <w:sz w:val="20"/>
              </w:rPr>
            </w:pPr>
            <w:r>
              <w:rPr>
                <w:color w:val="000000"/>
                <w:sz w:val="20"/>
              </w:rPr>
              <w:t>Hectares</w:t>
            </w:r>
          </w:p>
        </w:tc>
        <w:tc>
          <w:tcPr>
            <w:tcW w:w="1416" w:type="dxa"/>
          </w:tcPr>
          <w:p w14:paraId="773706D0" w14:textId="77777777" w:rsidR="00DD13BF" w:rsidRPr="00347461" w:rsidRDefault="00DD13BF" w:rsidP="00355A56">
            <w:pPr>
              <w:pStyle w:val="TableParagraph"/>
              <w:rPr>
                <w:sz w:val="20"/>
              </w:rPr>
            </w:pPr>
            <w:r>
              <w:rPr>
                <w:sz w:val="20"/>
              </w:rPr>
              <w:t>0</w:t>
            </w:r>
          </w:p>
        </w:tc>
        <w:tc>
          <w:tcPr>
            <w:tcW w:w="1133" w:type="dxa"/>
          </w:tcPr>
          <w:p w14:paraId="150D61A3" w14:textId="77777777" w:rsidR="00DD13BF" w:rsidRDefault="00DD13BF" w:rsidP="00355A56">
            <w:pPr>
              <w:pStyle w:val="TableParagraph"/>
              <w:rPr>
                <w:sz w:val="20"/>
              </w:rPr>
            </w:pPr>
            <w:r>
              <w:rPr>
                <w:sz w:val="20"/>
              </w:rPr>
              <w:t>108,827</w:t>
            </w:r>
          </w:p>
        </w:tc>
      </w:tr>
      <w:tr w:rsidR="00DD13BF" w14:paraId="22459217" w14:textId="77777777" w:rsidTr="00355A56">
        <w:trPr>
          <w:trHeight w:val="367"/>
        </w:trPr>
        <w:tc>
          <w:tcPr>
            <w:tcW w:w="1134" w:type="dxa"/>
          </w:tcPr>
          <w:p w14:paraId="40B32A49" w14:textId="77777777" w:rsidR="00DD13BF" w:rsidRDefault="00DD13BF" w:rsidP="00355A56">
            <w:pPr>
              <w:pStyle w:val="TableParagraph"/>
              <w:rPr>
                <w:sz w:val="20"/>
              </w:rPr>
            </w:pPr>
            <w:r>
              <w:rPr>
                <w:sz w:val="20"/>
              </w:rPr>
              <w:t>3</w:t>
            </w:r>
          </w:p>
        </w:tc>
        <w:tc>
          <w:tcPr>
            <w:tcW w:w="1134" w:type="dxa"/>
          </w:tcPr>
          <w:p w14:paraId="346A01B8" w14:textId="77777777" w:rsidR="00DD13BF" w:rsidRDefault="00DD13BF" w:rsidP="00355A56">
            <w:pPr>
              <w:pStyle w:val="TableParagraph"/>
              <w:rPr>
                <w:sz w:val="20"/>
              </w:rPr>
            </w:pPr>
            <w:r>
              <w:rPr>
                <w:color w:val="000000"/>
                <w:sz w:val="20"/>
              </w:rPr>
              <w:t>RSO2.4</w:t>
            </w:r>
          </w:p>
        </w:tc>
        <w:tc>
          <w:tcPr>
            <w:tcW w:w="707" w:type="dxa"/>
          </w:tcPr>
          <w:p w14:paraId="61D0C975" w14:textId="77777777" w:rsidR="00DD13BF" w:rsidRDefault="00DD13BF" w:rsidP="00355A56">
            <w:pPr>
              <w:pStyle w:val="TableParagraph"/>
              <w:rPr>
                <w:sz w:val="20"/>
              </w:rPr>
            </w:pPr>
            <w:r>
              <w:rPr>
                <w:sz w:val="20"/>
              </w:rPr>
              <w:t>CF</w:t>
            </w:r>
          </w:p>
        </w:tc>
        <w:tc>
          <w:tcPr>
            <w:tcW w:w="1699" w:type="dxa"/>
          </w:tcPr>
          <w:p w14:paraId="21CD70A3" w14:textId="77777777" w:rsidR="00DD13BF" w:rsidRPr="00F16113" w:rsidRDefault="00DD13BF" w:rsidP="00355A56">
            <w:pPr>
              <w:pStyle w:val="TableParagraph"/>
              <w:rPr>
                <w:color w:val="000000"/>
                <w:sz w:val="20"/>
              </w:rPr>
            </w:pPr>
            <w:r>
              <w:rPr>
                <w:color w:val="000000"/>
                <w:sz w:val="20"/>
              </w:rPr>
              <w:t>Entire Slovenia</w:t>
            </w:r>
          </w:p>
        </w:tc>
        <w:tc>
          <w:tcPr>
            <w:tcW w:w="777" w:type="dxa"/>
          </w:tcPr>
          <w:p w14:paraId="6166DC9A" w14:textId="77777777" w:rsidR="00DD13BF" w:rsidRPr="00E02FC2" w:rsidRDefault="00DD13BF" w:rsidP="00355A56">
            <w:pPr>
              <w:rPr>
                <w:sz w:val="20"/>
              </w:rPr>
            </w:pPr>
            <w:r>
              <w:rPr>
                <w:sz w:val="20"/>
              </w:rPr>
              <w:t>RCO121</w:t>
            </w:r>
          </w:p>
          <w:p w14:paraId="4229F369" w14:textId="77777777" w:rsidR="00DD13BF" w:rsidRPr="00E02FC2" w:rsidRDefault="00DD13BF" w:rsidP="00355A56">
            <w:pPr>
              <w:rPr>
                <w:color w:val="000000"/>
                <w:sz w:val="20"/>
              </w:rPr>
            </w:pPr>
          </w:p>
        </w:tc>
        <w:tc>
          <w:tcPr>
            <w:tcW w:w="4471" w:type="dxa"/>
          </w:tcPr>
          <w:p w14:paraId="5E6BD976" w14:textId="77777777" w:rsidR="00DD13BF" w:rsidRDefault="00DD13BF" w:rsidP="00355A56">
            <w:pPr>
              <w:pStyle w:val="TableParagraph"/>
              <w:rPr>
                <w:color w:val="000000"/>
                <w:sz w:val="20"/>
              </w:rPr>
            </w:pPr>
            <w:r>
              <w:rPr>
                <w:color w:val="000000"/>
                <w:sz w:val="20"/>
              </w:rPr>
              <w:t>Area covered by protection measures against climate related natural disasters (other than floods and wildfire)</w:t>
            </w:r>
          </w:p>
        </w:tc>
        <w:tc>
          <w:tcPr>
            <w:tcW w:w="1275" w:type="dxa"/>
          </w:tcPr>
          <w:p w14:paraId="6A82674B" w14:textId="77777777" w:rsidR="00DD13BF" w:rsidRPr="00F16113" w:rsidRDefault="00DD13BF" w:rsidP="00355A56">
            <w:pPr>
              <w:pStyle w:val="TableParagraph"/>
              <w:rPr>
                <w:color w:val="000000"/>
                <w:sz w:val="20"/>
              </w:rPr>
            </w:pPr>
            <w:r>
              <w:rPr>
                <w:color w:val="000000"/>
                <w:sz w:val="20"/>
              </w:rPr>
              <w:t>Hectares</w:t>
            </w:r>
          </w:p>
        </w:tc>
        <w:tc>
          <w:tcPr>
            <w:tcW w:w="1416" w:type="dxa"/>
          </w:tcPr>
          <w:p w14:paraId="27C1A9E0" w14:textId="77777777" w:rsidR="00DD13BF" w:rsidRPr="00347461" w:rsidRDefault="00DD13BF" w:rsidP="00355A56">
            <w:pPr>
              <w:pStyle w:val="TableParagraph"/>
              <w:rPr>
                <w:sz w:val="20"/>
              </w:rPr>
            </w:pPr>
            <w:r>
              <w:rPr>
                <w:sz w:val="20"/>
              </w:rPr>
              <w:t>0</w:t>
            </w:r>
          </w:p>
        </w:tc>
        <w:tc>
          <w:tcPr>
            <w:tcW w:w="1133" w:type="dxa"/>
          </w:tcPr>
          <w:p w14:paraId="4B9EB2FE" w14:textId="77777777" w:rsidR="00DD13BF" w:rsidRDefault="00DD13BF" w:rsidP="00355A56">
            <w:pPr>
              <w:pStyle w:val="TableParagraph"/>
              <w:rPr>
                <w:sz w:val="20"/>
              </w:rPr>
            </w:pPr>
            <w:r>
              <w:rPr>
                <w:sz w:val="20"/>
              </w:rPr>
              <w:t>126,690</w:t>
            </w:r>
          </w:p>
        </w:tc>
      </w:tr>
      <w:tr w:rsidR="00DD13BF" w14:paraId="00922E92" w14:textId="77777777" w:rsidTr="00355A56">
        <w:trPr>
          <w:trHeight w:val="367"/>
        </w:trPr>
        <w:tc>
          <w:tcPr>
            <w:tcW w:w="1134" w:type="dxa"/>
          </w:tcPr>
          <w:p w14:paraId="620251B2" w14:textId="77777777" w:rsidR="00DD13BF" w:rsidRDefault="00DD13BF" w:rsidP="00355A56">
            <w:pPr>
              <w:pStyle w:val="TableParagraph"/>
              <w:rPr>
                <w:sz w:val="20"/>
              </w:rPr>
            </w:pPr>
            <w:r>
              <w:rPr>
                <w:sz w:val="20"/>
              </w:rPr>
              <w:t>3</w:t>
            </w:r>
          </w:p>
        </w:tc>
        <w:tc>
          <w:tcPr>
            <w:tcW w:w="1134" w:type="dxa"/>
          </w:tcPr>
          <w:p w14:paraId="0E051599" w14:textId="77777777" w:rsidR="00DD13BF" w:rsidRDefault="00DD13BF" w:rsidP="00355A56">
            <w:pPr>
              <w:pStyle w:val="TableParagraph"/>
              <w:rPr>
                <w:sz w:val="20"/>
              </w:rPr>
            </w:pPr>
            <w:r>
              <w:rPr>
                <w:color w:val="000000"/>
                <w:sz w:val="20"/>
              </w:rPr>
              <w:t>RSO2.4</w:t>
            </w:r>
          </w:p>
        </w:tc>
        <w:tc>
          <w:tcPr>
            <w:tcW w:w="707" w:type="dxa"/>
          </w:tcPr>
          <w:p w14:paraId="741A52B0" w14:textId="77777777" w:rsidR="00DD13BF" w:rsidRDefault="00DD13BF" w:rsidP="00355A56">
            <w:pPr>
              <w:pStyle w:val="TableParagraph"/>
              <w:rPr>
                <w:sz w:val="20"/>
              </w:rPr>
            </w:pPr>
            <w:r>
              <w:rPr>
                <w:sz w:val="20"/>
              </w:rPr>
              <w:t>CF</w:t>
            </w:r>
          </w:p>
        </w:tc>
        <w:tc>
          <w:tcPr>
            <w:tcW w:w="1699" w:type="dxa"/>
          </w:tcPr>
          <w:p w14:paraId="30E32E69" w14:textId="77777777" w:rsidR="00DD13BF" w:rsidRDefault="00DD13BF" w:rsidP="00355A56">
            <w:pPr>
              <w:pStyle w:val="TableParagraph"/>
              <w:rPr>
                <w:color w:val="000000" w:themeColor="text1"/>
                <w:sz w:val="20"/>
              </w:rPr>
            </w:pPr>
            <w:r>
              <w:rPr>
                <w:color w:val="000000" w:themeColor="text1"/>
                <w:sz w:val="20"/>
              </w:rPr>
              <w:t>Entire Slovenia</w:t>
            </w:r>
          </w:p>
        </w:tc>
        <w:tc>
          <w:tcPr>
            <w:tcW w:w="777" w:type="dxa"/>
          </w:tcPr>
          <w:p w14:paraId="16785162" w14:textId="77777777" w:rsidR="00DD13BF" w:rsidRDefault="00DD13BF" w:rsidP="00355A56">
            <w:pPr>
              <w:rPr>
                <w:sz w:val="20"/>
              </w:rPr>
            </w:pPr>
            <w:r>
              <w:rPr>
                <w:sz w:val="20"/>
              </w:rPr>
              <w:t>3</w:t>
            </w:r>
          </w:p>
        </w:tc>
        <w:tc>
          <w:tcPr>
            <w:tcW w:w="4471" w:type="dxa"/>
          </w:tcPr>
          <w:p w14:paraId="20D6CAE9" w14:textId="77777777" w:rsidR="00DD13BF" w:rsidRDefault="00DD13BF" w:rsidP="00355A56">
            <w:pPr>
              <w:pStyle w:val="TableParagraph"/>
              <w:rPr>
                <w:color w:val="000000" w:themeColor="text1"/>
                <w:sz w:val="20"/>
              </w:rPr>
            </w:pPr>
            <w:r>
              <w:rPr>
                <w:color w:val="000000" w:themeColor="text1"/>
                <w:sz w:val="20"/>
              </w:rPr>
              <w:t>Area covered by protection measures against floods</w:t>
            </w:r>
          </w:p>
        </w:tc>
        <w:tc>
          <w:tcPr>
            <w:tcW w:w="1275" w:type="dxa"/>
          </w:tcPr>
          <w:p w14:paraId="6B3309DC" w14:textId="77777777" w:rsidR="00DD13BF" w:rsidRDefault="00DD13BF" w:rsidP="00355A56">
            <w:pPr>
              <w:pStyle w:val="TableParagraph"/>
              <w:rPr>
                <w:color w:val="000000" w:themeColor="text1"/>
                <w:sz w:val="20"/>
              </w:rPr>
            </w:pPr>
            <w:r>
              <w:rPr>
                <w:color w:val="000000" w:themeColor="text1"/>
                <w:sz w:val="20"/>
              </w:rPr>
              <w:t>Hectares</w:t>
            </w:r>
          </w:p>
        </w:tc>
        <w:tc>
          <w:tcPr>
            <w:tcW w:w="1416" w:type="dxa"/>
          </w:tcPr>
          <w:p w14:paraId="200E2620" w14:textId="77777777" w:rsidR="00DD13BF" w:rsidRDefault="00DD13BF" w:rsidP="00355A56">
            <w:pPr>
              <w:pStyle w:val="TableParagraph"/>
              <w:rPr>
                <w:sz w:val="20"/>
              </w:rPr>
            </w:pPr>
            <w:r>
              <w:rPr>
                <w:sz w:val="20"/>
              </w:rPr>
              <w:t>2,820</w:t>
            </w:r>
          </w:p>
        </w:tc>
        <w:tc>
          <w:tcPr>
            <w:tcW w:w="1133" w:type="dxa"/>
          </w:tcPr>
          <w:p w14:paraId="59D94E00" w14:textId="77777777" w:rsidR="00DD13BF" w:rsidRDefault="00DD13BF" w:rsidP="00355A56">
            <w:pPr>
              <w:pStyle w:val="TableParagraph"/>
              <w:rPr>
                <w:sz w:val="20"/>
              </w:rPr>
            </w:pPr>
            <w:r>
              <w:rPr>
                <w:sz w:val="20"/>
              </w:rPr>
              <w:t>4,700</w:t>
            </w:r>
          </w:p>
        </w:tc>
      </w:tr>
    </w:tbl>
    <w:p w14:paraId="03113EFB" w14:textId="77777777" w:rsidR="00DD13BF" w:rsidRDefault="00DD13BF" w:rsidP="00DD13BF">
      <w:pPr>
        <w:rPr>
          <w:sz w:val="24"/>
        </w:rPr>
      </w:pPr>
    </w:p>
    <w:p w14:paraId="47A9CF8B" w14:textId="77777777" w:rsidR="00DD13BF" w:rsidRDefault="00DD13BF" w:rsidP="00DD13BF">
      <w:pPr>
        <w:ind w:left="379"/>
      </w:pPr>
      <w:r>
        <w:t>Table 3: Result indicators</w:t>
      </w:r>
    </w:p>
    <w:p w14:paraId="588BDADA" w14:textId="77777777" w:rsidR="00DD13BF" w:rsidRDefault="00DD13BF" w:rsidP="00DD13BF">
      <w:pPr>
        <w:rPr>
          <w:sz w:val="21"/>
        </w:rPr>
      </w:pPr>
    </w:p>
    <w:tbl>
      <w:tblPr>
        <w:tblStyle w:val="NormalTable0"/>
        <w:tblW w:w="13726" w:type="dxa"/>
        <w:tblInd w:w="30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09"/>
        <w:gridCol w:w="992"/>
        <w:gridCol w:w="567"/>
        <w:gridCol w:w="1570"/>
        <w:gridCol w:w="708"/>
        <w:gridCol w:w="2400"/>
        <w:gridCol w:w="1134"/>
        <w:gridCol w:w="1133"/>
        <w:gridCol w:w="992"/>
        <w:gridCol w:w="993"/>
        <w:gridCol w:w="1279"/>
        <w:gridCol w:w="849"/>
      </w:tblGrid>
      <w:tr w:rsidR="00DD13BF" w14:paraId="380A471B" w14:textId="77777777" w:rsidTr="00355A56">
        <w:trPr>
          <w:trHeight w:val="353"/>
        </w:trPr>
        <w:tc>
          <w:tcPr>
            <w:tcW w:w="1109" w:type="dxa"/>
          </w:tcPr>
          <w:p w14:paraId="0857B624" w14:textId="77777777" w:rsidR="00DD13BF" w:rsidRPr="00347461" w:rsidRDefault="00DD13BF" w:rsidP="00355A56">
            <w:pPr>
              <w:pStyle w:val="TableParagraph"/>
              <w:rPr>
                <w:sz w:val="20"/>
              </w:rPr>
            </w:pPr>
            <w:r>
              <w:rPr>
                <w:sz w:val="20"/>
              </w:rPr>
              <w:t>Priority</w:t>
            </w:r>
          </w:p>
        </w:tc>
        <w:tc>
          <w:tcPr>
            <w:tcW w:w="992" w:type="dxa"/>
          </w:tcPr>
          <w:p w14:paraId="27F3277F" w14:textId="77777777" w:rsidR="00DD13BF" w:rsidRPr="00347461" w:rsidRDefault="00DD13BF" w:rsidP="00355A56">
            <w:pPr>
              <w:pStyle w:val="TableParagraph"/>
              <w:rPr>
                <w:sz w:val="20"/>
              </w:rPr>
            </w:pPr>
            <w:r>
              <w:rPr>
                <w:sz w:val="20"/>
              </w:rPr>
              <w:t>Specific objective</w:t>
            </w:r>
          </w:p>
        </w:tc>
        <w:tc>
          <w:tcPr>
            <w:tcW w:w="567" w:type="dxa"/>
          </w:tcPr>
          <w:p w14:paraId="363EF141" w14:textId="77777777" w:rsidR="00DD13BF" w:rsidRPr="00347461" w:rsidRDefault="00DD13BF" w:rsidP="00355A56">
            <w:pPr>
              <w:pStyle w:val="TableParagraph"/>
              <w:rPr>
                <w:sz w:val="20"/>
              </w:rPr>
            </w:pPr>
            <w:r>
              <w:rPr>
                <w:sz w:val="20"/>
              </w:rPr>
              <w:t>Fund</w:t>
            </w:r>
          </w:p>
        </w:tc>
        <w:tc>
          <w:tcPr>
            <w:tcW w:w="1570" w:type="dxa"/>
          </w:tcPr>
          <w:p w14:paraId="27BA1458" w14:textId="77777777" w:rsidR="00DD13BF" w:rsidRPr="00347461" w:rsidRDefault="00DD13BF" w:rsidP="00355A56">
            <w:pPr>
              <w:pStyle w:val="TableParagraph"/>
              <w:rPr>
                <w:sz w:val="20"/>
              </w:rPr>
            </w:pPr>
            <w:r>
              <w:rPr>
                <w:sz w:val="20"/>
              </w:rPr>
              <w:t>Category of region</w:t>
            </w:r>
          </w:p>
        </w:tc>
        <w:tc>
          <w:tcPr>
            <w:tcW w:w="708" w:type="dxa"/>
          </w:tcPr>
          <w:p w14:paraId="28AB439F" w14:textId="77777777" w:rsidR="00DD13BF" w:rsidRPr="00347461" w:rsidRDefault="00DD13BF" w:rsidP="00355A56">
            <w:pPr>
              <w:pStyle w:val="TableParagraph"/>
              <w:rPr>
                <w:sz w:val="20"/>
              </w:rPr>
            </w:pPr>
            <w:r>
              <w:rPr>
                <w:sz w:val="20"/>
              </w:rPr>
              <w:t>ID</w:t>
            </w:r>
          </w:p>
        </w:tc>
        <w:tc>
          <w:tcPr>
            <w:tcW w:w="2400" w:type="dxa"/>
          </w:tcPr>
          <w:p w14:paraId="4D4DE175" w14:textId="77777777" w:rsidR="00DD13BF" w:rsidRPr="00347461" w:rsidRDefault="00DD13BF" w:rsidP="00355A56">
            <w:pPr>
              <w:pStyle w:val="TableParagraph"/>
              <w:rPr>
                <w:sz w:val="20"/>
              </w:rPr>
            </w:pPr>
            <w:r>
              <w:rPr>
                <w:sz w:val="20"/>
              </w:rPr>
              <w:t>Indicator</w:t>
            </w:r>
          </w:p>
        </w:tc>
        <w:tc>
          <w:tcPr>
            <w:tcW w:w="1134" w:type="dxa"/>
          </w:tcPr>
          <w:p w14:paraId="3FCF3645" w14:textId="77777777" w:rsidR="00DD13BF" w:rsidRPr="00347461" w:rsidRDefault="00DD13BF" w:rsidP="00355A56">
            <w:pPr>
              <w:pStyle w:val="TableParagraph"/>
              <w:rPr>
                <w:sz w:val="20"/>
              </w:rPr>
            </w:pPr>
            <w:r>
              <w:rPr>
                <w:sz w:val="20"/>
              </w:rPr>
              <w:t>Measurement unit</w:t>
            </w:r>
          </w:p>
        </w:tc>
        <w:tc>
          <w:tcPr>
            <w:tcW w:w="1133" w:type="dxa"/>
          </w:tcPr>
          <w:p w14:paraId="0B61DD12" w14:textId="77777777" w:rsidR="00DD13BF" w:rsidRPr="00347461" w:rsidRDefault="00DD13BF" w:rsidP="00355A56">
            <w:pPr>
              <w:pStyle w:val="TableParagraph"/>
              <w:rPr>
                <w:sz w:val="20"/>
              </w:rPr>
            </w:pPr>
            <w:r>
              <w:rPr>
                <w:sz w:val="20"/>
              </w:rPr>
              <w:t>Baseline or reference value</w:t>
            </w:r>
          </w:p>
        </w:tc>
        <w:tc>
          <w:tcPr>
            <w:tcW w:w="992" w:type="dxa"/>
          </w:tcPr>
          <w:p w14:paraId="446AB383" w14:textId="77777777" w:rsidR="00DD13BF" w:rsidRPr="00347461" w:rsidRDefault="00DD13BF" w:rsidP="00355A56">
            <w:pPr>
              <w:pStyle w:val="TableParagraph"/>
              <w:rPr>
                <w:sz w:val="20"/>
              </w:rPr>
            </w:pPr>
            <w:r>
              <w:rPr>
                <w:sz w:val="20"/>
              </w:rPr>
              <w:t>Reference year</w:t>
            </w:r>
          </w:p>
        </w:tc>
        <w:tc>
          <w:tcPr>
            <w:tcW w:w="993" w:type="dxa"/>
          </w:tcPr>
          <w:p w14:paraId="4C75765D" w14:textId="77777777" w:rsidR="00DD13BF" w:rsidRPr="00347461" w:rsidRDefault="00DD13BF" w:rsidP="00355A56">
            <w:pPr>
              <w:pStyle w:val="TableParagraph"/>
              <w:rPr>
                <w:sz w:val="20"/>
              </w:rPr>
            </w:pPr>
            <w:r>
              <w:rPr>
                <w:sz w:val="20"/>
              </w:rPr>
              <w:t>Target (2029)</w:t>
            </w:r>
          </w:p>
        </w:tc>
        <w:tc>
          <w:tcPr>
            <w:tcW w:w="1279" w:type="dxa"/>
          </w:tcPr>
          <w:p w14:paraId="514ABC74" w14:textId="77777777" w:rsidR="00DD13BF" w:rsidRPr="00347461" w:rsidRDefault="00DD13BF" w:rsidP="00355A56">
            <w:pPr>
              <w:pStyle w:val="TableParagraph"/>
              <w:rPr>
                <w:sz w:val="20"/>
              </w:rPr>
            </w:pPr>
            <w:r>
              <w:rPr>
                <w:sz w:val="20"/>
              </w:rPr>
              <w:t>Source of data</w:t>
            </w:r>
          </w:p>
        </w:tc>
        <w:tc>
          <w:tcPr>
            <w:tcW w:w="849" w:type="dxa"/>
          </w:tcPr>
          <w:p w14:paraId="3B2C92D8" w14:textId="77777777" w:rsidR="00DD13BF" w:rsidRPr="00347461" w:rsidRDefault="00DD13BF" w:rsidP="00355A56">
            <w:pPr>
              <w:pStyle w:val="TableParagraph"/>
              <w:rPr>
                <w:sz w:val="20"/>
              </w:rPr>
            </w:pPr>
            <w:r>
              <w:rPr>
                <w:sz w:val="20"/>
              </w:rPr>
              <w:t>Comments</w:t>
            </w:r>
          </w:p>
        </w:tc>
      </w:tr>
      <w:tr w:rsidR="00DD13BF" w14:paraId="3F766A31" w14:textId="77777777" w:rsidTr="00355A56">
        <w:trPr>
          <w:trHeight w:val="353"/>
        </w:trPr>
        <w:tc>
          <w:tcPr>
            <w:tcW w:w="1109" w:type="dxa"/>
          </w:tcPr>
          <w:p w14:paraId="7D569A17" w14:textId="77777777" w:rsidR="00DD13BF" w:rsidRPr="00347461" w:rsidRDefault="00DD13BF" w:rsidP="00355A56">
            <w:pPr>
              <w:pStyle w:val="TableParagraph"/>
              <w:rPr>
                <w:sz w:val="20"/>
              </w:rPr>
            </w:pPr>
            <w:r>
              <w:rPr>
                <w:sz w:val="20"/>
              </w:rPr>
              <w:t>3</w:t>
            </w:r>
          </w:p>
        </w:tc>
        <w:tc>
          <w:tcPr>
            <w:tcW w:w="992" w:type="dxa"/>
          </w:tcPr>
          <w:p w14:paraId="7E6268E6" w14:textId="77777777" w:rsidR="00DD13BF" w:rsidRPr="00347461" w:rsidRDefault="00DD13BF" w:rsidP="00355A56">
            <w:pPr>
              <w:pStyle w:val="TableParagraph"/>
              <w:rPr>
                <w:sz w:val="20"/>
              </w:rPr>
            </w:pPr>
            <w:r>
              <w:rPr>
                <w:color w:val="000000"/>
                <w:sz w:val="20"/>
              </w:rPr>
              <w:t>RSO2.4</w:t>
            </w:r>
          </w:p>
        </w:tc>
        <w:tc>
          <w:tcPr>
            <w:tcW w:w="567" w:type="dxa"/>
          </w:tcPr>
          <w:p w14:paraId="205F4C33" w14:textId="77777777" w:rsidR="00DD13BF" w:rsidRPr="00347461" w:rsidRDefault="00DD13BF" w:rsidP="00355A56">
            <w:pPr>
              <w:pStyle w:val="TableParagraph"/>
              <w:rPr>
                <w:sz w:val="20"/>
              </w:rPr>
            </w:pPr>
            <w:r>
              <w:rPr>
                <w:sz w:val="20"/>
              </w:rPr>
              <w:t>CF</w:t>
            </w:r>
          </w:p>
        </w:tc>
        <w:tc>
          <w:tcPr>
            <w:tcW w:w="1570" w:type="dxa"/>
          </w:tcPr>
          <w:p w14:paraId="02FAF1C2" w14:textId="77777777" w:rsidR="00DD13BF" w:rsidRPr="00347461" w:rsidRDefault="00DD13BF" w:rsidP="00355A56">
            <w:pPr>
              <w:pStyle w:val="TableParagraph"/>
              <w:rPr>
                <w:sz w:val="20"/>
              </w:rPr>
            </w:pPr>
            <w:r>
              <w:rPr>
                <w:color w:val="000000"/>
                <w:sz w:val="20"/>
              </w:rPr>
              <w:t>Entire Slovenia</w:t>
            </w:r>
          </w:p>
        </w:tc>
        <w:tc>
          <w:tcPr>
            <w:tcW w:w="708" w:type="dxa"/>
          </w:tcPr>
          <w:p w14:paraId="70195FEA" w14:textId="77777777" w:rsidR="00DD13BF" w:rsidRPr="00347461" w:rsidRDefault="00DD13BF" w:rsidP="00355A56">
            <w:pPr>
              <w:pStyle w:val="TableParagraph"/>
              <w:rPr>
                <w:sz w:val="20"/>
              </w:rPr>
            </w:pPr>
            <w:r>
              <w:rPr>
                <w:color w:val="000000"/>
                <w:sz w:val="20"/>
              </w:rPr>
              <w:t>RCR35</w:t>
            </w:r>
          </w:p>
        </w:tc>
        <w:tc>
          <w:tcPr>
            <w:tcW w:w="2400" w:type="dxa"/>
          </w:tcPr>
          <w:p w14:paraId="188175F2" w14:textId="77777777" w:rsidR="00DD13BF" w:rsidRPr="00347461" w:rsidRDefault="00DD13BF" w:rsidP="00355A56">
            <w:pPr>
              <w:pStyle w:val="TableParagraph"/>
              <w:rPr>
                <w:sz w:val="20"/>
              </w:rPr>
            </w:pPr>
            <w:r>
              <w:rPr>
                <w:color w:val="000000"/>
                <w:sz w:val="20"/>
              </w:rPr>
              <w:t>Population benefiting from flood protection measures</w:t>
            </w:r>
          </w:p>
        </w:tc>
        <w:tc>
          <w:tcPr>
            <w:tcW w:w="1134" w:type="dxa"/>
          </w:tcPr>
          <w:p w14:paraId="3996788A" w14:textId="77777777" w:rsidR="00DD13BF" w:rsidRPr="00347461" w:rsidRDefault="00DD13BF" w:rsidP="00355A56">
            <w:pPr>
              <w:pStyle w:val="TableParagraph"/>
              <w:rPr>
                <w:sz w:val="20"/>
              </w:rPr>
            </w:pPr>
            <w:r>
              <w:rPr>
                <w:color w:val="000000"/>
                <w:sz w:val="20"/>
              </w:rPr>
              <w:t>Persons</w:t>
            </w:r>
          </w:p>
        </w:tc>
        <w:tc>
          <w:tcPr>
            <w:tcW w:w="1133" w:type="dxa"/>
          </w:tcPr>
          <w:p w14:paraId="5C9B25BD" w14:textId="77777777" w:rsidR="00DD13BF" w:rsidRPr="00347461" w:rsidRDefault="00DD13BF" w:rsidP="00355A56">
            <w:pPr>
              <w:pStyle w:val="TableParagraph"/>
              <w:rPr>
                <w:sz w:val="20"/>
              </w:rPr>
            </w:pPr>
            <w:r>
              <w:rPr>
                <w:sz w:val="20"/>
              </w:rPr>
              <w:t>0</w:t>
            </w:r>
          </w:p>
        </w:tc>
        <w:tc>
          <w:tcPr>
            <w:tcW w:w="992" w:type="dxa"/>
          </w:tcPr>
          <w:p w14:paraId="4703BB2C" w14:textId="77777777" w:rsidR="00DD13BF" w:rsidRPr="005970EB" w:rsidRDefault="00DD13BF" w:rsidP="00355A56">
            <w:pPr>
              <w:pStyle w:val="TableParagraph"/>
              <w:rPr>
                <w:sz w:val="20"/>
              </w:rPr>
            </w:pPr>
            <w:r>
              <w:rPr>
                <w:sz w:val="20"/>
              </w:rPr>
              <w:t>2021</w:t>
            </w:r>
          </w:p>
        </w:tc>
        <w:tc>
          <w:tcPr>
            <w:tcW w:w="993" w:type="dxa"/>
          </w:tcPr>
          <w:p w14:paraId="753055F5" w14:textId="77777777" w:rsidR="00DD13BF" w:rsidRPr="005970EB" w:rsidRDefault="00DD13BF" w:rsidP="00355A56">
            <w:pPr>
              <w:pStyle w:val="TableParagraph"/>
              <w:rPr>
                <w:sz w:val="20"/>
              </w:rPr>
            </w:pPr>
            <w:r>
              <w:rPr>
                <w:sz w:val="20"/>
              </w:rPr>
              <w:t>3,550</w:t>
            </w:r>
          </w:p>
        </w:tc>
        <w:tc>
          <w:tcPr>
            <w:tcW w:w="1279" w:type="dxa"/>
            <w:vAlign w:val="bottom"/>
          </w:tcPr>
          <w:p w14:paraId="5A5E8313" w14:textId="77777777" w:rsidR="00DD13BF" w:rsidRPr="005970EB" w:rsidRDefault="00DD13BF" w:rsidP="00355A56">
            <w:pPr>
              <w:pStyle w:val="TableParagraph"/>
              <w:rPr>
                <w:sz w:val="20"/>
              </w:rPr>
            </w:pPr>
            <w:r>
              <w:rPr>
                <w:sz w:val="20"/>
              </w:rPr>
              <w:t>Preliminary Flood Risk Assessment</w:t>
            </w:r>
            <w:r>
              <w:rPr>
                <w:sz w:val="20"/>
              </w:rPr>
              <w:br/>
              <w:t>of the Republic of Slovenia</w:t>
            </w:r>
          </w:p>
        </w:tc>
        <w:tc>
          <w:tcPr>
            <w:tcW w:w="849" w:type="dxa"/>
          </w:tcPr>
          <w:p w14:paraId="76D75F78" w14:textId="77777777" w:rsidR="00DD13BF" w:rsidRPr="00347461" w:rsidRDefault="00DD13BF" w:rsidP="00355A56">
            <w:pPr>
              <w:pStyle w:val="TableParagraph"/>
              <w:rPr>
                <w:sz w:val="20"/>
              </w:rPr>
            </w:pPr>
          </w:p>
        </w:tc>
      </w:tr>
      <w:tr w:rsidR="00DD13BF" w14:paraId="4391D1C7" w14:textId="77777777" w:rsidTr="00355A56">
        <w:trPr>
          <w:trHeight w:val="353"/>
        </w:trPr>
        <w:tc>
          <w:tcPr>
            <w:tcW w:w="1109" w:type="dxa"/>
          </w:tcPr>
          <w:p w14:paraId="3CD4AD59" w14:textId="77777777" w:rsidR="00DD13BF" w:rsidRPr="00347461" w:rsidRDefault="00DD13BF" w:rsidP="00355A56">
            <w:pPr>
              <w:pStyle w:val="TableParagraph"/>
              <w:rPr>
                <w:sz w:val="20"/>
              </w:rPr>
            </w:pPr>
            <w:r>
              <w:rPr>
                <w:sz w:val="20"/>
              </w:rPr>
              <w:t>3</w:t>
            </w:r>
          </w:p>
        </w:tc>
        <w:tc>
          <w:tcPr>
            <w:tcW w:w="992" w:type="dxa"/>
          </w:tcPr>
          <w:p w14:paraId="460AF71D" w14:textId="77777777" w:rsidR="00DD13BF" w:rsidRPr="00347461" w:rsidRDefault="00DD13BF" w:rsidP="00355A56">
            <w:pPr>
              <w:pStyle w:val="TableParagraph"/>
              <w:rPr>
                <w:sz w:val="20"/>
              </w:rPr>
            </w:pPr>
            <w:r>
              <w:rPr>
                <w:color w:val="000000"/>
                <w:sz w:val="20"/>
              </w:rPr>
              <w:t>RSO2.4</w:t>
            </w:r>
          </w:p>
        </w:tc>
        <w:tc>
          <w:tcPr>
            <w:tcW w:w="567" w:type="dxa"/>
          </w:tcPr>
          <w:p w14:paraId="2DB6EDD3" w14:textId="77777777" w:rsidR="00DD13BF" w:rsidRPr="00347461" w:rsidRDefault="00DD13BF" w:rsidP="00355A56">
            <w:pPr>
              <w:pStyle w:val="TableParagraph"/>
              <w:rPr>
                <w:sz w:val="20"/>
              </w:rPr>
            </w:pPr>
            <w:r>
              <w:rPr>
                <w:sz w:val="20"/>
              </w:rPr>
              <w:t>ERDF</w:t>
            </w:r>
          </w:p>
        </w:tc>
        <w:tc>
          <w:tcPr>
            <w:tcW w:w="1570" w:type="dxa"/>
          </w:tcPr>
          <w:p w14:paraId="5DCE8CC5" w14:textId="77777777" w:rsidR="00DD13BF" w:rsidRPr="00347461" w:rsidRDefault="00DD13BF" w:rsidP="00355A56">
            <w:pPr>
              <w:pStyle w:val="TableParagraph"/>
              <w:rPr>
                <w:sz w:val="20"/>
              </w:rPr>
            </w:pPr>
            <w:r>
              <w:rPr>
                <w:color w:val="000000"/>
                <w:sz w:val="20"/>
              </w:rPr>
              <w:t>Less developed</w:t>
            </w:r>
          </w:p>
        </w:tc>
        <w:tc>
          <w:tcPr>
            <w:tcW w:w="708" w:type="dxa"/>
          </w:tcPr>
          <w:p w14:paraId="57FB4897" w14:textId="77777777" w:rsidR="00DD13BF" w:rsidRPr="00347461" w:rsidRDefault="00DD13BF" w:rsidP="00355A56">
            <w:pPr>
              <w:pStyle w:val="TableParagraph"/>
              <w:rPr>
                <w:sz w:val="20"/>
              </w:rPr>
            </w:pPr>
            <w:r>
              <w:rPr>
                <w:color w:val="000000"/>
                <w:sz w:val="20"/>
              </w:rPr>
              <w:t>RCR35</w:t>
            </w:r>
          </w:p>
        </w:tc>
        <w:tc>
          <w:tcPr>
            <w:tcW w:w="2400" w:type="dxa"/>
          </w:tcPr>
          <w:p w14:paraId="5E1CBFB1" w14:textId="77777777" w:rsidR="00DD13BF" w:rsidRPr="00347461" w:rsidRDefault="00DD13BF" w:rsidP="00355A56">
            <w:pPr>
              <w:pStyle w:val="TableParagraph"/>
              <w:rPr>
                <w:sz w:val="20"/>
              </w:rPr>
            </w:pPr>
            <w:r>
              <w:rPr>
                <w:color w:val="000000"/>
                <w:sz w:val="20"/>
              </w:rPr>
              <w:t>Population benefiting from flood protection measures</w:t>
            </w:r>
          </w:p>
        </w:tc>
        <w:tc>
          <w:tcPr>
            <w:tcW w:w="1134" w:type="dxa"/>
          </w:tcPr>
          <w:p w14:paraId="0FF2C64A" w14:textId="77777777" w:rsidR="00DD13BF" w:rsidRPr="00347461" w:rsidRDefault="00DD13BF" w:rsidP="00355A56">
            <w:pPr>
              <w:pStyle w:val="TableParagraph"/>
              <w:rPr>
                <w:sz w:val="20"/>
              </w:rPr>
            </w:pPr>
            <w:r>
              <w:rPr>
                <w:color w:val="000000"/>
                <w:sz w:val="20"/>
              </w:rPr>
              <w:t>Persons</w:t>
            </w:r>
          </w:p>
        </w:tc>
        <w:tc>
          <w:tcPr>
            <w:tcW w:w="1133" w:type="dxa"/>
          </w:tcPr>
          <w:p w14:paraId="6FADC851" w14:textId="77777777" w:rsidR="00DD13BF" w:rsidRPr="00347461" w:rsidRDefault="00DD13BF" w:rsidP="00355A56">
            <w:pPr>
              <w:pStyle w:val="TableParagraph"/>
              <w:rPr>
                <w:sz w:val="20"/>
              </w:rPr>
            </w:pPr>
            <w:r>
              <w:rPr>
                <w:sz w:val="20"/>
              </w:rPr>
              <w:t>0</w:t>
            </w:r>
          </w:p>
        </w:tc>
        <w:tc>
          <w:tcPr>
            <w:tcW w:w="992" w:type="dxa"/>
          </w:tcPr>
          <w:p w14:paraId="78EAB78B" w14:textId="77777777" w:rsidR="00DD13BF" w:rsidRPr="005970EB" w:rsidRDefault="00DD13BF" w:rsidP="00355A56">
            <w:pPr>
              <w:pStyle w:val="TableParagraph"/>
              <w:rPr>
                <w:sz w:val="20"/>
              </w:rPr>
            </w:pPr>
            <w:r>
              <w:rPr>
                <w:sz w:val="20"/>
              </w:rPr>
              <w:t>2021</w:t>
            </w:r>
          </w:p>
        </w:tc>
        <w:tc>
          <w:tcPr>
            <w:tcW w:w="993" w:type="dxa"/>
          </w:tcPr>
          <w:p w14:paraId="5F9053E5" w14:textId="77777777" w:rsidR="00DD13BF" w:rsidRPr="005970EB" w:rsidRDefault="00DD13BF" w:rsidP="00355A56">
            <w:pPr>
              <w:pStyle w:val="TableParagraph"/>
              <w:rPr>
                <w:sz w:val="20"/>
              </w:rPr>
            </w:pPr>
            <w:r>
              <w:rPr>
                <w:sz w:val="20"/>
              </w:rPr>
              <w:t>5,400</w:t>
            </w:r>
          </w:p>
        </w:tc>
        <w:tc>
          <w:tcPr>
            <w:tcW w:w="1279" w:type="dxa"/>
            <w:vAlign w:val="bottom"/>
          </w:tcPr>
          <w:p w14:paraId="3EEF5088" w14:textId="77777777" w:rsidR="00DD13BF" w:rsidRPr="00414A1A" w:rsidRDefault="00DD13BF" w:rsidP="00355A56">
            <w:pPr>
              <w:pStyle w:val="TableParagraph"/>
              <w:rPr>
                <w:sz w:val="20"/>
              </w:rPr>
            </w:pPr>
            <w:r>
              <w:rPr>
                <w:sz w:val="20"/>
              </w:rPr>
              <w:t>Preliminary Flood Risk Assessment</w:t>
            </w:r>
          </w:p>
          <w:p w14:paraId="7DF15129" w14:textId="77777777" w:rsidR="00DD13BF" w:rsidRPr="005970EB" w:rsidRDefault="00DD13BF" w:rsidP="00355A56">
            <w:pPr>
              <w:pStyle w:val="TableParagraph"/>
              <w:rPr>
                <w:sz w:val="20"/>
              </w:rPr>
            </w:pPr>
            <w:r>
              <w:rPr>
                <w:sz w:val="20"/>
              </w:rPr>
              <w:t>of Republic of Slovenia</w:t>
            </w:r>
          </w:p>
        </w:tc>
        <w:tc>
          <w:tcPr>
            <w:tcW w:w="849" w:type="dxa"/>
          </w:tcPr>
          <w:p w14:paraId="2DC39758" w14:textId="77777777" w:rsidR="00DD13BF" w:rsidRPr="00347461" w:rsidRDefault="00DD13BF" w:rsidP="00355A56">
            <w:pPr>
              <w:pStyle w:val="TableParagraph"/>
              <w:rPr>
                <w:sz w:val="20"/>
              </w:rPr>
            </w:pPr>
          </w:p>
        </w:tc>
      </w:tr>
      <w:tr w:rsidR="00DD13BF" w14:paraId="20760217" w14:textId="77777777" w:rsidTr="00355A56">
        <w:trPr>
          <w:trHeight w:val="353"/>
        </w:trPr>
        <w:tc>
          <w:tcPr>
            <w:tcW w:w="1109" w:type="dxa"/>
          </w:tcPr>
          <w:p w14:paraId="4C298BB8" w14:textId="77777777" w:rsidR="00DD13BF" w:rsidRPr="00347461" w:rsidRDefault="00DD13BF" w:rsidP="00355A56">
            <w:pPr>
              <w:pStyle w:val="TableParagraph"/>
              <w:rPr>
                <w:sz w:val="20"/>
              </w:rPr>
            </w:pPr>
            <w:r>
              <w:rPr>
                <w:sz w:val="20"/>
              </w:rPr>
              <w:t>3</w:t>
            </w:r>
          </w:p>
        </w:tc>
        <w:tc>
          <w:tcPr>
            <w:tcW w:w="992" w:type="dxa"/>
          </w:tcPr>
          <w:p w14:paraId="70E1F62C" w14:textId="77777777" w:rsidR="00DD13BF" w:rsidRPr="00347461" w:rsidRDefault="00DD13BF" w:rsidP="00355A56">
            <w:pPr>
              <w:pStyle w:val="TableParagraph"/>
              <w:rPr>
                <w:sz w:val="20"/>
              </w:rPr>
            </w:pPr>
            <w:r>
              <w:rPr>
                <w:color w:val="000000"/>
                <w:sz w:val="20"/>
              </w:rPr>
              <w:t>RSO2.4</w:t>
            </w:r>
          </w:p>
        </w:tc>
        <w:tc>
          <w:tcPr>
            <w:tcW w:w="567" w:type="dxa"/>
          </w:tcPr>
          <w:p w14:paraId="27ADD824" w14:textId="77777777" w:rsidR="00DD13BF" w:rsidRPr="00347461" w:rsidRDefault="00DD13BF" w:rsidP="00355A56">
            <w:pPr>
              <w:pStyle w:val="TableParagraph"/>
              <w:rPr>
                <w:sz w:val="20"/>
              </w:rPr>
            </w:pPr>
            <w:r>
              <w:rPr>
                <w:sz w:val="20"/>
              </w:rPr>
              <w:t>CF</w:t>
            </w:r>
          </w:p>
        </w:tc>
        <w:tc>
          <w:tcPr>
            <w:tcW w:w="1570" w:type="dxa"/>
          </w:tcPr>
          <w:p w14:paraId="5349B51E" w14:textId="77777777" w:rsidR="00DD13BF" w:rsidRPr="00347461" w:rsidRDefault="00DD13BF" w:rsidP="00355A56">
            <w:pPr>
              <w:pStyle w:val="TableParagraph"/>
              <w:rPr>
                <w:sz w:val="20"/>
              </w:rPr>
            </w:pPr>
            <w:r>
              <w:rPr>
                <w:color w:val="000000"/>
                <w:sz w:val="20"/>
              </w:rPr>
              <w:t>Entire Slovenia</w:t>
            </w:r>
          </w:p>
        </w:tc>
        <w:tc>
          <w:tcPr>
            <w:tcW w:w="708" w:type="dxa"/>
          </w:tcPr>
          <w:p w14:paraId="4DB62A25" w14:textId="77777777" w:rsidR="00DD13BF" w:rsidRPr="00347461" w:rsidRDefault="00DD13BF" w:rsidP="00355A56">
            <w:pPr>
              <w:pStyle w:val="TableParagraph"/>
              <w:rPr>
                <w:sz w:val="20"/>
              </w:rPr>
            </w:pPr>
            <w:r>
              <w:rPr>
                <w:color w:val="000000"/>
                <w:sz w:val="20"/>
              </w:rPr>
              <w:t>RCR36</w:t>
            </w:r>
          </w:p>
        </w:tc>
        <w:tc>
          <w:tcPr>
            <w:tcW w:w="2400" w:type="dxa"/>
          </w:tcPr>
          <w:p w14:paraId="607BBD02" w14:textId="77777777" w:rsidR="00DD13BF" w:rsidRPr="00347461" w:rsidRDefault="00DD13BF" w:rsidP="00355A56">
            <w:pPr>
              <w:pStyle w:val="TableParagraph"/>
              <w:rPr>
                <w:sz w:val="20"/>
              </w:rPr>
            </w:pPr>
            <w:r>
              <w:rPr>
                <w:color w:val="000000"/>
                <w:sz w:val="20"/>
              </w:rPr>
              <w:t>Population benefiting from wildfire protection measures</w:t>
            </w:r>
          </w:p>
        </w:tc>
        <w:tc>
          <w:tcPr>
            <w:tcW w:w="1134" w:type="dxa"/>
          </w:tcPr>
          <w:p w14:paraId="060EE154" w14:textId="77777777" w:rsidR="00DD13BF" w:rsidRPr="00347461" w:rsidRDefault="00DD13BF" w:rsidP="00355A56">
            <w:pPr>
              <w:pStyle w:val="TableParagraph"/>
              <w:rPr>
                <w:sz w:val="20"/>
              </w:rPr>
            </w:pPr>
            <w:r>
              <w:rPr>
                <w:color w:val="000000"/>
                <w:sz w:val="20"/>
              </w:rPr>
              <w:t>Persons</w:t>
            </w:r>
          </w:p>
        </w:tc>
        <w:tc>
          <w:tcPr>
            <w:tcW w:w="1133" w:type="dxa"/>
          </w:tcPr>
          <w:p w14:paraId="03E700B4" w14:textId="77777777" w:rsidR="00DD13BF" w:rsidRPr="00347461" w:rsidRDefault="00DD13BF" w:rsidP="00355A56">
            <w:pPr>
              <w:pStyle w:val="TableParagraph"/>
              <w:rPr>
                <w:sz w:val="20"/>
              </w:rPr>
            </w:pPr>
            <w:r>
              <w:rPr>
                <w:sz w:val="20"/>
              </w:rPr>
              <w:t>0</w:t>
            </w:r>
          </w:p>
        </w:tc>
        <w:tc>
          <w:tcPr>
            <w:tcW w:w="992" w:type="dxa"/>
          </w:tcPr>
          <w:p w14:paraId="50129ACF" w14:textId="77777777" w:rsidR="00DD13BF" w:rsidRPr="005970EB" w:rsidRDefault="00DD13BF" w:rsidP="00355A56">
            <w:pPr>
              <w:pStyle w:val="TableParagraph"/>
              <w:rPr>
                <w:sz w:val="20"/>
              </w:rPr>
            </w:pPr>
            <w:r>
              <w:rPr>
                <w:sz w:val="20"/>
              </w:rPr>
              <w:t>2021</w:t>
            </w:r>
          </w:p>
        </w:tc>
        <w:tc>
          <w:tcPr>
            <w:tcW w:w="993" w:type="dxa"/>
          </w:tcPr>
          <w:p w14:paraId="74C9D17C" w14:textId="77777777" w:rsidR="00DD13BF" w:rsidRPr="005970EB" w:rsidRDefault="00DD13BF" w:rsidP="00355A56">
            <w:pPr>
              <w:pStyle w:val="TableParagraph"/>
              <w:rPr>
                <w:sz w:val="20"/>
              </w:rPr>
            </w:pPr>
            <w:r>
              <w:rPr>
                <w:color w:val="000000"/>
                <w:sz w:val="20"/>
              </w:rPr>
              <w:t>193,760</w:t>
            </w:r>
          </w:p>
        </w:tc>
        <w:tc>
          <w:tcPr>
            <w:tcW w:w="1279" w:type="dxa"/>
            <w:vAlign w:val="bottom"/>
          </w:tcPr>
          <w:p w14:paraId="7D767D86" w14:textId="77777777" w:rsidR="00DD13BF" w:rsidRPr="005970EB" w:rsidRDefault="00DD13BF" w:rsidP="00355A56">
            <w:pPr>
              <w:pStyle w:val="TableParagraph"/>
              <w:rPr>
                <w:sz w:val="20"/>
              </w:rPr>
            </w:pPr>
            <w:r>
              <w:rPr>
                <w:sz w:val="20"/>
              </w:rPr>
              <w:t>National Disaster Risk Assessment (version 2.0)</w:t>
            </w:r>
          </w:p>
        </w:tc>
        <w:tc>
          <w:tcPr>
            <w:tcW w:w="849" w:type="dxa"/>
          </w:tcPr>
          <w:p w14:paraId="45BA8B12" w14:textId="77777777" w:rsidR="00DD13BF" w:rsidRPr="00347461" w:rsidRDefault="00DD13BF" w:rsidP="00355A56">
            <w:pPr>
              <w:pStyle w:val="TableParagraph"/>
              <w:rPr>
                <w:sz w:val="20"/>
              </w:rPr>
            </w:pPr>
          </w:p>
        </w:tc>
      </w:tr>
      <w:tr w:rsidR="00DD13BF" w14:paraId="0551EC61" w14:textId="77777777" w:rsidTr="00355A56">
        <w:trPr>
          <w:trHeight w:val="353"/>
        </w:trPr>
        <w:tc>
          <w:tcPr>
            <w:tcW w:w="1109" w:type="dxa"/>
          </w:tcPr>
          <w:p w14:paraId="6A3AE9F2" w14:textId="77777777" w:rsidR="00DD13BF" w:rsidRPr="00347461" w:rsidRDefault="00DD13BF" w:rsidP="00355A56">
            <w:pPr>
              <w:pStyle w:val="TableParagraph"/>
              <w:rPr>
                <w:sz w:val="20"/>
              </w:rPr>
            </w:pPr>
            <w:r>
              <w:rPr>
                <w:sz w:val="20"/>
              </w:rPr>
              <w:t>3</w:t>
            </w:r>
          </w:p>
        </w:tc>
        <w:tc>
          <w:tcPr>
            <w:tcW w:w="992" w:type="dxa"/>
          </w:tcPr>
          <w:p w14:paraId="712DCE97" w14:textId="77777777" w:rsidR="00DD13BF" w:rsidRPr="00347461" w:rsidRDefault="00DD13BF" w:rsidP="00355A56">
            <w:pPr>
              <w:pStyle w:val="TableParagraph"/>
              <w:rPr>
                <w:sz w:val="20"/>
              </w:rPr>
            </w:pPr>
            <w:r>
              <w:rPr>
                <w:color w:val="000000"/>
                <w:sz w:val="20"/>
              </w:rPr>
              <w:t>RSO2.4</w:t>
            </w:r>
          </w:p>
        </w:tc>
        <w:tc>
          <w:tcPr>
            <w:tcW w:w="567" w:type="dxa"/>
          </w:tcPr>
          <w:p w14:paraId="055B635B" w14:textId="77777777" w:rsidR="00DD13BF" w:rsidRPr="00347461" w:rsidRDefault="00DD13BF" w:rsidP="00355A56">
            <w:pPr>
              <w:pStyle w:val="TableParagraph"/>
              <w:rPr>
                <w:sz w:val="20"/>
              </w:rPr>
            </w:pPr>
            <w:r>
              <w:rPr>
                <w:sz w:val="20"/>
              </w:rPr>
              <w:t>CF</w:t>
            </w:r>
          </w:p>
        </w:tc>
        <w:tc>
          <w:tcPr>
            <w:tcW w:w="1570" w:type="dxa"/>
          </w:tcPr>
          <w:p w14:paraId="1DFF4E23" w14:textId="77777777" w:rsidR="00DD13BF" w:rsidRPr="00347461" w:rsidRDefault="00DD13BF" w:rsidP="00355A56">
            <w:pPr>
              <w:pStyle w:val="TableParagraph"/>
              <w:rPr>
                <w:sz w:val="20"/>
              </w:rPr>
            </w:pPr>
            <w:r>
              <w:rPr>
                <w:color w:val="000000"/>
                <w:sz w:val="20"/>
              </w:rPr>
              <w:t>Entire Slovenia</w:t>
            </w:r>
          </w:p>
        </w:tc>
        <w:tc>
          <w:tcPr>
            <w:tcW w:w="708" w:type="dxa"/>
          </w:tcPr>
          <w:p w14:paraId="66655168" w14:textId="77777777" w:rsidR="00DD13BF" w:rsidRPr="00347461" w:rsidRDefault="00DD13BF" w:rsidP="00355A56">
            <w:pPr>
              <w:pStyle w:val="TableParagraph"/>
              <w:rPr>
                <w:sz w:val="20"/>
              </w:rPr>
            </w:pPr>
            <w:r>
              <w:rPr>
                <w:color w:val="000000"/>
                <w:sz w:val="20"/>
              </w:rPr>
              <w:t>RCR37</w:t>
            </w:r>
          </w:p>
        </w:tc>
        <w:tc>
          <w:tcPr>
            <w:tcW w:w="2400" w:type="dxa"/>
          </w:tcPr>
          <w:p w14:paraId="57F0E190" w14:textId="77777777" w:rsidR="00DD13BF" w:rsidRPr="00347461" w:rsidRDefault="00DD13BF" w:rsidP="00355A56">
            <w:pPr>
              <w:pStyle w:val="TableParagraph"/>
              <w:rPr>
                <w:sz w:val="20"/>
              </w:rPr>
            </w:pPr>
            <w:r>
              <w:rPr>
                <w:color w:val="000000"/>
                <w:sz w:val="20"/>
              </w:rPr>
              <w:t>Population benefiting from protection measures against climate related natural disasters (other than floods or wildfire)</w:t>
            </w:r>
          </w:p>
        </w:tc>
        <w:tc>
          <w:tcPr>
            <w:tcW w:w="1134" w:type="dxa"/>
          </w:tcPr>
          <w:p w14:paraId="4F0A48E6" w14:textId="77777777" w:rsidR="00DD13BF" w:rsidRPr="00347461" w:rsidRDefault="00DD13BF" w:rsidP="00355A56">
            <w:pPr>
              <w:pStyle w:val="TableParagraph"/>
              <w:rPr>
                <w:sz w:val="20"/>
              </w:rPr>
            </w:pPr>
            <w:r>
              <w:rPr>
                <w:color w:val="000000"/>
                <w:sz w:val="20"/>
              </w:rPr>
              <w:t>Persons</w:t>
            </w:r>
          </w:p>
        </w:tc>
        <w:tc>
          <w:tcPr>
            <w:tcW w:w="1133" w:type="dxa"/>
          </w:tcPr>
          <w:p w14:paraId="589B757F" w14:textId="77777777" w:rsidR="00DD13BF" w:rsidRPr="00347461" w:rsidRDefault="00DD13BF" w:rsidP="00355A56">
            <w:pPr>
              <w:pStyle w:val="TableParagraph"/>
              <w:rPr>
                <w:sz w:val="20"/>
              </w:rPr>
            </w:pPr>
            <w:r>
              <w:rPr>
                <w:rFonts w:ascii="Calibri" w:hAnsi="Calibri"/>
                <w:color w:val="000000"/>
              </w:rPr>
              <w:t>0</w:t>
            </w:r>
          </w:p>
        </w:tc>
        <w:tc>
          <w:tcPr>
            <w:tcW w:w="992" w:type="dxa"/>
          </w:tcPr>
          <w:p w14:paraId="5EF77016" w14:textId="77777777" w:rsidR="00DD13BF" w:rsidRPr="005970EB" w:rsidRDefault="00DD13BF" w:rsidP="00355A56">
            <w:pPr>
              <w:pStyle w:val="TableParagraph"/>
              <w:rPr>
                <w:sz w:val="20"/>
              </w:rPr>
            </w:pPr>
            <w:r>
              <w:rPr>
                <w:sz w:val="20"/>
              </w:rPr>
              <w:t>2021</w:t>
            </w:r>
          </w:p>
        </w:tc>
        <w:tc>
          <w:tcPr>
            <w:tcW w:w="993" w:type="dxa"/>
          </w:tcPr>
          <w:p w14:paraId="5593EBDC" w14:textId="77777777" w:rsidR="00DD13BF" w:rsidRPr="005970EB" w:rsidRDefault="00DD13BF" w:rsidP="00355A56">
            <w:pPr>
              <w:pStyle w:val="TableParagraph"/>
              <w:rPr>
                <w:sz w:val="20"/>
              </w:rPr>
            </w:pPr>
            <w:r>
              <w:rPr>
                <w:color w:val="000000"/>
                <w:sz w:val="20"/>
              </w:rPr>
              <w:t>44,797</w:t>
            </w:r>
          </w:p>
        </w:tc>
        <w:tc>
          <w:tcPr>
            <w:tcW w:w="1279" w:type="dxa"/>
          </w:tcPr>
          <w:p w14:paraId="26CC3808" w14:textId="77777777" w:rsidR="00DD13BF" w:rsidRPr="005970EB" w:rsidRDefault="00DD13BF" w:rsidP="00355A56">
            <w:pPr>
              <w:pStyle w:val="TableParagraph"/>
              <w:rPr>
                <w:sz w:val="20"/>
              </w:rPr>
            </w:pPr>
            <w:r>
              <w:rPr>
                <w:sz w:val="20"/>
              </w:rPr>
              <w:t>National Disaster Risk Assessment (version 2.0)</w:t>
            </w:r>
          </w:p>
        </w:tc>
        <w:tc>
          <w:tcPr>
            <w:tcW w:w="849" w:type="dxa"/>
          </w:tcPr>
          <w:p w14:paraId="038E4DF9" w14:textId="77777777" w:rsidR="00DD13BF" w:rsidRPr="00347461" w:rsidRDefault="00DD13BF" w:rsidP="00355A56">
            <w:pPr>
              <w:pStyle w:val="TableParagraph"/>
              <w:rPr>
                <w:sz w:val="20"/>
              </w:rPr>
            </w:pPr>
            <w:r>
              <w:rPr>
                <w:color w:val="000000"/>
                <w:sz w:val="16"/>
              </w:rPr>
              <w:t>Residents who received protective measures against glaze ice and natural disasters</w:t>
            </w:r>
          </w:p>
        </w:tc>
      </w:tr>
    </w:tbl>
    <w:p w14:paraId="32E5EB14" w14:textId="77777777" w:rsidR="00DD13BF" w:rsidRPr="00F64926" w:rsidRDefault="00DD13BF" w:rsidP="00DD13BF"/>
    <w:p w14:paraId="39782DB1" w14:textId="77777777" w:rsidR="00DD13BF" w:rsidRDefault="00DD13BF" w:rsidP="00DD13BF">
      <w:pPr>
        <w:pStyle w:val="Naslov5"/>
        <w:numPr>
          <w:ilvl w:val="4"/>
          <w:numId w:val="16"/>
        </w:numPr>
        <w:spacing w:before="0"/>
      </w:pPr>
      <w:r>
        <w:t>Indicative breakdown of the programme resources (EU) by type of intervention</w:t>
      </w:r>
    </w:p>
    <w:p w14:paraId="527DA775" w14:textId="77777777" w:rsidR="00DD13BF" w:rsidRDefault="00DD13BF" w:rsidP="00DD13BF">
      <w:pPr>
        <w:ind w:left="640"/>
        <w:rPr>
          <w:spacing w:val="-5"/>
        </w:rPr>
      </w:pPr>
    </w:p>
    <w:p w14:paraId="398E0A46" w14:textId="77777777" w:rsidR="00DD13BF" w:rsidRPr="00673ADB" w:rsidRDefault="00DD13BF" w:rsidP="00DD13BF">
      <w:pPr>
        <w:ind w:left="339"/>
        <w:rPr>
          <w:spacing w:val="-7"/>
        </w:rPr>
      </w:pPr>
      <w:r>
        <w:t>Table 4: Dimension 1 – intervention field</w:t>
      </w:r>
    </w:p>
    <w:p w14:paraId="192CDFF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05A9B0E" w14:textId="77777777" w:rsidTr="00355A56">
        <w:trPr>
          <w:trHeight w:val="353"/>
        </w:trPr>
        <w:tc>
          <w:tcPr>
            <w:tcW w:w="2088" w:type="dxa"/>
          </w:tcPr>
          <w:p w14:paraId="69980973" w14:textId="77777777" w:rsidR="00DD13BF" w:rsidRDefault="00DD13BF" w:rsidP="00355A56">
            <w:pPr>
              <w:pStyle w:val="TableParagraph"/>
              <w:ind w:left="115"/>
            </w:pPr>
            <w:r>
              <w:t>Priority no.</w:t>
            </w:r>
          </w:p>
        </w:tc>
        <w:tc>
          <w:tcPr>
            <w:tcW w:w="1133" w:type="dxa"/>
          </w:tcPr>
          <w:p w14:paraId="08AF6602" w14:textId="77777777" w:rsidR="00DD13BF" w:rsidRDefault="00DD13BF" w:rsidP="00355A56">
            <w:pPr>
              <w:pStyle w:val="TableParagraph"/>
              <w:ind w:left="320"/>
            </w:pPr>
            <w:r>
              <w:t>Fund</w:t>
            </w:r>
          </w:p>
        </w:tc>
        <w:tc>
          <w:tcPr>
            <w:tcW w:w="3249" w:type="dxa"/>
          </w:tcPr>
          <w:p w14:paraId="4BE91D6A" w14:textId="77777777" w:rsidR="00DD13BF" w:rsidRDefault="00DD13BF" w:rsidP="00355A56">
            <w:pPr>
              <w:pStyle w:val="TableParagraph"/>
              <w:ind w:left="907"/>
            </w:pPr>
            <w:r>
              <w:t>Category of region</w:t>
            </w:r>
          </w:p>
        </w:tc>
        <w:tc>
          <w:tcPr>
            <w:tcW w:w="3099" w:type="dxa"/>
          </w:tcPr>
          <w:p w14:paraId="491A384F" w14:textId="77777777" w:rsidR="00DD13BF" w:rsidRDefault="00DD13BF" w:rsidP="00355A56">
            <w:pPr>
              <w:pStyle w:val="TableParagraph"/>
              <w:ind w:left="948"/>
            </w:pPr>
            <w:r>
              <w:t>Specific objective</w:t>
            </w:r>
          </w:p>
        </w:tc>
        <w:tc>
          <w:tcPr>
            <w:tcW w:w="1161" w:type="dxa"/>
          </w:tcPr>
          <w:p w14:paraId="0DEF0F83" w14:textId="77777777" w:rsidR="00DD13BF" w:rsidRDefault="00DD13BF" w:rsidP="00355A56">
            <w:pPr>
              <w:pStyle w:val="TableParagraph"/>
              <w:ind w:left="333"/>
            </w:pPr>
            <w:r>
              <w:t>Code</w:t>
            </w:r>
          </w:p>
        </w:tc>
        <w:tc>
          <w:tcPr>
            <w:tcW w:w="2731" w:type="dxa"/>
          </w:tcPr>
          <w:p w14:paraId="2732BBC7" w14:textId="77777777" w:rsidR="00DD13BF" w:rsidRDefault="00DD13BF" w:rsidP="00355A56">
            <w:pPr>
              <w:pStyle w:val="TableParagraph"/>
              <w:ind w:left="660"/>
            </w:pPr>
            <w:r>
              <w:t>Amount (in EUR)</w:t>
            </w:r>
          </w:p>
        </w:tc>
      </w:tr>
      <w:tr w:rsidR="00DD13BF" w14:paraId="4BBB8C0D" w14:textId="77777777" w:rsidTr="00355A56">
        <w:trPr>
          <w:trHeight w:val="353"/>
        </w:trPr>
        <w:tc>
          <w:tcPr>
            <w:tcW w:w="2088" w:type="dxa"/>
          </w:tcPr>
          <w:p w14:paraId="0EFB5928" w14:textId="77777777" w:rsidR="00DD13BF" w:rsidRDefault="00DD13BF" w:rsidP="00355A56">
            <w:pPr>
              <w:pStyle w:val="TableParagraph"/>
              <w:rPr>
                <w:sz w:val="20"/>
              </w:rPr>
            </w:pPr>
            <w:r>
              <w:rPr>
                <w:sz w:val="20"/>
              </w:rPr>
              <w:t>3</w:t>
            </w:r>
          </w:p>
        </w:tc>
        <w:tc>
          <w:tcPr>
            <w:tcW w:w="1133" w:type="dxa"/>
          </w:tcPr>
          <w:p w14:paraId="5B980AAD" w14:textId="77777777" w:rsidR="00DD13BF" w:rsidRDefault="00DD13BF" w:rsidP="00355A56">
            <w:pPr>
              <w:pStyle w:val="TableParagraph"/>
              <w:rPr>
                <w:sz w:val="20"/>
              </w:rPr>
            </w:pPr>
            <w:r>
              <w:rPr>
                <w:sz w:val="20"/>
              </w:rPr>
              <w:t>CF</w:t>
            </w:r>
          </w:p>
        </w:tc>
        <w:tc>
          <w:tcPr>
            <w:tcW w:w="3249" w:type="dxa"/>
          </w:tcPr>
          <w:p w14:paraId="72DE830F" w14:textId="77777777" w:rsidR="00DD13BF" w:rsidRDefault="00DD13BF" w:rsidP="00355A56">
            <w:pPr>
              <w:rPr>
                <w:sz w:val="20"/>
              </w:rPr>
            </w:pPr>
            <w:r>
              <w:rPr>
                <w:color w:val="000000"/>
                <w:sz w:val="20"/>
              </w:rPr>
              <w:t>Entire Slovenia</w:t>
            </w:r>
          </w:p>
        </w:tc>
        <w:tc>
          <w:tcPr>
            <w:tcW w:w="3099" w:type="dxa"/>
          </w:tcPr>
          <w:p w14:paraId="5D56CC16" w14:textId="77777777" w:rsidR="00DD13BF" w:rsidRDefault="00DD13BF" w:rsidP="00355A56">
            <w:pPr>
              <w:pStyle w:val="TableParagraph"/>
              <w:rPr>
                <w:sz w:val="20"/>
              </w:rPr>
            </w:pPr>
            <w:r>
              <w:rPr>
                <w:color w:val="000000"/>
                <w:sz w:val="20"/>
              </w:rPr>
              <w:t>RSO2.4</w:t>
            </w:r>
          </w:p>
        </w:tc>
        <w:tc>
          <w:tcPr>
            <w:tcW w:w="1161" w:type="dxa"/>
          </w:tcPr>
          <w:p w14:paraId="65E048B9" w14:textId="77777777" w:rsidR="00DD13BF" w:rsidRDefault="00DD13BF" w:rsidP="00355A56">
            <w:pPr>
              <w:pStyle w:val="TableParagraph"/>
              <w:rPr>
                <w:sz w:val="20"/>
              </w:rPr>
            </w:pPr>
            <w:r>
              <w:rPr>
                <w:sz w:val="20"/>
              </w:rPr>
              <w:t>058</w:t>
            </w:r>
          </w:p>
        </w:tc>
        <w:tc>
          <w:tcPr>
            <w:tcW w:w="2731" w:type="dxa"/>
          </w:tcPr>
          <w:p w14:paraId="6852CE27" w14:textId="77777777" w:rsidR="00DD13BF" w:rsidRDefault="00DD13BF" w:rsidP="00355A56">
            <w:pPr>
              <w:pStyle w:val="TableParagraph"/>
              <w:rPr>
                <w:sz w:val="20"/>
              </w:rPr>
            </w:pPr>
            <w:r>
              <w:rPr>
                <w:sz w:val="20"/>
              </w:rPr>
              <w:t>22,638,000</w:t>
            </w:r>
          </w:p>
        </w:tc>
      </w:tr>
      <w:tr w:rsidR="00DD13BF" w14:paraId="1E3D24A9" w14:textId="77777777" w:rsidTr="00355A56">
        <w:trPr>
          <w:trHeight w:val="353"/>
        </w:trPr>
        <w:tc>
          <w:tcPr>
            <w:tcW w:w="2088" w:type="dxa"/>
          </w:tcPr>
          <w:p w14:paraId="74F8BF69" w14:textId="77777777" w:rsidR="00DD13BF" w:rsidRDefault="00DD13BF" w:rsidP="00355A56">
            <w:pPr>
              <w:pStyle w:val="TableParagraph"/>
              <w:rPr>
                <w:sz w:val="20"/>
              </w:rPr>
            </w:pPr>
            <w:r>
              <w:rPr>
                <w:sz w:val="20"/>
              </w:rPr>
              <w:t>3</w:t>
            </w:r>
          </w:p>
        </w:tc>
        <w:tc>
          <w:tcPr>
            <w:tcW w:w="1133" w:type="dxa"/>
          </w:tcPr>
          <w:p w14:paraId="05D4268B" w14:textId="77777777" w:rsidR="00DD13BF" w:rsidRDefault="00DD13BF" w:rsidP="00355A56">
            <w:pPr>
              <w:pStyle w:val="TableParagraph"/>
              <w:rPr>
                <w:sz w:val="20"/>
              </w:rPr>
            </w:pPr>
            <w:r>
              <w:rPr>
                <w:sz w:val="20"/>
              </w:rPr>
              <w:t>ERDF</w:t>
            </w:r>
          </w:p>
        </w:tc>
        <w:tc>
          <w:tcPr>
            <w:tcW w:w="3249" w:type="dxa"/>
          </w:tcPr>
          <w:p w14:paraId="36D75EAA" w14:textId="77777777" w:rsidR="00DD13BF" w:rsidRDefault="00DD13BF" w:rsidP="00355A56">
            <w:pPr>
              <w:pStyle w:val="TableParagraph"/>
              <w:rPr>
                <w:sz w:val="20"/>
              </w:rPr>
            </w:pPr>
            <w:r>
              <w:rPr>
                <w:sz w:val="20"/>
              </w:rPr>
              <w:t>Less developed</w:t>
            </w:r>
          </w:p>
        </w:tc>
        <w:tc>
          <w:tcPr>
            <w:tcW w:w="3099" w:type="dxa"/>
          </w:tcPr>
          <w:p w14:paraId="7F577420" w14:textId="77777777" w:rsidR="00DD13BF" w:rsidRDefault="00DD13BF" w:rsidP="00355A56">
            <w:pPr>
              <w:pStyle w:val="TableParagraph"/>
              <w:rPr>
                <w:sz w:val="20"/>
              </w:rPr>
            </w:pPr>
            <w:r>
              <w:rPr>
                <w:color w:val="000000"/>
                <w:sz w:val="20"/>
              </w:rPr>
              <w:t>RSO2.4</w:t>
            </w:r>
          </w:p>
        </w:tc>
        <w:tc>
          <w:tcPr>
            <w:tcW w:w="1161" w:type="dxa"/>
          </w:tcPr>
          <w:p w14:paraId="590EDDB2" w14:textId="77777777" w:rsidR="00DD13BF" w:rsidRDefault="00DD13BF" w:rsidP="00355A56">
            <w:pPr>
              <w:pStyle w:val="TableParagraph"/>
              <w:rPr>
                <w:sz w:val="20"/>
              </w:rPr>
            </w:pPr>
            <w:r>
              <w:rPr>
                <w:sz w:val="20"/>
              </w:rPr>
              <w:t>058</w:t>
            </w:r>
          </w:p>
        </w:tc>
        <w:tc>
          <w:tcPr>
            <w:tcW w:w="2731" w:type="dxa"/>
          </w:tcPr>
          <w:p w14:paraId="2A5BC910" w14:textId="77777777" w:rsidR="00DD13BF" w:rsidRDefault="00DD13BF" w:rsidP="00355A56">
            <w:pPr>
              <w:pStyle w:val="TableParagraph"/>
              <w:rPr>
                <w:sz w:val="20"/>
              </w:rPr>
            </w:pPr>
            <w:r>
              <w:rPr>
                <w:sz w:val="20"/>
              </w:rPr>
              <w:t>109,313,122</w:t>
            </w:r>
          </w:p>
        </w:tc>
      </w:tr>
      <w:tr w:rsidR="00DD13BF" w14:paraId="1C83C9D0" w14:textId="77777777" w:rsidTr="00355A56">
        <w:trPr>
          <w:trHeight w:val="353"/>
        </w:trPr>
        <w:tc>
          <w:tcPr>
            <w:tcW w:w="2088" w:type="dxa"/>
          </w:tcPr>
          <w:p w14:paraId="2AB42390" w14:textId="77777777" w:rsidR="00DD13BF" w:rsidRDefault="00DD13BF" w:rsidP="00355A56">
            <w:pPr>
              <w:pStyle w:val="TableParagraph"/>
              <w:rPr>
                <w:sz w:val="20"/>
              </w:rPr>
            </w:pPr>
            <w:r>
              <w:rPr>
                <w:sz w:val="20"/>
              </w:rPr>
              <w:lastRenderedPageBreak/>
              <w:t>3</w:t>
            </w:r>
          </w:p>
        </w:tc>
        <w:tc>
          <w:tcPr>
            <w:tcW w:w="1133" w:type="dxa"/>
          </w:tcPr>
          <w:p w14:paraId="5BC51FAE" w14:textId="77777777" w:rsidR="00DD13BF" w:rsidRDefault="00DD13BF" w:rsidP="00355A56">
            <w:pPr>
              <w:pStyle w:val="TableParagraph"/>
              <w:rPr>
                <w:sz w:val="20"/>
              </w:rPr>
            </w:pPr>
            <w:r>
              <w:rPr>
                <w:sz w:val="20"/>
              </w:rPr>
              <w:t>CF</w:t>
            </w:r>
          </w:p>
        </w:tc>
        <w:tc>
          <w:tcPr>
            <w:tcW w:w="3249" w:type="dxa"/>
          </w:tcPr>
          <w:p w14:paraId="345D4448" w14:textId="77777777" w:rsidR="00DD13BF" w:rsidRPr="00FA4535" w:rsidRDefault="00DD13BF" w:rsidP="00355A56">
            <w:pPr>
              <w:rPr>
                <w:color w:val="000000"/>
                <w:sz w:val="20"/>
              </w:rPr>
            </w:pPr>
            <w:r>
              <w:rPr>
                <w:color w:val="000000"/>
                <w:sz w:val="20"/>
              </w:rPr>
              <w:t>Entire Slovenia</w:t>
            </w:r>
          </w:p>
        </w:tc>
        <w:tc>
          <w:tcPr>
            <w:tcW w:w="3099" w:type="dxa"/>
          </w:tcPr>
          <w:p w14:paraId="79115179" w14:textId="77777777" w:rsidR="00DD13BF" w:rsidRDefault="00DD13BF" w:rsidP="00355A56">
            <w:pPr>
              <w:pStyle w:val="TableParagraph"/>
              <w:rPr>
                <w:sz w:val="20"/>
              </w:rPr>
            </w:pPr>
            <w:r>
              <w:rPr>
                <w:color w:val="000000"/>
                <w:sz w:val="20"/>
              </w:rPr>
              <w:t>RSO2.4</w:t>
            </w:r>
          </w:p>
        </w:tc>
        <w:tc>
          <w:tcPr>
            <w:tcW w:w="1161" w:type="dxa"/>
          </w:tcPr>
          <w:p w14:paraId="286F8E90" w14:textId="77777777" w:rsidR="00DD13BF" w:rsidRDefault="00DD13BF" w:rsidP="00355A56">
            <w:pPr>
              <w:pStyle w:val="TableParagraph"/>
              <w:rPr>
                <w:sz w:val="20"/>
              </w:rPr>
            </w:pPr>
            <w:r>
              <w:rPr>
                <w:sz w:val="20"/>
              </w:rPr>
              <w:t>059</w:t>
            </w:r>
          </w:p>
        </w:tc>
        <w:tc>
          <w:tcPr>
            <w:tcW w:w="2731" w:type="dxa"/>
          </w:tcPr>
          <w:p w14:paraId="5ABCEAAD" w14:textId="77777777" w:rsidR="00DD13BF" w:rsidRDefault="00DD13BF" w:rsidP="00355A56">
            <w:pPr>
              <w:pStyle w:val="TableParagraph"/>
              <w:rPr>
                <w:sz w:val="20"/>
              </w:rPr>
            </w:pPr>
            <w:r>
              <w:rPr>
                <w:sz w:val="20"/>
              </w:rPr>
              <w:t>16,648,000</w:t>
            </w:r>
          </w:p>
        </w:tc>
      </w:tr>
      <w:tr w:rsidR="00DD13BF" w14:paraId="10E1F215" w14:textId="77777777" w:rsidTr="00355A56">
        <w:trPr>
          <w:trHeight w:val="353"/>
        </w:trPr>
        <w:tc>
          <w:tcPr>
            <w:tcW w:w="2088" w:type="dxa"/>
          </w:tcPr>
          <w:p w14:paraId="06E1F7AC" w14:textId="77777777" w:rsidR="00DD13BF" w:rsidRDefault="00DD13BF" w:rsidP="00355A56">
            <w:pPr>
              <w:pStyle w:val="TableParagraph"/>
              <w:rPr>
                <w:sz w:val="20"/>
              </w:rPr>
            </w:pPr>
            <w:r>
              <w:rPr>
                <w:sz w:val="20"/>
              </w:rPr>
              <w:t>3</w:t>
            </w:r>
          </w:p>
        </w:tc>
        <w:tc>
          <w:tcPr>
            <w:tcW w:w="1133" w:type="dxa"/>
          </w:tcPr>
          <w:p w14:paraId="25E7436C" w14:textId="77777777" w:rsidR="00DD13BF" w:rsidRDefault="00DD13BF" w:rsidP="00355A56">
            <w:pPr>
              <w:pStyle w:val="TableParagraph"/>
              <w:rPr>
                <w:sz w:val="20"/>
              </w:rPr>
            </w:pPr>
            <w:r>
              <w:rPr>
                <w:sz w:val="20"/>
              </w:rPr>
              <w:t>CF</w:t>
            </w:r>
          </w:p>
        </w:tc>
        <w:tc>
          <w:tcPr>
            <w:tcW w:w="3249" w:type="dxa"/>
          </w:tcPr>
          <w:p w14:paraId="34125A15" w14:textId="77777777" w:rsidR="00DD13BF" w:rsidRPr="00FA4535" w:rsidRDefault="00DD13BF" w:rsidP="00355A56">
            <w:pPr>
              <w:rPr>
                <w:color w:val="000000"/>
                <w:sz w:val="20"/>
              </w:rPr>
            </w:pPr>
            <w:r>
              <w:rPr>
                <w:color w:val="000000"/>
                <w:sz w:val="20"/>
              </w:rPr>
              <w:t>Entire Slovenia</w:t>
            </w:r>
          </w:p>
        </w:tc>
        <w:tc>
          <w:tcPr>
            <w:tcW w:w="3099" w:type="dxa"/>
          </w:tcPr>
          <w:p w14:paraId="3F1694EC" w14:textId="77777777" w:rsidR="00DD13BF" w:rsidRDefault="00DD13BF" w:rsidP="00355A56">
            <w:pPr>
              <w:pStyle w:val="TableParagraph"/>
              <w:rPr>
                <w:sz w:val="20"/>
              </w:rPr>
            </w:pPr>
            <w:r>
              <w:rPr>
                <w:color w:val="000000"/>
                <w:sz w:val="20"/>
              </w:rPr>
              <w:t>RSO2.4</w:t>
            </w:r>
          </w:p>
        </w:tc>
        <w:tc>
          <w:tcPr>
            <w:tcW w:w="1161" w:type="dxa"/>
          </w:tcPr>
          <w:p w14:paraId="605BEB89" w14:textId="77777777" w:rsidR="00DD13BF" w:rsidRDefault="00DD13BF" w:rsidP="00355A56">
            <w:pPr>
              <w:pStyle w:val="TableParagraph"/>
              <w:rPr>
                <w:sz w:val="20"/>
              </w:rPr>
            </w:pPr>
            <w:r>
              <w:rPr>
                <w:sz w:val="20"/>
              </w:rPr>
              <w:t>060</w:t>
            </w:r>
          </w:p>
        </w:tc>
        <w:tc>
          <w:tcPr>
            <w:tcW w:w="2731" w:type="dxa"/>
          </w:tcPr>
          <w:p w14:paraId="4167E3C0" w14:textId="77777777" w:rsidR="00DD13BF" w:rsidRDefault="00DD13BF" w:rsidP="00355A56">
            <w:pPr>
              <w:pStyle w:val="TableParagraph"/>
              <w:rPr>
                <w:sz w:val="20"/>
              </w:rPr>
            </w:pPr>
            <w:r>
              <w:rPr>
                <w:sz w:val="20"/>
              </w:rPr>
              <w:t>10,444,000</w:t>
            </w:r>
          </w:p>
          <w:p w14:paraId="499915B1" w14:textId="77777777" w:rsidR="00DD13BF" w:rsidRDefault="00DD13BF" w:rsidP="00355A56">
            <w:pPr>
              <w:pStyle w:val="TableParagraph"/>
              <w:rPr>
                <w:sz w:val="20"/>
              </w:rPr>
            </w:pPr>
          </w:p>
        </w:tc>
      </w:tr>
    </w:tbl>
    <w:p w14:paraId="4710CDBF" w14:textId="77777777" w:rsidR="00DD13BF" w:rsidRDefault="00DD13BF" w:rsidP="00DD13BF"/>
    <w:p w14:paraId="6AB1E21D" w14:textId="77777777" w:rsidR="00DD13BF" w:rsidRPr="00673ADB" w:rsidRDefault="00DD13BF" w:rsidP="00DD13BF">
      <w:pPr>
        <w:ind w:left="339"/>
        <w:rPr>
          <w:spacing w:val="-7"/>
        </w:rPr>
      </w:pPr>
      <w:r>
        <w:t>Table 5: Dimension 2 – form of financing</w:t>
      </w:r>
    </w:p>
    <w:p w14:paraId="453C688C" w14:textId="77777777" w:rsidR="00DD13BF" w:rsidRDefault="00DD13BF" w:rsidP="00DD13BF">
      <w:pPr>
        <w:jc w:val="both"/>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727A0C5D" w14:textId="77777777" w:rsidTr="00355A56">
        <w:trPr>
          <w:trHeight w:val="353"/>
        </w:trPr>
        <w:tc>
          <w:tcPr>
            <w:tcW w:w="2088" w:type="dxa"/>
          </w:tcPr>
          <w:p w14:paraId="39839FEC" w14:textId="77777777" w:rsidR="00DD13BF" w:rsidRDefault="00DD13BF" w:rsidP="00355A56">
            <w:pPr>
              <w:pStyle w:val="TableParagraph"/>
              <w:ind w:left="115"/>
              <w:jc w:val="both"/>
            </w:pPr>
            <w:r>
              <w:t>Priority no.</w:t>
            </w:r>
          </w:p>
        </w:tc>
        <w:tc>
          <w:tcPr>
            <w:tcW w:w="1133" w:type="dxa"/>
          </w:tcPr>
          <w:p w14:paraId="099AEB24" w14:textId="77777777" w:rsidR="00DD13BF" w:rsidRDefault="00DD13BF" w:rsidP="00355A56">
            <w:pPr>
              <w:pStyle w:val="TableParagraph"/>
              <w:ind w:left="320"/>
              <w:jc w:val="both"/>
            </w:pPr>
            <w:r>
              <w:t>Fund</w:t>
            </w:r>
          </w:p>
        </w:tc>
        <w:tc>
          <w:tcPr>
            <w:tcW w:w="3249" w:type="dxa"/>
          </w:tcPr>
          <w:p w14:paraId="173B85B8" w14:textId="77777777" w:rsidR="00DD13BF" w:rsidRDefault="00DD13BF" w:rsidP="00355A56">
            <w:pPr>
              <w:pStyle w:val="TableParagraph"/>
              <w:ind w:left="907"/>
              <w:jc w:val="both"/>
            </w:pPr>
            <w:r>
              <w:t>Category of region</w:t>
            </w:r>
          </w:p>
        </w:tc>
        <w:tc>
          <w:tcPr>
            <w:tcW w:w="3099" w:type="dxa"/>
          </w:tcPr>
          <w:p w14:paraId="61859BD0" w14:textId="77777777" w:rsidR="00DD13BF" w:rsidRDefault="00DD13BF" w:rsidP="00355A56">
            <w:pPr>
              <w:pStyle w:val="TableParagraph"/>
              <w:ind w:left="948"/>
              <w:jc w:val="both"/>
            </w:pPr>
            <w:r>
              <w:t>Specific objective</w:t>
            </w:r>
          </w:p>
        </w:tc>
        <w:tc>
          <w:tcPr>
            <w:tcW w:w="1161" w:type="dxa"/>
          </w:tcPr>
          <w:p w14:paraId="5DB76EB3" w14:textId="77777777" w:rsidR="00DD13BF" w:rsidRDefault="00DD13BF" w:rsidP="00355A56">
            <w:pPr>
              <w:pStyle w:val="TableParagraph"/>
              <w:ind w:left="334"/>
              <w:jc w:val="both"/>
            </w:pPr>
            <w:r>
              <w:t>Code</w:t>
            </w:r>
          </w:p>
        </w:tc>
        <w:tc>
          <w:tcPr>
            <w:tcW w:w="2731" w:type="dxa"/>
          </w:tcPr>
          <w:p w14:paraId="611EB7B2" w14:textId="77777777" w:rsidR="00DD13BF" w:rsidRDefault="00DD13BF" w:rsidP="00355A56">
            <w:pPr>
              <w:pStyle w:val="TableParagraph"/>
              <w:ind w:left="661"/>
              <w:jc w:val="both"/>
            </w:pPr>
            <w:r>
              <w:t>Amount (in EUR)</w:t>
            </w:r>
          </w:p>
        </w:tc>
      </w:tr>
      <w:tr w:rsidR="00DD13BF" w14:paraId="1A3050BF" w14:textId="77777777" w:rsidTr="00355A56">
        <w:trPr>
          <w:trHeight w:val="353"/>
        </w:trPr>
        <w:tc>
          <w:tcPr>
            <w:tcW w:w="2088" w:type="dxa"/>
          </w:tcPr>
          <w:p w14:paraId="4F3950C8" w14:textId="77777777" w:rsidR="00DD13BF" w:rsidRPr="00787FC6" w:rsidRDefault="00DD13BF" w:rsidP="00355A56">
            <w:pPr>
              <w:pStyle w:val="TableParagraph"/>
              <w:jc w:val="both"/>
              <w:rPr>
                <w:sz w:val="20"/>
              </w:rPr>
            </w:pPr>
            <w:r>
              <w:rPr>
                <w:sz w:val="20"/>
              </w:rPr>
              <w:t>3</w:t>
            </w:r>
          </w:p>
        </w:tc>
        <w:tc>
          <w:tcPr>
            <w:tcW w:w="1133" w:type="dxa"/>
          </w:tcPr>
          <w:p w14:paraId="64DCF261" w14:textId="77777777" w:rsidR="00DD13BF" w:rsidRPr="00787FC6" w:rsidRDefault="00DD13BF" w:rsidP="00355A56">
            <w:pPr>
              <w:pStyle w:val="TableParagraph"/>
              <w:jc w:val="both"/>
              <w:rPr>
                <w:sz w:val="20"/>
              </w:rPr>
            </w:pPr>
            <w:r>
              <w:rPr>
                <w:sz w:val="20"/>
              </w:rPr>
              <w:t>CF</w:t>
            </w:r>
          </w:p>
        </w:tc>
        <w:tc>
          <w:tcPr>
            <w:tcW w:w="3249" w:type="dxa"/>
          </w:tcPr>
          <w:p w14:paraId="0B4B5865" w14:textId="77777777" w:rsidR="00DD13BF" w:rsidRPr="00787FC6" w:rsidRDefault="00DD13BF" w:rsidP="00355A56">
            <w:pPr>
              <w:pStyle w:val="TableParagraph"/>
              <w:jc w:val="both"/>
              <w:rPr>
                <w:sz w:val="20"/>
              </w:rPr>
            </w:pPr>
            <w:r>
              <w:rPr>
                <w:sz w:val="20"/>
              </w:rPr>
              <w:t>Entire Slovenia</w:t>
            </w:r>
          </w:p>
        </w:tc>
        <w:tc>
          <w:tcPr>
            <w:tcW w:w="3099" w:type="dxa"/>
          </w:tcPr>
          <w:p w14:paraId="648AD668" w14:textId="77777777" w:rsidR="00DD13BF" w:rsidRPr="00787FC6" w:rsidRDefault="00DD13BF" w:rsidP="00355A56">
            <w:pPr>
              <w:pStyle w:val="TableParagraph"/>
              <w:jc w:val="both"/>
              <w:rPr>
                <w:sz w:val="20"/>
              </w:rPr>
            </w:pPr>
            <w:r>
              <w:rPr>
                <w:color w:val="000000"/>
                <w:sz w:val="20"/>
              </w:rPr>
              <w:t>RSO2.4</w:t>
            </w:r>
          </w:p>
        </w:tc>
        <w:tc>
          <w:tcPr>
            <w:tcW w:w="1161" w:type="dxa"/>
          </w:tcPr>
          <w:p w14:paraId="3D504B11" w14:textId="77777777" w:rsidR="00DD13BF" w:rsidRPr="00787FC6" w:rsidRDefault="00DD13BF" w:rsidP="00355A56">
            <w:pPr>
              <w:pStyle w:val="TableParagraph"/>
              <w:jc w:val="both"/>
              <w:rPr>
                <w:sz w:val="20"/>
              </w:rPr>
            </w:pPr>
            <w:r>
              <w:rPr>
                <w:sz w:val="20"/>
              </w:rPr>
              <w:t>01</w:t>
            </w:r>
          </w:p>
        </w:tc>
        <w:tc>
          <w:tcPr>
            <w:tcW w:w="2731" w:type="dxa"/>
          </w:tcPr>
          <w:p w14:paraId="4C5CAB9C" w14:textId="77777777" w:rsidR="00DD13BF" w:rsidRPr="00787FC6" w:rsidRDefault="00DD13BF" w:rsidP="00355A56">
            <w:pPr>
              <w:pStyle w:val="TableParagraph"/>
              <w:jc w:val="both"/>
              <w:rPr>
                <w:sz w:val="20"/>
              </w:rPr>
            </w:pPr>
            <w:r>
              <w:rPr>
                <w:sz w:val="20"/>
              </w:rPr>
              <w:t>49,730,000</w:t>
            </w:r>
          </w:p>
        </w:tc>
      </w:tr>
      <w:tr w:rsidR="00DD13BF" w14:paraId="59DCEA26" w14:textId="77777777" w:rsidTr="00355A56">
        <w:trPr>
          <w:trHeight w:val="353"/>
        </w:trPr>
        <w:tc>
          <w:tcPr>
            <w:tcW w:w="2088" w:type="dxa"/>
          </w:tcPr>
          <w:p w14:paraId="4A967764" w14:textId="77777777" w:rsidR="00DD13BF" w:rsidRPr="00787FC6" w:rsidRDefault="00DD13BF" w:rsidP="00355A56">
            <w:pPr>
              <w:pStyle w:val="TableParagraph"/>
              <w:jc w:val="both"/>
              <w:rPr>
                <w:sz w:val="20"/>
              </w:rPr>
            </w:pPr>
            <w:r>
              <w:rPr>
                <w:sz w:val="20"/>
              </w:rPr>
              <w:t>3</w:t>
            </w:r>
          </w:p>
        </w:tc>
        <w:tc>
          <w:tcPr>
            <w:tcW w:w="1133" w:type="dxa"/>
          </w:tcPr>
          <w:p w14:paraId="096F2686" w14:textId="77777777" w:rsidR="00DD13BF" w:rsidRPr="00787FC6" w:rsidRDefault="00DD13BF" w:rsidP="00355A56">
            <w:pPr>
              <w:pStyle w:val="TableParagraph"/>
              <w:jc w:val="both"/>
              <w:rPr>
                <w:sz w:val="20"/>
              </w:rPr>
            </w:pPr>
            <w:r>
              <w:rPr>
                <w:sz w:val="20"/>
              </w:rPr>
              <w:t xml:space="preserve">ERDF </w:t>
            </w:r>
          </w:p>
        </w:tc>
        <w:tc>
          <w:tcPr>
            <w:tcW w:w="3249" w:type="dxa"/>
          </w:tcPr>
          <w:p w14:paraId="0825AB70" w14:textId="77777777" w:rsidR="00DD13BF" w:rsidRPr="00787FC6" w:rsidRDefault="00DD13BF" w:rsidP="00355A56">
            <w:pPr>
              <w:pStyle w:val="TableParagraph"/>
              <w:jc w:val="both"/>
              <w:rPr>
                <w:sz w:val="20"/>
              </w:rPr>
            </w:pPr>
            <w:r>
              <w:rPr>
                <w:sz w:val="20"/>
              </w:rPr>
              <w:t>Less developed</w:t>
            </w:r>
          </w:p>
        </w:tc>
        <w:tc>
          <w:tcPr>
            <w:tcW w:w="3099" w:type="dxa"/>
          </w:tcPr>
          <w:p w14:paraId="282EA97A" w14:textId="77777777" w:rsidR="00DD13BF" w:rsidRPr="00787FC6" w:rsidRDefault="00DD13BF" w:rsidP="00355A56">
            <w:pPr>
              <w:pStyle w:val="TableParagraph"/>
              <w:jc w:val="both"/>
              <w:rPr>
                <w:sz w:val="20"/>
              </w:rPr>
            </w:pPr>
            <w:r>
              <w:rPr>
                <w:color w:val="000000"/>
                <w:sz w:val="20"/>
              </w:rPr>
              <w:t>RSO2.4</w:t>
            </w:r>
          </w:p>
        </w:tc>
        <w:tc>
          <w:tcPr>
            <w:tcW w:w="1161" w:type="dxa"/>
          </w:tcPr>
          <w:p w14:paraId="2128733B" w14:textId="77777777" w:rsidR="00DD13BF" w:rsidRPr="00787FC6" w:rsidRDefault="00DD13BF" w:rsidP="00355A56">
            <w:pPr>
              <w:pStyle w:val="TableParagraph"/>
              <w:jc w:val="both"/>
              <w:rPr>
                <w:sz w:val="20"/>
              </w:rPr>
            </w:pPr>
            <w:r>
              <w:rPr>
                <w:sz w:val="20"/>
              </w:rPr>
              <w:t>01</w:t>
            </w:r>
          </w:p>
        </w:tc>
        <w:tc>
          <w:tcPr>
            <w:tcW w:w="2731" w:type="dxa"/>
          </w:tcPr>
          <w:p w14:paraId="27D963F8" w14:textId="77777777" w:rsidR="00DD13BF" w:rsidRPr="00787FC6" w:rsidRDefault="00DD13BF" w:rsidP="00355A56">
            <w:pPr>
              <w:pStyle w:val="TableParagraph"/>
              <w:jc w:val="both"/>
              <w:rPr>
                <w:sz w:val="20"/>
              </w:rPr>
            </w:pPr>
            <w:r>
              <w:rPr>
                <w:sz w:val="20"/>
              </w:rPr>
              <w:t>109,313,122</w:t>
            </w:r>
          </w:p>
        </w:tc>
      </w:tr>
    </w:tbl>
    <w:p w14:paraId="0B0F9178" w14:textId="77777777" w:rsidR="00DD13BF" w:rsidRDefault="00DD13BF" w:rsidP="00DD13BF">
      <w:pPr>
        <w:jc w:val="both"/>
        <w:rPr>
          <w:sz w:val="20"/>
        </w:rPr>
        <w:sectPr w:rsidR="00DD13BF" w:rsidSect="00BD3536">
          <w:headerReference w:type="default" r:id="rId45"/>
          <w:footerReference w:type="first" r:id="rId46"/>
          <w:type w:val="continuous"/>
          <w:pgSz w:w="16840" w:h="11910" w:orient="landscape"/>
          <w:pgMar w:top="1417" w:right="1417" w:bottom="1417" w:left="1417" w:header="708" w:footer="708" w:gutter="0"/>
          <w:cols w:space="708"/>
          <w:titlePg/>
          <w:docGrid w:linePitch="299"/>
        </w:sectPr>
      </w:pPr>
    </w:p>
    <w:p w14:paraId="6F4C5E04" w14:textId="77777777" w:rsidR="00DD13BF" w:rsidRDefault="00DD13BF" w:rsidP="00DD13BF">
      <w:pPr>
        <w:ind w:left="339"/>
        <w:jc w:val="both"/>
        <w:rPr>
          <w:spacing w:val="-7"/>
        </w:rPr>
      </w:pPr>
    </w:p>
    <w:p w14:paraId="5FBFACD9" w14:textId="77777777" w:rsidR="00DD13BF" w:rsidRDefault="00DD13BF" w:rsidP="00DD13BF">
      <w:pPr>
        <w:ind w:left="339"/>
        <w:jc w:val="both"/>
      </w:pPr>
      <w:r>
        <w:t>Table 6: Dimension 3 – territorial delivery mechanism and territorial focus</w:t>
      </w:r>
    </w:p>
    <w:p w14:paraId="5756E22A" w14:textId="77777777" w:rsidR="00DD13BF" w:rsidRDefault="00DD13BF" w:rsidP="00DD13BF">
      <w:pPr>
        <w:jc w:val="both"/>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73F127B7" w14:textId="77777777" w:rsidTr="00355A56">
        <w:trPr>
          <w:trHeight w:val="353"/>
        </w:trPr>
        <w:tc>
          <w:tcPr>
            <w:tcW w:w="2088" w:type="dxa"/>
          </w:tcPr>
          <w:p w14:paraId="3B2F3D39" w14:textId="77777777" w:rsidR="00DD13BF" w:rsidRDefault="00DD13BF" w:rsidP="00355A56">
            <w:pPr>
              <w:pStyle w:val="TableParagraph"/>
              <w:ind w:left="115"/>
              <w:jc w:val="both"/>
            </w:pPr>
            <w:r>
              <w:t>Priority no.</w:t>
            </w:r>
          </w:p>
        </w:tc>
        <w:tc>
          <w:tcPr>
            <w:tcW w:w="1133" w:type="dxa"/>
          </w:tcPr>
          <w:p w14:paraId="1E4C96FD" w14:textId="77777777" w:rsidR="00DD13BF" w:rsidRDefault="00DD13BF" w:rsidP="00355A56">
            <w:pPr>
              <w:pStyle w:val="TableParagraph"/>
              <w:ind w:left="320"/>
              <w:jc w:val="both"/>
            </w:pPr>
            <w:r>
              <w:t>Fund</w:t>
            </w:r>
          </w:p>
        </w:tc>
        <w:tc>
          <w:tcPr>
            <w:tcW w:w="3249" w:type="dxa"/>
          </w:tcPr>
          <w:p w14:paraId="7B49353C" w14:textId="77777777" w:rsidR="00DD13BF" w:rsidRDefault="00DD13BF" w:rsidP="00355A56">
            <w:pPr>
              <w:pStyle w:val="TableParagraph"/>
              <w:ind w:left="908"/>
              <w:jc w:val="both"/>
            </w:pPr>
            <w:r>
              <w:t>Category of region</w:t>
            </w:r>
          </w:p>
        </w:tc>
        <w:tc>
          <w:tcPr>
            <w:tcW w:w="3099" w:type="dxa"/>
          </w:tcPr>
          <w:p w14:paraId="428C2A05" w14:textId="77777777" w:rsidR="00DD13BF" w:rsidRDefault="00DD13BF" w:rsidP="00355A56">
            <w:pPr>
              <w:pStyle w:val="TableParagraph"/>
              <w:ind w:left="950"/>
              <w:jc w:val="both"/>
            </w:pPr>
            <w:r>
              <w:t>Specific objective</w:t>
            </w:r>
          </w:p>
        </w:tc>
        <w:tc>
          <w:tcPr>
            <w:tcW w:w="1161" w:type="dxa"/>
          </w:tcPr>
          <w:p w14:paraId="1634D8F6" w14:textId="77777777" w:rsidR="00DD13BF" w:rsidRDefault="00DD13BF" w:rsidP="00355A56">
            <w:pPr>
              <w:pStyle w:val="TableParagraph"/>
              <w:ind w:left="336"/>
              <w:jc w:val="both"/>
            </w:pPr>
            <w:r>
              <w:t>Code</w:t>
            </w:r>
          </w:p>
        </w:tc>
        <w:tc>
          <w:tcPr>
            <w:tcW w:w="2731" w:type="dxa"/>
          </w:tcPr>
          <w:p w14:paraId="0474125D" w14:textId="77777777" w:rsidR="00DD13BF" w:rsidRDefault="00DD13BF" w:rsidP="00355A56">
            <w:pPr>
              <w:pStyle w:val="TableParagraph"/>
              <w:ind w:left="664"/>
              <w:jc w:val="both"/>
            </w:pPr>
            <w:r>
              <w:t>Amount (in EUR)</w:t>
            </w:r>
          </w:p>
        </w:tc>
      </w:tr>
      <w:tr w:rsidR="00DD13BF" w14:paraId="73A89497" w14:textId="77777777" w:rsidTr="00355A56">
        <w:trPr>
          <w:trHeight w:val="353"/>
        </w:trPr>
        <w:tc>
          <w:tcPr>
            <w:tcW w:w="2088" w:type="dxa"/>
          </w:tcPr>
          <w:p w14:paraId="058D7E96" w14:textId="77777777" w:rsidR="00DD13BF" w:rsidRDefault="00DD13BF" w:rsidP="00355A56">
            <w:pPr>
              <w:pStyle w:val="TableParagraph"/>
              <w:jc w:val="both"/>
              <w:rPr>
                <w:sz w:val="20"/>
              </w:rPr>
            </w:pPr>
            <w:r>
              <w:rPr>
                <w:sz w:val="20"/>
              </w:rPr>
              <w:t>3</w:t>
            </w:r>
          </w:p>
        </w:tc>
        <w:tc>
          <w:tcPr>
            <w:tcW w:w="1133" w:type="dxa"/>
          </w:tcPr>
          <w:p w14:paraId="203DF193" w14:textId="77777777" w:rsidR="00DD13BF" w:rsidRDefault="00DD13BF" w:rsidP="00355A56">
            <w:pPr>
              <w:pStyle w:val="TableParagraph"/>
              <w:jc w:val="both"/>
              <w:rPr>
                <w:sz w:val="20"/>
              </w:rPr>
            </w:pPr>
            <w:r>
              <w:rPr>
                <w:sz w:val="20"/>
              </w:rPr>
              <w:t>CF</w:t>
            </w:r>
          </w:p>
        </w:tc>
        <w:tc>
          <w:tcPr>
            <w:tcW w:w="3249" w:type="dxa"/>
          </w:tcPr>
          <w:p w14:paraId="036946E8" w14:textId="77777777" w:rsidR="00DD13BF" w:rsidRDefault="00DD13BF" w:rsidP="00355A56">
            <w:pPr>
              <w:pStyle w:val="TableParagraph"/>
              <w:jc w:val="both"/>
              <w:rPr>
                <w:sz w:val="20"/>
              </w:rPr>
            </w:pPr>
            <w:r>
              <w:rPr>
                <w:sz w:val="20"/>
              </w:rPr>
              <w:t>Entire Slovenia</w:t>
            </w:r>
          </w:p>
        </w:tc>
        <w:tc>
          <w:tcPr>
            <w:tcW w:w="3099" w:type="dxa"/>
          </w:tcPr>
          <w:p w14:paraId="78D1F617" w14:textId="77777777" w:rsidR="00DD13BF" w:rsidRDefault="00DD13BF" w:rsidP="00355A56">
            <w:pPr>
              <w:pStyle w:val="TableParagraph"/>
              <w:jc w:val="both"/>
              <w:rPr>
                <w:sz w:val="20"/>
              </w:rPr>
            </w:pPr>
            <w:r>
              <w:rPr>
                <w:color w:val="000000"/>
                <w:sz w:val="20"/>
              </w:rPr>
              <w:t>RSO2.4</w:t>
            </w:r>
          </w:p>
        </w:tc>
        <w:tc>
          <w:tcPr>
            <w:tcW w:w="1161" w:type="dxa"/>
          </w:tcPr>
          <w:p w14:paraId="29DAB8F5" w14:textId="77777777" w:rsidR="00DD13BF" w:rsidRDefault="00DD13BF" w:rsidP="00355A56">
            <w:pPr>
              <w:pStyle w:val="TableParagraph"/>
              <w:jc w:val="both"/>
              <w:rPr>
                <w:sz w:val="20"/>
              </w:rPr>
            </w:pPr>
            <w:r>
              <w:rPr>
                <w:sz w:val="20"/>
              </w:rPr>
              <w:t>33</w:t>
            </w:r>
          </w:p>
        </w:tc>
        <w:tc>
          <w:tcPr>
            <w:tcW w:w="2731" w:type="dxa"/>
          </w:tcPr>
          <w:p w14:paraId="46F6585C" w14:textId="77777777" w:rsidR="00DD13BF" w:rsidRDefault="00DD13BF" w:rsidP="00355A56">
            <w:pPr>
              <w:pStyle w:val="TableParagraph"/>
              <w:jc w:val="both"/>
              <w:rPr>
                <w:sz w:val="20"/>
              </w:rPr>
            </w:pPr>
            <w:r>
              <w:rPr>
                <w:sz w:val="20"/>
              </w:rPr>
              <w:t>49,730,000</w:t>
            </w:r>
          </w:p>
        </w:tc>
      </w:tr>
      <w:tr w:rsidR="00DD13BF" w14:paraId="6B21BBA6" w14:textId="77777777" w:rsidTr="00355A56">
        <w:trPr>
          <w:trHeight w:val="353"/>
        </w:trPr>
        <w:tc>
          <w:tcPr>
            <w:tcW w:w="2088" w:type="dxa"/>
          </w:tcPr>
          <w:p w14:paraId="25595686" w14:textId="77777777" w:rsidR="00DD13BF" w:rsidRDefault="00DD13BF" w:rsidP="00355A56">
            <w:pPr>
              <w:pStyle w:val="TableParagraph"/>
              <w:jc w:val="both"/>
              <w:rPr>
                <w:sz w:val="20"/>
              </w:rPr>
            </w:pPr>
            <w:r>
              <w:rPr>
                <w:sz w:val="20"/>
              </w:rPr>
              <w:t>3</w:t>
            </w:r>
          </w:p>
        </w:tc>
        <w:tc>
          <w:tcPr>
            <w:tcW w:w="1133" w:type="dxa"/>
          </w:tcPr>
          <w:p w14:paraId="6F591B48" w14:textId="77777777" w:rsidR="00DD13BF" w:rsidRDefault="00DD13BF" w:rsidP="00355A56">
            <w:pPr>
              <w:pStyle w:val="TableParagraph"/>
              <w:jc w:val="both"/>
              <w:rPr>
                <w:sz w:val="20"/>
              </w:rPr>
            </w:pPr>
            <w:r>
              <w:rPr>
                <w:sz w:val="20"/>
              </w:rPr>
              <w:t xml:space="preserve">ERDF </w:t>
            </w:r>
          </w:p>
        </w:tc>
        <w:tc>
          <w:tcPr>
            <w:tcW w:w="3249" w:type="dxa"/>
          </w:tcPr>
          <w:p w14:paraId="487899BC" w14:textId="77777777" w:rsidR="00DD13BF" w:rsidRDefault="00DD13BF" w:rsidP="00355A56">
            <w:pPr>
              <w:pStyle w:val="TableParagraph"/>
              <w:jc w:val="both"/>
              <w:rPr>
                <w:sz w:val="20"/>
              </w:rPr>
            </w:pPr>
            <w:r>
              <w:rPr>
                <w:sz w:val="20"/>
              </w:rPr>
              <w:t>Less developed</w:t>
            </w:r>
          </w:p>
        </w:tc>
        <w:tc>
          <w:tcPr>
            <w:tcW w:w="3099" w:type="dxa"/>
          </w:tcPr>
          <w:p w14:paraId="55AE8F72" w14:textId="77777777" w:rsidR="00DD13BF" w:rsidRDefault="00DD13BF" w:rsidP="00355A56">
            <w:pPr>
              <w:pStyle w:val="TableParagraph"/>
              <w:jc w:val="both"/>
              <w:rPr>
                <w:sz w:val="20"/>
              </w:rPr>
            </w:pPr>
            <w:r>
              <w:rPr>
                <w:color w:val="000000"/>
                <w:sz w:val="20"/>
              </w:rPr>
              <w:t>RSO2.4</w:t>
            </w:r>
          </w:p>
        </w:tc>
        <w:tc>
          <w:tcPr>
            <w:tcW w:w="1161" w:type="dxa"/>
          </w:tcPr>
          <w:p w14:paraId="24C1F390" w14:textId="77777777" w:rsidR="00DD13BF" w:rsidRDefault="00DD13BF" w:rsidP="00355A56">
            <w:pPr>
              <w:pStyle w:val="TableParagraph"/>
              <w:jc w:val="both"/>
              <w:rPr>
                <w:sz w:val="20"/>
              </w:rPr>
            </w:pPr>
            <w:r>
              <w:rPr>
                <w:sz w:val="20"/>
              </w:rPr>
              <w:t>33</w:t>
            </w:r>
          </w:p>
        </w:tc>
        <w:tc>
          <w:tcPr>
            <w:tcW w:w="2731" w:type="dxa"/>
          </w:tcPr>
          <w:p w14:paraId="3FA9AB69" w14:textId="77777777" w:rsidR="00DD13BF" w:rsidRPr="00F64926" w:rsidRDefault="00DD13BF" w:rsidP="00355A56">
            <w:pPr>
              <w:pStyle w:val="TableParagraph"/>
              <w:jc w:val="both"/>
              <w:rPr>
                <w:sz w:val="20"/>
              </w:rPr>
            </w:pPr>
            <w:r>
              <w:rPr>
                <w:sz w:val="20"/>
              </w:rPr>
              <w:t>109,313,122</w:t>
            </w:r>
          </w:p>
        </w:tc>
      </w:tr>
    </w:tbl>
    <w:p w14:paraId="0828CDB6" w14:textId="77777777" w:rsidR="00DD13BF" w:rsidRDefault="00DD13BF" w:rsidP="00DD13BF">
      <w:pPr>
        <w:jc w:val="both"/>
      </w:pPr>
    </w:p>
    <w:p w14:paraId="20688314" w14:textId="77777777" w:rsidR="00DD13BF" w:rsidRDefault="00DD13BF" w:rsidP="00DD13BF">
      <w:pPr>
        <w:ind w:left="339"/>
        <w:jc w:val="both"/>
      </w:pPr>
      <w:r>
        <w:t>Table 7: Dimension 6 – ESF+ secondary themes</w:t>
      </w:r>
    </w:p>
    <w:p w14:paraId="64796670"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264E1BF" w14:textId="77777777" w:rsidTr="00355A56">
        <w:trPr>
          <w:trHeight w:val="353"/>
        </w:trPr>
        <w:tc>
          <w:tcPr>
            <w:tcW w:w="2088" w:type="dxa"/>
          </w:tcPr>
          <w:p w14:paraId="205BBE2A" w14:textId="77777777" w:rsidR="00DD13BF" w:rsidRDefault="00DD13BF" w:rsidP="00355A56">
            <w:pPr>
              <w:pStyle w:val="TableParagraph"/>
              <w:ind w:left="115"/>
              <w:jc w:val="both"/>
            </w:pPr>
            <w:r>
              <w:t>Priority no.</w:t>
            </w:r>
          </w:p>
        </w:tc>
        <w:tc>
          <w:tcPr>
            <w:tcW w:w="1132" w:type="dxa"/>
          </w:tcPr>
          <w:p w14:paraId="7A9B252D" w14:textId="77777777" w:rsidR="00DD13BF" w:rsidRDefault="00DD13BF" w:rsidP="00355A56">
            <w:pPr>
              <w:pStyle w:val="TableParagraph"/>
              <w:ind w:left="321"/>
              <w:jc w:val="both"/>
            </w:pPr>
            <w:r>
              <w:t>Fund</w:t>
            </w:r>
          </w:p>
        </w:tc>
        <w:tc>
          <w:tcPr>
            <w:tcW w:w="3248" w:type="dxa"/>
          </w:tcPr>
          <w:p w14:paraId="2CEE19F9" w14:textId="77777777" w:rsidR="00DD13BF" w:rsidRDefault="00DD13BF" w:rsidP="00355A56">
            <w:pPr>
              <w:pStyle w:val="TableParagraph"/>
              <w:ind w:left="909"/>
              <w:jc w:val="both"/>
            </w:pPr>
            <w:r>
              <w:t>Category of region</w:t>
            </w:r>
          </w:p>
        </w:tc>
        <w:tc>
          <w:tcPr>
            <w:tcW w:w="3098" w:type="dxa"/>
          </w:tcPr>
          <w:p w14:paraId="45672B37" w14:textId="77777777" w:rsidR="00DD13BF" w:rsidRDefault="00DD13BF" w:rsidP="00355A56">
            <w:pPr>
              <w:pStyle w:val="TableParagraph"/>
              <w:ind w:left="950"/>
              <w:jc w:val="both"/>
            </w:pPr>
            <w:r>
              <w:t>Specific objective</w:t>
            </w:r>
          </w:p>
        </w:tc>
        <w:tc>
          <w:tcPr>
            <w:tcW w:w="1160" w:type="dxa"/>
          </w:tcPr>
          <w:p w14:paraId="21F1BAF1" w14:textId="77777777" w:rsidR="00DD13BF" w:rsidRDefault="00DD13BF" w:rsidP="00355A56">
            <w:pPr>
              <w:pStyle w:val="TableParagraph"/>
              <w:ind w:left="337"/>
              <w:jc w:val="both"/>
            </w:pPr>
            <w:r>
              <w:t>Code</w:t>
            </w:r>
          </w:p>
        </w:tc>
        <w:tc>
          <w:tcPr>
            <w:tcW w:w="2730" w:type="dxa"/>
          </w:tcPr>
          <w:p w14:paraId="519D80D9" w14:textId="77777777" w:rsidR="00DD13BF" w:rsidRDefault="00DD13BF" w:rsidP="00355A56">
            <w:pPr>
              <w:pStyle w:val="TableParagraph"/>
              <w:ind w:left="665"/>
              <w:jc w:val="both"/>
            </w:pPr>
            <w:r>
              <w:t>Amount (in EUR)</w:t>
            </w:r>
          </w:p>
        </w:tc>
      </w:tr>
    </w:tbl>
    <w:p w14:paraId="133518DB" w14:textId="77777777" w:rsidR="00DD13BF" w:rsidRPr="00673ADB" w:rsidRDefault="00DD13BF" w:rsidP="00DD13BF">
      <w:pPr>
        <w:jc w:val="both"/>
      </w:pPr>
    </w:p>
    <w:p w14:paraId="7707536F" w14:textId="77777777" w:rsidR="00DD13BF" w:rsidRDefault="00DD13BF" w:rsidP="00DD13BF">
      <w:pPr>
        <w:ind w:left="339"/>
        <w:jc w:val="both"/>
      </w:pPr>
      <w:r>
        <w:t>Table 8: Dimension 7 – ESF+*, ERDF, Cohesion Fund and JTF gender equality dimension</w:t>
      </w:r>
    </w:p>
    <w:p w14:paraId="6F18CD45" w14:textId="77777777" w:rsidR="00DD13BF" w:rsidRDefault="00DD13BF" w:rsidP="00DD13BF">
      <w:pPr>
        <w:jc w:val="both"/>
        <w:rPr>
          <w:sz w:val="21"/>
        </w:rPr>
      </w:pPr>
    </w:p>
    <w:tbl>
      <w:tblPr>
        <w:tblStyle w:val="NormalTable0"/>
        <w:tblW w:w="4802"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52"/>
        <w:gridCol w:w="1043"/>
        <w:gridCol w:w="2771"/>
        <w:gridCol w:w="3472"/>
        <w:gridCol w:w="1301"/>
        <w:gridCol w:w="2797"/>
      </w:tblGrid>
      <w:tr w:rsidR="00DD13BF" w14:paraId="6C3427B2" w14:textId="77777777" w:rsidTr="00355A56">
        <w:trPr>
          <w:trHeight w:val="353"/>
        </w:trPr>
        <w:tc>
          <w:tcPr>
            <w:tcW w:w="764" w:type="pct"/>
          </w:tcPr>
          <w:p w14:paraId="2587CB53" w14:textId="77777777" w:rsidR="00DD13BF" w:rsidRDefault="00DD13BF" w:rsidP="00355A56">
            <w:pPr>
              <w:pStyle w:val="TableParagraph"/>
              <w:ind w:left="115"/>
              <w:jc w:val="both"/>
            </w:pPr>
            <w:r>
              <w:t>Priority no.</w:t>
            </w:r>
          </w:p>
        </w:tc>
        <w:tc>
          <w:tcPr>
            <w:tcW w:w="388" w:type="pct"/>
          </w:tcPr>
          <w:p w14:paraId="65900159" w14:textId="77777777" w:rsidR="00DD13BF" w:rsidRDefault="00DD13BF" w:rsidP="00355A56">
            <w:pPr>
              <w:pStyle w:val="TableParagraph"/>
              <w:ind w:left="115"/>
              <w:jc w:val="both"/>
            </w:pPr>
            <w:r>
              <w:t>Fund</w:t>
            </w:r>
          </w:p>
        </w:tc>
        <w:tc>
          <w:tcPr>
            <w:tcW w:w="1031" w:type="pct"/>
          </w:tcPr>
          <w:p w14:paraId="60909723" w14:textId="77777777" w:rsidR="00DD13BF" w:rsidRDefault="00DD13BF" w:rsidP="00355A56">
            <w:pPr>
              <w:pStyle w:val="TableParagraph"/>
              <w:ind w:left="115"/>
              <w:jc w:val="both"/>
            </w:pPr>
            <w:r>
              <w:t>Category of region</w:t>
            </w:r>
          </w:p>
        </w:tc>
        <w:tc>
          <w:tcPr>
            <w:tcW w:w="1292" w:type="pct"/>
          </w:tcPr>
          <w:p w14:paraId="2602F175" w14:textId="77777777" w:rsidR="00DD13BF" w:rsidRDefault="00DD13BF" w:rsidP="00355A56">
            <w:pPr>
              <w:pStyle w:val="TableParagraph"/>
              <w:ind w:left="115"/>
              <w:jc w:val="both"/>
            </w:pPr>
            <w:r>
              <w:t>Specific objective</w:t>
            </w:r>
          </w:p>
        </w:tc>
        <w:tc>
          <w:tcPr>
            <w:tcW w:w="484" w:type="pct"/>
          </w:tcPr>
          <w:p w14:paraId="59F5E3E1" w14:textId="77777777" w:rsidR="00DD13BF" w:rsidRDefault="00DD13BF" w:rsidP="00355A56">
            <w:pPr>
              <w:pStyle w:val="TableParagraph"/>
              <w:ind w:left="115"/>
              <w:jc w:val="both"/>
            </w:pPr>
            <w:r>
              <w:t>Code</w:t>
            </w:r>
          </w:p>
        </w:tc>
        <w:tc>
          <w:tcPr>
            <w:tcW w:w="1041" w:type="pct"/>
          </w:tcPr>
          <w:p w14:paraId="4934086D" w14:textId="77777777" w:rsidR="00DD13BF" w:rsidRDefault="00DD13BF" w:rsidP="00355A56">
            <w:pPr>
              <w:pStyle w:val="TableParagraph"/>
              <w:ind w:left="115" w:hanging="115"/>
              <w:jc w:val="both"/>
            </w:pPr>
            <w:r>
              <w:t>Amount (in EUR)</w:t>
            </w:r>
          </w:p>
        </w:tc>
      </w:tr>
      <w:tr w:rsidR="00DD13BF" w14:paraId="6193F91C" w14:textId="77777777" w:rsidTr="00355A56">
        <w:trPr>
          <w:trHeight w:val="353"/>
        </w:trPr>
        <w:tc>
          <w:tcPr>
            <w:tcW w:w="764" w:type="pct"/>
          </w:tcPr>
          <w:p w14:paraId="27E3B94C" w14:textId="77777777" w:rsidR="00DD13BF" w:rsidRDefault="00DD13BF" w:rsidP="00355A56">
            <w:pPr>
              <w:pStyle w:val="TableParagraph"/>
              <w:ind w:left="115"/>
              <w:jc w:val="both"/>
              <w:rPr>
                <w:spacing w:val="-2"/>
              </w:rPr>
            </w:pPr>
            <w:r>
              <w:rPr>
                <w:sz w:val="20"/>
              </w:rPr>
              <w:t>3</w:t>
            </w:r>
          </w:p>
        </w:tc>
        <w:tc>
          <w:tcPr>
            <w:tcW w:w="388" w:type="pct"/>
          </w:tcPr>
          <w:p w14:paraId="66486628" w14:textId="77777777" w:rsidR="00DD13BF" w:rsidRDefault="00DD13BF" w:rsidP="00355A56">
            <w:pPr>
              <w:pStyle w:val="TableParagraph"/>
              <w:ind w:left="115"/>
              <w:jc w:val="both"/>
            </w:pPr>
            <w:r>
              <w:rPr>
                <w:sz w:val="20"/>
              </w:rPr>
              <w:t>CF</w:t>
            </w:r>
          </w:p>
        </w:tc>
        <w:tc>
          <w:tcPr>
            <w:tcW w:w="1031" w:type="pct"/>
          </w:tcPr>
          <w:p w14:paraId="02840CAA" w14:textId="77777777" w:rsidR="00DD13BF" w:rsidRDefault="00DD13BF" w:rsidP="00355A56">
            <w:pPr>
              <w:pStyle w:val="TableParagraph"/>
              <w:ind w:left="115"/>
              <w:jc w:val="both"/>
              <w:rPr>
                <w:spacing w:val="-3"/>
              </w:rPr>
            </w:pPr>
            <w:r>
              <w:rPr>
                <w:sz w:val="20"/>
              </w:rPr>
              <w:t>Entire Slovenia</w:t>
            </w:r>
          </w:p>
        </w:tc>
        <w:tc>
          <w:tcPr>
            <w:tcW w:w="1292" w:type="pct"/>
          </w:tcPr>
          <w:p w14:paraId="1EE67A1A" w14:textId="77777777" w:rsidR="00DD13BF" w:rsidRDefault="00DD13BF" w:rsidP="00355A56">
            <w:pPr>
              <w:pStyle w:val="TableParagraph"/>
              <w:ind w:left="115"/>
              <w:jc w:val="both"/>
              <w:rPr>
                <w:spacing w:val="-4"/>
              </w:rPr>
            </w:pPr>
            <w:r>
              <w:rPr>
                <w:color w:val="000000"/>
                <w:sz w:val="20"/>
              </w:rPr>
              <w:t>RSO2.4</w:t>
            </w:r>
          </w:p>
        </w:tc>
        <w:tc>
          <w:tcPr>
            <w:tcW w:w="484" w:type="pct"/>
          </w:tcPr>
          <w:p w14:paraId="0AE6EE99" w14:textId="77777777" w:rsidR="00DD13BF" w:rsidRDefault="00DD13BF" w:rsidP="00355A56">
            <w:pPr>
              <w:pStyle w:val="TableParagraph"/>
              <w:ind w:left="115"/>
              <w:jc w:val="both"/>
            </w:pPr>
            <w:r>
              <w:rPr>
                <w:sz w:val="20"/>
              </w:rPr>
              <w:t>03</w:t>
            </w:r>
          </w:p>
        </w:tc>
        <w:tc>
          <w:tcPr>
            <w:tcW w:w="1041" w:type="pct"/>
          </w:tcPr>
          <w:p w14:paraId="585C2212" w14:textId="77777777" w:rsidR="00DD13BF" w:rsidRDefault="00DD13BF" w:rsidP="00355A56">
            <w:pPr>
              <w:pStyle w:val="TableParagraph"/>
              <w:ind w:left="115" w:hanging="115"/>
              <w:jc w:val="both"/>
            </w:pPr>
            <w:r>
              <w:rPr>
                <w:sz w:val="20"/>
              </w:rPr>
              <w:t>49,730,000</w:t>
            </w:r>
          </w:p>
        </w:tc>
      </w:tr>
      <w:tr w:rsidR="00DD13BF" w14:paraId="743F4B07" w14:textId="77777777" w:rsidTr="00355A56">
        <w:trPr>
          <w:trHeight w:val="353"/>
        </w:trPr>
        <w:tc>
          <w:tcPr>
            <w:tcW w:w="764" w:type="pct"/>
          </w:tcPr>
          <w:p w14:paraId="04C88895" w14:textId="77777777" w:rsidR="00DD13BF" w:rsidRDefault="00DD13BF" w:rsidP="00355A56">
            <w:pPr>
              <w:pStyle w:val="TableParagraph"/>
              <w:ind w:left="115"/>
              <w:jc w:val="both"/>
              <w:rPr>
                <w:spacing w:val="-2"/>
              </w:rPr>
            </w:pPr>
            <w:r>
              <w:rPr>
                <w:sz w:val="20"/>
              </w:rPr>
              <w:t>3</w:t>
            </w:r>
          </w:p>
        </w:tc>
        <w:tc>
          <w:tcPr>
            <w:tcW w:w="388" w:type="pct"/>
          </w:tcPr>
          <w:p w14:paraId="1C2C74B4" w14:textId="77777777" w:rsidR="00DD13BF" w:rsidRDefault="00DD13BF" w:rsidP="00355A56">
            <w:pPr>
              <w:pStyle w:val="TableParagraph"/>
              <w:ind w:left="115"/>
              <w:jc w:val="both"/>
            </w:pPr>
            <w:r>
              <w:rPr>
                <w:sz w:val="20"/>
              </w:rPr>
              <w:t xml:space="preserve">ERDF </w:t>
            </w:r>
          </w:p>
        </w:tc>
        <w:tc>
          <w:tcPr>
            <w:tcW w:w="1031" w:type="pct"/>
          </w:tcPr>
          <w:p w14:paraId="7085D62F" w14:textId="77777777" w:rsidR="00DD13BF" w:rsidRDefault="00DD13BF" w:rsidP="00355A56">
            <w:pPr>
              <w:pStyle w:val="TableParagraph"/>
              <w:ind w:left="115"/>
              <w:jc w:val="both"/>
              <w:rPr>
                <w:spacing w:val="-3"/>
              </w:rPr>
            </w:pPr>
            <w:r>
              <w:rPr>
                <w:sz w:val="20"/>
              </w:rPr>
              <w:t>Less developed</w:t>
            </w:r>
          </w:p>
        </w:tc>
        <w:tc>
          <w:tcPr>
            <w:tcW w:w="1292" w:type="pct"/>
          </w:tcPr>
          <w:p w14:paraId="5976BD23" w14:textId="77777777" w:rsidR="00DD13BF" w:rsidRDefault="00DD13BF" w:rsidP="00355A56">
            <w:pPr>
              <w:pStyle w:val="TableParagraph"/>
              <w:ind w:left="115"/>
              <w:jc w:val="both"/>
              <w:rPr>
                <w:spacing w:val="-4"/>
              </w:rPr>
            </w:pPr>
            <w:r>
              <w:rPr>
                <w:color w:val="000000"/>
                <w:sz w:val="20"/>
              </w:rPr>
              <w:t>RSO2.4</w:t>
            </w:r>
          </w:p>
        </w:tc>
        <w:tc>
          <w:tcPr>
            <w:tcW w:w="484" w:type="pct"/>
          </w:tcPr>
          <w:p w14:paraId="3B42CF7E" w14:textId="77777777" w:rsidR="00DD13BF" w:rsidRDefault="00DD13BF" w:rsidP="00355A56">
            <w:pPr>
              <w:pStyle w:val="TableParagraph"/>
              <w:ind w:left="115"/>
              <w:jc w:val="both"/>
            </w:pPr>
            <w:r>
              <w:rPr>
                <w:sz w:val="20"/>
              </w:rPr>
              <w:t>03</w:t>
            </w:r>
          </w:p>
        </w:tc>
        <w:tc>
          <w:tcPr>
            <w:tcW w:w="1041" w:type="pct"/>
          </w:tcPr>
          <w:p w14:paraId="0D1EDE35" w14:textId="77777777" w:rsidR="00DD13BF" w:rsidRDefault="00DD13BF" w:rsidP="00355A56">
            <w:pPr>
              <w:pStyle w:val="TableParagraph"/>
              <w:ind w:left="115" w:hanging="115"/>
              <w:jc w:val="both"/>
            </w:pPr>
            <w:r>
              <w:rPr>
                <w:sz w:val="20"/>
              </w:rPr>
              <w:t>109,313,122</w:t>
            </w:r>
          </w:p>
        </w:tc>
      </w:tr>
    </w:tbl>
    <w:p w14:paraId="3B2E3917" w14:textId="77777777" w:rsidR="00DD13BF" w:rsidRPr="00427C8E" w:rsidRDefault="00DD13BF" w:rsidP="00DD13BF">
      <w:pPr>
        <w:tabs>
          <w:tab w:val="left" w:pos="426"/>
        </w:tabs>
        <w:ind w:left="284"/>
        <w:rPr>
          <w:sz w:val="16"/>
          <w:szCs w:val="16"/>
        </w:rPr>
        <w:sectPr w:rsidR="00DD13BF" w:rsidRPr="00427C8E" w:rsidSect="00FC3010">
          <w:headerReference w:type="default" r:id="rId47"/>
          <w:footerReference w:type="first" r:id="rId48"/>
          <w:type w:val="continuous"/>
          <w:pgSz w:w="16840" w:h="11910" w:orient="landscape"/>
          <w:pgMar w:top="1417" w:right="1417" w:bottom="1417" w:left="1417" w:header="708" w:footer="708" w:gutter="0"/>
          <w:cols w:space="708"/>
        </w:sect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7750F068" w14:textId="77777777" w:rsidR="00DD13BF" w:rsidRDefault="00DD13BF" w:rsidP="00DD13BF">
      <w:pPr>
        <w:sectPr w:rsidR="00DD13BF" w:rsidSect="00FC3010">
          <w:headerReference w:type="default" r:id="rId49"/>
          <w:footerReference w:type="first" r:id="rId50"/>
          <w:type w:val="continuous"/>
          <w:pgSz w:w="16840" w:h="11910" w:orient="landscape"/>
          <w:pgMar w:top="1417" w:right="1417" w:bottom="1417" w:left="1417" w:header="708" w:footer="708" w:gutter="0"/>
          <w:cols w:space="708"/>
        </w:sectPr>
      </w:pPr>
    </w:p>
    <w:p w14:paraId="7723C9CD" w14:textId="77777777" w:rsidR="00DD13BF" w:rsidRPr="00BD3536" w:rsidRDefault="00DD13BF" w:rsidP="00DD13BF">
      <w:pPr>
        <w:pStyle w:val="Naslov4"/>
        <w:ind w:left="1134"/>
      </w:pPr>
      <w:bookmarkStart w:id="29" w:name="_Toc131161708"/>
      <w:r>
        <w:t>Specific objective RSO2.5. Promoting access to water and sustainable water management (ERDF) (Cohesion Fund)</w:t>
      </w:r>
      <w:bookmarkEnd w:id="29"/>
    </w:p>
    <w:p w14:paraId="3301BFC6" w14:textId="77777777" w:rsidR="00DD13BF" w:rsidRDefault="00DD13BF" w:rsidP="00DD13BF">
      <w:pPr>
        <w:rPr>
          <w:sz w:val="30"/>
        </w:rPr>
      </w:pPr>
    </w:p>
    <w:p w14:paraId="6526E3F9" w14:textId="77777777" w:rsidR="00DD13BF" w:rsidRPr="00C10464" w:rsidRDefault="00DD13BF" w:rsidP="00DD13BF">
      <w:pPr>
        <w:pStyle w:val="Naslov5"/>
        <w:spacing w:before="0"/>
      </w:pPr>
      <w:r>
        <w:lastRenderedPageBreak/>
        <w:t>Interventions of the Funds</w:t>
      </w:r>
    </w:p>
    <w:p w14:paraId="2004A784" w14:textId="77777777" w:rsidR="00DD13BF" w:rsidRDefault="00DD13BF" w:rsidP="00DD13BF">
      <w:pPr>
        <w:rPr>
          <w:sz w:val="30"/>
        </w:rPr>
      </w:pPr>
    </w:p>
    <w:p w14:paraId="6D9B478B" w14:textId="77777777" w:rsidR="00DD13BF" w:rsidRDefault="00DD13BF" w:rsidP="00DD13BF">
      <w:pPr>
        <w:ind w:left="1349"/>
        <w:rPr>
          <w:spacing w:val="-2"/>
        </w:rPr>
      </w:pPr>
      <w:r>
        <w:t>Related types of actions:</w:t>
      </w:r>
    </w:p>
    <w:p w14:paraId="7914A278"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2D7F32AD" w14:textId="77777777" w:rsidTr="00355A56">
        <w:trPr>
          <w:trHeight w:val="316"/>
        </w:trPr>
        <w:tc>
          <w:tcPr>
            <w:tcW w:w="12758" w:type="dxa"/>
          </w:tcPr>
          <w:p w14:paraId="27A9C2EA" w14:textId="77777777" w:rsidR="00DD13BF" w:rsidRDefault="00DD13BF" w:rsidP="00355A56">
            <w:pPr>
              <w:jc w:val="both"/>
              <w:rPr>
                <w:rFonts w:cstheme="minorHAnsi"/>
              </w:rPr>
            </w:pPr>
            <w:r>
              <w:t>In the field of ​​access to water and sustainable water management, the objective is to improve the quality of public services in the field of drinking water supply, and the discharge and treatment of waste water, and meet the requirements of European directives; therefore, we will prioritise the construction of the missing waste water discharge and treatment infrastructure, and of a suitable drinking water supply infrastructure. The planned measures include:</w:t>
            </w:r>
          </w:p>
          <w:p w14:paraId="36A76572" w14:textId="77777777" w:rsidR="00DD13BF" w:rsidRDefault="00DD13BF" w:rsidP="00355A56">
            <w:pPr>
              <w:jc w:val="both"/>
              <w:rPr>
                <w:rFonts w:cstheme="minorHAnsi"/>
              </w:rPr>
            </w:pPr>
          </w:p>
          <w:p w14:paraId="4EEBA978" w14:textId="77777777" w:rsidR="00DD13BF" w:rsidRPr="00475EE4" w:rsidRDefault="00DD13BF" w:rsidP="00DD13BF">
            <w:pPr>
              <w:pStyle w:val="Odstavekseznama"/>
              <w:widowControl/>
              <w:numPr>
                <w:ilvl w:val="0"/>
                <w:numId w:val="23"/>
              </w:numPr>
              <w:autoSpaceDE/>
              <w:autoSpaceDN/>
              <w:jc w:val="both"/>
              <w:rPr>
                <w:rFonts w:asciiTheme="minorHAnsi" w:hAnsiTheme="minorHAnsi"/>
              </w:rPr>
            </w:pPr>
            <w:r>
              <w:rPr>
                <w:rFonts w:ascii="Times New Roman" w:hAnsi="Times New Roman"/>
                <w:i/>
              </w:rPr>
              <w:t xml:space="preserve">Eliminating inconsistencies in agglomerations with a total load equal to, or greater than, 2,000 PE </w:t>
            </w:r>
            <w:r>
              <w:rPr>
                <w:rFonts w:ascii="Times New Roman" w:hAnsi="Times New Roman"/>
              </w:rPr>
              <w:t>in accordance with the Urban Waste Water Treatment Directive (91/271/EEC) for the field of waste water discharge and treatment: Agglomerations that do not meet the requirements of the said directive are to be equipped in accordance with the Operational Programme for the discharge and treatment of municipal waste water adopted by the Government on 17 September 2020</w:t>
            </w:r>
            <w:r>
              <w:rPr>
                <w:rStyle w:val="Sprotnaopomba-sklic"/>
                <w:rFonts w:ascii="Times New Roman" w:hAnsi="Times New Roman" w:cs="Times New Roman"/>
              </w:rPr>
              <w:footnoteReference w:id="150"/>
            </w:r>
            <w:r>
              <w:rPr>
                <w:rFonts w:ascii="Times New Roman" w:hAnsi="Times New Roman"/>
              </w:rPr>
              <w:t>. The Operational Programme applies to the entire territory of the Republic of Slovenia and is one of the key implementing acts for attaining objectives in the field of water protection against pollution by the discharge of urban waste water. As part of the measure, the 2021–2027 European Cohesion Policy funds will be allocated to the construction and renovation of the missing infrastructure for the discharge and treatment of urban waste water in agglomerations with a total load equal to, or greater than, 2,000 PE. Further investments will be made from the 2014–2020 European Cohesion Policy and the needs of local communities will be taken into account as the measures will be implemented with the regional development approach. The measures will complement the measures within the RRP, whereby the financing scheme will be primarily aimed at providing funds for equipping agglomerations whose total load is less than 2,000 PE and which were not entitled to co-financing from cohesion funds; nevertheless, in the national legislation in accordance with the Decree on the discharge and treatment of urban wastewater and the Operational Programme for the discharge and treatment of municipal waste water, they constitute a significant part of the public service infrastructure intended for the provision of discharge and treatment services and are prescribed to be equipped with public sewage.</w:t>
            </w:r>
          </w:p>
          <w:p w14:paraId="41D13F61" w14:textId="77777777" w:rsidR="00DD13BF" w:rsidRPr="00BD0F99" w:rsidRDefault="00DD13BF" w:rsidP="00355A56">
            <w:pPr>
              <w:pStyle w:val="Odstavekseznama"/>
              <w:ind w:left="775"/>
              <w:jc w:val="both"/>
              <w:rPr>
                <w:rFonts w:ascii="Times New Roman" w:hAnsi="Times New Roman" w:cs="Times New Roman"/>
              </w:rPr>
            </w:pPr>
            <w:r>
              <w:rPr>
                <w:rFonts w:ascii="Times New Roman" w:hAnsi="Times New Roman"/>
              </w:rPr>
              <w:t xml:space="preserve">  </w:t>
            </w:r>
          </w:p>
          <w:p w14:paraId="13793D77" w14:textId="77777777" w:rsidR="00DD13BF" w:rsidRPr="00F329E7" w:rsidRDefault="00DD13BF" w:rsidP="00DD13BF">
            <w:pPr>
              <w:pStyle w:val="Odstavekseznama"/>
              <w:widowControl/>
              <w:numPr>
                <w:ilvl w:val="0"/>
                <w:numId w:val="23"/>
              </w:numPr>
              <w:autoSpaceDE/>
              <w:autoSpaceDN/>
              <w:jc w:val="both"/>
              <w:rPr>
                <w:rFonts w:ascii="Times New Roman" w:hAnsi="Times New Roman" w:cs="Times New Roman"/>
              </w:rPr>
            </w:pPr>
            <w:r>
              <w:rPr>
                <w:rFonts w:ascii="Times New Roman" w:hAnsi="Times New Roman"/>
                <w:i/>
                <w:iCs/>
              </w:rPr>
              <w:t>Promoting sustainable water management by regulating water supply systems for over 10,000 inhabitants</w:t>
            </w:r>
            <w:r>
              <w:rPr>
                <w:rFonts w:ascii="Times New Roman" w:hAnsi="Times New Roman"/>
              </w:rPr>
              <w:t xml:space="preserve">: Funds will be allocated to address the key areas of drinking water supply identified within the Operational Programme for drinking water supply for the 2022–2027 period. Due to unsecured backup drinking water reservoirs and certain drinking water reservoirs for the systems of public water supply, their provision will be addressed where the problem is most pressing, particularly in the area of ​​Slovenian Istria and the outskirts of the Karst. Due to lack of backup drinking water reservoirs and certain drinking water reservoirs for the systems of public water supply, the drinking water supply is unreliable, which is exhibited in insufficient quantities, poor quality and health inadequacy of drinking water, and as high deviations in the demand for drinking water of more than 30% during drought and seasonal fluctuations. </w:t>
            </w:r>
            <w:r>
              <w:rPr>
                <w:rFonts w:ascii="Times New Roman" w:hAnsi="Times New Roman"/>
              </w:rPr>
              <w:lastRenderedPageBreak/>
              <w:t>In addition, the focus will be on solving the problem of water losses and the age of water supply systems. The systematic renovation of pipelines is crucial for reducing water losses, which, due to the age and inadequacy of the materials, require the costly elimination of defects, repairs and renovation of the infrastructure. Throughout the country, measures (within the ECP Programme or complementary) will be promoted to reduce the consumption of drinking water using various approaches, such as the use of economical and efficient devices, the capture and use of rain and waste water, and the reuse of grey water, with the aim of using water more efficiently. As part of the RRP, the financing scheme will be primarily intended to providing funds for investments in water supply systems which provide water to less than 10,000 residents.</w:t>
            </w:r>
          </w:p>
          <w:p w14:paraId="2D37ADD0" w14:textId="77777777" w:rsidR="00DD13BF" w:rsidRDefault="00DD13BF" w:rsidP="00355A56">
            <w:pPr>
              <w:jc w:val="both"/>
            </w:pPr>
          </w:p>
          <w:p w14:paraId="4C13C526" w14:textId="77777777" w:rsidR="00DD13BF" w:rsidRPr="000F0D79" w:rsidRDefault="00DD13BF" w:rsidP="00355A56">
            <w:pPr>
              <w:jc w:val="both"/>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By its nature, none of the measures foreseen under this specific objective has a significant adverse impact on any of the six environmental objectives, taking into account the technical screening criteria listed in annex DNSH.</w:t>
            </w:r>
          </w:p>
        </w:tc>
      </w:tr>
    </w:tbl>
    <w:p w14:paraId="03C7D198" w14:textId="77777777" w:rsidR="00DD13BF" w:rsidRDefault="00DD13BF" w:rsidP="00DD13BF">
      <w:pPr>
        <w:ind w:left="1349"/>
        <w:rPr>
          <w:spacing w:val="-6"/>
        </w:rPr>
      </w:pPr>
    </w:p>
    <w:p w14:paraId="23C07748" w14:textId="77777777" w:rsidR="00DD13BF" w:rsidRDefault="00DD13BF" w:rsidP="00DD13BF">
      <w:pPr>
        <w:ind w:left="1349"/>
      </w:pPr>
      <w:r>
        <w:t>Main target groups:</w:t>
      </w:r>
    </w:p>
    <w:p w14:paraId="29ACCE70"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2B50955" w14:textId="77777777" w:rsidTr="00355A56">
        <w:tc>
          <w:tcPr>
            <w:tcW w:w="12763" w:type="dxa"/>
          </w:tcPr>
          <w:p w14:paraId="65786AE3" w14:textId="77777777" w:rsidR="00DD13BF" w:rsidRDefault="00DD13BF" w:rsidP="00355A56">
            <w:pPr>
              <w:jc w:val="both"/>
              <w:rPr>
                <w:rFonts w:cstheme="minorHAnsi"/>
              </w:rPr>
            </w:pPr>
            <w:r>
              <w:t>Target groups: end users of services (residents).</w:t>
            </w:r>
          </w:p>
          <w:p w14:paraId="57A97C40" w14:textId="77777777" w:rsidR="00DD13BF" w:rsidRDefault="00DD13BF" w:rsidP="00355A56">
            <w:pPr>
              <w:jc w:val="both"/>
              <w:rPr>
                <w:rFonts w:cstheme="minorHAnsi"/>
              </w:rPr>
            </w:pPr>
          </w:p>
          <w:p w14:paraId="1C1091C6" w14:textId="77777777" w:rsidR="00DD13BF" w:rsidRPr="00B3569A" w:rsidRDefault="00DD13BF" w:rsidP="00355A56">
            <w:pPr>
              <w:jc w:val="both"/>
              <w:rPr>
                <w:rFonts w:cstheme="minorHAnsi"/>
              </w:rPr>
            </w:pPr>
            <w:r>
              <w:t>Beneficiaries: local communities, environmental protection public utilities, ministries, public institutes in the field of environment and water management.</w:t>
            </w:r>
          </w:p>
        </w:tc>
      </w:tr>
    </w:tbl>
    <w:p w14:paraId="3633E8C2" w14:textId="77777777" w:rsidR="00DD13BF" w:rsidRPr="006B7178" w:rsidRDefault="00DD13BF" w:rsidP="00DD13BF">
      <w:pPr>
        <w:ind w:left="1349"/>
      </w:pPr>
    </w:p>
    <w:p w14:paraId="00751D04" w14:textId="77777777" w:rsidR="00DD13BF" w:rsidRDefault="00DD13BF" w:rsidP="00DD13BF">
      <w:pPr>
        <w:ind w:left="1349"/>
        <w:rPr>
          <w:spacing w:val="-2"/>
        </w:rPr>
      </w:pPr>
      <w:r>
        <w:t>Measures to protect equality, inclusion and non-discrimination:</w:t>
      </w:r>
    </w:p>
    <w:p w14:paraId="27E6E152"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2755863E" w14:textId="77777777" w:rsidTr="00355A56">
        <w:tc>
          <w:tcPr>
            <w:tcW w:w="12715" w:type="dxa"/>
          </w:tcPr>
          <w:p w14:paraId="5F5EC97A" w14:textId="77777777" w:rsidR="00DD13BF" w:rsidRDefault="00DD13BF" w:rsidP="00355A56">
            <w:pPr>
              <w:jc w:val="both"/>
              <w:rPr>
                <w:rFonts w:eastAsia="Arial"/>
                <w:color w:val="000000"/>
              </w:rPr>
            </w:pPr>
            <w:r>
              <w:t>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w:t>
            </w:r>
            <w:r>
              <w:rPr>
                <w:color w:val="000000"/>
              </w:rPr>
              <w:t xml:space="preserve">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w:t>
            </w:r>
            <w:r>
              <w:rPr>
                <w:color w:val="000000"/>
              </w:rPr>
              <w:lastRenderedPageBreak/>
              <w:t xml:space="preserve">discrepancies at least once a year. </w:t>
            </w:r>
          </w:p>
          <w:p w14:paraId="5264259F" w14:textId="77777777" w:rsidR="00DD13BF" w:rsidRDefault="00DD13BF" w:rsidP="00355A56">
            <w:pPr>
              <w:jc w:val="both"/>
              <w:rPr>
                <w:rFonts w:eastAsia="Arial"/>
                <w:color w:val="000000"/>
              </w:rPr>
            </w:pPr>
          </w:p>
          <w:p w14:paraId="67043441" w14:textId="77777777" w:rsidR="00DD13BF" w:rsidRPr="00B3569A" w:rsidRDefault="00DD13BF" w:rsidP="00355A56">
            <w:pPr>
              <w:jc w:val="both"/>
              <w:rPr>
                <w:rFonts w:cstheme="minorHAnsi"/>
              </w:rPr>
            </w:pPr>
            <w:r>
              <w:rPr>
                <w:color w:val="000000"/>
              </w:rPr>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170BD031" w14:textId="77777777" w:rsidR="00DD13BF" w:rsidRDefault="00DD13BF" w:rsidP="00DD13BF">
      <w:pPr>
        <w:rPr>
          <w:sz w:val="20"/>
        </w:rPr>
      </w:pPr>
    </w:p>
    <w:p w14:paraId="3B3EAF35" w14:textId="77777777" w:rsidR="00DD13BF" w:rsidRDefault="00DD13BF" w:rsidP="00DD13BF">
      <w:pPr>
        <w:ind w:left="1415"/>
        <w:rPr>
          <w:spacing w:val="-4"/>
        </w:rPr>
      </w:pPr>
      <w:r>
        <w:t>Indication of the specific territories targeted, including the planned use of territorial tools:</w:t>
      </w:r>
    </w:p>
    <w:p w14:paraId="6ED46210"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24861200" w14:textId="77777777" w:rsidTr="00355A56">
        <w:tc>
          <w:tcPr>
            <w:tcW w:w="12763" w:type="dxa"/>
          </w:tcPr>
          <w:p w14:paraId="64C2E989" w14:textId="77777777" w:rsidR="00DD13BF" w:rsidRPr="00B3569A" w:rsidRDefault="00DD13BF" w:rsidP="00355A56">
            <w:pPr>
              <w:jc w:val="both"/>
              <w:rPr>
                <w:rFonts w:cstheme="minorHAnsi"/>
              </w:rPr>
            </w:pPr>
            <w:r>
              <w:t>Under this specific objective, addressing the regional development approach in accordance with territorial strategies (RDP) is planned for measures in the fields of waste water discharge and treatment and drinking water supply. In the first phase, the selection of operations includes decision-makers and representatives of the regions (within the councils of the regions).</w:t>
            </w:r>
          </w:p>
        </w:tc>
      </w:tr>
    </w:tbl>
    <w:p w14:paraId="466D4CB0" w14:textId="77777777" w:rsidR="00DD13BF" w:rsidRDefault="00DD13BF" w:rsidP="00DD13BF">
      <w:pPr>
        <w:rPr>
          <w:sz w:val="18"/>
        </w:rPr>
      </w:pPr>
    </w:p>
    <w:p w14:paraId="6A23C8BD" w14:textId="77777777" w:rsidR="00DD13BF" w:rsidRDefault="00DD13BF" w:rsidP="00DD13BF">
      <w:pPr>
        <w:ind w:left="1415"/>
      </w:pPr>
      <w:r>
        <w:t>The interregional, cross-border and transnational actions:</w:t>
      </w:r>
    </w:p>
    <w:p w14:paraId="79D8DB77"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10A5D48" w14:textId="77777777" w:rsidTr="00355A56">
        <w:tc>
          <w:tcPr>
            <w:tcW w:w="12763" w:type="dxa"/>
          </w:tcPr>
          <w:p w14:paraId="0F685826" w14:textId="77777777" w:rsidR="00DD13BF" w:rsidRPr="00B3569A" w:rsidRDefault="00DD13BF" w:rsidP="00355A56">
            <w:pPr>
              <w:jc w:val="both"/>
              <w:rPr>
                <w:rFonts w:cstheme="minorHAnsi"/>
              </w:rPr>
            </w:pPr>
            <w:r>
              <w:t>The measures will contribute to the implementation of all three macro-regional strategies in which Slovenia participates, i.e. to the attainment of the objectives of Priority Area 4 “Restoring and preserving water quality” within Pillar 2 of the EU Strategy for the Danube Region (EUSDR), the “Reinforcing Alpine natural and cultural resources as assets of a high quality living area” Priority as part of the third objective “Ensuring sustainability in the Alps: preserving the Alpine heritage and promoting a sustainable use of natural and cultural resources” of the EU Strategy for the Alpine Region (EUSALP) and Pillar 3 of the EU Strategy for the Adriatic-Ionian Region (EUSAIR) “Environmental quality”. The implementation of interregional, cross-border and transnational actions under this specific objective is not foreseen, as it concerns measures of investment in public infrastructure systems in the territory of the Republic of Slovenia, which are primarily intended for the residents of Slovenia.</w:t>
            </w:r>
          </w:p>
        </w:tc>
      </w:tr>
    </w:tbl>
    <w:p w14:paraId="75A964D3" w14:textId="77777777" w:rsidR="00DD13BF" w:rsidRDefault="00DD13BF" w:rsidP="00DD13BF">
      <w:pPr>
        <w:rPr>
          <w:sz w:val="17"/>
        </w:rPr>
      </w:pPr>
    </w:p>
    <w:p w14:paraId="7E8DF267" w14:textId="77777777" w:rsidR="00DD13BF" w:rsidRDefault="00DD13BF" w:rsidP="00DD13BF">
      <w:pPr>
        <w:ind w:left="1415"/>
        <w:rPr>
          <w:spacing w:val="-3"/>
        </w:rPr>
      </w:pPr>
      <w:r>
        <w:t>Planned use of financial instruments:</w:t>
      </w:r>
    </w:p>
    <w:p w14:paraId="26994E15"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7DAE7A6B" w14:textId="77777777" w:rsidTr="00355A56">
        <w:tc>
          <w:tcPr>
            <w:tcW w:w="12758" w:type="dxa"/>
          </w:tcPr>
          <w:p w14:paraId="62554E6C" w14:textId="77777777" w:rsidR="00DD13BF" w:rsidRPr="00B3569A" w:rsidRDefault="00DD13BF" w:rsidP="00355A56">
            <w:pPr>
              <w:jc w:val="both"/>
              <w:rPr>
                <w:rFonts w:cstheme="minorHAnsi"/>
              </w:rPr>
            </w:pPr>
            <w:r>
              <w:t xml:space="preserve">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Despite the fact that the planned measures generate revenue, the use of grants is foreseen, since the revenues do not suffice to cover the estimated investment inputs of local communities required to upgrade the public service infrastructure and equip the areas. </w:t>
            </w:r>
          </w:p>
        </w:tc>
      </w:tr>
    </w:tbl>
    <w:p w14:paraId="299B5E5F" w14:textId="77777777" w:rsidR="00DD13BF" w:rsidRDefault="00DD13BF" w:rsidP="00DD13BF">
      <w:pPr>
        <w:rPr>
          <w:sz w:val="20"/>
        </w:rPr>
      </w:pPr>
    </w:p>
    <w:p w14:paraId="488033F5" w14:textId="77777777" w:rsidR="00DD13BF" w:rsidRDefault="00DD13BF" w:rsidP="00DD13BF">
      <w:pPr>
        <w:rPr>
          <w:sz w:val="20"/>
        </w:rPr>
      </w:pPr>
    </w:p>
    <w:p w14:paraId="795628D9" w14:textId="77777777" w:rsidR="00DD13BF" w:rsidRDefault="00DD13BF" w:rsidP="00DD13BF">
      <w:pPr>
        <w:pStyle w:val="Naslov5"/>
        <w:spacing w:before="0"/>
      </w:pPr>
      <w:r>
        <w:t>Indicators</w:t>
      </w:r>
    </w:p>
    <w:p w14:paraId="796A0DC8" w14:textId="77777777" w:rsidR="00DD13BF" w:rsidRDefault="00DD13BF" w:rsidP="00DD13BF"/>
    <w:p w14:paraId="749FA2B8" w14:textId="77777777" w:rsidR="00DD13BF" w:rsidRDefault="00DD13BF" w:rsidP="00DD13BF">
      <w:pPr>
        <w:ind w:left="379"/>
      </w:pPr>
      <w:r>
        <w:t>Table 2: Impact indicators</w:t>
      </w:r>
    </w:p>
    <w:p w14:paraId="2B3270CB" w14:textId="77777777" w:rsidR="00DD13BF" w:rsidRDefault="00DD13BF" w:rsidP="00DD13BF">
      <w:pPr>
        <w:rPr>
          <w:sz w:val="21"/>
        </w:rPr>
      </w:pPr>
    </w:p>
    <w:tbl>
      <w:tblPr>
        <w:tblStyle w:val="NormalTable0"/>
        <w:tblW w:w="13741"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276"/>
        <w:gridCol w:w="708"/>
        <w:gridCol w:w="1701"/>
        <w:gridCol w:w="778"/>
        <w:gridCol w:w="4325"/>
        <w:gridCol w:w="1276"/>
        <w:gridCol w:w="1418"/>
        <w:gridCol w:w="1134"/>
      </w:tblGrid>
      <w:tr w:rsidR="00DD13BF" w14:paraId="10D7978B" w14:textId="77777777" w:rsidTr="00355A56">
        <w:trPr>
          <w:trHeight w:val="254"/>
        </w:trPr>
        <w:tc>
          <w:tcPr>
            <w:tcW w:w="1125" w:type="dxa"/>
            <w:vAlign w:val="center"/>
          </w:tcPr>
          <w:p w14:paraId="491DF0A4" w14:textId="77777777" w:rsidR="00DD13BF" w:rsidRDefault="00DD13BF" w:rsidP="00355A56">
            <w:pPr>
              <w:pStyle w:val="TableParagraph"/>
              <w:ind w:right="82"/>
            </w:pPr>
            <w:r>
              <w:t>Priority</w:t>
            </w:r>
          </w:p>
        </w:tc>
        <w:tc>
          <w:tcPr>
            <w:tcW w:w="1276" w:type="dxa"/>
            <w:vAlign w:val="center"/>
          </w:tcPr>
          <w:p w14:paraId="1CA595B4" w14:textId="77777777" w:rsidR="00DD13BF" w:rsidRDefault="00DD13BF" w:rsidP="00355A56">
            <w:pPr>
              <w:pStyle w:val="TableParagraph"/>
            </w:pPr>
            <w:r>
              <w:t>Specific objective</w:t>
            </w:r>
          </w:p>
        </w:tc>
        <w:tc>
          <w:tcPr>
            <w:tcW w:w="708" w:type="dxa"/>
            <w:vAlign w:val="center"/>
          </w:tcPr>
          <w:p w14:paraId="176CD0DE" w14:textId="77777777" w:rsidR="00DD13BF" w:rsidRDefault="00DD13BF" w:rsidP="00355A56">
            <w:pPr>
              <w:pStyle w:val="TableParagraph"/>
            </w:pPr>
            <w:r>
              <w:t>Fund</w:t>
            </w:r>
          </w:p>
        </w:tc>
        <w:tc>
          <w:tcPr>
            <w:tcW w:w="1701" w:type="dxa"/>
            <w:vAlign w:val="center"/>
          </w:tcPr>
          <w:p w14:paraId="44958A26" w14:textId="77777777" w:rsidR="00DD13BF" w:rsidRDefault="00DD13BF" w:rsidP="00355A56">
            <w:pPr>
              <w:pStyle w:val="TableParagraph"/>
            </w:pPr>
            <w:r>
              <w:t>Category of region</w:t>
            </w:r>
          </w:p>
        </w:tc>
        <w:tc>
          <w:tcPr>
            <w:tcW w:w="778" w:type="dxa"/>
            <w:vAlign w:val="center"/>
          </w:tcPr>
          <w:p w14:paraId="37E1A1CE" w14:textId="77777777" w:rsidR="00DD13BF" w:rsidRPr="00347461" w:rsidRDefault="00DD13BF" w:rsidP="00355A56">
            <w:pPr>
              <w:pStyle w:val="TableParagraph"/>
              <w:rPr>
                <w:sz w:val="20"/>
              </w:rPr>
            </w:pPr>
            <w:r>
              <w:t>ID</w:t>
            </w:r>
          </w:p>
        </w:tc>
        <w:tc>
          <w:tcPr>
            <w:tcW w:w="4325" w:type="dxa"/>
            <w:vAlign w:val="center"/>
          </w:tcPr>
          <w:p w14:paraId="6609390B" w14:textId="77777777" w:rsidR="00DD13BF" w:rsidRPr="00347461" w:rsidRDefault="00DD13BF" w:rsidP="00355A56">
            <w:pPr>
              <w:pStyle w:val="TableParagraph"/>
              <w:rPr>
                <w:sz w:val="20"/>
              </w:rPr>
            </w:pPr>
            <w:r>
              <w:t>Indicators</w:t>
            </w:r>
          </w:p>
        </w:tc>
        <w:tc>
          <w:tcPr>
            <w:tcW w:w="1276" w:type="dxa"/>
            <w:vAlign w:val="center"/>
          </w:tcPr>
          <w:p w14:paraId="0ADE59B4" w14:textId="77777777" w:rsidR="00DD13BF" w:rsidRPr="00347461" w:rsidRDefault="00DD13BF" w:rsidP="00355A56">
            <w:pPr>
              <w:pStyle w:val="TableParagraph"/>
              <w:rPr>
                <w:sz w:val="20"/>
              </w:rPr>
            </w:pPr>
            <w:r>
              <w:t>Measurement unit</w:t>
            </w:r>
          </w:p>
        </w:tc>
        <w:tc>
          <w:tcPr>
            <w:tcW w:w="1418" w:type="dxa"/>
            <w:vAlign w:val="center"/>
          </w:tcPr>
          <w:p w14:paraId="0F2407CA" w14:textId="77777777" w:rsidR="00DD13BF" w:rsidRPr="00347461" w:rsidRDefault="00DD13BF" w:rsidP="00355A56">
            <w:pPr>
              <w:pStyle w:val="TableParagraph"/>
              <w:rPr>
                <w:sz w:val="20"/>
              </w:rPr>
            </w:pPr>
            <w:r>
              <w:t>Milestone (2014)</w:t>
            </w:r>
          </w:p>
        </w:tc>
        <w:tc>
          <w:tcPr>
            <w:tcW w:w="1134" w:type="dxa"/>
            <w:vAlign w:val="center"/>
          </w:tcPr>
          <w:p w14:paraId="744B891A" w14:textId="77777777" w:rsidR="00DD13BF" w:rsidRDefault="00DD13BF" w:rsidP="00355A56">
            <w:pPr>
              <w:pStyle w:val="TableParagraph"/>
            </w:pPr>
            <w:r>
              <w:t>Target (2029)</w:t>
            </w:r>
          </w:p>
        </w:tc>
      </w:tr>
      <w:tr w:rsidR="00DD13BF" w14:paraId="6795D261" w14:textId="77777777" w:rsidTr="00355A56">
        <w:trPr>
          <w:trHeight w:val="367"/>
        </w:trPr>
        <w:tc>
          <w:tcPr>
            <w:tcW w:w="1125" w:type="dxa"/>
          </w:tcPr>
          <w:p w14:paraId="39DD74F5" w14:textId="77777777" w:rsidR="00DD13BF" w:rsidRDefault="00DD13BF" w:rsidP="00355A56">
            <w:pPr>
              <w:pStyle w:val="TableParagraph"/>
              <w:rPr>
                <w:sz w:val="20"/>
              </w:rPr>
            </w:pPr>
            <w:r>
              <w:rPr>
                <w:sz w:val="20"/>
              </w:rPr>
              <w:lastRenderedPageBreak/>
              <w:t>3</w:t>
            </w:r>
          </w:p>
        </w:tc>
        <w:tc>
          <w:tcPr>
            <w:tcW w:w="1276" w:type="dxa"/>
          </w:tcPr>
          <w:p w14:paraId="7FDC9D16" w14:textId="77777777" w:rsidR="00DD13BF" w:rsidRDefault="00DD13BF" w:rsidP="00355A56">
            <w:pPr>
              <w:pStyle w:val="TableParagraph"/>
              <w:rPr>
                <w:sz w:val="20"/>
              </w:rPr>
            </w:pPr>
            <w:r>
              <w:rPr>
                <w:color w:val="000000"/>
                <w:sz w:val="20"/>
              </w:rPr>
              <w:t>RSO2.5</w:t>
            </w:r>
          </w:p>
        </w:tc>
        <w:tc>
          <w:tcPr>
            <w:tcW w:w="708" w:type="dxa"/>
          </w:tcPr>
          <w:p w14:paraId="4D835D23" w14:textId="77777777" w:rsidR="00DD13BF" w:rsidRPr="00C47928" w:rsidRDefault="00DD13BF" w:rsidP="00355A56">
            <w:pPr>
              <w:pStyle w:val="TableParagraph"/>
              <w:rPr>
                <w:color w:val="000000"/>
                <w:sz w:val="20"/>
              </w:rPr>
            </w:pPr>
            <w:r>
              <w:rPr>
                <w:color w:val="000000"/>
                <w:sz w:val="20"/>
              </w:rPr>
              <w:t>CF</w:t>
            </w:r>
          </w:p>
        </w:tc>
        <w:tc>
          <w:tcPr>
            <w:tcW w:w="1701" w:type="dxa"/>
          </w:tcPr>
          <w:p w14:paraId="4398E334" w14:textId="77777777" w:rsidR="00DD13BF" w:rsidRPr="00C47928" w:rsidRDefault="00DD13BF" w:rsidP="00355A56">
            <w:pPr>
              <w:pStyle w:val="TableParagraph"/>
              <w:rPr>
                <w:color w:val="000000"/>
                <w:sz w:val="20"/>
              </w:rPr>
            </w:pPr>
            <w:r>
              <w:rPr>
                <w:color w:val="000000"/>
                <w:sz w:val="20"/>
              </w:rPr>
              <w:t>Entire Slovenia</w:t>
            </w:r>
          </w:p>
        </w:tc>
        <w:tc>
          <w:tcPr>
            <w:tcW w:w="778" w:type="dxa"/>
          </w:tcPr>
          <w:p w14:paraId="5B511369" w14:textId="77777777" w:rsidR="00DD13BF" w:rsidRPr="00C47928" w:rsidRDefault="00DD13BF" w:rsidP="00355A56">
            <w:pPr>
              <w:pStyle w:val="TableParagraph"/>
              <w:rPr>
                <w:color w:val="000000"/>
                <w:sz w:val="20"/>
              </w:rPr>
            </w:pPr>
            <w:r>
              <w:rPr>
                <w:color w:val="000000"/>
              </w:rPr>
              <w:t xml:space="preserve">RCO30 </w:t>
            </w:r>
          </w:p>
        </w:tc>
        <w:tc>
          <w:tcPr>
            <w:tcW w:w="4325" w:type="dxa"/>
          </w:tcPr>
          <w:p w14:paraId="506294F6" w14:textId="77777777" w:rsidR="00DD13BF" w:rsidRDefault="00DD13BF" w:rsidP="00355A56">
            <w:pPr>
              <w:pStyle w:val="TableParagraph"/>
              <w:rPr>
                <w:color w:val="000000"/>
                <w:sz w:val="20"/>
              </w:rPr>
            </w:pPr>
            <w:r>
              <w:rPr>
                <w:color w:val="000000"/>
                <w:sz w:val="20"/>
              </w:rPr>
              <w:t>Length of new or upgraded pipes for the distribution systems of public water supply</w:t>
            </w:r>
          </w:p>
        </w:tc>
        <w:tc>
          <w:tcPr>
            <w:tcW w:w="1276" w:type="dxa"/>
          </w:tcPr>
          <w:p w14:paraId="70F977D5" w14:textId="77777777" w:rsidR="00DD13BF" w:rsidRPr="00C47928" w:rsidRDefault="00DD13BF" w:rsidP="00355A56">
            <w:pPr>
              <w:pStyle w:val="TableParagraph"/>
              <w:rPr>
                <w:color w:val="000000"/>
                <w:sz w:val="20"/>
              </w:rPr>
            </w:pPr>
            <w:r>
              <w:rPr>
                <w:color w:val="000000"/>
                <w:sz w:val="20"/>
              </w:rPr>
              <w:t>Km</w:t>
            </w:r>
          </w:p>
        </w:tc>
        <w:tc>
          <w:tcPr>
            <w:tcW w:w="1418" w:type="dxa"/>
          </w:tcPr>
          <w:p w14:paraId="2D7717BF" w14:textId="77777777" w:rsidR="00DD13BF" w:rsidRPr="00347461" w:rsidRDefault="00DD13BF" w:rsidP="00355A56">
            <w:pPr>
              <w:pStyle w:val="TableParagraph"/>
              <w:rPr>
                <w:sz w:val="20"/>
              </w:rPr>
            </w:pPr>
            <w:r>
              <w:rPr>
                <w:sz w:val="20"/>
              </w:rPr>
              <w:t>0</w:t>
            </w:r>
          </w:p>
        </w:tc>
        <w:tc>
          <w:tcPr>
            <w:tcW w:w="1134" w:type="dxa"/>
          </w:tcPr>
          <w:p w14:paraId="4CD6CD7B" w14:textId="77777777" w:rsidR="00DD13BF" w:rsidRDefault="00DD13BF" w:rsidP="00355A56">
            <w:pPr>
              <w:pStyle w:val="TableParagraph"/>
              <w:rPr>
                <w:sz w:val="20"/>
              </w:rPr>
            </w:pPr>
            <w:r>
              <w:rPr>
                <w:sz w:val="20"/>
              </w:rPr>
              <w:t>50</w:t>
            </w:r>
          </w:p>
        </w:tc>
      </w:tr>
      <w:tr w:rsidR="00DD13BF" w14:paraId="7F5331F9" w14:textId="77777777" w:rsidTr="00355A56">
        <w:trPr>
          <w:trHeight w:val="367"/>
        </w:trPr>
        <w:tc>
          <w:tcPr>
            <w:tcW w:w="1125" w:type="dxa"/>
          </w:tcPr>
          <w:p w14:paraId="79B4C640" w14:textId="77777777" w:rsidR="00DD13BF" w:rsidRDefault="00DD13BF" w:rsidP="00355A56">
            <w:pPr>
              <w:pStyle w:val="TableParagraph"/>
              <w:rPr>
                <w:sz w:val="20"/>
              </w:rPr>
            </w:pPr>
            <w:r>
              <w:rPr>
                <w:sz w:val="20"/>
              </w:rPr>
              <w:t>3</w:t>
            </w:r>
          </w:p>
        </w:tc>
        <w:tc>
          <w:tcPr>
            <w:tcW w:w="1276" w:type="dxa"/>
          </w:tcPr>
          <w:p w14:paraId="27267E7C" w14:textId="77777777" w:rsidR="00DD13BF" w:rsidRPr="00347461" w:rsidRDefault="00DD13BF" w:rsidP="00355A56">
            <w:pPr>
              <w:pStyle w:val="TableParagraph"/>
              <w:rPr>
                <w:sz w:val="20"/>
              </w:rPr>
            </w:pPr>
            <w:r>
              <w:rPr>
                <w:color w:val="000000"/>
                <w:sz w:val="20"/>
              </w:rPr>
              <w:t>RSO2.5</w:t>
            </w:r>
          </w:p>
        </w:tc>
        <w:tc>
          <w:tcPr>
            <w:tcW w:w="708" w:type="dxa"/>
          </w:tcPr>
          <w:p w14:paraId="0ACF30FE" w14:textId="77777777" w:rsidR="00DD13BF" w:rsidRPr="00C47928" w:rsidRDefault="00DD13BF" w:rsidP="00355A56">
            <w:pPr>
              <w:pStyle w:val="TableParagraph"/>
              <w:rPr>
                <w:sz w:val="20"/>
              </w:rPr>
            </w:pPr>
            <w:r>
              <w:rPr>
                <w:color w:val="000000"/>
                <w:sz w:val="20"/>
              </w:rPr>
              <w:t>ERDF</w:t>
            </w:r>
          </w:p>
        </w:tc>
        <w:tc>
          <w:tcPr>
            <w:tcW w:w="1701" w:type="dxa"/>
          </w:tcPr>
          <w:p w14:paraId="499740DD" w14:textId="77777777" w:rsidR="00DD13BF" w:rsidRPr="00C47928" w:rsidRDefault="00DD13BF" w:rsidP="00355A56">
            <w:pPr>
              <w:pStyle w:val="TableParagraph"/>
              <w:rPr>
                <w:color w:val="000000"/>
                <w:sz w:val="20"/>
              </w:rPr>
            </w:pPr>
            <w:r>
              <w:rPr>
                <w:color w:val="000000"/>
                <w:sz w:val="20"/>
              </w:rPr>
              <w:t>More developed</w:t>
            </w:r>
          </w:p>
          <w:p w14:paraId="4AA027CA" w14:textId="77777777" w:rsidR="00DD13BF" w:rsidRPr="00C47928" w:rsidRDefault="00DD13BF" w:rsidP="00355A56">
            <w:pPr>
              <w:pStyle w:val="TableParagraph"/>
              <w:rPr>
                <w:sz w:val="20"/>
              </w:rPr>
            </w:pPr>
          </w:p>
        </w:tc>
        <w:tc>
          <w:tcPr>
            <w:tcW w:w="778" w:type="dxa"/>
          </w:tcPr>
          <w:p w14:paraId="7D23517D" w14:textId="77777777" w:rsidR="00DD13BF" w:rsidRPr="00C47928" w:rsidRDefault="00DD13BF" w:rsidP="00355A56">
            <w:pPr>
              <w:pStyle w:val="TableParagraph"/>
              <w:rPr>
                <w:sz w:val="20"/>
              </w:rPr>
            </w:pPr>
            <w:r>
              <w:rPr>
                <w:color w:val="000000"/>
                <w:sz w:val="20"/>
              </w:rPr>
              <w:t>RCO31</w:t>
            </w:r>
          </w:p>
        </w:tc>
        <w:tc>
          <w:tcPr>
            <w:tcW w:w="4325" w:type="dxa"/>
          </w:tcPr>
          <w:p w14:paraId="4EFA11D5" w14:textId="77777777" w:rsidR="00DD13BF" w:rsidRPr="00C47928" w:rsidRDefault="00DD13BF" w:rsidP="00355A56">
            <w:pPr>
              <w:pStyle w:val="TableParagraph"/>
              <w:rPr>
                <w:sz w:val="20"/>
              </w:rPr>
            </w:pPr>
            <w:r>
              <w:rPr>
                <w:color w:val="000000"/>
                <w:sz w:val="20"/>
              </w:rPr>
              <w:t>Length of new or upgraded pipes for the public network for collection of waste water</w:t>
            </w:r>
          </w:p>
        </w:tc>
        <w:tc>
          <w:tcPr>
            <w:tcW w:w="1276" w:type="dxa"/>
          </w:tcPr>
          <w:p w14:paraId="6A8B0818" w14:textId="77777777" w:rsidR="00DD13BF" w:rsidRPr="00C47928" w:rsidRDefault="00DD13BF" w:rsidP="00355A56">
            <w:pPr>
              <w:pStyle w:val="TableParagraph"/>
              <w:rPr>
                <w:sz w:val="20"/>
              </w:rPr>
            </w:pPr>
            <w:r>
              <w:rPr>
                <w:color w:val="000000"/>
                <w:sz w:val="20"/>
              </w:rPr>
              <w:t>Km</w:t>
            </w:r>
          </w:p>
        </w:tc>
        <w:tc>
          <w:tcPr>
            <w:tcW w:w="1418" w:type="dxa"/>
          </w:tcPr>
          <w:p w14:paraId="72C27A40" w14:textId="77777777" w:rsidR="00DD13BF" w:rsidRPr="00347461" w:rsidRDefault="00DD13BF" w:rsidP="00355A56">
            <w:pPr>
              <w:pStyle w:val="TableParagraph"/>
              <w:rPr>
                <w:sz w:val="20"/>
              </w:rPr>
            </w:pPr>
            <w:r>
              <w:rPr>
                <w:sz w:val="20"/>
              </w:rPr>
              <w:t>0</w:t>
            </w:r>
          </w:p>
        </w:tc>
        <w:tc>
          <w:tcPr>
            <w:tcW w:w="1134" w:type="dxa"/>
          </w:tcPr>
          <w:p w14:paraId="29D8DAEB" w14:textId="77777777" w:rsidR="00DD13BF" w:rsidRDefault="00DD13BF" w:rsidP="00355A56">
            <w:pPr>
              <w:pStyle w:val="TableParagraph"/>
              <w:rPr>
                <w:sz w:val="20"/>
              </w:rPr>
            </w:pPr>
            <w:r>
              <w:rPr>
                <w:sz w:val="20"/>
              </w:rPr>
              <w:t>84</w:t>
            </w:r>
          </w:p>
        </w:tc>
      </w:tr>
      <w:tr w:rsidR="00DD13BF" w14:paraId="68842692" w14:textId="77777777" w:rsidTr="00355A56">
        <w:trPr>
          <w:trHeight w:val="367"/>
        </w:trPr>
        <w:tc>
          <w:tcPr>
            <w:tcW w:w="1125" w:type="dxa"/>
          </w:tcPr>
          <w:p w14:paraId="35B11E09" w14:textId="77777777" w:rsidR="00DD13BF" w:rsidRDefault="00DD13BF" w:rsidP="00355A56">
            <w:pPr>
              <w:rPr>
                <w:sz w:val="20"/>
              </w:rPr>
            </w:pPr>
            <w:r>
              <w:rPr>
                <w:sz w:val="20"/>
              </w:rPr>
              <w:t>3</w:t>
            </w:r>
          </w:p>
        </w:tc>
        <w:tc>
          <w:tcPr>
            <w:tcW w:w="1276" w:type="dxa"/>
          </w:tcPr>
          <w:p w14:paraId="66DA0D6B" w14:textId="77777777" w:rsidR="00DD13BF" w:rsidRDefault="00DD13BF" w:rsidP="00355A56">
            <w:pPr>
              <w:rPr>
                <w:sz w:val="20"/>
              </w:rPr>
            </w:pPr>
            <w:r>
              <w:rPr>
                <w:color w:val="000000"/>
                <w:sz w:val="20"/>
              </w:rPr>
              <w:t>RSO2.5</w:t>
            </w:r>
          </w:p>
        </w:tc>
        <w:tc>
          <w:tcPr>
            <w:tcW w:w="708" w:type="dxa"/>
          </w:tcPr>
          <w:p w14:paraId="5641AD04" w14:textId="77777777" w:rsidR="00DD13BF" w:rsidRDefault="00DD13BF" w:rsidP="00355A56">
            <w:pPr>
              <w:rPr>
                <w:color w:val="000000" w:themeColor="text1"/>
                <w:sz w:val="20"/>
              </w:rPr>
            </w:pPr>
            <w:r>
              <w:rPr>
                <w:color w:val="000000" w:themeColor="text1"/>
                <w:sz w:val="20"/>
              </w:rPr>
              <w:t>CF</w:t>
            </w:r>
          </w:p>
        </w:tc>
        <w:tc>
          <w:tcPr>
            <w:tcW w:w="1701" w:type="dxa"/>
          </w:tcPr>
          <w:p w14:paraId="309768EB" w14:textId="77777777" w:rsidR="00DD13BF" w:rsidRDefault="00DD13BF" w:rsidP="00355A56">
            <w:pPr>
              <w:pStyle w:val="TableParagraph"/>
              <w:rPr>
                <w:sz w:val="20"/>
              </w:rPr>
            </w:pPr>
            <w:r>
              <w:rPr>
                <w:color w:val="000000" w:themeColor="text1"/>
                <w:sz w:val="20"/>
              </w:rPr>
              <w:t>Entire Slovenia</w:t>
            </w:r>
          </w:p>
        </w:tc>
        <w:tc>
          <w:tcPr>
            <w:tcW w:w="778" w:type="dxa"/>
          </w:tcPr>
          <w:p w14:paraId="3BA0B984" w14:textId="77777777" w:rsidR="00DD13BF" w:rsidRDefault="00DD13BF" w:rsidP="00355A56">
            <w:pPr>
              <w:rPr>
                <w:color w:val="000000" w:themeColor="text1"/>
                <w:sz w:val="20"/>
              </w:rPr>
            </w:pPr>
            <w:r>
              <w:rPr>
                <w:color w:val="000000" w:themeColor="text1"/>
                <w:sz w:val="20"/>
              </w:rPr>
              <w:t>RCO31</w:t>
            </w:r>
          </w:p>
        </w:tc>
        <w:tc>
          <w:tcPr>
            <w:tcW w:w="4325" w:type="dxa"/>
          </w:tcPr>
          <w:p w14:paraId="1FF9D4FF" w14:textId="77777777" w:rsidR="00DD13BF" w:rsidRDefault="00DD13BF" w:rsidP="00355A56">
            <w:pPr>
              <w:pStyle w:val="TableParagraph"/>
              <w:rPr>
                <w:sz w:val="20"/>
              </w:rPr>
            </w:pPr>
            <w:r>
              <w:rPr>
                <w:color w:val="000000" w:themeColor="text1"/>
                <w:sz w:val="20"/>
              </w:rPr>
              <w:t>Length of new or upgraded pipes for the public network for collection of waste water</w:t>
            </w:r>
          </w:p>
        </w:tc>
        <w:tc>
          <w:tcPr>
            <w:tcW w:w="1276" w:type="dxa"/>
          </w:tcPr>
          <w:p w14:paraId="4E6CFE85" w14:textId="77777777" w:rsidR="00DD13BF" w:rsidRDefault="00DD13BF" w:rsidP="00355A56">
            <w:pPr>
              <w:rPr>
                <w:color w:val="000000" w:themeColor="text1"/>
                <w:sz w:val="20"/>
              </w:rPr>
            </w:pPr>
            <w:r>
              <w:rPr>
                <w:color w:val="000000" w:themeColor="text1"/>
                <w:sz w:val="20"/>
              </w:rPr>
              <w:t>Km</w:t>
            </w:r>
          </w:p>
        </w:tc>
        <w:tc>
          <w:tcPr>
            <w:tcW w:w="1418" w:type="dxa"/>
          </w:tcPr>
          <w:p w14:paraId="466D23E2" w14:textId="77777777" w:rsidR="00DD13BF" w:rsidRDefault="00DD13BF" w:rsidP="00355A56">
            <w:pPr>
              <w:rPr>
                <w:sz w:val="20"/>
              </w:rPr>
            </w:pPr>
            <w:r>
              <w:rPr>
                <w:sz w:val="20"/>
              </w:rPr>
              <w:t>0</w:t>
            </w:r>
          </w:p>
        </w:tc>
        <w:tc>
          <w:tcPr>
            <w:tcW w:w="1134" w:type="dxa"/>
          </w:tcPr>
          <w:p w14:paraId="640680B2" w14:textId="77777777" w:rsidR="00DD13BF" w:rsidRDefault="00DD13BF" w:rsidP="00355A56">
            <w:pPr>
              <w:rPr>
                <w:sz w:val="20"/>
              </w:rPr>
            </w:pPr>
            <w:r>
              <w:rPr>
                <w:sz w:val="20"/>
              </w:rPr>
              <w:t>154</w:t>
            </w:r>
          </w:p>
        </w:tc>
      </w:tr>
      <w:tr w:rsidR="00DD13BF" w14:paraId="7159AEFF" w14:textId="77777777" w:rsidTr="00355A56">
        <w:trPr>
          <w:trHeight w:val="367"/>
        </w:trPr>
        <w:tc>
          <w:tcPr>
            <w:tcW w:w="1125" w:type="dxa"/>
          </w:tcPr>
          <w:p w14:paraId="30C89D2F" w14:textId="77777777" w:rsidR="00DD13BF" w:rsidRDefault="00DD13BF" w:rsidP="00355A56">
            <w:pPr>
              <w:rPr>
                <w:sz w:val="20"/>
              </w:rPr>
            </w:pPr>
            <w:r>
              <w:rPr>
                <w:sz w:val="20"/>
              </w:rPr>
              <w:t>3</w:t>
            </w:r>
          </w:p>
        </w:tc>
        <w:tc>
          <w:tcPr>
            <w:tcW w:w="1276" w:type="dxa"/>
          </w:tcPr>
          <w:p w14:paraId="1B42EE5E" w14:textId="77777777" w:rsidR="00DD13BF" w:rsidRDefault="00DD13BF" w:rsidP="00355A56">
            <w:pPr>
              <w:rPr>
                <w:sz w:val="20"/>
              </w:rPr>
            </w:pPr>
            <w:r>
              <w:rPr>
                <w:color w:val="000000"/>
                <w:sz w:val="20"/>
              </w:rPr>
              <w:t>RSO2.5</w:t>
            </w:r>
          </w:p>
        </w:tc>
        <w:tc>
          <w:tcPr>
            <w:tcW w:w="708" w:type="dxa"/>
          </w:tcPr>
          <w:p w14:paraId="71BF3AE7" w14:textId="77777777" w:rsidR="00DD13BF" w:rsidRDefault="00DD13BF" w:rsidP="00355A56">
            <w:pPr>
              <w:rPr>
                <w:color w:val="000000" w:themeColor="text1"/>
                <w:sz w:val="20"/>
              </w:rPr>
            </w:pPr>
            <w:r>
              <w:rPr>
                <w:color w:val="000000" w:themeColor="text1"/>
                <w:sz w:val="20"/>
              </w:rPr>
              <w:t>ERDF</w:t>
            </w:r>
          </w:p>
        </w:tc>
        <w:tc>
          <w:tcPr>
            <w:tcW w:w="1701" w:type="dxa"/>
          </w:tcPr>
          <w:p w14:paraId="504396F2" w14:textId="77777777" w:rsidR="00DD13BF" w:rsidRDefault="00DD13BF" w:rsidP="00355A56">
            <w:pPr>
              <w:pStyle w:val="TableParagraph"/>
              <w:rPr>
                <w:color w:val="000000" w:themeColor="text1"/>
                <w:sz w:val="20"/>
              </w:rPr>
            </w:pPr>
            <w:r>
              <w:rPr>
                <w:color w:val="000000" w:themeColor="text1"/>
                <w:sz w:val="20"/>
              </w:rPr>
              <w:t>More developed</w:t>
            </w:r>
          </w:p>
          <w:p w14:paraId="4C029276" w14:textId="77777777" w:rsidR="00DD13BF" w:rsidRDefault="00DD13BF" w:rsidP="00355A56">
            <w:pPr>
              <w:rPr>
                <w:color w:val="000000" w:themeColor="text1"/>
                <w:sz w:val="20"/>
              </w:rPr>
            </w:pPr>
          </w:p>
        </w:tc>
        <w:tc>
          <w:tcPr>
            <w:tcW w:w="778" w:type="dxa"/>
          </w:tcPr>
          <w:p w14:paraId="19B99CD3" w14:textId="77777777" w:rsidR="00DD13BF" w:rsidRDefault="00DD13BF" w:rsidP="00355A56">
            <w:pPr>
              <w:rPr>
                <w:color w:val="000000" w:themeColor="text1"/>
                <w:sz w:val="20"/>
              </w:rPr>
            </w:pPr>
            <w:r>
              <w:rPr>
                <w:color w:val="000000" w:themeColor="text1"/>
                <w:sz w:val="20"/>
              </w:rPr>
              <w:t>RCO32</w:t>
            </w:r>
          </w:p>
        </w:tc>
        <w:tc>
          <w:tcPr>
            <w:tcW w:w="4325" w:type="dxa"/>
          </w:tcPr>
          <w:p w14:paraId="00C209F9" w14:textId="77777777" w:rsidR="00DD13BF" w:rsidRDefault="00DD13BF" w:rsidP="00355A56">
            <w:pPr>
              <w:pStyle w:val="TableParagraph"/>
              <w:rPr>
                <w:sz w:val="20"/>
              </w:rPr>
            </w:pPr>
            <w:r>
              <w:rPr>
                <w:color w:val="000000" w:themeColor="text1"/>
                <w:sz w:val="20"/>
              </w:rPr>
              <w:t>New or upgraded capacity for waste water treatment</w:t>
            </w:r>
          </w:p>
          <w:p w14:paraId="2F05353A" w14:textId="77777777" w:rsidR="00DD13BF" w:rsidRDefault="00DD13BF" w:rsidP="00355A56">
            <w:pPr>
              <w:pStyle w:val="TableParagraph"/>
              <w:rPr>
                <w:color w:val="000000" w:themeColor="text1"/>
                <w:sz w:val="20"/>
              </w:rPr>
            </w:pPr>
          </w:p>
        </w:tc>
        <w:tc>
          <w:tcPr>
            <w:tcW w:w="1276" w:type="dxa"/>
          </w:tcPr>
          <w:p w14:paraId="75D7CC82" w14:textId="77777777" w:rsidR="00DD13BF" w:rsidRDefault="00DD13BF" w:rsidP="00355A56">
            <w:pPr>
              <w:rPr>
                <w:color w:val="000000" w:themeColor="text1"/>
                <w:sz w:val="20"/>
              </w:rPr>
            </w:pPr>
            <w:r>
              <w:rPr>
                <w:color w:val="000000"/>
                <w:sz w:val="20"/>
              </w:rPr>
              <w:t>Population equivalent</w:t>
            </w:r>
          </w:p>
        </w:tc>
        <w:tc>
          <w:tcPr>
            <w:tcW w:w="1418" w:type="dxa"/>
          </w:tcPr>
          <w:p w14:paraId="72CD85C8" w14:textId="77777777" w:rsidR="00DD13BF" w:rsidRDefault="00DD13BF" w:rsidP="00355A56">
            <w:pPr>
              <w:rPr>
                <w:sz w:val="20"/>
              </w:rPr>
            </w:pPr>
            <w:r>
              <w:rPr>
                <w:sz w:val="20"/>
              </w:rPr>
              <w:t>0</w:t>
            </w:r>
          </w:p>
        </w:tc>
        <w:tc>
          <w:tcPr>
            <w:tcW w:w="1134" w:type="dxa"/>
          </w:tcPr>
          <w:p w14:paraId="51923720" w14:textId="77777777" w:rsidR="00DD13BF" w:rsidRDefault="00DD13BF" w:rsidP="00355A56">
            <w:pPr>
              <w:rPr>
                <w:sz w:val="20"/>
              </w:rPr>
            </w:pPr>
            <w:r>
              <w:rPr>
                <w:sz w:val="20"/>
              </w:rPr>
              <w:t>17,156</w:t>
            </w:r>
          </w:p>
        </w:tc>
      </w:tr>
      <w:tr w:rsidR="00DD13BF" w14:paraId="7A4B63C7" w14:textId="77777777" w:rsidTr="00355A56">
        <w:trPr>
          <w:trHeight w:val="367"/>
        </w:trPr>
        <w:tc>
          <w:tcPr>
            <w:tcW w:w="1125" w:type="dxa"/>
          </w:tcPr>
          <w:p w14:paraId="189B6DD1" w14:textId="77777777" w:rsidR="00DD13BF" w:rsidRDefault="00DD13BF" w:rsidP="00355A56">
            <w:pPr>
              <w:pStyle w:val="TableParagraph"/>
              <w:rPr>
                <w:sz w:val="20"/>
              </w:rPr>
            </w:pPr>
            <w:r>
              <w:rPr>
                <w:sz w:val="20"/>
              </w:rPr>
              <w:t>3</w:t>
            </w:r>
          </w:p>
        </w:tc>
        <w:tc>
          <w:tcPr>
            <w:tcW w:w="1276" w:type="dxa"/>
          </w:tcPr>
          <w:p w14:paraId="1DD0A419" w14:textId="77777777" w:rsidR="00DD13BF" w:rsidRDefault="00DD13BF" w:rsidP="00355A56">
            <w:pPr>
              <w:pStyle w:val="TableParagraph"/>
              <w:rPr>
                <w:sz w:val="20"/>
              </w:rPr>
            </w:pPr>
            <w:r>
              <w:rPr>
                <w:color w:val="000000"/>
                <w:sz w:val="20"/>
              </w:rPr>
              <w:t>RSO2.5</w:t>
            </w:r>
          </w:p>
        </w:tc>
        <w:tc>
          <w:tcPr>
            <w:tcW w:w="708" w:type="dxa"/>
          </w:tcPr>
          <w:p w14:paraId="68341D42" w14:textId="77777777" w:rsidR="00DD13BF" w:rsidRPr="00C47928" w:rsidRDefault="00DD13BF" w:rsidP="00355A56">
            <w:pPr>
              <w:pStyle w:val="TableParagraph"/>
              <w:rPr>
                <w:sz w:val="20"/>
              </w:rPr>
            </w:pPr>
            <w:r>
              <w:rPr>
                <w:color w:val="000000"/>
                <w:sz w:val="20"/>
              </w:rPr>
              <w:t>CF</w:t>
            </w:r>
          </w:p>
        </w:tc>
        <w:tc>
          <w:tcPr>
            <w:tcW w:w="1701" w:type="dxa"/>
          </w:tcPr>
          <w:p w14:paraId="32536670" w14:textId="77777777" w:rsidR="00DD13BF" w:rsidRPr="00C47928" w:rsidRDefault="00DD13BF" w:rsidP="00355A56">
            <w:pPr>
              <w:pStyle w:val="TableParagraph"/>
              <w:rPr>
                <w:sz w:val="20"/>
              </w:rPr>
            </w:pPr>
            <w:r>
              <w:rPr>
                <w:color w:val="000000"/>
                <w:sz w:val="20"/>
              </w:rPr>
              <w:t>Entire Slovenia</w:t>
            </w:r>
          </w:p>
        </w:tc>
        <w:tc>
          <w:tcPr>
            <w:tcW w:w="778" w:type="dxa"/>
          </w:tcPr>
          <w:p w14:paraId="448D9B06" w14:textId="77777777" w:rsidR="00DD13BF" w:rsidRPr="00C47928" w:rsidRDefault="00DD13BF" w:rsidP="00355A56">
            <w:pPr>
              <w:pStyle w:val="TableParagraph"/>
              <w:rPr>
                <w:sz w:val="20"/>
              </w:rPr>
            </w:pPr>
            <w:r>
              <w:rPr>
                <w:color w:val="000000"/>
                <w:sz w:val="20"/>
              </w:rPr>
              <w:t>RCO32</w:t>
            </w:r>
          </w:p>
        </w:tc>
        <w:tc>
          <w:tcPr>
            <w:tcW w:w="4325" w:type="dxa"/>
          </w:tcPr>
          <w:p w14:paraId="078101D6" w14:textId="77777777" w:rsidR="00DD13BF" w:rsidRPr="00C47928" w:rsidRDefault="00DD13BF" w:rsidP="00355A56">
            <w:pPr>
              <w:pStyle w:val="TableParagraph"/>
              <w:rPr>
                <w:sz w:val="20"/>
              </w:rPr>
            </w:pPr>
            <w:r>
              <w:rPr>
                <w:color w:val="000000"/>
                <w:sz w:val="20"/>
              </w:rPr>
              <w:t>New or upgraded capacity for waste water treatment</w:t>
            </w:r>
          </w:p>
        </w:tc>
        <w:tc>
          <w:tcPr>
            <w:tcW w:w="1276" w:type="dxa"/>
          </w:tcPr>
          <w:p w14:paraId="7B301B3F" w14:textId="77777777" w:rsidR="00DD13BF" w:rsidRPr="00C47928" w:rsidRDefault="00DD13BF" w:rsidP="00355A56">
            <w:pPr>
              <w:pStyle w:val="TableParagraph"/>
              <w:rPr>
                <w:sz w:val="20"/>
              </w:rPr>
            </w:pPr>
            <w:r>
              <w:rPr>
                <w:color w:val="000000"/>
                <w:sz w:val="20"/>
              </w:rPr>
              <w:t>Population equivalent</w:t>
            </w:r>
          </w:p>
        </w:tc>
        <w:tc>
          <w:tcPr>
            <w:tcW w:w="1418" w:type="dxa"/>
          </w:tcPr>
          <w:p w14:paraId="7F923C0A" w14:textId="77777777" w:rsidR="00DD13BF" w:rsidRPr="00347461" w:rsidRDefault="00DD13BF" w:rsidP="00355A56">
            <w:pPr>
              <w:pStyle w:val="TableParagraph"/>
              <w:rPr>
                <w:sz w:val="20"/>
              </w:rPr>
            </w:pPr>
            <w:r>
              <w:rPr>
                <w:sz w:val="20"/>
              </w:rPr>
              <w:t>0</w:t>
            </w:r>
          </w:p>
        </w:tc>
        <w:tc>
          <w:tcPr>
            <w:tcW w:w="1134" w:type="dxa"/>
          </w:tcPr>
          <w:p w14:paraId="28164B16" w14:textId="77777777" w:rsidR="00DD13BF" w:rsidRDefault="00DD13BF" w:rsidP="00355A56">
            <w:pPr>
              <w:pStyle w:val="TableParagraph"/>
              <w:rPr>
                <w:sz w:val="20"/>
              </w:rPr>
            </w:pPr>
            <w:r>
              <w:rPr>
                <w:sz w:val="20"/>
              </w:rPr>
              <w:t>34,361</w:t>
            </w:r>
          </w:p>
        </w:tc>
      </w:tr>
    </w:tbl>
    <w:p w14:paraId="393FD2DD" w14:textId="77777777" w:rsidR="00DD13BF" w:rsidRDefault="00DD13BF" w:rsidP="00DD13BF">
      <w:pPr>
        <w:rPr>
          <w:sz w:val="24"/>
        </w:rPr>
      </w:pPr>
    </w:p>
    <w:p w14:paraId="60892EA4" w14:textId="77777777" w:rsidR="00DD13BF" w:rsidRDefault="00DD13BF" w:rsidP="00DD13BF">
      <w:pPr>
        <w:ind w:left="379"/>
      </w:pPr>
      <w:r>
        <w:t>Table 3: Result indicators</w:t>
      </w:r>
    </w:p>
    <w:p w14:paraId="09CF38ED" w14:textId="77777777" w:rsidR="00DD13BF" w:rsidRDefault="00DD13BF" w:rsidP="00DD13BF">
      <w:pPr>
        <w:rPr>
          <w:sz w:val="21"/>
        </w:rPr>
      </w:pPr>
    </w:p>
    <w:tbl>
      <w:tblPr>
        <w:tblStyle w:val="NormalTable0"/>
        <w:tblW w:w="13598"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992"/>
        <w:gridCol w:w="696"/>
        <w:gridCol w:w="1572"/>
        <w:gridCol w:w="709"/>
        <w:gridCol w:w="2693"/>
        <w:gridCol w:w="708"/>
        <w:gridCol w:w="1134"/>
        <w:gridCol w:w="993"/>
        <w:gridCol w:w="851"/>
        <w:gridCol w:w="1275"/>
        <w:gridCol w:w="850"/>
      </w:tblGrid>
      <w:tr w:rsidR="00DD13BF" w14:paraId="17351571" w14:textId="77777777" w:rsidTr="00355A56">
        <w:trPr>
          <w:trHeight w:val="353"/>
        </w:trPr>
        <w:tc>
          <w:tcPr>
            <w:tcW w:w="1125" w:type="dxa"/>
          </w:tcPr>
          <w:p w14:paraId="6DC78C6D" w14:textId="77777777" w:rsidR="00DD13BF" w:rsidRPr="00347461" w:rsidRDefault="00DD13BF" w:rsidP="00355A56">
            <w:pPr>
              <w:pStyle w:val="TableParagraph"/>
              <w:rPr>
                <w:sz w:val="20"/>
              </w:rPr>
            </w:pPr>
            <w:r>
              <w:rPr>
                <w:sz w:val="20"/>
              </w:rPr>
              <w:t>Priority</w:t>
            </w:r>
          </w:p>
        </w:tc>
        <w:tc>
          <w:tcPr>
            <w:tcW w:w="992" w:type="dxa"/>
          </w:tcPr>
          <w:p w14:paraId="1B631182" w14:textId="77777777" w:rsidR="00DD13BF" w:rsidRPr="00347461" w:rsidRDefault="00DD13BF" w:rsidP="00355A56">
            <w:pPr>
              <w:pStyle w:val="TableParagraph"/>
              <w:rPr>
                <w:sz w:val="20"/>
              </w:rPr>
            </w:pPr>
            <w:r>
              <w:rPr>
                <w:sz w:val="20"/>
              </w:rPr>
              <w:t>Specific objective</w:t>
            </w:r>
          </w:p>
        </w:tc>
        <w:tc>
          <w:tcPr>
            <w:tcW w:w="696" w:type="dxa"/>
          </w:tcPr>
          <w:p w14:paraId="42A36EE2" w14:textId="77777777" w:rsidR="00DD13BF" w:rsidRPr="00347461" w:rsidRDefault="00DD13BF" w:rsidP="00355A56">
            <w:pPr>
              <w:pStyle w:val="TableParagraph"/>
              <w:rPr>
                <w:sz w:val="20"/>
              </w:rPr>
            </w:pPr>
            <w:r>
              <w:rPr>
                <w:sz w:val="20"/>
              </w:rPr>
              <w:t>Fund</w:t>
            </w:r>
          </w:p>
        </w:tc>
        <w:tc>
          <w:tcPr>
            <w:tcW w:w="1572" w:type="dxa"/>
          </w:tcPr>
          <w:p w14:paraId="12E1B8F5" w14:textId="77777777" w:rsidR="00DD13BF" w:rsidRPr="00347461" w:rsidRDefault="00DD13BF" w:rsidP="00355A56">
            <w:pPr>
              <w:pStyle w:val="TableParagraph"/>
              <w:rPr>
                <w:sz w:val="20"/>
              </w:rPr>
            </w:pPr>
            <w:r>
              <w:rPr>
                <w:sz w:val="20"/>
              </w:rPr>
              <w:t>Category of region</w:t>
            </w:r>
          </w:p>
        </w:tc>
        <w:tc>
          <w:tcPr>
            <w:tcW w:w="709" w:type="dxa"/>
          </w:tcPr>
          <w:p w14:paraId="78815535" w14:textId="77777777" w:rsidR="00DD13BF" w:rsidRPr="00347461" w:rsidRDefault="00DD13BF" w:rsidP="00355A56">
            <w:pPr>
              <w:pStyle w:val="TableParagraph"/>
              <w:rPr>
                <w:sz w:val="20"/>
              </w:rPr>
            </w:pPr>
            <w:r>
              <w:rPr>
                <w:sz w:val="20"/>
              </w:rPr>
              <w:t>ID</w:t>
            </w:r>
          </w:p>
        </w:tc>
        <w:tc>
          <w:tcPr>
            <w:tcW w:w="2693" w:type="dxa"/>
          </w:tcPr>
          <w:p w14:paraId="14AEDA07" w14:textId="77777777" w:rsidR="00DD13BF" w:rsidRPr="00347461" w:rsidRDefault="00DD13BF" w:rsidP="00355A56">
            <w:pPr>
              <w:pStyle w:val="TableParagraph"/>
              <w:rPr>
                <w:sz w:val="20"/>
              </w:rPr>
            </w:pPr>
            <w:r>
              <w:rPr>
                <w:sz w:val="20"/>
              </w:rPr>
              <w:t>Indicator</w:t>
            </w:r>
          </w:p>
        </w:tc>
        <w:tc>
          <w:tcPr>
            <w:tcW w:w="708" w:type="dxa"/>
          </w:tcPr>
          <w:p w14:paraId="12EEF71E" w14:textId="77777777" w:rsidR="00DD13BF" w:rsidRPr="00347461" w:rsidRDefault="00DD13BF" w:rsidP="00355A56">
            <w:pPr>
              <w:pStyle w:val="TableParagraph"/>
              <w:rPr>
                <w:sz w:val="20"/>
              </w:rPr>
            </w:pPr>
            <w:r>
              <w:rPr>
                <w:sz w:val="20"/>
              </w:rPr>
              <w:t>Measurement unit</w:t>
            </w:r>
          </w:p>
        </w:tc>
        <w:tc>
          <w:tcPr>
            <w:tcW w:w="1134" w:type="dxa"/>
          </w:tcPr>
          <w:p w14:paraId="748AF2B1" w14:textId="77777777" w:rsidR="00DD13BF" w:rsidRPr="00347461" w:rsidRDefault="00DD13BF" w:rsidP="00355A56">
            <w:pPr>
              <w:pStyle w:val="TableParagraph"/>
              <w:rPr>
                <w:sz w:val="20"/>
              </w:rPr>
            </w:pPr>
            <w:r>
              <w:rPr>
                <w:sz w:val="20"/>
              </w:rPr>
              <w:t>Baseline or reference value</w:t>
            </w:r>
          </w:p>
        </w:tc>
        <w:tc>
          <w:tcPr>
            <w:tcW w:w="993" w:type="dxa"/>
          </w:tcPr>
          <w:p w14:paraId="118D645E" w14:textId="77777777" w:rsidR="00DD13BF" w:rsidRPr="00347461" w:rsidRDefault="00DD13BF" w:rsidP="00355A56">
            <w:pPr>
              <w:pStyle w:val="TableParagraph"/>
              <w:rPr>
                <w:sz w:val="20"/>
              </w:rPr>
            </w:pPr>
            <w:r>
              <w:rPr>
                <w:sz w:val="20"/>
              </w:rPr>
              <w:t>Reference year</w:t>
            </w:r>
          </w:p>
        </w:tc>
        <w:tc>
          <w:tcPr>
            <w:tcW w:w="851" w:type="dxa"/>
          </w:tcPr>
          <w:p w14:paraId="78502B8F" w14:textId="77777777" w:rsidR="00DD13BF" w:rsidRPr="00347461" w:rsidRDefault="00DD13BF" w:rsidP="00355A56">
            <w:pPr>
              <w:pStyle w:val="TableParagraph"/>
              <w:rPr>
                <w:sz w:val="20"/>
              </w:rPr>
            </w:pPr>
            <w:r>
              <w:rPr>
                <w:sz w:val="20"/>
              </w:rPr>
              <w:t>Target (2029)</w:t>
            </w:r>
          </w:p>
        </w:tc>
        <w:tc>
          <w:tcPr>
            <w:tcW w:w="1275" w:type="dxa"/>
          </w:tcPr>
          <w:p w14:paraId="36A3FCBE" w14:textId="77777777" w:rsidR="00DD13BF" w:rsidRPr="00347461" w:rsidRDefault="00DD13BF" w:rsidP="00355A56">
            <w:pPr>
              <w:pStyle w:val="TableParagraph"/>
              <w:rPr>
                <w:sz w:val="20"/>
              </w:rPr>
            </w:pPr>
            <w:r>
              <w:rPr>
                <w:sz w:val="20"/>
              </w:rPr>
              <w:t>Source of data</w:t>
            </w:r>
          </w:p>
        </w:tc>
        <w:tc>
          <w:tcPr>
            <w:tcW w:w="850" w:type="dxa"/>
          </w:tcPr>
          <w:p w14:paraId="4C23DF29" w14:textId="77777777" w:rsidR="00DD13BF" w:rsidRPr="00347461" w:rsidRDefault="00DD13BF" w:rsidP="00355A56">
            <w:pPr>
              <w:pStyle w:val="TableParagraph"/>
              <w:rPr>
                <w:sz w:val="20"/>
              </w:rPr>
            </w:pPr>
            <w:r>
              <w:rPr>
                <w:sz w:val="20"/>
              </w:rPr>
              <w:t>Notes</w:t>
            </w:r>
          </w:p>
        </w:tc>
      </w:tr>
      <w:tr w:rsidR="00DD13BF" w14:paraId="7DCB66CC" w14:textId="77777777" w:rsidTr="00355A56">
        <w:trPr>
          <w:trHeight w:val="353"/>
        </w:trPr>
        <w:tc>
          <w:tcPr>
            <w:tcW w:w="1125" w:type="dxa"/>
          </w:tcPr>
          <w:p w14:paraId="6A8458F4" w14:textId="77777777" w:rsidR="00DD13BF" w:rsidRPr="00347461" w:rsidRDefault="00DD13BF" w:rsidP="00355A56">
            <w:pPr>
              <w:pStyle w:val="TableParagraph"/>
              <w:rPr>
                <w:sz w:val="20"/>
              </w:rPr>
            </w:pPr>
            <w:r>
              <w:rPr>
                <w:sz w:val="20"/>
              </w:rPr>
              <w:t>3</w:t>
            </w:r>
          </w:p>
        </w:tc>
        <w:tc>
          <w:tcPr>
            <w:tcW w:w="992" w:type="dxa"/>
          </w:tcPr>
          <w:p w14:paraId="72557EBA" w14:textId="77777777" w:rsidR="00DD13BF" w:rsidRPr="00347461" w:rsidRDefault="00DD13BF" w:rsidP="00355A56">
            <w:pPr>
              <w:pStyle w:val="TableParagraph"/>
              <w:rPr>
                <w:sz w:val="20"/>
              </w:rPr>
            </w:pPr>
            <w:r>
              <w:rPr>
                <w:color w:val="000000"/>
                <w:sz w:val="20"/>
              </w:rPr>
              <w:t>RSO2.5</w:t>
            </w:r>
          </w:p>
        </w:tc>
        <w:tc>
          <w:tcPr>
            <w:tcW w:w="696" w:type="dxa"/>
          </w:tcPr>
          <w:p w14:paraId="54EB8999" w14:textId="77777777" w:rsidR="00DD13BF" w:rsidRPr="00347461" w:rsidRDefault="00DD13BF" w:rsidP="00355A56">
            <w:pPr>
              <w:pStyle w:val="TableParagraph"/>
              <w:rPr>
                <w:sz w:val="20"/>
              </w:rPr>
            </w:pPr>
            <w:r>
              <w:rPr>
                <w:color w:val="000000"/>
                <w:sz w:val="20"/>
              </w:rPr>
              <w:t>CF</w:t>
            </w:r>
          </w:p>
        </w:tc>
        <w:tc>
          <w:tcPr>
            <w:tcW w:w="1572" w:type="dxa"/>
          </w:tcPr>
          <w:p w14:paraId="6B0A9F4D" w14:textId="77777777" w:rsidR="00DD13BF" w:rsidRPr="00660711" w:rsidRDefault="00DD13BF" w:rsidP="00355A56">
            <w:pPr>
              <w:pStyle w:val="TableParagraph"/>
              <w:rPr>
                <w:sz w:val="20"/>
              </w:rPr>
            </w:pPr>
            <w:r>
              <w:rPr>
                <w:color w:val="000000"/>
                <w:sz w:val="20"/>
              </w:rPr>
              <w:t>Entire Slovenia</w:t>
            </w:r>
          </w:p>
        </w:tc>
        <w:tc>
          <w:tcPr>
            <w:tcW w:w="709" w:type="dxa"/>
          </w:tcPr>
          <w:p w14:paraId="118E3C52" w14:textId="77777777" w:rsidR="00DD13BF" w:rsidRPr="00660711" w:rsidRDefault="00DD13BF" w:rsidP="00355A56">
            <w:pPr>
              <w:pStyle w:val="TableParagraph"/>
              <w:rPr>
                <w:sz w:val="20"/>
              </w:rPr>
            </w:pPr>
            <w:r>
              <w:rPr>
                <w:color w:val="000000"/>
                <w:sz w:val="20"/>
              </w:rPr>
              <w:t>RCR41</w:t>
            </w:r>
          </w:p>
        </w:tc>
        <w:tc>
          <w:tcPr>
            <w:tcW w:w="2693" w:type="dxa"/>
          </w:tcPr>
          <w:p w14:paraId="18ACC645" w14:textId="77777777" w:rsidR="00DD13BF" w:rsidRPr="00660711" w:rsidRDefault="00DD13BF" w:rsidP="00355A56">
            <w:pPr>
              <w:pStyle w:val="TableParagraph"/>
              <w:rPr>
                <w:sz w:val="20"/>
              </w:rPr>
            </w:pPr>
            <w:r>
              <w:rPr>
                <w:color w:val="000000"/>
                <w:sz w:val="20"/>
              </w:rPr>
              <w:t>Population connected to improved public water supply</w:t>
            </w:r>
          </w:p>
        </w:tc>
        <w:tc>
          <w:tcPr>
            <w:tcW w:w="708" w:type="dxa"/>
          </w:tcPr>
          <w:p w14:paraId="373F0C8D" w14:textId="77777777" w:rsidR="00DD13BF" w:rsidRPr="00660711" w:rsidRDefault="00DD13BF" w:rsidP="00355A56">
            <w:pPr>
              <w:pStyle w:val="TableParagraph"/>
              <w:rPr>
                <w:sz w:val="20"/>
              </w:rPr>
            </w:pPr>
            <w:r>
              <w:rPr>
                <w:color w:val="000000"/>
                <w:sz w:val="20"/>
              </w:rPr>
              <w:t>Persons</w:t>
            </w:r>
          </w:p>
        </w:tc>
        <w:tc>
          <w:tcPr>
            <w:tcW w:w="1134" w:type="dxa"/>
          </w:tcPr>
          <w:p w14:paraId="08D13BA4" w14:textId="77777777" w:rsidR="00DD13BF" w:rsidRPr="00347461" w:rsidRDefault="00DD13BF" w:rsidP="00355A56">
            <w:pPr>
              <w:pStyle w:val="TableParagraph"/>
              <w:rPr>
                <w:sz w:val="20"/>
              </w:rPr>
            </w:pPr>
            <w:r>
              <w:rPr>
                <w:sz w:val="20"/>
              </w:rPr>
              <w:t>0</w:t>
            </w:r>
          </w:p>
        </w:tc>
        <w:tc>
          <w:tcPr>
            <w:tcW w:w="993" w:type="dxa"/>
          </w:tcPr>
          <w:p w14:paraId="5DE9C1D1" w14:textId="77777777" w:rsidR="00DD13BF" w:rsidRPr="00347461" w:rsidRDefault="00DD13BF" w:rsidP="00355A56">
            <w:pPr>
              <w:pStyle w:val="TableParagraph"/>
              <w:rPr>
                <w:sz w:val="20"/>
              </w:rPr>
            </w:pPr>
            <w:r>
              <w:rPr>
                <w:sz w:val="20"/>
              </w:rPr>
              <w:t>2019</w:t>
            </w:r>
          </w:p>
        </w:tc>
        <w:tc>
          <w:tcPr>
            <w:tcW w:w="851" w:type="dxa"/>
          </w:tcPr>
          <w:p w14:paraId="6BBD5474" w14:textId="77777777" w:rsidR="00DD13BF" w:rsidRPr="00347461" w:rsidRDefault="00DD13BF" w:rsidP="00355A56">
            <w:pPr>
              <w:pStyle w:val="TableParagraph"/>
              <w:rPr>
                <w:sz w:val="20"/>
              </w:rPr>
            </w:pPr>
            <w:r>
              <w:rPr>
                <w:sz w:val="20"/>
              </w:rPr>
              <w:t>90,016</w:t>
            </w:r>
          </w:p>
        </w:tc>
        <w:tc>
          <w:tcPr>
            <w:tcW w:w="1275" w:type="dxa"/>
          </w:tcPr>
          <w:p w14:paraId="595DC4B3" w14:textId="77777777" w:rsidR="00DD13BF" w:rsidRPr="00347461" w:rsidRDefault="00DD13BF" w:rsidP="00355A56">
            <w:pPr>
              <w:pStyle w:val="TableParagraph"/>
              <w:rPr>
                <w:sz w:val="20"/>
              </w:rPr>
            </w:pPr>
            <w:r>
              <w:rPr>
                <w:sz w:val="20"/>
              </w:rPr>
              <w:t>Project documentation for project</w:t>
            </w:r>
          </w:p>
        </w:tc>
        <w:tc>
          <w:tcPr>
            <w:tcW w:w="850" w:type="dxa"/>
          </w:tcPr>
          <w:p w14:paraId="7D4FE9DB" w14:textId="77777777" w:rsidR="00DD13BF" w:rsidRPr="00347461" w:rsidRDefault="00DD13BF" w:rsidP="00355A56">
            <w:pPr>
              <w:pStyle w:val="TableParagraph"/>
              <w:rPr>
                <w:sz w:val="20"/>
              </w:rPr>
            </w:pPr>
          </w:p>
        </w:tc>
      </w:tr>
      <w:tr w:rsidR="00DD13BF" w14:paraId="34CFB3E2" w14:textId="77777777" w:rsidTr="00355A56">
        <w:trPr>
          <w:trHeight w:val="353"/>
        </w:trPr>
        <w:tc>
          <w:tcPr>
            <w:tcW w:w="1125" w:type="dxa"/>
          </w:tcPr>
          <w:p w14:paraId="7F33A434" w14:textId="77777777" w:rsidR="00DD13BF" w:rsidRPr="00347461" w:rsidRDefault="00DD13BF" w:rsidP="00355A56">
            <w:pPr>
              <w:pStyle w:val="TableParagraph"/>
              <w:rPr>
                <w:sz w:val="20"/>
              </w:rPr>
            </w:pPr>
            <w:r>
              <w:rPr>
                <w:sz w:val="20"/>
              </w:rPr>
              <w:t>3</w:t>
            </w:r>
          </w:p>
        </w:tc>
        <w:tc>
          <w:tcPr>
            <w:tcW w:w="992" w:type="dxa"/>
          </w:tcPr>
          <w:p w14:paraId="7B2F6815" w14:textId="77777777" w:rsidR="00DD13BF" w:rsidRPr="00347461" w:rsidRDefault="00DD13BF" w:rsidP="00355A56">
            <w:pPr>
              <w:pStyle w:val="TableParagraph"/>
              <w:rPr>
                <w:sz w:val="20"/>
              </w:rPr>
            </w:pPr>
            <w:r>
              <w:rPr>
                <w:color w:val="000000"/>
                <w:sz w:val="20"/>
              </w:rPr>
              <w:t>RSO2.5</w:t>
            </w:r>
          </w:p>
        </w:tc>
        <w:tc>
          <w:tcPr>
            <w:tcW w:w="696" w:type="dxa"/>
          </w:tcPr>
          <w:p w14:paraId="64B8DDF2" w14:textId="77777777" w:rsidR="00DD13BF" w:rsidRPr="00347461" w:rsidRDefault="00DD13BF" w:rsidP="00355A56">
            <w:pPr>
              <w:pStyle w:val="TableParagraph"/>
              <w:rPr>
                <w:sz w:val="20"/>
              </w:rPr>
            </w:pPr>
            <w:r>
              <w:rPr>
                <w:color w:val="000000"/>
                <w:sz w:val="20"/>
              </w:rPr>
              <w:t>ERDF</w:t>
            </w:r>
          </w:p>
        </w:tc>
        <w:tc>
          <w:tcPr>
            <w:tcW w:w="1572" w:type="dxa"/>
          </w:tcPr>
          <w:p w14:paraId="2327718B" w14:textId="77777777" w:rsidR="00DD13BF" w:rsidRPr="00660711" w:rsidRDefault="00DD13BF" w:rsidP="00355A56">
            <w:pPr>
              <w:pStyle w:val="TableParagraph"/>
              <w:rPr>
                <w:color w:val="000000"/>
                <w:sz w:val="20"/>
              </w:rPr>
            </w:pPr>
            <w:r>
              <w:rPr>
                <w:color w:val="000000"/>
                <w:sz w:val="20"/>
              </w:rPr>
              <w:t>More developed</w:t>
            </w:r>
          </w:p>
          <w:p w14:paraId="3B3BB92A" w14:textId="77777777" w:rsidR="00DD13BF" w:rsidRPr="00660711" w:rsidRDefault="00DD13BF" w:rsidP="00355A56">
            <w:pPr>
              <w:pStyle w:val="TableParagraph"/>
              <w:rPr>
                <w:sz w:val="20"/>
              </w:rPr>
            </w:pPr>
          </w:p>
        </w:tc>
        <w:tc>
          <w:tcPr>
            <w:tcW w:w="709" w:type="dxa"/>
          </w:tcPr>
          <w:p w14:paraId="7D3B47A9" w14:textId="77777777" w:rsidR="00DD13BF" w:rsidRPr="00660711" w:rsidRDefault="00DD13BF" w:rsidP="00355A56">
            <w:pPr>
              <w:pStyle w:val="TableParagraph"/>
              <w:rPr>
                <w:sz w:val="20"/>
              </w:rPr>
            </w:pPr>
            <w:r>
              <w:rPr>
                <w:color w:val="000000"/>
                <w:sz w:val="20"/>
              </w:rPr>
              <w:t>RCR42</w:t>
            </w:r>
          </w:p>
        </w:tc>
        <w:tc>
          <w:tcPr>
            <w:tcW w:w="2693" w:type="dxa"/>
          </w:tcPr>
          <w:p w14:paraId="66392291" w14:textId="77777777" w:rsidR="00DD13BF" w:rsidRPr="00660711" w:rsidRDefault="00DD13BF" w:rsidP="00355A56">
            <w:pPr>
              <w:pStyle w:val="TableParagraph"/>
              <w:rPr>
                <w:sz w:val="20"/>
              </w:rPr>
            </w:pPr>
            <w:r>
              <w:rPr>
                <w:color w:val="000000"/>
                <w:sz w:val="20"/>
              </w:rPr>
              <w:t>Population connected to at least secondary public waste water treatment</w:t>
            </w:r>
          </w:p>
        </w:tc>
        <w:tc>
          <w:tcPr>
            <w:tcW w:w="708" w:type="dxa"/>
          </w:tcPr>
          <w:p w14:paraId="38EFFE66" w14:textId="77777777" w:rsidR="00DD13BF" w:rsidRPr="00660711" w:rsidRDefault="00DD13BF" w:rsidP="00355A56">
            <w:pPr>
              <w:pStyle w:val="TableParagraph"/>
              <w:rPr>
                <w:sz w:val="20"/>
              </w:rPr>
            </w:pPr>
            <w:r>
              <w:rPr>
                <w:color w:val="000000"/>
                <w:sz w:val="20"/>
              </w:rPr>
              <w:t>Persons</w:t>
            </w:r>
          </w:p>
        </w:tc>
        <w:tc>
          <w:tcPr>
            <w:tcW w:w="1134" w:type="dxa"/>
          </w:tcPr>
          <w:p w14:paraId="69FF7435" w14:textId="77777777" w:rsidR="00DD13BF" w:rsidRPr="00347461" w:rsidRDefault="00DD13BF" w:rsidP="00355A56">
            <w:pPr>
              <w:pStyle w:val="TableParagraph"/>
              <w:rPr>
                <w:sz w:val="20"/>
              </w:rPr>
            </w:pPr>
            <w:r>
              <w:rPr>
                <w:sz w:val="20"/>
              </w:rPr>
              <w:t>0</w:t>
            </w:r>
          </w:p>
        </w:tc>
        <w:tc>
          <w:tcPr>
            <w:tcW w:w="993" w:type="dxa"/>
          </w:tcPr>
          <w:p w14:paraId="0819F757" w14:textId="77777777" w:rsidR="00DD13BF" w:rsidRPr="00347461" w:rsidRDefault="00DD13BF" w:rsidP="00355A56">
            <w:pPr>
              <w:pStyle w:val="TableParagraph"/>
              <w:rPr>
                <w:sz w:val="20"/>
              </w:rPr>
            </w:pPr>
            <w:r>
              <w:rPr>
                <w:sz w:val="20"/>
              </w:rPr>
              <w:t>2018</w:t>
            </w:r>
          </w:p>
        </w:tc>
        <w:tc>
          <w:tcPr>
            <w:tcW w:w="851" w:type="dxa"/>
          </w:tcPr>
          <w:p w14:paraId="67326F2A" w14:textId="77777777" w:rsidR="00DD13BF" w:rsidRPr="00347461" w:rsidRDefault="00DD13BF" w:rsidP="00355A56">
            <w:pPr>
              <w:pStyle w:val="TableParagraph"/>
              <w:rPr>
                <w:sz w:val="20"/>
              </w:rPr>
            </w:pPr>
            <w:r>
              <w:rPr>
                <w:sz w:val="20"/>
              </w:rPr>
              <w:t>15,961</w:t>
            </w:r>
          </w:p>
        </w:tc>
        <w:tc>
          <w:tcPr>
            <w:tcW w:w="1275" w:type="dxa"/>
          </w:tcPr>
          <w:p w14:paraId="14DF7EB2" w14:textId="77777777" w:rsidR="00DD13BF" w:rsidRPr="00347461" w:rsidRDefault="00DD13BF" w:rsidP="00355A56">
            <w:pPr>
              <w:pStyle w:val="TableParagraph"/>
              <w:rPr>
                <w:sz w:val="20"/>
              </w:rPr>
            </w:pPr>
            <w:r>
              <w:rPr>
                <w:sz w:val="20"/>
              </w:rPr>
              <w:t>OP for urban waste water discharge and treatment</w:t>
            </w:r>
          </w:p>
        </w:tc>
        <w:tc>
          <w:tcPr>
            <w:tcW w:w="850" w:type="dxa"/>
          </w:tcPr>
          <w:p w14:paraId="5D0C1D5F" w14:textId="77777777" w:rsidR="00DD13BF" w:rsidRPr="00347461" w:rsidRDefault="00DD13BF" w:rsidP="00355A56">
            <w:pPr>
              <w:pStyle w:val="TableParagraph"/>
              <w:rPr>
                <w:sz w:val="20"/>
              </w:rPr>
            </w:pPr>
          </w:p>
        </w:tc>
      </w:tr>
      <w:tr w:rsidR="00DD13BF" w14:paraId="4EF0F3A6" w14:textId="77777777" w:rsidTr="00355A56">
        <w:trPr>
          <w:trHeight w:val="353"/>
        </w:trPr>
        <w:tc>
          <w:tcPr>
            <w:tcW w:w="1125" w:type="dxa"/>
          </w:tcPr>
          <w:p w14:paraId="1F34ADEF" w14:textId="77777777" w:rsidR="00DD13BF" w:rsidRDefault="00DD13BF" w:rsidP="00355A56">
            <w:pPr>
              <w:pStyle w:val="TableParagraph"/>
              <w:rPr>
                <w:sz w:val="20"/>
              </w:rPr>
            </w:pPr>
            <w:r>
              <w:rPr>
                <w:sz w:val="20"/>
              </w:rPr>
              <w:t>3</w:t>
            </w:r>
          </w:p>
        </w:tc>
        <w:tc>
          <w:tcPr>
            <w:tcW w:w="992" w:type="dxa"/>
          </w:tcPr>
          <w:p w14:paraId="43017294" w14:textId="77777777" w:rsidR="00DD13BF" w:rsidRDefault="00DD13BF" w:rsidP="00355A56">
            <w:pPr>
              <w:pStyle w:val="TableParagraph"/>
              <w:rPr>
                <w:sz w:val="20"/>
              </w:rPr>
            </w:pPr>
            <w:r>
              <w:rPr>
                <w:color w:val="000000"/>
                <w:sz w:val="20"/>
              </w:rPr>
              <w:t>RSO2.5</w:t>
            </w:r>
          </w:p>
        </w:tc>
        <w:tc>
          <w:tcPr>
            <w:tcW w:w="696" w:type="dxa"/>
          </w:tcPr>
          <w:p w14:paraId="29957FEB" w14:textId="77777777" w:rsidR="00DD13BF" w:rsidRDefault="00DD13BF" w:rsidP="00355A56">
            <w:pPr>
              <w:pStyle w:val="TableParagraph"/>
              <w:rPr>
                <w:color w:val="000000" w:themeColor="text1"/>
                <w:sz w:val="20"/>
              </w:rPr>
            </w:pPr>
            <w:r>
              <w:rPr>
                <w:color w:val="000000" w:themeColor="text1"/>
                <w:sz w:val="20"/>
              </w:rPr>
              <w:t>CF</w:t>
            </w:r>
          </w:p>
        </w:tc>
        <w:tc>
          <w:tcPr>
            <w:tcW w:w="1572" w:type="dxa"/>
          </w:tcPr>
          <w:p w14:paraId="67592047" w14:textId="77777777" w:rsidR="00DD13BF" w:rsidRDefault="00DD13BF" w:rsidP="00355A56">
            <w:pPr>
              <w:pStyle w:val="TableParagraph"/>
              <w:rPr>
                <w:sz w:val="20"/>
              </w:rPr>
            </w:pPr>
            <w:r>
              <w:rPr>
                <w:color w:val="000000" w:themeColor="text1"/>
                <w:sz w:val="20"/>
              </w:rPr>
              <w:t>Entire Slovenia</w:t>
            </w:r>
          </w:p>
        </w:tc>
        <w:tc>
          <w:tcPr>
            <w:tcW w:w="709" w:type="dxa"/>
          </w:tcPr>
          <w:p w14:paraId="61382FB0" w14:textId="77777777" w:rsidR="00DD13BF" w:rsidRDefault="00DD13BF" w:rsidP="00355A56">
            <w:pPr>
              <w:pStyle w:val="TableParagraph"/>
              <w:rPr>
                <w:color w:val="000000" w:themeColor="text1"/>
                <w:sz w:val="20"/>
              </w:rPr>
            </w:pPr>
            <w:r>
              <w:rPr>
                <w:color w:val="000000" w:themeColor="text1"/>
                <w:sz w:val="20"/>
              </w:rPr>
              <w:t>RCR42</w:t>
            </w:r>
          </w:p>
        </w:tc>
        <w:tc>
          <w:tcPr>
            <w:tcW w:w="2693" w:type="dxa"/>
          </w:tcPr>
          <w:p w14:paraId="438A625B" w14:textId="77777777" w:rsidR="00DD13BF" w:rsidRDefault="00DD13BF" w:rsidP="00355A56">
            <w:pPr>
              <w:pStyle w:val="TableParagraph"/>
              <w:rPr>
                <w:sz w:val="20"/>
              </w:rPr>
            </w:pPr>
            <w:r>
              <w:rPr>
                <w:color w:val="000000" w:themeColor="text1"/>
                <w:sz w:val="20"/>
              </w:rPr>
              <w:t>Population connected to at least secondary public waste water treatment</w:t>
            </w:r>
          </w:p>
          <w:p w14:paraId="2EEC1AB8" w14:textId="77777777" w:rsidR="00DD13BF" w:rsidRDefault="00DD13BF" w:rsidP="00355A56">
            <w:pPr>
              <w:pStyle w:val="TableParagraph"/>
              <w:rPr>
                <w:color w:val="000000" w:themeColor="text1"/>
                <w:sz w:val="20"/>
              </w:rPr>
            </w:pPr>
          </w:p>
        </w:tc>
        <w:tc>
          <w:tcPr>
            <w:tcW w:w="708" w:type="dxa"/>
          </w:tcPr>
          <w:p w14:paraId="32C9E0A2" w14:textId="77777777" w:rsidR="00DD13BF" w:rsidRDefault="00DD13BF" w:rsidP="00355A56">
            <w:pPr>
              <w:pStyle w:val="TableParagraph"/>
              <w:rPr>
                <w:color w:val="000000" w:themeColor="text1"/>
                <w:sz w:val="20"/>
              </w:rPr>
            </w:pPr>
            <w:r>
              <w:rPr>
                <w:color w:val="000000"/>
                <w:sz w:val="20"/>
              </w:rPr>
              <w:t>Persons</w:t>
            </w:r>
          </w:p>
        </w:tc>
        <w:tc>
          <w:tcPr>
            <w:tcW w:w="1134" w:type="dxa"/>
          </w:tcPr>
          <w:p w14:paraId="05BB6DE3" w14:textId="77777777" w:rsidR="00DD13BF" w:rsidRDefault="00DD13BF" w:rsidP="00355A56">
            <w:pPr>
              <w:pStyle w:val="TableParagraph"/>
              <w:rPr>
                <w:sz w:val="20"/>
              </w:rPr>
            </w:pPr>
            <w:r>
              <w:rPr>
                <w:sz w:val="20"/>
              </w:rPr>
              <w:t>0</w:t>
            </w:r>
          </w:p>
        </w:tc>
        <w:tc>
          <w:tcPr>
            <w:tcW w:w="993" w:type="dxa"/>
          </w:tcPr>
          <w:p w14:paraId="02735870" w14:textId="77777777" w:rsidR="00DD13BF" w:rsidRDefault="00DD13BF" w:rsidP="00355A56">
            <w:pPr>
              <w:pStyle w:val="TableParagraph"/>
              <w:rPr>
                <w:sz w:val="20"/>
              </w:rPr>
            </w:pPr>
            <w:r>
              <w:rPr>
                <w:sz w:val="20"/>
              </w:rPr>
              <w:t>2018</w:t>
            </w:r>
          </w:p>
        </w:tc>
        <w:tc>
          <w:tcPr>
            <w:tcW w:w="851" w:type="dxa"/>
          </w:tcPr>
          <w:p w14:paraId="1E14724B" w14:textId="77777777" w:rsidR="00DD13BF" w:rsidRDefault="00DD13BF" w:rsidP="00355A56">
            <w:pPr>
              <w:pStyle w:val="TableParagraph"/>
              <w:rPr>
                <w:sz w:val="20"/>
              </w:rPr>
            </w:pPr>
            <w:r>
              <w:rPr>
                <w:sz w:val="20"/>
              </w:rPr>
              <w:t>29,332</w:t>
            </w:r>
          </w:p>
        </w:tc>
        <w:tc>
          <w:tcPr>
            <w:tcW w:w="1275" w:type="dxa"/>
          </w:tcPr>
          <w:p w14:paraId="1171642B" w14:textId="77777777" w:rsidR="00DD13BF" w:rsidRDefault="00DD13BF" w:rsidP="00355A56">
            <w:pPr>
              <w:pStyle w:val="TableParagraph"/>
              <w:rPr>
                <w:sz w:val="20"/>
              </w:rPr>
            </w:pPr>
            <w:r>
              <w:rPr>
                <w:sz w:val="20"/>
              </w:rPr>
              <w:t>OP for urban waste water discharge and treatment</w:t>
            </w:r>
          </w:p>
        </w:tc>
        <w:tc>
          <w:tcPr>
            <w:tcW w:w="850" w:type="dxa"/>
          </w:tcPr>
          <w:p w14:paraId="461C8396" w14:textId="77777777" w:rsidR="00DD13BF" w:rsidRDefault="00DD13BF" w:rsidP="00355A56">
            <w:pPr>
              <w:pStyle w:val="TableParagraph"/>
              <w:rPr>
                <w:sz w:val="20"/>
              </w:rPr>
            </w:pPr>
          </w:p>
        </w:tc>
      </w:tr>
    </w:tbl>
    <w:p w14:paraId="0CBFFF33" w14:textId="77777777" w:rsidR="00DD13BF" w:rsidRPr="00F81084" w:rsidRDefault="00DD13BF" w:rsidP="00DD13BF">
      <w:pPr>
        <w:pStyle w:val="Telobesedila"/>
      </w:pPr>
    </w:p>
    <w:p w14:paraId="3CADFD7A" w14:textId="77777777" w:rsidR="00DD13BF" w:rsidRPr="00F81084" w:rsidRDefault="00DD13BF" w:rsidP="00DD13BF">
      <w:pPr>
        <w:pStyle w:val="Telobesedila"/>
      </w:pPr>
    </w:p>
    <w:p w14:paraId="79E202C4" w14:textId="77777777" w:rsidR="00DD13BF" w:rsidRDefault="00DD13BF" w:rsidP="00DD13BF">
      <w:pPr>
        <w:pStyle w:val="Naslov5"/>
        <w:numPr>
          <w:ilvl w:val="4"/>
          <w:numId w:val="16"/>
        </w:numPr>
        <w:spacing w:before="0"/>
      </w:pPr>
      <w:r>
        <w:t>Indicative breakdown of the programme resources (EU) by type of intervention</w:t>
      </w:r>
    </w:p>
    <w:p w14:paraId="6E91040C" w14:textId="77777777" w:rsidR="00DD13BF" w:rsidRDefault="00DD13BF" w:rsidP="00DD13BF">
      <w:pPr>
        <w:ind w:left="640"/>
        <w:rPr>
          <w:spacing w:val="-5"/>
        </w:rPr>
      </w:pPr>
    </w:p>
    <w:p w14:paraId="4C554176" w14:textId="77777777" w:rsidR="00DD13BF" w:rsidRPr="00673ADB" w:rsidRDefault="00DD13BF" w:rsidP="00DD13BF">
      <w:pPr>
        <w:ind w:left="339"/>
        <w:rPr>
          <w:spacing w:val="-7"/>
        </w:rPr>
      </w:pPr>
      <w:r>
        <w:t>Table 4: Dimension 1 – intervention field</w:t>
      </w:r>
    </w:p>
    <w:p w14:paraId="7DBD2481"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1133"/>
        <w:gridCol w:w="3249"/>
        <w:gridCol w:w="3099"/>
        <w:gridCol w:w="1161"/>
        <w:gridCol w:w="2731"/>
      </w:tblGrid>
      <w:tr w:rsidR="00DD13BF" w14:paraId="3547E198" w14:textId="77777777" w:rsidTr="00355A56">
        <w:trPr>
          <w:trHeight w:val="353"/>
        </w:trPr>
        <w:tc>
          <w:tcPr>
            <w:tcW w:w="2126" w:type="dxa"/>
          </w:tcPr>
          <w:p w14:paraId="5C2E647E" w14:textId="77777777" w:rsidR="00DD13BF" w:rsidRDefault="00DD13BF" w:rsidP="00355A56">
            <w:pPr>
              <w:pStyle w:val="TableParagraph"/>
              <w:ind w:left="115"/>
            </w:pPr>
            <w:r>
              <w:t>Priority no.</w:t>
            </w:r>
          </w:p>
        </w:tc>
        <w:tc>
          <w:tcPr>
            <w:tcW w:w="1133" w:type="dxa"/>
          </w:tcPr>
          <w:p w14:paraId="7AD22AE2" w14:textId="77777777" w:rsidR="00DD13BF" w:rsidRDefault="00DD13BF" w:rsidP="00355A56">
            <w:pPr>
              <w:pStyle w:val="TableParagraph"/>
              <w:ind w:left="320"/>
            </w:pPr>
            <w:r>
              <w:t>Fund</w:t>
            </w:r>
          </w:p>
        </w:tc>
        <w:tc>
          <w:tcPr>
            <w:tcW w:w="3249" w:type="dxa"/>
          </w:tcPr>
          <w:p w14:paraId="6BC41CA1" w14:textId="77777777" w:rsidR="00DD13BF" w:rsidRDefault="00DD13BF" w:rsidP="00355A56">
            <w:pPr>
              <w:pStyle w:val="TableParagraph"/>
              <w:ind w:left="907"/>
            </w:pPr>
            <w:r>
              <w:t>Category of region</w:t>
            </w:r>
          </w:p>
        </w:tc>
        <w:tc>
          <w:tcPr>
            <w:tcW w:w="3099" w:type="dxa"/>
          </w:tcPr>
          <w:p w14:paraId="5D8B487E" w14:textId="77777777" w:rsidR="00DD13BF" w:rsidRDefault="00DD13BF" w:rsidP="00355A56">
            <w:pPr>
              <w:pStyle w:val="TableParagraph"/>
              <w:ind w:left="948"/>
            </w:pPr>
            <w:r>
              <w:t>Specific objective</w:t>
            </w:r>
          </w:p>
        </w:tc>
        <w:tc>
          <w:tcPr>
            <w:tcW w:w="1161" w:type="dxa"/>
          </w:tcPr>
          <w:p w14:paraId="4368FB4A" w14:textId="77777777" w:rsidR="00DD13BF" w:rsidRDefault="00DD13BF" w:rsidP="00355A56">
            <w:pPr>
              <w:pStyle w:val="TableParagraph"/>
              <w:ind w:left="333"/>
            </w:pPr>
            <w:r>
              <w:t>Code</w:t>
            </w:r>
          </w:p>
        </w:tc>
        <w:tc>
          <w:tcPr>
            <w:tcW w:w="2731" w:type="dxa"/>
          </w:tcPr>
          <w:p w14:paraId="2D7D26D7" w14:textId="77777777" w:rsidR="00DD13BF" w:rsidRDefault="00DD13BF" w:rsidP="00355A56">
            <w:pPr>
              <w:pStyle w:val="TableParagraph"/>
              <w:ind w:left="660"/>
            </w:pPr>
            <w:r>
              <w:t>Amount (in EUR)</w:t>
            </w:r>
          </w:p>
        </w:tc>
      </w:tr>
      <w:tr w:rsidR="00DD13BF" w14:paraId="154A1692" w14:textId="77777777" w:rsidTr="00355A56">
        <w:trPr>
          <w:trHeight w:val="353"/>
        </w:trPr>
        <w:tc>
          <w:tcPr>
            <w:tcW w:w="2126" w:type="dxa"/>
          </w:tcPr>
          <w:p w14:paraId="21A655BE" w14:textId="77777777" w:rsidR="00DD13BF" w:rsidRDefault="00DD13BF" w:rsidP="00355A56">
            <w:pPr>
              <w:pStyle w:val="TableParagraph"/>
              <w:rPr>
                <w:sz w:val="20"/>
              </w:rPr>
            </w:pPr>
            <w:r>
              <w:rPr>
                <w:sz w:val="20"/>
              </w:rPr>
              <w:t>3</w:t>
            </w:r>
          </w:p>
        </w:tc>
        <w:tc>
          <w:tcPr>
            <w:tcW w:w="1133" w:type="dxa"/>
          </w:tcPr>
          <w:p w14:paraId="0534257B" w14:textId="77777777" w:rsidR="00DD13BF" w:rsidRDefault="00DD13BF" w:rsidP="00355A56">
            <w:pPr>
              <w:pStyle w:val="TableParagraph"/>
              <w:rPr>
                <w:sz w:val="20"/>
              </w:rPr>
            </w:pPr>
            <w:r>
              <w:rPr>
                <w:sz w:val="20"/>
              </w:rPr>
              <w:t>CF</w:t>
            </w:r>
          </w:p>
        </w:tc>
        <w:tc>
          <w:tcPr>
            <w:tcW w:w="3249" w:type="dxa"/>
          </w:tcPr>
          <w:p w14:paraId="3C8E8FCA" w14:textId="77777777" w:rsidR="00DD13BF" w:rsidRPr="00AD5B10" w:rsidRDefault="00DD13BF" w:rsidP="00355A56">
            <w:pPr>
              <w:pStyle w:val="TableParagraph"/>
              <w:rPr>
                <w:sz w:val="20"/>
              </w:rPr>
            </w:pPr>
            <w:r>
              <w:rPr>
                <w:sz w:val="20"/>
              </w:rPr>
              <w:t>Entire Slovenia</w:t>
            </w:r>
          </w:p>
        </w:tc>
        <w:tc>
          <w:tcPr>
            <w:tcW w:w="3099" w:type="dxa"/>
          </w:tcPr>
          <w:p w14:paraId="442F0363" w14:textId="77777777" w:rsidR="00DD13BF" w:rsidRDefault="00DD13BF" w:rsidP="00355A56">
            <w:pPr>
              <w:pStyle w:val="TableParagraph"/>
              <w:rPr>
                <w:sz w:val="20"/>
              </w:rPr>
            </w:pPr>
            <w:r>
              <w:rPr>
                <w:color w:val="000000"/>
                <w:sz w:val="20"/>
              </w:rPr>
              <w:t>RSO2.5</w:t>
            </w:r>
          </w:p>
        </w:tc>
        <w:tc>
          <w:tcPr>
            <w:tcW w:w="1161" w:type="dxa"/>
          </w:tcPr>
          <w:p w14:paraId="5AA1BFFC" w14:textId="77777777" w:rsidR="00DD13BF" w:rsidRDefault="00DD13BF" w:rsidP="00355A56">
            <w:pPr>
              <w:pStyle w:val="TableParagraph"/>
              <w:rPr>
                <w:sz w:val="20"/>
              </w:rPr>
            </w:pPr>
            <w:r>
              <w:rPr>
                <w:sz w:val="20"/>
              </w:rPr>
              <w:t>062</w:t>
            </w:r>
          </w:p>
        </w:tc>
        <w:tc>
          <w:tcPr>
            <w:tcW w:w="2731" w:type="dxa"/>
          </w:tcPr>
          <w:p w14:paraId="0A4F0A48" w14:textId="77777777" w:rsidR="00DD13BF" w:rsidRDefault="00DD13BF" w:rsidP="00355A56">
            <w:pPr>
              <w:pStyle w:val="TableParagraph"/>
              <w:rPr>
                <w:sz w:val="20"/>
              </w:rPr>
            </w:pPr>
            <w:r>
              <w:rPr>
                <w:sz w:val="20"/>
              </w:rPr>
              <w:t>78,430,000</w:t>
            </w:r>
          </w:p>
        </w:tc>
      </w:tr>
      <w:tr w:rsidR="00DD13BF" w14:paraId="44AB5847" w14:textId="77777777" w:rsidTr="00355A56">
        <w:trPr>
          <w:trHeight w:val="353"/>
        </w:trPr>
        <w:tc>
          <w:tcPr>
            <w:tcW w:w="2126" w:type="dxa"/>
          </w:tcPr>
          <w:p w14:paraId="56508B2C" w14:textId="77777777" w:rsidR="00DD13BF" w:rsidRDefault="00DD13BF" w:rsidP="00355A56">
            <w:pPr>
              <w:pStyle w:val="TableParagraph"/>
              <w:rPr>
                <w:sz w:val="20"/>
              </w:rPr>
            </w:pPr>
            <w:r>
              <w:rPr>
                <w:sz w:val="20"/>
              </w:rPr>
              <w:t>3</w:t>
            </w:r>
          </w:p>
        </w:tc>
        <w:tc>
          <w:tcPr>
            <w:tcW w:w="1133" w:type="dxa"/>
          </w:tcPr>
          <w:p w14:paraId="6AF7F04C" w14:textId="77777777" w:rsidR="00DD13BF" w:rsidRDefault="00DD13BF" w:rsidP="00355A56">
            <w:pPr>
              <w:pStyle w:val="TableParagraph"/>
              <w:rPr>
                <w:sz w:val="20"/>
              </w:rPr>
            </w:pPr>
            <w:r>
              <w:rPr>
                <w:sz w:val="20"/>
              </w:rPr>
              <w:t>CF</w:t>
            </w:r>
          </w:p>
        </w:tc>
        <w:tc>
          <w:tcPr>
            <w:tcW w:w="3249" w:type="dxa"/>
          </w:tcPr>
          <w:p w14:paraId="44CA813B" w14:textId="77777777" w:rsidR="00DD13BF" w:rsidRPr="00AD5B10" w:rsidRDefault="00DD13BF" w:rsidP="00355A56">
            <w:pPr>
              <w:pStyle w:val="TableParagraph"/>
              <w:rPr>
                <w:sz w:val="20"/>
              </w:rPr>
            </w:pPr>
            <w:r>
              <w:rPr>
                <w:sz w:val="20"/>
              </w:rPr>
              <w:t>Entire Slovenia</w:t>
            </w:r>
          </w:p>
        </w:tc>
        <w:tc>
          <w:tcPr>
            <w:tcW w:w="3099" w:type="dxa"/>
          </w:tcPr>
          <w:p w14:paraId="27CC8462" w14:textId="77777777" w:rsidR="00DD13BF" w:rsidRDefault="00DD13BF" w:rsidP="00355A56">
            <w:pPr>
              <w:pStyle w:val="TableParagraph"/>
              <w:rPr>
                <w:sz w:val="20"/>
              </w:rPr>
            </w:pPr>
            <w:r>
              <w:rPr>
                <w:color w:val="000000"/>
                <w:sz w:val="20"/>
              </w:rPr>
              <w:t>RSO2.5</w:t>
            </w:r>
          </w:p>
        </w:tc>
        <w:tc>
          <w:tcPr>
            <w:tcW w:w="1161" w:type="dxa"/>
          </w:tcPr>
          <w:p w14:paraId="6BFF762C" w14:textId="77777777" w:rsidR="00DD13BF" w:rsidRPr="0848C57F" w:rsidRDefault="00DD13BF" w:rsidP="00355A56">
            <w:pPr>
              <w:pStyle w:val="TableParagraph"/>
              <w:rPr>
                <w:sz w:val="20"/>
              </w:rPr>
            </w:pPr>
            <w:r>
              <w:rPr>
                <w:sz w:val="20"/>
              </w:rPr>
              <w:t>066</w:t>
            </w:r>
          </w:p>
        </w:tc>
        <w:tc>
          <w:tcPr>
            <w:tcW w:w="2731" w:type="dxa"/>
          </w:tcPr>
          <w:p w14:paraId="42655644" w14:textId="77777777" w:rsidR="00DD13BF" w:rsidRDefault="00DD13BF" w:rsidP="00355A56">
            <w:pPr>
              <w:pStyle w:val="TableParagraph"/>
              <w:rPr>
                <w:sz w:val="20"/>
              </w:rPr>
            </w:pPr>
            <w:r>
              <w:rPr>
                <w:sz w:val="20"/>
              </w:rPr>
              <w:t>76,920,000</w:t>
            </w:r>
          </w:p>
        </w:tc>
      </w:tr>
      <w:tr w:rsidR="00DD13BF" w14:paraId="15242CE3" w14:textId="77777777" w:rsidTr="00355A56">
        <w:trPr>
          <w:trHeight w:val="353"/>
        </w:trPr>
        <w:tc>
          <w:tcPr>
            <w:tcW w:w="2126" w:type="dxa"/>
          </w:tcPr>
          <w:p w14:paraId="7C667302" w14:textId="77777777" w:rsidR="00DD13BF" w:rsidRDefault="00DD13BF" w:rsidP="00355A56">
            <w:pPr>
              <w:pStyle w:val="TableParagraph"/>
              <w:rPr>
                <w:sz w:val="20"/>
              </w:rPr>
            </w:pPr>
            <w:r>
              <w:rPr>
                <w:sz w:val="20"/>
              </w:rPr>
              <w:lastRenderedPageBreak/>
              <w:t>3</w:t>
            </w:r>
          </w:p>
        </w:tc>
        <w:tc>
          <w:tcPr>
            <w:tcW w:w="1133" w:type="dxa"/>
          </w:tcPr>
          <w:p w14:paraId="0156FE0E" w14:textId="77777777" w:rsidR="00DD13BF" w:rsidRDefault="00DD13BF" w:rsidP="00355A56">
            <w:pPr>
              <w:pStyle w:val="TableParagraph"/>
              <w:rPr>
                <w:sz w:val="20"/>
              </w:rPr>
            </w:pPr>
            <w:r>
              <w:rPr>
                <w:sz w:val="20"/>
              </w:rPr>
              <w:t>ERDF</w:t>
            </w:r>
          </w:p>
        </w:tc>
        <w:tc>
          <w:tcPr>
            <w:tcW w:w="3249" w:type="dxa"/>
          </w:tcPr>
          <w:p w14:paraId="015D08FA" w14:textId="77777777" w:rsidR="00DD13BF" w:rsidRPr="00AD5B10" w:rsidRDefault="00DD13BF" w:rsidP="00355A56">
            <w:pPr>
              <w:pStyle w:val="TableParagraph"/>
              <w:rPr>
                <w:sz w:val="20"/>
              </w:rPr>
            </w:pPr>
            <w:r>
              <w:rPr>
                <w:sz w:val="20"/>
              </w:rPr>
              <w:t>More developed</w:t>
            </w:r>
          </w:p>
        </w:tc>
        <w:tc>
          <w:tcPr>
            <w:tcW w:w="3099" w:type="dxa"/>
          </w:tcPr>
          <w:p w14:paraId="692E0089" w14:textId="77777777" w:rsidR="00DD13BF" w:rsidRDefault="00DD13BF" w:rsidP="00355A56">
            <w:pPr>
              <w:pStyle w:val="TableParagraph"/>
              <w:rPr>
                <w:sz w:val="20"/>
              </w:rPr>
            </w:pPr>
            <w:r>
              <w:rPr>
                <w:color w:val="000000"/>
                <w:sz w:val="20"/>
              </w:rPr>
              <w:t>RSO2.5</w:t>
            </w:r>
          </w:p>
        </w:tc>
        <w:tc>
          <w:tcPr>
            <w:tcW w:w="1161" w:type="dxa"/>
          </w:tcPr>
          <w:p w14:paraId="24D7896F" w14:textId="77777777" w:rsidR="00DD13BF" w:rsidRDefault="00DD13BF" w:rsidP="00355A56">
            <w:pPr>
              <w:pStyle w:val="TableParagraph"/>
              <w:rPr>
                <w:sz w:val="20"/>
              </w:rPr>
            </w:pPr>
            <w:r>
              <w:rPr>
                <w:sz w:val="20"/>
              </w:rPr>
              <w:t>066</w:t>
            </w:r>
          </w:p>
        </w:tc>
        <w:tc>
          <w:tcPr>
            <w:tcW w:w="2731" w:type="dxa"/>
          </w:tcPr>
          <w:p w14:paraId="7BC023A3" w14:textId="77777777" w:rsidR="00DD13BF" w:rsidRDefault="00DD13BF" w:rsidP="00355A56">
            <w:pPr>
              <w:pStyle w:val="TableParagraph"/>
              <w:rPr>
                <w:sz w:val="20"/>
              </w:rPr>
            </w:pPr>
            <w:r>
              <w:rPr>
                <w:sz w:val="20"/>
              </w:rPr>
              <w:t>13,306,048</w:t>
            </w:r>
          </w:p>
        </w:tc>
      </w:tr>
    </w:tbl>
    <w:p w14:paraId="27DABFEE" w14:textId="77777777" w:rsidR="00DD13BF" w:rsidRDefault="00DD13BF" w:rsidP="00DD13BF"/>
    <w:p w14:paraId="0E01E189" w14:textId="77777777" w:rsidR="00DD13BF" w:rsidRPr="00673ADB" w:rsidRDefault="00DD13BF" w:rsidP="00DD13BF">
      <w:pPr>
        <w:ind w:left="339"/>
        <w:rPr>
          <w:spacing w:val="-7"/>
        </w:rPr>
      </w:pPr>
      <w:r>
        <w:t>Table 5: Dimension 2 – form of financing</w:t>
      </w:r>
    </w:p>
    <w:p w14:paraId="7935F099"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13A156B" w14:textId="77777777" w:rsidTr="00355A56">
        <w:trPr>
          <w:trHeight w:val="353"/>
        </w:trPr>
        <w:tc>
          <w:tcPr>
            <w:tcW w:w="2088" w:type="dxa"/>
          </w:tcPr>
          <w:p w14:paraId="255C27C0" w14:textId="77777777" w:rsidR="00DD13BF" w:rsidRDefault="00DD13BF" w:rsidP="00355A56">
            <w:pPr>
              <w:pStyle w:val="TableParagraph"/>
              <w:ind w:left="115"/>
            </w:pPr>
            <w:r>
              <w:t>Priority no.</w:t>
            </w:r>
          </w:p>
        </w:tc>
        <w:tc>
          <w:tcPr>
            <w:tcW w:w="1133" w:type="dxa"/>
          </w:tcPr>
          <w:p w14:paraId="5B6DC87D" w14:textId="77777777" w:rsidR="00DD13BF" w:rsidRDefault="00DD13BF" w:rsidP="00355A56">
            <w:pPr>
              <w:pStyle w:val="TableParagraph"/>
              <w:ind w:left="320"/>
            </w:pPr>
            <w:r>
              <w:t>Fund</w:t>
            </w:r>
          </w:p>
        </w:tc>
        <w:tc>
          <w:tcPr>
            <w:tcW w:w="3249" w:type="dxa"/>
          </w:tcPr>
          <w:p w14:paraId="1DB15827" w14:textId="77777777" w:rsidR="00DD13BF" w:rsidRDefault="00DD13BF" w:rsidP="00355A56">
            <w:pPr>
              <w:pStyle w:val="TableParagraph"/>
              <w:ind w:left="907"/>
            </w:pPr>
            <w:r>
              <w:t>Category of region</w:t>
            </w:r>
          </w:p>
        </w:tc>
        <w:tc>
          <w:tcPr>
            <w:tcW w:w="3099" w:type="dxa"/>
          </w:tcPr>
          <w:p w14:paraId="378F837F" w14:textId="77777777" w:rsidR="00DD13BF" w:rsidRDefault="00DD13BF" w:rsidP="00355A56">
            <w:pPr>
              <w:pStyle w:val="TableParagraph"/>
              <w:ind w:left="948"/>
            </w:pPr>
            <w:r>
              <w:t>Specific objective</w:t>
            </w:r>
          </w:p>
        </w:tc>
        <w:tc>
          <w:tcPr>
            <w:tcW w:w="1161" w:type="dxa"/>
          </w:tcPr>
          <w:p w14:paraId="17B462E0" w14:textId="77777777" w:rsidR="00DD13BF" w:rsidRDefault="00DD13BF" w:rsidP="00355A56">
            <w:pPr>
              <w:pStyle w:val="TableParagraph"/>
              <w:ind w:left="333"/>
            </w:pPr>
            <w:r>
              <w:t>Code</w:t>
            </w:r>
          </w:p>
        </w:tc>
        <w:tc>
          <w:tcPr>
            <w:tcW w:w="2731" w:type="dxa"/>
          </w:tcPr>
          <w:p w14:paraId="7E41E6A4" w14:textId="77777777" w:rsidR="00DD13BF" w:rsidRDefault="00DD13BF" w:rsidP="00355A56">
            <w:pPr>
              <w:pStyle w:val="TableParagraph"/>
              <w:spacing w:line="259" w:lineRule="auto"/>
              <w:ind w:left="660"/>
            </w:pPr>
            <w:r>
              <w:t>Amount (in EUR)</w:t>
            </w:r>
          </w:p>
        </w:tc>
      </w:tr>
      <w:tr w:rsidR="00DD13BF" w14:paraId="6741D08D" w14:textId="77777777" w:rsidTr="00355A56">
        <w:trPr>
          <w:trHeight w:val="353"/>
        </w:trPr>
        <w:tc>
          <w:tcPr>
            <w:tcW w:w="2088" w:type="dxa"/>
          </w:tcPr>
          <w:p w14:paraId="6C547CD0" w14:textId="77777777" w:rsidR="00DD13BF" w:rsidRDefault="00DD13BF" w:rsidP="00355A56">
            <w:pPr>
              <w:pStyle w:val="TableParagraph"/>
              <w:rPr>
                <w:sz w:val="20"/>
              </w:rPr>
            </w:pPr>
            <w:r>
              <w:rPr>
                <w:sz w:val="20"/>
              </w:rPr>
              <w:t>3</w:t>
            </w:r>
          </w:p>
        </w:tc>
        <w:tc>
          <w:tcPr>
            <w:tcW w:w="1133" w:type="dxa"/>
          </w:tcPr>
          <w:p w14:paraId="00453AB1" w14:textId="77777777" w:rsidR="00DD13BF" w:rsidRDefault="00DD13BF" w:rsidP="00355A56">
            <w:pPr>
              <w:pStyle w:val="TableParagraph"/>
              <w:rPr>
                <w:sz w:val="20"/>
              </w:rPr>
            </w:pPr>
            <w:r>
              <w:rPr>
                <w:sz w:val="20"/>
              </w:rPr>
              <w:t>ERDF</w:t>
            </w:r>
          </w:p>
        </w:tc>
        <w:tc>
          <w:tcPr>
            <w:tcW w:w="3249" w:type="dxa"/>
          </w:tcPr>
          <w:p w14:paraId="7AE946FA" w14:textId="77777777" w:rsidR="00DD13BF" w:rsidRDefault="00DD13BF" w:rsidP="00355A56">
            <w:pPr>
              <w:pStyle w:val="TableParagraph"/>
              <w:rPr>
                <w:sz w:val="20"/>
              </w:rPr>
            </w:pPr>
            <w:r>
              <w:rPr>
                <w:sz w:val="20"/>
              </w:rPr>
              <w:t>More developed</w:t>
            </w:r>
          </w:p>
        </w:tc>
        <w:tc>
          <w:tcPr>
            <w:tcW w:w="3099" w:type="dxa"/>
          </w:tcPr>
          <w:p w14:paraId="6254EB3E" w14:textId="77777777" w:rsidR="00DD13BF" w:rsidRDefault="00DD13BF" w:rsidP="00355A56">
            <w:pPr>
              <w:pStyle w:val="TableParagraph"/>
              <w:rPr>
                <w:sz w:val="20"/>
              </w:rPr>
            </w:pPr>
            <w:r>
              <w:rPr>
                <w:color w:val="000000"/>
                <w:sz w:val="20"/>
              </w:rPr>
              <w:t>RSO2.5</w:t>
            </w:r>
          </w:p>
        </w:tc>
        <w:tc>
          <w:tcPr>
            <w:tcW w:w="1161" w:type="dxa"/>
          </w:tcPr>
          <w:p w14:paraId="6ED18C80" w14:textId="77777777" w:rsidR="00DD13BF" w:rsidRDefault="00DD13BF" w:rsidP="00355A56">
            <w:pPr>
              <w:pStyle w:val="TableParagraph"/>
              <w:rPr>
                <w:sz w:val="20"/>
              </w:rPr>
            </w:pPr>
            <w:r>
              <w:rPr>
                <w:sz w:val="20"/>
              </w:rPr>
              <w:t>01</w:t>
            </w:r>
          </w:p>
        </w:tc>
        <w:tc>
          <w:tcPr>
            <w:tcW w:w="2731" w:type="dxa"/>
          </w:tcPr>
          <w:p w14:paraId="780808AD" w14:textId="77777777" w:rsidR="00DD13BF" w:rsidRDefault="00DD13BF" w:rsidP="00355A56">
            <w:pPr>
              <w:pStyle w:val="TableParagraph"/>
              <w:rPr>
                <w:sz w:val="20"/>
              </w:rPr>
            </w:pPr>
            <w:r>
              <w:rPr>
                <w:sz w:val="20"/>
              </w:rPr>
              <w:t>13,306,048</w:t>
            </w:r>
          </w:p>
        </w:tc>
      </w:tr>
      <w:tr w:rsidR="00DD13BF" w14:paraId="21FDE364" w14:textId="77777777" w:rsidTr="00355A56">
        <w:trPr>
          <w:trHeight w:val="353"/>
        </w:trPr>
        <w:tc>
          <w:tcPr>
            <w:tcW w:w="2088" w:type="dxa"/>
          </w:tcPr>
          <w:p w14:paraId="62EAAD3A" w14:textId="77777777" w:rsidR="00DD13BF" w:rsidRDefault="00DD13BF" w:rsidP="00355A56">
            <w:pPr>
              <w:pStyle w:val="TableParagraph"/>
              <w:rPr>
                <w:sz w:val="20"/>
              </w:rPr>
            </w:pPr>
            <w:r>
              <w:rPr>
                <w:sz w:val="20"/>
              </w:rPr>
              <w:t>3</w:t>
            </w:r>
          </w:p>
        </w:tc>
        <w:tc>
          <w:tcPr>
            <w:tcW w:w="1133" w:type="dxa"/>
          </w:tcPr>
          <w:p w14:paraId="60047B83" w14:textId="77777777" w:rsidR="00DD13BF" w:rsidRDefault="00DD13BF" w:rsidP="00355A56">
            <w:pPr>
              <w:pStyle w:val="TableParagraph"/>
              <w:rPr>
                <w:sz w:val="20"/>
              </w:rPr>
            </w:pPr>
            <w:r>
              <w:rPr>
                <w:sz w:val="20"/>
              </w:rPr>
              <w:t>CF</w:t>
            </w:r>
          </w:p>
        </w:tc>
        <w:tc>
          <w:tcPr>
            <w:tcW w:w="3249" w:type="dxa"/>
          </w:tcPr>
          <w:p w14:paraId="27032A95" w14:textId="77777777" w:rsidR="00DD13BF" w:rsidRDefault="00DD13BF" w:rsidP="00355A56">
            <w:pPr>
              <w:pStyle w:val="TableParagraph"/>
              <w:rPr>
                <w:sz w:val="20"/>
              </w:rPr>
            </w:pPr>
            <w:r>
              <w:rPr>
                <w:sz w:val="20"/>
              </w:rPr>
              <w:t>Entire Slovenia</w:t>
            </w:r>
          </w:p>
        </w:tc>
        <w:tc>
          <w:tcPr>
            <w:tcW w:w="3099" w:type="dxa"/>
          </w:tcPr>
          <w:p w14:paraId="3F854F60" w14:textId="77777777" w:rsidR="00DD13BF" w:rsidRDefault="00DD13BF" w:rsidP="00355A56">
            <w:pPr>
              <w:pStyle w:val="TableParagraph"/>
              <w:rPr>
                <w:sz w:val="20"/>
              </w:rPr>
            </w:pPr>
            <w:r>
              <w:rPr>
                <w:color w:val="000000"/>
                <w:sz w:val="20"/>
              </w:rPr>
              <w:t>RSO2.5</w:t>
            </w:r>
          </w:p>
        </w:tc>
        <w:tc>
          <w:tcPr>
            <w:tcW w:w="1161" w:type="dxa"/>
          </w:tcPr>
          <w:p w14:paraId="7842E705" w14:textId="77777777" w:rsidR="00DD13BF" w:rsidRDefault="00DD13BF" w:rsidP="00355A56">
            <w:pPr>
              <w:pStyle w:val="TableParagraph"/>
              <w:rPr>
                <w:sz w:val="20"/>
              </w:rPr>
            </w:pPr>
            <w:r>
              <w:rPr>
                <w:sz w:val="20"/>
              </w:rPr>
              <w:t>01</w:t>
            </w:r>
          </w:p>
        </w:tc>
        <w:tc>
          <w:tcPr>
            <w:tcW w:w="2731" w:type="dxa"/>
          </w:tcPr>
          <w:p w14:paraId="39A5A028" w14:textId="77777777" w:rsidR="00DD13BF" w:rsidRDefault="00DD13BF" w:rsidP="00355A56">
            <w:pPr>
              <w:pStyle w:val="TableParagraph"/>
              <w:rPr>
                <w:sz w:val="20"/>
              </w:rPr>
            </w:pPr>
            <w:r>
              <w:rPr>
                <w:sz w:val="20"/>
              </w:rPr>
              <w:t>155,350,000</w:t>
            </w:r>
          </w:p>
        </w:tc>
      </w:tr>
    </w:tbl>
    <w:p w14:paraId="24094A66" w14:textId="77777777" w:rsidR="00DD13BF" w:rsidRDefault="00DD13BF" w:rsidP="00DD13BF">
      <w:pPr>
        <w:rPr>
          <w:sz w:val="20"/>
        </w:rPr>
        <w:sectPr w:rsidR="00DD13BF" w:rsidSect="00BD3536">
          <w:headerReference w:type="default" r:id="rId51"/>
          <w:footerReference w:type="first" r:id="rId52"/>
          <w:type w:val="continuous"/>
          <w:pgSz w:w="16840" w:h="11910" w:orient="landscape"/>
          <w:pgMar w:top="1417" w:right="1417" w:bottom="1417" w:left="1417" w:header="708" w:footer="708" w:gutter="0"/>
          <w:cols w:space="708"/>
          <w:titlePg/>
          <w:docGrid w:linePitch="299"/>
        </w:sectPr>
      </w:pPr>
    </w:p>
    <w:p w14:paraId="1377E115" w14:textId="77777777" w:rsidR="00DD13BF" w:rsidRDefault="00DD13BF" w:rsidP="00DD13BF">
      <w:pPr>
        <w:ind w:left="339"/>
        <w:rPr>
          <w:spacing w:val="-7"/>
        </w:rPr>
      </w:pPr>
    </w:p>
    <w:p w14:paraId="790294AE" w14:textId="77777777" w:rsidR="00DD13BF" w:rsidRDefault="00DD13BF" w:rsidP="00DD13BF">
      <w:pPr>
        <w:ind w:left="339"/>
      </w:pPr>
      <w:r>
        <w:t>Table 6: Dimension 3 – territorial delivery mechanism and territorial focus</w:t>
      </w:r>
    </w:p>
    <w:p w14:paraId="730EBDEF"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992"/>
        <w:gridCol w:w="3249"/>
        <w:gridCol w:w="3130"/>
        <w:gridCol w:w="1161"/>
        <w:gridCol w:w="2808"/>
      </w:tblGrid>
      <w:tr w:rsidR="00DD13BF" w14:paraId="26E388CA" w14:textId="77777777" w:rsidTr="00355A56">
        <w:trPr>
          <w:trHeight w:val="353"/>
        </w:trPr>
        <w:tc>
          <w:tcPr>
            <w:tcW w:w="2126" w:type="dxa"/>
          </w:tcPr>
          <w:p w14:paraId="17997B3A" w14:textId="77777777" w:rsidR="00DD13BF" w:rsidRDefault="00DD13BF" w:rsidP="00355A56">
            <w:pPr>
              <w:pStyle w:val="TableParagraph"/>
              <w:ind w:left="146" w:hanging="31"/>
            </w:pPr>
            <w:r>
              <w:t>Priority no.</w:t>
            </w:r>
          </w:p>
        </w:tc>
        <w:tc>
          <w:tcPr>
            <w:tcW w:w="992" w:type="dxa"/>
          </w:tcPr>
          <w:p w14:paraId="76192E38" w14:textId="77777777" w:rsidR="00DD13BF" w:rsidRDefault="00DD13BF" w:rsidP="00355A56">
            <w:pPr>
              <w:pStyle w:val="TableParagraph"/>
              <w:ind w:left="320"/>
            </w:pPr>
            <w:r>
              <w:t>Fund</w:t>
            </w:r>
          </w:p>
        </w:tc>
        <w:tc>
          <w:tcPr>
            <w:tcW w:w="3249" w:type="dxa"/>
          </w:tcPr>
          <w:p w14:paraId="3F0F057E" w14:textId="77777777" w:rsidR="00DD13BF" w:rsidRDefault="00DD13BF" w:rsidP="00355A56">
            <w:pPr>
              <w:pStyle w:val="TableParagraph"/>
              <w:ind w:left="907"/>
            </w:pPr>
            <w:r>
              <w:t>Category of region</w:t>
            </w:r>
          </w:p>
        </w:tc>
        <w:tc>
          <w:tcPr>
            <w:tcW w:w="3130" w:type="dxa"/>
          </w:tcPr>
          <w:p w14:paraId="3E528306" w14:textId="77777777" w:rsidR="00DD13BF" w:rsidRDefault="00DD13BF" w:rsidP="00355A56">
            <w:pPr>
              <w:pStyle w:val="TableParagraph"/>
              <w:ind w:left="948"/>
            </w:pPr>
            <w:r>
              <w:t>Specific objective</w:t>
            </w:r>
          </w:p>
        </w:tc>
        <w:tc>
          <w:tcPr>
            <w:tcW w:w="1161" w:type="dxa"/>
          </w:tcPr>
          <w:p w14:paraId="7E794542" w14:textId="77777777" w:rsidR="00DD13BF" w:rsidRDefault="00DD13BF" w:rsidP="00355A56">
            <w:pPr>
              <w:pStyle w:val="TableParagraph"/>
              <w:ind w:left="333"/>
            </w:pPr>
            <w:r>
              <w:t>Code</w:t>
            </w:r>
          </w:p>
        </w:tc>
        <w:tc>
          <w:tcPr>
            <w:tcW w:w="2808" w:type="dxa"/>
          </w:tcPr>
          <w:p w14:paraId="0D62EB24" w14:textId="77777777" w:rsidR="00DD13BF" w:rsidRDefault="00DD13BF" w:rsidP="00355A56">
            <w:pPr>
              <w:pStyle w:val="TableParagraph"/>
              <w:ind w:left="660"/>
            </w:pPr>
            <w:r>
              <w:t>Amount (in EUR)</w:t>
            </w:r>
          </w:p>
        </w:tc>
      </w:tr>
      <w:tr w:rsidR="00DD13BF" w14:paraId="2617589F" w14:textId="77777777" w:rsidTr="00355A56">
        <w:trPr>
          <w:trHeight w:val="353"/>
        </w:trPr>
        <w:tc>
          <w:tcPr>
            <w:tcW w:w="2126" w:type="dxa"/>
          </w:tcPr>
          <w:p w14:paraId="02037684" w14:textId="77777777" w:rsidR="00DD13BF" w:rsidRDefault="00DD13BF" w:rsidP="00355A56">
            <w:pPr>
              <w:pStyle w:val="TableParagraph"/>
              <w:ind w:left="115" w:hanging="115"/>
              <w:rPr>
                <w:spacing w:val="-2"/>
              </w:rPr>
            </w:pPr>
            <w:r>
              <w:rPr>
                <w:sz w:val="20"/>
              </w:rPr>
              <w:t>3</w:t>
            </w:r>
          </w:p>
        </w:tc>
        <w:tc>
          <w:tcPr>
            <w:tcW w:w="992" w:type="dxa"/>
          </w:tcPr>
          <w:p w14:paraId="59E66438" w14:textId="77777777" w:rsidR="00DD13BF" w:rsidRDefault="00DD13BF" w:rsidP="00355A56">
            <w:pPr>
              <w:pStyle w:val="TableParagraph"/>
              <w:ind w:left="115" w:hanging="115"/>
            </w:pPr>
            <w:r>
              <w:rPr>
                <w:sz w:val="20"/>
              </w:rPr>
              <w:t>ERDF</w:t>
            </w:r>
          </w:p>
        </w:tc>
        <w:tc>
          <w:tcPr>
            <w:tcW w:w="3249" w:type="dxa"/>
          </w:tcPr>
          <w:p w14:paraId="769F9002" w14:textId="77777777" w:rsidR="00DD13BF" w:rsidRDefault="00DD13BF" w:rsidP="00355A56">
            <w:pPr>
              <w:pStyle w:val="TableParagraph"/>
              <w:ind w:left="115" w:hanging="115"/>
              <w:rPr>
                <w:spacing w:val="-3"/>
              </w:rPr>
            </w:pPr>
            <w:r>
              <w:rPr>
                <w:sz w:val="20"/>
              </w:rPr>
              <w:t>More developed</w:t>
            </w:r>
          </w:p>
        </w:tc>
        <w:tc>
          <w:tcPr>
            <w:tcW w:w="3130" w:type="dxa"/>
          </w:tcPr>
          <w:p w14:paraId="6264A17F" w14:textId="77777777" w:rsidR="00DD13BF" w:rsidRPr="00787FC6" w:rsidRDefault="00DD13BF" w:rsidP="00355A56">
            <w:pPr>
              <w:pStyle w:val="TableParagraph"/>
              <w:ind w:left="115" w:hanging="115"/>
              <w:rPr>
                <w:spacing w:val="-4"/>
              </w:rPr>
            </w:pPr>
            <w:r>
              <w:rPr>
                <w:color w:val="000000"/>
                <w:sz w:val="20"/>
              </w:rPr>
              <w:t>RSO2.5</w:t>
            </w:r>
          </w:p>
        </w:tc>
        <w:tc>
          <w:tcPr>
            <w:tcW w:w="1161" w:type="dxa"/>
          </w:tcPr>
          <w:p w14:paraId="4994803E" w14:textId="77777777" w:rsidR="00DD13BF" w:rsidRDefault="00DD13BF" w:rsidP="00355A56">
            <w:pPr>
              <w:pStyle w:val="TableParagraph"/>
              <w:ind w:left="115" w:hanging="115"/>
            </w:pPr>
            <w:r>
              <w:rPr>
                <w:sz w:val="20"/>
              </w:rPr>
              <w:t>24</w:t>
            </w:r>
          </w:p>
        </w:tc>
        <w:tc>
          <w:tcPr>
            <w:tcW w:w="2808" w:type="dxa"/>
          </w:tcPr>
          <w:p w14:paraId="6108B512" w14:textId="77777777" w:rsidR="00DD13BF" w:rsidRDefault="00DD13BF" w:rsidP="00355A56">
            <w:pPr>
              <w:pStyle w:val="TableParagraph"/>
              <w:ind w:left="115" w:hanging="115"/>
            </w:pPr>
            <w:r>
              <w:rPr>
                <w:sz w:val="20"/>
              </w:rPr>
              <w:t>13,306,048</w:t>
            </w:r>
          </w:p>
        </w:tc>
      </w:tr>
      <w:tr w:rsidR="00DD13BF" w14:paraId="5F69C7D4" w14:textId="77777777" w:rsidTr="00355A56">
        <w:trPr>
          <w:trHeight w:val="353"/>
        </w:trPr>
        <w:tc>
          <w:tcPr>
            <w:tcW w:w="2126" w:type="dxa"/>
          </w:tcPr>
          <w:p w14:paraId="68AF8082" w14:textId="77777777" w:rsidR="00DD13BF" w:rsidRDefault="00DD13BF" w:rsidP="00355A56">
            <w:pPr>
              <w:pStyle w:val="TableParagraph"/>
              <w:ind w:left="115" w:hanging="115"/>
              <w:rPr>
                <w:spacing w:val="-2"/>
              </w:rPr>
            </w:pPr>
            <w:r>
              <w:rPr>
                <w:sz w:val="20"/>
              </w:rPr>
              <w:t>3</w:t>
            </w:r>
          </w:p>
        </w:tc>
        <w:tc>
          <w:tcPr>
            <w:tcW w:w="992" w:type="dxa"/>
          </w:tcPr>
          <w:p w14:paraId="2FE1F6A2" w14:textId="77777777" w:rsidR="00DD13BF" w:rsidRDefault="00DD13BF" w:rsidP="00355A56">
            <w:pPr>
              <w:pStyle w:val="TableParagraph"/>
              <w:ind w:left="115" w:hanging="115"/>
            </w:pPr>
            <w:r>
              <w:rPr>
                <w:sz w:val="20"/>
              </w:rPr>
              <w:t>CF</w:t>
            </w:r>
          </w:p>
        </w:tc>
        <w:tc>
          <w:tcPr>
            <w:tcW w:w="3249" w:type="dxa"/>
          </w:tcPr>
          <w:p w14:paraId="0ABF84EA" w14:textId="77777777" w:rsidR="00DD13BF" w:rsidRDefault="00DD13BF" w:rsidP="00355A56">
            <w:pPr>
              <w:pStyle w:val="TableParagraph"/>
              <w:ind w:left="115" w:hanging="115"/>
              <w:rPr>
                <w:spacing w:val="-3"/>
              </w:rPr>
            </w:pPr>
            <w:r>
              <w:rPr>
                <w:sz w:val="20"/>
              </w:rPr>
              <w:t>Entire Slovenia</w:t>
            </w:r>
          </w:p>
        </w:tc>
        <w:tc>
          <w:tcPr>
            <w:tcW w:w="3130" w:type="dxa"/>
          </w:tcPr>
          <w:p w14:paraId="705AB33C" w14:textId="77777777" w:rsidR="00DD13BF" w:rsidRPr="00787FC6" w:rsidRDefault="00DD13BF" w:rsidP="00355A56">
            <w:pPr>
              <w:pStyle w:val="TableParagraph"/>
              <w:ind w:left="115" w:hanging="115"/>
              <w:rPr>
                <w:spacing w:val="-4"/>
              </w:rPr>
            </w:pPr>
            <w:r>
              <w:rPr>
                <w:color w:val="000000"/>
                <w:sz w:val="20"/>
              </w:rPr>
              <w:t>RSO2.5</w:t>
            </w:r>
          </w:p>
        </w:tc>
        <w:tc>
          <w:tcPr>
            <w:tcW w:w="1161" w:type="dxa"/>
          </w:tcPr>
          <w:p w14:paraId="629B07C5" w14:textId="77777777" w:rsidR="00DD13BF" w:rsidRPr="004F5B33" w:rsidRDefault="00DD13BF" w:rsidP="00355A56">
            <w:pPr>
              <w:pStyle w:val="TableParagraph"/>
              <w:ind w:left="115" w:hanging="115"/>
            </w:pPr>
            <w:r>
              <w:rPr>
                <w:sz w:val="20"/>
              </w:rPr>
              <w:t>24</w:t>
            </w:r>
          </w:p>
        </w:tc>
        <w:tc>
          <w:tcPr>
            <w:tcW w:w="2808" w:type="dxa"/>
          </w:tcPr>
          <w:p w14:paraId="7085FDE2" w14:textId="77777777" w:rsidR="00DD13BF" w:rsidRDefault="00DD13BF" w:rsidP="00355A56">
            <w:pPr>
              <w:pStyle w:val="TableParagraph"/>
              <w:ind w:left="115" w:hanging="115"/>
            </w:pPr>
            <w:r>
              <w:rPr>
                <w:sz w:val="20"/>
              </w:rPr>
              <w:t>76,920,000</w:t>
            </w:r>
          </w:p>
        </w:tc>
      </w:tr>
      <w:tr w:rsidR="00DD13BF" w14:paraId="07F78251" w14:textId="77777777" w:rsidTr="00355A56">
        <w:trPr>
          <w:trHeight w:val="353"/>
        </w:trPr>
        <w:tc>
          <w:tcPr>
            <w:tcW w:w="2126" w:type="dxa"/>
          </w:tcPr>
          <w:p w14:paraId="7823EC40" w14:textId="77777777" w:rsidR="00DD13BF" w:rsidRDefault="00DD13BF" w:rsidP="00355A56">
            <w:pPr>
              <w:pStyle w:val="TableParagraph"/>
              <w:ind w:left="115" w:hanging="115"/>
              <w:rPr>
                <w:spacing w:val="-2"/>
              </w:rPr>
            </w:pPr>
            <w:r>
              <w:rPr>
                <w:sz w:val="20"/>
              </w:rPr>
              <w:t>3</w:t>
            </w:r>
          </w:p>
        </w:tc>
        <w:tc>
          <w:tcPr>
            <w:tcW w:w="992" w:type="dxa"/>
          </w:tcPr>
          <w:p w14:paraId="152B4418" w14:textId="77777777" w:rsidR="00DD13BF" w:rsidRDefault="00DD13BF" w:rsidP="00355A56">
            <w:pPr>
              <w:pStyle w:val="TableParagraph"/>
              <w:ind w:left="115" w:hanging="115"/>
            </w:pPr>
            <w:r>
              <w:rPr>
                <w:sz w:val="20"/>
              </w:rPr>
              <w:t>CF</w:t>
            </w:r>
          </w:p>
        </w:tc>
        <w:tc>
          <w:tcPr>
            <w:tcW w:w="3249" w:type="dxa"/>
          </w:tcPr>
          <w:p w14:paraId="37E0157A" w14:textId="77777777" w:rsidR="00DD13BF" w:rsidRDefault="00DD13BF" w:rsidP="00355A56">
            <w:pPr>
              <w:pStyle w:val="TableParagraph"/>
              <w:ind w:left="115" w:hanging="115"/>
              <w:rPr>
                <w:spacing w:val="-3"/>
              </w:rPr>
            </w:pPr>
            <w:r>
              <w:rPr>
                <w:sz w:val="20"/>
              </w:rPr>
              <w:t>Entire Slovenia</w:t>
            </w:r>
          </w:p>
        </w:tc>
        <w:tc>
          <w:tcPr>
            <w:tcW w:w="3130" w:type="dxa"/>
          </w:tcPr>
          <w:p w14:paraId="2AA4AB1C" w14:textId="77777777" w:rsidR="00DD13BF" w:rsidRPr="00787FC6" w:rsidRDefault="00DD13BF" w:rsidP="00355A56">
            <w:pPr>
              <w:pStyle w:val="TableParagraph"/>
              <w:ind w:left="115" w:hanging="115"/>
              <w:rPr>
                <w:spacing w:val="-4"/>
              </w:rPr>
            </w:pPr>
            <w:r>
              <w:rPr>
                <w:color w:val="000000"/>
                <w:sz w:val="20"/>
              </w:rPr>
              <w:t>RSO2.5</w:t>
            </w:r>
          </w:p>
        </w:tc>
        <w:tc>
          <w:tcPr>
            <w:tcW w:w="1161" w:type="dxa"/>
          </w:tcPr>
          <w:p w14:paraId="0A451715" w14:textId="77777777" w:rsidR="00DD13BF" w:rsidRPr="004F5B33" w:rsidRDefault="00DD13BF" w:rsidP="00355A56">
            <w:pPr>
              <w:pStyle w:val="TableParagraph"/>
              <w:ind w:left="115" w:hanging="115"/>
            </w:pPr>
            <w:r>
              <w:rPr>
                <w:sz w:val="20"/>
              </w:rPr>
              <w:t>33</w:t>
            </w:r>
          </w:p>
        </w:tc>
        <w:tc>
          <w:tcPr>
            <w:tcW w:w="2808" w:type="dxa"/>
          </w:tcPr>
          <w:p w14:paraId="1793462A" w14:textId="77777777" w:rsidR="00DD13BF" w:rsidRDefault="00DD13BF" w:rsidP="00355A56">
            <w:pPr>
              <w:pStyle w:val="TableParagraph"/>
              <w:ind w:left="115" w:hanging="115"/>
            </w:pPr>
            <w:r>
              <w:rPr>
                <w:sz w:val="20"/>
              </w:rPr>
              <w:t>78,430,000</w:t>
            </w:r>
          </w:p>
        </w:tc>
      </w:tr>
    </w:tbl>
    <w:p w14:paraId="3D4F14B9" w14:textId="77777777" w:rsidR="00DD13BF" w:rsidRDefault="00DD13BF" w:rsidP="00DD13BF">
      <w:pPr>
        <w:ind w:left="115"/>
      </w:pPr>
    </w:p>
    <w:p w14:paraId="1DDAD8FF" w14:textId="77777777" w:rsidR="00DD13BF" w:rsidRDefault="00DD13BF" w:rsidP="00DD13BF">
      <w:pPr>
        <w:ind w:left="115"/>
      </w:pPr>
      <w:r>
        <w:t>Table 7: Dimension 6 – ESF+ secondary themes</w:t>
      </w:r>
    </w:p>
    <w:p w14:paraId="6FC375AB"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31FBC9F" w14:textId="77777777" w:rsidTr="00355A56">
        <w:trPr>
          <w:trHeight w:val="353"/>
        </w:trPr>
        <w:tc>
          <w:tcPr>
            <w:tcW w:w="2088" w:type="dxa"/>
          </w:tcPr>
          <w:p w14:paraId="38860274" w14:textId="77777777" w:rsidR="00DD13BF" w:rsidRDefault="00DD13BF" w:rsidP="00355A56">
            <w:pPr>
              <w:pStyle w:val="TableParagraph"/>
              <w:ind w:left="115"/>
            </w:pPr>
            <w:r>
              <w:t>Priority no.</w:t>
            </w:r>
          </w:p>
        </w:tc>
        <w:tc>
          <w:tcPr>
            <w:tcW w:w="1132" w:type="dxa"/>
          </w:tcPr>
          <w:p w14:paraId="0818F42F" w14:textId="77777777" w:rsidR="00DD13BF" w:rsidRDefault="00DD13BF" w:rsidP="00355A56">
            <w:pPr>
              <w:pStyle w:val="TableParagraph"/>
              <w:ind w:left="321"/>
            </w:pPr>
            <w:r>
              <w:t>Fund</w:t>
            </w:r>
          </w:p>
        </w:tc>
        <w:tc>
          <w:tcPr>
            <w:tcW w:w="3248" w:type="dxa"/>
          </w:tcPr>
          <w:p w14:paraId="405C72F6" w14:textId="77777777" w:rsidR="00DD13BF" w:rsidRDefault="00DD13BF" w:rsidP="00355A56">
            <w:pPr>
              <w:pStyle w:val="TableParagraph"/>
              <w:ind w:left="909"/>
            </w:pPr>
            <w:r>
              <w:t>Category of region</w:t>
            </w:r>
          </w:p>
        </w:tc>
        <w:tc>
          <w:tcPr>
            <w:tcW w:w="3098" w:type="dxa"/>
          </w:tcPr>
          <w:p w14:paraId="35B31093" w14:textId="77777777" w:rsidR="00DD13BF" w:rsidRDefault="00DD13BF" w:rsidP="00355A56">
            <w:pPr>
              <w:pStyle w:val="TableParagraph"/>
              <w:ind w:left="950"/>
            </w:pPr>
            <w:r>
              <w:t>Specific objective</w:t>
            </w:r>
          </w:p>
        </w:tc>
        <w:tc>
          <w:tcPr>
            <w:tcW w:w="1160" w:type="dxa"/>
          </w:tcPr>
          <w:p w14:paraId="318F9CA3" w14:textId="77777777" w:rsidR="00DD13BF" w:rsidRDefault="00DD13BF" w:rsidP="00355A56">
            <w:pPr>
              <w:pStyle w:val="TableParagraph"/>
              <w:ind w:left="337"/>
            </w:pPr>
            <w:r>
              <w:t>Code</w:t>
            </w:r>
          </w:p>
        </w:tc>
        <w:tc>
          <w:tcPr>
            <w:tcW w:w="2730" w:type="dxa"/>
          </w:tcPr>
          <w:p w14:paraId="6D78ECC2" w14:textId="77777777" w:rsidR="00DD13BF" w:rsidRDefault="00DD13BF" w:rsidP="00355A56">
            <w:pPr>
              <w:pStyle w:val="TableParagraph"/>
              <w:ind w:left="665"/>
            </w:pPr>
            <w:r>
              <w:t>Amount (in EUR)</w:t>
            </w:r>
          </w:p>
        </w:tc>
      </w:tr>
    </w:tbl>
    <w:p w14:paraId="0393FA34" w14:textId="77777777" w:rsidR="00DD13BF" w:rsidRPr="00673ADB" w:rsidRDefault="00DD13BF" w:rsidP="00DD13BF"/>
    <w:p w14:paraId="5EF25995" w14:textId="77777777" w:rsidR="00DD13BF" w:rsidRDefault="00DD13BF" w:rsidP="00DD13BF">
      <w:pPr>
        <w:ind w:left="339"/>
      </w:pPr>
      <w:r>
        <w:t>Table 8: Dimension 7 – ESF+*, ERDF, Cohesion Fund and JTF gender equality dimension</w:t>
      </w:r>
    </w:p>
    <w:p w14:paraId="126387EB" w14:textId="77777777" w:rsidR="00DD13BF" w:rsidRDefault="00DD13BF" w:rsidP="00DD13BF">
      <w:pPr>
        <w:rPr>
          <w:sz w:val="21"/>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F8F08AD" w14:textId="77777777" w:rsidTr="00355A56">
        <w:trPr>
          <w:trHeight w:val="353"/>
        </w:trPr>
        <w:tc>
          <w:tcPr>
            <w:tcW w:w="2088" w:type="dxa"/>
          </w:tcPr>
          <w:p w14:paraId="0F61ED3C" w14:textId="77777777" w:rsidR="00DD13BF" w:rsidRDefault="00DD13BF" w:rsidP="00355A56">
            <w:pPr>
              <w:pStyle w:val="TableParagraph"/>
              <w:ind w:left="115"/>
            </w:pPr>
            <w:r>
              <w:t>Priority no.</w:t>
            </w:r>
          </w:p>
        </w:tc>
        <w:tc>
          <w:tcPr>
            <w:tcW w:w="1132" w:type="dxa"/>
          </w:tcPr>
          <w:p w14:paraId="3AD6C661" w14:textId="77777777" w:rsidR="00DD13BF" w:rsidRPr="004F5B33" w:rsidRDefault="00DD13BF" w:rsidP="00355A56">
            <w:pPr>
              <w:pStyle w:val="TableParagraph"/>
              <w:ind w:left="308" w:hanging="115"/>
              <w:rPr>
                <w:sz w:val="20"/>
              </w:rPr>
            </w:pPr>
            <w:r>
              <w:rPr>
                <w:sz w:val="20"/>
              </w:rPr>
              <w:t>Fund</w:t>
            </w:r>
          </w:p>
        </w:tc>
        <w:tc>
          <w:tcPr>
            <w:tcW w:w="3248" w:type="dxa"/>
          </w:tcPr>
          <w:p w14:paraId="5C8537D3" w14:textId="77777777" w:rsidR="00DD13BF" w:rsidRDefault="00DD13BF" w:rsidP="00355A56">
            <w:pPr>
              <w:pStyle w:val="TableParagraph"/>
              <w:ind w:left="908"/>
            </w:pPr>
            <w:r>
              <w:t>Category of region</w:t>
            </w:r>
          </w:p>
        </w:tc>
        <w:tc>
          <w:tcPr>
            <w:tcW w:w="3098" w:type="dxa"/>
          </w:tcPr>
          <w:p w14:paraId="7DBB8984" w14:textId="77777777" w:rsidR="00DD13BF" w:rsidRDefault="00DD13BF" w:rsidP="00355A56">
            <w:pPr>
              <w:pStyle w:val="TableParagraph"/>
              <w:ind w:left="950"/>
            </w:pPr>
            <w:r>
              <w:t>Specific objective</w:t>
            </w:r>
          </w:p>
        </w:tc>
        <w:tc>
          <w:tcPr>
            <w:tcW w:w="1160" w:type="dxa"/>
          </w:tcPr>
          <w:p w14:paraId="1E97946D" w14:textId="77777777" w:rsidR="00DD13BF" w:rsidRDefault="00DD13BF" w:rsidP="00355A56">
            <w:pPr>
              <w:pStyle w:val="TableParagraph"/>
              <w:ind w:left="336"/>
            </w:pPr>
            <w:r>
              <w:t>Code</w:t>
            </w:r>
          </w:p>
        </w:tc>
        <w:tc>
          <w:tcPr>
            <w:tcW w:w="2730" w:type="dxa"/>
          </w:tcPr>
          <w:p w14:paraId="3825DCA9" w14:textId="77777777" w:rsidR="00DD13BF" w:rsidRDefault="00DD13BF" w:rsidP="00355A56">
            <w:pPr>
              <w:pStyle w:val="TableParagraph"/>
              <w:ind w:left="664"/>
            </w:pPr>
            <w:r>
              <w:t>Amount (in EUR)</w:t>
            </w:r>
          </w:p>
        </w:tc>
      </w:tr>
      <w:tr w:rsidR="00DD13BF" w14:paraId="0A60F39F" w14:textId="77777777" w:rsidTr="00355A56">
        <w:trPr>
          <w:trHeight w:val="353"/>
        </w:trPr>
        <w:tc>
          <w:tcPr>
            <w:tcW w:w="2088" w:type="dxa"/>
          </w:tcPr>
          <w:p w14:paraId="4D4CA10D" w14:textId="77777777" w:rsidR="00DD13BF" w:rsidRDefault="00DD13BF" w:rsidP="00355A56">
            <w:pPr>
              <w:pStyle w:val="TableParagraph"/>
              <w:ind w:left="115" w:right="-85" w:hanging="68"/>
              <w:rPr>
                <w:spacing w:val="-2"/>
              </w:rPr>
            </w:pPr>
            <w:r>
              <w:rPr>
                <w:sz w:val="20"/>
              </w:rPr>
              <w:t>3</w:t>
            </w:r>
          </w:p>
        </w:tc>
        <w:tc>
          <w:tcPr>
            <w:tcW w:w="1132" w:type="dxa"/>
          </w:tcPr>
          <w:p w14:paraId="0FCB3F26" w14:textId="77777777" w:rsidR="00DD13BF" w:rsidRPr="004F5B33" w:rsidRDefault="00DD13BF" w:rsidP="00355A56">
            <w:pPr>
              <w:pStyle w:val="TableParagraph"/>
              <w:ind w:left="115" w:hanging="115"/>
              <w:rPr>
                <w:sz w:val="20"/>
              </w:rPr>
            </w:pPr>
            <w:r>
              <w:rPr>
                <w:sz w:val="20"/>
              </w:rPr>
              <w:t>ERDF</w:t>
            </w:r>
          </w:p>
        </w:tc>
        <w:tc>
          <w:tcPr>
            <w:tcW w:w="3248" w:type="dxa"/>
          </w:tcPr>
          <w:p w14:paraId="03425CF7" w14:textId="77777777" w:rsidR="00DD13BF" w:rsidRDefault="00DD13BF" w:rsidP="00355A56">
            <w:pPr>
              <w:pStyle w:val="TableParagraph"/>
              <w:ind w:right="-85" w:firstLine="19"/>
              <w:rPr>
                <w:spacing w:val="-3"/>
              </w:rPr>
            </w:pPr>
            <w:r>
              <w:rPr>
                <w:sz w:val="20"/>
              </w:rPr>
              <w:t>More developed</w:t>
            </w:r>
          </w:p>
        </w:tc>
        <w:tc>
          <w:tcPr>
            <w:tcW w:w="3098" w:type="dxa"/>
          </w:tcPr>
          <w:p w14:paraId="23F52023" w14:textId="77777777" w:rsidR="00DD13BF" w:rsidRDefault="00DD13BF" w:rsidP="00355A56">
            <w:pPr>
              <w:pStyle w:val="TableParagraph"/>
              <w:ind w:right="-85" w:hanging="15"/>
              <w:rPr>
                <w:spacing w:val="-4"/>
              </w:rPr>
            </w:pPr>
            <w:r>
              <w:rPr>
                <w:color w:val="000000"/>
                <w:sz w:val="20"/>
              </w:rPr>
              <w:t>RSO2.5</w:t>
            </w:r>
          </w:p>
        </w:tc>
        <w:tc>
          <w:tcPr>
            <w:tcW w:w="1160" w:type="dxa"/>
          </w:tcPr>
          <w:p w14:paraId="0DDE9F3C" w14:textId="77777777" w:rsidR="00DD13BF" w:rsidRDefault="00DD13BF" w:rsidP="00355A56">
            <w:pPr>
              <w:pStyle w:val="TableParagraph"/>
              <w:ind w:left="336" w:right="-85" w:hanging="336"/>
              <w:jc w:val="both"/>
            </w:pPr>
            <w:r>
              <w:rPr>
                <w:sz w:val="20"/>
              </w:rPr>
              <w:t>03</w:t>
            </w:r>
          </w:p>
        </w:tc>
        <w:tc>
          <w:tcPr>
            <w:tcW w:w="2730" w:type="dxa"/>
          </w:tcPr>
          <w:p w14:paraId="308F73F9" w14:textId="77777777" w:rsidR="00DD13BF" w:rsidRDefault="00DD13BF" w:rsidP="00355A56">
            <w:pPr>
              <w:pStyle w:val="TableParagraph"/>
              <w:ind w:left="664" w:right="-85" w:hanging="664"/>
              <w:jc w:val="both"/>
            </w:pPr>
            <w:r>
              <w:rPr>
                <w:sz w:val="20"/>
              </w:rPr>
              <w:t>13,306,048</w:t>
            </w:r>
          </w:p>
        </w:tc>
      </w:tr>
      <w:tr w:rsidR="00DD13BF" w14:paraId="0A8CAD76" w14:textId="77777777" w:rsidTr="00355A56">
        <w:trPr>
          <w:trHeight w:val="353"/>
        </w:trPr>
        <w:tc>
          <w:tcPr>
            <w:tcW w:w="2088" w:type="dxa"/>
          </w:tcPr>
          <w:p w14:paraId="446EDE46" w14:textId="77777777" w:rsidR="00DD13BF" w:rsidRDefault="00DD13BF" w:rsidP="00355A56">
            <w:pPr>
              <w:pStyle w:val="TableParagraph"/>
              <w:ind w:left="115" w:hanging="68"/>
              <w:rPr>
                <w:spacing w:val="-2"/>
              </w:rPr>
            </w:pPr>
            <w:r>
              <w:rPr>
                <w:sz w:val="20"/>
              </w:rPr>
              <w:t>3</w:t>
            </w:r>
          </w:p>
        </w:tc>
        <w:tc>
          <w:tcPr>
            <w:tcW w:w="1132" w:type="dxa"/>
          </w:tcPr>
          <w:p w14:paraId="6C51F027" w14:textId="77777777" w:rsidR="00DD13BF" w:rsidRPr="004F5B33" w:rsidRDefault="00DD13BF" w:rsidP="00355A56">
            <w:pPr>
              <w:pStyle w:val="TableParagraph"/>
              <w:ind w:left="115" w:hanging="115"/>
              <w:rPr>
                <w:sz w:val="20"/>
              </w:rPr>
            </w:pPr>
            <w:r>
              <w:rPr>
                <w:sz w:val="20"/>
              </w:rPr>
              <w:t>CF</w:t>
            </w:r>
          </w:p>
        </w:tc>
        <w:tc>
          <w:tcPr>
            <w:tcW w:w="3248" w:type="dxa"/>
          </w:tcPr>
          <w:p w14:paraId="1E77085F" w14:textId="77777777" w:rsidR="00DD13BF" w:rsidRDefault="00DD13BF" w:rsidP="00355A56">
            <w:pPr>
              <w:pStyle w:val="TableParagraph"/>
              <w:ind w:firstLine="19"/>
              <w:rPr>
                <w:spacing w:val="-3"/>
              </w:rPr>
            </w:pPr>
            <w:r>
              <w:rPr>
                <w:sz w:val="20"/>
              </w:rPr>
              <w:t>Entire Slovenia</w:t>
            </w:r>
          </w:p>
        </w:tc>
        <w:tc>
          <w:tcPr>
            <w:tcW w:w="3098" w:type="dxa"/>
          </w:tcPr>
          <w:p w14:paraId="5788F642" w14:textId="77777777" w:rsidR="00DD13BF" w:rsidRDefault="00DD13BF" w:rsidP="00355A56">
            <w:pPr>
              <w:pStyle w:val="TableParagraph"/>
              <w:ind w:hanging="15"/>
              <w:rPr>
                <w:spacing w:val="-4"/>
              </w:rPr>
            </w:pPr>
            <w:r>
              <w:rPr>
                <w:color w:val="000000"/>
                <w:sz w:val="20"/>
              </w:rPr>
              <w:t>RSO2.5</w:t>
            </w:r>
          </w:p>
        </w:tc>
        <w:tc>
          <w:tcPr>
            <w:tcW w:w="1160" w:type="dxa"/>
          </w:tcPr>
          <w:p w14:paraId="3C5C2256" w14:textId="77777777" w:rsidR="00DD13BF" w:rsidRDefault="00DD13BF" w:rsidP="00355A56">
            <w:pPr>
              <w:pStyle w:val="TableParagraph"/>
              <w:ind w:left="336" w:hanging="336"/>
              <w:jc w:val="both"/>
            </w:pPr>
            <w:r>
              <w:rPr>
                <w:sz w:val="20"/>
              </w:rPr>
              <w:t>03</w:t>
            </w:r>
          </w:p>
        </w:tc>
        <w:tc>
          <w:tcPr>
            <w:tcW w:w="2730" w:type="dxa"/>
          </w:tcPr>
          <w:p w14:paraId="359E0759" w14:textId="77777777" w:rsidR="00DD13BF" w:rsidRDefault="00DD13BF" w:rsidP="00355A56">
            <w:pPr>
              <w:pStyle w:val="TableParagraph"/>
              <w:ind w:left="664" w:hanging="664"/>
              <w:jc w:val="both"/>
            </w:pPr>
            <w:r>
              <w:rPr>
                <w:sz w:val="20"/>
              </w:rPr>
              <w:t>155,350,000</w:t>
            </w:r>
          </w:p>
        </w:tc>
      </w:tr>
    </w:tbl>
    <w:p w14:paraId="51E75052" w14:textId="77777777" w:rsidR="00DD13BF" w:rsidRPr="00673ADB" w:rsidRDefault="00DD13BF" w:rsidP="00DD13BF">
      <w:pPr>
        <w:tabs>
          <w:tab w:val="left" w:pos="426"/>
        </w:tabs>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2014C6E" w14:textId="77777777" w:rsidR="00DD13BF" w:rsidRPr="00673ADB" w:rsidRDefault="00DD13BF" w:rsidP="00DD13BF">
      <w:pPr>
        <w:tabs>
          <w:tab w:val="left" w:pos="426"/>
        </w:tabs>
        <w:ind w:left="284"/>
        <w:rPr>
          <w:sz w:val="16"/>
          <w:szCs w:val="16"/>
        </w:rPr>
      </w:pPr>
    </w:p>
    <w:p w14:paraId="76DDEE5A" w14:textId="77777777" w:rsidR="00DD13BF" w:rsidRPr="00673ADB" w:rsidRDefault="00DD13BF" w:rsidP="00DD13BF">
      <w:pPr>
        <w:tabs>
          <w:tab w:val="left" w:pos="426"/>
        </w:tabs>
        <w:ind w:left="284"/>
        <w:rPr>
          <w:sz w:val="16"/>
          <w:szCs w:val="16"/>
        </w:rPr>
      </w:pPr>
    </w:p>
    <w:p w14:paraId="3B0DDD18" w14:textId="77777777" w:rsidR="00DD13BF" w:rsidRDefault="00DD13BF" w:rsidP="00DD13BF">
      <w:pPr>
        <w:sectPr w:rsidR="00DD13BF" w:rsidSect="00FC3010">
          <w:headerReference w:type="default" r:id="rId53"/>
          <w:footerReference w:type="first" r:id="rId54"/>
          <w:type w:val="continuous"/>
          <w:pgSz w:w="16840" w:h="11910" w:orient="landscape"/>
          <w:pgMar w:top="1417" w:right="1417" w:bottom="1417" w:left="1417" w:header="708" w:footer="708" w:gutter="0"/>
          <w:cols w:space="708"/>
        </w:sectPr>
      </w:pPr>
    </w:p>
    <w:p w14:paraId="1DE7B8DD" w14:textId="77777777" w:rsidR="00DD13BF" w:rsidRDefault="00DD13BF" w:rsidP="00DD13BF">
      <w:r>
        <w:br w:type="page"/>
      </w:r>
    </w:p>
    <w:p w14:paraId="5DABB346" w14:textId="77777777" w:rsidR="00DD13BF" w:rsidRPr="00BD3536" w:rsidRDefault="00DD13BF" w:rsidP="00DD13BF">
      <w:pPr>
        <w:pStyle w:val="Naslov4"/>
        <w:ind w:left="1134"/>
      </w:pPr>
      <w:bookmarkStart w:id="30" w:name="_Toc131161709"/>
      <w:r>
        <w:lastRenderedPageBreak/>
        <w:t>Specific objective RSO2.6. Promoting the transition to a circular and resource efficient economy (ERDF)</w:t>
      </w:r>
      <w:bookmarkEnd w:id="30"/>
    </w:p>
    <w:p w14:paraId="1F097F17" w14:textId="77777777" w:rsidR="00DD13BF" w:rsidRDefault="00DD13BF" w:rsidP="00DD13BF">
      <w:pPr>
        <w:rPr>
          <w:sz w:val="30"/>
        </w:rPr>
      </w:pPr>
    </w:p>
    <w:p w14:paraId="4A5D5618" w14:textId="77777777" w:rsidR="00DD13BF" w:rsidRPr="00C10464" w:rsidRDefault="00DD13BF" w:rsidP="00DD13BF">
      <w:pPr>
        <w:pStyle w:val="Naslov5"/>
        <w:spacing w:before="0"/>
      </w:pPr>
      <w:r>
        <w:t>Interventions of the Funds</w:t>
      </w:r>
    </w:p>
    <w:p w14:paraId="79BCAE28" w14:textId="77777777" w:rsidR="00DD13BF" w:rsidRDefault="00DD13BF" w:rsidP="00DD13BF">
      <w:pPr>
        <w:rPr>
          <w:sz w:val="30"/>
        </w:rPr>
      </w:pPr>
    </w:p>
    <w:p w14:paraId="567233C2" w14:textId="77777777" w:rsidR="00DD13BF" w:rsidRDefault="00DD13BF" w:rsidP="00DD13BF">
      <w:pPr>
        <w:ind w:left="1349"/>
        <w:rPr>
          <w:spacing w:val="-2"/>
        </w:rPr>
      </w:pPr>
      <w:r>
        <w:t>Related types of actions:</w:t>
      </w:r>
    </w:p>
    <w:p w14:paraId="763883CC"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71E2CD3C" w14:textId="77777777" w:rsidTr="00355A56">
        <w:trPr>
          <w:trHeight w:val="316"/>
        </w:trPr>
        <w:tc>
          <w:tcPr>
            <w:tcW w:w="12758" w:type="dxa"/>
          </w:tcPr>
          <w:p w14:paraId="71251FA5" w14:textId="77777777" w:rsidR="00DD13BF" w:rsidRPr="00E70B19" w:rsidRDefault="00DD13BF" w:rsidP="00355A56">
            <w:pPr>
              <w:jc w:val="both"/>
              <w:rPr>
                <w:rFonts w:cstheme="minorHAnsi"/>
              </w:rPr>
            </w:pPr>
            <w:r>
              <w:t xml:space="preserve">The transition to a low-carbon circular economy is one of the key objectives of the SDS 2030 and other strategic documents of Slovenia, including the Smart Specialisation Strategy. Therefore, a comprehensive strategic project for the decarbonisation of Slovenia through the transition to a circular economy was drafted in cooperation with the European institutions EIT and JRC. As part of the said project, various programmes have been defined that relate to the promotion of circular start-ups, circular innovations in enterprises and the strengthening of five value chains that are crucial from the aspect of the transition to a circular economy (processing industry, forestry-wood chain (processing of wood and other naturally renewable resources), mobility, food, built environment). In its starting point, the project is designed to aim at interconnecting areas, as it is intended to find systemic solutions. Therefore, portfolios that will simultaneously support activities in various fields will be designed during its implementation. For the transition to a circular economy, the funds from PO 1 will be primarily used to support research and development, while the funds from PO 2 will be used for the use of new approaches in enterprises and the raising of the competence of the support environment in the field of ​​the transition to a low-carbon circular economy. In addition, the measures will be complemented by measures in the field of LLL and education. By implementing these programmes and measures, we will contribute to more efficient use of resources and better material productivity. The measures under this specific objective will therefore be complementary to the measures of the RRP. </w:t>
            </w:r>
          </w:p>
          <w:p w14:paraId="383BE491" w14:textId="77777777" w:rsidR="00DD13BF" w:rsidRDefault="00DD13BF" w:rsidP="00355A56">
            <w:pPr>
              <w:jc w:val="both"/>
              <w:rPr>
                <w:rFonts w:cstheme="minorHAnsi"/>
              </w:rPr>
            </w:pPr>
          </w:p>
          <w:p w14:paraId="6CBC709B" w14:textId="77777777" w:rsidR="00DD13BF" w:rsidRDefault="00DD13BF" w:rsidP="00355A56">
            <w:pPr>
              <w:jc w:val="both"/>
              <w:rPr>
                <w:rFonts w:cstheme="minorHAnsi"/>
              </w:rPr>
            </w:pPr>
            <w:r>
              <w:t xml:space="preserve">The support will be aimed at establishing the conditions for the transition to a low-carbon circular economy, particularly through the introduction of low-carbon and circular business models, which can be supported by the introduction of digital technologies, which will help enterprises to effortlessly defy the challenges and pressures on the competitiveness of their business, which are the result of the rising prices of raw materials and energy products. When implementing the measure, priority will be given to supporting those solutions that will contribute the most to increasing added value and to the production of products that demonstrate a low carbon footprint during their lifetime. </w:t>
            </w:r>
          </w:p>
          <w:p w14:paraId="1438D3A9" w14:textId="77777777" w:rsidR="00DD13BF" w:rsidRDefault="00DD13BF" w:rsidP="00355A56">
            <w:pPr>
              <w:jc w:val="both"/>
              <w:rPr>
                <w:rFonts w:cstheme="minorHAnsi"/>
              </w:rPr>
            </w:pPr>
          </w:p>
          <w:p w14:paraId="631CBCDB" w14:textId="77777777" w:rsidR="00DD13BF" w:rsidRPr="00E70B19" w:rsidRDefault="00DD13BF" w:rsidP="00355A56">
            <w:pPr>
              <w:jc w:val="both"/>
              <w:rPr>
                <w:rFonts w:cstheme="minorHAnsi"/>
              </w:rPr>
            </w:pPr>
            <w:r>
              <w:t>Under this specific objective, the measures will be focused on:</w:t>
            </w:r>
          </w:p>
          <w:p w14:paraId="6085FBD1" w14:textId="77777777" w:rsidR="00DD13BF" w:rsidRPr="00636F58" w:rsidRDefault="00DD13BF" w:rsidP="00355A56">
            <w:pPr>
              <w:jc w:val="both"/>
            </w:pPr>
          </w:p>
          <w:p w14:paraId="0F1A6E1A" w14:textId="77777777" w:rsidR="00DD13BF" w:rsidRPr="00636F58" w:rsidRDefault="00DD13BF" w:rsidP="00DD13BF">
            <w:pPr>
              <w:pStyle w:val="Odstavekseznama"/>
              <w:widowControl/>
              <w:numPr>
                <w:ilvl w:val="0"/>
                <w:numId w:val="23"/>
              </w:numPr>
              <w:autoSpaceDE/>
              <w:autoSpaceDN/>
              <w:jc w:val="both"/>
              <w:rPr>
                <w:rFonts w:ascii="Times New Roman" w:hAnsi="Times New Roman" w:cs="Times New Roman"/>
                <w:i/>
                <w:iCs/>
              </w:rPr>
            </w:pPr>
            <w:r>
              <w:rPr>
                <w:rFonts w:ascii="Times New Roman" w:hAnsi="Times New Roman"/>
                <w:i/>
                <w:iCs/>
              </w:rPr>
              <w:t>Promoting support environment services for the green and digital transition through the centre for policy making and the centre for green, creative and smart development (note in accordance with the Slovenian Industrial Strategy 2021–2030), and circular innovation processes and efficient use of resources in enterprises (introduction of circular business models and new low-carbon products, processes and technologies to strengthen value chains supported by digitisation)</w:t>
            </w:r>
            <w:r>
              <w:rPr>
                <w:rFonts w:ascii="Times New Roman" w:hAnsi="Times New Roman"/>
              </w:rPr>
              <w:t>, where support for the following measures is foreseen:</w:t>
            </w:r>
          </w:p>
          <w:p w14:paraId="03FE8183" w14:textId="77777777" w:rsidR="00DD13BF" w:rsidRPr="00636F58" w:rsidRDefault="00DD13BF" w:rsidP="00DD13BF">
            <w:pPr>
              <w:pStyle w:val="Odstavekseznama"/>
              <w:widowControl/>
              <w:numPr>
                <w:ilvl w:val="1"/>
                <w:numId w:val="23"/>
              </w:numPr>
              <w:autoSpaceDE/>
              <w:autoSpaceDN/>
              <w:jc w:val="both"/>
              <w:rPr>
                <w:rFonts w:ascii="Times New Roman" w:hAnsi="Times New Roman" w:cs="Times New Roman"/>
                <w:iCs/>
              </w:rPr>
            </w:pPr>
            <w:r>
              <w:rPr>
                <w:rFonts w:ascii="Times New Roman" w:hAnsi="Times New Roman"/>
              </w:rPr>
              <w:t xml:space="preserve">Support for the establishment, operation and services of the centre for policy making and the centre for green, creative and smart development (e.g. training, mentoring, services for enterprises, prototyping and testing innovative solutions, etc.) to </w:t>
            </w:r>
            <w:r>
              <w:rPr>
                <w:rFonts w:ascii="Times New Roman" w:hAnsi="Times New Roman"/>
              </w:rPr>
              <w:lastRenderedPageBreak/>
              <w:t>strengthen stakeholders in a supportive and innovative environment, with knowledge in fields crucial for the development of solutions and business models for the transition of enterprises to a low-carbon circular economy (to support the green and digital transition).</w:t>
            </w:r>
          </w:p>
          <w:p w14:paraId="55BB3C8E" w14:textId="77777777" w:rsidR="00DD13BF" w:rsidRPr="00636F58" w:rsidRDefault="00DD13BF" w:rsidP="00DD13BF">
            <w:pPr>
              <w:pStyle w:val="Odstavekseznama"/>
              <w:widowControl/>
              <w:numPr>
                <w:ilvl w:val="1"/>
                <w:numId w:val="23"/>
              </w:numPr>
              <w:autoSpaceDE/>
              <w:autoSpaceDN/>
              <w:jc w:val="both"/>
              <w:rPr>
                <w:rFonts w:ascii="Times New Roman" w:hAnsi="Times New Roman" w:cs="Times New Roman"/>
                <w:iCs/>
              </w:rPr>
            </w:pPr>
            <w:r>
              <w:rPr>
                <w:rFonts w:ascii="Times New Roman" w:hAnsi="Times New Roman"/>
              </w:rPr>
              <w:t>Introducing circular business models (such as material tracking, environmentally acceptable equipment) with the support of digitisation.</w:t>
            </w:r>
          </w:p>
          <w:p w14:paraId="0B0EF5BF" w14:textId="77777777" w:rsidR="00DD13BF" w:rsidRPr="00636F58" w:rsidRDefault="00DD13BF" w:rsidP="00DD13BF">
            <w:pPr>
              <w:pStyle w:val="Odstavekseznama"/>
              <w:widowControl/>
              <w:numPr>
                <w:ilvl w:val="1"/>
                <w:numId w:val="23"/>
              </w:numPr>
              <w:autoSpaceDE/>
              <w:autoSpaceDN/>
              <w:jc w:val="both"/>
              <w:rPr>
                <w:rFonts w:ascii="Times New Roman" w:hAnsi="Times New Roman" w:cs="Times New Roman"/>
                <w:iCs/>
              </w:rPr>
            </w:pPr>
            <w:r>
              <w:rPr>
                <w:rFonts w:ascii="Times New Roman" w:hAnsi="Times New Roman"/>
              </w:rPr>
              <w:t>Introducing new products with a low carbon footprint, processes and technologies to strengthen value chains with an emphasis on natural renewable materials that enable the cascading principle.</w:t>
            </w:r>
          </w:p>
          <w:p w14:paraId="57F651EA" w14:textId="77777777" w:rsidR="00DD13BF" w:rsidRDefault="00DD13BF" w:rsidP="00355A56">
            <w:pPr>
              <w:jc w:val="both"/>
            </w:pPr>
          </w:p>
          <w:p w14:paraId="1FB15A52" w14:textId="77777777" w:rsidR="00DD13BF" w:rsidRPr="002E6405" w:rsidRDefault="00DD13BF" w:rsidP="00355A56">
            <w:pPr>
              <w:jc w:val="both"/>
              <w:rPr>
                <w:iCs/>
              </w:rPr>
            </w:pPr>
            <w:r>
              <w:t>Only projects in the field of sustainable economy and entrepreneurship will be supported, which in their operation include circular economy solutions for establishing circular material flows, minimising waste, waste water, pollutant and greenhouse gas emissions, noise emissions during production/provision of services throughout the lifetime of products. Considering the nature of the measures, no significant negative environmental impacts are expected from the aspect of the principles of the DNSH, taking into account the said technical screening criteria. Regardless of the aforementioned, 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w:t>
            </w:r>
          </w:p>
        </w:tc>
      </w:tr>
    </w:tbl>
    <w:p w14:paraId="24E861A6" w14:textId="77777777" w:rsidR="00DD13BF" w:rsidRDefault="00DD13BF" w:rsidP="00DD13BF">
      <w:pPr>
        <w:ind w:left="1349"/>
        <w:rPr>
          <w:spacing w:val="-6"/>
        </w:rPr>
      </w:pPr>
    </w:p>
    <w:p w14:paraId="01F6D1AF" w14:textId="77777777" w:rsidR="00DD13BF" w:rsidRDefault="00DD13BF" w:rsidP="00DD13BF">
      <w:pPr>
        <w:ind w:left="1349"/>
      </w:pPr>
      <w:r>
        <w:t>Main target groups:</w:t>
      </w:r>
    </w:p>
    <w:p w14:paraId="74D6D8C6"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35D1D58" w14:textId="77777777" w:rsidTr="00355A56">
        <w:tc>
          <w:tcPr>
            <w:tcW w:w="12763" w:type="dxa"/>
          </w:tcPr>
          <w:p w14:paraId="71471898" w14:textId="77777777" w:rsidR="00DD13BF" w:rsidRDefault="00DD13BF" w:rsidP="00355A56">
            <w:pPr>
              <w:jc w:val="both"/>
              <w:rPr>
                <w:rFonts w:cstheme="minorHAnsi"/>
              </w:rPr>
            </w:pPr>
            <w:r>
              <w:t>Target groups: residents, local communities, enterprises, wood processing industry, public utility companies, non-governmental organisations, the public administration.</w:t>
            </w:r>
          </w:p>
          <w:p w14:paraId="4F8768F1" w14:textId="77777777" w:rsidR="00DD13BF" w:rsidRDefault="00DD13BF" w:rsidP="00355A56">
            <w:pPr>
              <w:jc w:val="both"/>
              <w:rPr>
                <w:rFonts w:cstheme="minorHAnsi"/>
              </w:rPr>
            </w:pPr>
          </w:p>
          <w:p w14:paraId="18D1CAC8" w14:textId="77777777" w:rsidR="00DD13BF" w:rsidRPr="00B3569A" w:rsidRDefault="00DD13BF" w:rsidP="00355A56">
            <w:pPr>
              <w:jc w:val="both"/>
              <w:rPr>
                <w:rFonts w:cstheme="minorHAnsi"/>
              </w:rPr>
            </w:pPr>
            <w:r>
              <w:t>Beneficiaries: enterprises, other stakeholders in the wood chain, local communities, public utility companies, ministries responsible for the public administration and the economy, chambers and regional development agencies.</w:t>
            </w:r>
          </w:p>
        </w:tc>
      </w:tr>
    </w:tbl>
    <w:p w14:paraId="663B85C5" w14:textId="77777777" w:rsidR="00DD13BF" w:rsidRPr="006B7178" w:rsidRDefault="00DD13BF" w:rsidP="00DD13BF">
      <w:pPr>
        <w:ind w:left="1349"/>
      </w:pPr>
    </w:p>
    <w:p w14:paraId="1487B760" w14:textId="77777777" w:rsidR="00DD13BF" w:rsidRDefault="00DD13BF" w:rsidP="00DD13BF">
      <w:pPr>
        <w:ind w:left="1349"/>
        <w:rPr>
          <w:spacing w:val="-2"/>
        </w:rPr>
      </w:pPr>
      <w:r>
        <w:t>Measures to protect equality, inclusion and non-discrimination:</w:t>
      </w:r>
    </w:p>
    <w:p w14:paraId="3592AB6D"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3716107D" w14:textId="77777777" w:rsidTr="00355A56">
        <w:tc>
          <w:tcPr>
            <w:tcW w:w="12715" w:type="dxa"/>
          </w:tcPr>
          <w:p w14:paraId="56C74E5C" w14:textId="77777777" w:rsidR="00DD13BF" w:rsidRPr="00B3569A" w:rsidRDefault="00DD13BF" w:rsidP="00355A56">
            <w:pPr>
              <w:jc w:val="both"/>
              <w:rPr>
                <w:rFonts w:cstheme="minorHAns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w:t>
            </w:r>
            <w:r>
              <w:lastRenderedPageBreak/>
              <w:t>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r>
              <w:rPr>
                <w:color w:val="000000"/>
              </w:rPr>
              <w:t xml:space="preserve">. </w:t>
            </w:r>
          </w:p>
        </w:tc>
      </w:tr>
    </w:tbl>
    <w:p w14:paraId="648368EB" w14:textId="77777777" w:rsidR="00DD13BF" w:rsidRDefault="00DD13BF" w:rsidP="00DD13BF">
      <w:pPr>
        <w:rPr>
          <w:sz w:val="20"/>
        </w:rPr>
      </w:pPr>
    </w:p>
    <w:p w14:paraId="205CF396" w14:textId="77777777" w:rsidR="00DD13BF" w:rsidRDefault="00DD13BF" w:rsidP="00DD13BF">
      <w:pPr>
        <w:ind w:left="1415"/>
        <w:rPr>
          <w:spacing w:val="-4"/>
        </w:rPr>
      </w:pPr>
      <w:r>
        <w:t>Indication of the specific territories targeted, including the planned use of territorial tools:</w:t>
      </w:r>
    </w:p>
    <w:p w14:paraId="28F990C5"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1A1FF108" w14:textId="77777777" w:rsidTr="00355A56">
        <w:tc>
          <w:tcPr>
            <w:tcW w:w="12763" w:type="dxa"/>
          </w:tcPr>
          <w:p w14:paraId="09338FCA" w14:textId="77777777" w:rsidR="00DD13BF" w:rsidRPr="00B3569A" w:rsidRDefault="00DD13BF" w:rsidP="00355A56">
            <w:pPr>
              <w:jc w:val="both"/>
              <w:rPr>
                <w:rFonts w:cstheme="minorHAnsi"/>
              </w:rPr>
            </w:pPr>
            <w:r>
              <w:t>Territorial approaches are not foreseen as part of the measures under this specific objective.</w:t>
            </w:r>
          </w:p>
        </w:tc>
      </w:tr>
    </w:tbl>
    <w:p w14:paraId="566E7FAB" w14:textId="77777777" w:rsidR="00DD13BF" w:rsidRDefault="00DD13BF" w:rsidP="00DD13BF">
      <w:pPr>
        <w:rPr>
          <w:sz w:val="18"/>
        </w:rPr>
      </w:pPr>
    </w:p>
    <w:p w14:paraId="6824B310" w14:textId="77777777" w:rsidR="00DD13BF" w:rsidRDefault="00DD13BF" w:rsidP="00DD13BF">
      <w:pPr>
        <w:ind w:left="1415"/>
      </w:pPr>
      <w:r>
        <w:t>The interregional, cross-border and transnational actions:</w:t>
      </w:r>
    </w:p>
    <w:p w14:paraId="62F654E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D910626" w14:textId="77777777" w:rsidTr="00355A56">
        <w:tc>
          <w:tcPr>
            <w:tcW w:w="12763" w:type="dxa"/>
          </w:tcPr>
          <w:p w14:paraId="1F236DC5" w14:textId="77777777" w:rsidR="00DD13BF" w:rsidRDefault="00DD13BF" w:rsidP="00355A56">
            <w:pPr>
              <w:jc w:val="both"/>
              <w:rPr>
                <w:rFonts w:cstheme="minorHAnsi"/>
              </w:rPr>
            </w:pPr>
            <w:r>
              <w:t xml:space="preserve">The foreseen measures follow the comprehensive strategic project for the decarbonisation of Slovenia through the transition to a circular economy and the Slovenian Industrial Strategy, and do not anticipate any direct implementation of cross-border, transnational and interregional actions. The implementation of activities, particularly within the framework of the centre for green, creative and smart development, will also be related to, and connected with, cross-border, international initiatives, such as Circular 4.0. The centre is also planned to act as a regional centre for cooperation with neighbouring countries in the field of circular economy. </w:t>
            </w:r>
          </w:p>
          <w:p w14:paraId="2D36E839" w14:textId="77777777" w:rsidR="00DD13BF" w:rsidRDefault="00DD13BF" w:rsidP="00355A56">
            <w:pPr>
              <w:jc w:val="both"/>
              <w:rPr>
                <w:rFonts w:cstheme="minorHAnsi"/>
              </w:rPr>
            </w:pPr>
          </w:p>
          <w:p w14:paraId="2E779B64" w14:textId="77777777" w:rsidR="00DD13BF" w:rsidRPr="00B3569A" w:rsidRDefault="00DD13BF" w:rsidP="00355A56">
            <w:pPr>
              <w:jc w:val="both"/>
              <w:rPr>
                <w:rFonts w:cstheme="minorHAnsi"/>
              </w:rPr>
            </w:pPr>
            <w:r>
              <w:t>With its activities and networks of macro-regional stakeholders on the one hand, and national coordinators and thematic members of the pillars on the other, the EUSAIR Facility Point will raise awareness of the importance of the circular economy in the region. This also applies to activities related to the centre. The current structure of EUSAIR (capacity building and internationalisation through existing networks) will be used to establish the centre. The EUSAIR innovation community has already been established and initial promotional activities have been carried out.</w:t>
            </w:r>
          </w:p>
        </w:tc>
      </w:tr>
    </w:tbl>
    <w:p w14:paraId="7FA5A9D5" w14:textId="77777777" w:rsidR="00DD13BF" w:rsidRDefault="00DD13BF" w:rsidP="00DD13BF">
      <w:pPr>
        <w:rPr>
          <w:sz w:val="17"/>
        </w:rPr>
      </w:pPr>
    </w:p>
    <w:p w14:paraId="11713BE7" w14:textId="77777777" w:rsidR="00DD13BF" w:rsidRDefault="00DD13BF" w:rsidP="00DD13BF">
      <w:pPr>
        <w:ind w:left="1415"/>
        <w:rPr>
          <w:spacing w:val="-3"/>
        </w:rPr>
      </w:pPr>
      <w:r>
        <w:t>Planned use of financial instruments:</w:t>
      </w:r>
    </w:p>
    <w:p w14:paraId="4013D992"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7B27286F" w14:textId="77777777" w:rsidTr="00355A56">
        <w:trPr>
          <w:trHeight w:val="173"/>
        </w:trPr>
        <w:tc>
          <w:tcPr>
            <w:tcW w:w="12758" w:type="dxa"/>
          </w:tcPr>
          <w:p w14:paraId="548E88E9" w14:textId="77777777" w:rsidR="00DD13BF" w:rsidRPr="00B3569A" w:rsidRDefault="00DD13BF" w:rsidP="00355A56">
            <w:pPr>
              <w:jc w:val="both"/>
              <w:rPr>
                <w:rFonts w:cstheme="minorBidi"/>
              </w:rPr>
            </w:pPr>
            <w:r>
              <w:t xml:space="preserve">In accordance with the preliminary assessment of market needs and financing gaps in the market for the implementation of financial instruments in the 2021–2027 programming period (July 2022), a gap was established in the field of measures to promote circular innovation processes and efficient use of resources in enterprises. Financial instruments (hereinafter: FI) are planned to be used, despite the fact that most refundable instruments for the financing of enterprises will be provided from national sources in the 2021–2027 period. The programme contains an indicative amount of funds intended for FI in combination with grants. </w:t>
            </w:r>
          </w:p>
        </w:tc>
      </w:tr>
    </w:tbl>
    <w:p w14:paraId="284729B4" w14:textId="77777777" w:rsidR="00DD13BF" w:rsidRDefault="00DD13BF" w:rsidP="00DD13BF">
      <w:pPr>
        <w:rPr>
          <w:sz w:val="20"/>
        </w:rPr>
      </w:pPr>
    </w:p>
    <w:p w14:paraId="4D17B023" w14:textId="77777777" w:rsidR="00DD13BF" w:rsidRDefault="00DD13BF" w:rsidP="00DD13BF">
      <w:pPr>
        <w:rPr>
          <w:sz w:val="20"/>
        </w:rPr>
      </w:pPr>
    </w:p>
    <w:p w14:paraId="20CD0F13" w14:textId="77777777" w:rsidR="00DD13BF" w:rsidRDefault="00DD13BF" w:rsidP="00DD13BF">
      <w:pPr>
        <w:pStyle w:val="Naslov5"/>
        <w:spacing w:before="0"/>
      </w:pPr>
      <w:r>
        <w:t>Indicators</w:t>
      </w:r>
    </w:p>
    <w:p w14:paraId="75C81601" w14:textId="77777777" w:rsidR="00DD13BF" w:rsidRDefault="00DD13BF" w:rsidP="00DD13BF"/>
    <w:p w14:paraId="180116DB" w14:textId="77777777" w:rsidR="00DD13BF" w:rsidRDefault="00DD13BF" w:rsidP="00DD13BF">
      <w:pPr>
        <w:ind w:left="379"/>
      </w:pPr>
      <w:r>
        <w:t>Table 2: Impact indicators</w:t>
      </w:r>
    </w:p>
    <w:p w14:paraId="7CD69803" w14:textId="77777777" w:rsidR="00DD13BF" w:rsidRDefault="00DD13BF" w:rsidP="00DD13BF">
      <w:pPr>
        <w:rPr>
          <w:sz w:val="21"/>
        </w:rPr>
      </w:pPr>
    </w:p>
    <w:tbl>
      <w:tblPr>
        <w:tblStyle w:val="NormalTable0"/>
        <w:tblW w:w="13757"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1"/>
        <w:gridCol w:w="1276"/>
        <w:gridCol w:w="708"/>
        <w:gridCol w:w="1701"/>
        <w:gridCol w:w="778"/>
        <w:gridCol w:w="4325"/>
        <w:gridCol w:w="1276"/>
        <w:gridCol w:w="1418"/>
        <w:gridCol w:w="1134"/>
      </w:tblGrid>
      <w:tr w:rsidR="00DD13BF" w14:paraId="7C3BB9D7" w14:textId="77777777" w:rsidTr="00355A56">
        <w:trPr>
          <w:trHeight w:val="254"/>
        </w:trPr>
        <w:tc>
          <w:tcPr>
            <w:tcW w:w="1141" w:type="dxa"/>
            <w:vAlign w:val="center"/>
          </w:tcPr>
          <w:p w14:paraId="4F929DBB" w14:textId="77777777" w:rsidR="00DD13BF" w:rsidRDefault="00DD13BF" w:rsidP="00355A56">
            <w:pPr>
              <w:pStyle w:val="TableParagraph"/>
              <w:ind w:right="82"/>
            </w:pPr>
            <w:r>
              <w:lastRenderedPageBreak/>
              <w:t>Priority</w:t>
            </w:r>
          </w:p>
        </w:tc>
        <w:tc>
          <w:tcPr>
            <w:tcW w:w="1276" w:type="dxa"/>
            <w:vAlign w:val="center"/>
          </w:tcPr>
          <w:p w14:paraId="46B9E57A" w14:textId="77777777" w:rsidR="00DD13BF" w:rsidRDefault="00DD13BF" w:rsidP="00355A56">
            <w:pPr>
              <w:pStyle w:val="TableParagraph"/>
            </w:pPr>
            <w:r>
              <w:t>Specific objective</w:t>
            </w:r>
          </w:p>
        </w:tc>
        <w:tc>
          <w:tcPr>
            <w:tcW w:w="708" w:type="dxa"/>
            <w:vAlign w:val="center"/>
          </w:tcPr>
          <w:p w14:paraId="64A54B4A" w14:textId="77777777" w:rsidR="00DD13BF" w:rsidRDefault="00DD13BF" w:rsidP="00355A56">
            <w:pPr>
              <w:pStyle w:val="TableParagraph"/>
            </w:pPr>
            <w:r>
              <w:t>Fund</w:t>
            </w:r>
          </w:p>
        </w:tc>
        <w:tc>
          <w:tcPr>
            <w:tcW w:w="1701" w:type="dxa"/>
            <w:vAlign w:val="center"/>
          </w:tcPr>
          <w:p w14:paraId="34464B26" w14:textId="77777777" w:rsidR="00DD13BF" w:rsidRDefault="00DD13BF" w:rsidP="00355A56">
            <w:pPr>
              <w:pStyle w:val="TableParagraph"/>
            </w:pPr>
            <w:r>
              <w:t>Category of region</w:t>
            </w:r>
          </w:p>
        </w:tc>
        <w:tc>
          <w:tcPr>
            <w:tcW w:w="778" w:type="dxa"/>
            <w:vAlign w:val="center"/>
          </w:tcPr>
          <w:p w14:paraId="07BDAE8D" w14:textId="77777777" w:rsidR="00DD13BF" w:rsidRPr="00347461" w:rsidRDefault="00DD13BF" w:rsidP="00355A56">
            <w:pPr>
              <w:pStyle w:val="TableParagraph"/>
              <w:rPr>
                <w:sz w:val="20"/>
              </w:rPr>
            </w:pPr>
            <w:r>
              <w:t>ID</w:t>
            </w:r>
          </w:p>
        </w:tc>
        <w:tc>
          <w:tcPr>
            <w:tcW w:w="4325" w:type="dxa"/>
            <w:vAlign w:val="center"/>
          </w:tcPr>
          <w:p w14:paraId="12DDFE1D" w14:textId="77777777" w:rsidR="00DD13BF" w:rsidRPr="00347461" w:rsidRDefault="00DD13BF" w:rsidP="00355A56">
            <w:pPr>
              <w:pStyle w:val="TableParagraph"/>
              <w:rPr>
                <w:sz w:val="20"/>
              </w:rPr>
            </w:pPr>
            <w:r>
              <w:t>Indicators</w:t>
            </w:r>
          </w:p>
        </w:tc>
        <w:tc>
          <w:tcPr>
            <w:tcW w:w="1276" w:type="dxa"/>
            <w:vAlign w:val="center"/>
          </w:tcPr>
          <w:p w14:paraId="696A5C6C" w14:textId="77777777" w:rsidR="00DD13BF" w:rsidRPr="00347461" w:rsidRDefault="00DD13BF" w:rsidP="00355A56">
            <w:pPr>
              <w:pStyle w:val="TableParagraph"/>
              <w:rPr>
                <w:sz w:val="20"/>
              </w:rPr>
            </w:pPr>
            <w:r>
              <w:t>Measurement unit</w:t>
            </w:r>
          </w:p>
        </w:tc>
        <w:tc>
          <w:tcPr>
            <w:tcW w:w="1418" w:type="dxa"/>
            <w:vAlign w:val="center"/>
          </w:tcPr>
          <w:p w14:paraId="30689CC9" w14:textId="77777777" w:rsidR="00DD13BF" w:rsidRPr="00347461" w:rsidRDefault="00DD13BF" w:rsidP="00355A56">
            <w:pPr>
              <w:pStyle w:val="TableParagraph"/>
              <w:rPr>
                <w:sz w:val="20"/>
              </w:rPr>
            </w:pPr>
            <w:r>
              <w:t>Milestone (2014)</w:t>
            </w:r>
          </w:p>
        </w:tc>
        <w:tc>
          <w:tcPr>
            <w:tcW w:w="1134" w:type="dxa"/>
            <w:vAlign w:val="center"/>
          </w:tcPr>
          <w:p w14:paraId="3853A708" w14:textId="77777777" w:rsidR="00DD13BF" w:rsidRDefault="00DD13BF" w:rsidP="00355A56">
            <w:pPr>
              <w:pStyle w:val="TableParagraph"/>
            </w:pPr>
            <w:r>
              <w:t>Target (2029)</w:t>
            </w:r>
          </w:p>
        </w:tc>
      </w:tr>
      <w:tr w:rsidR="00DD13BF" w14:paraId="1F034929" w14:textId="77777777" w:rsidTr="00355A56">
        <w:trPr>
          <w:trHeight w:val="367"/>
        </w:trPr>
        <w:tc>
          <w:tcPr>
            <w:tcW w:w="1141" w:type="dxa"/>
          </w:tcPr>
          <w:p w14:paraId="1A556871" w14:textId="77777777" w:rsidR="00DD13BF" w:rsidRDefault="00DD13BF" w:rsidP="00355A56">
            <w:pPr>
              <w:pStyle w:val="TableParagraph"/>
              <w:rPr>
                <w:sz w:val="20"/>
              </w:rPr>
            </w:pPr>
            <w:r>
              <w:rPr>
                <w:sz w:val="20"/>
              </w:rPr>
              <w:t>3</w:t>
            </w:r>
          </w:p>
        </w:tc>
        <w:tc>
          <w:tcPr>
            <w:tcW w:w="1276" w:type="dxa"/>
          </w:tcPr>
          <w:p w14:paraId="599469ED" w14:textId="77777777" w:rsidR="00DD13BF" w:rsidRDefault="00DD13BF" w:rsidP="00355A56">
            <w:pPr>
              <w:pStyle w:val="TableParagraph"/>
              <w:rPr>
                <w:sz w:val="20"/>
              </w:rPr>
            </w:pPr>
            <w:r>
              <w:rPr>
                <w:color w:val="000000"/>
                <w:sz w:val="20"/>
              </w:rPr>
              <w:t>RSO2.6</w:t>
            </w:r>
          </w:p>
        </w:tc>
        <w:tc>
          <w:tcPr>
            <w:tcW w:w="708" w:type="dxa"/>
          </w:tcPr>
          <w:p w14:paraId="2DB08FC0" w14:textId="77777777" w:rsidR="00DD13BF" w:rsidRDefault="00DD13BF" w:rsidP="00355A56">
            <w:pPr>
              <w:pStyle w:val="TableParagraph"/>
              <w:rPr>
                <w:sz w:val="20"/>
              </w:rPr>
            </w:pPr>
            <w:r>
              <w:rPr>
                <w:sz w:val="20"/>
              </w:rPr>
              <w:t>ERDF</w:t>
            </w:r>
          </w:p>
        </w:tc>
        <w:tc>
          <w:tcPr>
            <w:tcW w:w="1701" w:type="dxa"/>
          </w:tcPr>
          <w:p w14:paraId="69878CBE" w14:textId="77777777" w:rsidR="00DD13BF" w:rsidRDefault="00DD13BF" w:rsidP="00355A56">
            <w:pPr>
              <w:pStyle w:val="TableParagraph"/>
              <w:rPr>
                <w:sz w:val="20"/>
              </w:rPr>
            </w:pPr>
            <w:r>
              <w:rPr>
                <w:sz w:val="20"/>
              </w:rPr>
              <w:t>Less developed</w:t>
            </w:r>
          </w:p>
        </w:tc>
        <w:tc>
          <w:tcPr>
            <w:tcW w:w="778" w:type="dxa"/>
          </w:tcPr>
          <w:p w14:paraId="102F469E" w14:textId="77777777" w:rsidR="00DD13BF" w:rsidRDefault="00DD13BF" w:rsidP="00355A56">
            <w:pPr>
              <w:pStyle w:val="TableParagraph"/>
              <w:rPr>
                <w:sz w:val="20"/>
              </w:rPr>
            </w:pPr>
            <w:r>
              <w:rPr>
                <w:sz w:val="20"/>
              </w:rPr>
              <w:t>RCO01</w:t>
            </w:r>
          </w:p>
        </w:tc>
        <w:tc>
          <w:tcPr>
            <w:tcW w:w="4325" w:type="dxa"/>
          </w:tcPr>
          <w:p w14:paraId="00B4DCF7" w14:textId="77777777" w:rsidR="00DD13BF" w:rsidRPr="00F35D01" w:rsidRDefault="00DD13BF" w:rsidP="00355A56">
            <w:pPr>
              <w:pStyle w:val="TableParagraph"/>
              <w:rPr>
                <w:sz w:val="20"/>
              </w:rPr>
            </w:pPr>
            <w:r>
              <w:rPr>
                <w:color w:val="000000"/>
                <w:sz w:val="20"/>
              </w:rPr>
              <w:t>Enterprises supported (of which: micro, small, medium, large)</w:t>
            </w:r>
          </w:p>
        </w:tc>
        <w:tc>
          <w:tcPr>
            <w:tcW w:w="1276" w:type="dxa"/>
          </w:tcPr>
          <w:p w14:paraId="358DA0BC" w14:textId="77777777" w:rsidR="00DD13BF" w:rsidRDefault="00DD13BF" w:rsidP="00355A56">
            <w:pPr>
              <w:pStyle w:val="TableParagraph"/>
              <w:rPr>
                <w:sz w:val="20"/>
              </w:rPr>
            </w:pPr>
            <w:r>
              <w:rPr>
                <w:color w:val="000000"/>
                <w:sz w:val="20"/>
              </w:rPr>
              <w:t>Enterprises</w:t>
            </w:r>
          </w:p>
        </w:tc>
        <w:tc>
          <w:tcPr>
            <w:tcW w:w="1418" w:type="dxa"/>
          </w:tcPr>
          <w:p w14:paraId="155C1E33" w14:textId="77777777" w:rsidR="00DD13BF" w:rsidRDefault="00DD13BF" w:rsidP="00355A56">
            <w:pPr>
              <w:pStyle w:val="TableParagraph"/>
              <w:rPr>
                <w:sz w:val="20"/>
              </w:rPr>
            </w:pPr>
            <w:r>
              <w:rPr>
                <w:sz w:val="20"/>
              </w:rPr>
              <w:t>0</w:t>
            </w:r>
          </w:p>
        </w:tc>
        <w:tc>
          <w:tcPr>
            <w:tcW w:w="1134" w:type="dxa"/>
          </w:tcPr>
          <w:p w14:paraId="09FF3790" w14:textId="77777777" w:rsidR="00DD13BF" w:rsidRDefault="00DD13BF" w:rsidP="00355A56">
            <w:pPr>
              <w:pStyle w:val="TableParagraph"/>
              <w:rPr>
                <w:sz w:val="20"/>
              </w:rPr>
            </w:pPr>
            <w:r>
              <w:rPr>
                <w:sz w:val="20"/>
              </w:rPr>
              <w:t>236</w:t>
            </w:r>
          </w:p>
        </w:tc>
      </w:tr>
      <w:tr w:rsidR="00DD13BF" w14:paraId="3A70BB5E" w14:textId="77777777" w:rsidTr="00355A56">
        <w:trPr>
          <w:trHeight w:val="367"/>
        </w:trPr>
        <w:tc>
          <w:tcPr>
            <w:tcW w:w="1141" w:type="dxa"/>
          </w:tcPr>
          <w:p w14:paraId="5C1A6610" w14:textId="77777777" w:rsidR="00DD13BF" w:rsidRDefault="00DD13BF" w:rsidP="00355A56">
            <w:pPr>
              <w:pStyle w:val="TableParagraph"/>
              <w:rPr>
                <w:sz w:val="20"/>
              </w:rPr>
            </w:pPr>
            <w:r>
              <w:rPr>
                <w:sz w:val="20"/>
              </w:rPr>
              <w:t>3</w:t>
            </w:r>
          </w:p>
        </w:tc>
        <w:tc>
          <w:tcPr>
            <w:tcW w:w="1276" w:type="dxa"/>
          </w:tcPr>
          <w:p w14:paraId="7BCA482E" w14:textId="77777777" w:rsidR="00DD13BF" w:rsidRDefault="00DD13BF" w:rsidP="00355A56">
            <w:pPr>
              <w:pStyle w:val="TableParagraph"/>
              <w:rPr>
                <w:sz w:val="20"/>
              </w:rPr>
            </w:pPr>
            <w:r>
              <w:rPr>
                <w:color w:val="000000"/>
                <w:sz w:val="20"/>
              </w:rPr>
              <w:t>RSO2.6</w:t>
            </w:r>
          </w:p>
        </w:tc>
        <w:tc>
          <w:tcPr>
            <w:tcW w:w="708" w:type="dxa"/>
          </w:tcPr>
          <w:p w14:paraId="1A3FFAC9" w14:textId="77777777" w:rsidR="00DD13BF" w:rsidRDefault="00DD13BF" w:rsidP="00355A56">
            <w:pPr>
              <w:pStyle w:val="TableParagraph"/>
              <w:rPr>
                <w:sz w:val="20"/>
              </w:rPr>
            </w:pPr>
            <w:r>
              <w:rPr>
                <w:sz w:val="20"/>
              </w:rPr>
              <w:t>ERDF</w:t>
            </w:r>
          </w:p>
        </w:tc>
        <w:tc>
          <w:tcPr>
            <w:tcW w:w="1701" w:type="dxa"/>
          </w:tcPr>
          <w:p w14:paraId="23849E0E" w14:textId="77777777" w:rsidR="00DD13BF" w:rsidRDefault="00DD13BF" w:rsidP="00355A56">
            <w:pPr>
              <w:pStyle w:val="TableParagraph"/>
              <w:rPr>
                <w:sz w:val="20"/>
              </w:rPr>
            </w:pPr>
            <w:r>
              <w:rPr>
                <w:sz w:val="20"/>
              </w:rPr>
              <w:t>More developed</w:t>
            </w:r>
          </w:p>
        </w:tc>
        <w:tc>
          <w:tcPr>
            <w:tcW w:w="778" w:type="dxa"/>
          </w:tcPr>
          <w:p w14:paraId="31B038EF" w14:textId="77777777" w:rsidR="00DD13BF" w:rsidRDefault="00DD13BF" w:rsidP="00355A56">
            <w:pPr>
              <w:pStyle w:val="TableParagraph"/>
              <w:rPr>
                <w:sz w:val="20"/>
              </w:rPr>
            </w:pPr>
            <w:r>
              <w:rPr>
                <w:sz w:val="20"/>
              </w:rPr>
              <w:t>RCO01</w:t>
            </w:r>
          </w:p>
        </w:tc>
        <w:tc>
          <w:tcPr>
            <w:tcW w:w="4325" w:type="dxa"/>
          </w:tcPr>
          <w:p w14:paraId="5084E4FE" w14:textId="77777777" w:rsidR="00DD13BF" w:rsidRPr="00F35D01" w:rsidRDefault="00DD13BF" w:rsidP="00355A56">
            <w:pPr>
              <w:pStyle w:val="TableParagraph"/>
              <w:rPr>
                <w:sz w:val="20"/>
              </w:rPr>
            </w:pPr>
            <w:r>
              <w:rPr>
                <w:color w:val="000000"/>
                <w:sz w:val="20"/>
              </w:rPr>
              <w:t>Enterprises supported (of which: micro, small, medium, large)</w:t>
            </w:r>
          </w:p>
        </w:tc>
        <w:tc>
          <w:tcPr>
            <w:tcW w:w="1276" w:type="dxa"/>
          </w:tcPr>
          <w:p w14:paraId="1551B8A5" w14:textId="77777777" w:rsidR="00DD13BF" w:rsidRDefault="00DD13BF" w:rsidP="00355A56">
            <w:pPr>
              <w:pStyle w:val="TableParagraph"/>
              <w:rPr>
                <w:sz w:val="20"/>
              </w:rPr>
            </w:pPr>
            <w:r>
              <w:rPr>
                <w:color w:val="000000"/>
                <w:sz w:val="20"/>
              </w:rPr>
              <w:t>Enterprises</w:t>
            </w:r>
          </w:p>
        </w:tc>
        <w:tc>
          <w:tcPr>
            <w:tcW w:w="1418" w:type="dxa"/>
          </w:tcPr>
          <w:p w14:paraId="7B2559A5" w14:textId="77777777" w:rsidR="00DD13BF" w:rsidRDefault="00DD13BF" w:rsidP="00355A56">
            <w:pPr>
              <w:pStyle w:val="TableParagraph"/>
              <w:rPr>
                <w:sz w:val="20"/>
              </w:rPr>
            </w:pPr>
            <w:r>
              <w:rPr>
                <w:sz w:val="20"/>
              </w:rPr>
              <w:t>0</w:t>
            </w:r>
          </w:p>
        </w:tc>
        <w:tc>
          <w:tcPr>
            <w:tcW w:w="1134" w:type="dxa"/>
          </w:tcPr>
          <w:p w14:paraId="62ED08A0" w14:textId="77777777" w:rsidR="00DD13BF" w:rsidRDefault="00DD13BF" w:rsidP="00355A56">
            <w:pPr>
              <w:pStyle w:val="TableParagraph"/>
              <w:rPr>
                <w:sz w:val="20"/>
              </w:rPr>
            </w:pPr>
            <w:r>
              <w:rPr>
                <w:sz w:val="20"/>
              </w:rPr>
              <w:t>86</w:t>
            </w:r>
          </w:p>
        </w:tc>
      </w:tr>
      <w:tr w:rsidR="00DD13BF" w14:paraId="1857F369" w14:textId="77777777" w:rsidTr="00355A56">
        <w:trPr>
          <w:trHeight w:val="367"/>
        </w:trPr>
        <w:tc>
          <w:tcPr>
            <w:tcW w:w="1141" w:type="dxa"/>
            <w:tcBorders>
              <w:bottom w:val="single" w:sz="6" w:space="0" w:color="000000"/>
            </w:tcBorders>
          </w:tcPr>
          <w:p w14:paraId="11D0C571" w14:textId="77777777" w:rsidR="00DD13BF" w:rsidRDefault="00DD13BF" w:rsidP="00355A56">
            <w:pPr>
              <w:pStyle w:val="TableParagraph"/>
              <w:rPr>
                <w:sz w:val="20"/>
              </w:rPr>
            </w:pPr>
            <w:r>
              <w:rPr>
                <w:sz w:val="20"/>
              </w:rPr>
              <w:t>3</w:t>
            </w:r>
          </w:p>
        </w:tc>
        <w:tc>
          <w:tcPr>
            <w:tcW w:w="1276" w:type="dxa"/>
            <w:tcBorders>
              <w:bottom w:val="single" w:sz="6" w:space="0" w:color="000000"/>
            </w:tcBorders>
          </w:tcPr>
          <w:p w14:paraId="11332DAF" w14:textId="77777777" w:rsidR="00DD13BF" w:rsidRDefault="00DD13BF" w:rsidP="00355A56">
            <w:pPr>
              <w:pStyle w:val="TableParagraph"/>
              <w:rPr>
                <w:sz w:val="20"/>
              </w:rPr>
            </w:pPr>
            <w:r>
              <w:rPr>
                <w:color w:val="000000"/>
                <w:sz w:val="20"/>
              </w:rPr>
              <w:t>RSO2.6</w:t>
            </w:r>
          </w:p>
        </w:tc>
        <w:tc>
          <w:tcPr>
            <w:tcW w:w="708" w:type="dxa"/>
            <w:tcBorders>
              <w:bottom w:val="single" w:sz="6" w:space="0" w:color="000000"/>
            </w:tcBorders>
          </w:tcPr>
          <w:p w14:paraId="736C5DCD" w14:textId="77777777" w:rsidR="00DD13BF" w:rsidRDefault="00DD13BF" w:rsidP="00355A56">
            <w:pPr>
              <w:pStyle w:val="TableParagraph"/>
              <w:rPr>
                <w:sz w:val="20"/>
              </w:rPr>
            </w:pPr>
            <w:r>
              <w:rPr>
                <w:sz w:val="20"/>
              </w:rPr>
              <w:t>ERDF</w:t>
            </w:r>
          </w:p>
        </w:tc>
        <w:tc>
          <w:tcPr>
            <w:tcW w:w="1701" w:type="dxa"/>
            <w:tcBorders>
              <w:bottom w:val="single" w:sz="6" w:space="0" w:color="000000"/>
            </w:tcBorders>
          </w:tcPr>
          <w:p w14:paraId="1F576967" w14:textId="77777777" w:rsidR="00DD13BF" w:rsidRDefault="00DD13BF" w:rsidP="00355A56">
            <w:pPr>
              <w:pStyle w:val="TableParagraph"/>
              <w:rPr>
                <w:sz w:val="20"/>
              </w:rPr>
            </w:pPr>
            <w:r>
              <w:rPr>
                <w:sz w:val="20"/>
              </w:rPr>
              <w:t>Less developed</w:t>
            </w:r>
          </w:p>
        </w:tc>
        <w:tc>
          <w:tcPr>
            <w:tcW w:w="778" w:type="dxa"/>
            <w:tcBorders>
              <w:bottom w:val="single" w:sz="6" w:space="0" w:color="000000"/>
            </w:tcBorders>
          </w:tcPr>
          <w:p w14:paraId="7773457E" w14:textId="77777777" w:rsidR="00DD13BF" w:rsidRDefault="00DD13BF" w:rsidP="00355A56">
            <w:pPr>
              <w:pStyle w:val="TableParagraph"/>
              <w:rPr>
                <w:sz w:val="20"/>
              </w:rPr>
            </w:pPr>
            <w:r>
              <w:rPr>
                <w:sz w:val="20"/>
              </w:rPr>
              <w:t>RCO02</w:t>
            </w:r>
          </w:p>
        </w:tc>
        <w:tc>
          <w:tcPr>
            <w:tcW w:w="4325" w:type="dxa"/>
            <w:tcBorders>
              <w:bottom w:val="single" w:sz="6" w:space="0" w:color="000000"/>
            </w:tcBorders>
          </w:tcPr>
          <w:p w14:paraId="1C3DF201" w14:textId="77777777" w:rsidR="00DD13BF" w:rsidRPr="00F35D01" w:rsidRDefault="00DD13BF" w:rsidP="00355A56">
            <w:pPr>
              <w:pStyle w:val="TableParagraph"/>
              <w:rPr>
                <w:sz w:val="20"/>
              </w:rPr>
            </w:pPr>
            <w:r>
              <w:rPr>
                <w:color w:val="000000"/>
                <w:sz w:val="20"/>
              </w:rPr>
              <w:t>Enterprises supported by grants</w:t>
            </w:r>
          </w:p>
        </w:tc>
        <w:tc>
          <w:tcPr>
            <w:tcW w:w="1276" w:type="dxa"/>
            <w:tcBorders>
              <w:bottom w:val="single" w:sz="6" w:space="0" w:color="000000"/>
            </w:tcBorders>
          </w:tcPr>
          <w:p w14:paraId="0F79D454" w14:textId="77777777" w:rsidR="00DD13BF" w:rsidRDefault="00DD13BF" w:rsidP="00355A56">
            <w:pPr>
              <w:pStyle w:val="TableParagraph"/>
              <w:rPr>
                <w:sz w:val="20"/>
              </w:rPr>
            </w:pPr>
            <w:r>
              <w:rPr>
                <w:color w:val="000000"/>
                <w:sz w:val="20"/>
              </w:rPr>
              <w:t>Enterprises</w:t>
            </w:r>
          </w:p>
        </w:tc>
        <w:tc>
          <w:tcPr>
            <w:tcW w:w="1418" w:type="dxa"/>
            <w:tcBorders>
              <w:bottom w:val="single" w:sz="6" w:space="0" w:color="000000"/>
            </w:tcBorders>
          </w:tcPr>
          <w:p w14:paraId="4FD34453" w14:textId="77777777" w:rsidR="00DD13BF" w:rsidRDefault="00DD13BF" w:rsidP="00355A56">
            <w:pPr>
              <w:pStyle w:val="TableParagraph"/>
              <w:rPr>
                <w:sz w:val="20"/>
              </w:rPr>
            </w:pPr>
            <w:r>
              <w:rPr>
                <w:sz w:val="20"/>
              </w:rPr>
              <w:t>0</w:t>
            </w:r>
          </w:p>
        </w:tc>
        <w:tc>
          <w:tcPr>
            <w:tcW w:w="1134" w:type="dxa"/>
            <w:tcBorders>
              <w:bottom w:val="single" w:sz="6" w:space="0" w:color="000000"/>
            </w:tcBorders>
          </w:tcPr>
          <w:p w14:paraId="76F10BA0" w14:textId="77777777" w:rsidR="00DD13BF" w:rsidRDefault="00DD13BF" w:rsidP="00355A56">
            <w:pPr>
              <w:pStyle w:val="TableParagraph"/>
              <w:rPr>
                <w:sz w:val="20"/>
              </w:rPr>
            </w:pPr>
            <w:r>
              <w:rPr>
                <w:sz w:val="20"/>
              </w:rPr>
              <w:t>165</w:t>
            </w:r>
          </w:p>
        </w:tc>
      </w:tr>
      <w:tr w:rsidR="00DD13BF" w14:paraId="4F27CC5F" w14:textId="77777777" w:rsidTr="00355A56">
        <w:trPr>
          <w:trHeight w:val="367"/>
        </w:trPr>
        <w:tc>
          <w:tcPr>
            <w:tcW w:w="1141" w:type="dxa"/>
          </w:tcPr>
          <w:p w14:paraId="0121C769" w14:textId="77777777" w:rsidR="00DD13BF" w:rsidRDefault="00DD13BF" w:rsidP="00355A56">
            <w:pPr>
              <w:pStyle w:val="TableParagraph"/>
              <w:rPr>
                <w:sz w:val="20"/>
              </w:rPr>
            </w:pPr>
            <w:r>
              <w:rPr>
                <w:sz w:val="20"/>
              </w:rPr>
              <w:t>3</w:t>
            </w:r>
          </w:p>
        </w:tc>
        <w:tc>
          <w:tcPr>
            <w:tcW w:w="1276" w:type="dxa"/>
          </w:tcPr>
          <w:p w14:paraId="07EBA678" w14:textId="77777777" w:rsidR="00DD13BF" w:rsidRDefault="00DD13BF" w:rsidP="00355A56">
            <w:pPr>
              <w:pStyle w:val="TableParagraph"/>
              <w:rPr>
                <w:sz w:val="20"/>
              </w:rPr>
            </w:pPr>
            <w:r>
              <w:rPr>
                <w:color w:val="000000"/>
                <w:sz w:val="20"/>
              </w:rPr>
              <w:t>RSO2.6</w:t>
            </w:r>
          </w:p>
        </w:tc>
        <w:tc>
          <w:tcPr>
            <w:tcW w:w="708" w:type="dxa"/>
          </w:tcPr>
          <w:p w14:paraId="765DFA38" w14:textId="77777777" w:rsidR="00DD13BF" w:rsidRDefault="00DD13BF" w:rsidP="00355A56">
            <w:pPr>
              <w:pStyle w:val="TableParagraph"/>
              <w:rPr>
                <w:sz w:val="20"/>
              </w:rPr>
            </w:pPr>
            <w:r>
              <w:rPr>
                <w:sz w:val="20"/>
              </w:rPr>
              <w:t>ERDF</w:t>
            </w:r>
          </w:p>
        </w:tc>
        <w:tc>
          <w:tcPr>
            <w:tcW w:w="1701" w:type="dxa"/>
          </w:tcPr>
          <w:p w14:paraId="0E553DA1" w14:textId="77777777" w:rsidR="00DD13BF" w:rsidRDefault="00DD13BF" w:rsidP="00355A56">
            <w:pPr>
              <w:pStyle w:val="TableParagraph"/>
              <w:rPr>
                <w:sz w:val="20"/>
              </w:rPr>
            </w:pPr>
            <w:r>
              <w:rPr>
                <w:sz w:val="20"/>
              </w:rPr>
              <w:t>More developed</w:t>
            </w:r>
          </w:p>
        </w:tc>
        <w:tc>
          <w:tcPr>
            <w:tcW w:w="778" w:type="dxa"/>
          </w:tcPr>
          <w:p w14:paraId="772A0E58" w14:textId="77777777" w:rsidR="00DD13BF" w:rsidRDefault="00DD13BF" w:rsidP="00355A56">
            <w:pPr>
              <w:pStyle w:val="TableParagraph"/>
              <w:rPr>
                <w:sz w:val="20"/>
              </w:rPr>
            </w:pPr>
            <w:r>
              <w:rPr>
                <w:sz w:val="20"/>
              </w:rPr>
              <w:t>RCO02</w:t>
            </w:r>
          </w:p>
        </w:tc>
        <w:tc>
          <w:tcPr>
            <w:tcW w:w="4325" w:type="dxa"/>
          </w:tcPr>
          <w:p w14:paraId="23754367" w14:textId="77777777" w:rsidR="00DD13BF" w:rsidRPr="00F35D01" w:rsidRDefault="00DD13BF" w:rsidP="00355A56">
            <w:pPr>
              <w:pStyle w:val="TableParagraph"/>
              <w:rPr>
                <w:sz w:val="20"/>
              </w:rPr>
            </w:pPr>
            <w:r>
              <w:rPr>
                <w:color w:val="000000"/>
                <w:sz w:val="20"/>
              </w:rPr>
              <w:t>Enterprises supported by grants</w:t>
            </w:r>
          </w:p>
        </w:tc>
        <w:tc>
          <w:tcPr>
            <w:tcW w:w="1276" w:type="dxa"/>
          </w:tcPr>
          <w:p w14:paraId="64A77C97" w14:textId="77777777" w:rsidR="00DD13BF" w:rsidRDefault="00DD13BF" w:rsidP="00355A56">
            <w:pPr>
              <w:pStyle w:val="TableParagraph"/>
              <w:rPr>
                <w:sz w:val="20"/>
              </w:rPr>
            </w:pPr>
            <w:r>
              <w:rPr>
                <w:color w:val="000000"/>
                <w:sz w:val="20"/>
              </w:rPr>
              <w:t>Enterprises</w:t>
            </w:r>
          </w:p>
        </w:tc>
        <w:tc>
          <w:tcPr>
            <w:tcW w:w="1418" w:type="dxa"/>
          </w:tcPr>
          <w:p w14:paraId="08639336" w14:textId="77777777" w:rsidR="00DD13BF" w:rsidRDefault="00DD13BF" w:rsidP="00355A56">
            <w:pPr>
              <w:pStyle w:val="TableParagraph"/>
              <w:rPr>
                <w:sz w:val="20"/>
              </w:rPr>
            </w:pPr>
            <w:r>
              <w:rPr>
                <w:sz w:val="20"/>
              </w:rPr>
              <w:t>0</w:t>
            </w:r>
          </w:p>
        </w:tc>
        <w:tc>
          <w:tcPr>
            <w:tcW w:w="1134" w:type="dxa"/>
          </w:tcPr>
          <w:p w14:paraId="6F1336BC" w14:textId="77777777" w:rsidR="00DD13BF" w:rsidRDefault="00DD13BF" w:rsidP="00355A56">
            <w:pPr>
              <w:pStyle w:val="TableParagraph"/>
              <w:rPr>
                <w:sz w:val="20"/>
              </w:rPr>
            </w:pPr>
            <w:r>
              <w:rPr>
                <w:sz w:val="20"/>
              </w:rPr>
              <w:t>57</w:t>
            </w:r>
          </w:p>
        </w:tc>
      </w:tr>
      <w:tr w:rsidR="00DD13BF" w14:paraId="0C5E35CB" w14:textId="77777777" w:rsidTr="00355A56">
        <w:trPr>
          <w:trHeight w:val="367"/>
        </w:trPr>
        <w:tc>
          <w:tcPr>
            <w:tcW w:w="1141" w:type="dxa"/>
          </w:tcPr>
          <w:p w14:paraId="44D83EF0" w14:textId="77777777" w:rsidR="00DD13BF" w:rsidRDefault="00DD13BF" w:rsidP="00355A56">
            <w:pPr>
              <w:pStyle w:val="TableParagraph"/>
              <w:rPr>
                <w:sz w:val="20"/>
              </w:rPr>
            </w:pPr>
            <w:r>
              <w:rPr>
                <w:sz w:val="20"/>
              </w:rPr>
              <w:t>3</w:t>
            </w:r>
          </w:p>
        </w:tc>
        <w:tc>
          <w:tcPr>
            <w:tcW w:w="1276" w:type="dxa"/>
          </w:tcPr>
          <w:p w14:paraId="36F362A4" w14:textId="77777777" w:rsidR="00DD13BF" w:rsidRPr="00E031D4" w:rsidRDefault="00DD13BF" w:rsidP="00355A56">
            <w:pPr>
              <w:pStyle w:val="TableParagraph"/>
              <w:rPr>
                <w:color w:val="000000"/>
                <w:sz w:val="20"/>
              </w:rPr>
            </w:pPr>
            <w:r>
              <w:rPr>
                <w:color w:val="000000"/>
                <w:sz w:val="20"/>
              </w:rPr>
              <w:t>RSO2.6</w:t>
            </w:r>
          </w:p>
        </w:tc>
        <w:tc>
          <w:tcPr>
            <w:tcW w:w="708" w:type="dxa"/>
          </w:tcPr>
          <w:p w14:paraId="321C052C" w14:textId="77777777" w:rsidR="00DD13BF" w:rsidRDefault="00DD13BF" w:rsidP="00355A56">
            <w:pPr>
              <w:pStyle w:val="TableParagraph"/>
              <w:rPr>
                <w:sz w:val="20"/>
              </w:rPr>
            </w:pPr>
            <w:r>
              <w:rPr>
                <w:sz w:val="20"/>
              </w:rPr>
              <w:t>ERDF</w:t>
            </w:r>
          </w:p>
        </w:tc>
        <w:tc>
          <w:tcPr>
            <w:tcW w:w="1701" w:type="dxa"/>
          </w:tcPr>
          <w:p w14:paraId="77FF296B" w14:textId="77777777" w:rsidR="00DD13BF" w:rsidRDefault="00DD13BF" w:rsidP="00355A56">
            <w:pPr>
              <w:pStyle w:val="TableParagraph"/>
              <w:rPr>
                <w:sz w:val="20"/>
              </w:rPr>
            </w:pPr>
            <w:r>
              <w:rPr>
                <w:sz w:val="20"/>
              </w:rPr>
              <w:t>Less developed</w:t>
            </w:r>
          </w:p>
        </w:tc>
        <w:tc>
          <w:tcPr>
            <w:tcW w:w="778" w:type="dxa"/>
          </w:tcPr>
          <w:p w14:paraId="12E4F62B" w14:textId="77777777" w:rsidR="00DD13BF" w:rsidRDefault="00DD13BF" w:rsidP="00355A56">
            <w:pPr>
              <w:pStyle w:val="TableParagraph"/>
              <w:rPr>
                <w:sz w:val="20"/>
              </w:rPr>
            </w:pPr>
            <w:r>
              <w:rPr>
                <w:sz w:val="20"/>
              </w:rPr>
              <w:t>RCO03</w:t>
            </w:r>
          </w:p>
        </w:tc>
        <w:tc>
          <w:tcPr>
            <w:tcW w:w="4325" w:type="dxa"/>
          </w:tcPr>
          <w:p w14:paraId="74C492AE" w14:textId="77777777" w:rsidR="00DD13BF" w:rsidRDefault="00DD13BF" w:rsidP="00355A56">
            <w:pPr>
              <w:pStyle w:val="TableParagraph"/>
              <w:rPr>
                <w:color w:val="000000"/>
                <w:sz w:val="20"/>
              </w:rPr>
            </w:pPr>
            <w:r>
              <w:rPr>
                <w:color w:val="000000"/>
                <w:sz w:val="20"/>
              </w:rPr>
              <w:t>Enterprises supported by financial instruments</w:t>
            </w:r>
          </w:p>
        </w:tc>
        <w:tc>
          <w:tcPr>
            <w:tcW w:w="1276" w:type="dxa"/>
          </w:tcPr>
          <w:p w14:paraId="343C0CDB" w14:textId="77777777" w:rsidR="00DD13BF" w:rsidRDefault="00DD13BF" w:rsidP="00355A56">
            <w:pPr>
              <w:pStyle w:val="TableParagraph"/>
              <w:rPr>
                <w:color w:val="000000"/>
                <w:sz w:val="20"/>
              </w:rPr>
            </w:pPr>
            <w:r>
              <w:rPr>
                <w:color w:val="000000"/>
                <w:sz w:val="20"/>
              </w:rPr>
              <w:t>Enterprises</w:t>
            </w:r>
          </w:p>
        </w:tc>
        <w:tc>
          <w:tcPr>
            <w:tcW w:w="1418" w:type="dxa"/>
          </w:tcPr>
          <w:p w14:paraId="7EC5F9E8" w14:textId="77777777" w:rsidR="00DD13BF" w:rsidRDefault="00DD13BF" w:rsidP="00355A56">
            <w:pPr>
              <w:pStyle w:val="TableParagraph"/>
              <w:rPr>
                <w:sz w:val="20"/>
              </w:rPr>
            </w:pPr>
            <w:r>
              <w:rPr>
                <w:sz w:val="20"/>
              </w:rPr>
              <w:t>0</w:t>
            </w:r>
          </w:p>
        </w:tc>
        <w:tc>
          <w:tcPr>
            <w:tcW w:w="1134" w:type="dxa"/>
          </w:tcPr>
          <w:p w14:paraId="0C113D02" w14:textId="77777777" w:rsidR="00DD13BF" w:rsidRDefault="00DD13BF" w:rsidP="00355A56">
            <w:pPr>
              <w:pStyle w:val="TableParagraph"/>
              <w:rPr>
                <w:sz w:val="20"/>
              </w:rPr>
            </w:pPr>
            <w:r>
              <w:rPr>
                <w:sz w:val="20"/>
              </w:rPr>
              <w:t>23</w:t>
            </w:r>
          </w:p>
        </w:tc>
      </w:tr>
      <w:tr w:rsidR="00DD13BF" w14:paraId="2F18DD5E" w14:textId="77777777" w:rsidTr="00355A56">
        <w:trPr>
          <w:trHeight w:val="367"/>
        </w:trPr>
        <w:tc>
          <w:tcPr>
            <w:tcW w:w="1141" w:type="dxa"/>
          </w:tcPr>
          <w:p w14:paraId="15426BD7" w14:textId="77777777" w:rsidR="00DD13BF" w:rsidRDefault="00DD13BF" w:rsidP="00355A56">
            <w:pPr>
              <w:pStyle w:val="TableParagraph"/>
              <w:rPr>
                <w:sz w:val="20"/>
              </w:rPr>
            </w:pPr>
            <w:r>
              <w:rPr>
                <w:sz w:val="20"/>
              </w:rPr>
              <w:t>3</w:t>
            </w:r>
          </w:p>
        </w:tc>
        <w:tc>
          <w:tcPr>
            <w:tcW w:w="1276" w:type="dxa"/>
          </w:tcPr>
          <w:p w14:paraId="302FC856" w14:textId="77777777" w:rsidR="00DD13BF" w:rsidRPr="00E031D4" w:rsidRDefault="00DD13BF" w:rsidP="00355A56">
            <w:pPr>
              <w:pStyle w:val="TableParagraph"/>
              <w:rPr>
                <w:color w:val="000000"/>
                <w:sz w:val="20"/>
              </w:rPr>
            </w:pPr>
            <w:r>
              <w:rPr>
                <w:color w:val="000000"/>
                <w:sz w:val="20"/>
              </w:rPr>
              <w:t>RSO2.6</w:t>
            </w:r>
          </w:p>
        </w:tc>
        <w:tc>
          <w:tcPr>
            <w:tcW w:w="708" w:type="dxa"/>
          </w:tcPr>
          <w:p w14:paraId="34254BAE" w14:textId="77777777" w:rsidR="00DD13BF" w:rsidRDefault="00DD13BF" w:rsidP="00355A56">
            <w:pPr>
              <w:pStyle w:val="TableParagraph"/>
              <w:rPr>
                <w:sz w:val="20"/>
              </w:rPr>
            </w:pPr>
            <w:r>
              <w:rPr>
                <w:sz w:val="20"/>
              </w:rPr>
              <w:t>ERDF</w:t>
            </w:r>
          </w:p>
        </w:tc>
        <w:tc>
          <w:tcPr>
            <w:tcW w:w="1701" w:type="dxa"/>
          </w:tcPr>
          <w:p w14:paraId="15D53425" w14:textId="77777777" w:rsidR="00DD13BF" w:rsidRDefault="00DD13BF" w:rsidP="00355A56">
            <w:pPr>
              <w:pStyle w:val="TableParagraph"/>
              <w:rPr>
                <w:sz w:val="20"/>
              </w:rPr>
            </w:pPr>
            <w:r>
              <w:rPr>
                <w:sz w:val="20"/>
              </w:rPr>
              <w:t>More developed</w:t>
            </w:r>
          </w:p>
        </w:tc>
        <w:tc>
          <w:tcPr>
            <w:tcW w:w="778" w:type="dxa"/>
          </w:tcPr>
          <w:p w14:paraId="2F3E326E" w14:textId="77777777" w:rsidR="00DD13BF" w:rsidRDefault="00DD13BF" w:rsidP="00355A56">
            <w:pPr>
              <w:pStyle w:val="TableParagraph"/>
              <w:rPr>
                <w:sz w:val="20"/>
              </w:rPr>
            </w:pPr>
            <w:r>
              <w:rPr>
                <w:sz w:val="20"/>
              </w:rPr>
              <w:t>RCO03</w:t>
            </w:r>
          </w:p>
        </w:tc>
        <w:tc>
          <w:tcPr>
            <w:tcW w:w="4325" w:type="dxa"/>
          </w:tcPr>
          <w:p w14:paraId="00216847" w14:textId="77777777" w:rsidR="00DD13BF" w:rsidRDefault="00DD13BF" w:rsidP="00355A56">
            <w:pPr>
              <w:pStyle w:val="TableParagraph"/>
              <w:rPr>
                <w:color w:val="000000"/>
                <w:sz w:val="20"/>
              </w:rPr>
            </w:pPr>
            <w:r>
              <w:rPr>
                <w:color w:val="000000"/>
                <w:sz w:val="20"/>
              </w:rPr>
              <w:t>Enterprises supported by financial instruments</w:t>
            </w:r>
          </w:p>
        </w:tc>
        <w:tc>
          <w:tcPr>
            <w:tcW w:w="1276" w:type="dxa"/>
          </w:tcPr>
          <w:p w14:paraId="1CAA15C1" w14:textId="77777777" w:rsidR="00DD13BF" w:rsidRDefault="00DD13BF" w:rsidP="00355A56">
            <w:pPr>
              <w:pStyle w:val="TableParagraph"/>
              <w:rPr>
                <w:color w:val="000000"/>
                <w:sz w:val="20"/>
              </w:rPr>
            </w:pPr>
            <w:r>
              <w:rPr>
                <w:color w:val="000000"/>
                <w:sz w:val="20"/>
              </w:rPr>
              <w:t>Enterprises</w:t>
            </w:r>
          </w:p>
        </w:tc>
        <w:tc>
          <w:tcPr>
            <w:tcW w:w="1418" w:type="dxa"/>
          </w:tcPr>
          <w:p w14:paraId="44115C2A" w14:textId="77777777" w:rsidR="00DD13BF" w:rsidRDefault="00DD13BF" w:rsidP="00355A56">
            <w:pPr>
              <w:pStyle w:val="TableParagraph"/>
              <w:rPr>
                <w:sz w:val="20"/>
              </w:rPr>
            </w:pPr>
            <w:r>
              <w:rPr>
                <w:sz w:val="20"/>
              </w:rPr>
              <w:t>0</w:t>
            </w:r>
          </w:p>
        </w:tc>
        <w:tc>
          <w:tcPr>
            <w:tcW w:w="1134" w:type="dxa"/>
          </w:tcPr>
          <w:p w14:paraId="69099152" w14:textId="77777777" w:rsidR="00DD13BF" w:rsidRDefault="00DD13BF" w:rsidP="00355A56">
            <w:pPr>
              <w:pStyle w:val="TableParagraph"/>
              <w:rPr>
                <w:sz w:val="20"/>
              </w:rPr>
            </w:pPr>
            <w:r>
              <w:rPr>
                <w:sz w:val="20"/>
              </w:rPr>
              <w:t>12</w:t>
            </w:r>
          </w:p>
        </w:tc>
      </w:tr>
      <w:tr w:rsidR="00DD13BF" w14:paraId="3DD71B1E" w14:textId="77777777" w:rsidTr="00355A56">
        <w:trPr>
          <w:trHeight w:val="367"/>
        </w:trPr>
        <w:tc>
          <w:tcPr>
            <w:tcW w:w="1141" w:type="dxa"/>
          </w:tcPr>
          <w:p w14:paraId="67F12C2C" w14:textId="77777777" w:rsidR="00DD13BF" w:rsidRDefault="00DD13BF" w:rsidP="00355A56">
            <w:pPr>
              <w:pStyle w:val="TableParagraph"/>
              <w:rPr>
                <w:sz w:val="20"/>
              </w:rPr>
            </w:pPr>
            <w:r>
              <w:rPr>
                <w:sz w:val="20"/>
              </w:rPr>
              <w:t>3</w:t>
            </w:r>
          </w:p>
        </w:tc>
        <w:tc>
          <w:tcPr>
            <w:tcW w:w="1276" w:type="dxa"/>
          </w:tcPr>
          <w:p w14:paraId="2A3889B3" w14:textId="77777777" w:rsidR="00DD13BF" w:rsidRDefault="00DD13BF" w:rsidP="00355A56">
            <w:pPr>
              <w:pStyle w:val="TableParagraph"/>
              <w:rPr>
                <w:sz w:val="20"/>
              </w:rPr>
            </w:pPr>
            <w:r>
              <w:rPr>
                <w:color w:val="000000"/>
                <w:sz w:val="20"/>
              </w:rPr>
              <w:t>RSO2.6</w:t>
            </w:r>
          </w:p>
        </w:tc>
        <w:tc>
          <w:tcPr>
            <w:tcW w:w="708" w:type="dxa"/>
          </w:tcPr>
          <w:p w14:paraId="56075937" w14:textId="77777777" w:rsidR="00DD13BF" w:rsidRDefault="00DD13BF" w:rsidP="00355A56">
            <w:pPr>
              <w:pStyle w:val="TableParagraph"/>
              <w:rPr>
                <w:sz w:val="20"/>
              </w:rPr>
            </w:pPr>
            <w:r>
              <w:rPr>
                <w:sz w:val="20"/>
              </w:rPr>
              <w:t>ERDF</w:t>
            </w:r>
          </w:p>
        </w:tc>
        <w:tc>
          <w:tcPr>
            <w:tcW w:w="1701" w:type="dxa"/>
          </w:tcPr>
          <w:p w14:paraId="72F66DDE" w14:textId="77777777" w:rsidR="00DD13BF" w:rsidRDefault="00DD13BF" w:rsidP="00355A56">
            <w:pPr>
              <w:pStyle w:val="TableParagraph"/>
              <w:rPr>
                <w:sz w:val="20"/>
              </w:rPr>
            </w:pPr>
            <w:r>
              <w:rPr>
                <w:sz w:val="20"/>
              </w:rPr>
              <w:t>Less developed</w:t>
            </w:r>
          </w:p>
        </w:tc>
        <w:tc>
          <w:tcPr>
            <w:tcW w:w="778" w:type="dxa"/>
          </w:tcPr>
          <w:p w14:paraId="72E1C426" w14:textId="77777777" w:rsidR="00DD13BF" w:rsidRDefault="00DD13BF" w:rsidP="00355A56">
            <w:pPr>
              <w:pStyle w:val="TableParagraph"/>
              <w:rPr>
                <w:sz w:val="20"/>
              </w:rPr>
            </w:pPr>
            <w:r>
              <w:rPr>
                <w:sz w:val="20"/>
              </w:rPr>
              <w:t>RCO04</w:t>
            </w:r>
          </w:p>
        </w:tc>
        <w:tc>
          <w:tcPr>
            <w:tcW w:w="4325" w:type="dxa"/>
          </w:tcPr>
          <w:p w14:paraId="5A2ED23A" w14:textId="77777777" w:rsidR="00DD13BF" w:rsidRDefault="00DD13BF" w:rsidP="00355A56">
            <w:pPr>
              <w:pStyle w:val="TableParagraph"/>
              <w:rPr>
                <w:rFonts w:cstheme="minorHAnsi"/>
                <w:sz w:val="20"/>
              </w:rPr>
            </w:pPr>
            <w:r>
              <w:rPr>
                <w:sz w:val="20"/>
              </w:rPr>
              <w:t>Enterprises with non-financial support</w:t>
            </w:r>
          </w:p>
        </w:tc>
        <w:tc>
          <w:tcPr>
            <w:tcW w:w="1276" w:type="dxa"/>
          </w:tcPr>
          <w:p w14:paraId="5143CE9D" w14:textId="77777777" w:rsidR="00DD13BF" w:rsidRDefault="00DD13BF" w:rsidP="00355A56">
            <w:pPr>
              <w:pStyle w:val="TableParagraph"/>
              <w:rPr>
                <w:sz w:val="20"/>
              </w:rPr>
            </w:pPr>
            <w:r>
              <w:rPr>
                <w:sz w:val="20"/>
              </w:rPr>
              <w:t>Enterprises</w:t>
            </w:r>
          </w:p>
        </w:tc>
        <w:tc>
          <w:tcPr>
            <w:tcW w:w="1418" w:type="dxa"/>
          </w:tcPr>
          <w:p w14:paraId="315A4B2E" w14:textId="77777777" w:rsidR="00DD13BF" w:rsidRDefault="00DD13BF" w:rsidP="00355A56">
            <w:pPr>
              <w:pStyle w:val="TableParagraph"/>
              <w:rPr>
                <w:sz w:val="20"/>
              </w:rPr>
            </w:pPr>
            <w:r>
              <w:rPr>
                <w:sz w:val="20"/>
              </w:rPr>
              <w:t>0</w:t>
            </w:r>
          </w:p>
        </w:tc>
        <w:tc>
          <w:tcPr>
            <w:tcW w:w="1134" w:type="dxa"/>
          </w:tcPr>
          <w:p w14:paraId="7002FDFF" w14:textId="77777777" w:rsidR="00DD13BF" w:rsidDel="007F7B89" w:rsidRDefault="00DD13BF" w:rsidP="00355A56">
            <w:pPr>
              <w:pStyle w:val="TableParagraph"/>
              <w:rPr>
                <w:sz w:val="20"/>
              </w:rPr>
            </w:pPr>
            <w:r>
              <w:rPr>
                <w:sz w:val="20"/>
              </w:rPr>
              <w:t>71</w:t>
            </w:r>
          </w:p>
        </w:tc>
      </w:tr>
      <w:tr w:rsidR="00DD13BF" w14:paraId="5234A0B0" w14:textId="77777777" w:rsidTr="00355A56">
        <w:trPr>
          <w:trHeight w:val="367"/>
        </w:trPr>
        <w:tc>
          <w:tcPr>
            <w:tcW w:w="1141" w:type="dxa"/>
            <w:tcBorders>
              <w:bottom w:val="single" w:sz="4" w:space="0" w:color="auto"/>
            </w:tcBorders>
          </w:tcPr>
          <w:p w14:paraId="003834EE" w14:textId="77777777" w:rsidR="00DD13BF" w:rsidRDefault="00DD13BF" w:rsidP="00355A56">
            <w:pPr>
              <w:pStyle w:val="TableParagraph"/>
              <w:rPr>
                <w:sz w:val="20"/>
              </w:rPr>
            </w:pPr>
            <w:r>
              <w:rPr>
                <w:sz w:val="20"/>
              </w:rPr>
              <w:t>3</w:t>
            </w:r>
          </w:p>
        </w:tc>
        <w:tc>
          <w:tcPr>
            <w:tcW w:w="1276" w:type="dxa"/>
            <w:tcBorders>
              <w:bottom w:val="single" w:sz="4" w:space="0" w:color="auto"/>
            </w:tcBorders>
          </w:tcPr>
          <w:p w14:paraId="07533893" w14:textId="77777777" w:rsidR="00DD13BF" w:rsidRDefault="00DD13BF" w:rsidP="00355A56">
            <w:pPr>
              <w:pStyle w:val="TableParagraph"/>
              <w:rPr>
                <w:sz w:val="20"/>
              </w:rPr>
            </w:pPr>
            <w:r>
              <w:rPr>
                <w:color w:val="000000"/>
                <w:sz w:val="20"/>
              </w:rPr>
              <w:t>RSO2.6</w:t>
            </w:r>
          </w:p>
        </w:tc>
        <w:tc>
          <w:tcPr>
            <w:tcW w:w="708" w:type="dxa"/>
            <w:tcBorders>
              <w:bottom w:val="single" w:sz="4" w:space="0" w:color="auto"/>
            </w:tcBorders>
          </w:tcPr>
          <w:p w14:paraId="1EAE1607" w14:textId="77777777" w:rsidR="00DD13BF" w:rsidRDefault="00DD13BF" w:rsidP="00355A56">
            <w:pPr>
              <w:pStyle w:val="TableParagraph"/>
              <w:rPr>
                <w:sz w:val="20"/>
              </w:rPr>
            </w:pPr>
            <w:r>
              <w:rPr>
                <w:sz w:val="20"/>
              </w:rPr>
              <w:t>ERDF</w:t>
            </w:r>
          </w:p>
        </w:tc>
        <w:tc>
          <w:tcPr>
            <w:tcW w:w="1701" w:type="dxa"/>
            <w:tcBorders>
              <w:bottom w:val="single" w:sz="4" w:space="0" w:color="auto"/>
            </w:tcBorders>
          </w:tcPr>
          <w:p w14:paraId="178FDC5C" w14:textId="77777777" w:rsidR="00DD13BF" w:rsidRDefault="00DD13BF" w:rsidP="00355A56">
            <w:pPr>
              <w:pStyle w:val="TableParagraph"/>
              <w:rPr>
                <w:sz w:val="20"/>
              </w:rPr>
            </w:pPr>
            <w:r>
              <w:rPr>
                <w:sz w:val="20"/>
              </w:rPr>
              <w:t>More developed</w:t>
            </w:r>
          </w:p>
        </w:tc>
        <w:tc>
          <w:tcPr>
            <w:tcW w:w="778" w:type="dxa"/>
            <w:tcBorders>
              <w:bottom w:val="single" w:sz="4" w:space="0" w:color="auto"/>
            </w:tcBorders>
          </w:tcPr>
          <w:p w14:paraId="05056724" w14:textId="77777777" w:rsidR="00DD13BF" w:rsidRDefault="00DD13BF" w:rsidP="00355A56">
            <w:pPr>
              <w:pStyle w:val="TableParagraph"/>
              <w:rPr>
                <w:sz w:val="20"/>
              </w:rPr>
            </w:pPr>
            <w:r>
              <w:rPr>
                <w:sz w:val="20"/>
              </w:rPr>
              <w:t>RCO04</w:t>
            </w:r>
          </w:p>
        </w:tc>
        <w:tc>
          <w:tcPr>
            <w:tcW w:w="4325" w:type="dxa"/>
            <w:tcBorders>
              <w:bottom w:val="single" w:sz="4" w:space="0" w:color="auto"/>
            </w:tcBorders>
          </w:tcPr>
          <w:p w14:paraId="3B528444" w14:textId="77777777" w:rsidR="00DD13BF" w:rsidRDefault="00DD13BF" w:rsidP="00355A56">
            <w:pPr>
              <w:pStyle w:val="TableParagraph"/>
              <w:rPr>
                <w:rFonts w:cstheme="minorHAnsi"/>
                <w:sz w:val="20"/>
              </w:rPr>
            </w:pPr>
            <w:r>
              <w:rPr>
                <w:sz w:val="20"/>
              </w:rPr>
              <w:t>Enterprises with non-financial support</w:t>
            </w:r>
          </w:p>
        </w:tc>
        <w:tc>
          <w:tcPr>
            <w:tcW w:w="1276" w:type="dxa"/>
            <w:tcBorders>
              <w:bottom w:val="single" w:sz="4" w:space="0" w:color="auto"/>
            </w:tcBorders>
          </w:tcPr>
          <w:p w14:paraId="67A8FF07" w14:textId="77777777" w:rsidR="00DD13BF" w:rsidRDefault="00DD13BF" w:rsidP="00355A56">
            <w:pPr>
              <w:pStyle w:val="TableParagraph"/>
              <w:rPr>
                <w:sz w:val="20"/>
              </w:rPr>
            </w:pPr>
            <w:r>
              <w:rPr>
                <w:sz w:val="20"/>
              </w:rPr>
              <w:t>Enterprises</w:t>
            </w:r>
          </w:p>
        </w:tc>
        <w:tc>
          <w:tcPr>
            <w:tcW w:w="1418" w:type="dxa"/>
            <w:tcBorders>
              <w:bottom w:val="single" w:sz="4" w:space="0" w:color="auto"/>
            </w:tcBorders>
          </w:tcPr>
          <w:p w14:paraId="594C9B4A" w14:textId="77777777" w:rsidR="00DD13BF" w:rsidRDefault="00DD13BF" w:rsidP="00355A56">
            <w:pPr>
              <w:pStyle w:val="TableParagraph"/>
              <w:rPr>
                <w:sz w:val="20"/>
              </w:rPr>
            </w:pPr>
            <w:r>
              <w:rPr>
                <w:sz w:val="20"/>
              </w:rPr>
              <w:t>0</w:t>
            </w:r>
          </w:p>
        </w:tc>
        <w:tc>
          <w:tcPr>
            <w:tcW w:w="1134" w:type="dxa"/>
            <w:tcBorders>
              <w:bottom w:val="single" w:sz="4" w:space="0" w:color="auto"/>
            </w:tcBorders>
          </w:tcPr>
          <w:p w14:paraId="6AEE475D" w14:textId="77777777" w:rsidR="00DD13BF" w:rsidDel="007F7B89" w:rsidRDefault="00DD13BF" w:rsidP="00355A56">
            <w:pPr>
              <w:pStyle w:val="TableParagraph"/>
              <w:rPr>
                <w:sz w:val="20"/>
              </w:rPr>
            </w:pPr>
            <w:r>
              <w:rPr>
                <w:sz w:val="20"/>
              </w:rPr>
              <w:t>29</w:t>
            </w:r>
          </w:p>
        </w:tc>
      </w:tr>
    </w:tbl>
    <w:p w14:paraId="48055AFA" w14:textId="77777777" w:rsidR="00DD13BF" w:rsidRDefault="00DD13BF" w:rsidP="00DD13BF">
      <w:pPr>
        <w:rPr>
          <w:sz w:val="24"/>
        </w:rPr>
      </w:pPr>
    </w:p>
    <w:p w14:paraId="107FF6E6" w14:textId="77777777" w:rsidR="00DD13BF" w:rsidRDefault="00DD13BF" w:rsidP="00DD13BF">
      <w:pPr>
        <w:ind w:left="379"/>
      </w:pPr>
      <w:r>
        <w:t>Table 3: Result indicators</w:t>
      </w:r>
    </w:p>
    <w:p w14:paraId="182F9360" w14:textId="77777777" w:rsidR="00DD13BF" w:rsidRDefault="00DD13BF" w:rsidP="00DD13BF">
      <w:pPr>
        <w:rPr>
          <w:sz w:val="21"/>
        </w:rPr>
      </w:pPr>
    </w:p>
    <w:tbl>
      <w:tblPr>
        <w:tblStyle w:val="NormalTable0"/>
        <w:tblW w:w="13740"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851"/>
        <w:gridCol w:w="696"/>
        <w:gridCol w:w="1572"/>
        <w:gridCol w:w="709"/>
        <w:gridCol w:w="2834"/>
        <w:gridCol w:w="708"/>
        <w:gridCol w:w="1134"/>
        <w:gridCol w:w="993"/>
        <w:gridCol w:w="708"/>
        <w:gridCol w:w="1560"/>
        <w:gridCol w:w="992"/>
      </w:tblGrid>
      <w:tr w:rsidR="00DD13BF" w14:paraId="2AD60263" w14:textId="77777777" w:rsidTr="00355A56">
        <w:trPr>
          <w:trHeight w:val="353"/>
        </w:trPr>
        <w:tc>
          <w:tcPr>
            <w:tcW w:w="983" w:type="dxa"/>
          </w:tcPr>
          <w:p w14:paraId="743577BA" w14:textId="77777777" w:rsidR="00DD13BF" w:rsidRPr="00347461" w:rsidRDefault="00DD13BF" w:rsidP="00355A56">
            <w:pPr>
              <w:pStyle w:val="TableParagraph"/>
              <w:rPr>
                <w:sz w:val="20"/>
              </w:rPr>
            </w:pPr>
            <w:r>
              <w:rPr>
                <w:sz w:val="20"/>
              </w:rPr>
              <w:t>Priority</w:t>
            </w:r>
          </w:p>
        </w:tc>
        <w:tc>
          <w:tcPr>
            <w:tcW w:w="851" w:type="dxa"/>
          </w:tcPr>
          <w:p w14:paraId="423F2111" w14:textId="77777777" w:rsidR="00DD13BF" w:rsidRPr="00347461" w:rsidRDefault="00DD13BF" w:rsidP="00355A56">
            <w:pPr>
              <w:pStyle w:val="TableParagraph"/>
              <w:rPr>
                <w:sz w:val="20"/>
              </w:rPr>
            </w:pPr>
            <w:r>
              <w:rPr>
                <w:sz w:val="20"/>
              </w:rPr>
              <w:t>Specific objective</w:t>
            </w:r>
          </w:p>
        </w:tc>
        <w:tc>
          <w:tcPr>
            <w:tcW w:w="696" w:type="dxa"/>
          </w:tcPr>
          <w:p w14:paraId="0AE464D1" w14:textId="77777777" w:rsidR="00DD13BF" w:rsidRPr="00347461" w:rsidRDefault="00DD13BF" w:rsidP="00355A56">
            <w:pPr>
              <w:pStyle w:val="TableParagraph"/>
              <w:rPr>
                <w:sz w:val="20"/>
              </w:rPr>
            </w:pPr>
            <w:r>
              <w:rPr>
                <w:sz w:val="20"/>
              </w:rPr>
              <w:t>Fund</w:t>
            </w:r>
          </w:p>
        </w:tc>
        <w:tc>
          <w:tcPr>
            <w:tcW w:w="1572" w:type="dxa"/>
          </w:tcPr>
          <w:p w14:paraId="76FC5F05" w14:textId="77777777" w:rsidR="00DD13BF" w:rsidRPr="00347461" w:rsidRDefault="00DD13BF" w:rsidP="00355A56">
            <w:pPr>
              <w:pStyle w:val="TableParagraph"/>
              <w:rPr>
                <w:sz w:val="20"/>
              </w:rPr>
            </w:pPr>
            <w:r>
              <w:rPr>
                <w:sz w:val="20"/>
              </w:rPr>
              <w:t>Category of region</w:t>
            </w:r>
          </w:p>
        </w:tc>
        <w:tc>
          <w:tcPr>
            <w:tcW w:w="709" w:type="dxa"/>
          </w:tcPr>
          <w:p w14:paraId="4AD62C64" w14:textId="77777777" w:rsidR="00DD13BF" w:rsidRPr="00347461" w:rsidRDefault="00DD13BF" w:rsidP="00355A56">
            <w:pPr>
              <w:pStyle w:val="TableParagraph"/>
              <w:rPr>
                <w:sz w:val="20"/>
              </w:rPr>
            </w:pPr>
            <w:r>
              <w:rPr>
                <w:sz w:val="20"/>
              </w:rPr>
              <w:t>ID</w:t>
            </w:r>
          </w:p>
        </w:tc>
        <w:tc>
          <w:tcPr>
            <w:tcW w:w="2834" w:type="dxa"/>
          </w:tcPr>
          <w:p w14:paraId="1571CF9F" w14:textId="77777777" w:rsidR="00DD13BF" w:rsidRPr="00347461" w:rsidRDefault="00DD13BF" w:rsidP="00355A56">
            <w:pPr>
              <w:pStyle w:val="TableParagraph"/>
              <w:rPr>
                <w:sz w:val="20"/>
              </w:rPr>
            </w:pPr>
            <w:r>
              <w:rPr>
                <w:sz w:val="20"/>
              </w:rPr>
              <w:t>Indicator</w:t>
            </w:r>
          </w:p>
        </w:tc>
        <w:tc>
          <w:tcPr>
            <w:tcW w:w="708" w:type="dxa"/>
          </w:tcPr>
          <w:p w14:paraId="4A36D1B1" w14:textId="77777777" w:rsidR="00DD13BF" w:rsidRPr="00347461" w:rsidRDefault="00DD13BF" w:rsidP="00355A56">
            <w:pPr>
              <w:pStyle w:val="TableParagraph"/>
              <w:rPr>
                <w:sz w:val="20"/>
              </w:rPr>
            </w:pPr>
            <w:r>
              <w:rPr>
                <w:sz w:val="20"/>
              </w:rPr>
              <w:t>Measurement unit</w:t>
            </w:r>
          </w:p>
        </w:tc>
        <w:tc>
          <w:tcPr>
            <w:tcW w:w="1134" w:type="dxa"/>
          </w:tcPr>
          <w:p w14:paraId="34173F5B" w14:textId="77777777" w:rsidR="00DD13BF" w:rsidRPr="00347461" w:rsidRDefault="00DD13BF" w:rsidP="00355A56">
            <w:pPr>
              <w:pStyle w:val="TableParagraph"/>
              <w:rPr>
                <w:sz w:val="20"/>
              </w:rPr>
            </w:pPr>
            <w:r>
              <w:rPr>
                <w:sz w:val="20"/>
              </w:rPr>
              <w:t>Baseline or reference value</w:t>
            </w:r>
          </w:p>
        </w:tc>
        <w:tc>
          <w:tcPr>
            <w:tcW w:w="993" w:type="dxa"/>
          </w:tcPr>
          <w:p w14:paraId="7AE6478B" w14:textId="77777777" w:rsidR="00DD13BF" w:rsidRPr="00347461" w:rsidRDefault="00DD13BF" w:rsidP="00355A56">
            <w:pPr>
              <w:pStyle w:val="TableParagraph"/>
              <w:rPr>
                <w:sz w:val="20"/>
              </w:rPr>
            </w:pPr>
            <w:r>
              <w:rPr>
                <w:sz w:val="20"/>
              </w:rPr>
              <w:t>Reference year</w:t>
            </w:r>
          </w:p>
        </w:tc>
        <w:tc>
          <w:tcPr>
            <w:tcW w:w="708" w:type="dxa"/>
          </w:tcPr>
          <w:p w14:paraId="6F539641" w14:textId="77777777" w:rsidR="00DD13BF" w:rsidRPr="00347461" w:rsidRDefault="00DD13BF" w:rsidP="00355A56">
            <w:pPr>
              <w:pStyle w:val="TableParagraph"/>
              <w:rPr>
                <w:sz w:val="20"/>
              </w:rPr>
            </w:pPr>
            <w:r>
              <w:rPr>
                <w:sz w:val="20"/>
              </w:rPr>
              <w:t>Target (2029)</w:t>
            </w:r>
          </w:p>
        </w:tc>
        <w:tc>
          <w:tcPr>
            <w:tcW w:w="1560" w:type="dxa"/>
          </w:tcPr>
          <w:p w14:paraId="74B83811" w14:textId="77777777" w:rsidR="00DD13BF" w:rsidRPr="00347461" w:rsidRDefault="00DD13BF" w:rsidP="00355A56">
            <w:pPr>
              <w:pStyle w:val="TableParagraph"/>
              <w:rPr>
                <w:sz w:val="20"/>
              </w:rPr>
            </w:pPr>
            <w:r>
              <w:rPr>
                <w:sz w:val="20"/>
              </w:rPr>
              <w:t>Source of data</w:t>
            </w:r>
          </w:p>
        </w:tc>
        <w:tc>
          <w:tcPr>
            <w:tcW w:w="992" w:type="dxa"/>
          </w:tcPr>
          <w:p w14:paraId="5A4BD923" w14:textId="77777777" w:rsidR="00DD13BF" w:rsidRPr="00347461" w:rsidRDefault="00DD13BF" w:rsidP="00355A56">
            <w:pPr>
              <w:pStyle w:val="TableParagraph"/>
              <w:rPr>
                <w:sz w:val="20"/>
              </w:rPr>
            </w:pPr>
            <w:r>
              <w:rPr>
                <w:sz w:val="20"/>
              </w:rPr>
              <w:t>Notes</w:t>
            </w:r>
          </w:p>
        </w:tc>
      </w:tr>
      <w:tr w:rsidR="00DD13BF" w:rsidRPr="00690424" w14:paraId="4A0D1CE7" w14:textId="77777777" w:rsidTr="00355A56">
        <w:trPr>
          <w:trHeight w:val="353"/>
        </w:trPr>
        <w:tc>
          <w:tcPr>
            <w:tcW w:w="983" w:type="dxa"/>
          </w:tcPr>
          <w:p w14:paraId="6F264E4D" w14:textId="77777777" w:rsidR="00DD13BF" w:rsidRPr="00690424" w:rsidRDefault="00DD13BF" w:rsidP="00355A56">
            <w:pPr>
              <w:pStyle w:val="TableParagraph"/>
              <w:rPr>
                <w:sz w:val="20"/>
              </w:rPr>
            </w:pPr>
            <w:r>
              <w:rPr>
                <w:sz w:val="20"/>
              </w:rPr>
              <w:t>3</w:t>
            </w:r>
          </w:p>
        </w:tc>
        <w:tc>
          <w:tcPr>
            <w:tcW w:w="851" w:type="dxa"/>
          </w:tcPr>
          <w:p w14:paraId="2B96E4F9" w14:textId="77777777" w:rsidR="00DD13BF" w:rsidRPr="00690424" w:rsidRDefault="00DD13BF" w:rsidP="00355A56">
            <w:pPr>
              <w:pStyle w:val="TableParagraph"/>
              <w:rPr>
                <w:sz w:val="20"/>
              </w:rPr>
            </w:pPr>
            <w:r>
              <w:rPr>
                <w:color w:val="000000"/>
                <w:sz w:val="20"/>
              </w:rPr>
              <w:t>RSO2.6</w:t>
            </w:r>
          </w:p>
        </w:tc>
        <w:tc>
          <w:tcPr>
            <w:tcW w:w="696" w:type="dxa"/>
          </w:tcPr>
          <w:p w14:paraId="56DAE7D1" w14:textId="77777777" w:rsidR="00DD13BF" w:rsidRPr="00690424" w:rsidRDefault="00DD13BF" w:rsidP="00355A56">
            <w:pPr>
              <w:pStyle w:val="TableParagraph"/>
              <w:rPr>
                <w:sz w:val="20"/>
              </w:rPr>
            </w:pPr>
            <w:r>
              <w:rPr>
                <w:sz w:val="20"/>
              </w:rPr>
              <w:t>ERDF</w:t>
            </w:r>
          </w:p>
        </w:tc>
        <w:tc>
          <w:tcPr>
            <w:tcW w:w="1572" w:type="dxa"/>
          </w:tcPr>
          <w:p w14:paraId="26FC2215" w14:textId="77777777" w:rsidR="00DD13BF" w:rsidRPr="00690424" w:rsidRDefault="00DD13BF" w:rsidP="00355A56">
            <w:pPr>
              <w:pStyle w:val="TableParagraph"/>
              <w:rPr>
                <w:sz w:val="20"/>
              </w:rPr>
            </w:pPr>
            <w:r>
              <w:rPr>
                <w:sz w:val="20"/>
              </w:rPr>
              <w:t>Less developed</w:t>
            </w:r>
          </w:p>
        </w:tc>
        <w:tc>
          <w:tcPr>
            <w:tcW w:w="709" w:type="dxa"/>
          </w:tcPr>
          <w:p w14:paraId="31B43B59" w14:textId="77777777" w:rsidR="00DD13BF" w:rsidRPr="00690424" w:rsidRDefault="00DD13BF" w:rsidP="00355A56">
            <w:pPr>
              <w:pStyle w:val="TableParagraph"/>
              <w:rPr>
                <w:sz w:val="20"/>
              </w:rPr>
            </w:pPr>
            <w:r>
              <w:rPr>
                <w:sz w:val="20"/>
              </w:rPr>
              <w:t>RCR03</w:t>
            </w:r>
          </w:p>
        </w:tc>
        <w:tc>
          <w:tcPr>
            <w:tcW w:w="2834" w:type="dxa"/>
          </w:tcPr>
          <w:p w14:paraId="6A559641" w14:textId="77777777" w:rsidR="00DD13BF" w:rsidRPr="00690424" w:rsidRDefault="00DD13BF" w:rsidP="00355A56">
            <w:pPr>
              <w:pStyle w:val="TableParagraph"/>
              <w:rPr>
                <w:sz w:val="20"/>
              </w:rPr>
            </w:pPr>
            <w:r>
              <w:rPr>
                <w:color w:val="000000"/>
                <w:sz w:val="20"/>
              </w:rPr>
              <w:t>Small and medium-size enterprises (SMEs) introducing product or process innovation</w:t>
            </w:r>
          </w:p>
        </w:tc>
        <w:tc>
          <w:tcPr>
            <w:tcW w:w="708" w:type="dxa"/>
          </w:tcPr>
          <w:p w14:paraId="70721C0B" w14:textId="77777777" w:rsidR="00DD13BF" w:rsidRPr="00690424" w:rsidRDefault="00DD13BF" w:rsidP="00355A56">
            <w:pPr>
              <w:pStyle w:val="TableParagraph"/>
              <w:rPr>
                <w:sz w:val="20"/>
              </w:rPr>
            </w:pPr>
            <w:r>
              <w:rPr>
                <w:color w:val="000000"/>
                <w:sz w:val="20"/>
              </w:rPr>
              <w:t>Enterprises</w:t>
            </w:r>
          </w:p>
        </w:tc>
        <w:tc>
          <w:tcPr>
            <w:tcW w:w="1134" w:type="dxa"/>
          </w:tcPr>
          <w:p w14:paraId="64AAC96E" w14:textId="77777777" w:rsidR="00DD13BF" w:rsidRPr="00690424" w:rsidRDefault="00DD13BF" w:rsidP="00355A56">
            <w:pPr>
              <w:pStyle w:val="TableParagraph"/>
              <w:rPr>
                <w:sz w:val="20"/>
              </w:rPr>
            </w:pPr>
            <w:r>
              <w:rPr>
                <w:sz w:val="20"/>
              </w:rPr>
              <w:t>0</w:t>
            </w:r>
          </w:p>
        </w:tc>
        <w:tc>
          <w:tcPr>
            <w:tcW w:w="993" w:type="dxa"/>
          </w:tcPr>
          <w:p w14:paraId="06FE6F7C" w14:textId="77777777" w:rsidR="00DD13BF" w:rsidRPr="00690424" w:rsidRDefault="00DD13BF" w:rsidP="00355A56">
            <w:pPr>
              <w:pStyle w:val="TableParagraph"/>
              <w:rPr>
                <w:sz w:val="20"/>
              </w:rPr>
            </w:pPr>
            <w:r>
              <w:rPr>
                <w:sz w:val="20"/>
              </w:rPr>
              <w:t>2022</w:t>
            </w:r>
          </w:p>
        </w:tc>
        <w:tc>
          <w:tcPr>
            <w:tcW w:w="708" w:type="dxa"/>
          </w:tcPr>
          <w:p w14:paraId="6A079873" w14:textId="77777777" w:rsidR="00DD13BF" w:rsidRPr="00690424" w:rsidRDefault="00DD13BF" w:rsidP="00355A56">
            <w:pPr>
              <w:pStyle w:val="TableParagraph"/>
              <w:rPr>
                <w:sz w:val="20"/>
              </w:rPr>
            </w:pPr>
            <w:r>
              <w:rPr>
                <w:sz w:val="20"/>
              </w:rPr>
              <w:t>134</w:t>
            </w:r>
          </w:p>
        </w:tc>
        <w:tc>
          <w:tcPr>
            <w:tcW w:w="1560" w:type="dxa"/>
          </w:tcPr>
          <w:p w14:paraId="40705AA7" w14:textId="77777777" w:rsidR="00DD13BF" w:rsidRPr="00690424" w:rsidRDefault="00DD13BF" w:rsidP="00355A56">
            <w:pPr>
              <w:pStyle w:val="TableParagraph"/>
              <w:rPr>
                <w:sz w:val="20"/>
              </w:rPr>
            </w:pPr>
            <w:r>
              <w:rPr>
                <w:sz w:val="20"/>
              </w:rPr>
              <w:t>MGRT</w:t>
            </w:r>
          </w:p>
        </w:tc>
        <w:tc>
          <w:tcPr>
            <w:tcW w:w="992" w:type="dxa"/>
          </w:tcPr>
          <w:p w14:paraId="3152A192" w14:textId="77777777" w:rsidR="00DD13BF" w:rsidRPr="00690424" w:rsidRDefault="00DD13BF" w:rsidP="00355A56">
            <w:pPr>
              <w:pStyle w:val="TableParagraph"/>
              <w:rPr>
                <w:sz w:val="20"/>
              </w:rPr>
            </w:pPr>
          </w:p>
        </w:tc>
      </w:tr>
      <w:tr w:rsidR="00DD13BF" w:rsidRPr="00690424" w14:paraId="4AF93791" w14:textId="77777777" w:rsidTr="00355A56">
        <w:trPr>
          <w:trHeight w:val="353"/>
        </w:trPr>
        <w:tc>
          <w:tcPr>
            <w:tcW w:w="983" w:type="dxa"/>
          </w:tcPr>
          <w:p w14:paraId="741AB2F7" w14:textId="77777777" w:rsidR="00DD13BF" w:rsidRPr="00690424" w:rsidRDefault="00DD13BF" w:rsidP="00355A56">
            <w:pPr>
              <w:pStyle w:val="TableParagraph"/>
              <w:rPr>
                <w:sz w:val="20"/>
              </w:rPr>
            </w:pPr>
            <w:r>
              <w:rPr>
                <w:sz w:val="20"/>
              </w:rPr>
              <w:t>3</w:t>
            </w:r>
          </w:p>
        </w:tc>
        <w:tc>
          <w:tcPr>
            <w:tcW w:w="851" w:type="dxa"/>
          </w:tcPr>
          <w:p w14:paraId="3F50A0E5" w14:textId="77777777" w:rsidR="00DD13BF" w:rsidRPr="00690424" w:rsidRDefault="00DD13BF" w:rsidP="00355A56">
            <w:pPr>
              <w:pStyle w:val="TableParagraph"/>
              <w:rPr>
                <w:sz w:val="20"/>
              </w:rPr>
            </w:pPr>
            <w:r>
              <w:rPr>
                <w:color w:val="000000"/>
                <w:sz w:val="20"/>
              </w:rPr>
              <w:t>RSO2.6</w:t>
            </w:r>
          </w:p>
        </w:tc>
        <w:tc>
          <w:tcPr>
            <w:tcW w:w="696" w:type="dxa"/>
          </w:tcPr>
          <w:p w14:paraId="13395214" w14:textId="77777777" w:rsidR="00DD13BF" w:rsidRPr="00690424" w:rsidRDefault="00DD13BF" w:rsidP="00355A56">
            <w:pPr>
              <w:pStyle w:val="TableParagraph"/>
              <w:rPr>
                <w:sz w:val="20"/>
              </w:rPr>
            </w:pPr>
            <w:r>
              <w:rPr>
                <w:sz w:val="20"/>
              </w:rPr>
              <w:t>ERDF</w:t>
            </w:r>
          </w:p>
        </w:tc>
        <w:tc>
          <w:tcPr>
            <w:tcW w:w="1572" w:type="dxa"/>
          </w:tcPr>
          <w:p w14:paraId="190E776D" w14:textId="77777777" w:rsidR="00DD13BF" w:rsidRPr="00690424" w:rsidRDefault="00DD13BF" w:rsidP="00355A56">
            <w:pPr>
              <w:pStyle w:val="TableParagraph"/>
              <w:rPr>
                <w:sz w:val="20"/>
              </w:rPr>
            </w:pPr>
            <w:r>
              <w:rPr>
                <w:sz w:val="20"/>
              </w:rPr>
              <w:t>More developed</w:t>
            </w:r>
          </w:p>
        </w:tc>
        <w:tc>
          <w:tcPr>
            <w:tcW w:w="709" w:type="dxa"/>
          </w:tcPr>
          <w:p w14:paraId="5B083FE0" w14:textId="77777777" w:rsidR="00DD13BF" w:rsidRPr="00690424" w:rsidRDefault="00DD13BF" w:rsidP="00355A56">
            <w:pPr>
              <w:pStyle w:val="TableParagraph"/>
              <w:rPr>
                <w:sz w:val="20"/>
              </w:rPr>
            </w:pPr>
            <w:r>
              <w:rPr>
                <w:sz w:val="20"/>
              </w:rPr>
              <w:t>RCR03</w:t>
            </w:r>
          </w:p>
        </w:tc>
        <w:tc>
          <w:tcPr>
            <w:tcW w:w="2834" w:type="dxa"/>
          </w:tcPr>
          <w:p w14:paraId="668765D0" w14:textId="77777777" w:rsidR="00DD13BF" w:rsidRPr="00690424" w:rsidRDefault="00DD13BF" w:rsidP="00355A56">
            <w:pPr>
              <w:pStyle w:val="TableParagraph"/>
              <w:rPr>
                <w:sz w:val="20"/>
              </w:rPr>
            </w:pPr>
            <w:r>
              <w:rPr>
                <w:color w:val="000000"/>
                <w:sz w:val="20"/>
              </w:rPr>
              <w:t>Small and medium-size enterprises (SMEs) introducing product or process innovation</w:t>
            </w:r>
          </w:p>
        </w:tc>
        <w:tc>
          <w:tcPr>
            <w:tcW w:w="708" w:type="dxa"/>
          </w:tcPr>
          <w:p w14:paraId="7359DCE9" w14:textId="77777777" w:rsidR="00DD13BF" w:rsidRPr="00690424" w:rsidRDefault="00DD13BF" w:rsidP="00355A56">
            <w:pPr>
              <w:pStyle w:val="TableParagraph"/>
              <w:rPr>
                <w:sz w:val="20"/>
              </w:rPr>
            </w:pPr>
            <w:r>
              <w:rPr>
                <w:color w:val="000000"/>
                <w:sz w:val="20"/>
              </w:rPr>
              <w:t>Enterprises</w:t>
            </w:r>
          </w:p>
        </w:tc>
        <w:tc>
          <w:tcPr>
            <w:tcW w:w="1134" w:type="dxa"/>
          </w:tcPr>
          <w:p w14:paraId="597CDC9D" w14:textId="77777777" w:rsidR="00DD13BF" w:rsidRPr="00690424" w:rsidRDefault="00DD13BF" w:rsidP="00355A56">
            <w:pPr>
              <w:pStyle w:val="TableParagraph"/>
              <w:rPr>
                <w:sz w:val="20"/>
              </w:rPr>
            </w:pPr>
            <w:r>
              <w:rPr>
                <w:sz w:val="20"/>
              </w:rPr>
              <w:t>0</w:t>
            </w:r>
          </w:p>
        </w:tc>
        <w:tc>
          <w:tcPr>
            <w:tcW w:w="993" w:type="dxa"/>
          </w:tcPr>
          <w:p w14:paraId="26286A8C" w14:textId="77777777" w:rsidR="00DD13BF" w:rsidRPr="00690424" w:rsidRDefault="00DD13BF" w:rsidP="00355A56">
            <w:pPr>
              <w:pStyle w:val="TableParagraph"/>
              <w:rPr>
                <w:sz w:val="20"/>
              </w:rPr>
            </w:pPr>
            <w:r>
              <w:rPr>
                <w:sz w:val="20"/>
              </w:rPr>
              <w:t>2022</w:t>
            </w:r>
          </w:p>
        </w:tc>
        <w:tc>
          <w:tcPr>
            <w:tcW w:w="708" w:type="dxa"/>
          </w:tcPr>
          <w:p w14:paraId="778C4BD5" w14:textId="77777777" w:rsidR="00DD13BF" w:rsidRPr="00690424" w:rsidRDefault="00DD13BF" w:rsidP="00355A56">
            <w:pPr>
              <w:pStyle w:val="TableParagraph"/>
              <w:rPr>
                <w:sz w:val="20"/>
              </w:rPr>
            </w:pPr>
            <w:r>
              <w:rPr>
                <w:sz w:val="20"/>
              </w:rPr>
              <w:t>39</w:t>
            </w:r>
          </w:p>
        </w:tc>
        <w:tc>
          <w:tcPr>
            <w:tcW w:w="1560" w:type="dxa"/>
          </w:tcPr>
          <w:p w14:paraId="5C461573" w14:textId="77777777" w:rsidR="00DD13BF" w:rsidRPr="00690424" w:rsidRDefault="00DD13BF" w:rsidP="00355A56">
            <w:pPr>
              <w:pStyle w:val="TableParagraph"/>
              <w:rPr>
                <w:sz w:val="20"/>
              </w:rPr>
            </w:pPr>
            <w:r>
              <w:rPr>
                <w:sz w:val="20"/>
              </w:rPr>
              <w:t>MGRT</w:t>
            </w:r>
          </w:p>
        </w:tc>
        <w:tc>
          <w:tcPr>
            <w:tcW w:w="992" w:type="dxa"/>
          </w:tcPr>
          <w:p w14:paraId="07B1CC59" w14:textId="77777777" w:rsidR="00DD13BF" w:rsidRPr="00690424" w:rsidRDefault="00DD13BF" w:rsidP="00355A56">
            <w:pPr>
              <w:pStyle w:val="TableParagraph"/>
              <w:rPr>
                <w:sz w:val="20"/>
              </w:rPr>
            </w:pPr>
          </w:p>
        </w:tc>
      </w:tr>
      <w:tr w:rsidR="00DD13BF" w:rsidRPr="00690424" w14:paraId="4EF24EF8" w14:textId="77777777" w:rsidTr="00355A56">
        <w:trPr>
          <w:trHeight w:val="353"/>
        </w:trPr>
        <w:tc>
          <w:tcPr>
            <w:tcW w:w="983" w:type="dxa"/>
          </w:tcPr>
          <w:p w14:paraId="55D58938" w14:textId="77777777" w:rsidR="00DD13BF" w:rsidRPr="00690424" w:rsidRDefault="00DD13BF" w:rsidP="00355A56">
            <w:pPr>
              <w:pStyle w:val="TableParagraph"/>
              <w:rPr>
                <w:sz w:val="20"/>
              </w:rPr>
            </w:pPr>
            <w:r>
              <w:rPr>
                <w:sz w:val="20"/>
              </w:rPr>
              <w:t>3</w:t>
            </w:r>
          </w:p>
        </w:tc>
        <w:tc>
          <w:tcPr>
            <w:tcW w:w="851" w:type="dxa"/>
          </w:tcPr>
          <w:p w14:paraId="7BFE177C" w14:textId="77777777" w:rsidR="00DD13BF" w:rsidRPr="00690424" w:rsidRDefault="00DD13BF" w:rsidP="00355A56">
            <w:pPr>
              <w:pStyle w:val="TableParagraph"/>
              <w:rPr>
                <w:sz w:val="20"/>
              </w:rPr>
            </w:pPr>
            <w:r>
              <w:rPr>
                <w:color w:val="000000"/>
                <w:sz w:val="20"/>
              </w:rPr>
              <w:t>RSO2.6</w:t>
            </w:r>
          </w:p>
        </w:tc>
        <w:tc>
          <w:tcPr>
            <w:tcW w:w="696" w:type="dxa"/>
          </w:tcPr>
          <w:p w14:paraId="5DD7F0B2" w14:textId="77777777" w:rsidR="00DD13BF" w:rsidRPr="00690424" w:rsidRDefault="00DD13BF" w:rsidP="00355A56">
            <w:pPr>
              <w:pStyle w:val="TableParagraph"/>
              <w:rPr>
                <w:sz w:val="20"/>
              </w:rPr>
            </w:pPr>
            <w:r>
              <w:rPr>
                <w:sz w:val="20"/>
              </w:rPr>
              <w:t>ERDF</w:t>
            </w:r>
          </w:p>
        </w:tc>
        <w:tc>
          <w:tcPr>
            <w:tcW w:w="1572" w:type="dxa"/>
          </w:tcPr>
          <w:p w14:paraId="4039D839" w14:textId="77777777" w:rsidR="00DD13BF" w:rsidRPr="00690424" w:rsidRDefault="00DD13BF" w:rsidP="00355A56">
            <w:pPr>
              <w:pStyle w:val="TableParagraph"/>
              <w:rPr>
                <w:sz w:val="20"/>
              </w:rPr>
            </w:pPr>
            <w:r>
              <w:rPr>
                <w:sz w:val="20"/>
              </w:rPr>
              <w:t>Less developed</w:t>
            </w:r>
            <w:r>
              <w:rPr>
                <w:sz w:val="20"/>
              </w:rPr>
              <w:tab/>
            </w:r>
            <w:r>
              <w:rPr>
                <w:sz w:val="20"/>
              </w:rPr>
              <w:tab/>
            </w:r>
          </w:p>
        </w:tc>
        <w:tc>
          <w:tcPr>
            <w:tcW w:w="709" w:type="dxa"/>
          </w:tcPr>
          <w:p w14:paraId="0628CA58" w14:textId="77777777" w:rsidR="00DD13BF" w:rsidRPr="00690424" w:rsidRDefault="00DD13BF" w:rsidP="00355A56">
            <w:pPr>
              <w:pStyle w:val="TableParagraph"/>
              <w:rPr>
                <w:sz w:val="20"/>
              </w:rPr>
            </w:pPr>
            <w:r>
              <w:rPr>
                <w:sz w:val="20"/>
              </w:rPr>
              <w:t>RCR19</w:t>
            </w:r>
          </w:p>
        </w:tc>
        <w:tc>
          <w:tcPr>
            <w:tcW w:w="2834" w:type="dxa"/>
          </w:tcPr>
          <w:p w14:paraId="65E737F5" w14:textId="77777777" w:rsidR="00DD13BF" w:rsidRPr="00690424" w:rsidRDefault="00DD13BF" w:rsidP="00355A56">
            <w:pPr>
              <w:pStyle w:val="TableParagraph"/>
              <w:rPr>
                <w:sz w:val="20"/>
              </w:rPr>
            </w:pPr>
            <w:r>
              <w:rPr>
                <w:color w:val="000000"/>
                <w:sz w:val="20"/>
              </w:rPr>
              <w:t>Enterprises with higher turnover</w:t>
            </w:r>
          </w:p>
        </w:tc>
        <w:tc>
          <w:tcPr>
            <w:tcW w:w="708" w:type="dxa"/>
          </w:tcPr>
          <w:p w14:paraId="725A8F5D" w14:textId="77777777" w:rsidR="00DD13BF" w:rsidRPr="00690424" w:rsidRDefault="00DD13BF" w:rsidP="00355A56">
            <w:pPr>
              <w:pStyle w:val="TableParagraph"/>
              <w:rPr>
                <w:sz w:val="20"/>
              </w:rPr>
            </w:pPr>
            <w:r>
              <w:rPr>
                <w:color w:val="000000"/>
                <w:sz w:val="20"/>
              </w:rPr>
              <w:t>Enterprises</w:t>
            </w:r>
          </w:p>
        </w:tc>
        <w:tc>
          <w:tcPr>
            <w:tcW w:w="1134" w:type="dxa"/>
          </w:tcPr>
          <w:p w14:paraId="173AC911" w14:textId="77777777" w:rsidR="00DD13BF" w:rsidRPr="00690424" w:rsidRDefault="00DD13BF" w:rsidP="00355A56">
            <w:pPr>
              <w:pStyle w:val="TableParagraph"/>
              <w:rPr>
                <w:sz w:val="20"/>
              </w:rPr>
            </w:pPr>
            <w:r>
              <w:rPr>
                <w:sz w:val="20"/>
              </w:rPr>
              <w:t>0</w:t>
            </w:r>
          </w:p>
        </w:tc>
        <w:tc>
          <w:tcPr>
            <w:tcW w:w="993" w:type="dxa"/>
          </w:tcPr>
          <w:p w14:paraId="45404267" w14:textId="77777777" w:rsidR="00DD13BF" w:rsidRPr="00690424" w:rsidRDefault="00DD13BF" w:rsidP="00355A56">
            <w:pPr>
              <w:pStyle w:val="TableParagraph"/>
              <w:rPr>
                <w:sz w:val="20"/>
              </w:rPr>
            </w:pPr>
            <w:r>
              <w:rPr>
                <w:sz w:val="20"/>
              </w:rPr>
              <w:t>2022</w:t>
            </w:r>
          </w:p>
        </w:tc>
        <w:tc>
          <w:tcPr>
            <w:tcW w:w="708" w:type="dxa"/>
          </w:tcPr>
          <w:p w14:paraId="4D405038" w14:textId="77777777" w:rsidR="00DD13BF" w:rsidRPr="00690424" w:rsidRDefault="00DD13BF" w:rsidP="00355A56">
            <w:pPr>
              <w:pStyle w:val="TableParagraph"/>
              <w:rPr>
                <w:sz w:val="20"/>
              </w:rPr>
            </w:pPr>
            <w:r>
              <w:rPr>
                <w:sz w:val="20"/>
              </w:rPr>
              <w:t>31</w:t>
            </w:r>
          </w:p>
        </w:tc>
        <w:tc>
          <w:tcPr>
            <w:tcW w:w="1560" w:type="dxa"/>
          </w:tcPr>
          <w:p w14:paraId="37525647" w14:textId="77777777" w:rsidR="00DD13BF" w:rsidRPr="00690424" w:rsidRDefault="00DD13BF" w:rsidP="00355A56">
            <w:pPr>
              <w:pStyle w:val="TableParagraph"/>
              <w:rPr>
                <w:sz w:val="20"/>
              </w:rPr>
            </w:pPr>
            <w:r>
              <w:rPr>
                <w:sz w:val="20"/>
              </w:rPr>
              <w:t>MGRT</w:t>
            </w:r>
          </w:p>
        </w:tc>
        <w:tc>
          <w:tcPr>
            <w:tcW w:w="992" w:type="dxa"/>
          </w:tcPr>
          <w:p w14:paraId="6CC4A4C7" w14:textId="77777777" w:rsidR="00DD13BF" w:rsidRPr="00690424" w:rsidRDefault="00DD13BF" w:rsidP="00355A56">
            <w:pPr>
              <w:pStyle w:val="TableParagraph"/>
              <w:rPr>
                <w:sz w:val="20"/>
              </w:rPr>
            </w:pPr>
          </w:p>
        </w:tc>
      </w:tr>
      <w:tr w:rsidR="00DD13BF" w:rsidRPr="00690424" w14:paraId="47951E38" w14:textId="77777777" w:rsidTr="00355A56">
        <w:trPr>
          <w:trHeight w:val="353"/>
        </w:trPr>
        <w:tc>
          <w:tcPr>
            <w:tcW w:w="983" w:type="dxa"/>
          </w:tcPr>
          <w:p w14:paraId="40CC507E" w14:textId="77777777" w:rsidR="00DD13BF" w:rsidRPr="00690424" w:rsidRDefault="00DD13BF" w:rsidP="00355A56">
            <w:pPr>
              <w:pStyle w:val="TableParagraph"/>
              <w:rPr>
                <w:sz w:val="20"/>
              </w:rPr>
            </w:pPr>
            <w:r>
              <w:rPr>
                <w:sz w:val="20"/>
              </w:rPr>
              <w:t>3</w:t>
            </w:r>
          </w:p>
        </w:tc>
        <w:tc>
          <w:tcPr>
            <w:tcW w:w="851" w:type="dxa"/>
          </w:tcPr>
          <w:p w14:paraId="7938C7CA" w14:textId="77777777" w:rsidR="00DD13BF" w:rsidRPr="00690424" w:rsidRDefault="00DD13BF" w:rsidP="00355A56">
            <w:pPr>
              <w:pStyle w:val="TableParagraph"/>
              <w:rPr>
                <w:sz w:val="20"/>
              </w:rPr>
            </w:pPr>
            <w:r>
              <w:rPr>
                <w:color w:val="000000"/>
                <w:sz w:val="20"/>
              </w:rPr>
              <w:t>RSO2.6</w:t>
            </w:r>
          </w:p>
        </w:tc>
        <w:tc>
          <w:tcPr>
            <w:tcW w:w="696" w:type="dxa"/>
          </w:tcPr>
          <w:p w14:paraId="12557E4E" w14:textId="77777777" w:rsidR="00DD13BF" w:rsidRPr="00690424" w:rsidRDefault="00DD13BF" w:rsidP="00355A56">
            <w:pPr>
              <w:pStyle w:val="TableParagraph"/>
              <w:rPr>
                <w:sz w:val="20"/>
              </w:rPr>
            </w:pPr>
            <w:r>
              <w:rPr>
                <w:sz w:val="20"/>
              </w:rPr>
              <w:t>ERDF</w:t>
            </w:r>
          </w:p>
        </w:tc>
        <w:tc>
          <w:tcPr>
            <w:tcW w:w="1572" w:type="dxa"/>
          </w:tcPr>
          <w:p w14:paraId="74DB3BCB" w14:textId="77777777" w:rsidR="00DD13BF" w:rsidRPr="00690424" w:rsidRDefault="00DD13BF" w:rsidP="00355A56">
            <w:pPr>
              <w:pStyle w:val="TableParagraph"/>
              <w:rPr>
                <w:sz w:val="20"/>
              </w:rPr>
            </w:pPr>
            <w:r>
              <w:rPr>
                <w:sz w:val="20"/>
              </w:rPr>
              <w:t>More developed</w:t>
            </w:r>
            <w:r>
              <w:rPr>
                <w:sz w:val="20"/>
              </w:rPr>
              <w:tab/>
            </w:r>
            <w:r>
              <w:rPr>
                <w:sz w:val="20"/>
              </w:rPr>
              <w:tab/>
            </w:r>
          </w:p>
        </w:tc>
        <w:tc>
          <w:tcPr>
            <w:tcW w:w="709" w:type="dxa"/>
          </w:tcPr>
          <w:p w14:paraId="1991C333" w14:textId="77777777" w:rsidR="00DD13BF" w:rsidRPr="00690424" w:rsidRDefault="00DD13BF" w:rsidP="00355A56">
            <w:pPr>
              <w:pStyle w:val="TableParagraph"/>
              <w:rPr>
                <w:sz w:val="20"/>
              </w:rPr>
            </w:pPr>
            <w:r>
              <w:rPr>
                <w:sz w:val="20"/>
              </w:rPr>
              <w:t>RCR19</w:t>
            </w:r>
          </w:p>
        </w:tc>
        <w:tc>
          <w:tcPr>
            <w:tcW w:w="2834" w:type="dxa"/>
          </w:tcPr>
          <w:p w14:paraId="07FA3719" w14:textId="77777777" w:rsidR="00DD13BF" w:rsidRPr="00690424" w:rsidRDefault="00DD13BF" w:rsidP="00355A56">
            <w:pPr>
              <w:pStyle w:val="TableParagraph"/>
              <w:rPr>
                <w:sz w:val="20"/>
              </w:rPr>
            </w:pPr>
            <w:r>
              <w:rPr>
                <w:color w:val="000000"/>
                <w:sz w:val="20"/>
              </w:rPr>
              <w:t>Enterprises with higher turnover</w:t>
            </w:r>
          </w:p>
        </w:tc>
        <w:tc>
          <w:tcPr>
            <w:tcW w:w="708" w:type="dxa"/>
          </w:tcPr>
          <w:p w14:paraId="25207D12" w14:textId="77777777" w:rsidR="00DD13BF" w:rsidRPr="00690424" w:rsidRDefault="00DD13BF" w:rsidP="00355A56">
            <w:pPr>
              <w:pStyle w:val="TableParagraph"/>
              <w:rPr>
                <w:sz w:val="20"/>
              </w:rPr>
            </w:pPr>
            <w:r>
              <w:rPr>
                <w:color w:val="000000"/>
                <w:sz w:val="20"/>
              </w:rPr>
              <w:t>Enterprises</w:t>
            </w:r>
          </w:p>
        </w:tc>
        <w:tc>
          <w:tcPr>
            <w:tcW w:w="1134" w:type="dxa"/>
          </w:tcPr>
          <w:p w14:paraId="6A6ADDD9" w14:textId="77777777" w:rsidR="00DD13BF" w:rsidRPr="00690424" w:rsidRDefault="00DD13BF" w:rsidP="00355A56">
            <w:pPr>
              <w:pStyle w:val="TableParagraph"/>
              <w:rPr>
                <w:sz w:val="20"/>
              </w:rPr>
            </w:pPr>
            <w:r>
              <w:rPr>
                <w:sz w:val="20"/>
              </w:rPr>
              <w:t>0</w:t>
            </w:r>
          </w:p>
        </w:tc>
        <w:tc>
          <w:tcPr>
            <w:tcW w:w="993" w:type="dxa"/>
          </w:tcPr>
          <w:p w14:paraId="20CDC485" w14:textId="77777777" w:rsidR="00DD13BF" w:rsidRPr="00690424" w:rsidRDefault="00DD13BF" w:rsidP="00355A56">
            <w:pPr>
              <w:pStyle w:val="TableParagraph"/>
              <w:rPr>
                <w:sz w:val="20"/>
              </w:rPr>
            </w:pPr>
            <w:r>
              <w:rPr>
                <w:sz w:val="20"/>
              </w:rPr>
              <w:t>2022</w:t>
            </w:r>
          </w:p>
        </w:tc>
        <w:tc>
          <w:tcPr>
            <w:tcW w:w="708" w:type="dxa"/>
          </w:tcPr>
          <w:p w14:paraId="10F8F15E" w14:textId="77777777" w:rsidR="00DD13BF" w:rsidRPr="00690424" w:rsidRDefault="00DD13BF" w:rsidP="00355A56">
            <w:pPr>
              <w:pStyle w:val="TableParagraph"/>
              <w:rPr>
                <w:sz w:val="20"/>
              </w:rPr>
            </w:pPr>
            <w:r>
              <w:rPr>
                <w:sz w:val="20"/>
              </w:rPr>
              <w:t>18</w:t>
            </w:r>
          </w:p>
          <w:p w14:paraId="39506ED4" w14:textId="77777777" w:rsidR="00DD13BF" w:rsidRPr="00690424" w:rsidRDefault="00DD13BF" w:rsidP="00355A56">
            <w:pPr>
              <w:pStyle w:val="TableParagraph"/>
              <w:rPr>
                <w:sz w:val="20"/>
              </w:rPr>
            </w:pPr>
          </w:p>
        </w:tc>
        <w:tc>
          <w:tcPr>
            <w:tcW w:w="1560" w:type="dxa"/>
          </w:tcPr>
          <w:p w14:paraId="5DB88006" w14:textId="77777777" w:rsidR="00DD13BF" w:rsidRPr="00690424" w:rsidRDefault="00DD13BF" w:rsidP="00355A56">
            <w:pPr>
              <w:pStyle w:val="TableParagraph"/>
              <w:rPr>
                <w:sz w:val="20"/>
              </w:rPr>
            </w:pPr>
            <w:r>
              <w:rPr>
                <w:sz w:val="20"/>
              </w:rPr>
              <w:t>MGRT</w:t>
            </w:r>
          </w:p>
        </w:tc>
        <w:tc>
          <w:tcPr>
            <w:tcW w:w="992" w:type="dxa"/>
          </w:tcPr>
          <w:p w14:paraId="0A144B30" w14:textId="77777777" w:rsidR="00DD13BF" w:rsidRPr="00690424" w:rsidRDefault="00DD13BF" w:rsidP="00355A56">
            <w:pPr>
              <w:pStyle w:val="TableParagraph"/>
              <w:rPr>
                <w:sz w:val="20"/>
              </w:rPr>
            </w:pPr>
          </w:p>
        </w:tc>
      </w:tr>
    </w:tbl>
    <w:p w14:paraId="3EB52382" w14:textId="77777777" w:rsidR="00DD13BF" w:rsidRPr="00F81084" w:rsidRDefault="00DD13BF" w:rsidP="00DD13BF">
      <w:pPr>
        <w:pStyle w:val="Telobesedila"/>
      </w:pPr>
    </w:p>
    <w:p w14:paraId="462011E9" w14:textId="77777777" w:rsidR="00DD13BF" w:rsidRPr="00F81084" w:rsidRDefault="00DD13BF" w:rsidP="00DD13BF">
      <w:pPr>
        <w:pStyle w:val="Telobesedila"/>
      </w:pPr>
    </w:p>
    <w:p w14:paraId="575BEFC2" w14:textId="77777777" w:rsidR="00DD13BF" w:rsidRDefault="00DD13BF" w:rsidP="00DD13BF">
      <w:pPr>
        <w:pStyle w:val="Naslov5"/>
        <w:numPr>
          <w:ilvl w:val="4"/>
          <w:numId w:val="16"/>
        </w:numPr>
        <w:spacing w:before="0"/>
      </w:pPr>
      <w:r>
        <w:t>Indicative breakdown of the programme resources (EU) by type of intervention</w:t>
      </w:r>
    </w:p>
    <w:p w14:paraId="7D09D6B1" w14:textId="77777777" w:rsidR="00DD13BF" w:rsidRDefault="00DD13BF" w:rsidP="00DD13BF">
      <w:pPr>
        <w:ind w:left="640"/>
        <w:rPr>
          <w:spacing w:val="-5"/>
        </w:rPr>
      </w:pPr>
    </w:p>
    <w:p w14:paraId="7D7E2FBF" w14:textId="77777777" w:rsidR="00DD13BF" w:rsidRPr="00AB1A57" w:rsidRDefault="00DD13BF" w:rsidP="00DD13BF">
      <w:pPr>
        <w:spacing w:before="89"/>
        <w:ind w:left="339"/>
        <w:rPr>
          <w:spacing w:val="-7"/>
        </w:rPr>
      </w:pPr>
      <w:r>
        <w:t>Table 4: Dimension 1 – intervention field</w:t>
      </w:r>
    </w:p>
    <w:p w14:paraId="6CFA9E81" w14:textId="77777777" w:rsidR="00DD13BF" w:rsidRPr="00AB1A57" w:rsidRDefault="00DD13BF" w:rsidP="00DD13BF">
      <w:pPr>
        <w:spacing w:before="8" w:after="1"/>
        <w:rPr>
          <w:sz w:val="20"/>
        </w:rPr>
      </w:pPr>
    </w:p>
    <w:tbl>
      <w:tblPr>
        <w:tblStyle w:val="TableNormal4"/>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AB1A57" w14:paraId="512F6876" w14:textId="77777777" w:rsidTr="00355A56">
        <w:trPr>
          <w:trHeight w:val="353"/>
        </w:trPr>
        <w:tc>
          <w:tcPr>
            <w:tcW w:w="2088" w:type="dxa"/>
          </w:tcPr>
          <w:p w14:paraId="659FBF42" w14:textId="77777777" w:rsidR="00DD13BF" w:rsidRPr="00AB1A57" w:rsidRDefault="00DD13BF" w:rsidP="00355A56">
            <w:pPr>
              <w:spacing w:before="39"/>
              <w:ind w:left="115"/>
            </w:pPr>
            <w:r>
              <w:t>Priority no.</w:t>
            </w:r>
          </w:p>
        </w:tc>
        <w:tc>
          <w:tcPr>
            <w:tcW w:w="1133" w:type="dxa"/>
          </w:tcPr>
          <w:p w14:paraId="3C7945AE" w14:textId="77777777" w:rsidR="00DD13BF" w:rsidRPr="00AB1A57" w:rsidRDefault="00DD13BF" w:rsidP="00355A56">
            <w:pPr>
              <w:spacing w:before="39"/>
              <w:ind w:left="320"/>
            </w:pPr>
            <w:r>
              <w:t>Fund</w:t>
            </w:r>
          </w:p>
        </w:tc>
        <w:tc>
          <w:tcPr>
            <w:tcW w:w="3249" w:type="dxa"/>
          </w:tcPr>
          <w:p w14:paraId="137303F9" w14:textId="77777777" w:rsidR="00DD13BF" w:rsidRPr="00AB1A57" w:rsidRDefault="00DD13BF" w:rsidP="00355A56">
            <w:pPr>
              <w:spacing w:before="39"/>
              <w:ind w:left="907"/>
            </w:pPr>
            <w:r>
              <w:t>Category of region</w:t>
            </w:r>
          </w:p>
        </w:tc>
        <w:tc>
          <w:tcPr>
            <w:tcW w:w="3099" w:type="dxa"/>
          </w:tcPr>
          <w:p w14:paraId="3E6C202E" w14:textId="77777777" w:rsidR="00DD13BF" w:rsidRPr="00AB1A57" w:rsidRDefault="00DD13BF" w:rsidP="00355A56">
            <w:pPr>
              <w:spacing w:before="39"/>
              <w:ind w:left="948"/>
            </w:pPr>
            <w:r>
              <w:t>Specific objective</w:t>
            </w:r>
          </w:p>
        </w:tc>
        <w:tc>
          <w:tcPr>
            <w:tcW w:w="1161" w:type="dxa"/>
          </w:tcPr>
          <w:p w14:paraId="551B4B71" w14:textId="77777777" w:rsidR="00DD13BF" w:rsidRPr="00AB1A57" w:rsidRDefault="00DD13BF" w:rsidP="00355A56">
            <w:pPr>
              <w:spacing w:before="39"/>
              <w:ind w:left="333"/>
            </w:pPr>
            <w:r>
              <w:t>Code</w:t>
            </w:r>
          </w:p>
        </w:tc>
        <w:tc>
          <w:tcPr>
            <w:tcW w:w="2731" w:type="dxa"/>
          </w:tcPr>
          <w:p w14:paraId="132A19E0" w14:textId="77777777" w:rsidR="00DD13BF" w:rsidRPr="00AB1A57" w:rsidRDefault="00DD13BF" w:rsidP="00355A56">
            <w:pPr>
              <w:spacing w:before="39"/>
              <w:ind w:left="660"/>
            </w:pPr>
            <w:r>
              <w:t>Amount (in EUR)</w:t>
            </w:r>
          </w:p>
        </w:tc>
      </w:tr>
      <w:tr w:rsidR="00DD13BF" w:rsidRPr="00AB1A57" w14:paraId="237D8A4C" w14:textId="77777777" w:rsidTr="00355A56">
        <w:trPr>
          <w:trHeight w:val="353"/>
        </w:trPr>
        <w:tc>
          <w:tcPr>
            <w:tcW w:w="2088" w:type="dxa"/>
          </w:tcPr>
          <w:p w14:paraId="22C758A7" w14:textId="77777777" w:rsidR="00DD13BF" w:rsidRPr="00AB1A57" w:rsidRDefault="00DD13BF" w:rsidP="00355A56">
            <w:pPr>
              <w:rPr>
                <w:sz w:val="20"/>
              </w:rPr>
            </w:pPr>
            <w:r>
              <w:rPr>
                <w:sz w:val="20"/>
              </w:rPr>
              <w:t>3</w:t>
            </w:r>
          </w:p>
        </w:tc>
        <w:tc>
          <w:tcPr>
            <w:tcW w:w="1133" w:type="dxa"/>
          </w:tcPr>
          <w:p w14:paraId="54A0B3B7" w14:textId="77777777" w:rsidR="00DD13BF" w:rsidRPr="00AB1A57" w:rsidRDefault="00DD13BF" w:rsidP="00355A56">
            <w:pPr>
              <w:rPr>
                <w:sz w:val="20"/>
              </w:rPr>
            </w:pPr>
            <w:r>
              <w:rPr>
                <w:sz w:val="20"/>
              </w:rPr>
              <w:t>ERDF</w:t>
            </w:r>
          </w:p>
        </w:tc>
        <w:tc>
          <w:tcPr>
            <w:tcW w:w="3249" w:type="dxa"/>
          </w:tcPr>
          <w:p w14:paraId="341B6466" w14:textId="77777777" w:rsidR="00DD13BF" w:rsidRPr="00AB1A57" w:rsidRDefault="00DD13BF" w:rsidP="00355A56">
            <w:pPr>
              <w:rPr>
                <w:sz w:val="20"/>
              </w:rPr>
            </w:pPr>
            <w:r>
              <w:rPr>
                <w:sz w:val="20"/>
              </w:rPr>
              <w:t>Less developed</w:t>
            </w:r>
          </w:p>
        </w:tc>
        <w:tc>
          <w:tcPr>
            <w:tcW w:w="3099" w:type="dxa"/>
          </w:tcPr>
          <w:p w14:paraId="19E76CA2" w14:textId="77777777" w:rsidR="00DD13BF" w:rsidRPr="00AB1A57" w:rsidDel="00700518" w:rsidRDefault="00DD13BF" w:rsidP="00355A56">
            <w:pPr>
              <w:rPr>
                <w:sz w:val="20"/>
              </w:rPr>
            </w:pPr>
            <w:r>
              <w:rPr>
                <w:color w:val="000000"/>
                <w:sz w:val="20"/>
              </w:rPr>
              <w:t>RSO2.6</w:t>
            </w:r>
          </w:p>
        </w:tc>
        <w:tc>
          <w:tcPr>
            <w:tcW w:w="1161" w:type="dxa"/>
          </w:tcPr>
          <w:p w14:paraId="5E3F3294" w14:textId="77777777" w:rsidR="00DD13BF" w:rsidRPr="00AB1A57" w:rsidRDefault="00DD13BF" w:rsidP="00355A56">
            <w:pPr>
              <w:rPr>
                <w:sz w:val="20"/>
              </w:rPr>
            </w:pPr>
            <w:r>
              <w:rPr>
                <w:sz w:val="20"/>
              </w:rPr>
              <w:t>075</w:t>
            </w:r>
          </w:p>
        </w:tc>
        <w:tc>
          <w:tcPr>
            <w:tcW w:w="2731" w:type="dxa"/>
          </w:tcPr>
          <w:p w14:paraId="39844CA8" w14:textId="77777777" w:rsidR="00DD13BF" w:rsidRPr="00AB1A57" w:rsidRDefault="00DD13BF" w:rsidP="00355A56">
            <w:pPr>
              <w:rPr>
                <w:sz w:val="20"/>
              </w:rPr>
            </w:pPr>
            <w:r>
              <w:rPr>
                <w:sz w:val="20"/>
              </w:rPr>
              <w:t>36,893,100</w:t>
            </w:r>
          </w:p>
        </w:tc>
      </w:tr>
      <w:tr w:rsidR="00DD13BF" w:rsidRPr="00AB1A57" w14:paraId="02EBCBED" w14:textId="77777777" w:rsidTr="00355A56">
        <w:trPr>
          <w:trHeight w:val="353"/>
        </w:trPr>
        <w:tc>
          <w:tcPr>
            <w:tcW w:w="2088" w:type="dxa"/>
          </w:tcPr>
          <w:p w14:paraId="222F411B" w14:textId="77777777" w:rsidR="00DD13BF" w:rsidRDefault="00DD13BF" w:rsidP="00355A56">
            <w:pPr>
              <w:rPr>
                <w:sz w:val="20"/>
              </w:rPr>
            </w:pPr>
            <w:r>
              <w:rPr>
                <w:sz w:val="20"/>
              </w:rPr>
              <w:t>3</w:t>
            </w:r>
          </w:p>
        </w:tc>
        <w:tc>
          <w:tcPr>
            <w:tcW w:w="1133" w:type="dxa"/>
          </w:tcPr>
          <w:p w14:paraId="09E164D4" w14:textId="77777777" w:rsidR="00DD13BF" w:rsidRDefault="00DD13BF" w:rsidP="00355A56">
            <w:pPr>
              <w:rPr>
                <w:sz w:val="20"/>
              </w:rPr>
            </w:pPr>
            <w:r>
              <w:rPr>
                <w:sz w:val="20"/>
              </w:rPr>
              <w:t>ERDF</w:t>
            </w:r>
          </w:p>
        </w:tc>
        <w:tc>
          <w:tcPr>
            <w:tcW w:w="3249" w:type="dxa"/>
          </w:tcPr>
          <w:p w14:paraId="26E5DF73" w14:textId="77777777" w:rsidR="00DD13BF" w:rsidRPr="0050680C" w:rsidRDefault="00DD13BF" w:rsidP="00355A56">
            <w:pPr>
              <w:rPr>
                <w:sz w:val="20"/>
              </w:rPr>
            </w:pPr>
            <w:r>
              <w:rPr>
                <w:sz w:val="20"/>
              </w:rPr>
              <w:t>More developed</w:t>
            </w:r>
          </w:p>
        </w:tc>
        <w:tc>
          <w:tcPr>
            <w:tcW w:w="3099" w:type="dxa"/>
          </w:tcPr>
          <w:p w14:paraId="5BBA0EB9" w14:textId="77777777" w:rsidR="00DD13BF" w:rsidRDefault="00DD13BF" w:rsidP="00355A56">
            <w:pPr>
              <w:rPr>
                <w:sz w:val="20"/>
              </w:rPr>
            </w:pPr>
            <w:r>
              <w:rPr>
                <w:color w:val="000000"/>
                <w:sz w:val="20"/>
              </w:rPr>
              <w:t>RSO2.6</w:t>
            </w:r>
          </w:p>
        </w:tc>
        <w:tc>
          <w:tcPr>
            <w:tcW w:w="1161" w:type="dxa"/>
          </w:tcPr>
          <w:p w14:paraId="0BD3C825" w14:textId="77777777" w:rsidR="00DD13BF" w:rsidRDefault="00DD13BF" w:rsidP="00355A56">
            <w:pPr>
              <w:rPr>
                <w:sz w:val="20"/>
              </w:rPr>
            </w:pPr>
            <w:r>
              <w:rPr>
                <w:sz w:val="20"/>
              </w:rPr>
              <w:t>075</w:t>
            </w:r>
          </w:p>
        </w:tc>
        <w:tc>
          <w:tcPr>
            <w:tcW w:w="2731" w:type="dxa"/>
          </w:tcPr>
          <w:p w14:paraId="56B1ED5C" w14:textId="77777777" w:rsidR="00DD13BF" w:rsidRPr="00AB1A57" w:rsidRDefault="00DD13BF" w:rsidP="00355A56">
            <w:pPr>
              <w:rPr>
                <w:sz w:val="20"/>
              </w:rPr>
            </w:pPr>
            <w:r>
              <w:rPr>
                <w:sz w:val="20"/>
              </w:rPr>
              <w:t>13,622,600</w:t>
            </w:r>
          </w:p>
        </w:tc>
      </w:tr>
      <w:tr w:rsidR="00DD13BF" w:rsidRPr="00AB1A57" w14:paraId="6D8DBF1D" w14:textId="77777777" w:rsidTr="00355A56">
        <w:trPr>
          <w:trHeight w:val="353"/>
        </w:trPr>
        <w:tc>
          <w:tcPr>
            <w:tcW w:w="2088" w:type="dxa"/>
          </w:tcPr>
          <w:p w14:paraId="2AFAECFC" w14:textId="77777777" w:rsidR="00DD13BF" w:rsidRDefault="00DD13BF" w:rsidP="00355A56">
            <w:pPr>
              <w:rPr>
                <w:sz w:val="20"/>
              </w:rPr>
            </w:pPr>
            <w:r>
              <w:rPr>
                <w:sz w:val="20"/>
              </w:rPr>
              <w:t>3</w:t>
            </w:r>
          </w:p>
        </w:tc>
        <w:tc>
          <w:tcPr>
            <w:tcW w:w="1133" w:type="dxa"/>
          </w:tcPr>
          <w:p w14:paraId="776247A1" w14:textId="77777777" w:rsidR="00DD13BF" w:rsidRDefault="00DD13BF" w:rsidP="00355A56">
            <w:pPr>
              <w:rPr>
                <w:sz w:val="20"/>
              </w:rPr>
            </w:pPr>
            <w:r>
              <w:rPr>
                <w:sz w:val="20"/>
              </w:rPr>
              <w:t>ERDF</w:t>
            </w:r>
          </w:p>
        </w:tc>
        <w:tc>
          <w:tcPr>
            <w:tcW w:w="3249" w:type="dxa"/>
          </w:tcPr>
          <w:p w14:paraId="1062D24B" w14:textId="77777777" w:rsidR="00DD13BF" w:rsidRPr="0050680C" w:rsidRDefault="00DD13BF" w:rsidP="00355A56">
            <w:pPr>
              <w:rPr>
                <w:sz w:val="20"/>
              </w:rPr>
            </w:pPr>
            <w:r>
              <w:rPr>
                <w:sz w:val="20"/>
              </w:rPr>
              <w:t>Less developed</w:t>
            </w:r>
          </w:p>
        </w:tc>
        <w:tc>
          <w:tcPr>
            <w:tcW w:w="3099" w:type="dxa"/>
          </w:tcPr>
          <w:p w14:paraId="3A2A42D1" w14:textId="77777777" w:rsidR="00DD13BF" w:rsidRDefault="00DD13BF" w:rsidP="00355A56">
            <w:pPr>
              <w:rPr>
                <w:sz w:val="20"/>
              </w:rPr>
            </w:pPr>
            <w:r>
              <w:rPr>
                <w:color w:val="000000"/>
                <w:sz w:val="20"/>
              </w:rPr>
              <w:t>RSO2.6</w:t>
            </w:r>
          </w:p>
        </w:tc>
        <w:tc>
          <w:tcPr>
            <w:tcW w:w="1161" w:type="dxa"/>
          </w:tcPr>
          <w:p w14:paraId="02520EEA" w14:textId="77777777" w:rsidR="00DD13BF" w:rsidRDefault="00DD13BF" w:rsidP="00355A56">
            <w:pPr>
              <w:rPr>
                <w:sz w:val="20"/>
              </w:rPr>
            </w:pPr>
            <w:r>
              <w:rPr>
                <w:sz w:val="20"/>
              </w:rPr>
              <w:t>076</w:t>
            </w:r>
          </w:p>
        </w:tc>
        <w:tc>
          <w:tcPr>
            <w:tcW w:w="2731" w:type="dxa"/>
          </w:tcPr>
          <w:p w14:paraId="2112E952" w14:textId="77777777" w:rsidR="00DD13BF" w:rsidRDefault="00DD13BF" w:rsidP="00355A56">
            <w:pPr>
              <w:rPr>
                <w:sz w:val="20"/>
              </w:rPr>
            </w:pPr>
            <w:r>
              <w:rPr>
                <w:sz w:val="20"/>
              </w:rPr>
              <w:t>4,680,000</w:t>
            </w:r>
          </w:p>
        </w:tc>
      </w:tr>
      <w:tr w:rsidR="00DD13BF" w:rsidRPr="00AB1A57" w14:paraId="258454FB" w14:textId="77777777" w:rsidTr="00355A56">
        <w:trPr>
          <w:trHeight w:val="353"/>
        </w:trPr>
        <w:tc>
          <w:tcPr>
            <w:tcW w:w="2088" w:type="dxa"/>
          </w:tcPr>
          <w:p w14:paraId="71E9A196" w14:textId="77777777" w:rsidR="00DD13BF" w:rsidRDefault="00DD13BF" w:rsidP="00355A56">
            <w:pPr>
              <w:rPr>
                <w:sz w:val="20"/>
              </w:rPr>
            </w:pPr>
            <w:r>
              <w:rPr>
                <w:sz w:val="20"/>
              </w:rPr>
              <w:t>3</w:t>
            </w:r>
          </w:p>
        </w:tc>
        <w:tc>
          <w:tcPr>
            <w:tcW w:w="1133" w:type="dxa"/>
          </w:tcPr>
          <w:p w14:paraId="2AE8E09E" w14:textId="77777777" w:rsidR="00DD13BF" w:rsidRDefault="00DD13BF" w:rsidP="00355A56">
            <w:pPr>
              <w:rPr>
                <w:sz w:val="20"/>
              </w:rPr>
            </w:pPr>
            <w:r>
              <w:rPr>
                <w:sz w:val="20"/>
              </w:rPr>
              <w:t>ERDF</w:t>
            </w:r>
          </w:p>
        </w:tc>
        <w:tc>
          <w:tcPr>
            <w:tcW w:w="3249" w:type="dxa"/>
          </w:tcPr>
          <w:p w14:paraId="42FDE13E" w14:textId="77777777" w:rsidR="00DD13BF" w:rsidRPr="0050680C" w:rsidRDefault="00DD13BF" w:rsidP="00355A56">
            <w:pPr>
              <w:rPr>
                <w:sz w:val="20"/>
              </w:rPr>
            </w:pPr>
            <w:r>
              <w:rPr>
                <w:sz w:val="20"/>
              </w:rPr>
              <w:t>More developed</w:t>
            </w:r>
          </w:p>
        </w:tc>
        <w:tc>
          <w:tcPr>
            <w:tcW w:w="3099" w:type="dxa"/>
          </w:tcPr>
          <w:p w14:paraId="20B6EB2E" w14:textId="77777777" w:rsidR="00DD13BF" w:rsidRDefault="00DD13BF" w:rsidP="00355A56">
            <w:pPr>
              <w:rPr>
                <w:sz w:val="20"/>
              </w:rPr>
            </w:pPr>
            <w:r>
              <w:rPr>
                <w:color w:val="000000"/>
                <w:sz w:val="20"/>
              </w:rPr>
              <w:t>RSO2.6</w:t>
            </w:r>
          </w:p>
        </w:tc>
        <w:tc>
          <w:tcPr>
            <w:tcW w:w="1161" w:type="dxa"/>
          </w:tcPr>
          <w:p w14:paraId="24690D84" w14:textId="77777777" w:rsidR="00DD13BF" w:rsidRDefault="00DD13BF" w:rsidP="00355A56">
            <w:pPr>
              <w:rPr>
                <w:sz w:val="20"/>
              </w:rPr>
            </w:pPr>
            <w:r>
              <w:rPr>
                <w:sz w:val="20"/>
              </w:rPr>
              <w:t>076</w:t>
            </w:r>
          </w:p>
        </w:tc>
        <w:tc>
          <w:tcPr>
            <w:tcW w:w="2731" w:type="dxa"/>
          </w:tcPr>
          <w:p w14:paraId="6D385791" w14:textId="77777777" w:rsidR="00DD13BF" w:rsidRDefault="00DD13BF" w:rsidP="00355A56">
            <w:pPr>
              <w:rPr>
                <w:sz w:val="20"/>
              </w:rPr>
            </w:pPr>
            <w:r>
              <w:rPr>
                <w:sz w:val="20"/>
              </w:rPr>
              <w:t>2,150,000</w:t>
            </w:r>
          </w:p>
        </w:tc>
      </w:tr>
    </w:tbl>
    <w:p w14:paraId="60BCEC09" w14:textId="77777777" w:rsidR="00DD13BF" w:rsidRPr="00AB1A57" w:rsidRDefault="00DD13BF" w:rsidP="00DD13BF"/>
    <w:p w14:paraId="4AB800B7" w14:textId="77777777" w:rsidR="00DD13BF" w:rsidRPr="00AB1A57" w:rsidRDefault="00DD13BF" w:rsidP="00DD13BF">
      <w:pPr>
        <w:spacing w:before="89"/>
        <w:ind w:left="339"/>
        <w:rPr>
          <w:spacing w:val="-7"/>
        </w:rPr>
      </w:pPr>
      <w:r>
        <w:t>Table 5: Dimension 2 – form of financing</w:t>
      </w:r>
    </w:p>
    <w:p w14:paraId="10005875" w14:textId="77777777" w:rsidR="00DD13BF" w:rsidRPr="00AB1A57" w:rsidRDefault="00DD13BF" w:rsidP="00DD13BF">
      <w:pPr>
        <w:spacing w:before="9" w:after="1"/>
        <w:rPr>
          <w:sz w:val="20"/>
        </w:rPr>
      </w:pPr>
    </w:p>
    <w:tbl>
      <w:tblPr>
        <w:tblStyle w:val="TableNormal4"/>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AB1A57" w14:paraId="061B8EE5" w14:textId="77777777" w:rsidTr="00355A56">
        <w:trPr>
          <w:trHeight w:val="353"/>
        </w:trPr>
        <w:tc>
          <w:tcPr>
            <w:tcW w:w="2088" w:type="dxa"/>
          </w:tcPr>
          <w:p w14:paraId="784E2A29" w14:textId="77777777" w:rsidR="00DD13BF" w:rsidRPr="00AB1A57" w:rsidRDefault="00DD13BF" w:rsidP="00355A56">
            <w:pPr>
              <w:spacing w:before="39"/>
              <w:ind w:left="115"/>
            </w:pPr>
            <w:r>
              <w:t>Priority no.</w:t>
            </w:r>
          </w:p>
        </w:tc>
        <w:tc>
          <w:tcPr>
            <w:tcW w:w="1133" w:type="dxa"/>
          </w:tcPr>
          <w:p w14:paraId="69B466CB" w14:textId="77777777" w:rsidR="00DD13BF" w:rsidRPr="00AB1A57" w:rsidRDefault="00DD13BF" w:rsidP="00355A56">
            <w:pPr>
              <w:spacing w:before="39"/>
              <w:ind w:left="320"/>
            </w:pPr>
            <w:r>
              <w:t>Fund</w:t>
            </w:r>
          </w:p>
        </w:tc>
        <w:tc>
          <w:tcPr>
            <w:tcW w:w="3249" w:type="dxa"/>
          </w:tcPr>
          <w:p w14:paraId="48D87C59" w14:textId="77777777" w:rsidR="00DD13BF" w:rsidRPr="00AB1A57" w:rsidRDefault="00DD13BF" w:rsidP="00355A56">
            <w:pPr>
              <w:spacing w:before="39"/>
              <w:ind w:left="907"/>
            </w:pPr>
            <w:r>
              <w:t>Category of region</w:t>
            </w:r>
          </w:p>
        </w:tc>
        <w:tc>
          <w:tcPr>
            <w:tcW w:w="3099" w:type="dxa"/>
          </w:tcPr>
          <w:p w14:paraId="34272CD0" w14:textId="77777777" w:rsidR="00DD13BF" w:rsidRPr="00AB1A57" w:rsidRDefault="00DD13BF" w:rsidP="00355A56">
            <w:pPr>
              <w:spacing w:before="39"/>
              <w:ind w:left="948"/>
            </w:pPr>
            <w:r>
              <w:t>Specific objective</w:t>
            </w:r>
          </w:p>
        </w:tc>
        <w:tc>
          <w:tcPr>
            <w:tcW w:w="1161" w:type="dxa"/>
          </w:tcPr>
          <w:p w14:paraId="5DEEF02B" w14:textId="77777777" w:rsidR="00DD13BF" w:rsidRPr="00AB1A57" w:rsidRDefault="00DD13BF" w:rsidP="00355A56">
            <w:pPr>
              <w:spacing w:before="39"/>
              <w:ind w:left="334"/>
            </w:pPr>
            <w:r>
              <w:t>Code</w:t>
            </w:r>
          </w:p>
        </w:tc>
        <w:tc>
          <w:tcPr>
            <w:tcW w:w="2731" w:type="dxa"/>
          </w:tcPr>
          <w:p w14:paraId="32807BD6" w14:textId="77777777" w:rsidR="00DD13BF" w:rsidRPr="00AB1A57" w:rsidRDefault="00DD13BF" w:rsidP="00355A56">
            <w:pPr>
              <w:spacing w:before="39"/>
              <w:ind w:left="661"/>
            </w:pPr>
            <w:r>
              <w:t>Amount (in EUR)</w:t>
            </w:r>
          </w:p>
        </w:tc>
      </w:tr>
      <w:tr w:rsidR="00DD13BF" w:rsidRPr="00AB1A57" w14:paraId="48DA76A0" w14:textId="77777777" w:rsidTr="00355A56">
        <w:trPr>
          <w:trHeight w:val="353"/>
        </w:trPr>
        <w:tc>
          <w:tcPr>
            <w:tcW w:w="2088" w:type="dxa"/>
          </w:tcPr>
          <w:p w14:paraId="6A45ABF9" w14:textId="77777777" w:rsidR="00DD13BF" w:rsidRPr="00AB1A57" w:rsidRDefault="00DD13BF" w:rsidP="00355A56">
            <w:pPr>
              <w:rPr>
                <w:sz w:val="20"/>
              </w:rPr>
            </w:pPr>
            <w:r>
              <w:rPr>
                <w:sz w:val="20"/>
              </w:rPr>
              <w:t>3</w:t>
            </w:r>
          </w:p>
        </w:tc>
        <w:tc>
          <w:tcPr>
            <w:tcW w:w="1133" w:type="dxa"/>
          </w:tcPr>
          <w:p w14:paraId="0DE365EC" w14:textId="77777777" w:rsidR="00DD13BF" w:rsidRPr="00AB1A57" w:rsidRDefault="00DD13BF" w:rsidP="00355A56">
            <w:pPr>
              <w:rPr>
                <w:sz w:val="20"/>
              </w:rPr>
            </w:pPr>
            <w:r>
              <w:rPr>
                <w:sz w:val="20"/>
              </w:rPr>
              <w:t>ERDF</w:t>
            </w:r>
          </w:p>
        </w:tc>
        <w:tc>
          <w:tcPr>
            <w:tcW w:w="3249" w:type="dxa"/>
          </w:tcPr>
          <w:p w14:paraId="67C9C8E0" w14:textId="77777777" w:rsidR="00DD13BF" w:rsidRPr="00AB1A57" w:rsidRDefault="00DD13BF" w:rsidP="00355A56">
            <w:pPr>
              <w:rPr>
                <w:sz w:val="20"/>
              </w:rPr>
            </w:pPr>
            <w:r>
              <w:rPr>
                <w:sz w:val="20"/>
              </w:rPr>
              <w:t>Less developed</w:t>
            </w:r>
          </w:p>
        </w:tc>
        <w:tc>
          <w:tcPr>
            <w:tcW w:w="3099" w:type="dxa"/>
          </w:tcPr>
          <w:p w14:paraId="432C37C7" w14:textId="77777777" w:rsidR="00DD13BF" w:rsidRDefault="00DD13BF" w:rsidP="00355A56">
            <w:pPr>
              <w:rPr>
                <w:sz w:val="20"/>
              </w:rPr>
            </w:pPr>
            <w:r>
              <w:rPr>
                <w:color w:val="000000"/>
                <w:sz w:val="20"/>
              </w:rPr>
              <w:t>RSO2.6</w:t>
            </w:r>
          </w:p>
        </w:tc>
        <w:tc>
          <w:tcPr>
            <w:tcW w:w="1161" w:type="dxa"/>
          </w:tcPr>
          <w:p w14:paraId="1264B78B" w14:textId="77777777" w:rsidR="00DD13BF" w:rsidRPr="00AB1A57" w:rsidRDefault="00DD13BF" w:rsidP="00355A56">
            <w:pPr>
              <w:rPr>
                <w:sz w:val="20"/>
              </w:rPr>
            </w:pPr>
            <w:r>
              <w:rPr>
                <w:sz w:val="20"/>
              </w:rPr>
              <w:t>01</w:t>
            </w:r>
          </w:p>
        </w:tc>
        <w:tc>
          <w:tcPr>
            <w:tcW w:w="2731" w:type="dxa"/>
          </w:tcPr>
          <w:p w14:paraId="3CE218B4" w14:textId="77777777" w:rsidR="00DD13BF" w:rsidRPr="00AB1A57" w:rsidRDefault="00DD13BF" w:rsidP="00355A56">
            <w:pPr>
              <w:rPr>
                <w:sz w:val="20"/>
              </w:rPr>
            </w:pPr>
            <w:r>
              <w:rPr>
                <w:sz w:val="20"/>
              </w:rPr>
              <w:t>28,693,100</w:t>
            </w:r>
          </w:p>
        </w:tc>
      </w:tr>
      <w:tr w:rsidR="00DD13BF" w:rsidRPr="00AB1A57" w14:paraId="03ED4BAB" w14:textId="77777777" w:rsidTr="00355A56">
        <w:trPr>
          <w:trHeight w:val="353"/>
        </w:trPr>
        <w:tc>
          <w:tcPr>
            <w:tcW w:w="2088" w:type="dxa"/>
          </w:tcPr>
          <w:p w14:paraId="0005ABAD" w14:textId="77777777" w:rsidR="00DD13BF" w:rsidRPr="00AB1A57" w:rsidRDefault="00DD13BF" w:rsidP="00355A56">
            <w:pPr>
              <w:rPr>
                <w:sz w:val="20"/>
              </w:rPr>
            </w:pPr>
            <w:r>
              <w:rPr>
                <w:sz w:val="20"/>
              </w:rPr>
              <w:t>3</w:t>
            </w:r>
          </w:p>
        </w:tc>
        <w:tc>
          <w:tcPr>
            <w:tcW w:w="1133" w:type="dxa"/>
          </w:tcPr>
          <w:p w14:paraId="7497AD43" w14:textId="77777777" w:rsidR="00DD13BF" w:rsidRPr="00AB1A57" w:rsidRDefault="00DD13BF" w:rsidP="00355A56">
            <w:pPr>
              <w:rPr>
                <w:sz w:val="20"/>
              </w:rPr>
            </w:pPr>
            <w:r>
              <w:rPr>
                <w:sz w:val="20"/>
              </w:rPr>
              <w:t>ERDF</w:t>
            </w:r>
          </w:p>
        </w:tc>
        <w:tc>
          <w:tcPr>
            <w:tcW w:w="3249" w:type="dxa"/>
          </w:tcPr>
          <w:p w14:paraId="79DEE3FD" w14:textId="77777777" w:rsidR="00DD13BF" w:rsidRPr="00AB1A57" w:rsidRDefault="00DD13BF" w:rsidP="00355A56">
            <w:pPr>
              <w:rPr>
                <w:sz w:val="20"/>
              </w:rPr>
            </w:pPr>
            <w:r>
              <w:rPr>
                <w:sz w:val="20"/>
              </w:rPr>
              <w:t>More developed</w:t>
            </w:r>
          </w:p>
        </w:tc>
        <w:tc>
          <w:tcPr>
            <w:tcW w:w="3099" w:type="dxa"/>
          </w:tcPr>
          <w:p w14:paraId="76DD6A40" w14:textId="77777777" w:rsidR="00DD13BF" w:rsidRDefault="00DD13BF" w:rsidP="00355A56">
            <w:pPr>
              <w:rPr>
                <w:sz w:val="20"/>
              </w:rPr>
            </w:pPr>
            <w:r>
              <w:rPr>
                <w:color w:val="000000"/>
                <w:sz w:val="20"/>
              </w:rPr>
              <w:t>RSO2.6</w:t>
            </w:r>
          </w:p>
        </w:tc>
        <w:tc>
          <w:tcPr>
            <w:tcW w:w="1161" w:type="dxa"/>
          </w:tcPr>
          <w:p w14:paraId="27421782" w14:textId="77777777" w:rsidR="00DD13BF" w:rsidRPr="00AB1A57" w:rsidRDefault="00DD13BF" w:rsidP="00355A56">
            <w:pPr>
              <w:rPr>
                <w:sz w:val="20"/>
              </w:rPr>
            </w:pPr>
            <w:r>
              <w:rPr>
                <w:sz w:val="20"/>
              </w:rPr>
              <w:t>01</w:t>
            </w:r>
          </w:p>
        </w:tc>
        <w:tc>
          <w:tcPr>
            <w:tcW w:w="2731" w:type="dxa"/>
          </w:tcPr>
          <w:p w14:paraId="2D8C8C40" w14:textId="77777777" w:rsidR="00DD13BF" w:rsidRPr="00AB1A57" w:rsidRDefault="00DD13BF" w:rsidP="00355A56">
            <w:pPr>
              <w:rPr>
                <w:sz w:val="20"/>
              </w:rPr>
            </w:pPr>
            <w:r>
              <w:rPr>
                <w:sz w:val="20"/>
              </w:rPr>
              <w:t>8,652,600</w:t>
            </w:r>
          </w:p>
        </w:tc>
      </w:tr>
      <w:tr w:rsidR="00DD13BF" w:rsidRPr="00AB1A57" w14:paraId="0F87C3C2" w14:textId="77777777" w:rsidTr="00355A56">
        <w:trPr>
          <w:trHeight w:val="353"/>
        </w:trPr>
        <w:tc>
          <w:tcPr>
            <w:tcW w:w="2088" w:type="dxa"/>
          </w:tcPr>
          <w:p w14:paraId="417C9F7C" w14:textId="77777777" w:rsidR="00DD13BF" w:rsidRDefault="00DD13BF" w:rsidP="00355A56">
            <w:pPr>
              <w:rPr>
                <w:sz w:val="20"/>
              </w:rPr>
            </w:pPr>
            <w:r>
              <w:rPr>
                <w:sz w:val="20"/>
              </w:rPr>
              <w:t>3</w:t>
            </w:r>
          </w:p>
        </w:tc>
        <w:tc>
          <w:tcPr>
            <w:tcW w:w="1133" w:type="dxa"/>
          </w:tcPr>
          <w:p w14:paraId="64FF3302" w14:textId="77777777" w:rsidR="00DD13BF" w:rsidRDefault="00DD13BF" w:rsidP="00355A56">
            <w:pPr>
              <w:rPr>
                <w:sz w:val="20"/>
              </w:rPr>
            </w:pPr>
            <w:r>
              <w:rPr>
                <w:sz w:val="20"/>
              </w:rPr>
              <w:t>ERDF</w:t>
            </w:r>
          </w:p>
        </w:tc>
        <w:tc>
          <w:tcPr>
            <w:tcW w:w="3249" w:type="dxa"/>
          </w:tcPr>
          <w:p w14:paraId="2D54C133" w14:textId="77777777" w:rsidR="00DD13BF" w:rsidRPr="0050680C" w:rsidRDefault="00DD13BF" w:rsidP="00355A56">
            <w:pPr>
              <w:rPr>
                <w:sz w:val="20"/>
              </w:rPr>
            </w:pPr>
            <w:r>
              <w:rPr>
                <w:sz w:val="20"/>
              </w:rPr>
              <w:t>Less developed</w:t>
            </w:r>
          </w:p>
        </w:tc>
        <w:tc>
          <w:tcPr>
            <w:tcW w:w="3099" w:type="dxa"/>
          </w:tcPr>
          <w:p w14:paraId="27848377" w14:textId="77777777" w:rsidR="00DD13BF" w:rsidRPr="000062DC" w:rsidRDefault="00DD13BF" w:rsidP="00355A56">
            <w:pPr>
              <w:rPr>
                <w:color w:val="000000"/>
                <w:sz w:val="20"/>
              </w:rPr>
            </w:pPr>
            <w:r>
              <w:rPr>
                <w:color w:val="000000"/>
                <w:sz w:val="20"/>
              </w:rPr>
              <w:t>RSO2.6</w:t>
            </w:r>
          </w:p>
        </w:tc>
        <w:tc>
          <w:tcPr>
            <w:tcW w:w="1161" w:type="dxa"/>
          </w:tcPr>
          <w:p w14:paraId="21B44014" w14:textId="77777777" w:rsidR="00DD13BF" w:rsidRDefault="00DD13BF" w:rsidP="00355A56">
            <w:pPr>
              <w:rPr>
                <w:sz w:val="20"/>
              </w:rPr>
            </w:pPr>
            <w:r>
              <w:rPr>
                <w:sz w:val="20"/>
              </w:rPr>
              <w:t>03</w:t>
            </w:r>
          </w:p>
        </w:tc>
        <w:tc>
          <w:tcPr>
            <w:tcW w:w="2731" w:type="dxa"/>
          </w:tcPr>
          <w:p w14:paraId="1B0AFC8F" w14:textId="77777777" w:rsidR="00DD13BF" w:rsidRPr="001F062C" w:rsidRDefault="00DD13BF" w:rsidP="00355A56">
            <w:pPr>
              <w:rPr>
                <w:sz w:val="20"/>
              </w:rPr>
            </w:pPr>
            <w:r>
              <w:rPr>
                <w:sz w:val="20"/>
              </w:rPr>
              <w:t>6,440,000</w:t>
            </w:r>
          </w:p>
        </w:tc>
      </w:tr>
      <w:tr w:rsidR="00DD13BF" w:rsidRPr="00AB1A57" w14:paraId="0A555570" w14:textId="77777777" w:rsidTr="00355A56">
        <w:trPr>
          <w:trHeight w:val="353"/>
        </w:trPr>
        <w:tc>
          <w:tcPr>
            <w:tcW w:w="2088" w:type="dxa"/>
          </w:tcPr>
          <w:p w14:paraId="666D99BA" w14:textId="77777777" w:rsidR="00DD13BF" w:rsidRDefault="00DD13BF" w:rsidP="00355A56">
            <w:pPr>
              <w:rPr>
                <w:sz w:val="20"/>
              </w:rPr>
            </w:pPr>
            <w:r>
              <w:rPr>
                <w:sz w:val="20"/>
              </w:rPr>
              <w:t>3</w:t>
            </w:r>
          </w:p>
        </w:tc>
        <w:tc>
          <w:tcPr>
            <w:tcW w:w="1133" w:type="dxa"/>
          </w:tcPr>
          <w:p w14:paraId="15AF73E0" w14:textId="77777777" w:rsidR="00DD13BF" w:rsidRDefault="00DD13BF" w:rsidP="00355A56">
            <w:pPr>
              <w:rPr>
                <w:sz w:val="20"/>
              </w:rPr>
            </w:pPr>
            <w:r>
              <w:rPr>
                <w:sz w:val="20"/>
              </w:rPr>
              <w:t>ERDF</w:t>
            </w:r>
          </w:p>
        </w:tc>
        <w:tc>
          <w:tcPr>
            <w:tcW w:w="3249" w:type="dxa"/>
          </w:tcPr>
          <w:p w14:paraId="06FD2328" w14:textId="77777777" w:rsidR="00DD13BF" w:rsidRPr="0050680C" w:rsidRDefault="00DD13BF" w:rsidP="00355A56">
            <w:pPr>
              <w:rPr>
                <w:sz w:val="20"/>
              </w:rPr>
            </w:pPr>
            <w:r>
              <w:rPr>
                <w:sz w:val="20"/>
              </w:rPr>
              <w:t>More developed</w:t>
            </w:r>
          </w:p>
        </w:tc>
        <w:tc>
          <w:tcPr>
            <w:tcW w:w="3099" w:type="dxa"/>
          </w:tcPr>
          <w:p w14:paraId="383A73A6" w14:textId="77777777" w:rsidR="00DD13BF" w:rsidRPr="000062DC" w:rsidRDefault="00DD13BF" w:rsidP="00355A56">
            <w:pPr>
              <w:rPr>
                <w:color w:val="000000"/>
                <w:sz w:val="20"/>
              </w:rPr>
            </w:pPr>
            <w:r>
              <w:rPr>
                <w:color w:val="000000"/>
                <w:sz w:val="20"/>
              </w:rPr>
              <w:t>RSO2.6</w:t>
            </w:r>
          </w:p>
        </w:tc>
        <w:tc>
          <w:tcPr>
            <w:tcW w:w="1161" w:type="dxa"/>
          </w:tcPr>
          <w:p w14:paraId="35737109" w14:textId="77777777" w:rsidR="00DD13BF" w:rsidRDefault="00DD13BF" w:rsidP="00355A56">
            <w:pPr>
              <w:rPr>
                <w:sz w:val="20"/>
              </w:rPr>
            </w:pPr>
            <w:r>
              <w:rPr>
                <w:sz w:val="20"/>
              </w:rPr>
              <w:t>03</w:t>
            </w:r>
          </w:p>
        </w:tc>
        <w:tc>
          <w:tcPr>
            <w:tcW w:w="2731" w:type="dxa"/>
          </w:tcPr>
          <w:p w14:paraId="28C435EC" w14:textId="77777777" w:rsidR="00DD13BF" w:rsidRPr="001F062C" w:rsidRDefault="00DD13BF" w:rsidP="00355A56">
            <w:pPr>
              <w:rPr>
                <w:sz w:val="20"/>
              </w:rPr>
            </w:pPr>
            <w:r>
              <w:rPr>
                <w:sz w:val="20"/>
              </w:rPr>
              <w:t>3,560,000</w:t>
            </w:r>
          </w:p>
        </w:tc>
      </w:tr>
      <w:tr w:rsidR="00DD13BF" w:rsidRPr="00AB1A57" w14:paraId="63F38166" w14:textId="77777777" w:rsidTr="00355A56">
        <w:trPr>
          <w:trHeight w:val="353"/>
        </w:trPr>
        <w:tc>
          <w:tcPr>
            <w:tcW w:w="2088" w:type="dxa"/>
          </w:tcPr>
          <w:p w14:paraId="06BB4DBB" w14:textId="77777777" w:rsidR="00DD13BF" w:rsidRDefault="00DD13BF" w:rsidP="00355A56">
            <w:pPr>
              <w:rPr>
                <w:sz w:val="20"/>
              </w:rPr>
            </w:pPr>
            <w:r>
              <w:rPr>
                <w:sz w:val="20"/>
              </w:rPr>
              <w:t>3</w:t>
            </w:r>
          </w:p>
        </w:tc>
        <w:tc>
          <w:tcPr>
            <w:tcW w:w="1133" w:type="dxa"/>
          </w:tcPr>
          <w:p w14:paraId="5AA1C092" w14:textId="77777777" w:rsidR="00DD13BF" w:rsidRDefault="00DD13BF" w:rsidP="00355A56">
            <w:pPr>
              <w:rPr>
                <w:sz w:val="20"/>
              </w:rPr>
            </w:pPr>
            <w:r>
              <w:rPr>
                <w:sz w:val="20"/>
              </w:rPr>
              <w:t>ERDF</w:t>
            </w:r>
          </w:p>
        </w:tc>
        <w:tc>
          <w:tcPr>
            <w:tcW w:w="3249" w:type="dxa"/>
          </w:tcPr>
          <w:p w14:paraId="0A657F61" w14:textId="77777777" w:rsidR="00DD13BF" w:rsidRPr="0050680C" w:rsidRDefault="00DD13BF" w:rsidP="00355A56">
            <w:pPr>
              <w:rPr>
                <w:sz w:val="20"/>
              </w:rPr>
            </w:pPr>
            <w:r>
              <w:rPr>
                <w:sz w:val="20"/>
              </w:rPr>
              <w:t>Less developed</w:t>
            </w:r>
          </w:p>
        </w:tc>
        <w:tc>
          <w:tcPr>
            <w:tcW w:w="3099" w:type="dxa"/>
          </w:tcPr>
          <w:p w14:paraId="72D453A6" w14:textId="77777777" w:rsidR="00DD13BF" w:rsidRPr="000062DC" w:rsidRDefault="00DD13BF" w:rsidP="00355A56">
            <w:pPr>
              <w:rPr>
                <w:color w:val="000000"/>
                <w:sz w:val="20"/>
              </w:rPr>
            </w:pPr>
            <w:r>
              <w:rPr>
                <w:color w:val="000000"/>
                <w:sz w:val="20"/>
              </w:rPr>
              <w:t>RSO2.6</w:t>
            </w:r>
          </w:p>
        </w:tc>
        <w:tc>
          <w:tcPr>
            <w:tcW w:w="1161" w:type="dxa"/>
          </w:tcPr>
          <w:p w14:paraId="5699F5F9" w14:textId="77777777" w:rsidR="00DD13BF" w:rsidRDefault="00DD13BF" w:rsidP="00355A56">
            <w:pPr>
              <w:rPr>
                <w:sz w:val="20"/>
              </w:rPr>
            </w:pPr>
            <w:r>
              <w:rPr>
                <w:sz w:val="20"/>
              </w:rPr>
              <w:t>05</w:t>
            </w:r>
          </w:p>
        </w:tc>
        <w:tc>
          <w:tcPr>
            <w:tcW w:w="2731" w:type="dxa"/>
          </w:tcPr>
          <w:p w14:paraId="6B7E363C" w14:textId="77777777" w:rsidR="00DD13BF" w:rsidRPr="001F062C" w:rsidRDefault="00DD13BF" w:rsidP="00355A56">
            <w:pPr>
              <w:rPr>
                <w:sz w:val="20"/>
              </w:rPr>
            </w:pPr>
            <w:r>
              <w:rPr>
                <w:sz w:val="20"/>
              </w:rPr>
              <w:t>6,440,000</w:t>
            </w:r>
          </w:p>
        </w:tc>
      </w:tr>
      <w:tr w:rsidR="00DD13BF" w:rsidRPr="00AB1A57" w14:paraId="23532DDB" w14:textId="77777777" w:rsidTr="00355A56">
        <w:trPr>
          <w:trHeight w:val="353"/>
        </w:trPr>
        <w:tc>
          <w:tcPr>
            <w:tcW w:w="2088" w:type="dxa"/>
          </w:tcPr>
          <w:p w14:paraId="0FB80B96" w14:textId="77777777" w:rsidR="00DD13BF" w:rsidRDefault="00DD13BF" w:rsidP="00355A56">
            <w:pPr>
              <w:rPr>
                <w:sz w:val="20"/>
              </w:rPr>
            </w:pPr>
            <w:r>
              <w:rPr>
                <w:sz w:val="20"/>
              </w:rPr>
              <w:t>3</w:t>
            </w:r>
          </w:p>
        </w:tc>
        <w:tc>
          <w:tcPr>
            <w:tcW w:w="1133" w:type="dxa"/>
          </w:tcPr>
          <w:p w14:paraId="22A131B1" w14:textId="77777777" w:rsidR="00DD13BF" w:rsidRDefault="00DD13BF" w:rsidP="00355A56">
            <w:pPr>
              <w:rPr>
                <w:sz w:val="20"/>
              </w:rPr>
            </w:pPr>
            <w:r>
              <w:rPr>
                <w:sz w:val="20"/>
              </w:rPr>
              <w:t>ERDF</w:t>
            </w:r>
          </w:p>
        </w:tc>
        <w:tc>
          <w:tcPr>
            <w:tcW w:w="3249" w:type="dxa"/>
          </w:tcPr>
          <w:p w14:paraId="1CFC0F9F" w14:textId="77777777" w:rsidR="00DD13BF" w:rsidRPr="0050680C" w:rsidRDefault="00DD13BF" w:rsidP="00355A56">
            <w:pPr>
              <w:rPr>
                <w:sz w:val="20"/>
              </w:rPr>
            </w:pPr>
            <w:r>
              <w:rPr>
                <w:sz w:val="20"/>
              </w:rPr>
              <w:t>More developed</w:t>
            </w:r>
          </w:p>
        </w:tc>
        <w:tc>
          <w:tcPr>
            <w:tcW w:w="3099" w:type="dxa"/>
          </w:tcPr>
          <w:p w14:paraId="0CF002B5" w14:textId="77777777" w:rsidR="00DD13BF" w:rsidRPr="000062DC" w:rsidRDefault="00DD13BF" w:rsidP="00355A56">
            <w:pPr>
              <w:rPr>
                <w:color w:val="000000"/>
                <w:sz w:val="20"/>
              </w:rPr>
            </w:pPr>
            <w:r>
              <w:rPr>
                <w:color w:val="000000"/>
                <w:sz w:val="20"/>
              </w:rPr>
              <w:t>RSO2.6</w:t>
            </w:r>
          </w:p>
        </w:tc>
        <w:tc>
          <w:tcPr>
            <w:tcW w:w="1161" w:type="dxa"/>
          </w:tcPr>
          <w:p w14:paraId="6EA49937" w14:textId="77777777" w:rsidR="00DD13BF" w:rsidRDefault="00DD13BF" w:rsidP="00355A56">
            <w:pPr>
              <w:rPr>
                <w:sz w:val="20"/>
              </w:rPr>
            </w:pPr>
            <w:r>
              <w:rPr>
                <w:sz w:val="20"/>
              </w:rPr>
              <w:t>05</w:t>
            </w:r>
          </w:p>
        </w:tc>
        <w:tc>
          <w:tcPr>
            <w:tcW w:w="2731" w:type="dxa"/>
          </w:tcPr>
          <w:p w14:paraId="3B96CD6A" w14:textId="77777777" w:rsidR="00DD13BF" w:rsidRPr="001F062C" w:rsidRDefault="00DD13BF" w:rsidP="00355A56">
            <w:pPr>
              <w:rPr>
                <w:sz w:val="20"/>
              </w:rPr>
            </w:pPr>
            <w:r>
              <w:rPr>
                <w:sz w:val="20"/>
              </w:rPr>
              <w:t>3,560,000</w:t>
            </w:r>
          </w:p>
        </w:tc>
      </w:tr>
    </w:tbl>
    <w:p w14:paraId="4912F5F0" w14:textId="77777777" w:rsidR="00DD13BF" w:rsidRPr="00AB1A57" w:rsidRDefault="00DD13BF" w:rsidP="00DD13BF">
      <w:pPr>
        <w:rPr>
          <w:sz w:val="20"/>
        </w:rPr>
        <w:sectPr w:rsidR="00DD13BF" w:rsidRPr="00AB1A57" w:rsidSect="00BD3536">
          <w:headerReference w:type="default" r:id="rId55"/>
          <w:footerReference w:type="first" r:id="rId56"/>
          <w:type w:val="continuous"/>
          <w:pgSz w:w="16840" w:h="11910" w:orient="landscape"/>
          <w:pgMar w:top="1417" w:right="1417" w:bottom="1417" w:left="1417" w:header="708" w:footer="708" w:gutter="0"/>
          <w:cols w:space="708"/>
          <w:titlePg/>
          <w:docGrid w:linePitch="299"/>
        </w:sectPr>
      </w:pPr>
    </w:p>
    <w:p w14:paraId="7771C7AF" w14:textId="77777777" w:rsidR="00DD13BF" w:rsidRPr="00AB1A57" w:rsidRDefault="00DD13BF" w:rsidP="00DD13BF">
      <w:pPr>
        <w:spacing w:before="89"/>
        <w:ind w:left="339"/>
      </w:pPr>
      <w:r>
        <w:t>Table 6: Dimension 3 – territorial delivery mechanism and territorial focus</w:t>
      </w:r>
    </w:p>
    <w:p w14:paraId="63067A0F" w14:textId="77777777" w:rsidR="00DD13BF" w:rsidRPr="00AB1A57" w:rsidRDefault="00DD13BF" w:rsidP="00DD13BF"/>
    <w:tbl>
      <w:tblPr>
        <w:tblStyle w:val="TableNormal4"/>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AB1A57" w14:paraId="5130E2BA" w14:textId="77777777" w:rsidTr="00355A56">
        <w:trPr>
          <w:trHeight w:val="353"/>
        </w:trPr>
        <w:tc>
          <w:tcPr>
            <w:tcW w:w="2088" w:type="dxa"/>
          </w:tcPr>
          <w:p w14:paraId="0A858A76" w14:textId="77777777" w:rsidR="00DD13BF" w:rsidRPr="00AB1A57" w:rsidRDefault="00DD13BF" w:rsidP="00355A56">
            <w:pPr>
              <w:spacing w:before="39"/>
              <w:ind w:left="115"/>
            </w:pPr>
            <w:r>
              <w:t>Priority no.</w:t>
            </w:r>
          </w:p>
        </w:tc>
        <w:tc>
          <w:tcPr>
            <w:tcW w:w="1132" w:type="dxa"/>
          </w:tcPr>
          <w:p w14:paraId="401D91C1" w14:textId="77777777" w:rsidR="00DD13BF" w:rsidRPr="00AB1A57" w:rsidRDefault="00DD13BF" w:rsidP="00355A56">
            <w:pPr>
              <w:spacing w:before="39"/>
              <w:ind w:left="320"/>
            </w:pPr>
            <w:r>
              <w:t>Fund</w:t>
            </w:r>
          </w:p>
        </w:tc>
        <w:tc>
          <w:tcPr>
            <w:tcW w:w="3248" w:type="dxa"/>
          </w:tcPr>
          <w:p w14:paraId="496D7E7E" w14:textId="77777777" w:rsidR="00DD13BF" w:rsidRPr="00AB1A57" w:rsidRDefault="00DD13BF" w:rsidP="00355A56">
            <w:pPr>
              <w:spacing w:before="39"/>
              <w:ind w:left="908"/>
            </w:pPr>
            <w:r>
              <w:t>Category of region</w:t>
            </w:r>
          </w:p>
        </w:tc>
        <w:tc>
          <w:tcPr>
            <w:tcW w:w="3098" w:type="dxa"/>
          </w:tcPr>
          <w:p w14:paraId="089A7866" w14:textId="77777777" w:rsidR="00DD13BF" w:rsidRPr="00AB1A57" w:rsidRDefault="00DD13BF" w:rsidP="00355A56">
            <w:pPr>
              <w:spacing w:before="39"/>
              <w:ind w:left="950"/>
            </w:pPr>
            <w:r>
              <w:t>Specific objective</w:t>
            </w:r>
          </w:p>
        </w:tc>
        <w:tc>
          <w:tcPr>
            <w:tcW w:w="1160" w:type="dxa"/>
          </w:tcPr>
          <w:p w14:paraId="2909A59E" w14:textId="77777777" w:rsidR="00DD13BF" w:rsidRPr="00AE32C4" w:rsidRDefault="00DD13BF" w:rsidP="00355A56">
            <w:pPr>
              <w:spacing w:before="39"/>
              <w:ind w:left="336"/>
              <w:rPr>
                <w:highlight w:val="yellow"/>
              </w:rPr>
            </w:pPr>
            <w:r>
              <w:t>Code</w:t>
            </w:r>
          </w:p>
        </w:tc>
        <w:tc>
          <w:tcPr>
            <w:tcW w:w="2730" w:type="dxa"/>
          </w:tcPr>
          <w:p w14:paraId="72235997" w14:textId="77777777" w:rsidR="00DD13BF" w:rsidRPr="00AB1A57" w:rsidRDefault="00DD13BF" w:rsidP="00355A56">
            <w:pPr>
              <w:spacing w:before="39"/>
              <w:ind w:left="664"/>
            </w:pPr>
            <w:r>
              <w:t>Amount (in EUR)</w:t>
            </w:r>
          </w:p>
        </w:tc>
      </w:tr>
      <w:tr w:rsidR="00DD13BF" w:rsidRPr="00AB1A57" w14:paraId="65F7C7D5" w14:textId="77777777" w:rsidTr="00355A56">
        <w:trPr>
          <w:trHeight w:val="353"/>
        </w:trPr>
        <w:tc>
          <w:tcPr>
            <w:tcW w:w="2088" w:type="dxa"/>
          </w:tcPr>
          <w:p w14:paraId="5B76D090" w14:textId="77777777" w:rsidR="00DD13BF" w:rsidRPr="00AB1A57" w:rsidRDefault="00DD13BF" w:rsidP="00355A56">
            <w:pPr>
              <w:rPr>
                <w:sz w:val="20"/>
              </w:rPr>
            </w:pPr>
            <w:r>
              <w:rPr>
                <w:sz w:val="20"/>
              </w:rPr>
              <w:t>3</w:t>
            </w:r>
          </w:p>
        </w:tc>
        <w:tc>
          <w:tcPr>
            <w:tcW w:w="1132" w:type="dxa"/>
          </w:tcPr>
          <w:p w14:paraId="782BF9BA" w14:textId="77777777" w:rsidR="00DD13BF" w:rsidRPr="00AB1A57" w:rsidRDefault="00DD13BF" w:rsidP="00355A56">
            <w:pPr>
              <w:rPr>
                <w:sz w:val="20"/>
              </w:rPr>
            </w:pPr>
            <w:r>
              <w:rPr>
                <w:sz w:val="20"/>
              </w:rPr>
              <w:t>ERDF</w:t>
            </w:r>
          </w:p>
        </w:tc>
        <w:tc>
          <w:tcPr>
            <w:tcW w:w="3248" w:type="dxa"/>
          </w:tcPr>
          <w:p w14:paraId="4A185778" w14:textId="77777777" w:rsidR="00DD13BF" w:rsidRPr="00AB1A57" w:rsidRDefault="00DD13BF" w:rsidP="00355A56">
            <w:pPr>
              <w:rPr>
                <w:sz w:val="20"/>
              </w:rPr>
            </w:pPr>
            <w:r>
              <w:rPr>
                <w:sz w:val="20"/>
              </w:rPr>
              <w:t>Less developed</w:t>
            </w:r>
          </w:p>
        </w:tc>
        <w:tc>
          <w:tcPr>
            <w:tcW w:w="3098" w:type="dxa"/>
          </w:tcPr>
          <w:p w14:paraId="22E07D06" w14:textId="77777777" w:rsidR="00DD13BF" w:rsidRDefault="00DD13BF" w:rsidP="00355A56">
            <w:pPr>
              <w:rPr>
                <w:sz w:val="20"/>
              </w:rPr>
            </w:pPr>
            <w:r>
              <w:rPr>
                <w:color w:val="000000"/>
                <w:sz w:val="20"/>
              </w:rPr>
              <w:t>RSO2.6</w:t>
            </w:r>
          </w:p>
        </w:tc>
        <w:tc>
          <w:tcPr>
            <w:tcW w:w="1160" w:type="dxa"/>
          </w:tcPr>
          <w:p w14:paraId="19290E46" w14:textId="77777777" w:rsidR="00DD13BF" w:rsidRPr="00690424" w:rsidRDefault="00DD13BF" w:rsidP="00355A56">
            <w:pPr>
              <w:rPr>
                <w:sz w:val="20"/>
              </w:rPr>
            </w:pPr>
            <w:r>
              <w:rPr>
                <w:sz w:val="20"/>
              </w:rPr>
              <w:t>33</w:t>
            </w:r>
          </w:p>
        </w:tc>
        <w:tc>
          <w:tcPr>
            <w:tcW w:w="2730" w:type="dxa"/>
          </w:tcPr>
          <w:p w14:paraId="571544A8" w14:textId="77777777" w:rsidR="00DD13BF" w:rsidRPr="00AB1A57" w:rsidRDefault="00DD13BF" w:rsidP="00355A56">
            <w:pPr>
              <w:rPr>
                <w:sz w:val="20"/>
              </w:rPr>
            </w:pPr>
            <w:r>
              <w:rPr>
                <w:sz w:val="20"/>
              </w:rPr>
              <w:t>41,573,100</w:t>
            </w:r>
          </w:p>
        </w:tc>
      </w:tr>
      <w:tr w:rsidR="00DD13BF" w:rsidRPr="00AB1A57" w14:paraId="1746DD23" w14:textId="77777777" w:rsidTr="00355A56">
        <w:trPr>
          <w:trHeight w:val="353"/>
        </w:trPr>
        <w:tc>
          <w:tcPr>
            <w:tcW w:w="2088" w:type="dxa"/>
          </w:tcPr>
          <w:p w14:paraId="6DBA184F" w14:textId="77777777" w:rsidR="00DD13BF" w:rsidRDefault="00DD13BF" w:rsidP="00355A56">
            <w:pPr>
              <w:rPr>
                <w:sz w:val="20"/>
              </w:rPr>
            </w:pPr>
            <w:r>
              <w:rPr>
                <w:sz w:val="20"/>
              </w:rPr>
              <w:t>3</w:t>
            </w:r>
          </w:p>
        </w:tc>
        <w:tc>
          <w:tcPr>
            <w:tcW w:w="1132" w:type="dxa"/>
          </w:tcPr>
          <w:p w14:paraId="1743780D" w14:textId="77777777" w:rsidR="00DD13BF" w:rsidRDefault="00DD13BF" w:rsidP="00355A56">
            <w:pPr>
              <w:rPr>
                <w:sz w:val="20"/>
              </w:rPr>
            </w:pPr>
            <w:r>
              <w:rPr>
                <w:sz w:val="20"/>
              </w:rPr>
              <w:t>ERDF</w:t>
            </w:r>
          </w:p>
        </w:tc>
        <w:tc>
          <w:tcPr>
            <w:tcW w:w="3248" w:type="dxa"/>
          </w:tcPr>
          <w:p w14:paraId="12614D30" w14:textId="77777777" w:rsidR="00DD13BF" w:rsidRDefault="00DD13BF" w:rsidP="00355A56">
            <w:pPr>
              <w:rPr>
                <w:sz w:val="20"/>
              </w:rPr>
            </w:pPr>
            <w:r>
              <w:rPr>
                <w:sz w:val="20"/>
              </w:rPr>
              <w:t>More developed</w:t>
            </w:r>
          </w:p>
        </w:tc>
        <w:tc>
          <w:tcPr>
            <w:tcW w:w="3098" w:type="dxa"/>
          </w:tcPr>
          <w:p w14:paraId="39DAE256" w14:textId="77777777" w:rsidR="00DD13BF" w:rsidRDefault="00DD13BF" w:rsidP="00355A56">
            <w:pPr>
              <w:rPr>
                <w:sz w:val="20"/>
              </w:rPr>
            </w:pPr>
            <w:r>
              <w:rPr>
                <w:color w:val="000000"/>
                <w:sz w:val="20"/>
              </w:rPr>
              <w:t>RSO2.6</w:t>
            </w:r>
          </w:p>
        </w:tc>
        <w:tc>
          <w:tcPr>
            <w:tcW w:w="1160" w:type="dxa"/>
          </w:tcPr>
          <w:p w14:paraId="1D29C40D" w14:textId="77777777" w:rsidR="00DD13BF" w:rsidRPr="00690424" w:rsidRDefault="00DD13BF" w:rsidP="00355A56">
            <w:pPr>
              <w:rPr>
                <w:sz w:val="20"/>
              </w:rPr>
            </w:pPr>
            <w:r>
              <w:rPr>
                <w:sz w:val="20"/>
              </w:rPr>
              <w:t>33</w:t>
            </w:r>
          </w:p>
        </w:tc>
        <w:tc>
          <w:tcPr>
            <w:tcW w:w="2730" w:type="dxa"/>
          </w:tcPr>
          <w:p w14:paraId="6652F326" w14:textId="77777777" w:rsidR="00DD13BF" w:rsidRDefault="00DD13BF" w:rsidP="00355A56">
            <w:pPr>
              <w:rPr>
                <w:sz w:val="20"/>
              </w:rPr>
            </w:pPr>
            <w:r>
              <w:rPr>
                <w:sz w:val="20"/>
              </w:rPr>
              <w:t>15,772,600</w:t>
            </w:r>
          </w:p>
        </w:tc>
      </w:tr>
    </w:tbl>
    <w:p w14:paraId="149E4383" w14:textId="77777777" w:rsidR="00DD13BF" w:rsidRPr="00AB1A57" w:rsidRDefault="00DD13BF" w:rsidP="00DD13BF"/>
    <w:p w14:paraId="1690AA1F" w14:textId="77777777" w:rsidR="00DD13BF" w:rsidRPr="00AB1A57" w:rsidRDefault="00DD13BF" w:rsidP="00DD13BF">
      <w:pPr>
        <w:ind w:left="339"/>
      </w:pPr>
      <w:r>
        <w:t>Table 7: Dimension 6 – ESF+ secondary themes</w:t>
      </w:r>
    </w:p>
    <w:p w14:paraId="46DB1D36" w14:textId="77777777" w:rsidR="00DD13BF" w:rsidRPr="00AB1A57" w:rsidRDefault="00DD13BF" w:rsidP="00DD13BF"/>
    <w:tbl>
      <w:tblPr>
        <w:tblStyle w:val="TableNormal4"/>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AB1A57" w14:paraId="17AEFC60" w14:textId="77777777" w:rsidTr="00355A56">
        <w:trPr>
          <w:trHeight w:val="353"/>
        </w:trPr>
        <w:tc>
          <w:tcPr>
            <w:tcW w:w="2088" w:type="dxa"/>
          </w:tcPr>
          <w:p w14:paraId="5EFC7210" w14:textId="77777777" w:rsidR="00DD13BF" w:rsidRPr="00AB1A57" w:rsidRDefault="00DD13BF" w:rsidP="00355A56">
            <w:pPr>
              <w:spacing w:before="40"/>
              <w:ind w:left="115"/>
              <w:jc w:val="both"/>
            </w:pPr>
            <w:r>
              <w:t>Priority no.</w:t>
            </w:r>
          </w:p>
        </w:tc>
        <w:tc>
          <w:tcPr>
            <w:tcW w:w="1132" w:type="dxa"/>
          </w:tcPr>
          <w:p w14:paraId="15B0BAAA" w14:textId="77777777" w:rsidR="00DD13BF" w:rsidRPr="00AB1A57" w:rsidRDefault="00DD13BF" w:rsidP="00355A56">
            <w:pPr>
              <w:spacing w:before="40"/>
              <w:ind w:left="321"/>
              <w:jc w:val="both"/>
            </w:pPr>
            <w:r>
              <w:t>Fund</w:t>
            </w:r>
          </w:p>
        </w:tc>
        <w:tc>
          <w:tcPr>
            <w:tcW w:w="3248" w:type="dxa"/>
          </w:tcPr>
          <w:p w14:paraId="37F5BFFC" w14:textId="77777777" w:rsidR="00DD13BF" w:rsidRPr="00AB1A57" w:rsidRDefault="00DD13BF" w:rsidP="00355A56">
            <w:pPr>
              <w:spacing w:before="40"/>
              <w:ind w:left="909"/>
              <w:jc w:val="both"/>
            </w:pPr>
            <w:r>
              <w:t>Category of region</w:t>
            </w:r>
          </w:p>
        </w:tc>
        <w:tc>
          <w:tcPr>
            <w:tcW w:w="3098" w:type="dxa"/>
          </w:tcPr>
          <w:p w14:paraId="69D2F12C" w14:textId="77777777" w:rsidR="00DD13BF" w:rsidRPr="00AB1A57" w:rsidRDefault="00DD13BF" w:rsidP="00355A56">
            <w:pPr>
              <w:spacing w:before="40"/>
              <w:ind w:left="950"/>
              <w:jc w:val="both"/>
            </w:pPr>
            <w:r>
              <w:t>Specific objective</w:t>
            </w:r>
          </w:p>
        </w:tc>
        <w:tc>
          <w:tcPr>
            <w:tcW w:w="1160" w:type="dxa"/>
          </w:tcPr>
          <w:p w14:paraId="5C7B21E3" w14:textId="77777777" w:rsidR="00DD13BF" w:rsidRPr="00AB1A57" w:rsidRDefault="00DD13BF" w:rsidP="00355A56">
            <w:pPr>
              <w:spacing w:before="40"/>
              <w:ind w:left="337"/>
              <w:jc w:val="both"/>
            </w:pPr>
            <w:r>
              <w:t>Code</w:t>
            </w:r>
          </w:p>
        </w:tc>
        <w:tc>
          <w:tcPr>
            <w:tcW w:w="2730" w:type="dxa"/>
          </w:tcPr>
          <w:p w14:paraId="7ACFF9CC" w14:textId="77777777" w:rsidR="00DD13BF" w:rsidRPr="00AB1A57" w:rsidRDefault="00DD13BF" w:rsidP="00355A56">
            <w:pPr>
              <w:spacing w:before="40"/>
              <w:ind w:left="665"/>
              <w:jc w:val="both"/>
            </w:pPr>
            <w:r>
              <w:t>Amount (in EUR)</w:t>
            </w:r>
          </w:p>
        </w:tc>
      </w:tr>
    </w:tbl>
    <w:p w14:paraId="2F14ACB1" w14:textId="77777777" w:rsidR="00DD13BF" w:rsidRPr="00AB1A57" w:rsidRDefault="00DD13BF" w:rsidP="00DD13BF"/>
    <w:p w14:paraId="4731D685" w14:textId="77777777" w:rsidR="00DD13BF" w:rsidRPr="00AB1A57" w:rsidRDefault="00DD13BF" w:rsidP="00DD13BF">
      <w:pPr>
        <w:ind w:left="339"/>
      </w:pPr>
      <w:r>
        <w:lastRenderedPageBreak/>
        <w:t>Table 8: Dimension 7 – ESF+*, ERDF, Cohesion Fund and JTF gender equality dimension</w:t>
      </w:r>
    </w:p>
    <w:p w14:paraId="5DFF8C73" w14:textId="77777777" w:rsidR="00DD13BF" w:rsidRPr="00AB1A57" w:rsidRDefault="00DD13BF" w:rsidP="00DD13BF">
      <w:pPr>
        <w:spacing w:before="11"/>
        <w:rPr>
          <w:sz w:val="21"/>
        </w:rPr>
      </w:pPr>
    </w:p>
    <w:tbl>
      <w:tblPr>
        <w:tblStyle w:val="TableNormal4"/>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AB1A57" w14:paraId="077703F9" w14:textId="77777777" w:rsidTr="00355A56">
        <w:trPr>
          <w:trHeight w:val="353"/>
        </w:trPr>
        <w:tc>
          <w:tcPr>
            <w:tcW w:w="2088" w:type="dxa"/>
          </w:tcPr>
          <w:p w14:paraId="2FBBF357" w14:textId="77777777" w:rsidR="00DD13BF" w:rsidRPr="00AB1A57" w:rsidRDefault="00DD13BF" w:rsidP="00355A56">
            <w:pPr>
              <w:spacing w:before="39"/>
              <w:ind w:left="115"/>
            </w:pPr>
            <w:r>
              <w:t>Priority no.</w:t>
            </w:r>
          </w:p>
        </w:tc>
        <w:tc>
          <w:tcPr>
            <w:tcW w:w="1132" w:type="dxa"/>
          </w:tcPr>
          <w:p w14:paraId="58732918" w14:textId="77777777" w:rsidR="00DD13BF" w:rsidRPr="00AB1A57" w:rsidRDefault="00DD13BF" w:rsidP="00355A56">
            <w:pPr>
              <w:spacing w:before="39"/>
              <w:ind w:left="320"/>
            </w:pPr>
            <w:r>
              <w:t>Fund</w:t>
            </w:r>
          </w:p>
        </w:tc>
        <w:tc>
          <w:tcPr>
            <w:tcW w:w="3248" w:type="dxa"/>
          </w:tcPr>
          <w:p w14:paraId="54FC6B6A" w14:textId="77777777" w:rsidR="00DD13BF" w:rsidRPr="00AB1A57" w:rsidRDefault="00DD13BF" w:rsidP="00355A56">
            <w:pPr>
              <w:spacing w:before="39"/>
              <w:ind w:left="908"/>
            </w:pPr>
            <w:r>
              <w:t>Category of region</w:t>
            </w:r>
          </w:p>
        </w:tc>
        <w:tc>
          <w:tcPr>
            <w:tcW w:w="3098" w:type="dxa"/>
          </w:tcPr>
          <w:p w14:paraId="72B19859" w14:textId="77777777" w:rsidR="00DD13BF" w:rsidRPr="00AB1A57" w:rsidRDefault="00DD13BF" w:rsidP="00355A56">
            <w:pPr>
              <w:spacing w:before="39"/>
              <w:ind w:left="950"/>
            </w:pPr>
            <w:r>
              <w:t>Specific objective</w:t>
            </w:r>
          </w:p>
        </w:tc>
        <w:tc>
          <w:tcPr>
            <w:tcW w:w="1160" w:type="dxa"/>
          </w:tcPr>
          <w:p w14:paraId="222E7C2E" w14:textId="77777777" w:rsidR="00DD13BF" w:rsidRPr="00AB1A57" w:rsidRDefault="00DD13BF" w:rsidP="00355A56">
            <w:pPr>
              <w:spacing w:before="39"/>
              <w:ind w:left="336"/>
            </w:pPr>
            <w:r>
              <w:t>Code</w:t>
            </w:r>
          </w:p>
        </w:tc>
        <w:tc>
          <w:tcPr>
            <w:tcW w:w="2730" w:type="dxa"/>
          </w:tcPr>
          <w:p w14:paraId="6C5EAF46" w14:textId="77777777" w:rsidR="00DD13BF" w:rsidRPr="00AB1A57" w:rsidRDefault="00DD13BF" w:rsidP="00355A56">
            <w:pPr>
              <w:spacing w:before="39"/>
              <w:ind w:left="664"/>
            </w:pPr>
            <w:r>
              <w:t>Amount (in EUR)</w:t>
            </w:r>
          </w:p>
        </w:tc>
      </w:tr>
      <w:tr w:rsidR="00DD13BF" w:rsidRPr="00AB1A57" w14:paraId="4A756385" w14:textId="77777777" w:rsidTr="00355A56">
        <w:trPr>
          <w:trHeight w:val="353"/>
        </w:trPr>
        <w:tc>
          <w:tcPr>
            <w:tcW w:w="2088" w:type="dxa"/>
          </w:tcPr>
          <w:p w14:paraId="7BE01E87" w14:textId="77777777" w:rsidR="00DD13BF" w:rsidRPr="00AB1A57" w:rsidRDefault="00DD13BF" w:rsidP="00355A56">
            <w:pPr>
              <w:rPr>
                <w:sz w:val="20"/>
              </w:rPr>
            </w:pPr>
            <w:r>
              <w:rPr>
                <w:sz w:val="20"/>
              </w:rPr>
              <w:t>3</w:t>
            </w:r>
          </w:p>
        </w:tc>
        <w:tc>
          <w:tcPr>
            <w:tcW w:w="1132" w:type="dxa"/>
          </w:tcPr>
          <w:p w14:paraId="60000E49" w14:textId="77777777" w:rsidR="00DD13BF" w:rsidRPr="00AB1A57" w:rsidRDefault="00DD13BF" w:rsidP="00355A56">
            <w:pPr>
              <w:rPr>
                <w:sz w:val="20"/>
              </w:rPr>
            </w:pPr>
            <w:r>
              <w:rPr>
                <w:sz w:val="20"/>
              </w:rPr>
              <w:t>ERDF</w:t>
            </w:r>
          </w:p>
        </w:tc>
        <w:tc>
          <w:tcPr>
            <w:tcW w:w="3248" w:type="dxa"/>
          </w:tcPr>
          <w:p w14:paraId="7D31006D" w14:textId="77777777" w:rsidR="00DD13BF" w:rsidRPr="00AB1A57" w:rsidRDefault="00DD13BF" w:rsidP="00355A56">
            <w:pPr>
              <w:rPr>
                <w:sz w:val="20"/>
              </w:rPr>
            </w:pPr>
            <w:r>
              <w:rPr>
                <w:sz w:val="20"/>
              </w:rPr>
              <w:t>Less developed</w:t>
            </w:r>
          </w:p>
        </w:tc>
        <w:tc>
          <w:tcPr>
            <w:tcW w:w="3098" w:type="dxa"/>
          </w:tcPr>
          <w:p w14:paraId="5BEA43BE" w14:textId="77777777" w:rsidR="00DD13BF" w:rsidRDefault="00DD13BF" w:rsidP="00355A56">
            <w:pPr>
              <w:rPr>
                <w:sz w:val="20"/>
              </w:rPr>
            </w:pPr>
            <w:r>
              <w:rPr>
                <w:color w:val="000000"/>
                <w:sz w:val="20"/>
              </w:rPr>
              <w:t>RSO2.6</w:t>
            </w:r>
          </w:p>
        </w:tc>
        <w:tc>
          <w:tcPr>
            <w:tcW w:w="1160" w:type="dxa"/>
          </w:tcPr>
          <w:p w14:paraId="4535AA76" w14:textId="77777777" w:rsidR="00DD13BF" w:rsidRPr="00690424" w:rsidRDefault="00DD13BF" w:rsidP="00355A56">
            <w:pPr>
              <w:rPr>
                <w:sz w:val="20"/>
              </w:rPr>
            </w:pPr>
            <w:r>
              <w:rPr>
                <w:sz w:val="20"/>
              </w:rPr>
              <w:t>03</w:t>
            </w:r>
          </w:p>
        </w:tc>
        <w:tc>
          <w:tcPr>
            <w:tcW w:w="2730" w:type="dxa"/>
          </w:tcPr>
          <w:p w14:paraId="36D953EC" w14:textId="77777777" w:rsidR="00DD13BF" w:rsidRPr="00AB1A57" w:rsidRDefault="00DD13BF" w:rsidP="00355A56">
            <w:pPr>
              <w:rPr>
                <w:sz w:val="20"/>
              </w:rPr>
            </w:pPr>
            <w:r>
              <w:rPr>
                <w:sz w:val="20"/>
              </w:rPr>
              <w:t>41,573,100</w:t>
            </w:r>
          </w:p>
        </w:tc>
      </w:tr>
      <w:tr w:rsidR="00DD13BF" w:rsidRPr="00AB1A57" w14:paraId="5C4AE163" w14:textId="77777777" w:rsidTr="00355A56">
        <w:trPr>
          <w:trHeight w:val="353"/>
        </w:trPr>
        <w:tc>
          <w:tcPr>
            <w:tcW w:w="2088" w:type="dxa"/>
          </w:tcPr>
          <w:p w14:paraId="1477B68B" w14:textId="77777777" w:rsidR="00DD13BF" w:rsidRPr="00AB1A57" w:rsidRDefault="00DD13BF" w:rsidP="00355A56">
            <w:pPr>
              <w:rPr>
                <w:sz w:val="20"/>
              </w:rPr>
            </w:pPr>
            <w:r>
              <w:rPr>
                <w:sz w:val="20"/>
              </w:rPr>
              <w:t>3</w:t>
            </w:r>
          </w:p>
        </w:tc>
        <w:tc>
          <w:tcPr>
            <w:tcW w:w="1132" w:type="dxa"/>
          </w:tcPr>
          <w:p w14:paraId="4FA2A213" w14:textId="77777777" w:rsidR="00DD13BF" w:rsidRPr="00AB1A57" w:rsidRDefault="00DD13BF" w:rsidP="00355A56">
            <w:pPr>
              <w:rPr>
                <w:sz w:val="20"/>
              </w:rPr>
            </w:pPr>
            <w:r>
              <w:rPr>
                <w:sz w:val="20"/>
              </w:rPr>
              <w:t>ERDF</w:t>
            </w:r>
          </w:p>
        </w:tc>
        <w:tc>
          <w:tcPr>
            <w:tcW w:w="3248" w:type="dxa"/>
          </w:tcPr>
          <w:p w14:paraId="2D3099DB" w14:textId="77777777" w:rsidR="00DD13BF" w:rsidRPr="00AB1A57" w:rsidRDefault="00DD13BF" w:rsidP="00355A56">
            <w:pPr>
              <w:rPr>
                <w:sz w:val="20"/>
              </w:rPr>
            </w:pPr>
            <w:r>
              <w:rPr>
                <w:sz w:val="20"/>
              </w:rPr>
              <w:t>More developed</w:t>
            </w:r>
          </w:p>
        </w:tc>
        <w:tc>
          <w:tcPr>
            <w:tcW w:w="3098" w:type="dxa"/>
          </w:tcPr>
          <w:p w14:paraId="3C8B3010" w14:textId="77777777" w:rsidR="00DD13BF" w:rsidRDefault="00DD13BF" w:rsidP="00355A56">
            <w:pPr>
              <w:rPr>
                <w:sz w:val="20"/>
              </w:rPr>
            </w:pPr>
            <w:r>
              <w:rPr>
                <w:color w:val="000000"/>
                <w:sz w:val="20"/>
              </w:rPr>
              <w:t>RSO2.6</w:t>
            </w:r>
          </w:p>
        </w:tc>
        <w:tc>
          <w:tcPr>
            <w:tcW w:w="1160" w:type="dxa"/>
          </w:tcPr>
          <w:p w14:paraId="42BFB6EB" w14:textId="77777777" w:rsidR="00DD13BF" w:rsidRPr="00690424" w:rsidRDefault="00DD13BF" w:rsidP="00355A56">
            <w:pPr>
              <w:rPr>
                <w:sz w:val="20"/>
              </w:rPr>
            </w:pPr>
            <w:r>
              <w:rPr>
                <w:sz w:val="20"/>
              </w:rPr>
              <w:t>03</w:t>
            </w:r>
          </w:p>
        </w:tc>
        <w:tc>
          <w:tcPr>
            <w:tcW w:w="2730" w:type="dxa"/>
          </w:tcPr>
          <w:p w14:paraId="4FD93ECB" w14:textId="77777777" w:rsidR="00DD13BF" w:rsidRPr="00AB1A57" w:rsidRDefault="00DD13BF" w:rsidP="00355A56">
            <w:pPr>
              <w:rPr>
                <w:sz w:val="20"/>
              </w:rPr>
            </w:pPr>
            <w:r>
              <w:rPr>
                <w:sz w:val="20"/>
              </w:rPr>
              <w:t>15,772,600</w:t>
            </w:r>
          </w:p>
        </w:tc>
      </w:tr>
    </w:tbl>
    <w:p w14:paraId="3FB58588" w14:textId="77777777" w:rsidR="00DD13BF" w:rsidRPr="00AB1A57" w:rsidRDefault="00DD13BF" w:rsidP="00DD13BF">
      <w:pPr>
        <w:tabs>
          <w:tab w:val="left" w:pos="426"/>
        </w:tabs>
        <w:spacing w:before="90" w:line="254" w:lineRule="exact"/>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1D081D5" w14:textId="77777777" w:rsidR="00DD13BF" w:rsidRPr="00AB1A57" w:rsidRDefault="00DD13BF" w:rsidP="00DD13BF">
      <w:pPr>
        <w:spacing w:line="249" w:lineRule="exact"/>
        <w:sectPr w:rsidR="00DD13BF" w:rsidRPr="00AB1A57" w:rsidSect="00FC3010">
          <w:headerReference w:type="default" r:id="rId57"/>
          <w:footerReference w:type="first" r:id="rId58"/>
          <w:type w:val="continuous"/>
          <w:pgSz w:w="16840" w:h="11910" w:orient="landscape"/>
          <w:pgMar w:top="1417" w:right="1417" w:bottom="1417" w:left="1417" w:header="708" w:footer="708" w:gutter="0"/>
          <w:cols w:space="708"/>
        </w:sectPr>
      </w:pPr>
    </w:p>
    <w:p w14:paraId="27119089" w14:textId="77777777" w:rsidR="00DD13BF" w:rsidRPr="00AB1A57" w:rsidRDefault="00DD13BF" w:rsidP="00DD13BF"/>
    <w:p w14:paraId="67E2AE89" w14:textId="77777777" w:rsidR="00DD13BF" w:rsidRDefault="00DD13BF" w:rsidP="00DD13BF">
      <w:r>
        <w:br w:type="page"/>
      </w:r>
    </w:p>
    <w:p w14:paraId="7E4EA4A5" w14:textId="77777777" w:rsidR="00DD13BF" w:rsidRPr="00BD3536" w:rsidRDefault="00DD13BF" w:rsidP="00DD13BF">
      <w:pPr>
        <w:pStyle w:val="Naslov4"/>
        <w:ind w:left="1134"/>
      </w:pPr>
      <w:bookmarkStart w:id="31" w:name="_Toc131161710"/>
      <w:r>
        <w:lastRenderedPageBreak/>
        <w:t>Specific objective RSO2.7. Enhancing protection and preservation of nature, biodiversity and green infrastructure, including in urban areas, and reducing all forms of pollution (ERDF) (Cohesion Fund)</w:t>
      </w:r>
      <w:bookmarkEnd w:id="31"/>
    </w:p>
    <w:p w14:paraId="2A0F36D8" w14:textId="77777777" w:rsidR="00DD13BF" w:rsidRDefault="00DD13BF" w:rsidP="00DD13BF">
      <w:pPr>
        <w:rPr>
          <w:sz w:val="30"/>
        </w:rPr>
      </w:pPr>
    </w:p>
    <w:p w14:paraId="24B7BB56" w14:textId="77777777" w:rsidR="00DD13BF" w:rsidRPr="00C10464" w:rsidRDefault="00DD13BF" w:rsidP="00DD13BF">
      <w:pPr>
        <w:pStyle w:val="Naslov5"/>
        <w:spacing w:before="0"/>
      </w:pPr>
      <w:r>
        <w:t>Interventions of the Funds</w:t>
      </w:r>
    </w:p>
    <w:p w14:paraId="379A94EE" w14:textId="77777777" w:rsidR="00DD13BF" w:rsidRDefault="00DD13BF" w:rsidP="00DD13BF">
      <w:pPr>
        <w:rPr>
          <w:sz w:val="30"/>
        </w:rPr>
      </w:pPr>
    </w:p>
    <w:p w14:paraId="40503B43" w14:textId="77777777" w:rsidR="00DD13BF" w:rsidRDefault="00DD13BF" w:rsidP="00DD13BF">
      <w:pPr>
        <w:ind w:left="1349"/>
        <w:rPr>
          <w:spacing w:val="-2"/>
        </w:rPr>
      </w:pPr>
      <w:r>
        <w:t>Related types of actions:</w:t>
      </w:r>
    </w:p>
    <w:p w14:paraId="60FE5A25"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537AF11A" w14:textId="77777777" w:rsidTr="00355A56">
        <w:trPr>
          <w:trHeight w:val="316"/>
        </w:trPr>
        <w:tc>
          <w:tcPr>
            <w:tcW w:w="12758" w:type="dxa"/>
          </w:tcPr>
          <w:p w14:paraId="18D5315C" w14:textId="77777777" w:rsidR="00DD13BF" w:rsidRPr="00E70B19" w:rsidRDefault="00DD13BF" w:rsidP="00355A56">
            <w:pPr>
              <w:jc w:val="both"/>
              <w:rPr>
                <w:rFonts w:cstheme="minorHAnsi"/>
              </w:rPr>
            </w:pPr>
            <w:r>
              <w:t>Measures to improve the state of biodiversity in the Natura 2000 network and other priority conservation areas are intended for priority Natura 2000 areas to improve the state of species and habitat types, and, to a lesser extent, to regulate by visiting the most polluted parts of nature and investing in green infrastructure in the urban environment. Investments will focus on:</w:t>
            </w:r>
          </w:p>
          <w:p w14:paraId="45D349D3" w14:textId="77777777" w:rsidR="00DD13BF" w:rsidRDefault="00DD13BF" w:rsidP="00355A56">
            <w:pPr>
              <w:jc w:val="both"/>
              <w:rPr>
                <w:rFonts w:cstheme="minorHAnsi"/>
              </w:rPr>
            </w:pPr>
          </w:p>
          <w:p w14:paraId="55C3EE5B" w14:textId="77777777" w:rsidR="00DD13BF" w:rsidRDefault="00DD13BF" w:rsidP="00DD13BF">
            <w:pPr>
              <w:pStyle w:val="Odstavekseznama"/>
              <w:widowControl/>
              <w:numPr>
                <w:ilvl w:val="0"/>
                <w:numId w:val="24"/>
              </w:numPr>
              <w:autoSpaceDE/>
              <w:autoSpaceDN/>
              <w:jc w:val="both"/>
              <w:rPr>
                <w:rFonts w:ascii="Times New Roman" w:hAnsi="Times New Roman" w:cs="Times New Roman"/>
              </w:rPr>
            </w:pPr>
            <w:r>
              <w:rPr>
                <w:rFonts w:ascii="Times New Roman" w:hAnsi="Times New Roman"/>
                <w:i/>
                <w:iCs/>
              </w:rPr>
              <w:t>Measures to improve the state of biodiversity in the Natura 2000 network and other priority conservation areas</w:t>
            </w:r>
            <w:r>
              <w:rPr>
                <w:rFonts w:ascii="Times New Roman" w:hAnsi="Times New Roman"/>
              </w:rPr>
              <w:t xml:space="preserve">: the following activities will be supported with investments: </w:t>
            </w:r>
          </w:p>
          <w:p w14:paraId="589BF691" w14:textId="77777777" w:rsidR="00DD13BF" w:rsidRPr="00E22ED7" w:rsidRDefault="00DD13BF" w:rsidP="00DD13BF">
            <w:pPr>
              <w:pStyle w:val="Odstavekseznama"/>
              <w:widowControl/>
              <w:numPr>
                <w:ilvl w:val="1"/>
                <w:numId w:val="24"/>
              </w:numPr>
              <w:autoSpaceDE/>
              <w:autoSpaceDN/>
              <w:jc w:val="both"/>
              <w:rPr>
                <w:rFonts w:ascii="Times New Roman" w:hAnsi="Times New Roman" w:cs="Times New Roman"/>
              </w:rPr>
            </w:pPr>
            <w:r>
              <w:rPr>
                <w:rFonts w:ascii="Times New Roman" w:hAnsi="Times New Roman"/>
              </w:rPr>
              <w:t>Improving the conservation status of the habitats of species and habitat types in Natura 2000 sites, which do not have a favourable conservation status. Due to the fragmentation of habitats, measures will also have to be implemented at critical points outside Natura 2000 sites with the aim of improving ecological connectivity and ensuring a functioning green infrastructure. Priority areas, species and habitat types and framework measures will be defined in the new governmental Natura 2000 Management Programme for the 2022–2028</w:t>
            </w:r>
            <w:r>
              <w:rPr>
                <w:rStyle w:val="Sprotnaopomba-sklic"/>
                <w:rFonts w:ascii="Times New Roman" w:hAnsi="Times New Roman" w:cs="Times New Roman"/>
              </w:rPr>
              <w:footnoteReference w:id="151"/>
            </w:r>
            <w:r>
              <w:rPr>
                <w:rFonts w:ascii="Times New Roman" w:hAnsi="Times New Roman"/>
              </w:rPr>
              <w:t xml:space="preserve"> period, which will be adopted by the end of 2022. Activities will continue to be supported from the 2014–2020 financial framework and all other efforts to stop the biodiversity decline will be complemented. When interpreting the importance of preserving biodiversity, synergies with the areas of cultural heritage and green tourism in Slovenia will be sought. Therefore, investment funds will be intended for the following concrete measures on the ground: </w:t>
            </w:r>
          </w:p>
          <w:p w14:paraId="724F0CE3" w14:textId="77777777" w:rsidR="00DD13BF" w:rsidRPr="00E22ED7" w:rsidRDefault="00DD13BF" w:rsidP="00DD13BF">
            <w:pPr>
              <w:pStyle w:val="Odstavekseznama"/>
              <w:widowControl/>
              <w:numPr>
                <w:ilvl w:val="2"/>
                <w:numId w:val="25"/>
              </w:numPr>
              <w:autoSpaceDE/>
              <w:autoSpaceDN/>
              <w:jc w:val="both"/>
              <w:rPr>
                <w:rFonts w:ascii="Times New Roman" w:hAnsi="Times New Roman" w:cs="Times New Roman"/>
              </w:rPr>
            </w:pPr>
            <w:r>
              <w:rPr>
                <w:rFonts w:ascii="Times New Roman" w:hAnsi="Times New Roman"/>
              </w:rPr>
              <w:t xml:space="preserve">restoring and improving ecosystems; </w:t>
            </w:r>
          </w:p>
          <w:p w14:paraId="5DAE561A" w14:textId="77777777" w:rsidR="00DD13BF" w:rsidRPr="00E22ED7" w:rsidRDefault="00DD13BF" w:rsidP="00DD13BF">
            <w:pPr>
              <w:pStyle w:val="Odstavekseznama"/>
              <w:widowControl/>
              <w:numPr>
                <w:ilvl w:val="2"/>
                <w:numId w:val="25"/>
              </w:numPr>
              <w:autoSpaceDE/>
              <w:autoSpaceDN/>
              <w:jc w:val="both"/>
              <w:rPr>
                <w:rFonts w:ascii="Times New Roman" w:hAnsi="Times New Roman" w:cs="Times New Roman"/>
              </w:rPr>
            </w:pPr>
            <w:r>
              <w:rPr>
                <w:rFonts w:ascii="Times New Roman" w:hAnsi="Times New Roman"/>
              </w:rPr>
              <w:t xml:space="preserve">activities to improve ecological connectivity, </w:t>
            </w:r>
          </w:p>
          <w:p w14:paraId="042A042F" w14:textId="77777777" w:rsidR="00DD13BF" w:rsidRDefault="00DD13BF" w:rsidP="00DD13BF">
            <w:pPr>
              <w:pStyle w:val="Odstavekseznama"/>
              <w:widowControl/>
              <w:numPr>
                <w:ilvl w:val="2"/>
                <w:numId w:val="25"/>
              </w:numPr>
              <w:autoSpaceDE/>
              <w:autoSpaceDN/>
              <w:jc w:val="both"/>
              <w:rPr>
                <w:rFonts w:ascii="Times New Roman" w:hAnsi="Times New Roman" w:cs="Times New Roman"/>
              </w:rPr>
            </w:pPr>
            <w:r>
              <w:rPr>
                <w:rFonts w:ascii="Times New Roman" w:hAnsi="Times New Roman"/>
              </w:rPr>
              <w:t>managing invasive alien species;</w:t>
            </w:r>
          </w:p>
          <w:p w14:paraId="5AEF1F4B" w14:textId="77777777" w:rsidR="00DD13BF" w:rsidRPr="0008419B" w:rsidRDefault="00DD13BF" w:rsidP="00DD13BF">
            <w:pPr>
              <w:pStyle w:val="Odstavekseznama"/>
              <w:widowControl/>
              <w:numPr>
                <w:ilvl w:val="2"/>
                <w:numId w:val="25"/>
              </w:numPr>
              <w:autoSpaceDE/>
              <w:autoSpaceDN/>
              <w:jc w:val="both"/>
              <w:rPr>
                <w:rFonts w:ascii="Times New Roman" w:hAnsi="Times New Roman" w:cs="Times New Roman"/>
              </w:rPr>
            </w:pPr>
            <w:r>
              <w:rPr>
                <w:rFonts w:ascii="Times New Roman" w:hAnsi="Times New Roman"/>
              </w:rPr>
              <w:t>rehabilitating inadequate arrangements and eliminating the harmful consequences of inadequate waste water discharge.</w:t>
            </w:r>
          </w:p>
          <w:p w14:paraId="22905E22" w14:textId="77777777" w:rsidR="00DD13BF" w:rsidRPr="007240AF" w:rsidRDefault="00DD13BF" w:rsidP="00DD13BF">
            <w:pPr>
              <w:pStyle w:val="Odstavekseznama"/>
              <w:widowControl/>
              <w:numPr>
                <w:ilvl w:val="1"/>
                <w:numId w:val="24"/>
              </w:numPr>
              <w:autoSpaceDE/>
              <w:autoSpaceDN/>
              <w:jc w:val="both"/>
              <w:rPr>
                <w:rFonts w:ascii="Times New Roman" w:hAnsi="Times New Roman"/>
              </w:rPr>
            </w:pPr>
            <w:r>
              <w:rPr>
                <w:rFonts w:ascii="Times New Roman" w:hAnsi="Times New Roman"/>
              </w:rPr>
              <w:t>Providing high-quality interpretation of parts of nature that are maintained for visitors for the purpose of raising public awareness.</w:t>
            </w:r>
          </w:p>
          <w:p w14:paraId="177808AF" w14:textId="77777777" w:rsidR="00DD13BF" w:rsidRDefault="00DD13BF" w:rsidP="00DD13BF">
            <w:pPr>
              <w:pStyle w:val="Odstavekseznama"/>
              <w:widowControl/>
              <w:numPr>
                <w:ilvl w:val="1"/>
                <w:numId w:val="24"/>
              </w:numPr>
              <w:autoSpaceDE/>
              <w:autoSpaceDN/>
              <w:jc w:val="both"/>
              <w:rPr>
                <w:rFonts w:ascii="Times New Roman" w:hAnsi="Times New Roman" w:cs="Times New Roman"/>
              </w:rPr>
            </w:pPr>
            <w:r>
              <w:rPr>
                <w:rFonts w:ascii="Times New Roman" w:hAnsi="Times New Roman"/>
              </w:rPr>
              <w:t>Improving the state of valuable natural features which are exposed to excessive stress due to increased visits and interest. In particular, the following concrete measures will be implemented on the ground:</w:t>
            </w:r>
          </w:p>
          <w:p w14:paraId="72F1DC3E" w14:textId="77777777" w:rsidR="00DD13BF" w:rsidRDefault="00DD13BF" w:rsidP="00DD13BF">
            <w:pPr>
              <w:pStyle w:val="Odstavekseznama"/>
              <w:widowControl/>
              <w:numPr>
                <w:ilvl w:val="2"/>
                <w:numId w:val="54"/>
              </w:numPr>
              <w:autoSpaceDE/>
              <w:autoSpaceDN/>
              <w:jc w:val="both"/>
              <w:rPr>
                <w:rFonts w:ascii="Times New Roman" w:hAnsi="Times New Roman" w:cs="Times New Roman"/>
              </w:rPr>
            </w:pPr>
            <w:r>
              <w:rPr>
                <w:rFonts w:ascii="Times New Roman" w:hAnsi="Times New Roman"/>
              </w:rPr>
              <w:t>arranging infrastructure for supervision, directing visits and limiting the use of parts of nature;</w:t>
            </w:r>
          </w:p>
          <w:p w14:paraId="439B18FB" w14:textId="77777777" w:rsidR="00DD13BF" w:rsidRDefault="00DD13BF" w:rsidP="00DD13BF">
            <w:pPr>
              <w:pStyle w:val="Odstavekseznama"/>
              <w:widowControl/>
              <w:numPr>
                <w:ilvl w:val="2"/>
                <w:numId w:val="54"/>
              </w:numPr>
              <w:autoSpaceDE/>
              <w:autoSpaceDN/>
              <w:jc w:val="both"/>
              <w:rPr>
                <w:rFonts w:ascii="Times New Roman" w:hAnsi="Times New Roman" w:cs="Times New Roman"/>
              </w:rPr>
            </w:pPr>
            <w:r>
              <w:rPr>
                <w:rFonts w:ascii="Times New Roman" w:hAnsi="Times New Roman"/>
              </w:rPr>
              <w:lastRenderedPageBreak/>
              <w:t>improving the regulation of the general and special use of valuable natural features ​​for harmless visiting and viewing, or physical protection of valuable natural features ​​that may be threatened by viewing and visiting;</w:t>
            </w:r>
          </w:p>
          <w:p w14:paraId="301A22BC" w14:textId="77777777" w:rsidR="00DD13BF" w:rsidRPr="00E22ED7" w:rsidRDefault="00DD13BF" w:rsidP="00DD13BF">
            <w:pPr>
              <w:pStyle w:val="Odstavekseznama"/>
              <w:widowControl/>
              <w:numPr>
                <w:ilvl w:val="2"/>
                <w:numId w:val="54"/>
              </w:numPr>
              <w:autoSpaceDE/>
              <w:autoSpaceDN/>
              <w:jc w:val="both"/>
              <w:rPr>
                <w:rFonts w:ascii="Times New Roman" w:hAnsi="Times New Roman" w:cs="Times New Roman"/>
              </w:rPr>
            </w:pPr>
            <w:r>
              <w:rPr>
                <w:rFonts w:ascii="Times New Roman" w:hAnsi="Times New Roman"/>
              </w:rPr>
              <w:t>digitisation and ICT measures.</w:t>
            </w:r>
          </w:p>
          <w:p w14:paraId="75B3600F" w14:textId="77777777" w:rsidR="00DD13BF" w:rsidRPr="0008419B" w:rsidRDefault="00DD13BF" w:rsidP="00355A56">
            <w:pPr>
              <w:jc w:val="both"/>
            </w:pPr>
          </w:p>
          <w:p w14:paraId="7D791083" w14:textId="77777777" w:rsidR="00DD13BF" w:rsidRPr="005614FD" w:rsidRDefault="00DD13BF" w:rsidP="00DD13BF">
            <w:pPr>
              <w:widowControl/>
              <w:numPr>
                <w:ilvl w:val="0"/>
                <w:numId w:val="24"/>
              </w:numPr>
              <w:autoSpaceDE/>
              <w:autoSpaceDN/>
              <w:jc w:val="both"/>
            </w:pPr>
            <w:r>
              <w:rPr>
                <w:i/>
                <w:iCs/>
              </w:rPr>
              <w:t>Improving the notification and warning system of citizens about outdoor air pollution</w:t>
            </w:r>
            <w:r>
              <w:t>: To ensure compliance with Slovenia’s obligations from the provisions of Directive (EU) 2016/2284 of the European Parliament and of the Council on the reduction of national emissions of certain atmospheric pollutants (NEC Directive), the measuring network for monitoring outdoor air quality will be expanded in accordance with the Operational Air Pollution Control Programme. The national measuring network currently comprises 21 measuring points, i.e. most measuring points are in major Slovenian cities and urban municipalities (implemented in the ECP 2021-2027); however, there are also populated areas of Slovenia where measurements are not yet being carried out. In the new financial framework of the ECP 2021–2027, eight new air pollution measuring points will be set up in areas of Slovenia that have not yet been covered.</w:t>
            </w:r>
            <w:r>
              <w:rPr>
                <w:color w:val="000000" w:themeColor="text1"/>
              </w:rPr>
              <w:t xml:space="preserve"> </w:t>
            </w:r>
            <w:r>
              <w:t>All measurements will constitute input data for air quality modelling throughout ​​Slovenia; therefore, the implementation of the measure will facilitate the suitable planning of policies and measures for air protection even in areas where they have not existed until now.</w:t>
            </w:r>
            <w:r>
              <w:rPr>
                <w:color w:val="000000" w:themeColor="text1"/>
              </w:rPr>
              <w:t xml:space="preserve"> </w:t>
            </w:r>
            <w:r>
              <w:t>A mobile station will be established to periodically monitor the quality of the outside air in areas where there are no permanent measurements or where extreme events could occur, which will facilitate measurements in accordance with quality and public information standards. As part of the measure, an information point will also be established to display data on air quality, which will be intended for all citizens. The said data on air quality will also be crucial from the aspect of checking the effectiveness of measures and identifying additional measures to ensure compliance with Slovenia’s obligations under the NEC Directive in accordance with the Operational Air Pollution Control Programme.</w:t>
            </w:r>
            <w:r>
              <w:tab/>
            </w:r>
          </w:p>
          <w:p w14:paraId="287B758A" w14:textId="77777777" w:rsidR="00DD13BF" w:rsidRDefault="00DD13BF" w:rsidP="00355A56">
            <w:pPr>
              <w:jc w:val="both"/>
            </w:pPr>
          </w:p>
          <w:p w14:paraId="23590407" w14:textId="77777777" w:rsidR="00DD13BF" w:rsidRPr="00E77FCD" w:rsidRDefault="00DD13BF" w:rsidP="00DD13BF">
            <w:pPr>
              <w:pStyle w:val="Odstavekseznama"/>
              <w:widowControl/>
              <w:numPr>
                <w:ilvl w:val="0"/>
                <w:numId w:val="24"/>
              </w:numPr>
              <w:autoSpaceDE/>
              <w:autoSpaceDN/>
              <w:adjustRightInd w:val="0"/>
              <w:jc w:val="both"/>
              <w:rPr>
                <w:rFonts w:ascii="Times New Roman" w:hAnsi="Times New Roman" w:cs="Times New Roman"/>
              </w:rPr>
            </w:pPr>
            <w:r>
              <w:rPr>
                <w:rFonts w:ascii="Times New Roman" w:hAnsi="Times New Roman"/>
                <w:i/>
                <w:iCs/>
              </w:rPr>
              <w:t>Measures to provide and improve green infrastructure, residents’ access to green infrastructure in urban areas and the greening of cities</w:t>
            </w:r>
            <w:r>
              <w:rPr>
                <w:rFonts w:ascii="Times New Roman" w:hAnsi="Times New Roman"/>
              </w:rPr>
              <w:t>: 55% of the population of Slovenia live in urban settlements (SURS), greater concentration and density of the population and orientation towards the internal development of settlements prior to spreading to new areas are an ever increasing challenge to maintain and improve the quality of life and the environment in towns and cities. The Urban Agenda for the EU partnership addressed the challenge of providing quality and usability of urban green areas, and highlighted the need to invest in providing accessible and attractive green and blue urban infrastructure, taking into account the principle of using nature-based solutions. The measures support the attainment of the objective set in the new proposal for the national spatial policy to prevent excessive urban densification by achieving or maintaining at least 40% of the share of public and open green areas in the development area of a settlement</w:t>
            </w:r>
            <w:r>
              <w:rPr>
                <w:rStyle w:val="Sprotnaopomba-sklic"/>
                <w:rFonts w:ascii="Times New Roman" w:hAnsi="Times New Roman" w:cs="Times New Roman"/>
              </w:rPr>
              <w:footnoteReference w:id="152"/>
            </w:r>
            <w:r>
              <w:rPr>
                <w:rFonts w:ascii="Times New Roman" w:hAnsi="Times New Roman"/>
              </w:rPr>
              <w:t xml:space="preserve">. </w:t>
            </w:r>
          </w:p>
          <w:p w14:paraId="28FC52AB" w14:textId="77777777" w:rsidR="00DD13BF" w:rsidRPr="00E77FCD" w:rsidRDefault="00DD13BF" w:rsidP="00355A56">
            <w:pPr>
              <w:pStyle w:val="Odstavekseznama"/>
              <w:adjustRightInd w:val="0"/>
              <w:ind w:left="720"/>
              <w:jc w:val="both"/>
              <w:rPr>
                <w:rFonts w:ascii="Times New Roman" w:hAnsi="Times New Roman" w:cs="Times New Roman"/>
              </w:rPr>
            </w:pPr>
            <w:r>
              <w:rPr>
                <w:rFonts w:ascii="Times New Roman" w:hAnsi="Times New Roman"/>
              </w:rPr>
              <w:t>Support will be provided to the following measures:</w:t>
            </w:r>
          </w:p>
          <w:p w14:paraId="72FC2097" w14:textId="77777777" w:rsidR="00DD13BF" w:rsidRPr="00E77FCD" w:rsidRDefault="00DD13BF" w:rsidP="00DD13BF">
            <w:pPr>
              <w:pStyle w:val="Odstavekseznama"/>
              <w:widowControl/>
              <w:numPr>
                <w:ilvl w:val="1"/>
                <w:numId w:val="24"/>
              </w:numPr>
              <w:autoSpaceDE/>
              <w:autoSpaceDN/>
              <w:adjustRightInd w:val="0"/>
              <w:jc w:val="both"/>
              <w:rPr>
                <w:rFonts w:ascii="Times New Roman" w:hAnsi="Times New Roman" w:cs="Times New Roman"/>
              </w:rPr>
            </w:pPr>
            <w:r>
              <w:rPr>
                <w:rFonts w:ascii="Times New Roman" w:hAnsi="Times New Roman"/>
              </w:rPr>
              <w:t>Improving the quality and usability of the existing, and establishing new, green infrastructure, publicly accessible green areas and natural structures in towns and cities, and connecting blue-green corridors to provide ecosystem services.</w:t>
            </w:r>
          </w:p>
          <w:p w14:paraId="4D7B4315" w14:textId="77777777" w:rsidR="00DD13BF" w:rsidRPr="00E77FCD" w:rsidRDefault="00DD13BF" w:rsidP="00DD13BF">
            <w:pPr>
              <w:pStyle w:val="Odstavekseznama"/>
              <w:widowControl/>
              <w:numPr>
                <w:ilvl w:val="1"/>
                <w:numId w:val="24"/>
              </w:numPr>
              <w:autoSpaceDE/>
              <w:autoSpaceDN/>
              <w:adjustRightInd w:val="0"/>
              <w:jc w:val="both"/>
              <w:rPr>
                <w:rFonts w:ascii="Times New Roman" w:hAnsi="Times New Roman" w:cs="Times New Roman"/>
              </w:rPr>
            </w:pPr>
            <w:r>
              <w:rPr>
                <w:rFonts w:ascii="Times New Roman" w:hAnsi="Times New Roman"/>
              </w:rPr>
              <w:t>Land consolidation of urban green areas with the possibility of land purchase, whereby the purchased land will be part of the measure to provide public green and blue areas and not an independent measure.</w:t>
            </w:r>
          </w:p>
          <w:p w14:paraId="0CC94AC8" w14:textId="77777777" w:rsidR="00DD13BF" w:rsidRPr="00E77FCD" w:rsidRDefault="00DD13BF" w:rsidP="00DD13BF">
            <w:pPr>
              <w:pStyle w:val="Odstavekseznama"/>
              <w:widowControl/>
              <w:numPr>
                <w:ilvl w:val="1"/>
                <w:numId w:val="24"/>
              </w:numPr>
              <w:autoSpaceDE/>
              <w:autoSpaceDN/>
              <w:adjustRightInd w:val="0"/>
              <w:jc w:val="both"/>
              <w:rPr>
                <w:rFonts w:ascii="Times New Roman" w:hAnsi="Times New Roman" w:cs="Times New Roman"/>
              </w:rPr>
            </w:pPr>
            <w:r>
              <w:rPr>
                <w:rFonts w:ascii="Times New Roman" w:hAnsi="Times New Roman"/>
              </w:rPr>
              <w:lastRenderedPageBreak/>
              <w:t>Greening built-up areas in towns and cities, for example greening public open spaces, green roofs, green vertical surfaces, etc.</w:t>
            </w:r>
          </w:p>
          <w:p w14:paraId="21469F71" w14:textId="77777777" w:rsidR="00DD13BF" w:rsidRDefault="00DD13BF" w:rsidP="00DD13BF">
            <w:pPr>
              <w:pStyle w:val="Odstavekseznama"/>
              <w:widowControl/>
              <w:numPr>
                <w:ilvl w:val="1"/>
                <w:numId w:val="24"/>
              </w:numPr>
              <w:autoSpaceDE/>
              <w:autoSpaceDN/>
              <w:adjustRightInd w:val="0"/>
              <w:jc w:val="both"/>
            </w:pPr>
            <w:r>
              <w:rPr>
                <w:rFonts w:ascii="Times New Roman" w:hAnsi="Times New Roman"/>
              </w:rPr>
              <w:t>Raising awareness and involving local residents in the establishment and improvement of green infrastructure and green areas, and measures to green towns and cities.</w:t>
            </w:r>
          </w:p>
          <w:p w14:paraId="2D5F8227" w14:textId="77777777" w:rsidR="00DD13BF" w:rsidRDefault="00DD13BF" w:rsidP="00355A56">
            <w:pPr>
              <w:pStyle w:val="Odstavekseznama"/>
              <w:adjustRightInd w:val="0"/>
              <w:ind w:left="720"/>
              <w:jc w:val="both"/>
            </w:pPr>
          </w:p>
          <w:p w14:paraId="4410CC50" w14:textId="77777777" w:rsidR="00DD13BF" w:rsidRPr="00A84645" w:rsidRDefault="00DD13BF" w:rsidP="00355A56">
            <w:pPr>
              <w:pStyle w:val="Odstavekseznama"/>
              <w:adjustRightInd w:val="0"/>
              <w:ind w:left="38"/>
              <w:jc w:val="both"/>
              <w:rPr>
                <w:rFonts w:ascii="Times New Roman" w:hAnsi="Times New Roman" w:cs="Times New Roman"/>
              </w:rPr>
            </w:pPr>
            <w:r>
              <w:rPr>
                <w:rFonts w:ascii="Times New Roman" w:hAnsi="Times New Roman"/>
              </w:rP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w:t>
            </w:r>
            <w:r>
              <w:t xml:space="preserve"> </w:t>
            </w:r>
            <w:r>
              <w:rPr>
                <w:rFonts w:ascii="Times New Roman" w:hAnsi="Times New Roman"/>
              </w:rPr>
              <w:t>Considering the completed compliance assessment with the DNSH principle, none of the measures, by its nature, foreseen under this specific objective has a significant adverse impact on any of the six environmental objectives, taking into account the technical screening criteria listed in annex DNSH.</w:t>
            </w:r>
          </w:p>
        </w:tc>
      </w:tr>
    </w:tbl>
    <w:p w14:paraId="2E805CB2" w14:textId="77777777" w:rsidR="00DD13BF" w:rsidRDefault="00DD13BF" w:rsidP="00DD13BF">
      <w:pPr>
        <w:ind w:left="1349"/>
        <w:jc w:val="both"/>
        <w:rPr>
          <w:spacing w:val="-6"/>
        </w:rPr>
      </w:pPr>
    </w:p>
    <w:p w14:paraId="0D70E1DF" w14:textId="77777777" w:rsidR="00DD13BF" w:rsidRDefault="00DD13BF" w:rsidP="00DD13BF">
      <w:pPr>
        <w:ind w:left="1349"/>
      </w:pPr>
      <w:r>
        <w:t>Main target groups:</w:t>
      </w:r>
    </w:p>
    <w:p w14:paraId="3E95ED3F"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D032D34" w14:textId="77777777" w:rsidTr="00355A56">
        <w:tc>
          <w:tcPr>
            <w:tcW w:w="12763" w:type="dxa"/>
          </w:tcPr>
          <w:p w14:paraId="18BB5D6F" w14:textId="77777777" w:rsidR="00DD13BF" w:rsidRDefault="00DD13BF" w:rsidP="00355A56">
            <w:pPr>
              <w:jc w:val="both"/>
              <w:rPr>
                <w:rFonts w:cstheme="minorHAnsi"/>
              </w:rPr>
            </w:pPr>
            <w:r>
              <w:t>Target groups: managers of protected areas and Natura 2000 areas, public institutes, local communities, enterprises, agricultural holdings, non-governmental organisations, ministries, regional development agencies, residents, users of green and revitalised areas, owners of agricultural holdings.</w:t>
            </w:r>
          </w:p>
          <w:p w14:paraId="66FC331A" w14:textId="77777777" w:rsidR="00DD13BF" w:rsidRDefault="00DD13BF" w:rsidP="00355A56">
            <w:pPr>
              <w:jc w:val="both"/>
              <w:rPr>
                <w:rFonts w:cstheme="minorHAnsi"/>
              </w:rPr>
            </w:pPr>
          </w:p>
          <w:p w14:paraId="74416D18" w14:textId="77777777" w:rsidR="00DD13BF" w:rsidRPr="00B3569A" w:rsidRDefault="00DD13BF" w:rsidP="00355A56">
            <w:pPr>
              <w:jc w:val="both"/>
              <w:rPr>
                <w:rFonts w:cstheme="minorHAnsi"/>
              </w:rPr>
            </w:pPr>
            <w:r>
              <w:t>Beneficiaries: Slovenian Environment Agency, managers of protected areas and Natura 2000 areas, public institutes, local communities, enterprises, non-governmental organisations, ministries and regional development agencies.</w:t>
            </w:r>
          </w:p>
        </w:tc>
      </w:tr>
    </w:tbl>
    <w:p w14:paraId="4DE9E48E" w14:textId="77777777" w:rsidR="00DD13BF" w:rsidRPr="006B7178" w:rsidRDefault="00DD13BF" w:rsidP="00DD13BF">
      <w:pPr>
        <w:ind w:left="1349"/>
      </w:pPr>
    </w:p>
    <w:p w14:paraId="20F1EC10" w14:textId="77777777" w:rsidR="00DD13BF" w:rsidRDefault="00DD13BF" w:rsidP="00DD13BF">
      <w:pPr>
        <w:ind w:left="1349"/>
        <w:rPr>
          <w:spacing w:val="-2"/>
        </w:rPr>
      </w:pPr>
      <w:r>
        <w:t>Measures to protect equality, inclusion and non-discrimination:</w:t>
      </w:r>
    </w:p>
    <w:p w14:paraId="7BF9D86F"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30BF8B9C" w14:textId="77777777" w:rsidTr="00355A56">
        <w:tc>
          <w:tcPr>
            <w:tcW w:w="12715" w:type="dxa"/>
          </w:tcPr>
          <w:p w14:paraId="3AF10420" w14:textId="77777777" w:rsidR="00DD13BF" w:rsidRDefault="00DD13BF" w:rsidP="00355A56">
            <w:pPr>
              <w:jc w:val="both"/>
              <w:rPr>
                <w:rFonts w:eastAsia="Arial"/>
                <w:color w:val="000000"/>
              </w:rPr>
            </w:pPr>
            <w:r>
              <w:t>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w:t>
            </w:r>
            <w:r>
              <w:rPr>
                <w:color w:val="000000"/>
              </w:rPr>
              <w:t xml:space="preserve">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 </w:t>
            </w:r>
          </w:p>
          <w:p w14:paraId="4B380562" w14:textId="77777777" w:rsidR="00DD13BF" w:rsidRDefault="00DD13BF" w:rsidP="00355A56">
            <w:pPr>
              <w:jc w:val="both"/>
              <w:rPr>
                <w:rFonts w:eastAsia="Arial"/>
                <w:color w:val="000000"/>
              </w:rPr>
            </w:pPr>
          </w:p>
          <w:p w14:paraId="3F335E90" w14:textId="77777777" w:rsidR="00DD13BF" w:rsidRPr="00B3569A" w:rsidRDefault="00DD13BF" w:rsidP="00355A56">
            <w:pPr>
              <w:jc w:val="both"/>
              <w:rPr>
                <w:rFonts w:cstheme="minorHAnsi"/>
              </w:rPr>
            </w:pPr>
            <w:r>
              <w:rPr>
                <w:color w:val="000000"/>
              </w:rPr>
              <w:lastRenderedPageBreak/>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3F5BBC95" w14:textId="77777777" w:rsidR="00DD13BF" w:rsidRDefault="00DD13BF" w:rsidP="00DD13BF">
      <w:pPr>
        <w:rPr>
          <w:sz w:val="20"/>
        </w:rPr>
      </w:pPr>
    </w:p>
    <w:p w14:paraId="3D5E82F6" w14:textId="77777777" w:rsidR="00DD13BF" w:rsidRDefault="00DD13BF" w:rsidP="00DD13BF">
      <w:pPr>
        <w:ind w:left="1415"/>
        <w:rPr>
          <w:spacing w:val="-4"/>
        </w:rPr>
      </w:pPr>
      <w:r>
        <w:t>Indication of the specific territories targeted, including the planned use of territorial tools:</w:t>
      </w:r>
    </w:p>
    <w:p w14:paraId="6DD2E13E"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0B7CF5DB" w14:textId="77777777" w:rsidTr="00355A56">
        <w:tc>
          <w:tcPr>
            <w:tcW w:w="12763" w:type="dxa"/>
          </w:tcPr>
          <w:p w14:paraId="4E180B79" w14:textId="77777777" w:rsidR="00DD13BF" w:rsidRPr="00B3569A" w:rsidRDefault="00DD13BF" w:rsidP="00355A56">
            <w:pPr>
              <w:jc w:val="both"/>
              <w:rPr>
                <w:rFonts w:cstheme="minorHAnsi"/>
              </w:rPr>
            </w:pPr>
            <w:r>
              <w:t>Under the specific objective, urban development and the regional development approach in accordance with needs, stemming from territorial strategies (amended/ new SUS and RDP), will be addressed within the framework of measures to provide and improve green infrastructure, residents’ access to green infrastructure in urban areas, and the greening of cities in both cohesion regions. The said measures will be fully aimed at taking action in the urban environment, whereby the share of funds intended for urban municipalities was determined on the basis of demonstrated needs and will be implemented within the framework of the ITI mechanism. The remainder of the available funds will be allocated to other towns and cities within the framework of regional development with the DRR mechanism, presumably within a separate tender carried out by the Ministry to promote more complex innovative projects of providing green infrastructure in towns and cities. In the first phase, representatives of towns and cities (within the ZMOS and city councils of urban municipalities) and decision makers and representatives of regions (within regional councils) are included in the selection of operations. Complementary implementation of the measures will be provided by national development coordination for territorial approaches.</w:t>
            </w:r>
          </w:p>
        </w:tc>
      </w:tr>
    </w:tbl>
    <w:p w14:paraId="53F07E51" w14:textId="77777777" w:rsidR="00DD13BF" w:rsidRDefault="00DD13BF" w:rsidP="00DD13BF">
      <w:pPr>
        <w:rPr>
          <w:sz w:val="18"/>
        </w:rPr>
      </w:pPr>
    </w:p>
    <w:p w14:paraId="4C2AC643" w14:textId="77777777" w:rsidR="00DD13BF" w:rsidRDefault="00DD13BF" w:rsidP="00DD13BF">
      <w:pPr>
        <w:ind w:left="1415"/>
      </w:pPr>
      <w:r>
        <w:t>The interregional, cross-border and transnational actions:</w:t>
      </w:r>
    </w:p>
    <w:p w14:paraId="2004D434"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ECCA04D" w14:textId="77777777" w:rsidTr="00355A56">
        <w:tc>
          <w:tcPr>
            <w:tcW w:w="12763" w:type="dxa"/>
          </w:tcPr>
          <w:p w14:paraId="744D9CE3" w14:textId="77777777" w:rsidR="00DD13BF" w:rsidRDefault="00DD13BF" w:rsidP="00355A56">
            <w:pPr>
              <w:jc w:val="both"/>
              <w:rPr>
                <w:iCs/>
              </w:rPr>
            </w:pPr>
            <w:r>
              <w:rPr>
                <w:i/>
                <w:iCs/>
              </w:rPr>
              <w:t>Measures to improve the state of biodiversity in the Natura 2000 network and other priority conservation areas</w:t>
            </w:r>
            <w:r>
              <w:t>:</w:t>
            </w:r>
          </w:p>
          <w:p w14:paraId="6088B40A" w14:textId="77777777" w:rsidR="00DD13BF" w:rsidRDefault="00DD13BF" w:rsidP="00355A56">
            <w:pPr>
              <w:jc w:val="both"/>
              <w:rPr>
                <w:iCs/>
              </w:rPr>
            </w:pPr>
            <w:r>
              <w:t>- are complementary to the LIFE integrated project for enhanced management of Natura 2000 in Slovenia (LIFE17 IPE/SI/000011);</w:t>
            </w:r>
          </w:p>
          <w:p w14:paraId="776FBBF8" w14:textId="77777777" w:rsidR="00DD13BF" w:rsidRDefault="00DD13BF" w:rsidP="00355A56">
            <w:pPr>
              <w:jc w:val="both"/>
            </w:pPr>
            <w:r>
              <w:t>- complementarity with cross-border and other programmes will be sought, particularly in the restoration of ecosystems, improved ecological connectivity and more efficient management of Natura 2000 sites.</w:t>
            </w:r>
          </w:p>
          <w:p w14:paraId="148B1F38" w14:textId="77777777" w:rsidR="00DD13BF" w:rsidRDefault="00DD13BF" w:rsidP="00355A56">
            <w:pPr>
              <w:jc w:val="both"/>
            </w:pPr>
          </w:p>
          <w:p w14:paraId="38396037" w14:textId="77777777" w:rsidR="00DD13BF" w:rsidRDefault="00DD13BF" w:rsidP="00355A56">
            <w:pPr>
              <w:jc w:val="both"/>
              <w:rPr>
                <w:rFonts w:cstheme="minorHAnsi"/>
              </w:rPr>
            </w:pPr>
            <w:r>
              <w:t xml:space="preserve">The measure to </w:t>
            </w:r>
            <w:r>
              <w:rPr>
                <w:i/>
                <w:iCs/>
              </w:rPr>
              <w:t>improve the notification and warning system of citizens about outdoor air pollution</w:t>
            </w:r>
            <w:r>
              <w:t xml:space="preserve"> is partly complementary to LIFE-IP PREPAIR (LIFE15 IPE IT 013) – Impacts of measures of the Po Valley on air quality, in which Slovenia participates as a partner.</w:t>
            </w:r>
          </w:p>
          <w:p w14:paraId="0C2CF2A7" w14:textId="77777777" w:rsidR="00DD13BF" w:rsidRDefault="00DD13BF" w:rsidP="00355A56">
            <w:pPr>
              <w:jc w:val="both"/>
              <w:rPr>
                <w:rFonts w:cstheme="minorHAnsi"/>
              </w:rPr>
            </w:pPr>
          </w:p>
          <w:p w14:paraId="3365ADE3" w14:textId="77777777" w:rsidR="00DD13BF" w:rsidRPr="00B3569A" w:rsidRDefault="00DD13BF" w:rsidP="00355A56">
            <w:pPr>
              <w:jc w:val="both"/>
              <w:rPr>
                <w:rFonts w:cstheme="minorHAnsi"/>
              </w:rPr>
            </w:pPr>
            <w:r>
              <w:t>All activities and measures planned and implemented in this field will have to be in accordance with the PAF and the Natura 2000 Management Programme for Slovenia.</w:t>
            </w:r>
          </w:p>
        </w:tc>
      </w:tr>
    </w:tbl>
    <w:p w14:paraId="6B2E84B5" w14:textId="77777777" w:rsidR="00DD13BF" w:rsidRDefault="00DD13BF" w:rsidP="00DD13BF">
      <w:pPr>
        <w:rPr>
          <w:sz w:val="17"/>
        </w:rPr>
      </w:pPr>
    </w:p>
    <w:p w14:paraId="72A612AE" w14:textId="77777777" w:rsidR="00DD13BF" w:rsidRDefault="00DD13BF" w:rsidP="00DD13BF">
      <w:pPr>
        <w:ind w:left="1415"/>
        <w:rPr>
          <w:spacing w:val="-3"/>
        </w:rPr>
      </w:pPr>
      <w:r>
        <w:t>Planned use of financial instruments:</w:t>
      </w:r>
    </w:p>
    <w:p w14:paraId="68279206"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0142E9BF" w14:textId="77777777" w:rsidTr="00355A56">
        <w:tc>
          <w:tcPr>
            <w:tcW w:w="12758" w:type="dxa"/>
          </w:tcPr>
          <w:p w14:paraId="5119D0E9" w14:textId="77777777" w:rsidR="00DD13BF" w:rsidRDefault="00DD13BF" w:rsidP="00355A56">
            <w:pPr>
              <w:jc w:val="both"/>
              <w:rPr>
                <w:rFonts w:cstheme="minorHAnsi"/>
              </w:rPr>
            </w:pPr>
            <w:r>
              <w:t xml:space="preserve">Based on the preliminary assessment of market needs and financing gaps in the market for the implementation of financial instruments in the 2021–2027 programming period (July 2022), it was established that the use of financial instruments (FI) is possible to promote urban development (along with SO RSO5.1) based on the successful implementation of FI in this field in the 2014–2020 period and the gap identified in the study Proposal for the creation of an urban development fund. </w:t>
            </w:r>
          </w:p>
          <w:p w14:paraId="66706797" w14:textId="77777777" w:rsidR="00DD13BF" w:rsidRPr="00B3569A" w:rsidRDefault="00DD13BF" w:rsidP="00355A56">
            <w:pPr>
              <w:jc w:val="both"/>
              <w:rPr>
                <w:rFonts w:cstheme="minorHAnsi"/>
              </w:rPr>
            </w:pPr>
            <w:r>
              <w:t xml:space="preserve">Measures planned under this specific objective cannot be financed from financial instruments, since these are measures that do not generate </w:t>
            </w:r>
            <w:r>
              <w:lastRenderedPageBreak/>
              <w:t xml:space="preserve">cash flow from revenues from the project to repay loans received from financial instruments, only grants are planned to be used but FI are not. </w:t>
            </w:r>
          </w:p>
        </w:tc>
      </w:tr>
    </w:tbl>
    <w:p w14:paraId="7F0DE859" w14:textId="77777777" w:rsidR="00DD13BF" w:rsidRDefault="00DD13BF" w:rsidP="00DD13BF">
      <w:pPr>
        <w:rPr>
          <w:sz w:val="20"/>
        </w:rPr>
      </w:pPr>
    </w:p>
    <w:p w14:paraId="5397A5BA" w14:textId="77777777" w:rsidR="00DD13BF" w:rsidRDefault="00DD13BF" w:rsidP="00DD13BF">
      <w:pPr>
        <w:rPr>
          <w:sz w:val="20"/>
        </w:rPr>
      </w:pPr>
    </w:p>
    <w:p w14:paraId="7BBDBEA3" w14:textId="77777777" w:rsidR="00DD13BF" w:rsidRDefault="00DD13BF" w:rsidP="00DD13BF">
      <w:pPr>
        <w:pStyle w:val="Naslov5"/>
        <w:spacing w:before="0"/>
      </w:pPr>
      <w:r>
        <w:t>Indicators</w:t>
      </w:r>
    </w:p>
    <w:p w14:paraId="39476CE6" w14:textId="77777777" w:rsidR="00DD13BF" w:rsidRDefault="00DD13BF" w:rsidP="00DD13BF"/>
    <w:p w14:paraId="04298CCC" w14:textId="77777777" w:rsidR="00DD13BF" w:rsidRDefault="00DD13BF" w:rsidP="00DD13BF">
      <w:pPr>
        <w:ind w:left="379"/>
      </w:pPr>
      <w:r>
        <w:t>Table 2: Impact indicators</w:t>
      </w:r>
    </w:p>
    <w:p w14:paraId="490B2E66" w14:textId="77777777" w:rsidR="00DD13BF" w:rsidRDefault="00DD13BF" w:rsidP="00DD13BF">
      <w:pPr>
        <w:rPr>
          <w:sz w:val="21"/>
        </w:rPr>
      </w:pPr>
    </w:p>
    <w:tbl>
      <w:tblPr>
        <w:tblStyle w:val="NormalTable0"/>
        <w:tblW w:w="13746" w:type="dxa"/>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34"/>
        <w:gridCol w:w="1276"/>
        <w:gridCol w:w="707"/>
        <w:gridCol w:w="1699"/>
        <w:gridCol w:w="777"/>
        <w:gridCol w:w="4329"/>
        <w:gridCol w:w="1275"/>
        <w:gridCol w:w="1416"/>
        <w:gridCol w:w="1133"/>
      </w:tblGrid>
      <w:tr w:rsidR="00DD13BF" w14:paraId="3D71E769" w14:textId="77777777" w:rsidTr="00355A56">
        <w:trPr>
          <w:trHeight w:val="254"/>
        </w:trPr>
        <w:tc>
          <w:tcPr>
            <w:tcW w:w="1134" w:type="dxa"/>
            <w:vAlign w:val="center"/>
          </w:tcPr>
          <w:p w14:paraId="4CFFD30D" w14:textId="77777777" w:rsidR="00DD13BF" w:rsidRDefault="00DD13BF" w:rsidP="00355A56">
            <w:pPr>
              <w:pStyle w:val="TableParagraph"/>
              <w:ind w:right="82"/>
            </w:pPr>
            <w:r>
              <w:t>Priority</w:t>
            </w:r>
          </w:p>
        </w:tc>
        <w:tc>
          <w:tcPr>
            <w:tcW w:w="1276" w:type="dxa"/>
            <w:vAlign w:val="center"/>
          </w:tcPr>
          <w:p w14:paraId="0D5064F4" w14:textId="77777777" w:rsidR="00DD13BF" w:rsidRDefault="00DD13BF" w:rsidP="00355A56">
            <w:pPr>
              <w:pStyle w:val="TableParagraph"/>
            </w:pPr>
            <w:r>
              <w:t>Specific objective</w:t>
            </w:r>
          </w:p>
        </w:tc>
        <w:tc>
          <w:tcPr>
            <w:tcW w:w="707" w:type="dxa"/>
            <w:vAlign w:val="center"/>
          </w:tcPr>
          <w:p w14:paraId="603DA634" w14:textId="77777777" w:rsidR="00DD13BF" w:rsidRDefault="00DD13BF" w:rsidP="00355A56">
            <w:pPr>
              <w:pStyle w:val="TableParagraph"/>
            </w:pPr>
            <w:r>
              <w:t>Fund</w:t>
            </w:r>
          </w:p>
        </w:tc>
        <w:tc>
          <w:tcPr>
            <w:tcW w:w="1699" w:type="dxa"/>
            <w:vAlign w:val="center"/>
          </w:tcPr>
          <w:p w14:paraId="381DF042" w14:textId="77777777" w:rsidR="00DD13BF" w:rsidRDefault="00DD13BF" w:rsidP="00355A56">
            <w:pPr>
              <w:pStyle w:val="TableParagraph"/>
            </w:pPr>
            <w:r>
              <w:t>Category of region</w:t>
            </w:r>
          </w:p>
        </w:tc>
        <w:tc>
          <w:tcPr>
            <w:tcW w:w="777" w:type="dxa"/>
            <w:vAlign w:val="center"/>
          </w:tcPr>
          <w:p w14:paraId="6F96E5DF" w14:textId="77777777" w:rsidR="00DD13BF" w:rsidRPr="00347461" w:rsidRDefault="00DD13BF" w:rsidP="00355A56">
            <w:pPr>
              <w:pStyle w:val="TableParagraph"/>
              <w:rPr>
                <w:sz w:val="20"/>
              </w:rPr>
            </w:pPr>
            <w:r>
              <w:t>ID</w:t>
            </w:r>
          </w:p>
        </w:tc>
        <w:tc>
          <w:tcPr>
            <w:tcW w:w="4329" w:type="dxa"/>
            <w:vAlign w:val="center"/>
          </w:tcPr>
          <w:p w14:paraId="0AFD8A4F" w14:textId="77777777" w:rsidR="00DD13BF" w:rsidRPr="00347461" w:rsidRDefault="00DD13BF" w:rsidP="00355A56">
            <w:pPr>
              <w:pStyle w:val="TableParagraph"/>
              <w:rPr>
                <w:sz w:val="20"/>
              </w:rPr>
            </w:pPr>
            <w:r>
              <w:t>Indicators</w:t>
            </w:r>
          </w:p>
        </w:tc>
        <w:tc>
          <w:tcPr>
            <w:tcW w:w="1275" w:type="dxa"/>
            <w:vAlign w:val="center"/>
          </w:tcPr>
          <w:p w14:paraId="3BAFBA90" w14:textId="77777777" w:rsidR="00DD13BF" w:rsidRPr="00347461" w:rsidRDefault="00DD13BF" w:rsidP="00355A56">
            <w:pPr>
              <w:pStyle w:val="TableParagraph"/>
              <w:rPr>
                <w:sz w:val="20"/>
              </w:rPr>
            </w:pPr>
            <w:r>
              <w:t>Measurement unit</w:t>
            </w:r>
          </w:p>
        </w:tc>
        <w:tc>
          <w:tcPr>
            <w:tcW w:w="1416" w:type="dxa"/>
            <w:vAlign w:val="center"/>
          </w:tcPr>
          <w:p w14:paraId="5F94F330" w14:textId="77777777" w:rsidR="00DD13BF" w:rsidRPr="00347461" w:rsidRDefault="00DD13BF" w:rsidP="00355A56">
            <w:pPr>
              <w:pStyle w:val="TableParagraph"/>
              <w:rPr>
                <w:sz w:val="20"/>
              </w:rPr>
            </w:pPr>
            <w:r>
              <w:t>Milestone (2014)</w:t>
            </w:r>
          </w:p>
        </w:tc>
        <w:tc>
          <w:tcPr>
            <w:tcW w:w="1133" w:type="dxa"/>
            <w:vAlign w:val="center"/>
          </w:tcPr>
          <w:p w14:paraId="70426036" w14:textId="77777777" w:rsidR="00DD13BF" w:rsidRDefault="00DD13BF" w:rsidP="00355A56">
            <w:pPr>
              <w:pStyle w:val="TableParagraph"/>
            </w:pPr>
            <w:r>
              <w:t>Target (2029)</w:t>
            </w:r>
          </w:p>
        </w:tc>
      </w:tr>
      <w:tr w:rsidR="00DD13BF" w14:paraId="786121B2" w14:textId="77777777" w:rsidTr="00355A56">
        <w:trPr>
          <w:trHeight w:val="367"/>
        </w:trPr>
        <w:tc>
          <w:tcPr>
            <w:tcW w:w="1134" w:type="dxa"/>
          </w:tcPr>
          <w:p w14:paraId="55C78148" w14:textId="77777777" w:rsidR="00DD13BF" w:rsidRPr="00E70B19" w:rsidRDefault="00DD13BF" w:rsidP="00355A56">
            <w:pPr>
              <w:pStyle w:val="TableParagraph"/>
              <w:rPr>
                <w:sz w:val="20"/>
              </w:rPr>
            </w:pPr>
            <w:r>
              <w:rPr>
                <w:sz w:val="20"/>
              </w:rPr>
              <w:t>3</w:t>
            </w:r>
          </w:p>
        </w:tc>
        <w:tc>
          <w:tcPr>
            <w:tcW w:w="1276" w:type="dxa"/>
          </w:tcPr>
          <w:p w14:paraId="61B794B3" w14:textId="77777777" w:rsidR="00DD13BF" w:rsidRPr="00E70B19" w:rsidRDefault="00DD13BF" w:rsidP="00355A56">
            <w:pPr>
              <w:pStyle w:val="TableParagraph"/>
              <w:rPr>
                <w:sz w:val="20"/>
              </w:rPr>
            </w:pPr>
            <w:r>
              <w:rPr>
                <w:color w:val="000000"/>
                <w:sz w:val="20"/>
              </w:rPr>
              <w:t>RSO2.7</w:t>
            </w:r>
          </w:p>
        </w:tc>
        <w:tc>
          <w:tcPr>
            <w:tcW w:w="707" w:type="dxa"/>
          </w:tcPr>
          <w:p w14:paraId="5AD0864B" w14:textId="77777777" w:rsidR="00DD13BF" w:rsidRPr="00E70B19" w:rsidRDefault="00DD13BF" w:rsidP="00355A56">
            <w:pPr>
              <w:pStyle w:val="TableParagraph"/>
              <w:rPr>
                <w:color w:val="000000"/>
                <w:sz w:val="20"/>
              </w:rPr>
            </w:pPr>
            <w:r>
              <w:rPr>
                <w:color w:val="000000"/>
                <w:sz w:val="20"/>
              </w:rPr>
              <w:t>ERDF</w:t>
            </w:r>
          </w:p>
        </w:tc>
        <w:tc>
          <w:tcPr>
            <w:tcW w:w="1699" w:type="dxa"/>
          </w:tcPr>
          <w:p w14:paraId="0CBCE156" w14:textId="77777777" w:rsidR="00DD13BF" w:rsidRDefault="00DD13BF" w:rsidP="00355A56">
            <w:pPr>
              <w:pStyle w:val="TableParagraph"/>
              <w:rPr>
                <w:color w:val="000000"/>
                <w:sz w:val="20"/>
              </w:rPr>
            </w:pPr>
            <w:r>
              <w:rPr>
                <w:color w:val="000000"/>
                <w:sz w:val="20"/>
              </w:rPr>
              <w:t>Less developed</w:t>
            </w:r>
          </w:p>
        </w:tc>
        <w:tc>
          <w:tcPr>
            <w:tcW w:w="777" w:type="dxa"/>
          </w:tcPr>
          <w:p w14:paraId="451D5DE8" w14:textId="77777777" w:rsidR="00DD13BF" w:rsidRPr="00E70B19" w:rsidRDefault="00DD13BF" w:rsidP="00355A56">
            <w:pPr>
              <w:pStyle w:val="TableParagraph"/>
              <w:rPr>
                <w:color w:val="000000"/>
                <w:sz w:val="20"/>
              </w:rPr>
            </w:pPr>
            <w:r>
              <w:rPr>
                <w:color w:val="000000"/>
                <w:sz w:val="20"/>
              </w:rPr>
              <w:t>RCO36</w:t>
            </w:r>
          </w:p>
        </w:tc>
        <w:tc>
          <w:tcPr>
            <w:tcW w:w="4329" w:type="dxa"/>
          </w:tcPr>
          <w:p w14:paraId="12A879EE" w14:textId="77777777" w:rsidR="00DD13BF" w:rsidRDefault="00DD13BF" w:rsidP="00355A56">
            <w:pPr>
              <w:pStyle w:val="TableParagraph"/>
              <w:rPr>
                <w:color w:val="000000"/>
                <w:sz w:val="20"/>
              </w:rPr>
            </w:pPr>
            <w:r>
              <w:rPr>
                <w:color w:val="000000"/>
                <w:sz w:val="20"/>
              </w:rPr>
              <w:t>Green infrastructure supported for other purposes than adaptation to climate change</w:t>
            </w:r>
          </w:p>
        </w:tc>
        <w:tc>
          <w:tcPr>
            <w:tcW w:w="1275" w:type="dxa"/>
          </w:tcPr>
          <w:p w14:paraId="645A6179" w14:textId="77777777" w:rsidR="00DD13BF" w:rsidRPr="00E70B19" w:rsidRDefault="00DD13BF" w:rsidP="00355A56">
            <w:pPr>
              <w:pStyle w:val="TableParagraph"/>
              <w:rPr>
                <w:color w:val="000000"/>
                <w:sz w:val="20"/>
              </w:rPr>
            </w:pPr>
            <w:r>
              <w:rPr>
                <w:color w:val="000000"/>
                <w:sz w:val="20"/>
              </w:rPr>
              <w:t>Hectares</w:t>
            </w:r>
          </w:p>
        </w:tc>
        <w:tc>
          <w:tcPr>
            <w:tcW w:w="1416" w:type="dxa"/>
          </w:tcPr>
          <w:p w14:paraId="7A5A39C4" w14:textId="77777777" w:rsidR="00DD13BF" w:rsidRDefault="00DD13BF" w:rsidP="00355A56">
            <w:pPr>
              <w:pStyle w:val="TableParagraph"/>
              <w:rPr>
                <w:sz w:val="20"/>
              </w:rPr>
            </w:pPr>
            <w:r>
              <w:rPr>
                <w:sz w:val="20"/>
              </w:rPr>
              <w:t>3</w:t>
            </w:r>
          </w:p>
        </w:tc>
        <w:tc>
          <w:tcPr>
            <w:tcW w:w="1133" w:type="dxa"/>
          </w:tcPr>
          <w:p w14:paraId="72671A19" w14:textId="77777777" w:rsidR="00DD13BF" w:rsidRDefault="00DD13BF" w:rsidP="00355A56">
            <w:pPr>
              <w:pStyle w:val="TableParagraph"/>
              <w:rPr>
                <w:sz w:val="20"/>
              </w:rPr>
            </w:pPr>
            <w:r>
              <w:rPr>
                <w:sz w:val="20"/>
              </w:rPr>
              <w:t>11.3</w:t>
            </w:r>
          </w:p>
        </w:tc>
      </w:tr>
      <w:tr w:rsidR="00DD13BF" w14:paraId="44B3E7DE" w14:textId="77777777" w:rsidTr="00355A56">
        <w:trPr>
          <w:trHeight w:val="367"/>
        </w:trPr>
        <w:tc>
          <w:tcPr>
            <w:tcW w:w="1134" w:type="dxa"/>
          </w:tcPr>
          <w:p w14:paraId="4156AA2B" w14:textId="77777777" w:rsidR="00DD13BF" w:rsidRPr="00E70B19" w:rsidRDefault="00DD13BF" w:rsidP="00355A56">
            <w:pPr>
              <w:pStyle w:val="TableParagraph"/>
              <w:rPr>
                <w:sz w:val="20"/>
              </w:rPr>
            </w:pPr>
            <w:r>
              <w:rPr>
                <w:sz w:val="20"/>
              </w:rPr>
              <w:t>3</w:t>
            </w:r>
          </w:p>
        </w:tc>
        <w:tc>
          <w:tcPr>
            <w:tcW w:w="1276" w:type="dxa"/>
          </w:tcPr>
          <w:p w14:paraId="34CAFAE1" w14:textId="77777777" w:rsidR="00DD13BF" w:rsidRPr="00E70B19" w:rsidRDefault="00DD13BF" w:rsidP="00355A56">
            <w:pPr>
              <w:pStyle w:val="TableParagraph"/>
              <w:rPr>
                <w:sz w:val="20"/>
              </w:rPr>
            </w:pPr>
            <w:r>
              <w:rPr>
                <w:color w:val="000000"/>
                <w:sz w:val="20"/>
              </w:rPr>
              <w:t>RSO2.7</w:t>
            </w:r>
          </w:p>
        </w:tc>
        <w:tc>
          <w:tcPr>
            <w:tcW w:w="707" w:type="dxa"/>
          </w:tcPr>
          <w:p w14:paraId="6A07599C" w14:textId="77777777" w:rsidR="00DD13BF" w:rsidRPr="00E70B19" w:rsidRDefault="00DD13BF" w:rsidP="00355A56">
            <w:pPr>
              <w:pStyle w:val="TableParagraph"/>
              <w:rPr>
                <w:color w:val="000000"/>
                <w:sz w:val="20"/>
              </w:rPr>
            </w:pPr>
            <w:r>
              <w:rPr>
                <w:color w:val="000000"/>
                <w:sz w:val="20"/>
              </w:rPr>
              <w:t>ERDF</w:t>
            </w:r>
          </w:p>
        </w:tc>
        <w:tc>
          <w:tcPr>
            <w:tcW w:w="1699" w:type="dxa"/>
          </w:tcPr>
          <w:p w14:paraId="3705A7A4" w14:textId="77777777" w:rsidR="00DD13BF" w:rsidRDefault="00DD13BF" w:rsidP="00355A56">
            <w:pPr>
              <w:pStyle w:val="TableParagraph"/>
              <w:rPr>
                <w:color w:val="000000"/>
                <w:sz w:val="20"/>
              </w:rPr>
            </w:pPr>
            <w:r>
              <w:rPr>
                <w:color w:val="000000"/>
                <w:sz w:val="20"/>
              </w:rPr>
              <w:t>More developed</w:t>
            </w:r>
          </w:p>
        </w:tc>
        <w:tc>
          <w:tcPr>
            <w:tcW w:w="777" w:type="dxa"/>
          </w:tcPr>
          <w:p w14:paraId="6EFCFC9E" w14:textId="77777777" w:rsidR="00DD13BF" w:rsidRPr="00E70B19" w:rsidRDefault="00DD13BF" w:rsidP="00355A56">
            <w:pPr>
              <w:pStyle w:val="TableParagraph"/>
              <w:rPr>
                <w:color w:val="000000"/>
                <w:sz w:val="20"/>
              </w:rPr>
            </w:pPr>
            <w:r>
              <w:rPr>
                <w:color w:val="000000"/>
                <w:sz w:val="20"/>
              </w:rPr>
              <w:t>RCO36</w:t>
            </w:r>
          </w:p>
        </w:tc>
        <w:tc>
          <w:tcPr>
            <w:tcW w:w="4329" w:type="dxa"/>
          </w:tcPr>
          <w:p w14:paraId="7A742285" w14:textId="77777777" w:rsidR="00DD13BF" w:rsidRDefault="00DD13BF" w:rsidP="00355A56">
            <w:pPr>
              <w:pStyle w:val="TableParagraph"/>
              <w:rPr>
                <w:color w:val="000000"/>
                <w:sz w:val="20"/>
              </w:rPr>
            </w:pPr>
            <w:r>
              <w:rPr>
                <w:color w:val="000000"/>
                <w:sz w:val="20"/>
              </w:rPr>
              <w:t>Green infrastructure supported for other purposes than adaptation to climate change</w:t>
            </w:r>
          </w:p>
        </w:tc>
        <w:tc>
          <w:tcPr>
            <w:tcW w:w="1275" w:type="dxa"/>
          </w:tcPr>
          <w:p w14:paraId="545D4286" w14:textId="77777777" w:rsidR="00DD13BF" w:rsidRPr="00E70B19" w:rsidRDefault="00DD13BF" w:rsidP="00355A56">
            <w:pPr>
              <w:pStyle w:val="TableParagraph"/>
              <w:rPr>
                <w:color w:val="000000"/>
                <w:sz w:val="20"/>
              </w:rPr>
            </w:pPr>
            <w:r>
              <w:rPr>
                <w:color w:val="000000"/>
                <w:sz w:val="20"/>
              </w:rPr>
              <w:t>Hectares</w:t>
            </w:r>
          </w:p>
        </w:tc>
        <w:tc>
          <w:tcPr>
            <w:tcW w:w="1416" w:type="dxa"/>
          </w:tcPr>
          <w:p w14:paraId="18CDF269" w14:textId="77777777" w:rsidR="00DD13BF" w:rsidRDefault="00DD13BF" w:rsidP="00355A56">
            <w:pPr>
              <w:pStyle w:val="TableParagraph"/>
              <w:rPr>
                <w:sz w:val="20"/>
              </w:rPr>
            </w:pPr>
            <w:r>
              <w:rPr>
                <w:sz w:val="20"/>
              </w:rPr>
              <w:t>1</w:t>
            </w:r>
          </w:p>
        </w:tc>
        <w:tc>
          <w:tcPr>
            <w:tcW w:w="1133" w:type="dxa"/>
          </w:tcPr>
          <w:p w14:paraId="2FD976EB" w14:textId="77777777" w:rsidR="00DD13BF" w:rsidRDefault="00DD13BF" w:rsidP="00355A56">
            <w:pPr>
              <w:pStyle w:val="TableParagraph"/>
              <w:rPr>
                <w:sz w:val="20"/>
              </w:rPr>
            </w:pPr>
            <w:r>
              <w:rPr>
                <w:sz w:val="20"/>
              </w:rPr>
              <w:t>5.9</w:t>
            </w:r>
          </w:p>
        </w:tc>
      </w:tr>
      <w:tr w:rsidR="00DD13BF" w14:paraId="6A23C0E8" w14:textId="77777777" w:rsidTr="00355A56">
        <w:trPr>
          <w:trHeight w:val="367"/>
        </w:trPr>
        <w:tc>
          <w:tcPr>
            <w:tcW w:w="1134" w:type="dxa"/>
          </w:tcPr>
          <w:p w14:paraId="44D308F7" w14:textId="77777777" w:rsidR="00DD13BF" w:rsidRPr="00E70B19" w:rsidRDefault="00DD13BF" w:rsidP="00355A56">
            <w:pPr>
              <w:pStyle w:val="TableParagraph"/>
              <w:rPr>
                <w:sz w:val="20"/>
              </w:rPr>
            </w:pPr>
            <w:r>
              <w:rPr>
                <w:sz w:val="20"/>
              </w:rPr>
              <w:t>3</w:t>
            </w:r>
          </w:p>
        </w:tc>
        <w:tc>
          <w:tcPr>
            <w:tcW w:w="1276" w:type="dxa"/>
          </w:tcPr>
          <w:p w14:paraId="6F0BB2FC" w14:textId="77777777" w:rsidR="00DD13BF" w:rsidRPr="00E70B19" w:rsidRDefault="00DD13BF" w:rsidP="00355A56">
            <w:pPr>
              <w:pStyle w:val="TableParagraph"/>
              <w:rPr>
                <w:sz w:val="20"/>
              </w:rPr>
            </w:pPr>
            <w:r>
              <w:rPr>
                <w:color w:val="000000"/>
                <w:sz w:val="20"/>
              </w:rPr>
              <w:t>RSO2.7</w:t>
            </w:r>
          </w:p>
        </w:tc>
        <w:tc>
          <w:tcPr>
            <w:tcW w:w="707" w:type="dxa"/>
          </w:tcPr>
          <w:p w14:paraId="2EDE63C9" w14:textId="77777777" w:rsidR="00DD13BF" w:rsidRPr="00E70B19" w:rsidRDefault="00DD13BF" w:rsidP="00355A56">
            <w:pPr>
              <w:pStyle w:val="TableParagraph"/>
              <w:rPr>
                <w:sz w:val="20"/>
              </w:rPr>
            </w:pPr>
            <w:r>
              <w:rPr>
                <w:color w:val="000000"/>
                <w:sz w:val="20"/>
              </w:rPr>
              <w:t>ERDF</w:t>
            </w:r>
          </w:p>
        </w:tc>
        <w:tc>
          <w:tcPr>
            <w:tcW w:w="1699" w:type="dxa"/>
          </w:tcPr>
          <w:p w14:paraId="24A6E1C6" w14:textId="77777777" w:rsidR="00DD13BF" w:rsidRDefault="00DD13BF" w:rsidP="00355A56">
            <w:pPr>
              <w:pStyle w:val="TableParagraph"/>
              <w:rPr>
                <w:color w:val="000000"/>
                <w:sz w:val="20"/>
              </w:rPr>
            </w:pPr>
            <w:r>
              <w:rPr>
                <w:color w:val="000000"/>
                <w:sz w:val="20"/>
              </w:rPr>
              <w:t>Less developed</w:t>
            </w:r>
          </w:p>
          <w:p w14:paraId="313034E9" w14:textId="77777777" w:rsidR="00DD13BF" w:rsidRPr="00E70B19" w:rsidRDefault="00DD13BF" w:rsidP="00355A56">
            <w:pPr>
              <w:pStyle w:val="TableParagraph"/>
              <w:rPr>
                <w:sz w:val="20"/>
              </w:rPr>
            </w:pPr>
          </w:p>
        </w:tc>
        <w:tc>
          <w:tcPr>
            <w:tcW w:w="777" w:type="dxa"/>
          </w:tcPr>
          <w:p w14:paraId="216A892A" w14:textId="77777777" w:rsidR="00DD13BF" w:rsidRPr="00E70B19" w:rsidRDefault="00DD13BF" w:rsidP="00355A56">
            <w:pPr>
              <w:pStyle w:val="TableParagraph"/>
              <w:rPr>
                <w:sz w:val="20"/>
              </w:rPr>
            </w:pPr>
            <w:r>
              <w:rPr>
                <w:color w:val="000000"/>
                <w:sz w:val="20"/>
              </w:rPr>
              <w:t>RCO37</w:t>
            </w:r>
          </w:p>
        </w:tc>
        <w:tc>
          <w:tcPr>
            <w:tcW w:w="4329" w:type="dxa"/>
          </w:tcPr>
          <w:p w14:paraId="0F1CE4C8" w14:textId="77777777" w:rsidR="00DD13BF" w:rsidRPr="00E70B19" w:rsidRDefault="00DD13BF" w:rsidP="00355A56">
            <w:pPr>
              <w:pStyle w:val="TableParagraph"/>
              <w:rPr>
                <w:sz w:val="20"/>
              </w:rPr>
            </w:pPr>
            <w:r>
              <w:rPr>
                <w:color w:val="000000"/>
                <w:sz w:val="20"/>
              </w:rPr>
              <w:t>Area of Natura 2000 sites covered by protection and restoration measures</w:t>
            </w:r>
          </w:p>
        </w:tc>
        <w:tc>
          <w:tcPr>
            <w:tcW w:w="1275" w:type="dxa"/>
          </w:tcPr>
          <w:p w14:paraId="62817BEF" w14:textId="77777777" w:rsidR="00DD13BF" w:rsidRPr="00E70B19" w:rsidRDefault="00DD13BF" w:rsidP="00355A56">
            <w:pPr>
              <w:pStyle w:val="TableParagraph"/>
              <w:rPr>
                <w:sz w:val="20"/>
              </w:rPr>
            </w:pPr>
            <w:r>
              <w:rPr>
                <w:color w:val="000000"/>
                <w:sz w:val="20"/>
              </w:rPr>
              <w:t>Hectares</w:t>
            </w:r>
          </w:p>
        </w:tc>
        <w:tc>
          <w:tcPr>
            <w:tcW w:w="1416" w:type="dxa"/>
          </w:tcPr>
          <w:p w14:paraId="1C7C7145" w14:textId="77777777" w:rsidR="00DD13BF" w:rsidRPr="00347461" w:rsidRDefault="00DD13BF" w:rsidP="00355A56">
            <w:pPr>
              <w:pStyle w:val="TableParagraph"/>
              <w:rPr>
                <w:sz w:val="20"/>
              </w:rPr>
            </w:pPr>
            <w:r>
              <w:rPr>
                <w:sz w:val="20"/>
              </w:rPr>
              <w:t>0</w:t>
            </w:r>
          </w:p>
        </w:tc>
        <w:tc>
          <w:tcPr>
            <w:tcW w:w="1133" w:type="dxa"/>
          </w:tcPr>
          <w:p w14:paraId="6D1217B1" w14:textId="77777777" w:rsidR="00DD13BF" w:rsidRPr="00CC154B" w:rsidRDefault="00DD13BF" w:rsidP="00355A56">
            <w:pPr>
              <w:pStyle w:val="TableParagraph"/>
              <w:rPr>
                <w:sz w:val="20"/>
              </w:rPr>
            </w:pPr>
            <w:r>
              <w:rPr>
                <w:sz w:val="20"/>
              </w:rPr>
              <w:t>700</w:t>
            </w:r>
          </w:p>
        </w:tc>
      </w:tr>
      <w:tr w:rsidR="00DD13BF" w14:paraId="2A95ED94" w14:textId="77777777" w:rsidTr="00355A56">
        <w:trPr>
          <w:trHeight w:val="367"/>
        </w:trPr>
        <w:tc>
          <w:tcPr>
            <w:tcW w:w="1134" w:type="dxa"/>
          </w:tcPr>
          <w:p w14:paraId="78AC7BCA" w14:textId="77777777" w:rsidR="00DD13BF" w:rsidRDefault="00DD13BF" w:rsidP="00355A56">
            <w:pPr>
              <w:pStyle w:val="TableParagraph"/>
              <w:rPr>
                <w:sz w:val="20"/>
              </w:rPr>
            </w:pPr>
            <w:r>
              <w:rPr>
                <w:sz w:val="20"/>
              </w:rPr>
              <w:t>3</w:t>
            </w:r>
          </w:p>
        </w:tc>
        <w:tc>
          <w:tcPr>
            <w:tcW w:w="1276" w:type="dxa"/>
          </w:tcPr>
          <w:p w14:paraId="0C15E9B9" w14:textId="77777777" w:rsidR="00DD13BF" w:rsidRDefault="00DD13BF" w:rsidP="00355A56">
            <w:pPr>
              <w:pStyle w:val="TableParagraph"/>
              <w:rPr>
                <w:sz w:val="20"/>
              </w:rPr>
            </w:pPr>
            <w:r>
              <w:rPr>
                <w:color w:val="000000"/>
                <w:sz w:val="20"/>
              </w:rPr>
              <w:t>RSO2.7</w:t>
            </w:r>
          </w:p>
        </w:tc>
        <w:tc>
          <w:tcPr>
            <w:tcW w:w="707" w:type="dxa"/>
          </w:tcPr>
          <w:p w14:paraId="3FB42311" w14:textId="77777777" w:rsidR="00DD13BF" w:rsidRDefault="00DD13BF" w:rsidP="00355A56">
            <w:pPr>
              <w:pStyle w:val="TableParagraph"/>
              <w:rPr>
                <w:color w:val="000000" w:themeColor="text1"/>
                <w:sz w:val="20"/>
              </w:rPr>
            </w:pPr>
            <w:r>
              <w:rPr>
                <w:color w:val="000000" w:themeColor="text1"/>
                <w:sz w:val="20"/>
              </w:rPr>
              <w:t>ERDF</w:t>
            </w:r>
          </w:p>
        </w:tc>
        <w:tc>
          <w:tcPr>
            <w:tcW w:w="1699" w:type="dxa"/>
          </w:tcPr>
          <w:p w14:paraId="7CB21A3D" w14:textId="77777777" w:rsidR="00DD13BF" w:rsidRDefault="00DD13BF" w:rsidP="00355A56">
            <w:pPr>
              <w:pStyle w:val="TableParagraph"/>
              <w:rPr>
                <w:sz w:val="20"/>
              </w:rPr>
            </w:pPr>
            <w:r>
              <w:rPr>
                <w:color w:val="000000" w:themeColor="text1"/>
                <w:sz w:val="20"/>
              </w:rPr>
              <w:t>More developed</w:t>
            </w:r>
          </w:p>
          <w:p w14:paraId="57A598E9" w14:textId="77777777" w:rsidR="00DD13BF" w:rsidRDefault="00DD13BF" w:rsidP="00355A56">
            <w:pPr>
              <w:pStyle w:val="TableParagraph"/>
              <w:rPr>
                <w:color w:val="000000" w:themeColor="text1"/>
                <w:sz w:val="20"/>
              </w:rPr>
            </w:pPr>
          </w:p>
        </w:tc>
        <w:tc>
          <w:tcPr>
            <w:tcW w:w="777" w:type="dxa"/>
          </w:tcPr>
          <w:p w14:paraId="06E7FB23" w14:textId="77777777" w:rsidR="00DD13BF" w:rsidRDefault="00DD13BF" w:rsidP="00355A56">
            <w:pPr>
              <w:pStyle w:val="TableParagraph"/>
              <w:rPr>
                <w:sz w:val="20"/>
              </w:rPr>
            </w:pPr>
            <w:r>
              <w:rPr>
                <w:color w:val="000000" w:themeColor="text1"/>
                <w:sz w:val="20"/>
              </w:rPr>
              <w:t>RCO37</w:t>
            </w:r>
          </w:p>
          <w:p w14:paraId="0C9A350D" w14:textId="77777777" w:rsidR="00DD13BF" w:rsidRDefault="00DD13BF" w:rsidP="00355A56">
            <w:pPr>
              <w:pStyle w:val="TableParagraph"/>
              <w:rPr>
                <w:color w:val="000000" w:themeColor="text1"/>
                <w:sz w:val="20"/>
              </w:rPr>
            </w:pPr>
          </w:p>
        </w:tc>
        <w:tc>
          <w:tcPr>
            <w:tcW w:w="4329" w:type="dxa"/>
          </w:tcPr>
          <w:p w14:paraId="12F1E434" w14:textId="77777777" w:rsidR="00DD13BF" w:rsidRDefault="00DD13BF" w:rsidP="00355A56">
            <w:pPr>
              <w:pStyle w:val="TableParagraph"/>
              <w:rPr>
                <w:color w:val="000000" w:themeColor="text1"/>
                <w:sz w:val="20"/>
              </w:rPr>
            </w:pPr>
            <w:r>
              <w:rPr>
                <w:color w:val="000000" w:themeColor="text1"/>
                <w:sz w:val="20"/>
              </w:rPr>
              <w:t>Area of Natura 2000 sites covered by protection and restoration measures</w:t>
            </w:r>
          </w:p>
        </w:tc>
        <w:tc>
          <w:tcPr>
            <w:tcW w:w="1275" w:type="dxa"/>
          </w:tcPr>
          <w:p w14:paraId="64CC665F" w14:textId="77777777" w:rsidR="00DD13BF" w:rsidRDefault="00DD13BF" w:rsidP="00355A56">
            <w:pPr>
              <w:pStyle w:val="TableParagraph"/>
              <w:rPr>
                <w:color w:val="000000" w:themeColor="text1"/>
                <w:sz w:val="20"/>
              </w:rPr>
            </w:pPr>
            <w:r>
              <w:rPr>
                <w:color w:val="000000"/>
                <w:sz w:val="20"/>
              </w:rPr>
              <w:t>Hectares</w:t>
            </w:r>
          </w:p>
        </w:tc>
        <w:tc>
          <w:tcPr>
            <w:tcW w:w="1416" w:type="dxa"/>
          </w:tcPr>
          <w:p w14:paraId="10802F4B" w14:textId="77777777" w:rsidR="00DD13BF" w:rsidRDefault="00DD13BF" w:rsidP="00355A56">
            <w:pPr>
              <w:pStyle w:val="TableParagraph"/>
              <w:rPr>
                <w:sz w:val="20"/>
              </w:rPr>
            </w:pPr>
            <w:r>
              <w:rPr>
                <w:sz w:val="20"/>
              </w:rPr>
              <w:t>0</w:t>
            </w:r>
          </w:p>
        </w:tc>
        <w:tc>
          <w:tcPr>
            <w:tcW w:w="1133" w:type="dxa"/>
          </w:tcPr>
          <w:p w14:paraId="20A30F7D" w14:textId="77777777" w:rsidR="00DD13BF" w:rsidRDefault="00DD13BF" w:rsidP="00355A56">
            <w:pPr>
              <w:pStyle w:val="TableParagraph"/>
              <w:rPr>
                <w:sz w:val="20"/>
              </w:rPr>
            </w:pPr>
            <w:r>
              <w:rPr>
                <w:sz w:val="20"/>
              </w:rPr>
              <w:t>800</w:t>
            </w:r>
          </w:p>
        </w:tc>
      </w:tr>
      <w:tr w:rsidR="00DD13BF" w14:paraId="6099A6E6" w14:textId="77777777" w:rsidTr="00355A56">
        <w:trPr>
          <w:trHeight w:val="367"/>
        </w:trPr>
        <w:tc>
          <w:tcPr>
            <w:tcW w:w="1134" w:type="dxa"/>
          </w:tcPr>
          <w:p w14:paraId="54C7FEF6" w14:textId="77777777" w:rsidR="00DD13BF" w:rsidRDefault="00DD13BF" w:rsidP="00355A56">
            <w:pPr>
              <w:pStyle w:val="TableParagraph"/>
              <w:rPr>
                <w:sz w:val="20"/>
              </w:rPr>
            </w:pPr>
            <w:r>
              <w:rPr>
                <w:sz w:val="20"/>
              </w:rPr>
              <w:t>3</w:t>
            </w:r>
          </w:p>
        </w:tc>
        <w:tc>
          <w:tcPr>
            <w:tcW w:w="1276" w:type="dxa"/>
          </w:tcPr>
          <w:p w14:paraId="178D060D" w14:textId="77777777" w:rsidR="00DD13BF" w:rsidRPr="00347461" w:rsidRDefault="00DD13BF" w:rsidP="00355A56">
            <w:pPr>
              <w:pStyle w:val="TableParagraph"/>
              <w:rPr>
                <w:sz w:val="20"/>
              </w:rPr>
            </w:pPr>
            <w:r>
              <w:rPr>
                <w:color w:val="000000"/>
                <w:sz w:val="20"/>
              </w:rPr>
              <w:t>RSO2.7</w:t>
            </w:r>
          </w:p>
        </w:tc>
        <w:tc>
          <w:tcPr>
            <w:tcW w:w="707" w:type="dxa"/>
          </w:tcPr>
          <w:p w14:paraId="182DDCAB" w14:textId="77777777" w:rsidR="00DD13BF" w:rsidRPr="00E70B19" w:rsidRDefault="00DD13BF" w:rsidP="00355A56">
            <w:pPr>
              <w:pStyle w:val="TableParagraph"/>
              <w:rPr>
                <w:sz w:val="20"/>
              </w:rPr>
            </w:pPr>
            <w:r>
              <w:rPr>
                <w:color w:val="000000"/>
                <w:sz w:val="20"/>
              </w:rPr>
              <w:t>CF</w:t>
            </w:r>
          </w:p>
        </w:tc>
        <w:tc>
          <w:tcPr>
            <w:tcW w:w="1699" w:type="dxa"/>
          </w:tcPr>
          <w:p w14:paraId="32774B96" w14:textId="77777777" w:rsidR="00DD13BF" w:rsidRPr="00E70B19" w:rsidRDefault="00DD13BF" w:rsidP="00355A56">
            <w:pPr>
              <w:pStyle w:val="TableParagraph"/>
              <w:rPr>
                <w:sz w:val="20"/>
              </w:rPr>
            </w:pPr>
            <w:r>
              <w:rPr>
                <w:color w:val="000000"/>
                <w:sz w:val="20"/>
              </w:rPr>
              <w:t>Entire Slovenia</w:t>
            </w:r>
          </w:p>
        </w:tc>
        <w:tc>
          <w:tcPr>
            <w:tcW w:w="777" w:type="dxa"/>
          </w:tcPr>
          <w:p w14:paraId="259B8D90" w14:textId="77777777" w:rsidR="00DD13BF" w:rsidRPr="00E70B19" w:rsidRDefault="00DD13BF" w:rsidP="00355A56">
            <w:pPr>
              <w:pStyle w:val="TableParagraph"/>
              <w:rPr>
                <w:sz w:val="20"/>
              </w:rPr>
            </w:pPr>
            <w:r>
              <w:rPr>
                <w:color w:val="000000"/>
                <w:sz w:val="20"/>
              </w:rPr>
              <w:t>RCO39</w:t>
            </w:r>
          </w:p>
        </w:tc>
        <w:tc>
          <w:tcPr>
            <w:tcW w:w="4329" w:type="dxa"/>
          </w:tcPr>
          <w:p w14:paraId="5B929F82" w14:textId="77777777" w:rsidR="00DD13BF" w:rsidRPr="00E70B19" w:rsidRDefault="00DD13BF" w:rsidP="00355A56">
            <w:pPr>
              <w:pStyle w:val="TableParagraph"/>
              <w:rPr>
                <w:sz w:val="20"/>
              </w:rPr>
            </w:pPr>
            <w:r>
              <w:rPr>
                <w:color w:val="000000"/>
                <w:sz w:val="20"/>
              </w:rPr>
              <w:t>Area covered by systems for monitoring air pollution installed</w:t>
            </w:r>
          </w:p>
        </w:tc>
        <w:tc>
          <w:tcPr>
            <w:tcW w:w="1275" w:type="dxa"/>
          </w:tcPr>
          <w:p w14:paraId="22FE2208" w14:textId="77777777" w:rsidR="00DD13BF" w:rsidRPr="00E70B19" w:rsidRDefault="00DD13BF" w:rsidP="00355A56">
            <w:pPr>
              <w:pStyle w:val="TableParagraph"/>
              <w:rPr>
                <w:sz w:val="20"/>
              </w:rPr>
            </w:pPr>
            <w:r>
              <w:rPr>
                <w:color w:val="000000"/>
                <w:sz w:val="20"/>
              </w:rPr>
              <w:t>Hectares</w:t>
            </w:r>
          </w:p>
        </w:tc>
        <w:tc>
          <w:tcPr>
            <w:tcW w:w="1416" w:type="dxa"/>
          </w:tcPr>
          <w:p w14:paraId="0A6C64A7" w14:textId="77777777" w:rsidR="00DD13BF" w:rsidRPr="00347461" w:rsidRDefault="00DD13BF" w:rsidP="00355A56">
            <w:pPr>
              <w:pStyle w:val="TableParagraph"/>
              <w:rPr>
                <w:sz w:val="20"/>
              </w:rPr>
            </w:pPr>
            <w:r>
              <w:rPr>
                <w:sz w:val="20"/>
              </w:rPr>
              <w:t>85,000</w:t>
            </w:r>
          </w:p>
        </w:tc>
        <w:tc>
          <w:tcPr>
            <w:tcW w:w="1133" w:type="dxa"/>
          </w:tcPr>
          <w:p w14:paraId="7B5E02AD" w14:textId="77777777" w:rsidR="00DD13BF" w:rsidRDefault="00DD13BF" w:rsidP="00355A56">
            <w:pPr>
              <w:pStyle w:val="TableParagraph"/>
              <w:rPr>
                <w:sz w:val="20"/>
              </w:rPr>
            </w:pPr>
            <w:r>
              <w:rPr>
                <w:sz w:val="20"/>
              </w:rPr>
              <w:t>170,300</w:t>
            </w:r>
          </w:p>
        </w:tc>
      </w:tr>
      <w:tr w:rsidR="00DD13BF" w14:paraId="168B99CC" w14:textId="77777777" w:rsidTr="00355A56">
        <w:trPr>
          <w:trHeight w:val="367"/>
        </w:trPr>
        <w:tc>
          <w:tcPr>
            <w:tcW w:w="1134" w:type="dxa"/>
          </w:tcPr>
          <w:p w14:paraId="01A4AFBB" w14:textId="77777777" w:rsidR="00DD13BF" w:rsidRDefault="00DD13BF" w:rsidP="00355A56">
            <w:pPr>
              <w:pStyle w:val="TableParagraph"/>
              <w:rPr>
                <w:sz w:val="20"/>
              </w:rPr>
            </w:pPr>
            <w:r>
              <w:rPr>
                <w:sz w:val="20"/>
              </w:rPr>
              <w:t>3</w:t>
            </w:r>
          </w:p>
        </w:tc>
        <w:tc>
          <w:tcPr>
            <w:tcW w:w="1276" w:type="dxa"/>
          </w:tcPr>
          <w:p w14:paraId="25F65B2C" w14:textId="77777777" w:rsidR="00DD13BF" w:rsidRDefault="00DD13BF" w:rsidP="00355A56">
            <w:pPr>
              <w:pStyle w:val="TableParagraph"/>
              <w:rPr>
                <w:sz w:val="20"/>
              </w:rPr>
            </w:pPr>
            <w:r>
              <w:rPr>
                <w:color w:val="000000"/>
                <w:sz w:val="20"/>
              </w:rPr>
              <w:t>RSO2.7</w:t>
            </w:r>
          </w:p>
        </w:tc>
        <w:tc>
          <w:tcPr>
            <w:tcW w:w="707" w:type="dxa"/>
          </w:tcPr>
          <w:p w14:paraId="77147056" w14:textId="77777777" w:rsidR="00DD13BF" w:rsidRPr="00E70B19" w:rsidRDefault="00DD13BF" w:rsidP="00355A56">
            <w:pPr>
              <w:pStyle w:val="TableParagraph"/>
              <w:rPr>
                <w:color w:val="000000"/>
                <w:sz w:val="20"/>
              </w:rPr>
            </w:pPr>
            <w:r>
              <w:rPr>
                <w:color w:val="000000"/>
                <w:sz w:val="20"/>
              </w:rPr>
              <w:t>ERDF</w:t>
            </w:r>
          </w:p>
        </w:tc>
        <w:tc>
          <w:tcPr>
            <w:tcW w:w="1699" w:type="dxa"/>
          </w:tcPr>
          <w:p w14:paraId="66269846" w14:textId="77777777" w:rsidR="00DD13BF" w:rsidRDefault="00DD13BF" w:rsidP="00355A56">
            <w:pPr>
              <w:pStyle w:val="TableParagraph"/>
              <w:rPr>
                <w:color w:val="000000"/>
                <w:sz w:val="20"/>
              </w:rPr>
            </w:pPr>
            <w:r>
              <w:rPr>
                <w:color w:val="000000"/>
                <w:sz w:val="20"/>
              </w:rPr>
              <w:t>Less developed</w:t>
            </w:r>
          </w:p>
        </w:tc>
        <w:tc>
          <w:tcPr>
            <w:tcW w:w="777" w:type="dxa"/>
          </w:tcPr>
          <w:p w14:paraId="71ACB5C7" w14:textId="77777777" w:rsidR="00DD13BF" w:rsidRDefault="00DD13BF" w:rsidP="00355A56">
            <w:pPr>
              <w:pStyle w:val="TableParagraph"/>
              <w:rPr>
                <w:color w:val="000000"/>
                <w:sz w:val="20"/>
              </w:rPr>
            </w:pPr>
            <w:r>
              <w:rPr>
                <w:color w:val="000000"/>
                <w:sz w:val="20"/>
              </w:rPr>
              <w:t>4</w:t>
            </w:r>
          </w:p>
        </w:tc>
        <w:tc>
          <w:tcPr>
            <w:tcW w:w="4329" w:type="dxa"/>
          </w:tcPr>
          <w:p w14:paraId="09C69945" w14:textId="77777777" w:rsidR="00DD13BF" w:rsidRDefault="00DD13BF" w:rsidP="00355A56">
            <w:pPr>
              <w:pStyle w:val="TableParagraph"/>
              <w:rPr>
                <w:color w:val="000000"/>
                <w:sz w:val="20"/>
              </w:rPr>
            </w:pPr>
            <w:r>
              <w:rPr>
                <w:color w:val="000000"/>
                <w:sz w:val="20"/>
              </w:rPr>
              <w:t>Innovative interventions in the field of promoting urban greening</w:t>
            </w:r>
          </w:p>
        </w:tc>
        <w:tc>
          <w:tcPr>
            <w:tcW w:w="1275" w:type="dxa"/>
          </w:tcPr>
          <w:p w14:paraId="22F296DA" w14:textId="77777777" w:rsidR="00DD13BF" w:rsidRPr="00FC66D5" w:rsidRDefault="00DD13BF" w:rsidP="00355A56">
            <w:pPr>
              <w:pStyle w:val="TableParagraph"/>
              <w:rPr>
                <w:color w:val="000000"/>
                <w:sz w:val="20"/>
              </w:rPr>
            </w:pPr>
            <w:r>
              <w:rPr>
                <w:color w:val="000000"/>
                <w:sz w:val="20"/>
              </w:rPr>
              <w:t>Number</w:t>
            </w:r>
          </w:p>
        </w:tc>
        <w:tc>
          <w:tcPr>
            <w:tcW w:w="1416" w:type="dxa"/>
          </w:tcPr>
          <w:p w14:paraId="4F91F82B" w14:textId="77777777" w:rsidR="00DD13BF" w:rsidRDefault="00DD13BF" w:rsidP="00355A56">
            <w:pPr>
              <w:pStyle w:val="TableParagraph"/>
              <w:rPr>
                <w:sz w:val="20"/>
              </w:rPr>
            </w:pPr>
            <w:r>
              <w:rPr>
                <w:sz w:val="20"/>
              </w:rPr>
              <w:t>0</w:t>
            </w:r>
          </w:p>
        </w:tc>
        <w:tc>
          <w:tcPr>
            <w:tcW w:w="1133" w:type="dxa"/>
          </w:tcPr>
          <w:p w14:paraId="2DEA74B2" w14:textId="77777777" w:rsidR="00DD13BF" w:rsidRDefault="00DD13BF" w:rsidP="00355A56">
            <w:pPr>
              <w:pStyle w:val="TableParagraph"/>
              <w:rPr>
                <w:sz w:val="20"/>
              </w:rPr>
            </w:pPr>
            <w:r>
              <w:rPr>
                <w:sz w:val="20"/>
              </w:rPr>
              <w:t>2</w:t>
            </w:r>
          </w:p>
        </w:tc>
      </w:tr>
      <w:tr w:rsidR="00DD13BF" w14:paraId="7CA22460" w14:textId="77777777" w:rsidTr="00355A56">
        <w:trPr>
          <w:trHeight w:val="367"/>
        </w:trPr>
        <w:tc>
          <w:tcPr>
            <w:tcW w:w="1134" w:type="dxa"/>
          </w:tcPr>
          <w:p w14:paraId="0497E561" w14:textId="77777777" w:rsidR="00DD13BF" w:rsidRDefault="00DD13BF" w:rsidP="00355A56">
            <w:pPr>
              <w:pStyle w:val="TableParagraph"/>
              <w:rPr>
                <w:sz w:val="20"/>
              </w:rPr>
            </w:pPr>
            <w:r>
              <w:rPr>
                <w:sz w:val="20"/>
              </w:rPr>
              <w:t>3</w:t>
            </w:r>
          </w:p>
        </w:tc>
        <w:tc>
          <w:tcPr>
            <w:tcW w:w="1276" w:type="dxa"/>
          </w:tcPr>
          <w:p w14:paraId="52476B8A" w14:textId="77777777" w:rsidR="00DD13BF" w:rsidRDefault="00DD13BF" w:rsidP="00355A56">
            <w:pPr>
              <w:pStyle w:val="TableParagraph"/>
              <w:rPr>
                <w:sz w:val="20"/>
              </w:rPr>
            </w:pPr>
            <w:r>
              <w:rPr>
                <w:color w:val="000000"/>
                <w:sz w:val="20"/>
              </w:rPr>
              <w:t>RSO2.7</w:t>
            </w:r>
          </w:p>
        </w:tc>
        <w:tc>
          <w:tcPr>
            <w:tcW w:w="707" w:type="dxa"/>
          </w:tcPr>
          <w:p w14:paraId="18F57AE8" w14:textId="77777777" w:rsidR="00DD13BF" w:rsidRPr="00E70B19" w:rsidRDefault="00DD13BF" w:rsidP="00355A56">
            <w:pPr>
              <w:pStyle w:val="TableParagraph"/>
              <w:rPr>
                <w:color w:val="000000"/>
                <w:sz w:val="20"/>
              </w:rPr>
            </w:pPr>
            <w:r>
              <w:rPr>
                <w:color w:val="000000"/>
                <w:sz w:val="20"/>
              </w:rPr>
              <w:t>ERDF</w:t>
            </w:r>
          </w:p>
        </w:tc>
        <w:tc>
          <w:tcPr>
            <w:tcW w:w="1699" w:type="dxa"/>
          </w:tcPr>
          <w:p w14:paraId="1C78CDBB" w14:textId="77777777" w:rsidR="00DD13BF" w:rsidRDefault="00DD13BF" w:rsidP="00355A56">
            <w:pPr>
              <w:pStyle w:val="TableParagraph"/>
              <w:rPr>
                <w:color w:val="000000"/>
                <w:sz w:val="20"/>
              </w:rPr>
            </w:pPr>
            <w:r>
              <w:rPr>
                <w:color w:val="000000"/>
                <w:sz w:val="20"/>
              </w:rPr>
              <w:t>More developed</w:t>
            </w:r>
          </w:p>
        </w:tc>
        <w:tc>
          <w:tcPr>
            <w:tcW w:w="777" w:type="dxa"/>
          </w:tcPr>
          <w:p w14:paraId="6179424B" w14:textId="77777777" w:rsidR="00DD13BF" w:rsidRDefault="00DD13BF" w:rsidP="00355A56">
            <w:pPr>
              <w:pStyle w:val="TableParagraph"/>
              <w:rPr>
                <w:color w:val="000000"/>
                <w:sz w:val="20"/>
              </w:rPr>
            </w:pPr>
            <w:r>
              <w:rPr>
                <w:color w:val="000000"/>
                <w:sz w:val="20"/>
              </w:rPr>
              <w:t>4</w:t>
            </w:r>
          </w:p>
        </w:tc>
        <w:tc>
          <w:tcPr>
            <w:tcW w:w="4329" w:type="dxa"/>
          </w:tcPr>
          <w:p w14:paraId="03F11C67" w14:textId="77777777" w:rsidR="00DD13BF" w:rsidRDefault="00DD13BF" w:rsidP="00355A56">
            <w:pPr>
              <w:pStyle w:val="TableParagraph"/>
              <w:rPr>
                <w:color w:val="000000"/>
                <w:sz w:val="20"/>
              </w:rPr>
            </w:pPr>
            <w:r>
              <w:rPr>
                <w:color w:val="000000"/>
                <w:sz w:val="20"/>
              </w:rPr>
              <w:t>Innovative interventions in the field of promoting urban greening</w:t>
            </w:r>
          </w:p>
        </w:tc>
        <w:tc>
          <w:tcPr>
            <w:tcW w:w="1275" w:type="dxa"/>
          </w:tcPr>
          <w:p w14:paraId="53DB5723" w14:textId="77777777" w:rsidR="00DD13BF" w:rsidRPr="00FC66D5" w:rsidRDefault="00DD13BF" w:rsidP="00355A56">
            <w:pPr>
              <w:pStyle w:val="TableParagraph"/>
              <w:rPr>
                <w:color w:val="000000"/>
                <w:sz w:val="20"/>
              </w:rPr>
            </w:pPr>
            <w:r>
              <w:rPr>
                <w:color w:val="000000"/>
                <w:sz w:val="20"/>
              </w:rPr>
              <w:t>Number</w:t>
            </w:r>
          </w:p>
        </w:tc>
        <w:tc>
          <w:tcPr>
            <w:tcW w:w="1416" w:type="dxa"/>
          </w:tcPr>
          <w:p w14:paraId="20AAAAA4" w14:textId="77777777" w:rsidR="00DD13BF" w:rsidRDefault="00DD13BF" w:rsidP="00355A56">
            <w:pPr>
              <w:pStyle w:val="TableParagraph"/>
              <w:rPr>
                <w:sz w:val="20"/>
              </w:rPr>
            </w:pPr>
            <w:r>
              <w:rPr>
                <w:sz w:val="20"/>
              </w:rPr>
              <w:t>0</w:t>
            </w:r>
          </w:p>
        </w:tc>
        <w:tc>
          <w:tcPr>
            <w:tcW w:w="1133" w:type="dxa"/>
          </w:tcPr>
          <w:p w14:paraId="4E610FA6" w14:textId="77777777" w:rsidR="00DD13BF" w:rsidRDefault="00DD13BF" w:rsidP="00355A56">
            <w:pPr>
              <w:pStyle w:val="TableParagraph"/>
              <w:rPr>
                <w:sz w:val="20"/>
              </w:rPr>
            </w:pPr>
            <w:r>
              <w:rPr>
                <w:sz w:val="20"/>
              </w:rPr>
              <w:t>3</w:t>
            </w:r>
          </w:p>
        </w:tc>
      </w:tr>
    </w:tbl>
    <w:p w14:paraId="735A653E" w14:textId="77777777" w:rsidR="00DD13BF" w:rsidRDefault="00DD13BF" w:rsidP="00DD13BF">
      <w:pPr>
        <w:rPr>
          <w:sz w:val="24"/>
        </w:rPr>
      </w:pPr>
    </w:p>
    <w:p w14:paraId="6DEAEACA" w14:textId="77777777" w:rsidR="00DD13BF" w:rsidRDefault="00DD13BF" w:rsidP="00DD13BF">
      <w:pPr>
        <w:ind w:left="379"/>
      </w:pPr>
      <w:r>
        <w:t>Table 3: Result indicators</w:t>
      </w:r>
    </w:p>
    <w:p w14:paraId="683E3D8B" w14:textId="77777777" w:rsidR="00DD13BF" w:rsidRDefault="00DD13BF" w:rsidP="00DD13BF">
      <w:pPr>
        <w:rPr>
          <w:sz w:val="21"/>
        </w:rPr>
      </w:pPr>
    </w:p>
    <w:tbl>
      <w:tblPr>
        <w:tblStyle w:val="NormalTable0"/>
        <w:tblW w:w="13725" w:type="dxa"/>
        <w:tblInd w:w="30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967"/>
        <w:gridCol w:w="992"/>
        <w:gridCol w:w="708"/>
        <w:gridCol w:w="1570"/>
        <w:gridCol w:w="708"/>
        <w:gridCol w:w="2543"/>
        <w:gridCol w:w="707"/>
        <w:gridCol w:w="1133"/>
        <w:gridCol w:w="992"/>
        <w:gridCol w:w="1279"/>
        <w:gridCol w:w="850"/>
        <w:gridCol w:w="1276"/>
      </w:tblGrid>
      <w:tr w:rsidR="00DD13BF" w:rsidRPr="008C23F9" w14:paraId="0DF24B1F" w14:textId="77777777" w:rsidTr="00355A56">
        <w:trPr>
          <w:trHeight w:val="353"/>
        </w:trPr>
        <w:tc>
          <w:tcPr>
            <w:tcW w:w="967" w:type="dxa"/>
          </w:tcPr>
          <w:p w14:paraId="36CBE892" w14:textId="77777777" w:rsidR="00DD13BF" w:rsidRPr="008C23F9" w:rsidRDefault="00DD13BF" w:rsidP="00355A56">
            <w:pPr>
              <w:pStyle w:val="TableParagraph"/>
              <w:rPr>
                <w:sz w:val="20"/>
              </w:rPr>
            </w:pPr>
            <w:r>
              <w:rPr>
                <w:sz w:val="20"/>
              </w:rPr>
              <w:t>Priority</w:t>
            </w:r>
          </w:p>
        </w:tc>
        <w:tc>
          <w:tcPr>
            <w:tcW w:w="992" w:type="dxa"/>
          </w:tcPr>
          <w:p w14:paraId="47A5F22B" w14:textId="77777777" w:rsidR="00DD13BF" w:rsidRPr="008C23F9" w:rsidRDefault="00DD13BF" w:rsidP="00355A56">
            <w:pPr>
              <w:pStyle w:val="TableParagraph"/>
              <w:rPr>
                <w:sz w:val="20"/>
              </w:rPr>
            </w:pPr>
            <w:r>
              <w:rPr>
                <w:sz w:val="20"/>
              </w:rPr>
              <w:t>Specific objective</w:t>
            </w:r>
          </w:p>
        </w:tc>
        <w:tc>
          <w:tcPr>
            <w:tcW w:w="708" w:type="dxa"/>
          </w:tcPr>
          <w:p w14:paraId="44484040" w14:textId="77777777" w:rsidR="00DD13BF" w:rsidRPr="008C23F9" w:rsidRDefault="00DD13BF" w:rsidP="00355A56">
            <w:pPr>
              <w:pStyle w:val="TableParagraph"/>
              <w:rPr>
                <w:sz w:val="20"/>
              </w:rPr>
            </w:pPr>
            <w:r>
              <w:rPr>
                <w:sz w:val="20"/>
              </w:rPr>
              <w:t>Fund</w:t>
            </w:r>
          </w:p>
        </w:tc>
        <w:tc>
          <w:tcPr>
            <w:tcW w:w="1570" w:type="dxa"/>
          </w:tcPr>
          <w:p w14:paraId="22D5AEEB" w14:textId="77777777" w:rsidR="00DD13BF" w:rsidRPr="008C23F9" w:rsidRDefault="00DD13BF" w:rsidP="00355A56">
            <w:pPr>
              <w:pStyle w:val="TableParagraph"/>
              <w:rPr>
                <w:sz w:val="20"/>
              </w:rPr>
            </w:pPr>
            <w:r>
              <w:rPr>
                <w:sz w:val="20"/>
              </w:rPr>
              <w:t>Category of region</w:t>
            </w:r>
          </w:p>
        </w:tc>
        <w:tc>
          <w:tcPr>
            <w:tcW w:w="708" w:type="dxa"/>
          </w:tcPr>
          <w:p w14:paraId="7AA434C6" w14:textId="77777777" w:rsidR="00DD13BF" w:rsidRPr="008C23F9" w:rsidRDefault="00DD13BF" w:rsidP="00355A56">
            <w:pPr>
              <w:pStyle w:val="TableParagraph"/>
              <w:rPr>
                <w:sz w:val="20"/>
              </w:rPr>
            </w:pPr>
            <w:r>
              <w:rPr>
                <w:sz w:val="20"/>
              </w:rPr>
              <w:t>ID</w:t>
            </w:r>
          </w:p>
        </w:tc>
        <w:tc>
          <w:tcPr>
            <w:tcW w:w="2543" w:type="dxa"/>
          </w:tcPr>
          <w:p w14:paraId="0889941B" w14:textId="77777777" w:rsidR="00DD13BF" w:rsidRPr="008C23F9" w:rsidRDefault="00DD13BF" w:rsidP="00355A56">
            <w:pPr>
              <w:pStyle w:val="TableParagraph"/>
              <w:rPr>
                <w:sz w:val="20"/>
              </w:rPr>
            </w:pPr>
            <w:r>
              <w:rPr>
                <w:sz w:val="20"/>
              </w:rPr>
              <w:t>Indicator</w:t>
            </w:r>
          </w:p>
        </w:tc>
        <w:tc>
          <w:tcPr>
            <w:tcW w:w="707" w:type="dxa"/>
          </w:tcPr>
          <w:p w14:paraId="2103932C" w14:textId="77777777" w:rsidR="00DD13BF" w:rsidRPr="008C23F9" w:rsidRDefault="00DD13BF" w:rsidP="00355A56">
            <w:pPr>
              <w:pStyle w:val="TableParagraph"/>
              <w:rPr>
                <w:sz w:val="20"/>
              </w:rPr>
            </w:pPr>
            <w:r>
              <w:rPr>
                <w:sz w:val="20"/>
              </w:rPr>
              <w:t>Measurement unit</w:t>
            </w:r>
          </w:p>
        </w:tc>
        <w:tc>
          <w:tcPr>
            <w:tcW w:w="1133" w:type="dxa"/>
          </w:tcPr>
          <w:p w14:paraId="2131BDC7" w14:textId="77777777" w:rsidR="00DD13BF" w:rsidRPr="008C23F9" w:rsidRDefault="00DD13BF" w:rsidP="00355A56">
            <w:pPr>
              <w:pStyle w:val="TableParagraph"/>
              <w:rPr>
                <w:sz w:val="20"/>
              </w:rPr>
            </w:pPr>
            <w:r>
              <w:rPr>
                <w:sz w:val="20"/>
              </w:rPr>
              <w:t>Baseline or reference value</w:t>
            </w:r>
          </w:p>
        </w:tc>
        <w:tc>
          <w:tcPr>
            <w:tcW w:w="992" w:type="dxa"/>
          </w:tcPr>
          <w:p w14:paraId="0C4A3704" w14:textId="77777777" w:rsidR="00DD13BF" w:rsidRPr="008C23F9" w:rsidRDefault="00DD13BF" w:rsidP="00355A56">
            <w:pPr>
              <w:pStyle w:val="TableParagraph"/>
              <w:rPr>
                <w:sz w:val="20"/>
              </w:rPr>
            </w:pPr>
            <w:r>
              <w:rPr>
                <w:sz w:val="20"/>
              </w:rPr>
              <w:t>Reference year</w:t>
            </w:r>
          </w:p>
        </w:tc>
        <w:tc>
          <w:tcPr>
            <w:tcW w:w="1279" w:type="dxa"/>
          </w:tcPr>
          <w:p w14:paraId="162D3F04" w14:textId="77777777" w:rsidR="00DD13BF" w:rsidRPr="008C23F9" w:rsidRDefault="00DD13BF" w:rsidP="00355A56">
            <w:pPr>
              <w:pStyle w:val="TableParagraph"/>
              <w:rPr>
                <w:sz w:val="20"/>
              </w:rPr>
            </w:pPr>
            <w:r>
              <w:rPr>
                <w:sz w:val="20"/>
              </w:rPr>
              <w:t>Target (2029)</w:t>
            </w:r>
          </w:p>
        </w:tc>
        <w:tc>
          <w:tcPr>
            <w:tcW w:w="850" w:type="dxa"/>
          </w:tcPr>
          <w:p w14:paraId="60D73685" w14:textId="77777777" w:rsidR="00DD13BF" w:rsidRPr="008C23F9" w:rsidRDefault="00DD13BF" w:rsidP="00355A56">
            <w:pPr>
              <w:pStyle w:val="TableParagraph"/>
              <w:rPr>
                <w:sz w:val="20"/>
              </w:rPr>
            </w:pPr>
            <w:r>
              <w:rPr>
                <w:sz w:val="20"/>
              </w:rPr>
              <w:t>Source of data</w:t>
            </w:r>
          </w:p>
        </w:tc>
        <w:tc>
          <w:tcPr>
            <w:tcW w:w="1276" w:type="dxa"/>
          </w:tcPr>
          <w:p w14:paraId="3B5383C1" w14:textId="77777777" w:rsidR="00DD13BF" w:rsidRPr="008C23F9" w:rsidRDefault="00DD13BF" w:rsidP="00355A56">
            <w:pPr>
              <w:pStyle w:val="TableParagraph"/>
              <w:rPr>
                <w:sz w:val="20"/>
              </w:rPr>
            </w:pPr>
            <w:r>
              <w:rPr>
                <w:sz w:val="20"/>
              </w:rPr>
              <w:t>Notes</w:t>
            </w:r>
          </w:p>
        </w:tc>
      </w:tr>
      <w:tr w:rsidR="00DD13BF" w:rsidRPr="008C23F9" w14:paraId="12B4E46C" w14:textId="77777777" w:rsidTr="00355A56">
        <w:trPr>
          <w:trHeight w:val="353"/>
        </w:trPr>
        <w:tc>
          <w:tcPr>
            <w:tcW w:w="967" w:type="dxa"/>
          </w:tcPr>
          <w:p w14:paraId="2338AD18" w14:textId="77777777" w:rsidR="00DD13BF" w:rsidRPr="008C23F9" w:rsidRDefault="00DD13BF" w:rsidP="00355A56">
            <w:pPr>
              <w:pStyle w:val="TableParagraph"/>
              <w:rPr>
                <w:sz w:val="20"/>
              </w:rPr>
            </w:pPr>
            <w:r>
              <w:rPr>
                <w:sz w:val="20"/>
              </w:rPr>
              <w:t>3</w:t>
            </w:r>
          </w:p>
        </w:tc>
        <w:tc>
          <w:tcPr>
            <w:tcW w:w="992" w:type="dxa"/>
          </w:tcPr>
          <w:p w14:paraId="50553A79" w14:textId="77777777" w:rsidR="00DD13BF" w:rsidRPr="008C23F9" w:rsidRDefault="00DD13BF" w:rsidP="00355A56">
            <w:pPr>
              <w:pStyle w:val="TableParagraph"/>
              <w:rPr>
                <w:sz w:val="20"/>
              </w:rPr>
            </w:pPr>
            <w:r>
              <w:rPr>
                <w:color w:val="000000"/>
                <w:sz w:val="20"/>
              </w:rPr>
              <w:t>RSO2.7</w:t>
            </w:r>
          </w:p>
        </w:tc>
        <w:tc>
          <w:tcPr>
            <w:tcW w:w="708" w:type="dxa"/>
          </w:tcPr>
          <w:p w14:paraId="70B11C1B" w14:textId="77777777" w:rsidR="00DD13BF" w:rsidRPr="008C23F9" w:rsidRDefault="00DD13BF" w:rsidP="00355A56">
            <w:pPr>
              <w:pStyle w:val="TableParagraph"/>
              <w:rPr>
                <w:sz w:val="20"/>
              </w:rPr>
            </w:pPr>
            <w:r>
              <w:rPr>
                <w:color w:val="000000"/>
                <w:sz w:val="20"/>
              </w:rPr>
              <w:t>CF</w:t>
            </w:r>
          </w:p>
        </w:tc>
        <w:tc>
          <w:tcPr>
            <w:tcW w:w="1570" w:type="dxa"/>
          </w:tcPr>
          <w:p w14:paraId="55902414" w14:textId="77777777" w:rsidR="00DD13BF" w:rsidRPr="008C23F9" w:rsidRDefault="00DD13BF" w:rsidP="00355A56">
            <w:pPr>
              <w:pStyle w:val="TableParagraph"/>
              <w:rPr>
                <w:sz w:val="20"/>
              </w:rPr>
            </w:pPr>
            <w:r>
              <w:rPr>
                <w:color w:val="000000"/>
                <w:sz w:val="20"/>
              </w:rPr>
              <w:t>Entire Slovenia</w:t>
            </w:r>
          </w:p>
        </w:tc>
        <w:tc>
          <w:tcPr>
            <w:tcW w:w="708" w:type="dxa"/>
          </w:tcPr>
          <w:p w14:paraId="15C4FF3D" w14:textId="77777777" w:rsidR="00DD13BF" w:rsidRPr="008C23F9" w:rsidRDefault="00DD13BF" w:rsidP="00355A56">
            <w:pPr>
              <w:pStyle w:val="TableParagraph"/>
              <w:rPr>
                <w:sz w:val="20"/>
              </w:rPr>
            </w:pPr>
            <w:r>
              <w:rPr>
                <w:color w:val="000000"/>
                <w:sz w:val="20"/>
              </w:rPr>
              <w:t>RCR50</w:t>
            </w:r>
          </w:p>
        </w:tc>
        <w:tc>
          <w:tcPr>
            <w:tcW w:w="2543" w:type="dxa"/>
          </w:tcPr>
          <w:p w14:paraId="4180972F" w14:textId="77777777" w:rsidR="00DD13BF" w:rsidRPr="008C23F9" w:rsidRDefault="00DD13BF" w:rsidP="00355A56">
            <w:pPr>
              <w:pStyle w:val="TableParagraph"/>
              <w:rPr>
                <w:sz w:val="20"/>
              </w:rPr>
            </w:pPr>
            <w:r>
              <w:rPr>
                <w:color w:val="000000"/>
                <w:sz w:val="20"/>
              </w:rPr>
              <w:t>Population benefiting from measures for air quality</w:t>
            </w:r>
          </w:p>
        </w:tc>
        <w:tc>
          <w:tcPr>
            <w:tcW w:w="707" w:type="dxa"/>
          </w:tcPr>
          <w:p w14:paraId="7D34BF9C" w14:textId="77777777" w:rsidR="00DD13BF" w:rsidRPr="008C23F9" w:rsidRDefault="00DD13BF" w:rsidP="00355A56">
            <w:pPr>
              <w:pStyle w:val="TableParagraph"/>
              <w:rPr>
                <w:sz w:val="20"/>
              </w:rPr>
            </w:pPr>
            <w:r>
              <w:rPr>
                <w:color w:val="000000"/>
                <w:sz w:val="20"/>
              </w:rPr>
              <w:t xml:space="preserve">Persons </w:t>
            </w:r>
          </w:p>
        </w:tc>
        <w:tc>
          <w:tcPr>
            <w:tcW w:w="1133" w:type="dxa"/>
          </w:tcPr>
          <w:p w14:paraId="6BA7C632" w14:textId="77777777" w:rsidR="00DD13BF" w:rsidRPr="008C23F9" w:rsidRDefault="00DD13BF" w:rsidP="00355A56">
            <w:pPr>
              <w:pStyle w:val="TableParagraph"/>
              <w:rPr>
                <w:sz w:val="20"/>
              </w:rPr>
            </w:pPr>
            <w:r>
              <w:rPr>
                <w:color w:val="000000"/>
                <w:sz w:val="20"/>
              </w:rPr>
              <w:t>0</w:t>
            </w:r>
          </w:p>
        </w:tc>
        <w:tc>
          <w:tcPr>
            <w:tcW w:w="992" w:type="dxa"/>
          </w:tcPr>
          <w:p w14:paraId="1E6B5631" w14:textId="77777777" w:rsidR="00DD13BF" w:rsidRPr="008C23F9" w:rsidRDefault="00DD13BF" w:rsidP="00355A56">
            <w:pPr>
              <w:pStyle w:val="TableParagraph"/>
              <w:rPr>
                <w:sz w:val="20"/>
              </w:rPr>
            </w:pPr>
            <w:r>
              <w:rPr>
                <w:sz w:val="20"/>
              </w:rPr>
              <w:t>2021</w:t>
            </w:r>
          </w:p>
        </w:tc>
        <w:tc>
          <w:tcPr>
            <w:tcW w:w="1279" w:type="dxa"/>
          </w:tcPr>
          <w:p w14:paraId="16D64A2E" w14:textId="77777777" w:rsidR="00DD13BF" w:rsidRPr="008C23F9" w:rsidRDefault="00DD13BF" w:rsidP="00355A56">
            <w:pPr>
              <w:pStyle w:val="TableParagraph"/>
              <w:rPr>
                <w:sz w:val="20"/>
              </w:rPr>
            </w:pPr>
            <w:r>
              <w:rPr>
                <w:color w:val="000000"/>
                <w:sz w:val="20"/>
              </w:rPr>
              <w:t>168,536</w:t>
            </w:r>
          </w:p>
        </w:tc>
        <w:tc>
          <w:tcPr>
            <w:tcW w:w="850" w:type="dxa"/>
          </w:tcPr>
          <w:p w14:paraId="35E878EA" w14:textId="77777777" w:rsidR="00DD13BF" w:rsidRPr="008C23F9" w:rsidRDefault="00DD13BF" w:rsidP="00355A56">
            <w:pPr>
              <w:pStyle w:val="TableParagraph"/>
              <w:rPr>
                <w:sz w:val="20"/>
              </w:rPr>
            </w:pPr>
            <w:r>
              <w:rPr>
                <w:color w:val="000000" w:themeColor="text1"/>
                <w:sz w:val="20"/>
              </w:rPr>
              <w:t>Beneficiary (according to SURS)</w:t>
            </w:r>
          </w:p>
        </w:tc>
        <w:tc>
          <w:tcPr>
            <w:tcW w:w="1276" w:type="dxa"/>
            <w:vAlign w:val="bottom"/>
          </w:tcPr>
          <w:p w14:paraId="3273774F" w14:textId="77777777" w:rsidR="00DD13BF" w:rsidRPr="008C23F9" w:rsidRDefault="00DD13BF" w:rsidP="00355A56">
            <w:pPr>
              <w:pStyle w:val="TableParagraph"/>
              <w:rPr>
                <w:sz w:val="18"/>
                <w:szCs w:val="18"/>
              </w:rPr>
            </w:pPr>
            <w:r>
              <w:rPr>
                <w:color w:val="000000"/>
                <w:sz w:val="18"/>
              </w:rPr>
              <w:t>No. residents who live in the municipalities where new devices will be installed</w:t>
            </w:r>
          </w:p>
        </w:tc>
      </w:tr>
      <w:tr w:rsidR="00DD13BF" w:rsidRPr="008C23F9" w14:paraId="7F050DC4" w14:textId="77777777" w:rsidTr="00355A56">
        <w:trPr>
          <w:trHeight w:val="353"/>
        </w:trPr>
        <w:tc>
          <w:tcPr>
            <w:tcW w:w="967" w:type="dxa"/>
          </w:tcPr>
          <w:p w14:paraId="40ABCB17" w14:textId="77777777" w:rsidR="00DD13BF" w:rsidRPr="008C23F9" w:rsidRDefault="00DD13BF" w:rsidP="00355A56">
            <w:pPr>
              <w:pStyle w:val="TableParagraph"/>
              <w:rPr>
                <w:sz w:val="20"/>
              </w:rPr>
            </w:pPr>
            <w:r>
              <w:rPr>
                <w:sz w:val="20"/>
              </w:rPr>
              <w:t>3</w:t>
            </w:r>
          </w:p>
        </w:tc>
        <w:tc>
          <w:tcPr>
            <w:tcW w:w="992" w:type="dxa"/>
          </w:tcPr>
          <w:p w14:paraId="199B129D" w14:textId="77777777" w:rsidR="00DD13BF" w:rsidRPr="008C23F9" w:rsidRDefault="00DD13BF" w:rsidP="00355A56">
            <w:pPr>
              <w:pStyle w:val="TableParagraph"/>
              <w:rPr>
                <w:sz w:val="20"/>
              </w:rPr>
            </w:pPr>
            <w:r>
              <w:rPr>
                <w:color w:val="000000"/>
                <w:sz w:val="20"/>
              </w:rPr>
              <w:t>RSO2.7</w:t>
            </w:r>
          </w:p>
        </w:tc>
        <w:tc>
          <w:tcPr>
            <w:tcW w:w="708" w:type="dxa"/>
          </w:tcPr>
          <w:p w14:paraId="6D25E208" w14:textId="77777777" w:rsidR="00DD13BF" w:rsidRPr="008C23F9" w:rsidRDefault="00DD13BF" w:rsidP="00355A56">
            <w:pPr>
              <w:pStyle w:val="TableParagraph"/>
              <w:rPr>
                <w:sz w:val="20"/>
              </w:rPr>
            </w:pPr>
            <w:r>
              <w:rPr>
                <w:color w:val="000000"/>
                <w:sz w:val="20"/>
              </w:rPr>
              <w:t>ERDF</w:t>
            </w:r>
          </w:p>
        </w:tc>
        <w:tc>
          <w:tcPr>
            <w:tcW w:w="1570" w:type="dxa"/>
          </w:tcPr>
          <w:p w14:paraId="615D344E" w14:textId="77777777" w:rsidR="00DD13BF" w:rsidRPr="008C23F9" w:rsidRDefault="00DD13BF" w:rsidP="00355A56">
            <w:pPr>
              <w:pStyle w:val="TableParagraph"/>
              <w:rPr>
                <w:sz w:val="20"/>
              </w:rPr>
            </w:pPr>
            <w:r>
              <w:rPr>
                <w:color w:val="000000"/>
                <w:sz w:val="20"/>
              </w:rPr>
              <w:t>Less developed</w:t>
            </w:r>
          </w:p>
        </w:tc>
        <w:tc>
          <w:tcPr>
            <w:tcW w:w="708" w:type="dxa"/>
          </w:tcPr>
          <w:p w14:paraId="4FAC87A6" w14:textId="77777777" w:rsidR="00DD13BF" w:rsidRPr="008C23F9" w:rsidRDefault="00DD13BF" w:rsidP="00355A56">
            <w:pPr>
              <w:pStyle w:val="TableParagraph"/>
              <w:rPr>
                <w:sz w:val="20"/>
              </w:rPr>
            </w:pPr>
            <w:r>
              <w:rPr>
                <w:color w:val="000000"/>
                <w:sz w:val="20"/>
              </w:rPr>
              <w:t>RCR95</w:t>
            </w:r>
          </w:p>
        </w:tc>
        <w:tc>
          <w:tcPr>
            <w:tcW w:w="2543" w:type="dxa"/>
          </w:tcPr>
          <w:p w14:paraId="28DCDA0D" w14:textId="77777777" w:rsidR="00DD13BF" w:rsidRPr="008C23F9" w:rsidRDefault="00DD13BF" w:rsidP="00355A56">
            <w:pPr>
              <w:pStyle w:val="TableParagraph"/>
              <w:rPr>
                <w:sz w:val="20"/>
              </w:rPr>
            </w:pPr>
            <w:r>
              <w:rPr>
                <w:color w:val="000000"/>
                <w:sz w:val="20"/>
              </w:rPr>
              <w:t>Population having access to new or improved green infrastructure</w:t>
            </w:r>
          </w:p>
        </w:tc>
        <w:tc>
          <w:tcPr>
            <w:tcW w:w="707" w:type="dxa"/>
          </w:tcPr>
          <w:p w14:paraId="3BA5EA08" w14:textId="77777777" w:rsidR="00DD13BF" w:rsidRPr="008C23F9" w:rsidRDefault="00DD13BF" w:rsidP="00355A56">
            <w:pPr>
              <w:pStyle w:val="TableParagraph"/>
              <w:rPr>
                <w:sz w:val="20"/>
              </w:rPr>
            </w:pPr>
            <w:r>
              <w:rPr>
                <w:color w:val="000000"/>
                <w:sz w:val="20"/>
              </w:rPr>
              <w:t xml:space="preserve">Persons </w:t>
            </w:r>
          </w:p>
        </w:tc>
        <w:tc>
          <w:tcPr>
            <w:tcW w:w="1133" w:type="dxa"/>
          </w:tcPr>
          <w:p w14:paraId="67100F6B" w14:textId="77777777" w:rsidR="00DD13BF" w:rsidRPr="008C23F9" w:rsidRDefault="00DD13BF" w:rsidP="00355A56">
            <w:pPr>
              <w:pStyle w:val="TableParagraph"/>
              <w:rPr>
                <w:sz w:val="20"/>
              </w:rPr>
            </w:pPr>
            <w:r>
              <w:rPr>
                <w:sz w:val="20"/>
              </w:rPr>
              <w:t>0</w:t>
            </w:r>
          </w:p>
        </w:tc>
        <w:tc>
          <w:tcPr>
            <w:tcW w:w="992" w:type="dxa"/>
          </w:tcPr>
          <w:p w14:paraId="6E2C65E4" w14:textId="77777777" w:rsidR="00DD13BF" w:rsidRPr="008C23F9" w:rsidRDefault="00DD13BF" w:rsidP="00355A56">
            <w:pPr>
              <w:pStyle w:val="TableParagraph"/>
              <w:rPr>
                <w:sz w:val="20"/>
              </w:rPr>
            </w:pPr>
            <w:r>
              <w:rPr>
                <w:sz w:val="20"/>
              </w:rPr>
              <w:t>2021</w:t>
            </w:r>
          </w:p>
        </w:tc>
        <w:tc>
          <w:tcPr>
            <w:tcW w:w="1279" w:type="dxa"/>
          </w:tcPr>
          <w:p w14:paraId="384DDCDB" w14:textId="77777777" w:rsidR="00DD13BF" w:rsidRPr="003764EA" w:rsidRDefault="00DD13BF" w:rsidP="00355A56">
            <w:pPr>
              <w:pStyle w:val="TableParagraph"/>
              <w:rPr>
                <w:sz w:val="20"/>
              </w:rPr>
            </w:pPr>
            <w:r>
              <w:rPr>
                <w:sz w:val="20"/>
              </w:rPr>
              <w:t>146,000</w:t>
            </w:r>
          </w:p>
        </w:tc>
        <w:tc>
          <w:tcPr>
            <w:tcW w:w="850" w:type="dxa"/>
          </w:tcPr>
          <w:p w14:paraId="1E1E8F4F" w14:textId="77777777" w:rsidR="00DD13BF" w:rsidRPr="003764EA" w:rsidRDefault="00DD13BF" w:rsidP="00355A56">
            <w:pPr>
              <w:pStyle w:val="TableParagraph"/>
              <w:rPr>
                <w:sz w:val="20"/>
              </w:rPr>
            </w:pPr>
            <w:r>
              <w:rPr>
                <w:sz w:val="20"/>
              </w:rPr>
              <w:t>SURS</w:t>
            </w:r>
          </w:p>
        </w:tc>
        <w:tc>
          <w:tcPr>
            <w:tcW w:w="1276" w:type="dxa"/>
          </w:tcPr>
          <w:p w14:paraId="156C83B2" w14:textId="77777777" w:rsidR="00DD13BF" w:rsidRPr="008C23F9" w:rsidRDefault="00DD13BF" w:rsidP="00355A56">
            <w:pPr>
              <w:pStyle w:val="TableParagraph"/>
              <w:rPr>
                <w:sz w:val="18"/>
                <w:szCs w:val="18"/>
              </w:rPr>
            </w:pPr>
            <w:r>
              <w:rPr>
                <w:sz w:val="18"/>
              </w:rPr>
              <w:t xml:space="preserve">Assessment based on the MOP </w:t>
            </w:r>
            <w:r>
              <w:rPr>
                <w:sz w:val="18"/>
              </w:rPr>
              <w:lastRenderedPageBreak/>
              <w:t>methodology</w:t>
            </w:r>
          </w:p>
        </w:tc>
      </w:tr>
      <w:tr w:rsidR="00DD13BF" w:rsidRPr="008C23F9" w14:paraId="2554BAF5" w14:textId="77777777" w:rsidTr="00355A56">
        <w:trPr>
          <w:trHeight w:val="353"/>
        </w:trPr>
        <w:tc>
          <w:tcPr>
            <w:tcW w:w="967" w:type="dxa"/>
          </w:tcPr>
          <w:p w14:paraId="7FEE0AB1" w14:textId="77777777" w:rsidR="00DD13BF" w:rsidRPr="008C23F9" w:rsidRDefault="00DD13BF" w:rsidP="00355A56">
            <w:pPr>
              <w:pStyle w:val="TableParagraph"/>
              <w:rPr>
                <w:sz w:val="20"/>
              </w:rPr>
            </w:pPr>
            <w:r>
              <w:rPr>
                <w:sz w:val="20"/>
              </w:rPr>
              <w:lastRenderedPageBreak/>
              <w:t>3</w:t>
            </w:r>
          </w:p>
        </w:tc>
        <w:tc>
          <w:tcPr>
            <w:tcW w:w="992" w:type="dxa"/>
          </w:tcPr>
          <w:p w14:paraId="6A1D171E" w14:textId="77777777" w:rsidR="00DD13BF" w:rsidRPr="008C23F9" w:rsidRDefault="00DD13BF" w:rsidP="00355A56">
            <w:pPr>
              <w:pStyle w:val="TableParagraph"/>
              <w:rPr>
                <w:sz w:val="20"/>
              </w:rPr>
            </w:pPr>
            <w:r>
              <w:rPr>
                <w:color w:val="000000"/>
                <w:sz w:val="20"/>
              </w:rPr>
              <w:t>RSO2.7</w:t>
            </w:r>
          </w:p>
        </w:tc>
        <w:tc>
          <w:tcPr>
            <w:tcW w:w="708" w:type="dxa"/>
          </w:tcPr>
          <w:p w14:paraId="790CCC9C" w14:textId="77777777" w:rsidR="00DD13BF" w:rsidRPr="008C23F9" w:rsidRDefault="00DD13BF" w:rsidP="00355A56">
            <w:pPr>
              <w:pStyle w:val="TableParagraph"/>
              <w:rPr>
                <w:sz w:val="20"/>
              </w:rPr>
            </w:pPr>
            <w:r>
              <w:rPr>
                <w:color w:val="000000"/>
                <w:sz w:val="20"/>
              </w:rPr>
              <w:t>ERDF</w:t>
            </w:r>
          </w:p>
        </w:tc>
        <w:tc>
          <w:tcPr>
            <w:tcW w:w="1570" w:type="dxa"/>
          </w:tcPr>
          <w:p w14:paraId="7B128064" w14:textId="77777777" w:rsidR="00DD13BF" w:rsidRPr="008C23F9" w:rsidRDefault="00DD13BF" w:rsidP="00355A56">
            <w:pPr>
              <w:pStyle w:val="TableParagraph"/>
              <w:rPr>
                <w:color w:val="000000"/>
                <w:sz w:val="20"/>
              </w:rPr>
            </w:pPr>
            <w:r>
              <w:rPr>
                <w:color w:val="000000"/>
                <w:sz w:val="20"/>
              </w:rPr>
              <w:t>More developed</w:t>
            </w:r>
          </w:p>
        </w:tc>
        <w:tc>
          <w:tcPr>
            <w:tcW w:w="708" w:type="dxa"/>
          </w:tcPr>
          <w:p w14:paraId="0FD4891F" w14:textId="77777777" w:rsidR="00DD13BF" w:rsidRPr="008C23F9" w:rsidRDefault="00DD13BF" w:rsidP="00355A56">
            <w:pPr>
              <w:pStyle w:val="TableParagraph"/>
              <w:rPr>
                <w:sz w:val="20"/>
              </w:rPr>
            </w:pPr>
            <w:r>
              <w:rPr>
                <w:color w:val="000000"/>
                <w:sz w:val="20"/>
              </w:rPr>
              <w:t>RCR95</w:t>
            </w:r>
          </w:p>
        </w:tc>
        <w:tc>
          <w:tcPr>
            <w:tcW w:w="2543" w:type="dxa"/>
          </w:tcPr>
          <w:p w14:paraId="679D296D" w14:textId="77777777" w:rsidR="00DD13BF" w:rsidRPr="008C23F9" w:rsidRDefault="00DD13BF" w:rsidP="00355A56">
            <w:pPr>
              <w:pStyle w:val="TableParagraph"/>
              <w:rPr>
                <w:sz w:val="20"/>
              </w:rPr>
            </w:pPr>
            <w:r>
              <w:rPr>
                <w:color w:val="000000"/>
                <w:sz w:val="20"/>
              </w:rPr>
              <w:t>Population having access to new or improved green infrastructure</w:t>
            </w:r>
          </w:p>
        </w:tc>
        <w:tc>
          <w:tcPr>
            <w:tcW w:w="707" w:type="dxa"/>
          </w:tcPr>
          <w:p w14:paraId="134B1929" w14:textId="77777777" w:rsidR="00DD13BF" w:rsidRPr="008C23F9" w:rsidRDefault="00DD13BF" w:rsidP="00355A56">
            <w:pPr>
              <w:pStyle w:val="TableParagraph"/>
              <w:rPr>
                <w:sz w:val="20"/>
              </w:rPr>
            </w:pPr>
            <w:r>
              <w:rPr>
                <w:color w:val="000000"/>
                <w:sz w:val="20"/>
              </w:rPr>
              <w:t xml:space="preserve">Persons </w:t>
            </w:r>
          </w:p>
        </w:tc>
        <w:tc>
          <w:tcPr>
            <w:tcW w:w="1133" w:type="dxa"/>
          </w:tcPr>
          <w:p w14:paraId="4310F636" w14:textId="77777777" w:rsidR="00DD13BF" w:rsidRPr="008C23F9" w:rsidRDefault="00DD13BF" w:rsidP="00355A56">
            <w:pPr>
              <w:pStyle w:val="TableParagraph"/>
              <w:rPr>
                <w:sz w:val="20"/>
              </w:rPr>
            </w:pPr>
            <w:r>
              <w:rPr>
                <w:sz w:val="20"/>
              </w:rPr>
              <w:t>0</w:t>
            </w:r>
          </w:p>
        </w:tc>
        <w:tc>
          <w:tcPr>
            <w:tcW w:w="992" w:type="dxa"/>
          </w:tcPr>
          <w:p w14:paraId="7CC257EB" w14:textId="77777777" w:rsidR="00DD13BF" w:rsidRPr="008C23F9" w:rsidRDefault="00DD13BF" w:rsidP="00355A56">
            <w:pPr>
              <w:pStyle w:val="TableParagraph"/>
              <w:rPr>
                <w:sz w:val="20"/>
              </w:rPr>
            </w:pPr>
            <w:r>
              <w:rPr>
                <w:sz w:val="20"/>
              </w:rPr>
              <w:t>2021</w:t>
            </w:r>
          </w:p>
        </w:tc>
        <w:tc>
          <w:tcPr>
            <w:tcW w:w="1279" w:type="dxa"/>
          </w:tcPr>
          <w:p w14:paraId="46B3DE90" w14:textId="77777777" w:rsidR="00DD13BF" w:rsidRPr="003764EA" w:rsidRDefault="00DD13BF" w:rsidP="00355A56">
            <w:pPr>
              <w:pStyle w:val="TableParagraph"/>
              <w:rPr>
                <w:sz w:val="20"/>
              </w:rPr>
            </w:pPr>
            <w:r>
              <w:rPr>
                <w:sz w:val="20"/>
              </w:rPr>
              <w:t>95,000</w:t>
            </w:r>
          </w:p>
        </w:tc>
        <w:tc>
          <w:tcPr>
            <w:tcW w:w="850" w:type="dxa"/>
          </w:tcPr>
          <w:p w14:paraId="7D6E0E74" w14:textId="77777777" w:rsidR="00DD13BF" w:rsidRPr="003764EA" w:rsidRDefault="00DD13BF" w:rsidP="00355A56">
            <w:pPr>
              <w:pStyle w:val="TableParagraph"/>
              <w:rPr>
                <w:sz w:val="20"/>
              </w:rPr>
            </w:pPr>
            <w:r>
              <w:rPr>
                <w:sz w:val="20"/>
              </w:rPr>
              <w:t>SURS</w:t>
            </w:r>
          </w:p>
        </w:tc>
        <w:tc>
          <w:tcPr>
            <w:tcW w:w="1276" w:type="dxa"/>
          </w:tcPr>
          <w:p w14:paraId="022D77AC" w14:textId="77777777" w:rsidR="00DD13BF" w:rsidRPr="008C23F9" w:rsidRDefault="00DD13BF" w:rsidP="00355A56">
            <w:pPr>
              <w:pStyle w:val="TableParagraph"/>
              <w:rPr>
                <w:sz w:val="18"/>
                <w:szCs w:val="18"/>
              </w:rPr>
            </w:pPr>
            <w:r>
              <w:rPr>
                <w:sz w:val="18"/>
              </w:rPr>
              <w:t>Assessment based on the MOP methodology</w:t>
            </w:r>
          </w:p>
        </w:tc>
      </w:tr>
      <w:tr w:rsidR="00DD13BF" w14:paraId="74A88976" w14:textId="77777777" w:rsidTr="00355A56">
        <w:trPr>
          <w:trHeight w:val="353"/>
        </w:trPr>
        <w:tc>
          <w:tcPr>
            <w:tcW w:w="967" w:type="dxa"/>
          </w:tcPr>
          <w:p w14:paraId="3E9508B2" w14:textId="77777777" w:rsidR="00DD13BF" w:rsidRDefault="00DD13BF" w:rsidP="00355A56">
            <w:pPr>
              <w:pStyle w:val="TableParagraph"/>
              <w:rPr>
                <w:sz w:val="20"/>
              </w:rPr>
            </w:pPr>
            <w:r>
              <w:rPr>
                <w:sz w:val="20"/>
              </w:rPr>
              <w:t>3</w:t>
            </w:r>
          </w:p>
        </w:tc>
        <w:tc>
          <w:tcPr>
            <w:tcW w:w="992" w:type="dxa"/>
          </w:tcPr>
          <w:p w14:paraId="767B6E46" w14:textId="77777777" w:rsidR="00DD13BF" w:rsidRDefault="00DD13BF" w:rsidP="00355A56">
            <w:pPr>
              <w:pStyle w:val="TableParagraph"/>
              <w:rPr>
                <w:sz w:val="20"/>
              </w:rPr>
            </w:pPr>
            <w:r>
              <w:rPr>
                <w:color w:val="000000"/>
                <w:sz w:val="20"/>
              </w:rPr>
              <w:t>RSO2.7</w:t>
            </w:r>
          </w:p>
        </w:tc>
        <w:tc>
          <w:tcPr>
            <w:tcW w:w="708" w:type="dxa"/>
          </w:tcPr>
          <w:p w14:paraId="78427CEC" w14:textId="77777777" w:rsidR="00DD13BF" w:rsidRDefault="00DD13BF" w:rsidP="00355A56">
            <w:pPr>
              <w:pStyle w:val="TableParagraph"/>
              <w:rPr>
                <w:sz w:val="20"/>
              </w:rPr>
            </w:pPr>
            <w:r>
              <w:rPr>
                <w:color w:val="000000" w:themeColor="text1"/>
                <w:sz w:val="20"/>
              </w:rPr>
              <w:t>ERDF</w:t>
            </w:r>
          </w:p>
        </w:tc>
        <w:tc>
          <w:tcPr>
            <w:tcW w:w="1570" w:type="dxa"/>
          </w:tcPr>
          <w:p w14:paraId="29BF4F90" w14:textId="77777777" w:rsidR="00DD13BF" w:rsidRDefault="00DD13BF" w:rsidP="00355A56">
            <w:pPr>
              <w:pStyle w:val="TableParagraph"/>
              <w:rPr>
                <w:sz w:val="20"/>
              </w:rPr>
            </w:pPr>
            <w:r>
              <w:rPr>
                <w:color w:val="000000" w:themeColor="text1"/>
                <w:sz w:val="20"/>
              </w:rPr>
              <w:t>Less developed</w:t>
            </w:r>
          </w:p>
        </w:tc>
        <w:tc>
          <w:tcPr>
            <w:tcW w:w="708" w:type="dxa"/>
          </w:tcPr>
          <w:p w14:paraId="2B5C1B75" w14:textId="77777777" w:rsidR="00DD13BF" w:rsidRDefault="00DD13BF" w:rsidP="00355A56">
            <w:pPr>
              <w:pStyle w:val="TableParagraph"/>
              <w:rPr>
                <w:color w:val="000000" w:themeColor="text1"/>
                <w:sz w:val="20"/>
              </w:rPr>
            </w:pPr>
            <w:r>
              <w:rPr>
                <w:color w:val="000000" w:themeColor="text1"/>
                <w:sz w:val="20"/>
              </w:rPr>
              <w:t>3</w:t>
            </w:r>
          </w:p>
        </w:tc>
        <w:tc>
          <w:tcPr>
            <w:tcW w:w="2543" w:type="dxa"/>
          </w:tcPr>
          <w:p w14:paraId="079630AC" w14:textId="77777777" w:rsidR="00DD13BF" w:rsidRDefault="00DD13BF" w:rsidP="00355A56">
            <w:pPr>
              <w:pStyle w:val="TableParagraph"/>
              <w:rPr>
                <w:color w:val="000000" w:themeColor="text1"/>
                <w:sz w:val="20"/>
              </w:rPr>
            </w:pPr>
            <w:r>
              <w:rPr>
                <w:color w:val="000000" w:themeColor="text1"/>
                <w:sz w:val="20"/>
              </w:rPr>
              <w:t>At least 50% of the target species and habitat types from the list of priority projects (and 75% from each project) specified in the Natura 2000 Management Programme must improve their conservation status</w:t>
            </w:r>
          </w:p>
        </w:tc>
        <w:tc>
          <w:tcPr>
            <w:tcW w:w="707" w:type="dxa"/>
          </w:tcPr>
          <w:p w14:paraId="27D5EFCE" w14:textId="77777777" w:rsidR="00DD13BF" w:rsidRDefault="00DD13BF" w:rsidP="00355A56">
            <w:pPr>
              <w:pStyle w:val="TableParagraph"/>
              <w:rPr>
                <w:color w:val="000000" w:themeColor="text1"/>
                <w:sz w:val="20"/>
              </w:rPr>
            </w:pPr>
            <w:r>
              <w:rPr>
                <w:color w:val="000000" w:themeColor="text1"/>
                <w:sz w:val="20"/>
              </w:rPr>
              <w:t xml:space="preserve">Total “units” in poor condition </w:t>
            </w:r>
          </w:p>
        </w:tc>
        <w:tc>
          <w:tcPr>
            <w:tcW w:w="1133" w:type="dxa"/>
          </w:tcPr>
          <w:p w14:paraId="555D89F3" w14:textId="77777777" w:rsidR="00DD13BF" w:rsidRDefault="00DD13BF" w:rsidP="00355A56">
            <w:pPr>
              <w:pStyle w:val="TableParagraph"/>
              <w:rPr>
                <w:sz w:val="20"/>
              </w:rPr>
            </w:pPr>
            <w:r>
              <w:rPr>
                <w:sz w:val="20"/>
              </w:rPr>
              <w:t>180</w:t>
            </w:r>
          </w:p>
        </w:tc>
        <w:tc>
          <w:tcPr>
            <w:tcW w:w="992" w:type="dxa"/>
          </w:tcPr>
          <w:p w14:paraId="00822080" w14:textId="77777777" w:rsidR="00DD13BF" w:rsidRDefault="00DD13BF" w:rsidP="00355A56">
            <w:pPr>
              <w:pStyle w:val="TableParagraph"/>
              <w:rPr>
                <w:sz w:val="20"/>
              </w:rPr>
            </w:pPr>
            <w:r>
              <w:rPr>
                <w:sz w:val="20"/>
              </w:rPr>
              <w:t>2020</w:t>
            </w:r>
          </w:p>
        </w:tc>
        <w:tc>
          <w:tcPr>
            <w:tcW w:w="1279" w:type="dxa"/>
          </w:tcPr>
          <w:p w14:paraId="1B256D39" w14:textId="77777777" w:rsidR="00DD13BF" w:rsidRPr="003764EA" w:rsidRDefault="00DD13BF" w:rsidP="00355A56">
            <w:pPr>
              <w:pStyle w:val="TableParagraph"/>
              <w:rPr>
                <w:sz w:val="20"/>
              </w:rPr>
            </w:pPr>
            <w:r>
              <w:rPr>
                <w:sz w:val="20"/>
              </w:rPr>
              <w:t>90</w:t>
            </w:r>
          </w:p>
        </w:tc>
        <w:tc>
          <w:tcPr>
            <w:tcW w:w="850" w:type="dxa"/>
          </w:tcPr>
          <w:p w14:paraId="05DBE952" w14:textId="77777777" w:rsidR="00DD13BF" w:rsidRPr="003764EA" w:rsidRDefault="00DD13BF" w:rsidP="00355A56">
            <w:pPr>
              <w:pStyle w:val="TableParagraph"/>
              <w:rPr>
                <w:sz w:val="20"/>
              </w:rPr>
            </w:pPr>
            <w:r>
              <w:rPr>
                <w:sz w:val="20"/>
              </w:rPr>
              <w:t xml:space="preserve">Natura 2000 standard form; Natura 2000 Management Programme for the 2022–2028 period (NMP) </w:t>
            </w:r>
          </w:p>
        </w:tc>
        <w:tc>
          <w:tcPr>
            <w:tcW w:w="1276" w:type="dxa"/>
          </w:tcPr>
          <w:p w14:paraId="6092A3F3" w14:textId="77777777" w:rsidR="00DD13BF" w:rsidRDefault="00DD13BF" w:rsidP="00355A56">
            <w:pPr>
              <w:pStyle w:val="TableParagraph"/>
              <w:rPr>
                <w:sz w:val="18"/>
                <w:szCs w:val="18"/>
              </w:rPr>
            </w:pPr>
            <w:r>
              <w:rPr>
                <w:sz w:val="18"/>
              </w:rPr>
              <w:t>At least 50% of the target species and habitat types from the list of priority projects (and 75% from individual measuring project) specified in the Natura 2000 Management Programme must improve their conservation status</w:t>
            </w:r>
          </w:p>
        </w:tc>
      </w:tr>
      <w:tr w:rsidR="00DD13BF" w14:paraId="488A05DE" w14:textId="77777777" w:rsidTr="00355A56">
        <w:trPr>
          <w:trHeight w:val="353"/>
        </w:trPr>
        <w:tc>
          <w:tcPr>
            <w:tcW w:w="967" w:type="dxa"/>
          </w:tcPr>
          <w:p w14:paraId="00AE76D9" w14:textId="77777777" w:rsidR="00DD13BF" w:rsidRDefault="00DD13BF" w:rsidP="00355A56">
            <w:pPr>
              <w:pStyle w:val="TableParagraph"/>
              <w:rPr>
                <w:sz w:val="20"/>
              </w:rPr>
            </w:pPr>
            <w:r>
              <w:rPr>
                <w:sz w:val="20"/>
              </w:rPr>
              <w:t>3</w:t>
            </w:r>
          </w:p>
        </w:tc>
        <w:tc>
          <w:tcPr>
            <w:tcW w:w="992" w:type="dxa"/>
          </w:tcPr>
          <w:p w14:paraId="4012036D" w14:textId="77777777" w:rsidR="00DD13BF" w:rsidRDefault="00DD13BF" w:rsidP="00355A56">
            <w:pPr>
              <w:pStyle w:val="TableParagraph"/>
              <w:rPr>
                <w:sz w:val="20"/>
              </w:rPr>
            </w:pPr>
            <w:r>
              <w:rPr>
                <w:color w:val="000000"/>
                <w:sz w:val="20"/>
              </w:rPr>
              <w:t>RSO2.7</w:t>
            </w:r>
          </w:p>
        </w:tc>
        <w:tc>
          <w:tcPr>
            <w:tcW w:w="708" w:type="dxa"/>
          </w:tcPr>
          <w:p w14:paraId="0E1A46F7" w14:textId="77777777" w:rsidR="00DD13BF" w:rsidRDefault="00DD13BF" w:rsidP="00355A56">
            <w:pPr>
              <w:pStyle w:val="TableParagraph"/>
              <w:rPr>
                <w:color w:val="000000" w:themeColor="text1"/>
                <w:sz w:val="20"/>
              </w:rPr>
            </w:pPr>
            <w:r>
              <w:rPr>
                <w:color w:val="000000" w:themeColor="text1"/>
                <w:sz w:val="20"/>
              </w:rPr>
              <w:t>ERDF</w:t>
            </w:r>
          </w:p>
        </w:tc>
        <w:tc>
          <w:tcPr>
            <w:tcW w:w="1570" w:type="dxa"/>
          </w:tcPr>
          <w:p w14:paraId="212132EC" w14:textId="77777777" w:rsidR="00DD13BF" w:rsidRDefault="00DD13BF" w:rsidP="00355A56">
            <w:pPr>
              <w:pStyle w:val="TableParagraph"/>
              <w:rPr>
                <w:color w:val="000000" w:themeColor="text1"/>
                <w:sz w:val="20"/>
              </w:rPr>
            </w:pPr>
            <w:r>
              <w:rPr>
                <w:color w:val="000000" w:themeColor="text1"/>
                <w:sz w:val="20"/>
              </w:rPr>
              <w:t>More developed</w:t>
            </w:r>
          </w:p>
        </w:tc>
        <w:tc>
          <w:tcPr>
            <w:tcW w:w="708" w:type="dxa"/>
          </w:tcPr>
          <w:p w14:paraId="11AB3C43" w14:textId="77777777" w:rsidR="00DD13BF" w:rsidRDefault="00DD13BF" w:rsidP="00355A56">
            <w:pPr>
              <w:pStyle w:val="TableParagraph"/>
              <w:rPr>
                <w:color w:val="000000" w:themeColor="text1"/>
                <w:sz w:val="20"/>
              </w:rPr>
            </w:pPr>
            <w:r>
              <w:rPr>
                <w:color w:val="000000" w:themeColor="text1"/>
                <w:sz w:val="20"/>
              </w:rPr>
              <w:t>3</w:t>
            </w:r>
          </w:p>
        </w:tc>
        <w:tc>
          <w:tcPr>
            <w:tcW w:w="2543" w:type="dxa"/>
          </w:tcPr>
          <w:p w14:paraId="7133967A" w14:textId="77777777" w:rsidR="00DD13BF" w:rsidRDefault="00DD13BF" w:rsidP="00355A56">
            <w:pPr>
              <w:pStyle w:val="TableParagraph"/>
              <w:rPr>
                <w:color w:val="000000" w:themeColor="text1"/>
                <w:sz w:val="20"/>
              </w:rPr>
            </w:pPr>
            <w:r>
              <w:rPr>
                <w:color w:val="000000" w:themeColor="text1"/>
                <w:sz w:val="20"/>
              </w:rPr>
              <w:t>At least 50% of the target species and habitat types from the list of priority projects (and 75% from each project) specified in the Natura 2000 Management Programme must improve their conservation status</w:t>
            </w:r>
          </w:p>
        </w:tc>
        <w:tc>
          <w:tcPr>
            <w:tcW w:w="707" w:type="dxa"/>
          </w:tcPr>
          <w:p w14:paraId="6320B2BD" w14:textId="77777777" w:rsidR="00DD13BF" w:rsidRDefault="00DD13BF" w:rsidP="00355A56">
            <w:pPr>
              <w:pStyle w:val="TableParagraph"/>
              <w:rPr>
                <w:color w:val="000000" w:themeColor="text1"/>
                <w:sz w:val="20"/>
              </w:rPr>
            </w:pPr>
            <w:r>
              <w:rPr>
                <w:color w:val="000000" w:themeColor="text1"/>
                <w:sz w:val="20"/>
              </w:rPr>
              <w:t xml:space="preserve">Total “units” in poor condition </w:t>
            </w:r>
          </w:p>
        </w:tc>
        <w:tc>
          <w:tcPr>
            <w:tcW w:w="1133" w:type="dxa"/>
          </w:tcPr>
          <w:p w14:paraId="7875F691" w14:textId="77777777" w:rsidR="00DD13BF" w:rsidRDefault="00DD13BF" w:rsidP="00355A56">
            <w:pPr>
              <w:pStyle w:val="TableParagraph"/>
              <w:rPr>
                <w:sz w:val="20"/>
              </w:rPr>
            </w:pPr>
            <w:r>
              <w:rPr>
                <w:sz w:val="20"/>
              </w:rPr>
              <w:t>100</w:t>
            </w:r>
          </w:p>
        </w:tc>
        <w:tc>
          <w:tcPr>
            <w:tcW w:w="992" w:type="dxa"/>
          </w:tcPr>
          <w:p w14:paraId="608106D2" w14:textId="77777777" w:rsidR="00DD13BF" w:rsidRDefault="00DD13BF" w:rsidP="00355A56">
            <w:pPr>
              <w:pStyle w:val="TableParagraph"/>
              <w:rPr>
                <w:sz w:val="20"/>
              </w:rPr>
            </w:pPr>
            <w:r>
              <w:rPr>
                <w:sz w:val="20"/>
              </w:rPr>
              <w:t>2020</w:t>
            </w:r>
          </w:p>
        </w:tc>
        <w:tc>
          <w:tcPr>
            <w:tcW w:w="1279" w:type="dxa"/>
          </w:tcPr>
          <w:p w14:paraId="50EF80BA" w14:textId="77777777" w:rsidR="00DD13BF" w:rsidRPr="003764EA" w:rsidRDefault="00DD13BF" w:rsidP="00355A56">
            <w:pPr>
              <w:pStyle w:val="TableParagraph"/>
              <w:rPr>
                <w:sz w:val="20"/>
              </w:rPr>
            </w:pPr>
            <w:r>
              <w:rPr>
                <w:sz w:val="20"/>
              </w:rPr>
              <w:t>50</w:t>
            </w:r>
          </w:p>
        </w:tc>
        <w:tc>
          <w:tcPr>
            <w:tcW w:w="850" w:type="dxa"/>
          </w:tcPr>
          <w:p w14:paraId="0F2A42A1" w14:textId="77777777" w:rsidR="00DD13BF" w:rsidRPr="003764EA" w:rsidRDefault="00DD13BF" w:rsidP="00355A56">
            <w:pPr>
              <w:pStyle w:val="TableParagraph"/>
              <w:rPr>
                <w:sz w:val="20"/>
              </w:rPr>
            </w:pPr>
            <w:r>
              <w:rPr>
                <w:sz w:val="20"/>
              </w:rPr>
              <w:t>Natura 2000 standard form; Natura 2000 Management Programme for the 2022–2028 period (NMP)</w:t>
            </w:r>
          </w:p>
        </w:tc>
        <w:tc>
          <w:tcPr>
            <w:tcW w:w="1276" w:type="dxa"/>
          </w:tcPr>
          <w:p w14:paraId="634AD2E8" w14:textId="77777777" w:rsidR="00DD13BF" w:rsidRDefault="00DD13BF" w:rsidP="00355A56">
            <w:pPr>
              <w:rPr>
                <w:sz w:val="18"/>
                <w:szCs w:val="18"/>
              </w:rPr>
            </w:pPr>
            <w:r>
              <w:rPr>
                <w:sz w:val="18"/>
              </w:rPr>
              <w:t>At least 50% of the target species and habitat types from the list of priority projects (and 75% from individual measuring project) specified in the Natura 2000 Management Programme must improve their conservation status</w:t>
            </w:r>
          </w:p>
        </w:tc>
      </w:tr>
    </w:tbl>
    <w:p w14:paraId="720FEB97" w14:textId="77777777" w:rsidR="00DD13BF" w:rsidRPr="00EF5B6B" w:rsidRDefault="00DD13BF" w:rsidP="00DD13BF">
      <w:pPr>
        <w:tabs>
          <w:tab w:val="left" w:pos="1276"/>
          <w:tab w:val="left" w:pos="2268"/>
          <w:tab w:val="left" w:pos="2976"/>
          <w:tab w:val="left" w:pos="4546"/>
          <w:tab w:val="left" w:pos="5254"/>
          <w:tab w:val="left" w:pos="7797"/>
          <w:tab w:val="left" w:pos="8504"/>
          <w:tab w:val="left" w:pos="9637"/>
          <w:tab w:val="left" w:pos="10629"/>
          <w:tab w:val="left" w:pos="11908"/>
          <w:tab w:val="left" w:pos="12758"/>
        </w:tabs>
        <w:ind w:left="309"/>
        <w:rPr>
          <w:sz w:val="18"/>
          <w:szCs w:val="18"/>
        </w:rPr>
      </w:pPr>
      <w:r>
        <w:rPr>
          <w:sz w:val="20"/>
        </w:rPr>
        <w:tab/>
      </w:r>
      <w:r>
        <w:rPr>
          <w:color w:val="000000"/>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sz w:val="20"/>
        </w:rPr>
        <w:tab/>
      </w:r>
      <w:r>
        <w:rPr>
          <w:sz w:val="20"/>
        </w:rPr>
        <w:tab/>
      </w:r>
      <w:r>
        <w:rPr>
          <w:sz w:val="20"/>
        </w:rPr>
        <w:tab/>
      </w:r>
      <w:r>
        <w:rPr>
          <w:sz w:val="20"/>
        </w:rPr>
        <w:tab/>
      </w:r>
    </w:p>
    <w:p w14:paraId="67CDE6CE" w14:textId="77777777" w:rsidR="00DD13BF" w:rsidRDefault="00DD13BF" w:rsidP="00DD13BF">
      <w:pPr>
        <w:pStyle w:val="Naslov5"/>
        <w:numPr>
          <w:ilvl w:val="4"/>
          <w:numId w:val="16"/>
        </w:numPr>
        <w:spacing w:before="0"/>
      </w:pPr>
      <w:r>
        <w:t>Indicative breakdown of the programme resources (EU) by type of intervention</w:t>
      </w:r>
    </w:p>
    <w:p w14:paraId="611C5CDA" w14:textId="77777777" w:rsidR="00DD13BF" w:rsidRDefault="00DD13BF" w:rsidP="00DD13BF">
      <w:pPr>
        <w:ind w:left="640"/>
        <w:rPr>
          <w:spacing w:val="-5"/>
        </w:rPr>
      </w:pPr>
    </w:p>
    <w:p w14:paraId="1823063E" w14:textId="77777777" w:rsidR="00DD13BF" w:rsidRPr="00673ADB" w:rsidRDefault="00DD13BF" w:rsidP="00DD13BF">
      <w:pPr>
        <w:ind w:left="339"/>
        <w:rPr>
          <w:spacing w:val="-7"/>
        </w:rPr>
      </w:pPr>
      <w:r>
        <w:t>Table 4: Dimension 1 – intervention field</w:t>
      </w:r>
    </w:p>
    <w:p w14:paraId="12B33358" w14:textId="77777777" w:rsidR="00DD13BF" w:rsidRDefault="00DD13BF" w:rsidP="00DD13BF">
      <w:pPr>
        <w:rPr>
          <w:sz w:val="20"/>
        </w:rPr>
      </w:pPr>
      <w:r>
        <w:rPr>
          <w:sz w:val="20"/>
        </w:rPr>
        <w:lastRenderedPageBreak/>
        <w:t xml:space="preserve"> </w:t>
      </w: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FD7D33D" w14:textId="77777777" w:rsidTr="00355A56">
        <w:trPr>
          <w:trHeight w:val="353"/>
        </w:trPr>
        <w:tc>
          <w:tcPr>
            <w:tcW w:w="2088" w:type="dxa"/>
          </w:tcPr>
          <w:p w14:paraId="7FC580FF" w14:textId="77777777" w:rsidR="00DD13BF" w:rsidRDefault="00DD13BF" w:rsidP="00355A56">
            <w:pPr>
              <w:pStyle w:val="TableParagraph"/>
              <w:ind w:left="115"/>
            </w:pPr>
            <w:r>
              <w:t>Priority no.</w:t>
            </w:r>
          </w:p>
        </w:tc>
        <w:tc>
          <w:tcPr>
            <w:tcW w:w="1133" w:type="dxa"/>
          </w:tcPr>
          <w:p w14:paraId="56F2A228" w14:textId="77777777" w:rsidR="00DD13BF" w:rsidRDefault="00DD13BF" w:rsidP="00355A56">
            <w:pPr>
              <w:pStyle w:val="TableParagraph"/>
              <w:ind w:left="320"/>
            </w:pPr>
            <w:r>
              <w:t>Fund</w:t>
            </w:r>
          </w:p>
        </w:tc>
        <w:tc>
          <w:tcPr>
            <w:tcW w:w="3249" w:type="dxa"/>
          </w:tcPr>
          <w:p w14:paraId="3543CB8C" w14:textId="77777777" w:rsidR="00DD13BF" w:rsidRDefault="00DD13BF" w:rsidP="00355A56">
            <w:pPr>
              <w:pStyle w:val="TableParagraph"/>
              <w:ind w:left="907"/>
            </w:pPr>
            <w:r>
              <w:t>Category of region</w:t>
            </w:r>
          </w:p>
        </w:tc>
        <w:tc>
          <w:tcPr>
            <w:tcW w:w="3099" w:type="dxa"/>
          </w:tcPr>
          <w:p w14:paraId="04E48CBC" w14:textId="77777777" w:rsidR="00DD13BF" w:rsidRDefault="00DD13BF" w:rsidP="00355A56">
            <w:pPr>
              <w:pStyle w:val="TableParagraph"/>
              <w:ind w:left="948"/>
            </w:pPr>
            <w:r>
              <w:t>Specific objective</w:t>
            </w:r>
          </w:p>
        </w:tc>
        <w:tc>
          <w:tcPr>
            <w:tcW w:w="1161" w:type="dxa"/>
          </w:tcPr>
          <w:p w14:paraId="4EF7B7BA" w14:textId="77777777" w:rsidR="00DD13BF" w:rsidRDefault="00DD13BF" w:rsidP="00355A56">
            <w:pPr>
              <w:pStyle w:val="TableParagraph"/>
              <w:ind w:left="333"/>
            </w:pPr>
            <w:r>
              <w:t>Code</w:t>
            </w:r>
          </w:p>
        </w:tc>
        <w:tc>
          <w:tcPr>
            <w:tcW w:w="2731" w:type="dxa"/>
          </w:tcPr>
          <w:p w14:paraId="10503397" w14:textId="77777777" w:rsidR="00DD13BF" w:rsidRDefault="00DD13BF" w:rsidP="00355A56">
            <w:pPr>
              <w:pStyle w:val="TableParagraph"/>
              <w:ind w:left="660"/>
            </w:pPr>
            <w:r>
              <w:t>Amount (in EUR)</w:t>
            </w:r>
          </w:p>
        </w:tc>
      </w:tr>
      <w:tr w:rsidR="00DD13BF" w14:paraId="5103F87F" w14:textId="77777777" w:rsidTr="00355A56">
        <w:trPr>
          <w:trHeight w:val="353"/>
        </w:trPr>
        <w:tc>
          <w:tcPr>
            <w:tcW w:w="2088" w:type="dxa"/>
          </w:tcPr>
          <w:p w14:paraId="45CFAB85" w14:textId="77777777" w:rsidR="00DD13BF" w:rsidRDefault="00DD13BF" w:rsidP="00355A56">
            <w:pPr>
              <w:pStyle w:val="TableParagraph"/>
              <w:rPr>
                <w:sz w:val="20"/>
              </w:rPr>
            </w:pPr>
            <w:r>
              <w:rPr>
                <w:sz w:val="20"/>
              </w:rPr>
              <w:t>3</w:t>
            </w:r>
          </w:p>
        </w:tc>
        <w:tc>
          <w:tcPr>
            <w:tcW w:w="1133" w:type="dxa"/>
          </w:tcPr>
          <w:p w14:paraId="4AF3D792" w14:textId="77777777" w:rsidR="00DD13BF" w:rsidRDefault="00DD13BF" w:rsidP="00355A56">
            <w:pPr>
              <w:pStyle w:val="TableParagraph"/>
              <w:rPr>
                <w:sz w:val="20"/>
              </w:rPr>
            </w:pPr>
            <w:r>
              <w:rPr>
                <w:sz w:val="20"/>
              </w:rPr>
              <w:t>CF</w:t>
            </w:r>
          </w:p>
        </w:tc>
        <w:tc>
          <w:tcPr>
            <w:tcW w:w="3249" w:type="dxa"/>
          </w:tcPr>
          <w:p w14:paraId="07A1D61B" w14:textId="77777777" w:rsidR="00DD13BF" w:rsidRDefault="00DD13BF" w:rsidP="00355A56">
            <w:pPr>
              <w:pStyle w:val="TableParagraph"/>
              <w:rPr>
                <w:sz w:val="20"/>
              </w:rPr>
            </w:pPr>
            <w:r>
              <w:rPr>
                <w:sz w:val="20"/>
              </w:rPr>
              <w:t>Entire Slovenia</w:t>
            </w:r>
          </w:p>
        </w:tc>
        <w:tc>
          <w:tcPr>
            <w:tcW w:w="3099" w:type="dxa"/>
          </w:tcPr>
          <w:p w14:paraId="669F8A05" w14:textId="77777777" w:rsidR="00DD13BF" w:rsidRDefault="00DD13BF" w:rsidP="00355A56">
            <w:pPr>
              <w:pStyle w:val="TableParagraph"/>
              <w:rPr>
                <w:sz w:val="20"/>
              </w:rPr>
            </w:pPr>
            <w:r>
              <w:rPr>
                <w:color w:val="000000"/>
                <w:sz w:val="20"/>
              </w:rPr>
              <w:t>RSO2.7</w:t>
            </w:r>
          </w:p>
        </w:tc>
        <w:tc>
          <w:tcPr>
            <w:tcW w:w="1161" w:type="dxa"/>
          </w:tcPr>
          <w:p w14:paraId="117ED536" w14:textId="77777777" w:rsidR="00DD13BF" w:rsidRDefault="00DD13BF" w:rsidP="00355A56">
            <w:pPr>
              <w:pStyle w:val="TableParagraph"/>
              <w:rPr>
                <w:sz w:val="20"/>
              </w:rPr>
            </w:pPr>
            <w:r>
              <w:rPr>
                <w:sz w:val="20"/>
              </w:rPr>
              <w:t>077</w:t>
            </w:r>
          </w:p>
        </w:tc>
        <w:tc>
          <w:tcPr>
            <w:tcW w:w="2731" w:type="dxa"/>
          </w:tcPr>
          <w:p w14:paraId="49C6219A" w14:textId="77777777" w:rsidR="00DD13BF" w:rsidRPr="005F22BF" w:rsidRDefault="00DD13BF" w:rsidP="00355A56">
            <w:pPr>
              <w:pStyle w:val="TableParagraph"/>
              <w:rPr>
                <w:sz w:val="20"/>
              </w:rPr>
            </w:pPr>
            <w:r>
              <w:rPr>
                <w:sz w:val="20"/>
              </w:rPr>
              <w:t>2,550,000</w:t>
            </w:r>
          </w:p>
        </w:tc>
      </w:tr>
      <w:tr w:rsidR="00DD13BF" w14:paraId="726B13D2" w14:textId="77777777" w:rsidTr="00355A56">
        <w:trPr>
          <w:trHeight w:val="353"/>
        </w:trPr>
        <w:tc>
          <w:tcPr>
            <w:tcW w:w="2088" w:type="dxa"/>
          </w:tcPr>
          <w:p w14:paraId="2060FB07" w14:textId="77777777" w:rsidR="00DD13BF" w:rsidRDefault="00DD13BF" w:rsidP="00355A56">
            <w:pPr>
              <w:pStyle w:val="TableParagraph"/>
              <w:rPr>
                <w:sz w:val="20"/>
              </w:rPr>
            </w:pPr>
            <w:r>
              <w:rPr>
                <w:sz w:val="20"/>
              </w:rPr>
              <w:t>3</w:t>
            </w:r>
          </w:p>
        </w:tc>
        <w:tc>
          <w:tcPr>
            <w:tcW w:w="1133" w:type="dxa"/>
          </w:tcPr>
          <w:p w14:paraId="438AFBAF" w14:textId="77777777" w:rsidR="00DD13BF" w:rsidRDefault="00DD13BF" w:rsidP="00355A56">
            <w:pPr>
              <w:pStyle w:val="TableParagraph"/>
              <w:rPr>
                <w:sz w:val="20"/>
              </w:rPr>
            </w:pPr>
            <w:r>
              <w:rPr>
                <w:sz w:val="20"/>
              </w:rPr>
              <w:t>ERDF</w:t>
            </w:r>
          </w:p>
        </w:tc>
        <w:tc>
          <w:tcPr>
            <w:tcW w:w="3249" w:type="dxa"/>
          </w:tcPr>
          <w:p w14:paraId="45E62EA2" w14:textId="77777777" w:rsidR="00DD13BF" w:rsidRDefault="00DD13BF" w:rsidP="00355A56">
            <w:pPr>
              <w:pStyle w:val="TableParagraph"/>
              <w:rPr>
                <w:sz w:val="20"/>
              </w:rPr>
            </w:pPr>
            <w:r>
              <w:rPr>
                <w:sz w:val="20"/>
              </w:rPr>
              <w:t>Less developed</w:t>
            </w:r>
          </w:p>
        </w:tc>
        <w:tc>
          <w:tcPr>
            <w:tcW w:w="3099" w:type="dxa"/>
          </w:tcPr>
          <w:p w14:paraId="2A97D053" w14:textId="77777777" w:rsidR="00DD13BF" w:rsidRDefault="00DD13BF" w:rsidP="00355A56">
            <w:pPr>
              <w:pStyle w:val="TableParagraph"/>
              <w:rPr>
                <w:sz w:val="20"/>
              </w:rPr>
            </w:pPr>
            <w:r>
              <w:rPr>
                <w:color w:val="000000"/>
                <w:sz w:val="20"/>
              </w:rPr>
              <w:t>RSO2.7</w:t>
            </w:r>
          </w:p>
        </w:tc>
        <w:tc>
          <w:tcPr>
            <w:tcW w:w="1161" w:type="dxa"/>
          </w:tcPr>
          <w:p w14:paraId="1D1FC0F8" w14:textId="77777777" w:rsidR="00DD13BF" w:rsidRDefault="00DD13BF" w:rsidP="00355A56">
            <w:pPr>
              <w:pStyle w:val="TableParagraph"/>
              <w:rPr>
                <w:sz w:val="20"/>
              </w:rPr>
            </w:pPr>
            <w:r>
              <w:rPr>
                <w:sz w:val="20"/>
              </w:rPr>
              <w:t>078</w:t>
            </w:r>
          </w:p>
        </w:tc>
        <w:tc>
          <w:tcPr>
            <w:tcW w:w="2731" w:type="dxa"/>
          </w:tcPr>
          <w:p w14:paraId="663AA223" w14:textId="77777777" w:rsidR="00DD13BF" w:rsidRPr="005F22BF" w:rsidRDefault="00DD13BF" w:rsidP="00355A56">
            <w:pPr>
              <w:pStyle w:val="TableParagraph"/>
              <w:rPr>
                <w:sz w:val="20"/>
              </w:rPr>
            </w:pPr>
            <w:r>
              <w:rPr>
                <w:sz w:val="20"/>
              </w:rPr>
              <w:t>29,611,978</w:t>
            </w:r>
          </w:p>
        </w:tc>
      </w:tr>
      <w:tr w:rsidR="00DD13BF" w14:paraId="70D2BE9D" w14:textId="77777777" w:rsidTr="00355A56">
        <w:trPr>
          <w:trHeight w:val="353"/>
        </w:trPr>
        <w:tc>
          <w:tcPr>
            <w:tcW w:w="2088" w:type="dxa"/>
          </w:tcPr>
          <w:p w14:paraId="10E449D7" w14:textId="77777777" w:rsidR="00DD13BF" w:rsidRDefault="00DD13BF" w:rsidP="00355A56">
            <w:pPr>
              <w:pStyle w:val="TableParagraph"/>
              <w:rPr>
                <w:sz w:val="20"/>
              </w:rPr>
            </w:pPr>
            <w:r>
              <w:rPr>
                <w:sz w:val="20"/>
              </w:rPr>
              <w:t>3</w:t>
            </w:r>
          </w:p>
        </w:tc>
        <w:tc>
          <w:tcPr>
            <w:tcW w:w="1133" w:type="dxa"/>
          </w:tcPr>
          <w:p w14:paraId="20F17BF9" w14:textId="77777777" w:rsidR="00DD13BF" w:rsidRDefault="00DD13BF" w:rsidP="00355A56">
            <w:pPr>
              <w:pStyle w:val="TableParagraph"/>
              <w:rPr>
                <w:sz w:val="20"/>
              </w:rPr>
            </w:pPr>
            <w:r>
              <w:rPr>
                <w:sz w:val="20"/>
              </w:rPr>
              <w:t>ERDF</w:t>
            </w:r>
          </w:p>
        </w:tc>
        <w:tc>
          <w:tcPr>
            <w:tcW w:w="3249" w:type="dxa"/>
          </w:tcPr>
          <w:p w14:paraId="6B2DC224" w14:textId="77777777" w:rsidR="00DD13BF" w:rsidRDefault="00DD13BF" w:rsidP="00355A56">
            <w:pPr>
              <w:pStyle w:val="TableParagraph"/>
              <w:rPr>
                <w:sz w:val="20"/>
              </w:rPr>
            </w:pPr>
            <w:r>
              <w:rPr>
                <w:sz w:val="20"/>
              </w:rPr>
              <w:t>More developed</w:t>
            </w:r>
          </w:p>
        </w:tc>
        <w:tc>
          <w:tcPr>
            <w:tcW w:w="3099" w:type="dxa"/>
          </w:tcPr>
          <w:p w14:paraId="557DD23E" w14:textId="77777777" w:rsidR="00DD13BF" w:rsidRDefault="00DD13BF" w:rsidP="00355A56">
            <w:pPr>
              <w:pStyle w:val="TableParagraph"/>
              <w:rPr>
                <w:sz w:val="20"/>
              </w:rPr>
            </w:pPr>
            <w:r>
              <w:rPr>
                <w:color w:val="000000"/>
                <w:sz w:val="20"/>
              </w:rPr>
              <w:t>RSO2.7</w:t>
            </w:r>
          </w:p>
        </w:tc>
        <w:tc>
          <w:tcPr>
            <w:tcW w:w="1161" w:type="dxa"/>
          </w:tcPr>
          <w:p w14:paraId="56F77568" w14:textId="77777777" w:rsidR="00DD13BF" w:rsidRDefault="00DD13BF" w:rsidP="00355A56">
            <w:pPr>
              <w:pStyle w:val="TableParagraph"/>
              <w:rPr>
                <w:sz w:val="20"/>
              </w:rPr>
            </w:pPr>
            <w:r>
              <w:rPr>
                <w:sz w:val="20"/>
              </w:rPr>
              <w:t>078</w:t>
            </w:r>
          </w:p>
        </w:tc>
        <w:tc>
          <w:tcPr>
            <w:tcW w:w="2731" w:type="dxa"/>
          </w:tcPr>
          <w:p w14:paraId="6E5FEB4C" w14:textId="77777777" w:rsidR="00DD13BF" w:rsidRPr="005F22BF" w:rsidRDefault="00DD13BF" w:rsidP="00355A56">
            <w:pPr>
              <w:pStyle w:val="TableParagraph"/>
              <w:rPr>
                <w:sz w:val="20"/>
              </w:rPr>
            </w:pPr>
            <w:r>
              <w:rPr>
                <w:sz w:val="20"/>
              </w:rPr>
              <w:t>14,049,602</w:t>
            </w:r>
          </w:p>
        </w:tc>
      </w:tr>
      <w:tr w:rsidR="00DD13BF" w:rsidRPr="004464CF" w14:paraId="356587D6" w14:textId="77777777" w:rsidTr="00355A56">
        <w:trPr>
          <w:trHeight w:val="353"/>
        </w:trPr>
        <w:tc>
          <w:tcPr>
            <w:tcW w:w="2088" w:type="dxa"/>
          </w:tcPr>
          <w:p w14:paraId="5FE77E8D" w14:textId="77777777" w:rsidR="00DD13BF" w:rsidRPr="004464CF" w:rsidRDefault="00DD13BF" w:rsidP="00355A56">
            <w:pPr>
              <w:pStyle w:val="TableParagraph"/>
              <w:rPr>
                <w:sz w:val="20"/>
              </w:rPr>
            </w:pPr>
            <w:r>
              <w:rPr>
                <w:sz w:val="20"/>
              </w:rPr>
              <w:t>3</w:t>
            </w:r>
          </w:p>
        </w:tc>
        <w:tc>
          <w:tcPr>
            <w:tcW w:w="1133" w:type="dxa"/>
          </w:tcPr>
          <w:p w14:paraId="4EEEC841" w14:textId="77777777" w:rsidR="00DD13BF" w:rsidRPr="004464CF" w:rsidRDefault="00DD13BF" w:rsidP="00355A56">
            <w:pPr>
              <w:pStyle w:val="TableParagraph"/>
              <w:rPr>
                <w:sz w:val="20"/>
              </w:rPr>
            </w:pPr>
            <w:r>
              <w:rPr>
                <w:sz w:val="20"/>
              </w:rPr>
              <w:t>ERDF</w:t>
            </w:r>
          </w:p>
        </w:tc>
        <w:tc>
          <w:tcPr>
            <w:tcW w:w="3249" w:type="dxa"/>
          </w:tcPr>
          <w:p w14:paraId="39854812" w14:textId="77777777" w:rsidR="00DD13BF" w:rsidRPr="004464CF" w:rsidRDefault="00DD13BF" w:rsidP="00355A56">
            <w:pPr>
              <w:pStyle w:val="TableParagraph"/>
              <w:rPr>
                <w:sz w:val="20"/>
              </w:rPr>
            </w:pPr>
            <w:r>
              <w:rPr>
                <w:sz w:val="20"/>
              </w:rPr>
              <w:t>Less developed</w:t>
            </w:r>
          </w:p>
        </w:tc>
        <w:tc>
          <w:tcPr>
            <w:tcW w:w="3099" w:type="dxa"/>
          </w:tcPr>
          <w:p w14:paraId="492AA7F1" w14:textId="77777777" w:rsidR="00DD13BF" w:rsidRPr="004464CF" w:rsidRDefault="00DD13BF" w:rsidP="00355A56">
            <w:pPr>
              <w:pStyle w:val="TableParagraph"/>
              <w:rPr>
                <w:sz w:val="20"/>
              </w:rPr>
            </w:pPr>
            <w:r>
              <w:rPr>
                <w:color w:val="000000"/>
                <w:sz w:val="20"/>
              </w:rPr>
              <w:t>RSO2.7</w:t>
            </w:r>
          </w:p>
        </w:tc>
        <w:tc>
          <w:tcPr>
            <w:tcW w:w="1161" w:type="dxa"/>
          </w:tcPr>
          <w:p w14:paraId="04799462" w14:textId="77777777" w:rsidR="00DD13BF" w:rsidRPr="004464CF" w:rsidRDefault="00DD13BF" w:rsidP="00355A56">
            <w:pPr>
              <w:pStyle w:val="TableParagraph"/>
              <w:rPr>
                <w:sz w:val="20"/>
              </w:rPr>
            </w:pPr>
            <w:r>
              <w:rPr>
                <w:sz w:val="20"/>
              </w:rPr>
              <w:t>079</w:t>
            </w:r>
          </w:p>
        </w:tc>
        <w:tc>
          <w:tcPr>
            <w:tcW w:w="2731" w:type="dxa"/>
          </w:tcPr>
          <w:p w14:paraId="473E202F" w14:textId="77777777" w:rsidR="00DD13BF" w:rsidRPr="005F22BF" w:rsidRDefault="00DD13BF" w:rsidP="00355A56">
            <w:pPr>
              <w:pStyle w:val="TableParagraph"/>
              <w:rPr>
                <w:sz w:val="20"/>
              </w:rPr>
            </w:pPr>
            <w:r>
              <w:rPr>
                <w:sz w:val="20"/>
              </w:rPr>
              <w:t>22,421,699</w:t>
            </w:r>
          </w:p>
        </w:tc>
      </w:tr>
      <w:tr w:rsidR="00DD13BF" w:rsidRPr="004464CF" w14:paraId="6DABA29A" w14:textId="77777777" w:rsidTr="00355A56">
        <w:trPr>
          <w:trHeight w:val="353"/>
        </w:trPr>
        <w:tc>
          <w:tcPr>
            <w:tcW w:w="2088" w:type="dxa"/>
          </w:tcPr>
          <w:p w14:paraId="1318F1A4" w14:textId="77777777" w:rsidR="00DD13BF" w:rsidRPr="004464CF" w:rsidRDefault="00DD13BF" w:rsidP="00355A56">
            <w:pPr>
              <w:pStyle w:val="TableParagraph"/>
              <w:rPr>
                <w:sz w:val="20"/>
              </w:rPr>
            </w:pPr>
            <w:r>
              <w:rPr>
                <w:sz w:val="20"/>
              </w:rPr>
              <w:t>3</w:t>
            </w:r>
          </w:p>
        </w:tc>
        <w:tc>
          <w:tcPr>
            <w:tcW w:w="1133" w:type="dxa"/>
          </w:tcPr>
          <w:p w14:paraId="3EFACC56" w14:textId="77777777" w:rsidR="00DD13BF" w:rsidRPr="004464CF" w:rsidRDefault="00DD13BF" w:rsidP="00355A56">
            <w:pPr>
              <w:pStyle w:val="TableParagraph"/>
              <w:rPr>
                <w:sz w:val="20"/>
              </w:rPr>
            </w:pPr>
            <w:r>
              <w:rPr>
                <w:sz w:val="20"/>
              </w:rPr>
              <w:t>ERDF</w:t>
            </w:r>
          </w:p>
        </w:tc>
        <w:tc>
          <w:tcPr>
            <w:tcW w:w="3249" w:type="dxa"/>
          </w:tcPr>
          <w:p w14:paraId="367DDC14" w14:textId="77777777" w:rsidR="00DD13BF" w:rsidRPr="004464CF" w:rsidRDefault="00DD13BF" w:rsidP="00355A56">
            <w:pPr>
              <w:pStyle w:val="TableParagraph"/>
              <w:rPr>
                <w:sz w:val="20"/>
              </w:rPr>
            </w:pPr>
            <w:r>
              <w:rPr>
                <w:sz w:val="20"/>
              </w:rPr>
              <w:t>More developed</w:t>
            </w:r>
          </w:p>
        </w:tc>
        <w:tc>
          <w:tcPr>
            <w:tcW w:w="3099" w:type="dxa"/>
          </w:tcPr>
          <w:p w14:paraId="1570C721" w14:textId="77777777" w:rsidR="00DD13BF" w:rsidRPr="004464CF" w:rsidRDefault="00DD13BF" w:rsidP="00355A56">
            <w:pPr>
              <w:pStyle w:val="TableParagraph"/>
              <w:rPr>
                <w:sz w:val="20"/>
              </w:rPr>
            </w:pPr>
            <w:r>
              <w:rPr>
                <w:color w:val="000000"/>
                <w:sz w:val="20"/>
              </w:rPr>
              <w:t>RSO2.7</w:t>
            </w:r>
          </w:p>
        </w:tc>
        <w:tc>
          <w:tcPr>
            <w:tcW w:w="1161" w:type="dxa"/>
          </w:tcPr>
          <w:p w14:paraId="22940AFE" w14:textId="77777777" w:rsidR="00DD13BF" w:rsidRPr="004464CF" w:rsidRDefault="00DD13BF" w:rsidP="00355A56">
            <w:pPr>
              <w:pStyle w:val="TableParagraph"/>
              <w:rPr>
                <w:sz w:val="20"/>
              </w:rPr>
            </w:pPr>
            <w:r>
              <w:rPr>
                <w:sz w:val="20"/>
              </w:rPr>
              <w:t>079</w:t>
            </w:r>
          </w:p>
        </w:tc>
        <w:tc>
          <w:tcPr>
            <w:tcW w:w="2731" w:type="dxa"/>
          </w:tcPr>
          <w:p w14:paraId="2476691F" w14:textId="77777777" w:rsidR="00DD13BF" w:rsidRPr="005F22BF" w:rsidRDefault="00DD13BF" w:rsidP="00355A56">
            <w:pPr>
              <w:pStyle w:val="TableParagraph"/>
              <w:rPr>
                <w:sz w:val="20"/>
              </w:rPr>
            </w:pPr>
            <w:r>
              <w:rPr>
                <w:sz w:val="20"/>
              </w:rPr>
              <w:t>14,095,942</w:t>
            </w:r>
          </w:p>
        </w:tc>
      </w:tr>
    </w:tbl>
    <w:p w14:paraId="6C89CDB4" w14:textId="77777777" w:rsidR="00DD13BF" w:rsidRDefault="00DD13BF" w:rsidP="00DD13BF"/>
    <w:p w14:paraId="7DA5519F" w14:textId="77777777" w:rsidR="00DD13BF" w:rsidRPr="00673ADB" w:rsidRDefault="00DD13BF" w:rsidP="00DD13BF">
      <w:pPr>
        <w:ind w:left="339"/>
        <w:rPr>
          <w:spacing w:val="-7"/>
        </w:rPr>
      </w:pPr>
      <w:r>
        <w:t>Table 5: Dimension 2 – form of financing</w:t>
      </w:r>
    </w:p>
    <w:p w14:paraId="4A393BDE"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31198C0D" w14:textId="77777777" w:rsidTr="00355A56">
        <w:trPr>
          <w:trHeight w:val="353"/>
        </w:trPr>
        <w:tc>
          <w:tcPr>
            <w:tcW w:w="2088" w:type="dxa"/>
          </w:tcPr>
          <w:p w14:paraId="10BA9E46" w14:textId="77777777" w:rsidR="00DD13BF" w:rsidRDefault="00DD13BF" w:rsidP="00355A56">
            <w:pPr>
              <w:pStyle w:val="TableParagraph"/>
              <w:ind w:left="115"/>
            </w:pPr>
            <w:r>
              <w:t>Priority no.</w:t>
            </w:r>
          </w:p>
        </w:tc>
        <w:tc>
          <w:tcPr>
            <w:tcW w:w="1133" w:type="dxa"/>
          </w:tcPr>
          <w:p w14:paraId="6256A91C" w14:textId="77777777" w:rsidR="00DD13BF" w:rsidRDefault="00DD13BF" w:rsidP="00355A56">
            <w:pPr>
              <w:pStyle w:val="TableParagraph"/>
              <w:ind w:left="320"/>
            </w:pPr>
            <w:r>
              <w:t>Fund</w:t>
            </w:r>
          </w:p>
        </w:tc>
        <w:tc>
          <w:tcPr>
            <w:tcW w:w="3249" w:type="dxa"/>
          </w:tcPr>
          <w:p w14:paraId="31A29487" w14:textId="77777777" w:rsidR="00DD13BF" w:rsidRDefault="00DD13BF" w:rsidP="00355A56">
            <w:pPr>
              <w:pStyle w:val="TableParagraph"/>
              <w:ind w:left="907"/>
            </w:pPr>
            <w:r>
              <w:t>Category of region</w:t>
            </w:r>
          </w:p>
        </w:tc>
        <w:tc>
          <w:tcPr>
            <w:tcW w:w="3099" w:type="dxa"/>
          </w:tcPr>
          <w:p w14:paraId="4528D476" w14:textId="77777777" w:rsidR="00DD13BF" w:rsidRDefault="00DD13BF" w:rsidP="00355A56">
            <w:pPr>
              <w:pStyle w:val="TableParagraph"/>
              <w:ind w:left="948"/>
            </w:pPr>
            <w:r>
              <w:t>Specific objective</w:t>
            </w:r>
          </w:p>
        </w:tc>
        <w:tc>
          <w:tcPr>
            <w:tcW w:w="1161" w:type="dxa"/>
          </w:tcPr>
          <w:p w14:paraId="4A6B8F67" w14:textId="77777777" w:rsidR="00DD13BF" w:rsidRDefault="00DD13BF" w:rsidP="00355A56">
            <w:pPr>
              <w:pStyle w:val="TableParagraph"/>
              <w:ind w:left="334"/>
            </w:pPr>
            <w:r>
              <w:t>Code</w:t>
            </w:r>
          </w:p>
        </w:tc>
        <w:tc>
          <w:tcPr>
            <w:tcW w:w="2731" w:type="dxa"/>
          </w:tcPr>
          <w:p w14:paraId="1B6948C6" w14:textId="77777777" w:rsidR="00DD13BF" w:rsidRDefault="00DD13BF" w:rsidP="00355A56">
            <w:pPr>
              <w:pStyle w:val="TableParagraph"/>
              <w:ind w:left="661"/>
            </w:pPr>
            <w:r>
              <w:t>Amount (in EUR)</w:t>
            </w:r>
          </w:p>
        </w:tc>
      </w:tr>
      <w:tr w:rsidR="00DD13BF" w14:paraId="523BA251" w14:textId="77777777" w:rsidTr="00355A56">
        <w:trPr>
          <w:trHeight w:val="353"/>
        </w:trPr>
        <w:tc>
          <w:tcPr>
            <w:tcW w:w="2088" w:type="dxa"/>
          </w:tcPr>
          <w:p w14:paraId="3C1EAA6F" w14:textId="77777777" w:rsidR="00DD13BF" w:rsidRDefault="00DD13BF" w:rsidP="00355A56">
            <w:pPr>
              <w:pStyle w:val="TableParagraph"/>
              <w:rPr>
                <w:sz w:val="20"/>
              </w:rPr>
            </w:pPr>
            <w:r>
              <w:rPr>
                <w:sz w:val="20"/>
              </w:rPr>
              <w:t>3</w:t>
            </w:r>
          </w:p>
        </w:tc>
        <w:tc>
          <w:tcPr>
            <w:tcW w:w="1133" w:type="dxa"/>
          </w:tcPr>
          <w:p w14:paraId="7F7D4ABF" w14:textId="77777777" w:rsidR="00DD13BF" w:rsidRDefault="00DD13BF" w:rsidP="00355A56">
            <w:pPr>
              <w:pStyle w:val="TableParagraph"/>
              <w:rPr>
                <w:sz w:val="20"/>
              </w:rPr>
            </w:pPr>
            <w:r>
              <w:rPr>
                <w:sz w:val="20"/>
              </w:rPr>
              <w:t>CF</w:t>
            </w:r>
          </w:p>
        </w:tc>
        <w:tc>
          <w:tcPr>
            <w:tcW w:w="3249" w:type="dxa"/>
          </w:tcPr>
          <w:p w14:paraId="04A98D35" w14:textId="77777777" w:rsidR="00DD13BF" w:rsidRDefault="00DD13BF" w:rsidP="00355A56">
            <w:pPr>
              <w:pStyle w:val="TableParagraph"/>
              <w:rPr>
                <w:sz w:val="20"/>
              </w:rPr>
            </w:pPr>
            <w:r>
              <w:rPr>
                <w:sz w:val="20"/>
              </w:rPr>
              <w:t>Entire Slovenia</w:t>
            </w:r>
          </w:p>
        </w:tc>
        <w:tc>
          <w:tcPr>
            <w:tcW w:w="3099" w:type="dxa"/>
          </w:tcPr>
          <w:p w14:paraId="779ADBA1" w14:textId="77777777" w:rsidR="00DD13BF" w:rsidRDefault="00DD13BF" w:rsidP="00355A56">
            <w:pPr>
              <w:pStyle w:val="TableParagraph"/>
              <w:rPr>
                <w:sz w:val="20"/>
              </w:rPr>
            </w:pPr>
            <w:r>
              <w:rPr>
                <w:color w:val="000000"/>
                <w:sz w:val="20"/>
              </w:rPr>
              <w:t>RSO2.7</w:t>
            </w:r>
          </w:p>
        </w:tc>
        <w:tc>
          <w:tcPr>
            <w:tcW w:w="1161" w:type="dxa"/>
          </w:tcPr>
          <w:p w14:paraId="0AE8A43B" w14:textId="77777777" w:rsidR="00DD13BF" w:rsidRDefault="00DD13BF" w:rsidP="00355A56">
            <w:pPr>
              <w:pStyle w:val="TableParagraph"/>
              <w:rPr>
                <w:sz w:val="20"/>
              </w:rPr>
            </w:pPr>
            <w:r>
              <w:rPr>
                <w:sz w:val="20"/>
              </w:rPr>
              <w:t>01</w:t>
            </w:r>
          </w:p>
        </w:tc>
        <w:tc>
          <w:tcPr>
            <w:tcW w:w="2731" w:type="dxa"/>
          </w:tcPr>
          <w:p w14:paraId="19F11EE9" w14:textId="77777777" w:rsidR="00DD13BF" w:rsidRDefault="00DD13BF" w:rsidP="00355A56">
            <w:pPr>
              <w:pStyle w:val="TableParagraph"/>
              <w:rPr>
                <w:sz w:val="20"/>
              </w:rPr>
            </w:pPr>
            <w:r>
              <w:rPr>
                <w:sz w:val="20"/>
              </w:rPr>
              <w:t>2,550,000</w:t>
            </w:r>
          </w:p>
        </w:tc>
      </w:tr>
      <w:tr w:rsidR="00DD13BF" w14:paraId="0351A0BF" w14:textId="77777777" w:rsidTr="00355A56">
        <w:trPr>
          <w:trHeight w:val="353"/>
        </w:trPr>
        <w:tc>
          <w:tcPr>
            <w:tcW w:w="2088" w:type="dxa"/>
          </w:tcPr>
          <w:p w14:paraId="54CED6D0" w14:textId="77777777" w:rsidR="00DD13BF" w:rsidRDefault="00DD13BF" w:rsidP="00355A56">
            <w:pPr>
              <w:pStyle w:val="TableParagraph"/>
              <w:rPr>
                <w:sz w:val="20"/>
              </w:rPr>
            </w:pPr>
            <w:r>
              <w:rPr>
                <w:sz w:val="20"/>
              </w:rPr>
              <w:t>3</w:t>
            </w:r>
          </w:p>
        </w:tc>
        <w:tc>
          <w:tcPr>
            <w:tcW w:w="1133" w:type="dxa"/>
          </w:tcPr>
          <w:p w14:paraId="1E13DE27" w14:textId="77777777" w:rsidR="00DD13BF" w:rsidRDefault="00DD13BF" w:rsidP="00355A56">
            <w:pPr>
              <w:pStyle w:val="TableParagraph"/>
              <w:rPr>
                <w:sz w:val="20"/>
              </w:rPr>
            </w:pPr>
            <w:r>
              <w:rPr>
                <w:sz w:val="20"/>
              </w:rPr>
              <w:t>ERDF</w:t>
            </w:r>
          </w:p>
        </w:tc>
        <w:tc>
          <w:tcPr>
            <w:tcW w:w="3249" w:type="dxa"/>
          </w:tcPr>
          <w:p w14:paraId="7B3E49EB" w14:textId="77777777" w:rsidR="00DD13BF" w:rsidRDefault="00DD13BF" w:rsidP="00355A56">
            <w:pPr>
              <w:pStyle w:val="TableParagraph"/>
              <w:rPr>
                <w:sz w:val="20"/>
              </w:rPr>
            </w:pPr>
            <w:r>
              <w:rPr>
                <w:sz w:val="20"/>
              </w:rPr>
              <w:t>Less developed</w:t>
            </w:r>
          </w:p>
        </w:tc>
        <w:tc>
          <w:tcPr>
            <w:tcW w:w="3099" w:type="dxa"/>
          </w:tcPr>
          <w:p w14:paraId="1FA6AEB7" w14:textId="77777777" w:rsidR="00DD13BF" w:rsidRPr="001D2B04" w:rsidRDefault="00DD13BF" w:rsidP="00355A56">
            <w:pPr>
              <w:pStyle w:val="TableParagraph"/>
              <w:rPr>
                <w:sz w:val="20"/>
              </w:rPr>
            </w:pPr>
            <w:r>
              <w:rPr>
                <w:color w:val="000000"/>
                <w:sz w:val="20"/>
              </w:rPr>
              <w:t>RSO2.7</w:t>
            </w:r>
          </w:p>
        </w:tc>
        <w:tc>
          <w:tcPr>
            <w:tcW w:w="1161" w:type="dxa"/>
          </w:tcPr>
          <w:p w14:paraId="58895D26" w14:textId="77777777" w:rsidR="00DD13BF" w:rsidRDefault="00DD13BF" w:rsidP="00355A56">
            <w:pPr>
              <w:pStyle w:val="TableParagraph"/>
              <w:rPr>
                <w:sz w:val="20"/>
              </w:rPr>
            </w:pPr>
            <w:r>
              <w:rPr>
                <w:sz w:val="20"/>
              </w:rPr>
              <w:t>01</w:t>
            </w:r>
          </w:p>
        </w:tc>
        <w:tc>
          <w:tcPr>
            <w:tcW w:w="2731" w:type="dxa"/>
          </w:tcPr>
          <w:p w14:paraId="28C75D43" w14:textId="77777777" w:rsidR="00DD13BF" w:rsidRPr="005F22BF" w:rsidRDefault="00DD13BF" w:rsidP="00355A56">
            <w:pPr>
              <w:pStyle w:val="TableParagraph"/>
              <w:rPr>
                <w:sz w:val="20"/>
              </w:rPr>
            </w:pPr>
            <w:r>
              <w:rPr>
                <w:sz w:val="20"/>
              </w:rPr>
              <w:t>52,033,677</w:t>
            </w:r>
          </w:p>
        </w:tc>
      </w:tr>
      <w:tr w:rsidR="00DD13BF" w14:paraId="0FCF991A" w14:textId="77777777" w:rsidTr="00355A56">
        <w:trPr>
          <w:trHeight w:val="353"/>
        </w:trPr>
        <w:tc>
          <w:tcPr>
            <w:tcW w:w="2088" w:type="dxa"/>
          </w:tcPr>
          <w:p w14:paraId="6D9064D9" w14:textId="77777777" w:rsidR="00DD13BF" w:rsidRDefault="00DD13BF" w:rsidP="00355A56">
            <w:pPr>
              <w:pStyle w:val="TableParagraph"/>
              <w:rPr>
                <w:sz w:val="20"/>
              </w:rPr>
            </w:pPr>
            <w:r>
              <w:rPr>
                <w:sz w:val="20"/>
              </w:rPr>
              <w:t>3</w:t>
            </w:r>
          </w:p>
        </w:tc>
        <w:tc>
          <w:tcPr>
            <w:tcW w:w="1133" w:type="dxa"/>
          </w:tcPr>
          <w:p w14:paraId="5779D224" w14:textId="77777777" w:rsidR="00DD13BF" w:rsidRDefault="00DD13BF" w:rsidP="00355A56">
            <w:pPr>
              <w:pStyle w:val="TableParagraph"/>
              <w:rPr>
                <w:sz w:val="20"/>
              </w:rPr>
            </w:pPr>
            <w:r>
              <w:rPr>
                <w:sz w:val="20"/>
              </w:rPr>
              <w:t>ERDF</w:t>
            </w:r>
          </w:p>
        </w:tc>
        <w:tc>
          <w:tcPr>
            <w:tcW w:w="3249" w:type="dxa"/>
          </w:tcPr>
          <w:p w14:paraId="777FA2D7" w14:textId="77777777" w:rsidR="00DD13BF" w:rsidRDefault="00DD13BF" w:rsidP="00355A56">
            <w:pPr>
              <w:pStyle w:val="TableParagraph"/>
              <w:rPr>
                <w:sz w:val="20"/>
              </w:rPr>
            </w:pPr>
            <w:r>
              <w:rPr>
                <w:sz w:val="20"/>
              </w:rPr>
              <w:t>More developed</w:t>
            </w:r>
          </w:p>
        </w:tc>
        <w:tc>
          <w:tcPr>
            <w:tcW w:w="3099" w:type="dxa"/>
          </w:tcPr>
          <w:p w14:paraId="7697044B" w14:textId="77777777" w:rsidR="00DD13BF" w:rsidRPr="001D2B04" w:rsidRDefault="00DD13BF" w:rsidP="00355A56">
            <w:pPr>
              <w:pStyle w:val="TableParagraph"/>
              <w:rPr>
                <w:sz w:val="20"/>
              </w:rPr>
            </w:pPr>
            <w:r>
              <w:rPr>
                <w:color w:val="000000"/>
                <w:sz w:val="20"/>
              </w:rPr>
              <w:t>RSO2.7</w:t>
            </w:r>
          </w:p>
        </w:tc>
        <w:tc>
          <w:tcPr>
            <w:tcW w:w="1161" w:type="dxa"/>
          </w:tcPr>
          <w:p w14:paraId="1A8CAA8F" w14:textId="77777777" w:rsidR="00DD13BF" w:rsidRDefault="00DD13BF" w:rsidP="00355A56">
            <w:pPr>
              <w:pStyle w:val="TableParagraph"/>
              <w:rPr>
                <w:sz w:val="20"/>
              </w:rPr>
            </w:pPr>
            <w:r>
              <w:rPr>
                <w:sz w:val="20"/>
              </w:rPr>
              <w:t>01</w:t>
            </w:r>
          </w:p>
        </w:tc>
        <w:tc>
          <w:tcPr>
            <w:tcW w:w="2731" w:type="dxa"/>
          </w:tcPr>
          <w:p w14:paraId="2177E66D" w14:textId="77777777" w:rsidR="00DD13BF" w:rsidRPr="005F22BF" w:rsidRDefault="00DD13BF" w:rsidP="00355A56">
            <w:pPr>
              <w:pStyle w:val="TableParagraph"/>
              <w:rPr>
                <w:sz w:val="20"/>
              </w:rPr>
            </w:pPr>
            <w:r>
              <w:rPr>
                <w:sz w:val="20"/>
              </w:rPr>
              <w:t>28,145,544</w:t>
            </w:r>
          </w:p>
        </w:tc>
      </w:tr>
    </w:tbl>
    <w:p w14:paraId="2A312216" w14:textId="77777777" w:rsidR="00DD13BF" w:rsidRDefault="00DD13BF" w:rsidP="00DD13BF">
      <w:pPr>
        <w:ind w:left="339"/>
        <w:rPr>
          <w:spacing w:val="-7"/>
        </w:rPr>
      </w:pPr>
    </w:p>
    <w:p w14:paraId="39F55CD7" w14:textId="77777777" w:rsidR="00DD13BF" w:rsidRDefault="00DD13BF" w:rsidP="00DD13BF">
      <w:pPr>
        <w:ind w:left="339"/>
      </w:pPr>
      <w:r>
        <w:t>Table 6: Dimension 3 – territorial delivery mechanism and territorial focus</w:t>
      </w:r>
    </w:p>
    <w:p w14:paraId="14F77C73"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682852A" w14:textId="77777777" w:rsidTr="00355A56">
        <w:trPr>
          <w:trHeight w:val="353"/>
        </w:trPr>
        <w:tc>
          <w:tcPr>
            <w:tcW w:w="2088" w:type="dxa"/>
          </w:tcPr>
          <w:p w14:paraId="756E012B" w14:textId="77777777" w:rsidR="00DD13BF" w:rsidRDefault="00DD13BF" w:rsidP="00355A56">
            <w:pPr>
              <w:pStyle w:val="TableParagraph"/>
              <w:ind w:left="115"/>
            </w:pPr>
            <w:r>
              <w:t>Priority no.</w:t>
            </w:r>
          </w:p>
        </w:tc>
        <w:tc>
          <w:tcPr>
            <w:tcW w:w="1133" w:type="dxa"/>
          </w:tcPr>
          <w:p w14:paraId="182FD412" w14:textId="77777777" w:rsidR="00DD13BF" w:rsidRDefault="00DD13BF" w:rsidP="00355A56">
            <w:pPr>
              <w:pStyle w:val="TableParagraph"/>
              <w:ind w:left="320"/>
            </w:pPr>
            <w:r>
              <w:t>Fund</w:t>
            </w:r>
          </w:p>
        </w:tc>
        <w:tc>
          <w:tcPr>
            <w:tcW w:w="3249" w:type="dxa"/>
          </w:tcPr>
          <w:p w14:paraId="7DE77D58" w14:textId="77777777" w:rsidR="00DD13BF" w:rsidRDefault="00DD13BF" w:rsidP="00355A56">
            <w:pPr>
              <w:pStyle w:val="TableParagraph"/>
              <w:ind w:left="908"/>
            </w:pPr>
            <w:r>
              <w:t>Category of region</w:t>
            </w:r>
          </w:p>
        </w:tc>
        <w:tc>
          <w:tcPr>
            <w:tcW w:w="3099" w:type="dxa"/>
          </w:tcPr>
          <w:p w14:paraId="34C08BC3" w14:textId="77777777" w:rsidR="00DD13BF" w:rsidRDefault="00DD13BF" w:rsidP="00355A56">
            <w:pPr>
              <w:pStyle w:val="TableParagraph"/>
              <w:ind w:left="950"/>
            </w:pPr>
            <w:r>
              <w:t>Specific objective</w:t>
            </w:r>
          </w:p>
        </w:tc>
        <w:tc>
          <w:tcPr>
            <w:tcW w:w="1161" w:type="dxa"/>
          </w:tcPr>
          <w:p w14:paraId="59BE75CE" w14:textId="77777777" w:rsidR="00DD13BF" w:rsidRDefault="00DD13BF" w:rsidP="00355A56">
            <w:pPr>
              <w:pStyle w:val="TableParagraph"/>
              <w:ind w:left="336"/>
            </w:pPr>
            <w:r>
              <w:t>Code</w:t>
            </w:r>
          </w:p>
        </w:tc>
        <w:tc>
          <w:tcPr>
            <w:tcW w:w="2731" w:type="dxa"/>
          </w:tcPr>
          <w:p w14:paraId="7ABA41FD" w14:textId="77777777" w:rsidR="00DD13BF" w:rsidRDefault="00DD13BF" w:rsidP="00355A56">
            <w:pPr>
              <w:pStyle w:val="TableParagraph"/>
              <w:ind w:left="664"/>
            </w:pPr>
            <w:r>
              <w:t>Amount (in EUR)</w:t>
            </w:r>
          </w:p>
        </w:tc>
      </w:tr>
      <w:tr w:rsidR="00DD13BF" w14:paraId="495465F0" w14:textId="77777777" w:rsidTr="00355A56">
        <w:trPr>
          <w:trHeight w:val="353"/>
        </w:trPr>
        <w:tc>
          <w:tcPr>
            <w:tcW w:w="2088" w:type="dxa"/>
            <w:shd w:val="clear" w:color="auto" w:fill="auto"/>
          </w:tcPr>
          <w:p w14:paraId="683B78A4" w14:textId="77777777" w:rsidR="00DD13BF" w:rsidRPr="00676531" w:rsidRDefault="00DD13BF" w:rsidP="00355A56">
            <w:pPr>
              <w:pStyle w:val="TableParagraph"/>
              <w:rPr>
                <w:sz w:val="20"/>
              </w:rPr>
            </w:pPr>
            <w:r>
              <w:t>3</w:t>
            </w:r>
          </w:p>
        </w:tc>
        <w:tc>
          <w:tcPr>
            <w:tcW w:w="1133" w:type="dxa"/>
            <w:shd w:val="clear" w:color="auto" w:fill="auto"/>
          </w:tcPr>
          <w:p w14:paraId="4C902A5B" w14:textId="77777777" w:rsidR="00DD13BF" w:rsidRPr="00676531" w:rsidRDefault="00DD13BF" w:rsidP="00355A56">
            <w:pPr>
              <w:pStyle w:val="TableParagraph"/>
              <w:rPr>
                <w:sz w:val="20"/>
              </w:rPr>
            </w:pPr>
            <w:r>
              <w:rPr>
                <w:sz w:val="20"/>
              </w:rPr>
              <w:t>ERDF</w:t>
            </w:r>
          </w:p>
        </w:tc>
        <w:tc>
          <w:tcPr>
            <w:tcW w:w="3249" w:type="dxa"/>
            <w:shd w:val="clear" w:color="auto" w:fill="auto"/>
          </w:tcPr>
          <w:p w14:paraId="51B5CBC9" w14:textId="77777777" w:rsidR="00DD13BF" w:rsidRPr="00676531" w:rsidRDefault="00DD13BF" w:rsidP="00355A56">
            <w:pPr>
              <w:pStyle w:val="TableParagraph"/>
              <w:rPr>
                <w:sz w:val="20"/>
              </w:rPr>
            </w:pPr>
            <w:r>
              <w:rPr>
                <w:sz w:val="20"/>
              </w:rPr>
              <w:t>Less developed</w:t>
            </w:r>
          </w:p>
        </w:tc>
        <w:tc>
          <w:tcPr>
            <w:tcW w:w="3099" w:type="dxa"/>
            <w:shd w:val="clear" w:color="auto" w:fill="auto"/>
          </w:tcPr>
          <w:p w14:paraId="4657B8FB" w14:textId="77777777" w:rsidR="00DD13BF" w:rsidRPr="00676531" w:rsidRDefault="00DD13BF" w:rsidP="00355A56">
            <w:pPr>
              <w:pStyle w:val="TableParagraph"/>
              <w:rPr>
                <w:sz w:val="20"/>
              </w:rPr>
            </w:pPr>
            <w:r>
              <w:rPr>
                <w:color w:val="000000"/>
                <w:sz w:val="20"/>
              </w:rPr>
              <w:t>RSO2.7</w:t>
            </w:r>
          </w:p>
        </w:tc>
        <w:tc>
          <w:tcPr>
            <w:tcW w:w="1161" w:type="dxa"/>
            <w:shd w:val="clear" w:color="auto" w:fill="auto"/>
          </w:tcPr>
          <w:p w14:paraId="2E6062A8" w14:textId="77777777" w:rsidR="00DD13BF" w:rsidRPr="00676531" w:rsidRDefault="00DD13BF" w:rsidP="00355A56">
            <w:pPr>
              <w:pStyle w:val="TableParagraph"/>
              <w:rPr>
                <w:sz w:val="20"/>
              </w:rPr>
            </w:pPr>
            <w:r>
              <w:rPr>
                <w:sz w:val="20"/>
              </w:rPr>
              <w:t>02</w:t>
            </w:r>
          </w:p>
        </w:tc>
        <w:tc>
          <w:tcPr>
            <w:tcW w:w="2731" w:type="dxa"/>
            <w:shd w:val="clear" w:color="auto" w:fill="auto"/>
          </w:tcPr>
          <w:p w14:paraId="42B588F8" w14:textId="77777777" w:rsidR="00DD13BF" w:rsidRDefault="00DD13BF" w:rsidP="00355A56">
            <w:pPr>
              <w:pStyle w:val="TableParagraph"/>
              <w:rPr>
                <w:sz w:val="20"/>
              </w:rPr>
            </w:pPr>
            <w:r>
              <w:rPr>
                <w:sz w:val="20"/>
              </w:rPr>
              <w:t>11,970,440</w:t>
            </w:r>
          </w:p>
        </w:tc>
      </w:tr>
      <w:tr w:rsidR="00DD13BF" w14:paraId="34C5BF2A" w14:textId="77777777" w:rsidTr="00355A56">
        <w:trPr>
          <w:trHeight w:val="353"/>
        </w:trPr>
        <w:tc>
          <w:tcPr>
            <w:tcW w:w="2088" w:type="dxa"/>
          </w:tcPr>
          <w:p w14:paraId="45D78BD8" w14:textId="77777777" w:rsidR="00DD13BF" w:rsidRPr="00E72AB9" w:rsidRDefault="00DD13BF" w:rsidP="00355A56">
            <w:pPr>
              <w:pStyle w:val="TableParagraph"/>
            </w:pPr>
            <w:r>
              <w:t>3</w:t>
            </w:r>
          </w:p>
        </w:tc>
        <w:tc>
          <w:tcPr>
            <w:tcW w:w="1133" w:type="dxa"/>
          </w:tcPr>
          <w:p w14:paraId="791CA745" w14:textId="77777777" w:rsidR="00DD13BF" w:rsidRPr="00585061" w:rsidRDefault="00DD13BF" w:rsidP="00355A56">
            <w:pPr>
              <w:pStyle w:val="TableParagraph"/>
              <w:rPr>
                <w:sz w:val="20"/>
              </w:rPr>
            </w:pPr>
            <w:r>
              <w:rPr>
                <w:sz w:val="20"/>
              </w:rPr>
              <w:t>ERDF</w:t>
            </w:r>
          </w:p>
        </w:tc>
        <w:tc>
          <w:tcPr>
            <w:tcW w:w="3249" w:type="dxa"/>
          </w:tcPr>
          <w:p w14:paraId="5B49FF0C" w14:textId="77777777" w:rsidR="00DD13BF" w:rsidRPr="00585061" w:rsidRDefault="00DD13BF" w:rsidP="00355A56">
            <w:pPr>
              <w:pStyle w:val="TableParagraph"/>
              <w:rPr>
                <w:sz w:val="20"/>
              </w:rPr>
            </w:pPr>
            <w:r>
              <w:rPr>
                <w:sz w:val="20"/>
              </w:rPr>
              <w:t>More developed</w:t>
            </w:r>
          </w:p>
        </w:tc>
        <w:tc>
          <w:tcPr>
            <w:tcW w:w="3099" w:type="dxa"/>
          </w:tcPr>
          <w:p w14:paraId="40CA484D" w14:textId="77777777" w:rsidR="00DD13BF" w:rsidRPr="00585061" w:rsidRDefault="00DD13BF" w:rsidP="00355A56">
            <w:pPr>
              <w:pStyle w:val="TableParagraph"/>
              <w:rPr>
                <w:sz w:val="20"/>
              </w:rPr>
            </w:pPr>
            <w:r>
              <w:rPr>
                <w:color w:val="000000"/>
                <w:sz w:val="20"/>
              </w:rPr>
              <w:t>RSO2.7</w:t>
            </w:r>
          </w:p>
        </w:tc>
        <w:tc>
          <w:tcPr>
            <w:tcW w:w="1161" w:type="dxa"/>
          </w:tcPr>
          <w:p w14:paraId="2B447CC1" w14:textId="77777777" w:rsidR="00DD13BF" w:rsidRPr="009422CB" w:rsidRDefault="00DD13BF" w:rsidP="00355A56">
            <w:pPr>
              <w:pStyle w:val="TableParagraph"/>
              <w:rPr>
                <w:sz w:val="20"/>
              </w:rPr>
            </w:pPr>
            <w:r>
              <w:rPr>
                <w:sz w:val="20"/>
              </w:rPr>
              <w:t>02</w:t>
            </w:r>
          </w:p>
        </w:tc>
        <w:tc>
          <w:tcPr>
            <w:tcW w:w="2731" w:type="dxa"/>
          </w:tcPr>
          <w:p w14:paraId="7D72B63A" w14:textId="77777777" w:rsidR="00DD13BF" w:rsidRDefault="00DD13BF" w:rsidP="00355A56">
            <w:pPr>
              <w:pStyle w:val="TableParagraph"/>
              <w:rPr>
                <w:sz w:val="20"/>
              </w:rPr>
            </w:pPr>
            <w:r>
              <w:rPr>
                <w:sz w:val="20"/>
              </w:rPr>
              <w:t>4,677,209</w:t>
            </w:r>
          </w:p>
        </w:tc>
      </w:tr>
      <w:tr w:rsidR="00DD13BF" w14:paraId="07F68DAF" w14:textId="77777777" w:rsidTr="00355A56">
        <w:trPr>
          <w:trHeight w:val="353"/>
        </w:trPr>
        <w:tc>
          <w:tcPr>
            <w:tcW w:w="2088" w:type="dxa"/>
          </w:tcPr>
          <w:p w14:paraId="21437DE9" w14:textId="77777777" w:rsidR="00DD13BF" w:rsidRPr="00E72AB9" w:rsidRDefault="00DD13BF" w:rsidP="00355A56">
            <w:pPr>
              <w:pStyle w:val="TableParagraph"/>
            </w:pPr>
            <w:r>
              <w:rPr>
                <w:sz w:val="20"/>
              </w:rPr>
              <w:t>3</w:t>
            </w:r>
          </w:p>
        </w:tc>
        <w:tc>
          <w:tcPr>
            <w:tcW w:w="1133" w:type="dxa"/>
          </w:tcPr>
          <w:p w14:paraId="35420A58" w14:textId="77777777" w:rsidR="00DD13BF" w:rsidRPr="00585061" w:rsidRDefault="00DD13BF" w:rsidP="00355A56">
            <w:pPr>
              <w:pStyle w:val="TableParagraph"/>
              <w:rPr>
                <w:sz w:val="20"/>
              </w:rPr>
            </w:pPr>
            <w:r>
              <w:rPr>
                <w:sz w:val="20"/>
              </w:rPr>
              <w:t>ERDF</w:t>
            </w:r>
          </w:p>
        </w:tc>
        <w:tc>
          <w:tcPr>
            <w:tcW w:w="3249" w:type="dxa"/>
          </w:tcPr>
          <w:p w14:paraId="41939C5F" w14:textId="77777777" w:rsidR="00DD13BF" w:rsidRPr="00585061" w:rsidRDefault="00DD13BF" w:rsidP="00355A56">
            <w:pPr>
              <w:pStyle w:val="TableParagraph"/>
              <w:rPr>
                <w:sz w:val="20"/>
              </w:rPr>
            </w:pPr>
            <w:r>
              <w:rPr>
                <w:sz w:val="20"/>
              </w:rPr>
              <w:t>Less developed</w:t>
            </w:r>
          </w:p>
        </w:tc>
        <w:tc>
          <w:tcPr>
            <w:tcW w:w="3099" w:type="dxa"/>
          </w:tcPr>
          <w:p w14:paraId="56E2D083" w14:textId="77777777" w:rsidR="00DD13BF" w:rsidRDefault="00DD13BF" w:rsidP="00355A56">
            <w:pPr>
              <w:pStyle w:val="TableParagraph"/>
              <w:rPr>
                <w:sz w:val="20"/>
              </w:rPr>
            </w:pPr>
            <w:r>
              <w:rPr>
                <w:color w:val="000000"/>
                <w:sz w:val="20"/>
              </w:rPr>
              <w:t>RSO2.7</w:t>
            </w:r>
          </w:p>
        </w:tc>
        <w:tc>
          <w:tcPr>
            <w:tcW w:w="1161" w:type="dxa"/>
          </w:tcPr>
          <w:p w14:paraId="56660FEC" w14:textId="77777777" w:rsidR="00DD13BF" w:rsidRPr="009422CB" w:rsidRDefault="00DD13BF" w:rsidP="00355A56">
            <w:pPr>
              <w:pStyle w:val="TableParagraph"/>
              <w:rPr>
                <w:sz w:val="20"/>
              </w:rPr>
            </w:pPr>
            <w:r>
              <w:rPr>
                <w:sz w:val="20"/>
              </w:rPr>
              <w:t>24</w:t>
            </w:r>
          </w:p>
        </w:tc>
        <w:tc>
          <w:tcPr>
            <w:tcW w:w="2731" w:type="dxa"/>
          </w:tcPr>
          <w:p w14:paraId="247DC4E0" w14:textId="77777777" w:rsidR="00DD13BF" w:rsidRDefault="00DD13BF" w:rsidP="00355A56">
            <w:pPr>
              <w:pStyle w:val="TableParagraph"/>
              <w:rPr>
                <w:sz w:val="20"/>
              </w:rPr>
            </w:pPr>
            <w:r>
              <w:rPr>
                <w:sz w:val="20"/>
              </w:rPr>
              <w:t>10,451,259</w:t>
            </w:r>
          </w:p>
        </w:tc>
      </w:tr>
      <w:tr w:rsidR="00DD13BF" w14:paraId="58C26FAC" w14:textId="77777777" w:rsidTr="00355A56">
        <w:trPr>
          <w:trHeight w:val="353"/>
        </w:trPr>
        <w:tc>
          <w:tcPr>
            <w:tcW w:w="2088" w:type="dxa"/>
          </w:tcPr>
          <w:p w14:paraId="18A630EB" w14:textId="77777777" w:rsidR="00DD13BF" w:rsidRPr="00E72AB9" w:rsidRDefault="00DD13BF" w:rsidP="00355A56">
            <w:pPr>
              <w:pStyle w:val="TableParagraph"/>
            </w:pPr>
            <w:r>
              <w:rPr>
                <w:sz w:val="20"/>
              </w:rPr>
              <w:t>3</w:t>
            </w:r>
          </w:p>
        </w:tc>
        <w:tc>
          <w:tcPr>
            <w:tcW w:w="1133" w:type="dxa"/>
          </w:tcPr>
          <w:p w14:paraId="3AAF5FA5" w14:textId="77777777" w:rsidR="00DD13BF" w:rsidRPr="00585061" w:rsidRDefault="00DD13BF" w:rsidP="00355A56">
            <w:pPr>
              <w:pStyle w:val="TableParagraph"/>
              <w:rPr>
                <w:sz w:val="20"/>
              </w:rPr>
            </w:pPr>
            <w:r>
              <w:rPr>
                <w:sz w:val="20"/>
              </w:rPr>
              <w:t>ERDF</w:t>
            </w:r>
          </w:p>
        </w:tc>
        <w:tc>
          <w:tcPr>
            <w:tcW w:w="3249" w:type="dxa"/>
          </w:tcPr>
          <w:p w14:paraId="74F50039" w14:textId="77777777" w:rsidR="00DD13BF" w:rsidRPr="00585061" w:rsidRDefault="00DD13BF" w:rsidP="00355A56">
            <w:pPr>
              <w:pStyle w:val="TableParagraph"/>
              <w:rPr>
                <w:sz w:val="20"/>
              </w:rPr>
            </w:pPr>
            <w:r>
              <w:rPr>
                <w:sz w:val="20"/>
              </w:rPr>
              <w:t>More developed</w:t>
            </w:r>
          </w:p>
        </w:tc>
        <w:tc>
          <w:tcPr>
            <w:tcW w:w="3099" w:type="dxa"/>
          </w:tcPr>
          <w:p w14:paraId="76168F41" w14:textId="77777777" w:rsidR="00DD13BF" w:rsidRDefault="00DD13BF" w:rsidP="00355A56">
            <w:pPr>
              <w:pStyle w:val="TableParagraph"/>
              <w:rPr>
                <w:sz w:val="20"/>
              </w:rPr>
            </w:pPr>
            <w:r>
              <w:rPr>
                <w:color w:val="000000"/>
                <w:sz w:val="20"/>
              </w:rPr>
              <w:t>RSO2.7</w:t>
            </w:r>
          </w:p>
        </w:tc>
        <w:tc>
          <w:tcPr>
            <w:tcW w:w="1161" w:type="dxa"/>
          </w:tcPr>
          <w:p w14:paraId="5A8296E4" w14:textId="77777777" w:rsidR="00DD13BF" w:rsidRPr="009422CB" w:rsidRDefault="00DD13BF" w:rsidP="00355A56">
            <w:pPr>
              <w:pStyle w:val="TableParagraph"/>
              <w:rPr>
                <w:sz w:val="20"/>
              </w:rPr>
            </w:pPr>
            <w:r>
              <w:rPr>
                <w:sz w:val="20"/>
              </w:rPr>
              <w:t>24</w:t>
            </w:r>
          </w:p>
        </w:tc>
        <w:tc>
          <w:tcPr>
            <w:tcW w:w="2731" w:type="dxa"/>
          </w:tcPr>
          <w:p w14:paraId="5EE3806B" w14:textId="77777777" w:rsidR="00DD13BF" w:rsidRDefault="00DD13BF" w:rsidP="00355A56">
            <w:pPr>
              <w:pStyle w:val="TableParagraph"/>
              <w:rPr>
                <w:sz w:val="20"/>
              </w:rPr>
            </w:pPr>
            <w:r>
              <w:rPr>
                <w:sz w:val="20"/>
              </w:rPr>
              <w:t>6,992,393</w:t>
            </w:r>
          </w:p>
        </w:tc>
      </w:tr>
      <w:tr w:rsidR="00DD13BF" w14:paraId="58F04C08" w14:textId="77777777" w:rsidTr="00355A56">
        <w:trPr>
          <w:trHeight w:val="353"/>
        </w:trPr>
        <w:tc>
          <w:tcPr>
            <w:tcW w:w="2088" w:type="dxa"/>
            <w:shd w:val="clear" w:color="auto" w:fill="auto"/>
          </w:tcPr>
          <w:p w14:paraId="3642FB6B" w14:textId="77777777" w:rsidR="00DD13BF" w:rsidRDefault="00DD13BF" w:rsidP="00355A56">
            <w:pPr>
              <w:pStyle w:val="TableParagraph"/>
              <w:rPr>
                <w:sz w:val="20"/>
              </w:rPr>
            </w:pPr>
            <w:r>
              <w:rPr>
                <w:sz w:val="20"/>
              </w:rPr>
              <w:t>3</w:t>
            </w:r>
          </w:p>
        </w:tc>
        <w:tc>
          <w:tcPr>
            <w:tcW w:w="1133" w:type="dxa"/>
            <w:shd w:val="clear" w:color="auto" w:fill="auto"/>
          </w:tcPr>
          <w:p w14:paraId="42B3FADB" w14:textId="77777777" w:rsidR="00DD13BF" w:rsidRDefault="00DD13BF" w:rsidP="00355A56">
            <w:pPr>
              <w:pStyle w:val="TableParagraph"/>
              <w:rPr>
                <w:sz w:val="20"/>
              </w:rPr>
            </w:pPr>
            <w:r>
              <w:rPr>
                <w:sz w:val="20"/>
              </w:rPr>
              <w:t>ERDF</w:t>
            </w:r>
          </w:p>
        </w:tc>
        <w:tc>
          <w:tcPr>
            <w:tcW w:w="3249" w:type="dxa"/>
            <w:shd w:val="clear" w:color="auto" w:fill="auto"/>
          </w:tcPr>
          <w:p w14:paraId="0DAB8C3D" w14:textId="77777777" w:rsidR="00DD13BF" w:rsidRDefault="00DD13BF" w:rsidP="00355A56">
            <w:pPr>
              <w:pStyle w:val="TableParagraph"/>
              <w:rPr>
                <w:sz w:val="20"/>
              </w:rPr>
            </w:pPr>
            <w:r>
              <w:rPr>
                <w:sz w:val="20"/>
              </w:rPr>
              <w:t>Less developed</w:t>
            </w:r>
          </w:p>
        </w:tc>
        <w:tc>
          <w:tcPr>
            <w:tcW w:w="3099" w:type="dxa"/>
            <w:shd w:val="clear" w:color="auto" w:fill="auto"/>
          </w:tcPr>
          <w:p w14:paraId="092FAA20" w14:textId="77777777" w:rsidR="00DD13BF" w:rsidRPr="00E24EDA" w:rsidRDefault="00DD13BF" w:rsidP="00355A56">
            <w:pPr>
              <w:pStyle w:val="TableParagraph"/>
              <w:rPr>
                <w:sz w:val="20"/>
              </w:rPr>
            </w:pPr>
            <w:r>
              <w:rPr>
                <w:color w:val="000000"/>
                <w:sz w:val="20"/>
              </w:rPr>
              <w:t>RSO2.7</w:t>
            </w:r>
          </w:p>
        </w:tc>
        <w:tc>
          <w:tcPr>
            <w:tcW w:w="1161" w:type="dxa"/>
            <w:shd w:val="clear" w:color="auto" w:fill="auto"/>
          </w:tcPr>
          <w:p w14:paraId="049E3651" w14:textId="77777777" w:rsidR="00DD13BF" w:rsidRPr="00AE32C4" w:rsidRDefault="00DD13BF" w:rsidP="00355A56">
            <w:pPr>
              <w:pStyle w:val="TableParagraph"/>
              <w:rPr>
                <w:sz w:val="20"/>
                <w:highlight w:val="yellow"/>
              </w:rPr>
            </w:pPr>
            <w:r>
              <w:rPr>
                <w:sz w:val="20"/>
              </w:rPr>
              <w:t>33</w:t>
            </w:r>
          </w:p>
        </w:tc>
        <w:tc>
          <w:tcPr>
            <w:tcW w:w="2731" w:type="dxa"/>
            <w:shd w:val="clear" w:color="auto" w:fill="auto"/>
          </w:tcPr>
          <w:p w14:paraId="449666BD" w14:textId="77777777" w:rsidR="00DD13BF" w:rsidRDefault="00DD13BF" w:rsidP="00355A56">
            <w:pPr>
              <w:pStyle w:val="TableParagraph"/>
              <w:rPr>
                <w:sz w:val="20"/>
              </w:rPr>
            </w:pPr>
            <w:r>
              <w:rPr>
                <w:sz w:val="20"/>
              </w:rPr>
              <w:t>29,611,978</w:t>
            </w:r>
          </w:p>
        </w:tc>
      </w:tr>
      <w:tr w:rsidR="00DD13BF" w14:paraId="18E5AB37" w14:textId="77777777" w:rsidTr="00355A56">
        <w:trPr>
          <w:trHeight w:val="353"/>
        </w:trPr>
        <w:tc>
          <w:tcPr>
            <w:tcW w:w="2088" w:type="dxa"/>
            <w:shd w:val="clear" w:color="auto" w:fill="auto"/>
          </w:tcPr>
          <w:p w14:paraId="15A1B3EA" w14:textId="77777777" w:rsidR="00DD13BF" w:rsidRDefault="00DD13BF" w:rsidP="00355A56">
            <w:pPr>
              <w:pStyle w:val="TableParagraph"/>
              <w:rPr>
                <w:sz w:val="20"/>
              </w:rPr>
            </w:pPr>
            <w:r>
              <w:rPr>
                <w:sz w:val="20"/>
              </w:rPr>
              <w:t>3</w:t>
            </w:r>
          </w:p>
        </w:tc>
        <w:tc>
          <w:tcPr>
            <w:tcW w:w="1133" w:type="dxa"/>
            <w:shd w:val="clear" w:color="auto" w:fill="auto"/>
          </w:tcPr>
          <w:p w14:paraId="777FC5C9" w14:textId="77777777" w:rsidR="00DD13BF" w:rsidRDefault="00DD13BF" w:rsidP="00355A56">
            <w:pPr>
              <w:pStyle w:val="TableParagraph"/>
              <w:rPr>
                <w:sz w:val="20"/>
              </w:rPr>
            </w:pPr>
            <w:r>
              <w:rPr>
                <w:sz w:val="20"/>
              </w:rPr>
              <w:t>ERDF</w:t>
            </w:r>
          </w:p>
        </w:tc>
        <w:tc>
          <w:tcPr>
            <w:tcW w:w="3249" w:type="dxa"/>
            <w:shd w:val="clear" w:color="auto" w:fill="auto"/>
          </w:tcPr>
          <w:p w14:paraId="7BD3AF8B" w14:textId="77777777" w:rsidR="00DD13BF" w:rsidRDefault="00DD13BF" w:rsidP="00355A56">
            <w:pPr>
              <w:pStyle w:val="TableParagraph"/>
              <w:rPr>
                <w:sz w:val="20"/>
              </w:rPr>
            </w:pPr>
            <w:r>
              <w:rPr>
                <w:sz w:val="20"/>
              </w:rPr>
              <w:t>More developed</w:t>
            </w:r>
          </w:p>
        </w:tc>
        <w:tc>
          <w:tcPr>
            <w:tcW w:w="3099" w:type="dxa"/>
            <w:shd w:val="clear" w:color="auto" w:fill="auto"/>
          </w:tcPr>
          <w:p w14:paraId="03026DB2" w14:textId="77777777" w:rsidR="00DD13BF" w:rsidRPr="005E591E" w:rsidRDefault="00DD13BF" w:rsidP="00355A56">
            <w:pPr>
              <w:pStyle w:val="TableParagraph"/>
              <w:rPr>
                <w:color w:val="000000"/>
                <w:sz w:val="20"/>
              </w:rPr>
            </w:pPr>
            <w:r>
              <w:rPr>
                <w:color w:val="000000"/>
                <w:sz w:val="20"/>
              </w:rPr>
              <w:t>RSO2.7</w:t>
            </w:r>
          </w:p>
        </w:tc>
        <w:tc>
          <w:tcPr>
            <w:tcW w:w="1161" w:type="dxa"/>
            <w:shd w:val="clear" w:color="auto" w:fill="auto"/>
          </w:tcPr>
          <w:p w14:paraId="0F37056E" w14:textId="77777777" w:rsidR="00DD13BF" w:rsidRDefault="00DD13BF" w:rsidP="00355A56">
            <w:pPr>
              <w:pStyle w:val="TableParagraph"/>
              <w:rPr>
                <w:sz w:val="20"/>
              </w:rPr>
            </w:pPr>
            <w:r>
              <w:rPr>
                <w:sz w:val="20"/>
              </w:rPr>
              <w:t>33</w:t>
            </w:r>
          </w:p>
        </w:tc>
        <w:tc>
          <w:tcPr>
            <w:tcW w:w="2731" w:type="dxa"/>
            <w:shd w:val="clear" w:color="auto" w:fill="auto"/>
          </w:tcPr>
          <w:p w14:paraId="4CD8168B" w14:textId="77777777" w:rsidR="00DD13BF" w:rsidRPr="00C94742" w:rsidRDefault="00DD13BF" w:rsidP="00355A56">
            <w:pPr>
              <w:pStyle w:val="TableParagraph"/>
              <w:rPr>
                <w:sz w:val="20"/>
              </w:rPr>
            </w:pPr>
            <w:r>
              <w:rPr>
                <w:sz w:val="20"/>
              </w:rPr>
              <w:t>16,475,942</w:t>
            </w:r>
          </w:p>
        </w:tc>
      </w:tr>
      <w:tr w:rsidR="00DD13BF" w14:paraId="500AB89D" w14:textId="77777777" w:rsidTr="00355A56">
        <w:trPr>
          <w:trHeight w:val="353"/>
        </w:trPr>
        <w:tc>
          <w:tcPr>
            <w:tcW w:w="2088" w:type="dxa"/>
            <w:shd w:val="clear" w:color="auto" w:fill="auto"/>
          </w:tcPr>
          <w:p w14:paraId="3DE612DB" w14:textId="77777777" w:rsidR="00DD13BF" w:rsidRDefault="00DD13BF" w:rsidP="00355A56">
            <w:pPr>
              <w:pStyle w:val="TableParagraph"/>
              <w:rPr>
                <w:sz w:val="20"/>
              </w:rPr>
            </w:pPr>
            <w:r>
              <w:rPr>
                <w:sz w:val="20"/>
              </w:rPr>
              <w:t>3</w:t>
            </w:r>
          </w:p>
        </w:tc>
        <w:tc>
          <w:tcPr>
            <w:tcW w:w="1133" w:type="dxa"/>
            <w:shd w:val="clear" w:color="auto" w:fill="auto"/>
          </w:tcPr>
          <w:p w14:paraId="3E6E260A" w14:textId="77777777" w:rsidR="00DD13BF" w:rsidRDefault="00DD13BF" w:rsidP="00355A56">
            <w:pPr>
              <w:pStyle w:val="TableParagraph"/>
              <w:rPr>
                <w:sz w:val="20"/>
              </w:rPr>
            </w:pPr>
            <w:r>
              <w:rPr>
                <w:sz w:val="20"/>
              </w:rPr>
              <w:t>CF</w:t>
            </w:r>
          </w:p>
        </w:tc>
        <w:tc>
          <w:tcPr>
            <w:tcW w:w="3249" w:type="dxa"/>
            <w:shd w:val="clear" w:color="auto" w:fill="auto"/>
          </w:tcPr>
          <w:p w14:paraId="22B6163E" w14:textId="77777777" w:rsidR="00DD13BF" w:rsidRDefault="00DD13BF" w:rsidP="00355A56">
            <w:pPr>
              <w:pStyle w:val="TableParagraph"/>
              <w:rPr>
                <w:sz w:val="20"/>
              </w:rPr>
            </w:pPr>
            <w:r>
              <w:rPr>
                <w:sz w:val="20"/>
              </w:rPr>
              <w:t>Entire Slovenia</w:t>
            </w:r>
          </w:p>
        </w:tc>
        <w:tc>
          <w:tcPr>
            <w:tcW w:w="3099" w:type="dxa"/>
            <w:shd w:val="clear" w:color="auto" w:fill="auto"/>
          </w:tcPr>
          <w:p w14:paraId="3E7FFC60" w14:textId="77777777" w:rsidR="00DD13BF" w:rsidRDefault="00DD13BF" w:rsidP="00355A56">
            <w:pPr>
              <w:pStyle w:val="TableParagraph"/>
              <w:rPr>
                <w:sz w:val="20"/>
              </w:rPr>
            </w:pPr>
            <w:r>
              <w:rPr>
                <w:color w:val="000000"/>
                <w:sz w:val="20"/>
              </w:rPr>
              <w:t>RSO2.7</w:t>
            </w:r>
          </w:p>
        </w:tc>
        <w:tc>
          <w:tcPr>
            <w:tcW w:w="1161" w:type="dxa"/>
            <w:shd w:val="clear" w:color="auto" w:fill="auto"/>
          </w:tcPr>
          <w:p w14:paraId="4F01BD06" w14:textId="77777777" w:rsidR="00DD13BF" w:rsidRDefault="00DD13BF" w:rsidP="00355A56">
            <w:pPr>
              <w:pStyle w:val="TableParagraph"/>
              <w:rPr>
                <w:sz w:val="20"/>
              </w:rPr>
            </w:pPr>
            <w:r>
              <w:rPr>
                <w:sz w:val="20"/>
              </w:rPr>
              <w:t>33</w:t>
            </w:r>
          </w:p>
        </w:tc>
        <w:tc>
          <w:tcPr>
            <w:tcW w:w="2731" w:type="dxa"/>
            <w:shd w:val="clear" w:color="auto" w:fill="auto"/>
          </w:tcPr>
          <w:p w14:paraId="10BD7A55" w14:textId="77777777" w:rsidR="00DD13BF" w:rsidRDefault="00DD13BF" w:rsidP="00355A56">
            <w:pPr>
              <w:pStyle w:val="TableParagraph"/>
              <w:rPr>
                <w:sz w:val="20"/>
              </w:rPr>
            </w:pPr>
            <w:r>
              <w:rPr>
                <w:sz w:val="20"/>
              </w:rPr>
              <w:t>2,550,000</w:t>
            </w:r>
          </w:p>
        </w:tc>
      </w:tr>
    </w:tbl>
    <w:p w14:paraId="46593F8B" w14:textId="77777777" w:rsidR="00DD13BF" w:rsidRDefault="00DD13BF" w:rsidP="00DD13BF"/>
    <w:p w14:paraId="68E78F89" w14:textId="77777777" w:rsidR="00DD13BF" w:rsidRDefault="00DD13BF" w:rsidP="00DD13BF">
      <w:pPr>
        <w:ind w:left="339"/>
      </w:pPr>
      <w:r>
        <w:t>Table 7: Dimension 6 – ESF+ secondary themes</w:t>
      </w:r>
    </w:p>
    <w:p w14:paraId="167A6505"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27E305C" w14:textId="77777777" w:rsidTr="00355A56">
        <w:trPr>
          <w:trHeight w:val="353"/>
        </w:trPr>
        <w:tc>
          <w:tcPr>
            <w:tcW w:w="2088" w:type="dxa"/>
          </w:tcPr>
          <w:p w14:paraId="70823A05" w14:textId="77777777" w:rsidR="00DD13BF" w:rsidRDefault="00DD13BF" w:rsidP="00355A56">
            <w:pPr>
              <w:pStyle w:val="TableParagraph"/>
              <w:ind w:left="115"/>
            </w:pPr>
            <w:r>
              <w:t>Priority no.</w:t>
            </w:r>
          </w:p>
        </w:tc>
        <w:tc>
          <w:tcPr>
            <w:tcW w:w="1132" w:type="dxa"/>
          </w:tcPr>
          <w:p w14:paraId="4EF8BD6A" w14:textId="77777777" w:rsidR="00DD13BF" w:rsidRDefault="00DD13BF" w:rsidP="00355A56">
            <w:pPr>
              <w:pStyle w:val="TableParagraph"/>
              <w:ind w:left="321"/>
            </w:pPr>
            <w:r>
              <w:t>Fund</w:t>
            </w:r>
          </w:p>
        </w:tc>
        <w:tc>
          <w:tcPr>
            <w:tcW w:w="3248" w:type="dxa"/>
          </w:tcPr>
          <w:p w14:paraId="37875F0E" w14:textId="77777777" w:rsidR="00DD13BF" w:rsidRDefault="00DD13BF" w:rsidP="00355A56">
            <w:pPr>
              <w:pStyle w:val="TableParagraph"/>
              <w:ind w:left="909"/>
            </w:pPr>
            <w:r>
              <w:t>Category of region</w:t>
            </w:r>
          </w:p>
        </w:tc>
        <w:tc>
          <w:tcPr>
            <w:tcW w:w="3098" w:type="dxa"/>
          </w:tcPr>
          <w:p w14:paraId="5F5663DE" w14:textId="77777777" w:rsidR="00DD13BF" w:rsidRDefault="00DD13BF" w:rsidP="00355A56">
            <w:pPr>
              <w:pStyle w:val="TableParagraph"/>
              <w:ind w:left="950"/>
            </w:pPr>
            <w:r>
              <w:t>Specific objective</w:t>
            </w:r>
          </w:p>
        </w:tc>
        <w:tc>
          <w:tcPr>
            <w:tcW w:w="1160" w:type="dxa"/>
          </w:tcPr>
          <w:p w14:paraId="104215F1" w14:textId="77777777" w:rsidR="00DD13BF" w:rsidRDefault="00DD13BF" w:rsidP="00355A56">
            <w:pPr>
              <w:pStyle w:val="TableParagraph"/>
              <w:ind w:left="337"/>
            </w:pPr>
            <w:r>
              <w:t>Code</w:t>
            </w:r>
          </w:p>
        </w:tc>
        <w:tc>
          <w:tcPr>
            <w:tcW w:w="2730" w:type="dxa"/>
          </w:tcPr>
          <w:p w14:paraId="52506D4E" w14:textId="77777777" w:rsidR="00DD13BF" w:rsidRDefault="00DD13BF" w:rsidP="00355A56">
            <w:pPr>
              <w:pStyle w:val="TableParagraph"/>
              <w:ind w:left="665"/>
            </w:pPr>
            <w:r>
              <w:t>Amount (in EUR)</w:t>
            </w:r>
          </w:p>
        </w:tc>
      </w:tr>
    </w:tbl>
    <w:p w14:paraId="6E123041" w14:textId="77777777" w:rsidR="00DD13BF" w:rsidRPr="00673ADB" w:rsidRDefault="00DD13BF" w:rsidP="00DD13BF"/>
    <w:p w14:paraId="4AD2311D" w14:textId="77777777" w:rsidR="00DD13BF" w:rsidRDefault="00DD13BF" w:rsidP="00DD13BF">
      <w:pPr>
        <w:ind w:left="339"/>
      </w:pPr>
      <w:r>
        <w:t>Table 8: Dimension 7 – ESF+*, ERDF, Cohesion Fund and JTF gender equality dimension</w:t>
      </w:r>
    </w:p>
    <w:p w14:paraId="7CB2F6FB"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1FF7614" w14:textId="77777777" w:rsidTr="00355A56">
        <w:trPr>
          <w:trHeight w:val="353"/>
        </w:trPr>
        <w:tc>
          <w:tcPr>
            <w:tcW w:w="2088" w:type="dxa"/>
          </w:tcPr>
          <w:p w14:paraId="78B9E607" w14:textId="77777777" w:rsidR="00DD13BF" w:rsidRDefault="00DD13BF" w:rsidP="00355A56">
            <w:pPr>
              <w:pStyle w:val="TableParagraph"/>
              <w:ind w:left="115"/>
            </w:pPr>
            <w:r>
              <w:t>Priority no.</w:t>
            </w:r>
          </w:p>
        </w:tc>
        <w:tc>
          <w:tcPr>
            <w:tcW w:w="1132" w:type="dxa"/>
          </w:tcPr>
          <w:p w14:paraId="0EBA9BA6" w14:textId="77777777" w:rsidR="00DD13BF" w:rsidRDefault="00DD13BF" w:rsidP="00355A56">
            <w:pPr>
              <w:pStyle w:val="TableParagraph"/>
              <w:ind w:left="320"/>
            </w:pPr>
            <w:r>
              <w:t>Fund</w:t>
            </w:r>
          </w:p>
        </w:tc>
        <w:tc>
          <w:tcPr>
            <w:tcW w:w="3248" w:type="dxa"/>
          </w:tcPr>
          <w:p w14:paraId="27F1E195" w14:textId="77777777" w:rsidR="00DD13BF" w:rsidRDefault="00DD13BF" w:rsidP="00355A56">
            <w:pPr>
              <w:pStyle w:val="TableParagraph"/>
              <w:ind w:left="908"/>
            </w:pPr>
            <w:r>
              <w:t>Category of region</w:t>
            </w:r>
          </w:p>
        </w:tc>
        <w:tc>
          <w:tcPr>
            <w:tcW w:w="3098" w:type="dxa"/>
          </w:tcPr>
          <w:p w14:paraId="0567E667" w14:textId="77777777" w:rsidR="00DD13BF" w:rsidRDefault="00DD13BF" w:rsidP="00355A56">
            <w:pPr>
              <w:pStyle w:val="TableParagraph"/>
              <w:ind w:left="950"/>
            </w:pPr>
            <w:r>
              <w:t>Specific objective</w:t>
            </w:r>
          </w:p>
        </w:tc>
        <w:tc>
          <w:tcPr>
            <w:tcW w:w="1160" w:type="dxa"/>
          </w:tcPr>
          <w:p w14:paraId="7DFEA5A7" w14:textId="77777777" w:rsidR="00DD13BF" w:rsidRDefault="00DD13BF" w:rsidP="00355A56">
            <w:pPr>
              <w:pStyle w:val="TableParagraph"/>
              <w:ind w:left="336"/>
            </w:pPr>
            <w:r>
              <w:t>Code</w:t>
            </w:r>
          </w:p>
        </w:tc>
        <w:tc>
          <w:tcPr>
            <w:tcW w:w="2730" w:type="dxa"/>
          </w:tcPr>
          <w:p w14:paraId="2D25E643" w14:textId="77777777" w:rsidR="00DD13BF" w:rsidRDefault="00DD13BF" w:rsidP="00355A56">
            <w:pPr>
              <w:pStyle w:val="TableParagraph"/>
              <w:ind w:left="664"/>
            </w:pPr>
            <w:r>
              <w:t>Amount (in EUR)</w:t>
            </w:r>
          </w:p>
        </w:tc>
      </w:tr>
      <w:tr w:rsidR="00DD13BF" w14:paraId="2E091971" w14:textId="77777777" w:rsidTr="00355A56">
        <w:trPr>
          <w:trHeight w:val="353"/>
        </w:trPr>
        <w:tc>
          <w:tcPr>
            <w:tcW w:w="2088" w:type="dxa"/>
          </w:tcPr>
          <w:p w14:paraId="606199A8" w14:textId="77777777" w:rsidR="00DD13BF" w:rsidRDefault="00DD13BF" w:rsidP="00355A56">
            <w:pPr>
              <w:pStyle w:val="TableParagraph"/>
              <w:rPr>
                <w:sz w:val="20"/>
              </w:rPr>
            </w:pPr>
            <w:r>
              <w:rPr>
                <w:sz w:val="20"/>
              </w:rPr>
              <w:t>3</w:t>
            </w:r>
          </w:p>
        </w:tc>
        <w:tc>
          <w:tcPr>
            <w:tcW w:w="1132" w:type="dxa"/>
          </w:tcPr>
          <w:p w14:paraId="1B50AB4F" w14:textId="77777777" w:rsidR="00DD13BF" w:rsidRDefault="00DD13BF" w:rsidP="00355A56">
            <w:pPr>
              <w:pStyle w:val="TableParagraph"/>
              <w:rPr>
                <w:sz w:val="20"/>
              </w:rPr>
            </w:pPr>
            <w:r>
              <w:rPr>
                <w:sz w:val="20"/>
              </w:rPr>
              <w:t>CF</w:t>
            </w:r>
          </w:p>
        </w:tc>
        <w:tc>
          <w:tcPr>
            <w:tcW w:w="3248" w:type="dxa"/>
          </w:tcPr>
          <w:p w14:paraId="00C8B10C" w14:textId="77777777" w:rsidR="00DD13BF" w:rsidRDefault="00DD13BF" w:rsidP="00355A56">
            <w:pPr>
              <w:pStyle w:val="TableParagraph"/>
              <w:rPr>
                <w:sz w:val="20"/>
              </w:rPr>
            </w:pPr>
            <w:r>
              <w:rPr>
                <w:sz w:val="20"/>
              </w:rPr>
              <w:t>Entire Slovenia</w:t>
            </w:r>
          </w:p>
        </w:tc>
        <w:tc>
          <w:tcPr>
            <w:tcW w:w="3098" w:type="dxa"/>
          </w:tcPr>
          <w:p w14:paraId="2E3CC771" w14:textId="77777777" w:rsidR="00DD13BF" w:rsidRDefault="00DD13BF" w:rsidP="00355A56">
            <w:pPr>
              <w:pStyle w:val="TableParagraph"/>
              <w:rPr>
                <w:sz w:val="20"/>
              </w:rPr>
            </w:pPr>
            <w:r>
              <w:rPr>
                <w:color w:val="000000"/>
                <w:sz w:val="20"/>
              </w:rPr>
              <w:t>RSO2.7</w:t>
            </w:r>
          </w:p>
        </w:tc>
        <w:tc>
          <w:tcPr>
            <w:tcW w:w="1160" w:type="dxa"/>
          </w:tcPr>
          <w:p w14:paraId="6CBC08B9" w14:textId="77777777" w:rsidR="00DD13BF" w:rsidRDefault="00DD13BF" w:rsidP="00355A56">
            <w:pPr>
              <w:pStyle w:val="TableParagraph"/>
              <w:rPr>
                <w:sz w:val="20"/>
              </w:rPr>
            </w:pPr>
            <w:r>
              <w:rPr>
                <w:sz w:val="20"/>
              </w:rPr>
              <w:t>03</w:t>
            </w:r>
          </w:p>
        </w:tc>
        <w:tc>
          <w:tcPr>
            <w:tcW w:w="2730" w:type="dxa"/>
          </w:tcPr>
          <w:p w14:paraId="04A7A246" w14:textId="77777777" w:rsidR="00DD13BF" w:rsidRDefault="00DD13BF" w:rsidP="00355A56">
            <w:pPr>
              <w:pStyle w:val="TableParagraph"/>
              <w:rPr>
                <w:sz w:val="20"/>
              </w:rPr>
            </w:pPr>
            <w:r>
              <w:rPr>
                <w:sz w:val="20"/>
              </w:rPr>
              <w:t>2,550,000</w:t>
            </w:r>
          </w:p>
        </w:tc>
      </w:tr>
      <w:tr w:rsidR="00DD13BF" w14:paraId="68ECB584" w14:textId="77777777" w:rsidTr="00355A56">
        <w:trPr>
          <w:trHeight w:val="353"/>
        </w:trPr>
        <w:tc>
          <w:tcPr>
            <w:tcW w:w="2088" w:type="dxa"/>
          </w:tcPr>
          <w:p w14:paraId="2E21DEDE" w14:textId="77777777" w:rsidR="00DD13BF" w:rsidRDefault="00DD13BF" w:rsidP="00355A56">
            <w:pPr>
              <w:pStyle w:val="TableParagraph"/>
              <w:rPr>
                <w:sz w:val="20"/>
              </w:rPr>
            </w:pPr>
            <w:r>
              <w:rPr>
                <w:sz w:val="20"/>
              </w:rPr>
              <w:t>3</w:t>
            </w:r>
          </w:p>
        </w:tc>
        <w:tc>
          <w:tcPr>
            <w:tcW w:w="1132" w:type="dxa"/>
          </w:tcPr>
          <w:p w14:paraId="646FA3D1" w14:textId="77777777" w:rsidR="00DD13BF" w:rsidRDefault="00DD13BF" w:rsidP="00355A56">
            <w:pPr>
              <w:pStyle w:val="TableParagraph"/>
              <w:rPr>
                <w:sz w:val="20"/>
              </w:rPr>
            </w:pPr>
            <w:r>
              <w:rPr>
                <w:sz w:val="20"/>
              </w:rPr>
              <w:t>ERDF</w:t>
            </w:r>
          </w:p>
        </w:tc>
        <w:tc>
          <w:tcPr>
            <w:tcW w:w="3248" w:type="dxa"/>
          </w:tcPr>
          <w:p w14:paraId="29EC7978" w14:textId="77777777" w:rsidR="00DD13BF" w:rsidRDefault="00DD13BF" w:rsidP="00355A56">
            <w:pPr>
              <w:pStyle w:val="TableParagraph"/>
              <w:rPr>
                <w:sz w:val="20"/>
              </w:rPr>
            </w:pPr>
            <w:r>
              <w:rPr>
                <w:sz w:val="20"/>
              </w:rPr>
              <w:t>Less developed</w:t>
            </w:r>
          </w:p>
        </w:tc>
        <w:tc>
          <w:tcPr>
            <w:tcW w:w="3098" w:type="dxa"/>
          </w:tcPr>
          <w:p w14:paraId="6FFCC3B0" w14:textId="77777777" w:rsidR="00DD13BF" w:rsidRPr="00E24EDA" w:rsidRDefault="00DD13BF" w:rsidP="00355A56">
            <w:pPr>
              <w:pStyle w:val="TableParagraph"/>
              <w:rPr>
                <w:sz w:val="20"/>
              </w:rPr>
            </w:pPr>
            <w:r>
              <w:rPr>
                <w:color w:val="000000"/>
                <w:sz w:val="20"/>
              </w:rPr>
              <w:t>RSO2.7</w:t>
            </w:r>
          </w:p>
        </w:tc>
        <w:tc>
          <w:tcPr>
            <w:tcW w:w="1160" w:type="dxa"/>
          </w:tcPr>
          <w:p w14:paraId="4EEC21A3" w14:textId="77777777" w:rsidR="00DD13BF" w:rsidRPr="00564583" w:rsidRDefault="00DD13BF" w:rsidP="00355A56">
            <w:pPr>
              <w:pStyle w:val="TableParagraph"/>
              <w:rPr>
                <w:sz w:val="20"/>
              </w:rPr>
            </w:pPr>
            <w:r>
              <w:rPr>
                <w:sz w:val="20"/>
              </w:rPr>
              <w:t>03</w:t>
            </w:r>
          </w:p>
        </w:tc>
        <w:tc>
          <w:tcPr>
            <w:tcW w:w="2730" w:type="dxa"/>
          </w:tcPr>
          <w:p w14:paraId="53D336DE" w14:textId="77777777" w:rsidR="00DD13BF" w:rsidRPr="005F22BF" w:rsidRDefault="00DD13BF" w:rsidP="00355A56">
            <w:pPr>
              <w:pStyle w:val="TableParagraph"/>
              <w:rPr>
                <w:sz w:val="20"/>
              </w:rPr>
            </w:pPr>
            <w:r>
              <w:rPr>
                <w:sz w:val="20"/>
              </w:rPr>
              <w:t>52,033,677</w:t>
            </w:r>
          </w:p>
        </w:tc>
      </w:tr>
      <w:tr w:rsidR="00DD13BF" w14:paraId="6A69AE15" w14:textId="77777777" w:rsidTr="00355A56">
        <w:trPr>
          <w:trHeight w:val="353"/>
        </w:trPr>
        <w:tc>
          <w:tcPr>
            <w:tcW w:w="2088" w:type="dxa"/>
          </w:tcPr>
          <w:p w14:paraId="5BFC851C" w14:textId="77777777" w:rsidR="00DD13BF" w:rsidRDefault="00DD13BF" w:rsidP="00355A56">
            <w:pPr>
              <w:pStyle w:val="TableParagraph"/>
              <w:rPr>
                <w:sz w:val="20"/>
              </w:rPr>
            </w:pPr>
            <w:r>
              <w:rPr>
                <w:sz w:val="20"/>
              </w:rPr>
              <w:t>3</w:t>
            </w:r>
          </w:p>
        </w:tc>
        <w:tc>
          <w:tcPr>
            <w:tcW w:w="1132" w:type="dxa"/>
          </w:tcPr>
          <w:p w14:paraId="018B5C31" w14:textId="77777777" w:rsidR="00DD13BF" w:rsidRDefault="00DD13BF" w:rsidP="00355A56">
            <w:pPr>
              <w:pStyle w:val="TableParagraph"/>
              <w:rPr>
                <w:sz w:val="20"/>
              </w:rPr>
            </w:pPr>
            <w:r>
              <w:rPr>
                <w:sz w:val="20"/>
              </w:rPr>
              <w:t>ERDF</w:t>
            </w:r>
          </w:p>
        </w:tc>
        <w:tc>
          <w:tcPr>
            <w:tcW w:w="3248" w:type="dxa"/>
          </w:tcPr>
          <w:p w14:paraId="5A5C6F2F" w14:textId="77777777" w:rsidR="00DD13BF" w:rsidRDefault="00DD13BF" w:rsidP="00355A56">
            <w:pPr>
              <w:pStyle w:val="TableParagraph"/>
              <w:rPr>
                <w:sz w:val="20"/>
              </w:rPr>
            </w:pPr>
            <w:r>
              <w:rPr>
                <w:sz w:val="20"/>
              </w:rPr>
              <w:t>More developed</w:t>
            </w:r>
          </w:p>
        </w:tc>
        <w:tc>
          <w:tcPr>
            <w:tcW w:w="3098" w:type="dxa"/>
          </w:tcPr>
          <w:p w14:paraId="27223E6F" w14:textId="77777777" w:rsidR="00DD13BF" w:rsidRPr="00E24EDA" w:rsidRDefault="00DD13BF" w:rsidP="00355A56">
            <w:pPr>
              <w:pStyle w:val="TableParagraph"/>
              <w:rPr>
                <w:sz w:val="20"/>
              </w:rPr>
            </w:pPr>
            <w:r>
              <w:rPr>
                <w:color w:val="000000"/>
                <w:sz w:val="20"/>
              </w:rPr>
              <w:t>RSO2.7</w:t>
            </w:r>
          </w:p>
        </w:tc>
        <w:tc>
          <w:tcPr>
            <w:tcW w:w="1160" w:type="dxa"/>
          </w:tcPr>
          <w:p w14:paraId="67C1FDE4" w14:textId="77777777" w:rsidR="00DD13BF" w:rsidRPr="00564583" w:rsidRDefault="00DD13BF" w:rsidP="00355A56">
            <w:pPr>
              <w:pStyle w:val="TableParagraph"/>
              <w:rPr>
                <w:sz w:val="20"/>
              </w:rPr>
            </w:pPr>
            <w:r>
              <w:rPr>
                <w:sz w:val="20"/>
              </w:rPr>
              <w:t>03</w:t>
            </w:r>
          </w:p>
        </w:tc>
        <w:tc>
          <w:tcPr>
            <w:tcW w:w="2730" w:type="dxa"/>
          </w:tcPr>
          <w:p w14:paraId="1835FE4E" w14:textId="77777777" w:rsidR="00DD13BF" w:rsidRPr="005F22BF" w:rsidRDefault="00DD13BF" w:rsidP="00355A56">
            <w:pPr>
              <w:pStyle w:val="TableParagraph"/>
              <w:rPr>
                <w:sz w:val="20"/>
              </w:rPr>
            </w:pPr>
            <w:r>
              <w:rPr>
                <w:sz w:val="20"/>
              </w:rPr>
              <w:t>28,145,544</w:t>
            </w:r>
          </w:p>
        </w:tc>
      </w:tr>
    </w:tbl>
    <w:p w14:paraId="73483ADC" w14:textId="77777777" w:rsidR="00DD13BF" w:rsidRPr="00673ADB" w:rsidRDefault="00DD13BF" w:rsidP="00DD13BF">
      <w:pPr>
        <w:tabs>
          <w:tab w:val="left" w:pos="426"/>
        </w:tabs>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50704F5" w14:textId="77777777" w:rsidR="00DD13BF" w:rsidRPr="00673ADB" w:rsidRDefault="00DD13BF" w:rsidP="00DD13BF"/>
    <w:p w14:paraId="6955E85E" w14:textId="77777777" w:rsidR="00DD13BF" w:rsidRDefault="00DD13BF" w:rsidP="00DD13BF">
      <w:pPr>
        <w:sectPr w:rsidR="00DD13BF" w:rsidSect="00FC3010">
          <w:headerReference w:type="default" r:id="rId59"/>
          <w:footerReference w:type="first" r:id="rId60"/>
          <w:type w:val="continuous"/>
          <w:pgSz w:w="16840" w:h="11910" w:orient="landscape"/>
          <w:pgMar w:top="1417" w:right="1417" w:bottom="1417" w:left="1417" w:header="708" w:footer="708" w:gutter="0"/>
          <w:cols w:space="708"/>
        </w:sectPr>
      </w:pPr>
    </w:p>
    <w:p w14:paraId="1FC05549" w14:textId="77777777" w:rsidR="00DD13BF" w:rsidRDefault="00DD13BF" w:rsidP="00DD13BF">
      <w:r>
        <w:br w:type="page"/>
      </w:r>
    </w:p>
    <w:p w14:paraId="3094A404" w14:textId="77777777" w:rsidR="00DD13BF" w:rsidRDefault="00DD13BF" w:rsidP="00DD13BF">
      <w:pPr>
        <w:pStyle w:val="Naslov3"/>
      </w:pPr>
      <w:bookmarkStart w:id="32" w:name="_Toc131161711"/>
      <w:r>
        <w:lastRenderedPageBreak/>
        <w:t>Priority 4: Sustainable urban mobility</w:t>
      </w:r>
      <w:bookmarkEnd w:id="32"/>
      <w:r>
        <w:t xml:space="preserve">  </w:t>
      </w:r>
    </w:p>
    <w:p w14:paraId="516506C4"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3891C087" w14:textId="77777777" w:rsidTr="00355A56">
        <w:tc>
          <w:tcPr>
            <w:tcW w:w="13994" w:type="dxa"/>
          </w:tcPr>
          <w:p w14:paraId="2BC17AD3" w14:textId="77777777" w:rsidR="00DD13BF" w:rsidRPr="006A1DD0" w:rsidRDefault="00DD13BF" w:rsidP="00355A56">
            <w:pPr>
              <w:rPr>
                <w:rFonts w:eastAsia="Calibri"/>
              </w:rPr>
            </w:pPr>
            <w:r>
              <w:rPr>
                <w:noProof/>
                <w:lang w:val="sl-SI"/>
              </w:rPr>
              <w:drawing>
                <wp:inline distT="0" distB="0" distL="0" distR="0" wp14:anchorId="781E149C" wp14:editId="3509ACAB">
                  <wp:extent cx="121920" cy="103505"/>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youth employment</w:t>
            </w:r>
          </w:p>
        </w:tc>
      </w:tr>
      <w:tr w:rsidR="00DD13BF" w:rsidRPr="006A1DD0" w14:paraId="22388C59" w14:textId="77777777" w:rsidTr="00355A56">
        <w:tc>
          <w:tcPr>
            <w:tcW w:w="13994" w:type="dxa"/>
          </w:tcPr>
          <w:p w14:paraId="4A93C6A5" w14:textId="77777777" w:rsidR="00DD13BF" w:rsidRPr="006A1DD0" w:rsidRDefault="00DD13BF" w:rsidP="00355A56">
            <w:pPr>
              <w:rPr>
                <w:rFonts w:eastAsia="Calibri"/>
              </w:rPr>
            </w:pPr>
            <w:r>
              <w:rPr>
                <w:noProof/>
                <w:lang w:val="sl-SI"/>
              </w:rPr>
              <w:drawing>
                <wp:inline distT="0" distB="0" distL="0" distR="0" wp14:anchorId="4F31E9AC" wp14:editId="48DE4540">
                  <wp:extent cx="121920" cy="103505"/>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social innovative actions</w:t>
            </w:r>
          </w:p>
        </w:tc>
      </w:tr>
      <w:tr w:rsidR="00DD13BF" w:rsidRPr="006A1DD0" w14:paraId="65036D7D" w14:textId="77777777" w:rsidTr="00355A56">
        <w:tc>
          <w:tcPr>
            <w:tcW w:w="13994" w:type="dxa"/>
          </w:tcPr>
          <w:p w14:paraId="6E6CF517" w14:textId="77777777" w:rsidR="00DD13BF" w:rsidRPr="006A1DD0" w:rsidRDefault="00DD13BF" w:rsidP="00355A56">
            <w:pPr>
              <w:rPr>
                <w:rFonts w:eastAsia="Calibri"/>
              </w:rPr>
            </w:pPr>
            <w:r>
              <w:rPr>
                <w:noProof/>
                <w:lang w:val="sl-SI"/>
              </w:rPr>
              <w:drawing>
                <wp:inline distT="0" distB="0" distL="0" distR="0" wp14:anchorId="121372F5" wp14:editId="0F2DD828">
                  <wp:extent cx="121920" cy="103505"/>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504A19C0" w14:textId="77777777" w:rsidTr="00355A56">
        <w:tc>
          <w:tcPr>
            <w:tcW w:w="13994" w:type="dxa"/>
          </w:tcPr>
          <w:p w14:paraId="4F8C313F" w14:textId="77777777" w:rsidR="00DD13BF" w:rsidRPr="006A1DD0" w:rsidRDefault="00DD13BF" w:rsidP="00355A56">
            <w:pPr>
              <w:rPr>
                <w:rFonts w:eastAsia="Calibri"/>
              </w:rPr>
            </w:pPr>
            <w:r>
              <w:rPr>
                <w:noProof/>
                <w:lang w:val="sl-SI"/>
              </w:rPr>
              <w:drawing>
                <wp:inline distT="0" distB="0" distL="0" distR="0" wp14:anchorId="6CCA1E04" wp14:editId="20EE7518">
                  <wp:extent cx="121920" cy="10350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698377B5" w14:textId="77777777" w:rsidTr="00355A56">
        <w:tc>
          <w:tcPr>
            <w:tcW w:w="13994" w:type="dxa"/>
          </w:tcPr>
          <w:p w14:paraId="45CAA8C0" w14:textId="77777777" w:rsidR="00DD13BF" w:rsidRPr="005C57A0" w:rsidRDefault="00DD13BF" w:rsidP="00DD13BF">
            <w:pPr>
              <w:pStyle w:val="Odstavekseznama"/>
              <w:widowControl/>
              <w:numPr>
                <w:ilvl w:val="0"/>
                <w:numId w:val="4"/>
              </w:numPr>
              <w:autoSpaceDE/>
              <w:autoSpaceDN/>
              <w:ind w:left="317" w:hanging="284"/>
              <w:rPr>
                <w:rFonts w:ascii="Times New Roman" w:eastAsia="Calibri" w:hAnsi="Times New Roman" w:cs="Times New Roman"/>
              </w:rPr>
            </w:pPr>
            <w:r>
              <w:rPr>
                <w:rFonts w:ascii="Times New Roman" w:hAnsi="Times New Roman"/>
              </w:rPr>
              <w:t>This is a priority dedicated to urban mobility specific objective set out in point (viii) of Article 3(1)(b) of the ERDF and Cohesion Fund Regulation</w:t>
            </w:r>
          </w:p>
          <w:p w14:paraId="0AB8AAF7" w14:textId="77777777" w:rsidR="00DD13BF" w:rsidRPr="006A1DD0" w:rsidRDefault="00DD13BF" w:rsidP="00355A56">
            <w:pPr>
              <w:rPr>
                <w:rFonts w:eastAsia="Calibri"/>
              </w:rPr>
            </w:pPr>
          </w:p>
        </w:tc>
      </w:tr>
      <w:tr w:rsidR="00DD13BF" w:rsidRPr="006A1DD0" w14:paraId="3D28BDA8" w14:textId="77777777" w:rsidTr="00355A56">
        <w:trPr>
          <w:trHeight w:val="83"/>
        </w:trPr>
        <w:tc>
          <w:tcPr>
            <w:tcW w:w="13994" w:type="dxa"/>
          </w:tcPr>
          <w:p w14:paraId="73943A82" w14:textId="77777777" w:rsidR="00DD13BF" w:rsidRPr="005C57A0" w:rsidRDefault="00DD13BF" w:rsidP="00355A56">
            <w:pPr>
              <w:rPr>
                <w:rFonts w:eastAsia="Calibri"/>
              </w:rPr>
            </w:pPr>
            <w:r>
              <w:rPr>
                <w:noProof/>
                <w:lang w:val="sl-SI"/>
              </w:rPr>
              <w:drawing>
                <wp:inline distT="0" distB="0" distL="0" distR="0" wp14:anchorId="770ED416" wp14:editId="0EEB3CF1">
                  <wp:extent cx="121920" cy="103505"/>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1"/>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digital connectivity specific objective set out in point (v) of Article 3(1)(a) of the ERDF and Cohesion Fund Regulation</w:t>
            </w:r>
          </w:p>
          <w:p w14:paraId="189592AD" w14:textId="77777777" w:rsidR="00DD13BF" w:rsidRPr="006A1DD0" w:rsidRDefault="00DD13BF" w:rsidP="00355A56">
            <w:pPr>
              <w:rPr>
                <w:rFonts w:eastAsia="Calibri"/>
              </w:rPr>
            </w:pPr>
          </w:p>
        </w:tc>
      </w:tr>
    </w:tbl>
    <w:p w14:paraId="5F00A275"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366546D5" w14:textId="77777777" w:rsidR="00DD13BF" w:rsidRDefault="00DD13BF" w:rsidP="00DD13BF"/>
    <w:p w14:paraId="665B3B88" w14:textId="77777777" w:rsidR="00DD13BF" w:rsidRDefault="00DD13BF" w:rsidP="00DD13BF">
      <w:pPr>
        <w:rPr>
          <w:sz w:val="24"/>
        </w:rPr>
      </w:pPr>
    </w:p>
    <w:p w14:paraId="5507CEA9" w14:textId="77777777" w:rsidR="00DD13BF" w:rsidRPr="00BD3536" w:rsidRDefault="00DD13BF" w:rsidP="00DD13BF">
      <w:pPr>
        <w:pStyle w:val="Naslov4"/>
        <w:ind w:left="1134"/>
      </w:pPr>
      <w:bookmarkStart w:id="33" w:name="_Toc131161712"/>
      <w:r>
        <w:t>Specific objective RSO2.8. Promoting sustainable multimodal urban mobility, as part of transition to a net zero carbon economy (ERDF)</w:t>
      </w:r>
      <w:bookmarkEnd w:id="33"/>
    </w:p>
    <w:p w14:paraId="279005B5" w14:textId="77777777" w:rsidR="00DD13BF" w:rsidRDefault="00DD13BF" w:rsidP="00DD13BF">
      <w:pPr>
        <w:rPr>
          <w:sz w:val="30"/>
        </w:rPr>
      </w:pPr>
    </w:p>
    <w:p w14:paraId="5B37C233" w14:textId="77777777" w:rsidR="00DD13BF" w:rsidRPr="00C10464" w:rsidRDefault="00DD13BF" w:rsidP="00DD13BF">
      <w:pPr>
        <w:pStyle w:val="Naslov5"/>
        <w:spacing w:before="0"/>
      </w:pPr>
      <w:r>
        <w:t>Interventions of the Funds</w:t>
      </w:r>
    </w:p>
    <w:p w14:paraId="05220961" w14:textId="77777777" w:rsidR="00DD13BF" w:rsidRDefault="00DD13BF" w:rsidP="00DD13BF">
      <w:pPr>
        <w:rPr>
          <w:sz w:val="30"/>
        </w:rPr>
      </w:pPr>
    </w:p>
    <w:p w14:paraId="05CE8278" w14:textId="77777777" w:rsidR="00DD13BF" w:rsidRDefault="00DD13BF" w:rsidP="00DD13BF">
      <w:pPr>
        <w:ind w:left="1349"/>
        <w:rPr>
          <w:spacing w:val="-2"/>
        </w:rPr>
      </w:pPr>
      <w:r>
        <w:t>Related types of actions:</w:t>
      </w:r>
    </w:p>
    <w:p w14:paraId="5E6FD9DC"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0BCE5AF3" w14:textId="77777777" w:rsidTr="00355A56">
        <w:trPr>
          <w:trHeight w:val="316"/>
        </w:trPr>
        <w:tc>
          <w:tcPr>
            <w:tcW w:w="12758" w:type="dxa"/>
          </w:tcPr>
          <w:p w14:paraId="0405A378" w14:textId="77777777" w:rsidR="00DD13BF" w:rsidRPr="009729B9" w:rsidRDefault="00DD13BF" w:rsidP="00355A56">
            <w:pPr>
              <w:jc w:val="both"/>
              <w:rPr>
                <w:rFonts w:cstheme="minorBidi"/>
              </w:rPr>
            </w:pPr>
            <w:r w:rsidRPr="00725F85">
              <w:t>Investments in sustainable urban mobility will help to increase the share of sustainable modes of transport in the daily commute of residents and reduce GHG emissions. Transport contributes to almost a third of the latter in Slovenia and is an important cause of air pollution in towns and cities. In addition, energy use in transport in 2020 is 58% higher than in 2000, particularly due to increased road traffic, which constitutes as much as 97% of transport. In 2019, transport accounted for 40% of final energy consumption. Compared to 2005, the share is higher by more than eight percentage points.</w:t>
            </w:r>
            <w:r w:rsidRPr="00725F85">
              <w:rPr>
                <w:vertAlign w:val="superscript"/>
              </w:rPr>
              <w:footnoteReference w:id="153"/>
            </w:r>
            <w:r w:rsidRPr="00725F85">
              <w:rPr>
                <w:vertAlign w:val="superscript"/>
              </w:rPr>
              <w:t xml:space="preserve"> </w:t>
            </w:r>
            <w:r w:rsidRPr="00725F85">
              <w:t>A permanent solution to this challenge is the transition to sustainable mobility with low CO</w:t>
            </w:r>
            <w:r w:rsidRPr="00725F85">
              <w:rPr>
                <w:vertAlign w:val="subscript"/>
              </w:rPr>
              <w:t>2</w:t>
            </w:r>
            <w:r w:rsidRPr="00725F85">
              <w:t xml:space="preserve"> and air pollutant emissions and low energy consumption with an emphasis on active mobility; therefore, measures will be focused on the stated fields. The key role will be held by the improvement of the PPT and the improvement of the connection between the various transport systems, between which transfer is still difficult, as there are no transfer points between the different transport systems, or they are not sufficiently convenient. Some entry points</w:t>
            </w:r>
            <w:r>
              <w:t xml:space="preserve"> to the PPP are also not adequately equipped with parking spaces for bicycles and cars. Cross-border mobility in towns and cities located near the national border is also a pressing problem, as the local transport systems on both sides of the border are not coordinated. Measures will also be aimed at increasing the use of alternative energy vehicles, which currently constitute a low share, among private users, </w:t>
            </w:r>
            <w:r>
              <w:lastRenderedPageBreak/>
              <w:t xml:space="preserve">commercial and public entities. In addition to measures to improve public passenger transport by introducing zero-emission vehicles, it is crucial to provide an adequate charging infrastructure for alternative energy sources for various types of vehicles (e-bikes, passenger cars, commercial vehicles, etc.). Shifting towards sustainable mobility will significantly contribute to the reduction of noise and various pollutants, and the transformation of space, and to other environmental pressures and health risks, thus contributing to a better quality of life, particularly in towns and cities. </w:t>
            </w:r>
          </w:p>
          <w:p w14:paraId="675CDE33" w14:textId="77777777" w:rsidR="00DD13BF" w:rsidRDefault="00DD13BF" w:rsidP="00355A56">
            <w:pPr>
              <w:jc w:val="both"/>
              <w:rPr>
                <w:rFonts w:cstheme="minorHAnsi"/>
              </w:rPr>
            </w:pPr>
          </w:p>
          <w:p w14:paraId="70C53FCA" w14:textId="77777777" w:rsidR="00DD13BF" w:rsidRPr="009729B9" w:rsidRDefault="00DD13BF" w:rsidP="00355A56">
            <w:pPr>
              <w:jc w:val="both"/>
              <w:rPr>
                <w:rFonts w:cstheme="minorHAnsi"/>
              </w:rPr>
            </w:pPr>
            <w:r>
              <w:t>The transition to a low-carbon society in the field of transport is governed by the Strategy in the field of market development for the establishment of suitable infrastructure as regards alternative fuels in the transport sector in the Republic of Slovenia</w:t>
            </w:r>
            <w:r w:rsidRPr="0848C57F">
              <w:rPr>
                <w:rStyle w:val="Sprotnaopomba-sklic"/>
                <w:rFonts w:cstheme="minorBidi"/>
              </w:rPr>
              <w:footnoteReference w:id="154"/>
            </w:r>
            <w:r>
              <w:t>, which was adopted by the Government of the Republic of Slovenia on 12 October 2017 (hereinafter: Strategy). According to the proposal of the Alternative Fuels Infrastructure Regulation (AFIR), the strategy in the field of infrastructure for alternative fuels in transport will be recast by 2024. As part of the RRP reform, the Ministry of Infrastructure is preparing an organic law in the field of infrastructure for alternative fuels in transport, which is expected to come into force in the second half of 2023. It is not only about the electrification of transport, but also about a series of transitional technological and technical measures to achieve the desired final state in transport, i.e. sustainable transport without fossil fuels. The Strategy foresees a set of legal and regulatory measures, demonstration projects, awareness-raising and promotional activities, and direct financial incentives to provide a suitable charging infrastructure, and the co-financing of differences in the price of diesel-powered vehicles and alternative fuel vehicles.</w:t>
            </w:r>
          </w:p>
          <w:p w14:paraId="5A2D0C7C" w14:textId="77777777" w:rsidR="00DD13BF" w:rsidRPr="009729B9" w:rsidRDefault="00DD13BF" w:rsidP="00355A56">
            <w:pPr>
              <w:jc w:val="both"/>
              <w:rPr>
                <w:rFonts w:cstheme="minorHAnsi"/>
              </w:rPr>
            </w:pPr>
          </w:p>
          <w:p w14:paraId="0D44E4AA" w14:textId="77777777" w:rsidR="00DD13BF" w:rsidRDefault="00DD13BF" w:rsidP="00355A56">
            <w:pPr>
              <w:jc w:val="both"/>
              <w:rPr>
                <w:rFonts w:cstheme="minorHAnsi"/>
              </w:rPr>
            </w:pPr>
            <w:r>
              <w:t>Under this specific objective, two sets of measures are foreseen in accordance with the aforementioned:</w:t>
            </w:r>
          </w:p>
          <w:p w14:paraId="27050BA7" w14:textId="77777777" w:rsidR="00DD13BF" w:rsidRPr="00C3069D" w:rsidRDefault="00DD13BF" w:rsidP="00355A56">
            <w:pPr>
              <w:pStyle w:val="Odstavekseznama"/>
              <w:ind w:left="720"/>
              <w:jc w:val="both"/>
              <w:rPr>
                <w:rFonts w:ascii="Times New Roman" w:hAnsi="Times New Roman" w:cs="Times New Roman"/>
              </w:rPr>
            </w:pPr>
          </w:p>
          <w:p w14:paraId="079CBA7F" w14:textId="77777777" w:rsidR="00DD13BF" w:rsidRPr="009B3592" w:rsidRDefault="00DD13BF" w:rsidP="00DD13BF">
            <w:pPr>
              <w:pStyle w:val="Odstavekseznama"/>
              <w:widowControl/>
              <w:numPr>
                <w:ilvl w:val="0"/>
                <w:numId w:val="26"/>
              </w:numPr>
              <w:autoSpaceDE/>
              <w:autoSpaceDN/>
              <w:jc w:val="both"/>
              <w:rPr>
                <w:rFonts w:asciiTheme="minorHAnsi" w:hAnsiTheme="minorHAnsi"/>
              </w:rPr>
            </w:pPr>
            <w:r>
              <w:rPr>
                <w:rFonts w:ascii="Times New Roman" w:hAnsi="Times New Roman"/>
                <w:i/>
              </w:rPr>
              <w:t xml:space="preserve">Infrastructure for sustainable mobility in urban areas: </w:t>
            </w:r>
            <w:r>
              <w:rPr>
                <w:rFonts w:ascii="Times New Roman" w:hAnsi="Times New Roman"/>
              </w:rPr>
              <w:t>based on two Sustainable Urban Mobility Plans (hereinafter: SUMP) and Sustainable Urban Strategy (hereinafter: SUS), priorities will be precisely identified, and funds will be primarily allocated to infrastructure for multimodal door-to-door passenger transport. The backbone of the system must be PPT and should be complemented by cycling connections and pedestrian infrastructure with an emphasis on access to PPT stops and transfer points from cars to PPT or carpooling or other active forms of transport. Investments in sustainable mobility will help to increase the share of sustainable modes of transport in the daily commute of residents. A greater share of the use of sustainable modes of transport will help to reduce GHG emissions and other pollutants from transport and thus improve the quality of life. The planned measures include:</w:t>
            </w:r>
          </w:p>
          <w:p w14:paraId="22AB4FCA" w14:textId="77777777" w:rsidR="00DD13BF" w:rsidRPr="000238F5" w:rsidRDefault="00DD13BF" w:rsidP="00DD13BF">
            <w:pPr>
              <w:pStyle w:val="Odstavekseznama"/>
              <w:widowControl/>
              <w:numPr>
                <w:ilvl w:val="1"/>
                <w:numId w:val="26"/>
              </w:numPr>
              <w:autoSpaceDE/>
              <w:autoSpaceDN/>
              <w:jc w:val="both"/>
              <w:rPr>
                <w:rFonts w:ascii="Times New Roman" w:hAnsi="Times New Roman" w:cs="Times New Roman"/>
              </w:rPr>
            </w:pPr>
            <w:r>
              <w:rPr>
                <w:rFonts w:ascii="Times New Roman" w:hAnsi="Times New Roman"/>
              </w:rPr>
              <w:t>Investments in the construction and adaptation of traffic areas for sustainable transport modes: dedicated areas for PPT (e.g. yellow lanes, stops, adaptations for priority driving at crossroads) and the infrastructure of multimodal hubs or transfer points between various forms of mobility; constructing and remodelling pedestrian infrastructure, particularly for access to public transport stations and stops and schools, including traffic calming devices and measures for pedestrian safety; constructing high-quality separate cycling areas and other cycling infrastructure, including infrastructure for charging e-bikes.</w:t>
            </w:r>
          </w:p>
          <w:p w14:paraId="2120ADF5" w14:textId="77777777" w:rsidR="00DD13BF" w:rsidRPr="00707386" w:rsidRDefault="00DD13BF" w:rsidP="00DD13BF">
            <w:pPr>
              <w:pStyle w:val="Odstavekseznama"/>
              <w:widowControl/>
              <w:numPr>
                <w:ilvl w:val="1"/>
                <w:numId w:val="26"/>
              </w:numPr>
              <w:autoSpaceDE/>
              <w:autoSpaceDN/>
              <w:jc w:val="both"/>
              <w:rPr>
                <w:rFonts w:ascii="Times New Roman" w:hAnsi="Times New Roman" w:cs="Times New Roman"/>
              </w:rPr>
            </w:pPr>
            <w:r>
              <w:rPr>
                <w:rFonts w:ascii="Times New Roman" w:hAnsi="Times New Roman"/>
              </w:rPr>
              <w:t xml:space="preserve">Investments in digitisation for sustainable mobility: using intelligent transport systems to manage multimodal sustainable mobility; implementing pilot projects as part of the sustainable parking policy measure, traffic restriction in city centres and incentive for the use of modern technologies for efficient mobility management (e.g.: establishing traffic optimisation systems </w:t>
            </w:r>
            <w:r>
              <w:rPr>
                <w:rFonts w:ascii="Times New Roman" w:hAnsi="Times New Roman"/>
              </w:rPr>
              <w:lastRenderedPageBreak/>
              <w:t>in towns and cities with priority treatment of PPT, cyclists and pedestrians; establishing access systems to travel information for users, including the computerisation of parking management; establishing conditions for cross-border mobility, i.e. particularly the connection of PPT with transfer points in neighbouring countries; establishing records of public e-charging stations in the spatial information system; establishing a travel data system for multimodal routes, which would include, in addition to PPT, alternative forms of transport in towns and cities, including information on services intended for, or adapted to, people with disabilities, and car parks).</w:t>
            </w:r>
          </w:p>
          <w:p w14:paraId="7DBE64F8" w14:textId="77777777" w:rsidR="00DD13BF" w:rsidRPr="009729B9" w:rsidRDefault="00DD13BF" w:rsidP="00355A56">
            <w:pPr>
              <w:jc w:val="both"/>
              <w:rPr>
                <w:rFonts w:cstheme="minorHAnsi"/>
              </w:rPr>
            </w:pPr>
          </w:p>
          <w:p w14:paraId="0C347D8D" w14:textId="77777777" w:rsidR="00DD13BF" w:rsidRPr="0027726F" w:rsidRDefault="00DD13BF" w:rsidP="00DD13BF">
            <w:pPr>
              <w:pStyle w:val="Odstavekseznama"/>
              <w:widowControl/>
              <w:numPr>
                <w:ilvl w:val="0"/>
                <w:numId w:val="26"/>
              </w:numPr>
              <w:autoSpaceDE/>
              <w:autoSpaceDN/>
              <w:jc w:val="both"/>
              <w:rPr>
                <w:rFonts w:ascii="Times New Roman" w:hAnsi="Times New Roman" w:cs="Times New Roman"/>
              </w:rPr>
            </w:pPr>
            <w:r>
              <w:rPr>
                <w:rFonts w:ascii="Times New Roman" w:hAnsi="Times New Roman"/>
                <w:i/>
                <w:iCs/>
              </w:rPr>
              <w:t>Promoting the use of alternative fuels in towns and cities</w:t>
            </w:r>
            <w:r>
              <w:rPr>
                <w:rFonts w:ascii="Times New Roman" w:hAnsi="Times New Roman"/>
              </w:rPr>
              <w:t xml:space="preserve"> (electricity or hydrogen-powered PPT vehicles and publicly owned charging infrastructure): measures will be aimed at establishing or supplementing the network of charging or supply points for alternative-powered vehicles with an emphasis on vehicles for the provision of public utility services, for example for the needs of implementing PPT in towns and cities, and the establishment of a charging or supply infrastructure for alternative fuels for the needs of implementing green urban logistics.</w:t>
            </w:r>
            <w:r>
              <w:t xml:space="preserve"> </w:t>
            </w:r>
            <w:r>
              <w:rPr>
                <w:rFonts w:ascii="Times New Roman" w:hAnsi="Times New Roman"/>
              </w:rPr>
              <w:t>The measures will be designed on the basis of an investment need analysis in the area where alternative fuels are being introduced in transport, which will be prepared by the end of 2022 as part of the reform of the Recovery and Resilience Plan, with the aim of ensuring suitable geographical coverage throughout Slovenia, including outside urban areas and TEN-T networks. In this case, the funds for these measures will be primarily aimed at urban areas, while the RRP and CEF funds are intended to be used outside these areas.</w:t>
            </w:r>
          </w:p>
          <w:p w14:paraId="54C13CA6" w14:textId="77777777" w:rsidR="00DD13BF" w:rsidRPr="00E31A18" w:rsidRDefault="00DD13BF" w:rsidP="00355A56">
            <w:pPr>
              <w:pStyle w:val="Odstavekseznama"/>
              <w:ind w:left="720"/>
              <w:jc w:val="both"/>
              <w:rPr>
                <w:rFonts w:ascii="Times New Roman" w:hAnsi="Times New Roman" w:cs="Times New Roman"/>
              </w:rPr>
            </w:pPr>
          </w:p>
          <w:p w14:paraId="14408F83" w14:textId="77777777" w:rsidR="00DD13BF" w:rsidRPr="00097186" w:rsidRDefault="00DD13BF" w:rsidP="00355A56">
            <w:pPr>
              <w:pStyle w:val="Odstavekseznama"/>
              <w:ind w:left="31"/>
              <w:jc w:val="both"/>
            </w:pPr>
            <w:r>
              <w:rPr>
                <w:rFonts w:ascii="Times New Roman" w:hAnsi="Times New Roman"/>
              </w:rP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By its nature, none of the measures foreseen under this specific objective has a significant adverse impact on any of the six environmental objectives, taking into account the technical screening criteria listed in annex DNSH.</w:t>
            </w:r>
          </w:p>
        </w:tc>
      </w:tr>
    </w:tbl>
    <w:p w14:paraId="0683E543" w14:textId="77777777" w:rsidR="00DD13BF" w:rsidRDefault="00DD13BF" w:rsidP="00DD13BF">
      <w:pPr>
        <w:ind w:left="1349"/>
        <w:rPr>
          <w:spacing w:val="-6"/>
        </w:rPr>
      </w:pPr>
    </w:p>
    <w:p w14:paraId="0CFEEBAC" w14:textId="77777777" w:rsidR="00DD13BF" w:rsidRDefault="00DD13BF" w:rsidP="00DD13BF">
      <w:pPr>
        <w:ind w:left="1349"/>
      </w:pPr>
      <w:r>
        <w:t>Main target groups:</w:t>
      </w:r>
    </w:p>
    <w:p w14:paraId="2AA3DF08"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1F0D4E2B" w14:textId="77777777" w:rsidTr="00355A56">
        <w:tc>
          <w:tcPr>
            <w:tcW w:w="12763" w:type="dxa"/>
          </w:tcPr>
          <w:p w14:paraId="6BAFFC90" w14:textId="77777777" w:rsidR="00DD13BF" w:rsidRDefault="00DD13BF" w:rsidP="00355A56">
            <w:pPr>
              <w:jc w:val="both"/>
              <w:rPr>
                <w:rFonts w:cstheme="minorHAnsi"/>
              </w:rPr>
            </w:pPr>
            <w:r>
              <w:t xml:space="preserve">Target groups: enterprises, public sector, households, local communities, cooperatives, institutions, individuals. </w:t>
            </w:r>
          </w:p>
          <w:p w14:paraId="5979052A" w14:textId="77777777" w:rsidR="00DD13BF" w:rsidRDefault="00DD13BF" w:rsidP="00355A56">
            <w:pPr>
              <w:jc w:val="both"/>
              <w:rPr>
                <w:rFonts w:cstheme="minorHAnsi"/>
              </w:rPr>
            </w:pPr>
          </w:p>
          <w:p w14:paraId="12C808FB" w14:textId="77777777" w:rsidR="00DD13BF" w:rsidRPr="00B3569A" w:rsidRDefault="00DD13BF" w:rsidP="00355A56">
            <w:pPr>
              <w:jc w:val="both"/>
              <w:rPr>
                <w:rFonts w:cstheme="minorHAnsi"/>
              </w:rPr>
            </w:pPr>
            <w:r>
              <w:t>Beneficiaries: urban municipalities, legal entities under public law partially/wholly owned or founded by urban municipalities.</w:t>
            </w:r>
          </w:p>
        </w:tc>
      </w:tr>
    </w:tbl>
    <w:p w14:paraId="5C7C77F3" w14:textId="77777777" w:rsidR="00DD13BF" w:rsidRPr="006B7178" w:rsidRDefault="00DD13BF" w:rsidP="00DD13BF">
      <w:pPr>
        <w:ind w:left="1349"/>
      </w:pPr>
    </w:p>
    <w:p w14:paraId="2E128530" w14:textId="77777777" w:rsidR="00DD13BF" w:rsidRDefault="00DD13BF" w:rsidP="00DD13BF">
      <w:pPr>
        <w:ind w:left="1349"/>
        <w:rPr>
          <w:spacing w:val="-2"/>
        </w:rPr>
      </w:pPr>
      <w:r>
        <w:t>Measures to protect equality, inclusion and non-discrimination:</w:t>
      </w:r>
    </w:p>
    <w:p w14:paraId="178C4919"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0697B713" w14:textId="77777777" w:rsidTr="00355A56">
        <w:tc>
          <w:tcPr>
            <w:tcW w:w="12715" w:type="dxa"/>
          </w:tcPr>
          <w:p w14:paraId="7BDD0292" w14:textId="77777777" w:rsidR="00DD13BF" w:rsidRPr="00084F10" w:rsidRDefault="00DD13BF" w:rsidP="00355A56">
            <w:pPr>
              <w:jc w:val="both"/>
              <w:rPr>
                <w:rFonts w:cs="Calibr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w:t>
            </w:r>
            <w:r>
              <w:lastRenderedPageBreak/>
              <w:t>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p w14:paraId="68B8879C" w14:textId="77777777" w:rsidR="00DD13BF" w:rsidRDefault="00DD13BF" w:rsidP="00355A56">
            <w:pPr>
              <w:jc w:val="both"/>
              <w:rPr>
                <w:rFonts w:eastAsia="Arial"/>
                <w:color w:val="000000"/>
              </w:rPr>
            </w:pPr>
          </w:p>
          <w:p w14:paraId="0A374D28" w14:textId="77777777" w:rsidR="00DD13BF" w:rsidRPr="00B3569A" w:rsidRDefault="00DD13BF" w:rsidP="00355A56">
            <w:pPr>
              <w:jc w:val="both"/>
              <w:rPr>
                <w:rFonts w:cstheme="minorHAnsi"/>
              </w:rPr>
            </w:pPr>
            <w:r>
              <w:rPr>
                <w:color w:val="000000"/>
              </w:rPr>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05570895" w14:textId="77777777" w:rsidR="00DD13BF" w:rsidRDefault="00DD13BF" w:rsidP="00DD13BF">
      <w:pPr>
        <w:rPr>
          <w:sz w:val="20"/>
        </w:rPr>
      </w:pPr>
    </w:p>
    <w:p w14:paraId="76F0E3D6" w14:textId="77777777" w:rsidR="00DD13BF" w:rsidRPr="009729B9" w:rsidRDefault="00DD13BF" w:rsidP="00DD13BF">
      <w:pPr>
        <w:ind w:left="1415"/>
      </w:pPr>
      <w:r>
        <w:t>Indication of the specific territories targeted, including the planned use of territorial tools:</w:t>
      </w:r>
    </w:p>
    <w:p w14:paraId="1261934A"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1F09B1AB" w14:textId="77777777" w:rsidTr="00355A56">
        <w:tc>
          <w:tcPr>
            <w:tcW w:w="12763" w:type="dxa"/>
          </w:tcPr>
          <w:p w14:paraId="445C2BD0" w14:textId="77777777" w:rsidR="00DD13BF" w:rsidRPr="00B3569A" w:rsidRDefault="00DD13BF" w:rsidP="00355A56">
            <w:pPr>
              <w:jc w:val="both"/>
              <w:rPr>
                <w:rFonts w:cstheme="minorHAnsi"/>
              </w:rPr>
            </w:pPr>
            <w:r>
              <w:t>Under the specific objective, urban development in all 12 urban municipalities are planned to be addressed with the assistance of the ITI territorial approach, taking into account the demonstrated needs within the framework of the prepared territorial strategies (amended/new SUMP and SUS). In the first phase, representatives of towns and cities (within the ZMOS and city councils of urban municipalities) are included in the selection of operations.</w:t>
            </w:r>
          </w:p>
        </w:tc>
      </w:tr>
    </w:tbl>
    <w:p w14:paraId="51F19E33" w14:textId="77777777" w:rsidR="00DD13BF" w:rsidRDefault="00DD13BF" w:rsidP="00DD13BF">
      <w:pPr>
        <w:rPr>
          <w:sz w:val="18"/>
        </w:rPr>
      </w:pPr>
    </w:p>
    <w:p w14:paraId="3D4EE365" w14:textId="77777777" w:rsidR="00DD13BF" w:rsidRDefault="00DD13BF" w:rsidP="00DD13BF">
      <w:pPr>
        <w:ind w:left="1415"/>
      </w:pPr>
      <w:r>
        <w:t>The interregional, cross-border and transnational actions:</w:t>
      </w:r>
    </w:p>
    <w:p w14:paraId="16765D81"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1BB0ECD" w14:textId="77777777" w:rsidTr="00355A56">
        <w:tc>
          <w:tcPr>
            <w:tcW w:w="12763" w:type="dxa"/>
          </w:tcPr>
          <w:p w14:paraId="55EDE019" w14:textId="77777777" w:rsidR="00DD13BF" w:rsidRPr="00B3569A" w:rsidRDefault="00DD13BF" w:rsidP="00355A56">
            <w:pPr>
              <w:jc w:val="both"/>
              <w:rPr>
                <w:rFonts w:cstheme="minorBidi"/>
              </w:rPr>
            </w:pPr>
            <w:r>
              <w:t>The measures are also addressed within the EU Strategy for the Adriatic-Ionian Region (EUSAIR), where the flagship Adriatic-Ionian multimodal corridors are under the topic of intermodal connections with the outskirts, which focuses on the Adriatic-Ionian cycle route, which should run along the entire Adriatic basin, including intermodal services to support bicycle travel. The Ministry of Infrastructure has three thematic coordinators for EUSAIR at the level of the ministry, who participate at EUSAIR meetings and coordinate the transfer of information in both directions.</w:t>
            </w:r>
          </w:p>
        </w:tc>
      </w:tr>
    </w:tbl>
    <w:p w14:paraId="2033A1A5" w14:textId="77777777" w:rsidR="00DD13BF" w:rsidRDefault="00DD13BF" w:rsidP="00DD13BF">
      <w:pPr>
        <w:rPr>
          <w:sz w:val="17"/>
        </w:rPr>
      </w:pPr>
    </w:p>
    <w:p w14:paraId="77CD023E" w14:textId="77777777" w:rsidR="00DD13BF" w:rsidRDefault="00DD13BF" w:rsidP="00DD13BF">
      <w:pPr>
        <w:ind w:left="1415"/>
        <w:rPr>
          <w:spacing w:val="-3"/>
        </w:rPr>
      </w:pPr>
      <w:r>
        <w:t>Planned use of financial instruments:</w:t>
      </w:r>
    </w:p>
    <w:p w14:paraId="0EDBF36C"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174E082C" w14:textId="77777777" w:rsidTr="00355A56">
        <w:tc>
          <w:tcPr>
            <w:tcW w:w="12758" w:type="dxa"/>
          </w:tcPr>
          <w:p w14:paraId="2716231E" w14:textId="77777777" w:rsidR="00DD13BF" w:rsidRPr="00B3569A" w:rsidRDefault="00DD13BF" w:rsidP="00355A56">
            <w:pPr>
              <w:jc w:val="both"/>
              <w:rPr>
                <w:rFonts w:cstheme="minorBid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w:t>
            </w:r>
          </w:p>
        </w:tc>
      </w:tr>
    </w:tbl>
    <w:p w14:paraId="279C4465" w14:textId="77777777" w:rsidR="00DD13BF" w:rsidRDefault="00DD13BF" w:rsidP="00DD13BF">
      <w:pPr>
        <w:rPr>
          <w:sz w:val="20"/>
        </w:rPr>
      </w:pPr>
    </w:p>
    <w:p w14:paraId="30F8AA50" w14:textId="77777777" w:rsidR="00DD13BF" w:rsidRDefault="00DD13BF" w:rsidP="00DD13BF">
      <w:pPr>
        <w:rPr>
          <w:sz w:val="20"/>
        </w:rPr>
      </w:pPr>
    </w:p>
    <w:p w14:paraId="4EAA8DD0" w14:textId="77777777" w:rsidR="00DD13BF" w:rsidRDefault="00DD13BF" w:rsidP="00DD13BF">
      <w:pPr>
        <w:pStyle w:val="Naslov5"/>
        <w:spacing w:before="0"/>
      </w:pPr>
      <w:r>
        <w:lastRenderedPageBreak/>
        <w:t>Indicators</w:t>
      </w:r>
    </w:p>
    <w:p w14:paraId="000F3ABC" w14:textId="77777777" w:rsidR="00DD13BF" w:rsidRDefault="00DD13BF" w:rsidP="00DD13BF"/>
    <w:p w14:paraId="634CED6D" w14:textId="77777777" w:rsidR="00DD13BF" w:rsidRDefault="00DD13BF" w:rsidP="00DD13BF">
      <w:pPr>
        <w:ind w:left="379"/>
      </w:pPr>
      <w:r>
        <w:t>Table 2: Impact indicators</w:t>
      </w:r>
    </w:p>
    <w:p w14:paraId="193D521B" w14:textId="77777777" w:rsidR="00DD13BF" w:rsidRDefault="00DD13BF" w:rsidP="00DD13BF">
      <w:pPr>
        <w:rPr>
          <w:sz w:val="21"/>
        </w:rPr>
      </w:pPr>
    </w:p>
    <w:tbl>
      <w:tblPr>
        <w:tblStyle w:val="NormalTable0"/>
        <w:tblW w:w="1374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76"/>
        <w:gridCol w:w="707"/>
        <w:gridCol w:w="1699"/>
        <w:gridCol w:w="777"/>
        <w:gridCol w:w="4329"/>
        <w:gridCol w:w="1275"/>
        <w:gridCol w:w="1416"/>
        <w:gridCol w:w="1133"/>
      </w:tblGrid>
      <w:tr w:rsidR="00DD13BF" w14:paraId="342B8918" w14:textId="77777777" w:rsidTr="00355A56">
        <w:trPr>
          <w:trHeight w:val="254"/>
        </w:trPr>
        <w:tc>
          <w:tcPr>
            <w:tcW w:w="1134" w:type="dxa"/>
            <w:vAlign w:val="center"/>
          </w:tcPr>
          <w:p w14:paraId="60839F50" w14:textId="77777777" w:rsidR="00DD13BF" w:rsidRDefault="00DD13BF" w:rsidP="00355A56">
            <w:pPr>
              <w:pStyle w:val="TableParagraph"/>
              <w:ind w:right="82"/>
            </w:pPr>
            <w:r>
              <w:t>Priority</w:t>
            </w:r>
          </w:p>
        </w:tc>
        <w:tc>
          <w:tcPr>
            <w:tcW w:w="1276" w:type="dxa"/>
            <w:vAlign w:val="center"/>
          </w:tcPr>
          <w:p w14:paraId="3483A12C" w14:textId="77777777" w:rsidR="00DD13BF" w:rsidRDefault="00DD13BF" w:rsidP="00355A56">
            <w:pPr>
              <w:pStyle w:val="TableParagraph"/>
            </w:pPr>
            <w:r>
              <w:t>Specific objective</w:t>
            </w:r>
          </w:p>
        </w:tc>
        <w:tc>
          <w:tcPr>
            <w:tcW w:w="707" w:type="dxa"/>
            <w:vAlign w:val="center"/>
          </w:tcPr>
          <w:p w14:paraId="38CAD80C" w14:textId="77777777" w:rsidR="00DD13BF" w:rsidRDefault="00DD13BF" w:rsidP="00355A56">
            <w:pPr>
              <w:pStyle w:val="TableParagraph"/>
            </w:pPr>
            <w:r>
              <w:t>Fund</w:t>
            </w:r>
          </w:p>
        </w:tc>
        <w:tc>
          <w:tcPr>
            <w:tcW w:w="1699" w:type="dxa"/>
            <w:vAlign w:val="center"/>
          </w:tcPr>
          <w:p w14:paraId="58CF0DA3" w14:textId="77777777" w:rsidR="00DD13BF" w:rsidRDefault="00DD13BF" w:rsidP="00355A56">
            <w:pPr>
              <w:pStyle w:val="TableParagraph"/>
            </w:pPr>
            <w:r>
              <w:t>Category of region</w:t>
            </w:r>
          </w:p>
        </w:tc>
        <w:tc>
          <w:tcPr>
            <w:tcW w:w="777" w:type="dxa"/>
            <w:vAlign w:val="center"/>
          </w:tcPr>
          <w:p w14:paraId="1A4B18C8" w14:textId="77777777" w:rsidR="00DD13BF" w:rsidRPr="00347461" w:rsidRDefault="00DD13BF" w:rsidP="00355A56">
            <w:pPr>
              <w:pStyle w:val="TableParagraph"/>
              <w:rPr>
                <w:sz w:val="20"/>
              </w:rPr>
            </w:pPr>
            <w:r>
              <w:t>ID</w:t>
            </w:r>
          </w:p>
        </w:tc>
        <w:tc>
          <w:tcPr>
            <w:tcW w:w="4329" w:type="dxa"/>
            <w:vAlign w:val="center"/>
          </w:tcPr>
          <w:p w14:paraId="4E028014" w14:textId="77777777" w:rsidR="00DD13BF" w:rsidRPr="00347461" w:rsidRDefault="00DD13BF" w:rsidP="00355A56">
            <w:pPr>
              <w:pStyle w:val="TableParagraph"/>
              <w:rPr>
                <w:sz w:val="20"/>
              </w:rPr>
            </w:pPr>
            <w:r>
              <w:t>Indicators</w:t>
            </w:r>
          </w:p>
        </w:tc>
        <w:tc>
          <w:tcPr>
            <w:tcW w:w="1275" w:type="dxa"/>
            <w:vAlign w:val="center"/>
          </w:tcPr>
          <w:p w14:paraId="50F86DC9" w14:textId="77777777" w:rsidR="00DD13BF" w:rsidRPr="00347461" w:rsidRDefault="00DD13BF" w:rsidP="00355A56">
            <w:pPr>
              <w:pStyle w:val="TableParagraph"/>
              <w:rPr>
                <w:sz w:val="20"/>
              </w:rPr>
            </w:pPr>
            <w:r>
              <w:t>Measurement unit</w:t>
            </w:r>
          </w:p>
        </w:tc>
        <w:tc>
          <w:tcPr>
            <w:tcW w:w="1416" w:type="dxa"/>
            <w:vAlign w:val="center"/>
          </w:tcPr>
          <w:p w14:paraId="65988EC9" w14:textId="77777777" w:rsidR="00DD13BF" w:rsidRPr="00347461" w:rsidRDefault="00DD13BF" w:rsidP="00355A56">
            <w:pPr>
              <w:pStyle w:val="TableParagraph"/>
              <w:rPr>
                <w:sz w:val="20"/>
              </w:rPr>
            </w:pPr>
            <w:r>
              <w:t>Milestone (2014)</w:t>
            </w:r>
          </w:p>
        </w:tc>
        <w:tc>
          <w:tcPr>
            <w:tcW w:w="1133" w:type="dxa"/>
            <w:vAlign w:val="center"/>
          </w:tcPr>
          <w:p w14:paraId="28AA9BE6" w14:textId="77777777" w:rsidR="00DD13BF" w:rsidRDefault="00DD13BF" w:rsidP="00355A56">
            <w:pPr>
              <w:pStyle w:val="TableParagraph"/>
            </w:pPr>
            <w:r>
              <w:t>Target (2029)</w:t>
            </w:r>
          </w:p>
        </w:tc>
      </w:tr>
      <w:tr w:rsidR="00DD13BF" w14:paraId="03B775F0" w14:textId="77777777" w:rsidTr="00355A56">
        <w:trPr>
          <w:trHeight w:val="367"/>
        </w:trPr>
        <w:tc>
          <w:tcPr>
            <w:tcW w:w="1134" w:type="dxa"/>
          </w:tcPr>
          <w:p w14:paraId="05371C96" w14:textId="77777777" w:rsidR="00DD13BF" w:rsidRDefault="00DD13BF" w:rsidP="00355A56">
            <w:pPr>
              <w:pStyle w:val="TableParagraph"/>
              <w:rPr>
                <w:sz w:val="20"/>
              </w:rPr>
            </w:pPr>
            <w:r>
              <w:rPr>
                <w:sz w:val="20"/>
              </w:rPr>
              <w:t>4</w:t>
            </w:r>
          </w:p>
        </w:tc>
        <w:tc>
          <w:tcPr>
            <w:tcW w:w="1276" w:type="dxa"/>
          </w:tcPr>
          <w:p w14:paraId="2E50692E" w14:textId="77777777" w:rsidR="00DD13BF" w:rsidRPr="00347461" w:rsidRDefault="00DD13BF" w:rsidP="00355A56">
            <w:pPr>
              <w:pStyle w:val="TableParagraph"/>
              <w:rPr>
                <w:sz w:val="20"/>
              </w:rPr>
            </w:pPr>
            <w:r>
              <w:rPr>
                <w:color w:val="000000"/>
                <w:sz w:val="20"/>
              </w:rPr>
              <w:t>RSO2.8</w:t>
            </w:r>
          </w:p>
        </w:tc>
        <w:tc>
          <w:tcPr>
            <w:tcW w:w="707" w:type="dxa"/>
          </w:tcPr>
          <w:p w14:paraId="5DDFD683" w14:textId="77777777" w:rsidR="00DD13BF" w:rsidRPr="00B50EDE" w:rsidRDefault="00DD13BF" w:rsidP="00355A56">
            <w:pPr>
              <w:pStyle w:val="TableParagraph"/>
              <w:rPr>
                <w:sz w:val="20"/>
              </w:rPr>
            </w:pPr>
            <w:r>
              <w:rPr>
                <w:sz w:val="20"/>
              </w:rPr>
              <w:t>ERDF</w:t>
            </w:r>
          </w:p>
        </w:tc>
        <w:tc>
          <w:tcPr>
            <w:tcW w:w="1699" w:type="dxa"/>
          </w:tcPr>
          <w:p w14:paraId="6F354065" w14:textId="77777777" w:rsidR="00DD13BF" w:rsidRPr="00B50EDE" w:rsidRDefault="00DD13BF" w:rsidP="00355A56">
            <w:pPr>
              <w:pStyle w:val="TableParagraph"/>
              <w:rPr>
                <w:sz w:val="20"/>
              </w:rPr>
            </w:pPr>
            <w:r>
              <w:rPr>
                <w:color w:val="000000"/>
                <w:sz w:val="20"/>
              </w:rPr>
              <w:t>Less developed</w:t>
            </w:r>
          </w:p>
        </w:tc>
        <w:tc>
          <w:tcPr>
            <w:tcW w:w="777" w:type="dxa"/>
          </w:tcPr>
          <w:p w14:paraId="68F4569A" w14:textId="77777777" w:rsidR="00DD13BF" w:rsidRPr="00B50EDE" w:rsidRDefault="00DD13BF" w:rsidP="00355A56">
            <w:pPr>
              <w:pStyle w:val="TableParagraph"/>
              <w:rPr>
                <w:sz w:val="20"/>
              </w:rPr>
            </w:pPr>
            <w:r>
              <w:rPr>
                <w:sz w:val="20"/>
              </w:rPr>
              <w:t>RCO58</w:t>
            </w:r>
          </w:p>
        </w:tc>
        <w:tc>
          <w:tcPr>
            <w:tcW w:w="4329" w:type="dxa"/>
          </w:tcPr>
          <w:p w14:paraId="00AB5227" w14:textId="77777777" w:rsidR="00DD13BF" w:rsidRPr="00B50EDE" w:rsidRDefault="00DD13BF" w:rsidP="00355A56">
            <w:pPr>
              <w:pStyle w:val="TableParagraph"/>
              <w:rPr>
                <w:sz w:val="20"/>
              </w:rPr>
            </w:pPr>
            <w:r>
              <w:rPr>
                <w:color w:val="000000"/>
                <w:sz w:val="20"/>
              </w:rPr>
              <w:t>Dedicated cycling infrastructure supported</w:t>
            </w:r>
          </w:p>
        </w:tc>
        <w:tc>
          <w:tcPr>
            <w:tcW w:w="1275" w:type="dxa"/>
          </w:tcPr>
          <w:p w14:paraId="477B4D7A" w14:textId="77777777" w:rsidR="00DD13BF" w:rsidRPr="00B50EDE" w:rsidRDefault="00DD13BF" w:rsidP="00355A56">
            <w:pPr>
              <w:pStyle w:val="TableParagraph"/>
              <w:rPr>
                <w:sz w:val="20"/>
              </w:rPr>
            </w:pPr>
            <w:r>
              <w:rPr>
                <w:sz w:val="20"/>
              </w:rPr>
              <w:t>Km</w:t>
            </w:r>
          </w:p>
        </w:tc>
        <w:tc>
          <w:tcPr>
            <w:tcW w:w="1416" w:type="dxa"/>
          </w:tcPr>
          <w:p w14:paraId="60581AB6" w14:textId="77777777" w:rsidR="00DD13BF" w:rsidRPr="00347461" w:rsidRDefault="00DD13BF" w:rsidP="00355A56">
            <w:pPr>
              <w:pStyle w:val="TableParagraph"/>
              <w:rPr>
                <w:sz w:val="20"/>
              </w:rPr>
            </w:pPr>
            <w:r>
              <w:rPr>
                <w:sz w:val="20"/>
              </w:rPr>
              <w:t>2</w:t>
            </w:r>
          </w:p>
        </w:tc>
        <w:tc>
          <w:tcPr>
            <w:tcW w:w="1133" w:type="dxa"/>
          </w:tcPr>
          <w:p w14:paraId="2F0591CF" w14:textId="77777777" w:rsidR="00DD13BF" w:rsidRDefault="00DD13BF" w:rsidP="00355A56">
            <w:pPr>
              <w:pStyle w:val="TableParagraph"/>
              <w:rPr>
                <w:sz w:val="20"/>
              </w:rPr>
            </w:pPr>
            <w:r>
              <w:rPr>
                <w:sz w:val="20"/>
              </w:rPr>
              <w:t>22</w:t>
            </w:r>
          </w:p>
        </w:tc>
      </w:tr>
      <w:tr w:rsidR="00DD13BF" w14:paraId="3C9DA834" w14:textId="77777777" w:rsidTr="00355A56">
        <w:trPr>
          <w:trHeight w:val="367"/>
        </w:trPr>
        <w:tc>
          <w:tcPr>
            <w:tcW w:w="1134" w:type="dxa"/>
          </w:tcPr>
          <w:p w14:paraId="30343375" w14:textId="77777777" w:rsidR="00DD13BF" w:rsidRDefault="00DD13BF" w:rsidP="00355A56">
            <w:pPr>
              <w:pStyle w:val="TableParagraph"/>
              <w:rPr>
                <w:sz w:val="20"/>
              </w:rPr>
            </w:pPr>
            <w:r>
              <w:rPr>
                <w:sz w:val="20"/>
              </w:rPr>
              <w:t>4</w:t>
            </w:r>
          </w:p>
        </w:tc>
        <w:tc>
          <w:tcPr>
            <w:tcW w:w="1276" w:type="dxa"/>
          </w:tcPr>
          <w:p w14:paraId="5DA6DCFA" w14:textId="77777777" w:rsidR="00DD13BF" w:rsidRPr="00347461" w:rsidRDefault="00DD13BF" w:rsidP="00355A56">
            <w:pPr>
              <w:pStyle w:val="TableParagraph"/>
              <w:rPr>
                <w:sz w:val="20"/>
              </w:rPr>
            </w:pPr>
            <w:r>
              <w:rPr>
                <w:color w:val="000000"/>
                <w:sz w:val="20"/>
              </w:rPr>
              <w:t>RSO2.8</w:t>
            </w:r>
          </w:p>
        </w:tc>
        <w:tc>
          <w:tcPr>
            <w:tcW w:w="707" w:type="dxa"/>
          </w:tcPr>
          <w:p w14:paraId="65785BFA" w14:textId="77777777" w:rsidR="00DD13BF" w:rsidRPr="00B50EDE" w:rsidRDefault="00DD13BF" w:rsidP="00355A56">
            <w:pPr>
              <w:pStyle w:val="TableParagraph"/>
              <w:rPr>
                <w:sz w:val="20"/>
              </w:rPr>
            </w:pPr>
            <w:r>
              <w:rPr>
                <w:sz w:val="20"/>
              </w:rPr>
              <w:t>ERDF</w:t>
            </w:r>
          </w:p>
        </w:tc>
        <w:tc>
          <w:tcPr>
            <w:tcW w:w="1699" w:type="dxa"/>
          </w:tcPr>
          <w:p w14:paraId="556D7B02" w14:textId="77777777" w:rsidR="00DD13BF" w:rsidRPr="00936F88" w:rsidRDefault="00DD13BF" w:rsidP="00355A56">
            <w:pPr>
              <w:pStyle w:val="TableParagraph"/>
              <w:rPr>
                <w:color w:val="000000"/>
                <w:sz w:val="20"/>
              </w:rPr>
            </w:pPr>
            <w:r>
              <w:rPr>
                <w:color w:val="000000"/>
                <w:sz w:val="20"/>
              </w:rPr>
              <w:t>More developed</w:t>
            </w:r>
          </w:p>
        </w:tc>
        <w:tc>
          <w:tcPr>
            <w:tcW w:w="777" w:type="dxa"/>
          </w:tcPr>
          <w:p w14:paraId="6414D8DC" w14:textId="77777777" w:rsidR="00DD13BF" w:rsidRPr="00B50EDE" w:rsidRDefault="00DD13BF" w:rsidP="00355A56">
            <w:pPr>
              <w:pStyle w:val="TableParagraph"/>
              <w:rPr>
                <w:sz w:val="20"/>
              </w:rPr>
            </w:pPr>
            <w:r>
              <w:rPr>
                <w:sz w:val="20"/>
              </w:rPr>
              <w:t>RCO58</w:t>
            </w:r>
          </w:p>
        </w:tc>
        <w:tc>
          <w:tcPr>
            <w:tcW w:w="4329" w:type="dxa"/>
          </w:tcPr>
          <w:p w14:paraId="0ED067A9" w14:textId="77777777" w:rsidR="00DD13BF" w:rsidRPr="00B50EDE" w:rsidRDefault="00DD13BF" w:rsidP="00355A56">
            <w:pPr>
              <w:pStyle w:val="TableParagraph"/>
              <w:rPr>
                <w:sz w:val="20"/>
              </w:rPr>
            </w:pPr>
            <w:r>
              <w:rPr>
                <w:color w:val="000000"/>
                <w:sz w:val="20"/>
              </w:rPr>
              <w:t>Dedicated cycling infrastructure supported</w:t>
            </w:r>
          </w:p>
        </w:tc>
        <w:tc>
          <w:tcPr>
            <w:tcW w:w="1275" w:type="dxa"/>
          </w:tcPr>
          <w:p w14:paraId="6C257BE9" w14:textId="77777777" w:rsidR="00DD13BF" w:rsidRPr="00B50EDE" w:rsidRDefault="00DD13BF" w:rsidP="00355A56">
            <w:pPr>
              <w:pStyle w:val="TableParagraph"/>
              <w:rPr>
                <w:sz w:val="20"/>
              </w:rPr>
            </w:pPr>
            <w:r>
              <w:rPr>
                <w:sz w:val="20"/>
              </w:rPr>
              <w:t>Km</w:t>
            </w:r>
          </w:p>
        </w:tc>
        <w:tc>
          <w:tcPr>
            <w:tcW w:w="1416" w:type="dxa"/>
          </w:tcPr>
          <w:p w14:paraId="750F785A" w14:textId="77777777" w:rsidR="00DD13BF" w:rsidRPr="00347461" w:rsidRDefault="00DD13BF" w:rsidP="00355A56">
            <w:pPr>
              <w:pStyle w:val="TableParagraph"/>
              <w:rPr>
                <w:sz w:val="20"/>
              </w:rPr>
            </w:pPr>
            <w:r>
              <w:rPr>
                <w:sz w:val="20"/>
              </w:rPr>
              <w:t>2</w:t>
            </w:r>
          </w:p>
        </w:tc>
        <w:tc>
          <w:tcPr>
            <w:tcW w:w="1133" w:type="dxa"/>
          </w:tcPr>
          <w:p w14:paraId="6D89054F" w14:textId="77777777" w:rsidR="00DD13BF" w:rsidRDefault="00DD13BF" w:rsidP="00355A56">
            <w:pPr>
              <w:pStyle w:val="TableParagraph"/>
              <w:rPr>
                <w:sz w:val="20"/>
              </w:rPr>
            </w:pPr>
            <w:r>
              <w:rPr>
                <w:sz w:val="20"/>
              </w:rPr>
              <w:t>20</w:t>
            </w:r>
          </w:p>
        </w:tc>
      </w:tr>
      <w:tr w:rsidR="00DD13BF" w14:paraId="727E9E14" w14:textId="77777777" w:rsidTr="00355A56">
        <w:trPr>
          <w:trHeight w:val="367"/>
        </w:trPr>
        <w:tc>
          <w:tcPr>
            <w:tcW w:w="1134" w:type="dxa"/>
          </w:tcPr>
          <w:p w14:paraId="074A9A27" w14:textId="77777777" w:rsidR="00DD13BF" w:rsidRDefault="00DD13BF" w:rsidP="00355A56">
            <w:pPr>
              <w:pStyle w:val="TableParagraph"/>
              <w:rPr>
                <w:sz w:val="20"/>
              </w:rPr>
            </w:pPr>
            <w:r>
              <w:rPr>
                <w:sz w:val="20"/>
              </w:rPr>
              <w:t>4</w:t>
            </w:r>
          </w:p>
        </w:tc>
        <w:tc>
          <w:tcPr>
            <w:tcW w:w="1276" w:type="dxa"/>
          </w:tcPr>
          <w:p w14:paraId="540873AD" w14:textId="77777777" w:rsidR="00DD13BF" w:rsidRDefault="00DD13BF" w:rsidP="00355A56">
            <w:pPr>
              <w:pStyle w:val="TableParagraph"/>
              <w:rPr>
                <w:sz w:val="20"/>
              </w:rPr>
            </w:pPr>
            <w:r>
              <w:rPr>
                <w:color w:val="000000"/>
                <w:sz w:val="20"/>
              </w:rPr>
              <w:t>RSO2.8</w:t>
            </w:r>
          </w:p>
        </w:tc>
        <w:tc>
          <w:tcPr>
            <w:tcW w:w="707" w:type="dxa"/>
          </w:tcPr>
          <w:p w14:paraId="634AA5D0" w14:textId="77777777" w:rsidR="00DD13BF" w:rsidRPr="00B50EDE" w:rsidRDefault="00DD13BF" w:rsidP="00355A56">
            <w:pPr>
              <w:pStyle w:val="TableParagraph"/>
              <w:rPr>
                <w:sz w:val="20"/>
              </w:rPr>
            </w:pPr>
            <w:r>
              <w:rPr>
                <w:sz w:val="20"/>
              </w:rPr>
              <w:t>ERDF</w:t>
            </w:r>
          </w:p>
        </w:tc>
        <w:tc>
          <w:tcPr>
            <w:tcW w:w="1699" w:type="dxa"/>
          </w:tcPr>
          <w:p w14:paraId="41C800F7" w14:textId="77777777" w:rsidR="00DD13BF" w:rsidRPr="00B50EDE" w:rsidRDefault="00DD13BF" w:rsidP="00355A56">
            <w:pPr>
              <w:pStyle w:val="TableParagraph"/>
              <w:rPr>
                <w:sz w:val="20"/>
              </w:rPr>
            </w:pPr>
            <w:r>
              <w:rPr>
                <w:color w:val="000000"/>
                <w:sz w:val="20"/>
              </w:rPr>
              <w:t>Less developed</w:t>
            </w:r>
          </w:p>
        </w:tc>
        <w:tc>
          <w:tcPr>
            <w:tcW w:w="777" w:type="dxa"/>
          </w:tcPr>
          <w:p w14:paraId="30D9ECDB" w14:textId="77777777" w:rsidR="00DD13BF" w:rsidRPr="00B50EDE" w:rsidRDefault="00DD13BF" w:rsidP="00355A56">
            <w:pPr>
              <w:pStyle w:val="TableParagraph"/>
              <w:rPr>
                <w:sz w:val="20"/>
              </w:rPr>
            </w:pPr>
            <w:r>
              <w:rPr>
                <w:sz w:val="20"/>
              </w:rPr>
              <w:t>RCO59</w:t>
            </w:r>
          </w:p>
        </w:tc>
        <w:tc>
          <w:tcPr>
            <w:tcW w:w="4329" w:type="dxa"/>
          </w:tcPr>
          <w:p w14:paraId="33606154" w14:textId="77777777" w:rsidR="00DD13BF" w:rsidRPr="00B50EDE" w:rsidRDefault="00DD13BF" w:rsidP="00355A56">
            <w:pPr>
              <w:pStyle w:val="TableParagraph"/>
              <w:rPr>
                <w:sz w:val="20"/>
              </w:rPr>
            </w:pPr>
            <w:r>
              <w:rPr>
                <w:sz w:val="20"/>
              </w:rPr>
              <w:t>Alternative fuels infrastructure (refuelling/recharging points)</w:t>
            </w:r>
          </w:p>
        </w:tc>
        <w:tc>
          <w:tcPr>
            <w:tcW w:w="1275" w:type="dxa"/>
          </w:tcPr>
          <w:p w14:paraId="1382B034" w14:textId="77777777" w:rsidR="00DD13BF" w:rsidRPr="00B50EDE" w:rsidRDefault="00DD13BF" w:rsidP="00355A56">
            <w:pPr>
              <w:pStyle w:val="TableParagraph"/>
              <w:rPr>
                <w:sz w:val="20"/>
              </w:rPr>
            </w:pPr>
            <w:r>
              <w:rPr>
                <w:color w:val="000000"/>
                <w:sz w:val="20"/>
              </w:rPr>
              <w:t>Refuelling/recharging points</w:t>
            </w:r>
          </w:p>
        </w:tc>
        <w:tc>
          <w:tcPr>
            <w:tcW w:w="1416" w:type="dxa"/>
          </w:tcPr>
          <w:p w14:paraId="17AE88D2" w14:textId="77777777" w:rsidR="00DD13BF" w:rsidRPr="00347461" w:rsidRDefault="00DD13BF" w:rsidP="00355A56">
            <w:pPr>
              <w:pStyle w:val="TableParagraph"/>
              <w:rPr>
                <w:sz w:val="20"/>
              </w:rPr>
            </w:pPr>
            <w:r>
              <w:rPr>
                <w:sz w:val="20"/>
              </w:rPr>
              <w:t>0</w:t>
            </w:r>
          </w:p>
        </w:tc>
        <w:tc>
          <w:tcPr>
            <w:tcW w:w="1133" w:type="dxa"/>
          </w:tcPr>
          <w:p w14:paraId="1DC3902C" w14:textId="77777777" w:rsidR="00DD13BF" w:rsidRDefault="00DD13BF" w:rsidP="00355A56">
            <w:pPr>
              <w:pStyle w:val="TableParagraph"/>
              <w:rPr>
                <w:sz w:val="20"/>
              </w:rPr>
            </w:pPr>
            <w:r>
              <w:rPr>
                <w:sz w:val="20"/>
              </w:rPr>
              <w:t>23</w:t>
            </w:r>
          </w:p>
        </w:tc>
      </w:tr>
      <w:tr w:rsidR="00DD13BF" w14:paraId="67A3CE2B" w14:textId="77777777" w:rsidTr="00355A56">
        <w:trPr>
          <w:trHeight w:val="367"/>
        </w:trPr>
        <w:tc>
          <w:tcPr>
            <w:tcW w:w="1134" w:type="dxa"/>
          </w:tcPr>
          <w:p w14:paraId="7E836B02" w14:textId="77777777" w:rsidR="00DD13BF" w:rsidRDefault="00DD13BF" w:rsidP="00355A56">
            <w:pPr>
              <w:pStyle w:val="TableParagraph"/>
              <w:rPr>
                <w:sz w:val="20"/>
              </w:rPr>
            </w:pPr>
            <w:r>
              <w:rPr>
                <w:sz w:val="20"/>
              </w:rPr>
              <w:t>4</w:t>
            </w:r>
          </w:p>
        </w:tc>
        <w:tc>
          <w:tcPr>
            <w:tcW w:w="1276" w:type="dxa"/>
          </w:tcPr>
          <w:p w14:paraId="12AD34C6" w14:textId="77777777" w:rsidR="00DD13BF" w:rsidRDefault="00DD13BF" w:rsidP="00355A56">
            <w:pPr>
              <w:pStyle w:val="TableParagraph"/>
              <w:rPr>
                <w:sz w:val="20"/>
              </w:rPr>
            </w:pPr>
            <w:r>
              <w:rPr>
                <w:color w:val="000000"/>
                <w:sz w:val="20"/>
              </w:rPr>
              <w:t>RSO2.8</w:t>
            </w:r>
          </w:p>
        </w:tc>
        <w:tc>
          <w:tcPr>
            <w:tcW w:w="707" w:type="dxa"/>
          </w:tcPr>
          <w:p w14:paraId="19CE4BF3" w14:textId="77777777" w:rsidR="00DD13BF" w:rsidRPr="00B50EDE" w:rsidRDefault="00DD13BF" w:rsidP="00355A56">
            <w:pPr>
              <w:pStyle w:val="TableParagraph"/>
              <w:rPr>
                <w:sz w:val="20"/>
              </w:rPr>
            </w:pPr>
            <w:r>
              <w:rPr>
                <w:sz w:val="20"/>
              </w:rPr>
              <w:t>ERDF</w:t>
            </w:r>
          </w:p>
        </w:tc>
        <w:tc>
          <w:tcPr>
            <w:tcW w:w="1699" w:type="dxa"/>
          </w:tcPr>
          <w:p w14:paraId="1A446FB6" w14:textId="77777777" w:rsidR="00DD13BF" w:rsidRPr="00936F88" w:rsidRDefault="00DD13BF" w:rsidP="00355A56">
            <w:pPr>
              <w:pStyle w:val="TableParagraph"/>
              <w:rPr>
                <w:color w:val="000000"/>
                <w:sz w:val="20"/>
              </w:rPr>
            </w:pPr>
            <w:r>
              <w:rPr>
                <w:color w:val="000000"/>
                <w:sz w:val="20"/>
              </w:rPr>
              <w:t>More developed</w:t>
            </w:r>
          </w:p>
        </w:tc>
        <w:tc>
          <w:tcPr>
            <w:tcW w:w="777" w:type="dxa"/>
          </w:tcPr>
          <w:p w14:paraId="4E7E6911" w14:textId="77777777" w:rsidR="00DD13BF" w:rsidRPr="00B50EDE" w:rsidRDefault="00DD13BF" w:rsidP="00355A56">
            <w:pPr>
              <w:pStyle w:val="TableParagraph"/>
              <w:rPr>
                <w:sz w:val="20"/>
              </w:rPr>
            </w:pPr>
            <w:r>
              <w:rPr>
                <w:sz w:val="20"/>
              </w:rPr>
              <w:t>RCO59</w:t>
            </w:r>
          </w:p>
        </w:tc>
        <w:tc>
          <w:tcPr>
            <w:tcW w:w="4329" w:type="dxa"/>
          </w:tcPr>
          <w:p w14:paraId="629183BF" w14:textId="77777777" w:rsidR="00DD13BF" w:rsidRPr="00B50EDE" w:rsidRDefault="00DD13BF" w:rsidP="00355A56">
            <w:pPr>
              <w:pStyle w:val="TableParagraph"/>
              <w:rPr>
                <w:sz w:val="20"/>
              </w:rPr>
            </w:pPr>
            <w:r>
              <w:rPr>
                <w:sz w:val="20"/>
              </w:rPr>
              <w:t>Alternative fuels infrastructure (refuelling/recharging points)</w:t>
            </w:r>
          </w:p>
        </w:tc>
        <w:tc>
          <w:tcPr>
            <w:tcW w:w="1275" w:type="dxa"/>
          </w:tcPr>
          <w:p w14:paraId="037816AC" w14:textId="77777777" w:rsidR="00DD13BF" w:rsidRPr="00B50EDE" w:rsidRDefault="00DD13BF" w:rsidP="00355A56">
            <w:pPr>
              <w:pStyle w:val="TableParagraph"/>
              <w:rPr>
                <w:sz w:val="20"/>
              </w:rPr>
            </w:pPr>
            <w:r>
              <w:rPr>
                <w:color w:val="000000"/>
                <w:sz w:val="20"/>
              </w:rPr>
              <w:t>Refuelling/recharging points</w:t>
            </w:r>
          </w:p>
        </w:tc>
        <w:tc>
          <w:tcPr>
            <w:tcW w:w="1416" w:type="dxa"/>
          </w:tcPr>
          <w:p w14:paraId="310A879F" w14:textId="77777777" w:rsidR="00DD13BF" w:rsidRPr="00347461" w:rsidRDefault="00DD13BF" w:rsidP="00355A56">
            <w:pPr>
              <w:pStyle w:val="TableParagraph"/>
              <w:rPr>
                <w:sz w:val="20"/>
              </w:rPr>
            </w:pPr>
            <w:r>
              <w:rPr>
                <w:sz w:val="20"/>
              </w:rPr>
              <w:t>0</w:t>
            </w:r>
          </w:p>
        </w:tc>
        <w:tc>
          <w:tcPr>
            <w:tcW w:w="1133" w:type="dxa"/>
          </w:tcPr>
          <w:p w14:paraId="7C01AF02" w14:textId="77777777" w:rsidR="00DD13BF" w:rsidRDefault="00DD13BF" w:rsidP="00355A56">
            <w:pPr>
              <w:pStyle w:val="TableParagraph"/>
              <w:rPr>
                <w:sz w:val="20"/>
              </w:rPr>
            </w:pPr>
            <w:r>
              <w:rPr>
                <w:sz w:val="20"/>
              </w:rPr>
              <w:t>25</w:t>
            </w:r>
          </w:p>
        </w:tc>
      </w:tr>
      <w:tr w:rsidR="00DD13BF" w14:paraId="00E73FF4" w14:textId="77777777" w:rsidTr="00355A56">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67"/>
        </w:trPr>
        <w:tc>
          <w:tcPr>
            <w:tcW w:w="1134" w:type="dxa"/>
          </w:tcPr>
          <w:p w14:paraId="12293DF0" w14:textId="77777777" w:rsidR="00DD13BF" w:rsidRDefault="00DD13BF" w:rsidP="00355A56">
            <w:pPr>
              <w:pStyle w:val="TableParagraph"/>
              <w:rPr>
                <w:sz w:val="20"/>
              </w:rPr>
            </w:pPr>
            <w:r>
              <w:rPr>
                <w:sz w:val="20"/>
              </w:rPr>
              <w:t>4</w:t>
            </w:r>
          </w:p>
        </w:tc>
        <w:tc>
          <w:tcPr>
            <w:tcW w:w="1276" w:type="dxa"/>
          </w:tcPr>
          <w:p w14:paraId="5339CC65" w14:textId="77777777" w:rsidR="00DD13BF" w:rsidRDefault="00DD13BF" w:rsidP="00355A56">
            <w:pPr>
              <w:pStyle w:val="TableParagraph"/>
              <w:rPr>
                <w:sz w:val="20"/>
              </w:rPr>
            </w:pPr>
            <w:r>
              <w:rPr>
                <w:color w:val="000000"/>
                <w:sz w:val="20"/>
              </w:rPr>
              <w:t>RSO2.8</w:t>
            </w:r>
          </w:p>
        </w:tc>
        <w:tc>
          <w:tcPr>
            <w:tcW w:w="707" w:type="dxa"/>
          </w:tcPr>
          <w:p w14:paraId="6B631EF9" w14:textId="77777777" w:rsidR="00DD13BF" w:rsidRDefault="00DD13BF" w:rsidP="00355A56">
            <w:pPr>
              <w:pStyle w:val="TableParagraph"/>
              <w:rPr>
                <w:sz w:val="20"/>
              </w:rPr>
            </w:pPr>
            <w:r>
              <w:rPr>
                <w:sz w:val="20"/>
              </w:rPr>
              <w:t>ERDF</w:t>
            </w:r>
          </w:p>
        </w:tc>
        <w:tc>
          <w:tcPr>
            <w:tcW w:w="1699" w:type="dxa"/>
          </w:tcPr>
          <w:p w14:paraId="54A81FF5" w14:textId="77777777" w:rsidR="00DD13BF" w:rsidRDefault="00DD13BF" w:rsidP="00355A56">
            <w:pPr>
              <w:pStyle w:val="TableParagraph"/>
              <w:rPr>
                <w:color w:val="000000" w:themeColor="text1"/>
                <w:sz w:val="20"/>
              </w:rPr>
            </w:pPr>
            <w:r>
              <w:rPr>
                <w:color w:val="000000" w:themeColor="text1"/>
                <w:sz w:val="20"/>
              </w:rPr>
              <w:t>Less developed</w:t>
            </w:r>
          </w:p>
        </w:tc>
        <w:tc>
          <w:tcPr>
            <w:tcW w:w="777" w:type="dxa"/>
          </w:tcPr>
          <w:p w14:paraId="50DECA40" w14:textId="77777777" w:rsidR="00DD13BF" w:rsidRDefault="00DD13BF" w:rsidP="00355A56">
            <w:pPr>
              <w:pStyle w:val="TableParagraph"/>
              <w:rPr>
                <w:sz w:val="20"/>
              </w:rPr>
            </w:pPr>
            <w:r>
              <w:rPr>
                <w:sz w:val="20"/>
              </w:rPr>
              <w:t>RCO60</w:t>
            </w:r>
          </w:p>
        </w:tc>
        <w:tc>
          <w:tcPr>
            <w:tcW w:w="4329" w:type="dxa"/>
          </w:tcPr>
          <w:p w14:paraId="0E01E7B3" w14:textId="77777777" w:rsidR="00DD13BF" w:rsidRDefault="00DD13BF" w:rsidP="00355A56">
            <w:pPr>
              <w:pStyle w:val="TableParagraph"/>
              <w:spacing w:line="259" w:lineRule="auto"/>
              <w:rPr>
                <w:sz w:val="20"/>
              </w:rPr>
            </w:pPr>
            <w:r>
              <w:rPr>
                <w:sz w:val="20"/>
              </w:rPr>
              <w:t>Cities and towns with new or modernised digitised urban transport systems</w:t>
            </w:r>
          </w:p>
        </w:tc>
        <w:tc>
          <w:tcPr>
            <w:tcW w:w="1275" w:type="dxa"/>
          </w:tcPr>
          <w:p w14:paraId="7A226776" w14:textId="77777777" w:rsidR="00DD13BF" w:rsidRDefault="00DD13BF" w:rsidP="00355A56">
            <w:pPr>
              <w:pStyle w:val="TableParagraph"/>
              <w:rPr>
                <w:sz w:val="20"/>
              </w:rPr>
            </w:pPr>
            <w:r>
              <w:rPr>
                <w:color w:val="000000" w:themeColor="text1"/>
                <w:sz w:val="20"/>
              </w:rPr>
              <w:t>Cities and towns</w:t>
            </w:r>
          </w:p>
        </w:tc>
        <w:tc>
          <w:tcPr>
            <w:tcW w:w="1416" w:type="dxa"/>
          </w:tcPr>
          <w:p w14:paraId="14E804DE" w14:textId="77777777" w:rsidR="00DD13BF" w:rsidRDefault="00DD13BF" w:rsidP="00355A56">
            <w:pPr>
              <w:pStyle w:val="TableParagraph"/>
              <w:rPr>
                <w:sz w:val="20"/>
              </w:rPr>
            </w:pPr>
            <w:r>
              <w:rPr>
                <w:sz w:val="20"/>
              </w:rPr>
              <w:t>0</w:t>
            </w:r>
          </w:p>
        </w:tc>
        <w:tc>
          <w:tcPr>
            <w:tcW w:w="1133" w:type="dxa"/>
          </w:tcPr>
          <w:p w14:paraId="240F7AD0" w14:textId="77777777" w:rsidR="00DD13BF" w:rsidRDefault="00DD13BF" w:rsidP="00355A56">
            <w:pPr>
              <w:pStyle w:val="TableParagraph"/>
              <w:rPr>
                <w:sz w:val="20"/>
              </w:rPr>
            </w:pPr>
            <w:r>
              <w:rPr>
                <w:sz w:val="20"/>
              </w:rPr>
              <w:t>1</w:t>
            </w:r>
          </w:p>
        </w:tc>
      </w:tr>
      <w:tr w:rsidR="00DD13BF" w14:paraId="10A1B24E" w14:textId="77777777" w:rsidTr="00355A56">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67"/>
        </w:trPr>
        <w:tc>
          <w:tcPr>
            <w:tcW w:w="1134" w:type="dxa"/>
          </w:tcPr>
          <w:p w14:paraId="428D2492" w14:textId="77777777" w:rsidR="00DD13BF" w:rsidRDefault="00DD13BF" w:rsidP="00355A56">
            <w:pPr>
              <w:pStyle w:val="TableParagraph"/>
              <w:rPr>
                <w:sz w:val="20"/>
              </w:rPr>
            </w:pPr>
            <w:r>
              <w:rPr>
                <w:sz w:val="20"/>
              </w:rPr>
              <w:t>4</w:t>
            </w:r>
          </w:p>
        </w:tc>
        <w:tc>
          <w:tcPr>
            <w:tcW w:w="1276" w:type="dxa"/>
          </w:tcPr>
          <w:p w14:paraId="3BC0BFF8" w14:textId="77777777" w:rsidR="00DD13BF" w:rsidRDefault="00DD13BF" w:rsidP="00355A56">
            <w:pPr>
              <w:pStyle w:val="TableParagraph"/>
              <w:rPr>
                <w:sz w:val="20"/>
              </w:rPr>
            </w:pPr>
            <w:r>
              <w:rPr>
                <w:color w:val="000000"/>
                <w:sz w:val="20"/>
              </w:rPr>
              <w:t>RSO2.8</w:t>
            </w:r>
          </w:p>
        </w:tc>
        <w:tc>
          <w:tcPr>
            <w:tcW w:w="707" w:type="dxa"/>
          </w:tcPr>
          <w:p w14:paraId="6C91649C" w14:textId="77777777" w:rsidR="00DD13BF" w:rsidRDefault="00DD13BF" w:rsidP="00355A56">
            <w:pPr>
              <w:pStyle w:val="TableParagraph"/>
              <w:rPr>
                <w:sz w:val="20"/>
              </w:rPr>
            </w:pPr>
            <w:r>
              <w:rPr>
                <w:sz w:val="20"/>
              </w:rPr>
              <w:t>ERDF</w:t>
            </w:r>
          </w:p>
        </w:tc>
        <w:tc>
          <w:tcPr>
            <w:tcW w:w="1699" w:type="dxa"/>
          </w:tcPr>
          <w:p w14:paraId="20CD9482" w14:textId="77777777" w:rsidR="00DD13BF" w:rsidRDefault="00DD13BF" w:rsidP="00355A56">
            <w:pPr>
              <w:pStyle w:val="TableParagraph"/>
              <w:rPr>
                <w:color w:val="000000" w:themeColor="text1"/>
                <w:sz w:val="20"/>
              </w:rPr>
            </w:pPr>
            <w:r>
              <w:rPr>
                <w:color w:val="000000" w:themeColor="text1"/>
                <w:sz w:val="20"/>
              </w:rPr>
              <w:t>More developed</w:t>
            </w:r>
          </w:p>
        </w:tc>
        <w:tc>
          <w:tcPr>
            <w:tcW w:w="777" w:type="dxa"/>
          </w:tcPr>
          <w:p w14:paraId="09C6FEFF" w14:textId="77777777" w:rsidR="00DD13BF" w:rsidRDefault="00DD13BF" w:rsidP="00355A56">
            <w:pPr>
              <w:pStyle w:val="TableParagraph"/>
              <w:rPr>
                <w:sz w:val="20"/>
              </w:rPr>
            </w:pPr>
            <w:r>
              <w:rPr>
                <w:sz w:val="20"/>
              </w:rPr>
              <w:t>RCO60</w:t>
            </w:r>
          </w:p>
        </w:tc>
        <w:tc>
          <w:tcPr>
            <w:tcW w:w="4329" w:type="dxa"/>
          </w:tcPr>
          <w:p w14:paraId="32311FDB" w14:textId="77777777" w:rsidR="00DD13BF" w:rsidRDefault="00DD13BF" w:rsidP="00355A56">
            <w:pPr>
              <w:pStyle w:val="TableParagraph"/>
              <w:spacing w:line="259" w:lineRule="auto"/>
              <w:rPr>
                <w:sz w:val="20"/>
              </w:rPr>
            </w:pPr>
            <w:r>
              <w:rPr>
                <w:sz w:val="20"/>
              </w:rPr>
              <w:t>Cities and towns with new or modernised digitised urban transport systems</w:t>
            </w:r>
          </w:p>
        </w:tc>
        <w:tc>
          <w:tcPr>
            <w:tcW w:w="1275" w:type="dxa"/>
          </w:tcPr>
          <w:p w14:paraId="219FD646" w14:textId="77777777" w:rsidR="00DD13BF" w:rsidRDefault="00DD13BF" w:rsidP="00355A56">
            <w:pPr>
              <w:pStyle w:val="TableParagraph"/>
              <w:rPr>
                <w:sz w:val="20"/>
              </w:rPr>
            </w:pPr>
            <w:r>
              <w:rPr>
                <w:color w:val="000000" w:themeColor="text1"/>
                <w:sz w:val="20"/>
              </w:rPr>
              <w:t>Cities and towns</w:t>
            </w:r>
          </w:p>
        </w:tc>
        <w:tc>
          <w:tcPr>
            <w:tcW w:w="1416" w:type="dxa"/>
          </w:tcPr>
          <w:p w14:paraId="0BEBFA5F" w14:textId="77777777" w:rsidR="00DD13BF" w:rsidRDefault="00DD13BF" w:rsidP="00355A56">
            <w:pPr>
              <w:pStyle w:val="TableParagraph"/>
              <w:rPr>
                <w:sz w:val="20"/>
              </w:rPr>
            </w:pPr>
            <w:r>
              <w:rPr>
                <w:sz w:val="20"/>
              </w:rPr>
              <w:t>0</w:t>
            </w:r>
          </w:p>
        </w:tc>
        <w:tc>
          <w:tcPr>
            <w:tcW w:w="1133" w:type="dxa"/>
          </w:tcPr>
          <w:p w14:paraId="76F0D82A" w14:textId="77777777" w:rsidR="00DD13BF" w:rsidRDefault="00DD13BF" w:rsidP="00355A56">
            <w:pPr>
              <w:pStyle w:val="TableParagraph"/>
              <w:rPr>
                <w:sz w:val="20"/>
              </w:rPr>
            </w:pPr>
            <w:r>
              <w:rPr>
                <w:sz w:val="20"/>
              </w:rPr>
              <w:t>1</w:t>
            </w:r>
          </w:p>
        </w:tc>
      </w:tr>
    </w:tbl>
    <w:p w14:paraId="2642154E" w14:textId="77777777" w:rsidR="00DD13BF" w:rsidRDefault="00DD13BF" w:rsidP="00DD13BF">
      <w:pPr>
        <w:rPr>
          <w:sz w:val="24"/>
        </w:rPr>
      </w:pPr>
    </w:p>
    <w:p w14:paraId="5038294D" w14:textId="77777777" w:rsidR="00DD13BF" w:rsidRDefault="00DD13BF" w:rsidP="00DD13BF">
      <w:pPr>
        <w:ind w:left="379"/>
      </w:pPr>
      <w:r>
        <w:t>Table 3: Result indicators</w:t>
      </w:r>
    </w:p>
    <w:p w14:paraId="15955241" w14:textId="77777777" w:rsidR="00DD13BF" w:rsidRDefault="00DD13BF" w:rsidP="00DD13BF">
      <w:pPr>
        <w:rPr>
          <w:sz w:val="21"/>
        </w:rPr>
      </w:pPr>
    </w:p>
    <w:tbl>
      <w:tblPr>
        <w:tblStyle w:val="NormalTable0"/>
        <w:tblW w:w="1389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992"/>
        <w:gridCol w:w="695"/>
        <w:gridCol w:w="1570"/>
        <w:gridCol w:w="708"/>
        <w:gridCol w:w="3264"/>
        <w:gridCol w:w="992"/>
        <w:gridCol w:w="1133"/>
        <w:gridCol w:w="992"/>
        <w:gridCol w:w="850"/>
        <w:gridCol w:w="850"/>
        <w:gridCol w:w="711"/>
      </w:tblGrid>
      <w:tr w:rsidR="00DD13BF" w14:paraId="5DE3E3F8" w14:textId="77777777" w:rsidTr="00355A56">
        <w:trPr>
          <w:trHeight w:val="353"/>
        </w:trPr>
        <w:tc>
          <w:tcPr>
            <w:tcW w:w="1134" w:type="dxa"/>
          </w:tcPr>
          <w:p w14:paraId="1C8154F1" w14:textId="77777777" w:rsidR="00DD13BF" w:rsidRPr="00347461" w:rsidRDefault="00DD13BF" w:rsidP="00355A56">
            <w:pPr>
              <w:pStyle w:val="TableParagraph"/>
              <w:rPr>
                <w:sz w:val="20"/>
              </w:rPr>
            </w:pPr>
            <w:r>
              <w:rPr>
                <w:sz w:val="20"/>
              </w:rPr>
              <w:t>Priority</w:t>
            </w:r>
          </w:p>
        </w:tc>
        <w:tc>
          <w:tcPr>
            <w:tcW w:w="992" w:type="dxa"/>
          </w:tcPr>
          <w:p w14:paraId="28A46669" w14:textId="77777777" w:rsidR="00DD13BF" w:rsidRPr="00347461" w:rsidRDefault="00DD13BF" w:rsidP="00355A56">
            <w:pPr>
              <w:pStyle w:val="TableParagraph"/>
              <w:rPr>
                <w:sz w:val="20"/>
              </w:rPr>
            </w:pPr>
            <w:r>
              <w:rPr>
                <w:sz w:val="20"/>
              </w:rPr>
              <w:t>Specific objective</w:t>
            </w:r>
          </w:p>
        </w:tc>
        <w:tc>
          <w:tcPr>
            <w:tcW w:w="695" w:type="dxa"/>
          </w:tcPr>
          <w:p w14:paraId="45F9A136" w14:textId="77777777" w:rsidR="00DD13BF" w:rsidRPr="00347461" w:rsidRDefault="00DD13BF" w:rsidP="00355A56">
            <w:pPr>
              <w:pStyle w:val="TableParagraph"/>
              <w:rPr>
                <w:sz w:val="20"/>
              </w:rPr>
            </w:pPr>
            <w:r>
              <w:rPr>
                <w:sz w:val="20"/>
              </w:rPr>
              <w:t>Fund</w:t>
            </w:r>
          </w:p>
        </w:tc>
        <w:tc>
          <w:tcPr>
            <w:tcW w:w="1570" w:type="dxa"/>
          </w:tcPr>
          <w:p w14:paraId="14AA7102" w14:textId="77777777" w:rsidR="00DD13BF" w:rsidRPr="00347461" w:rsidRDefault="00DD13BF" w:rsidP="00355A56">
            <w:pPr>
              <w:pStyle w:val="TableParagraph"/>
              <w:rPr>
                <w:sz w:val="20"/>
              </w:rPr>
            </w:pPr>
            <w:r>
              <w:rPr>
                <w:sz w:val="20"/>
              </w:rPr>
              <w:t>Category of region</w:t>
            </w:r>
          </w:p>
        </w:tc>
        <w:tc>
          <w:tcPr>
            <w:tcW w:w="708" w:type="dxa"/>
          </w:tcPr>
          <w:p w14:paraId="69BE0BC7" w14:textId="77777777" w:rsidR="00DD13BF" w:rsidRPr="00347461" w:rsidRDefault="00DD13BF" w:rsidP="00355A56">
            <w:pPr>
              <w:pStyle w:val="TableParagraph"/>
              <w:rPr>
                <w:sz w:val="20"/>
              </w:rPr>
            </w:pPr>
            <w:r>
              <w:rPr>
                <w:sz w:val="20"/>
              </w:rPr>
              <w:t>ID</w:t>
            </w:r>
          </w:p>
        </w:tc>
        <w:tc>
          <w:tcPr>
            <w:tcW w:w="3264" w:type="dxa"/>
          </w:tcPr>
          <w:p w14:paraId="3AD6B805" w14:textId="77777777" w:rsidR="00DD13BF" w:rsidRPr="00347461" w:rsidRDefault="00DD13BF" w:rsidP="00355A56">
            <w:pPr>
              <w:pStyle w:val="TableParagraph"/>
              <w:rPr>
                <w:sz w:val="20"/>
              </w:rPr>
            </w:pPr>
            <w:r>
              <w:rPr>
                <w:sz w:val="20"/>
              </w:rPr>
              <w:t>Indicator</w:t>
            </w:r>
          </w:p>
        </w:tc>
        <w:tc>
          <w:tcPr>
            <w:tcW w:w="992" w:type="dxa"/>
          </w:tcPr>
          <w:p w14:paraId="5A5E72C7" w14:textId="77777777" w:rsidR="00DD13BF" w:rsidRPr="00347461" w:rsidRDefault="00DD13BF" w:rsidP="00355A56">
            <w:pPr>
              <w:pStyle w:val="TableParagraph"/>
              <w:rPr>
                <w:sz w:val="20"/>
              </w:rPr>
            </w:pPr>
            <w:r>
              <w:rPr>
                <w:sz w:val="20"/>
              </w:rPr>
              <w:t>Measurement unit</w:t>
            </w:r>
          </w:p>
        </w:tc>
        <w:tc>
          <w:tcPr>
            <w:tcW w:w="1133" w:type="dxa"/>
          </w:tcPr>
          <w:p w14:paraId="746629C3" w14:textId="77777777" w:rsidR="00DD13BF" w:rsidRPr="00347461" w:rsidRDefault="00DD13BF" w:rsidP="00355A56">
            <w:pPr>
              <w:pStyle w:val="TableParagraph"/>
              <w:rPr>
                <w:sz w:val="20"/>
              </w:rPr>
            </w:pPr>
            <w:r>
              <w:rPr>
                <w:sz w:val="20"/>
              </w:rPr>
              <w:t>Baseline or reference value</w:t>
            </w:r>
          </w:p>
        </w:tc>
        <w:tc>
          <w:tcPr>
            <w:tcW w:w="992" w:type="dxa"/>
          </w:tcPr>
          <w:p w14:paraId="0E5D0625" w14:textId="77777777" w:rsidR="00DD13BF" w:rsidRPr="00347461" w:rsidRDefault="00DD13BF" w:rsidP="00355A56">
            <w:pPr>
              <w:pStyle w:val="TableParagraph"/>
              <w:rPr>
                <w:sz w:val="20"/>
              </w:rPr>
            </w:pPr>
            <w:r>
              <w:rPr>
                <w:sz w:val="20"/>
              </w:rPr>
              <w:t>Reference year</w:t>
            </w:r>
          </w:p>
        </w:tc>
        <w:tc>
          <w:tcPr>
            <w:tcW w:w="850" w:type="dxa"/>
          </w:tcPr>
          <w:p w14:paraId="21C166ED" w14:textId="77777777" w:rsidR="00DD13BF" w:rsidRPr="00347461" w:rsidRDefault="00DD13BF" w:rsidP="00355A56">
            <w:pPr>
              <w:pStyle w:val="TableParagraph"/>
              <w:rPr>
                <w:sz w:val="20"/>
              </w:rPr>
            </w:pPr>
            <w:r>
              <w:rPr>
                <w:sz w:val="20"/>
              </w:rPr>
              <w:t>Target (2029)</w:t>
            </w:r>
          </w:p>
        </w:tc>
        <w:tc>
          <w:tcPr>
            <w:tcW w:w="850" w:type="dxa"/>
          </w:tcPr>
          <w:p w14:paraId="13964F64" w14:textId="77777777" w:rsidR="00DD13BF" w:rsidRPr="00347461" w:rsidRDefault="00DD13BF" w:rsidP="00355A56">
            <w:pPr>
              <w:pStyle w:val="TableParagraph"/>
              <w:rPr>
                <w:sz w:val="20"/>
              </w:rPr>
            </w:pPr>
            <w:r>
              <w:rPr>
                <w:sz w:val="20"/>
              </w:rPr>
              <w:t>Source of data</w:t>
            </w:r>
          </w:p>
        </w:tc>
        <w:tc>
          <w:tcPr>
            <w:tcW w:w="711" w:type="dxa"/>
          </w:tcPr>
          <w:p w14:paraId="08707923" w14:textId="77777777" w:rsidR="00DD13BF" w:rsidRPr="00347461" w:rsidRDefault="00DD13BF" w:rsidP="00355A56">
            <w:pPr>
              <w:pStyle w:val="TableParagraph"/>
              <w:rPr>
                <w:sz w:val="20"/>
              </w:rPr>
            </w:pPr>
            <w:r>
              <w:rPr>
                <w:sz w:val="20"/>
              </w:rPr>
              <w:t>Notes</w:t>
            </w:r>
          </w:p>
        </w:tc>
      </w:tr>
      <w:tr w:rsidR="00DD13BF" w14:paraId="6EDE1EC4" w14:textId="77777777" w:rsidTr="00355A56">
        <w:trPr>
          <w:trHeight w:val="353"/>
        </w:trPr>
        <w:tc>
          <w:tcPr>
            <w:tcW w:w="1134" w:type="dxa"/>
          </w:tcPr>
          <w:p w14:paraId="0AAD7A0A" w14:textId="77777777" w:rsidR="00DD13BF" w:rsidRPr="00347461" w:rsidRDefault="00DD13BF" w:rsidP="00355A56">
            <w:pPr>
              <w:pStyle w:val="TableParagraph"/>
              <w:rPr>
                <w:sz w:val="20"/>
              </w:rPr>
            </w:pPr>
            <w:r>
              <w:rPr>
                <w:sz w:val="20"/>
              </w:rPr>
              <w:t>4</w:t>
            </w:r>
          </w:p>
        </w:tc>
        <w:tc>
          <w:tcPr>
            <w:tcW w:w="992" w:type="dxa"/>
          </w:tcPr>
          <w:p w14:paraId="3C2F760C" w14:textId="77777777" w:rsidR="00DD13BF" w:rsidRPr="00347461" w:rsidRDefault="00DD13BF" w:rsidP="00355A56">
            <w:pPr>
              <w:pStyle w:val="TableParagraph"/>
              <w:rPr>
                <w:sz w:val="20"/>
              </w:rPr>
            </w:pPr>
            <w:r>
              <w:rPr>
                <w:color w:val="000000"/>
                <w:sz w:val="20"/>
              </w:rPr>
              <w:t>RSO2.8</w:t>
            </w:r>
          </w:p>
        </w:tc>
        <w:tc>
          <w:tcPr>
            <w:tcW w:w="695" w:type="dxa"/>
          </w:tcPr>
          <w:p w14:paraId="03D08ED8" w14:textId="77777777" w:rsidR="00DD13BF" w:rsidRPr="00347461" w:rsidRDefault="00DD13BF" w:rsidP="00355A56">
            <w:pPr>
              <w:pStyle w:val="TableParagraph"/>
              <w:rPr>
                <w:sz w:val="20"/>
              </w:rPr>
            </w:pPr>
            <w:r>
              <w:rPr>
                <w:sz w:val="20"/>
              </w:rPr>
              <w:t>ERDF</w:t>
            </w:r>
          </w:p>
        </w:tc>
        <w:tc>
          <w:tcPr>
            <w:tcW w:w="1570" w:type="dxa"/>
          </w:tcPr>
          <w:p w14:paraId="730497D5" w14:textId="77777777" w:rsidR="00DD13BF" w:rsidRPr="00347461" w:rsidRDefault="00DD13BF" w:rsidP="00355A56">
            <w:pPr>
              <w:pStyle w:val="TableParagraph"/>
              <w:rPr>
                <w:sz w:val="20"/>
              </w:rPr>
            </w:pPr>
            <w:r>
              <w:rPr>
                <w:color w:val="000000"/>
                <w:sz w:val="20"/>
              </w:rPr>
              <w:t>Less developed</w:t>
            </w:r>
          </w:p>
        </w:tc>
        <w:tc>
          <w:tcPr>
            <w:tcW w:w="708" w:type="dxa"/>
          </w:tcPr>
          <w:p w14:paraId="1241BC65" w14:textId="77777777" w:rsidR="00DD13BF" w:rsidRPr="00B50EDE" w:rsidRDefault="00DD13BF" w:rsidP="00355A56">
            <w:pPr>
              <w:pStyle w:val="TableParagraph"/>
              <w:rPr>
                <w:sz w:val="20"/>
              </w:rPr>
            </w:pPr>
            <w:r>
              <w:rPr>
                <w:color w:val="000000"/>
                <w:sz w:val="20"/>
              </w:rPr>
              <w:t>RCR62</w:t>
            </w:r>
          </w:p>
        </w:tc>
        <w:tc>
          <w:tcPr>
            <w:tcW w:w="3264" w:type="dxa"/>
          </w:tcPr>
          <w:p w14:paraId="7EE52576" w14:textId="77777777" w:rsidR="00DD13BF" w:rsidRPr="00B50EDE" w:rsidRDefault="00DD13BF" w:rsidP="00355A56">
            <w:pPr>
              <w:pStyle w:val="TableParagraph"/>
              <w:rPr>
                <w:sz w:val="20"/>
              </w:rPr>
            </w:pPr>
            <w:r>
              <w:rPr>
                <w:color w:val="000000"/>
                <w:sz w:val="20"/>
              </w:rPr>
              <w:t>Annual users of new or modernised public transport</w:t>
            </w:r>
          </w:p>
        </w:tc>
        <w:tc>
          <w:tcPr>
            <w:tcW w:w="992" w:type="dxa"/>
          </w:tcPr>
          <w:p w14:paraId="37DB179A" w14:textId="77777777" w:rsidR="00DD13BF" w:rsidRPr="00347461" w:rsidRDefault="00DD13BF" w:rsidP="00355A56">
            <w:pPr>
              <w:pStyle w:val="TableParagraph"/>
              <w:rPr>
                <w:sz w:val="20"/>
              </w:rPr>
            </w:pPr>
            <w:r>
              <w:rPr>
                <w:color w:val="000000"/>
                <w:sz w:val="20"/>
              </w:rPr>
              <w:t>Users/year</w:t>
            </w:r>
          </w:p>
        </w:tc>
        <w:tc>
          <w:tcPr>
            <w:tcW w:w="1133" w:type="dxa"/>
          </w:tcPr>
          <w:p w14:paraId="6B2552F9" w14:textId="77777777" w:rsidR="00DD13BF" w:rsidRPr="00347461" w:rsidRDefault="00DD13BF" w:rsidP="00355A56">
            <w:pPr>
              <w:pStyle w:val="TableParagraph"/>
              <w:rPr>
                <w:sz w:val="20"/>
              </w:rPr>
            </w:pPr>
            <w:r>
              <w:rPr>
                <w:sz w:val="20"/>
              </w:rPr>
              <w:t>0</w:t>
            </w:r>
          </w:p>
        </w:tc>
        <w:tc>
          <w:tcPr>
            <w:tcW w:w="992" w:type="dxa"/>
          </w:tcPr>
          <w:p w14:paraId="11ED071B" w14:textId="77777777" w:rsidR="00DD13BF" w:rsidRPr="00347461" w:rsidRDefault="00DD13BF" w:rsidP="00355A56">
            <w:pPr>
              <w:pStyle w:val="TableParagraph"/>
              <w:rPr>
                <w:sz w:val="20"/>
              </w:rPr>
            </w:pPr>
            <w:r>
              <w:rPr>
                <w:sz w:val="20"/>
              </w:rPr>
              <w:t>2021</w:t>
            </w:r>
          </w:p>
        </w:tc>
        <w:tc>
          <w:tcPr>
            <w:tcW w:w="850" w:type="dxa"/>
          </w:tcPr>
          <w:p w14:paraId="4D3658F8" w14:textId="77777777" w:rsidR="00DD13BF" w:rsidRPr="00347461" w:rsidRDefault="00DD13BF" w:rsidP="00355A56">
            <w:pPr>
              <w:pStyle w:val="TableParagraph"/>
              <w:rPr>
                <w:sz w:val="20"/>
              </w:rPr>
            </w:pPr>
            <w:r>
              <w:rPr>
                <w:sz w:val="20"/>
              </w:rPr>
              <w:t>337,500</w:t>
            </w:r>
          </w:p>
        </w:tc>
        <w:tc>
          <w:tcPr>
            <w:tcW w:w="850" w:type="dxa"/>
          </w:tcPr>
          <w:p w14:paraId="39000AD8" w14:textId="77777777" w:rsidR="00DD13BF" w:rsidRPr="00347461" w:rsidRDefault="00DD13BF" w:rsidP="00355A56">
            <w:pPr>
              <w:pStyle w:val="TableParagraph"/>
              <w:rPr>
                <w:sz w:val="20"/>
              </w:rPr>
            </w:pPr>
            <w:r>
              <w:rPr>
                <w:sz w:val="20"/>
              </w:rPr>
              <w:t>MZI</w:t>
            </w:r>
          </w:p>
        </w:tc>
        <w:tc>
          <w:tcPr>
            <w:tcW w:w="711" w:type="dxa"/>
          </w:tcPr>
          <w:p w14:paraId="51ACD7C2" w14:textId="77777777" w:rsidR="00DD13BF" w:rsidRPr="00347461" w:rsidRDefault="00DD13BF" w:rsidP="00355A56">
            <w:pPr>
              <w:pStyle w:val="TableParagraph"/>
              <w:jc w:val="center"/>
              <w:rPr>
                <w:sz w:val="20"/>
              </w:rPr>
            </w:pPr>
          </w:p>
        </w:tc>
      </w:tr>
      <w:tr w:rsidR="00DD13BF" w14:paraId="2E3E14D1" w14:textId="77777777" w:rsidTr="00355A56">
        <w:trPr>
          <w:trHeight w:val="353"/>
        </w:trPr>
        <w:tc>
          <w:tcPr>
            <w:tcW w:w="1134" w:type="dxa"/>
          </w:tcPr>
          <w:p w14:paraId="5A4F379E" w14:textId="77777777" w:rsidR="00DD13BF" w:rsidRPr="00347461" w:rsidRDefault="00DD13BF" w:rsidP="00355A56">
            <w:pPr>
              <w:pStyle w:val="TableParagraph"/>
              <w:rPr>
                <w:sz w:val="20"/>
              </w:rPr>
            </w:pPr>
            <w:r>
              <w:rPr>
                <w:sz w:val="20"/>
              </w:rPr>
              <w:t>4</w:t>
            </w:r>
          </w:p>
        </w:tc>
        <w:tc>
          <w:tcPr>
            <w:tcW w:w="992" w:type="dxa"/>
          </w:tcPr>
          <w:p w14:paraId="2C159053" w14:textId="77777777" w:rsidR="00DD13BF" w:rsidRPr="00347461" w:rsidRDefault="00DD13BF" w:rsidP="00355A56">
            <w:pPr>
              <w:pStyle w:val="TableParagraph"/>
              <w:rPr>
                <w:sz w:val="20"/>
              </w:rPr>
            </w:pPr>
            <w:r>
              <w:rPr>
                <w:color w:val="000000"/>
                <w:sz w:val="20"/>
              </w:rPr>
              <w:t>RSO2.8</w:t>
            </w:r>
          </w:p>
        </w:tc>
        <w:tc>
          <w:tcPr>
            <w:tcW w:w="695" w:type="dxa"/>
          </w:tcPr>
          <w:p w14:paraId="524E9785" w14:textId="77777777" w:rsidR="00DD13BF" w:rsidRPr="00347461" w:rsidRDefault="00DD13BF" w:rsidP="00355A56">
            <w:pPr>
              <w:pStyle w:val="TableParagraph"/>
              <w:rPr>
                <w:sz w:val="20"/>
              </w:rPr>
            </w:pPr>
            <w:r>
              <w:rPr>
                <w:sz w:val="20"/>
              </w:rPr>
              <w:t>ERDF</w:t>
            </w:r>
          </w:p>
        </w:tc>
        <w:tc>
          <w:tcPr>
            <w:tcW w:w="1570" w:type="dxa"/>
          </w:tcPr>
          <w:p w14:paraId="2C179B37" w14:textId="77777777" w:rsidR="00DD13BF" w:rsidRPr="00BD74FC" w:rsidRDefault="00DD13BF" w:rsidP="00355A56">
            <w:pPr>
              <w:pStyle w:val="TableParagraph"/>
              <w:rPr>
                <w:color w:val="000000"/>
                <w:sz w:val="20"/>
              </w:rPr>
            </w:pPr>
            <w:r>
              <w:rPr>
                <w:color w:val="000000"/>
                <w:sz w:val="20"/>
              </w:rPr>
              <w:t>More developed</w:t>
            </w:r>
          </w:p>
        </w:tc>
        <w:tc>
          <w:tcPr>
            <w:tcW w:w="708" w:type="dxa"/>
          </w:tcPr>
          <w:p w14:paraId="20AA54EA" w14:textId="77777777" w:rsidR="00DD13BF" w:rsidRPr="00B50EDE" w:rsidRDefault="00DD13BF" w:rsidP="00355A56">
            <w:pPr>
              <w:pStyle w:val="TableParagraph"/>
              <w:rPr>
                <w:sz w:val="20"/>
              </w:rPr>
            </w:pPr>
            <w:r>
              <w:rPr>
                <w:color w:val="000000"/>
                <w:sz w:val="20"/>
              </w:rPr>
              <w:t>RCR62</w:t>
            </w:r>
          </w:p>
        </w:tc>
        <w:tc>
          <w:tcPr>
            <w:tcW w:w="3264" w:type="dxa"/>
          </w:tcPr>
          <w:p w14:paraId="418856DF" w14:textId="77777777" w:rsidR="00DD13BF" w:rsidRPr="00B50EDE" w:rsidRDefault="00DD13BF" w:rsidP="00355A56">
            <w:pPr>
              <w:pStyle w:val="TableParagraph"/>
              <w:rPr>
                <w:sz w:val="20"/>
              </w:rPr>
            </w:pPr>
            <w:r>
              <w:rPr>
                <w:color w:val="000000"/>
                <w:sz w:val="20"/>
              </w:rPr>
              <w:t>Annual users of new or modernised public transport</w:t>
            </w:r>
          </w:p>
        </w:tc>
        <w:tc>
          <w:tcPr>
            <w:tcW w:w="992" w:type="dxa"/>
          </w:tcPr>
          <w:p w14:paraId="267975E4" w14:textId="77777777" w:rsidR="00DD13BF" w:rsidRPr="00347461" w:rsidRDefault="00DD13BF" w:rsidP="00355A56">
            <w:pPr>
              <w:pStyle w:val="TableParagraph"/>
              <w:rPr>
                <w:sz w:val="20"/>
              </w:rPr>
            </w:pPr>
            <w:r>
              <w:rPr>
                <w:color w:val="000000"/>
                <w:sz w:val="20"/>
              </w:rPr>
              <w:t>Users/year</w:t>
            </w:r>
          </w:p>
        </w:tc>
        <w:tc>
          <w:tcPr>
            <w:tcW w:w="1133" w:type="dxa"/>
          </w:tcPr>
          <w:p w14:paraId="1CAC6D3E" w14:textId="77777777" w:rsidR="00DD13BF" w:rsidRPr="00347461" w:rsidRDefault="00DD13BF" w:rsidP="00355A56">
            <w:pPr>
              <w:pStyle w:val="TableParagraph"/>
              <w:rPr>
                <w:sz w:val="20"/>
              </w:rPr>
            </w:pPr>
            <w:r>
              <w:rPr>
                <w:sz w:val="20"/>
              </w:rPr>
              <w:t>0</w:t>
            </w:r>
          </w:p>
        </w:tc>
        <w:tc>
          <w:tcPr>
            <w:tcW w:w="992" w:type="dxa"/>
          </w:tcPr>
          <w:p w14:paraId="1DE7ACF5" w14:textId="77777777" w:rsidR="00DD13BF" w:rsidRPr="00347461" w:rsidRDefault="00DD13BF" w:rsidP="00355A56">
            <w:pPr>
              <w:pStyle w:val="TableParagraph"/>
              <w:rPr>
                <w:sz w:val="20"/>
              </w:rPr>
            </w:pPr>
            <w:r>
              <w:rPr>
                <w:sz w:val="20"/>
              </w:rPr>
              <w:t>2021</w:t>
            </w:r>
          </w:p>
        </w:tc>
        <w:tc>
          <w:tcPr>
            <w:tcW w:w="850" w:type="dxa"/>
          </w:tcPr>
          <w:p w14:paraId="5BE2E6C7" w14:textId="77777777" w:rsidR="00DD13BF" w:rsidRPr="00347461" w:rsidRDefault="00DD13BF" w:rsidP="00355A56">
            <w:pPr>
              <w:pStyle w:val="TableParagraph"/>
              <w:rPr>
                <w:sz w:val="20"/>
              </w:rPr>
            </w:pPr>
            <w:r>
              <w:rPr>
                <w:sz w:val="20"/>
              </w:rPr>
              <w:t>360,000</w:t>
            </w:r>
          </w:p>
        </w:tc>
        <w:tc>
          <w:tcPr>
            <w:tcW w:w="850" w:type="dxa"/>
          </w:tcPr>
          <w:p w14:paraId="2ABC4DD7" w14:textId="77777777" w:rsidR="00DD13BF" w:rsidRPr="00347461" w:rsidRDefault="00DD13BF" w:rsidP="00355A56">
            <w:pPr>
              <w:pStyle w:val="TableParagraph"/>
              <w:rPr>
                <w:sz w:val="20"/>
              </w:rPr>
            </w:pPr>
            <w:r>
              <w:rPr>
                <w:sz w:val="20"/>
              </w:rPr>
              <w:t>MZI</w:t>
            </w:r>
          </w:p>
        </w:tc>
        <w:tc>
          <w:tcPr>
            <w:tcW w:w="711" w:type="dxa"/>
          </w:tcPr>
          <w:p w14:paraId="1502FA03" w14:textId="77777777" w:rsidR="00DD13BF" w:rsidRPr="00347461" w:rsidRDefault="00DD13BF" w:rsidP="00355A56">
            <w:pPr>
              <w:pStyle w:val="TableParagraph"/>
              <w:jc w:val="center"/>
              <w:rPr>
                <w:sz w:val="20"/>
              </w:rPr>
            </w:pPr>
          </w:p>
        </w:tc>
      </w:tr>
      <w:tr w:rsidR="00DD13BF" w14:paraId="303F059F" w14:textId="77777777" w:rsidTr="00355A56">
        <w:trPr>
          <w:trHeight w:val="353"/>
        </w:trPr>
        <w:tc>
          <w:tcPr>
            <w:tcW w:w="1134" w:type="dxa"/>
          </w:tcPr>
          <w:p w14:paraId="1EB15398" w14:textId="77777777" w:rsidR="00DD13BF" w:rsidRPr="00347461" w:rsidRDefault="00DD13BF" w:rsidP="00355A56">
            <w:pPr>
              <w:pStyle w:val="TableParagraph"/>
              <w:rPr>
                <w:sz w:val="20"/>
              </w:rPr>
            </w:pPr>
            <w:r>
              <w:rPr>
                <w:sz w:val="20"/>
              </w:rPr>
              <w:t>4</w:t>
            </w:r>
          </w:p>
        </w:tc>
        <w:tc>
          <w:tcPr>
            <w:tcW w:w="992" w:type="dxa"/>
          </w:tcPr>
          <w:p w14:paraId="13E0B481" w14:textId="77777777" w:rsidR="00DD13BF" w:rsidRPr="00347461" w:rsidRDefault="00DD13BF" w:rsidP="00355A56">
            <w:pPr>
              <w:pStyle w:val="TableParagraph"/>
              <w:rPr>
                <w:sz w:val="20"/>
              </w:rPr>
            </w:pPr>
            <w:r>
              <w:rPr>
                <w:color w:val="000000"/>
                <w:sz w:val="20"/>
              </w:rPr>
              <w:t>RSO2.8</w:t>
            </w:r>
          </w:p>
        </w:tc>
        <w:tc>
          <w:tcPr>
            <w:tcW w:w="695" w:type="dxa"/>
          </w:tcPr>
          <w:p w14:paraId="2E797AE0" w14:textId="77777777" w:rsidR="00DD13BF" w:rsidRPr="00347461" w:rsidRDefault="00DD13BF" w:rsidP="00355A56">
            <w:pPr>
              <w:pStyle w:val="TableParagraph"/>
              <w:rPr>
                <w:sz w:val="20"/>
              </w:rPr>
            </w:pPr>
            <w:r>
              <w:rPr>
                <w:sz w:val="20"/>
              </w:rPr>
              <w:t>ERDF</w:t>
            </w:r>
          </w:p>
        </w:tc>
        <w:tc>
          <w:tcPr>
            <w:tcW w:w="1570" w:type="dxa"/>
          </w:tcPr>
          <w:p w14:paraId="056BBE31" w14:textId="77777777" w:rsidR="00DD13BF" w:rsidRPr="00347461" w:rsidRDefault="00DD13BF" w:rsidP="00355A56">
            <w:pPr>
              <w:pStyle w:val="TableParagraph"/>
              <w:rPr>
                <w:sz w:val="20"/>
              </w:rPr>
            </w:pPr>
            <w:r>
              <w:rPr>
                <w:color w:val="000000"/>
                <w:sz w:val="20"/>
              </w:rPr>
              <w:t>Less developed</w:t>
            </w:r>
          </w:p>
        </w:tc>
        <w:tc>
          <w:tcPr>
            <w:tcW w:w="708" w:type="dxa"/>
          </w:tcPr>
          <w:p w14:paraId="116C16F9" w14:textId="77777777" w:rsidR="00DD13BF" w:rsidRPr="00B50EDE" w:rsidRDefault="00DD13BF" w:rsidP="00355A56">
            <w:pPr>
              <w:pStyle w:val="TableParagraph"/>
              <w:rPr>
                <w:sz w:val="20"/>
              </w:rPr>
            </w:pPr>
            <w:r>
              <w:rPr>
                <w:sz w:val="20"/>
              </w:rPr>
              <w:t>RCR64</w:t>
            </w:r>
          </w:p>
        </w:tc>
        <w:tc>
          <w:tcPr>
            <w:tcW w:w="3264" w:type="dxa"/>
          </w:tcPr>
          <w:p w14:paraId="7ABA18A2" w14:textId="77777777" w:rsidR="00DD13BF" w:rsidRPr="00B50EDE" w:rsidRDefault="00DD13BF" w:rsidP="00355A56">
            <w:pPr>
              <w:pStyle w:val="TableParagraph"/>
              <w:rPr>
                <w:sz w:val="20"/>
              </w:rPr>
            </w:pPr>
            <w:r>
              <w:rPr>
                <w:sz w:val="20"/>
              </w:rPr>
              <w:t>Annual users of dedicated cycling infrastructure</w:t>
            </w:r>
          </w:p>
        </w:tc>
        <w:tc>
          <w:tcPr>
            <w:tcW w:w="992" w:type="dxa"/>
          </w:tcPr>
          <w:p w14:paraId="504FF84F" w14:textId="77777777" w:rsidR="00DD13BF" w:rsidRPr="00347461" w:rsidRDefault="00DD13BF" w:rsidP="00355A56">
            <w:pPr>
              <w:pStyle w:val="TableParagraph"/>
              <w:rPr>
                <w:sz w:val="20"/>
              </w:rPr>
            </w:pPr>
            <w:r>
              <w:rPr>
                <w:color w:val="000000"/>
                <w:sz w:val="20"/>
              </w:rPr>
              <w:t>Users/year</w:t>
            </w:r>
          </w:p>
        </w:tc>
        <w:tc>
          <w:tcPr>
            <w:tcW w:w="1133" w:type="dxa"/>
          </w:tcPr>
          <w:p w14:paraId="26F5D979" w14:textId="77777777" w:rsidR="00DD13BF" w:rsidRPr="00347461" w:rsidRDefault="00DD13BF" w:rsidP="00355A56">
            <w:pPr>
              <w:pStyle w:val="TableParagraph"/>
              <w:rPr>
                <w:sz w:val="20"/>
              </w:rPr>
            </w:pPr>
            <w:r>
              <w:rPr>
                <w:sz w:val="20"/>
              </w:rPr>
              <w:t>0</w:t>
            </w:r>
          </w:p>
        </w:tc>
        <w:tc>
          <w:tcPr>
            <w:tcW w:w="992" w:type="dxa"/>
          </w:tcPr>
          <w:p w14:paraId="40A4CA94" w14:textId="77777777" w:rsidR="00DD13BF" w:rsidRPr="00347461" w:rsidRDefault="00DD13BF" w:rsidP="00355A56">
            <w:pPr>
              <w:pStyle w:val="TableParagraph"/>
              <w:rPr>
                <w:sz w:val="20"/>
              </w:rPr>
            </w:pPr>
            <w:r>
              <w:rPr>
                <w:sz w:val="20"/>
              </w:rPr>
              <w:t>2021</w:t>
            </w:r>
          </w:p>
        </w:tc>
        <w:tc>
          <w:tcPr>
            <w:tcW w:w="850" w:type="dxa"/>
            <w:shd w:val="clear" w:color="auto" w:fill="auto"/>
          </w:tcPr>
          <w:p w14:paraId="0CFC5E85" w14:textId="77777777" w:rsidR="00DD13BF" w:rsidRPr="00347461" w:rsidRDefault="00DD13BF" w:rsidP="00355A56">
            <w:pPr>
              <w:pStyle w:val="TableParagraph"/>
              <w:rPr>
                <w:sz w:val="20"/>
              </w:rPr>
            </w:pPr>
            <w:r>
              <w:rPr>
                <w:sz w:val="20"/>
              </w:rPr>
              <w:t>600,000</w:t>
            </w:r>
          </w:p>
        </w:tc>
        <w:tc>
          <w:tcPr>
            <w:tcW w:w="850" w:type="dxa"/>
          </w:tcPr>
          <w:p w14:paraId="48C2C41F" w14:textId="77777777" w:rsidR="00DD13BF" w:rsidRPr="00347461" w:rsidRDefault="00DD13BF" w:rsidP="00355A56">
            <w:pPr>
              <w:pStyle w:val="TableParagraph"/>
              <w:rPr>
                <w:sz w:val="20"/>
              </w:rPr>
            </w:pPr>
            <w:r>
              <w:rPr>
                <w:sz w:val="20"/>
              </w:rPr>
              <w:t>MZI</w:t>
            </w:r>
          </w:p>
        </w:tc>
        <w:tc>
          <w:tcPr>
            <w:tcW w:w="711" w:type="dxa"/>
          </w:tcPr>
          <w:p w14:paraId="72EAAEC1" w14:textId="77777777" w:rsidR="00DD13BF" w:rsidRPr="00347461" w:rsidRDefault="00DD13BF" w:rsidP="00355A56">
            <w:pPr>
              <w:pStyle w:val="TableParagraph"/>
              <w:jc w:val="center"/>
              <w:rPr>
                <w:sz w:val="20"/>
              </w:rPr>
            </w:pPr>
          </w:p>
        </w:tc>
      </w:tr>
      <w:tr w:rsidR="00DD13BF" w14:paraId="44B55AAB" w14:textId="77777777" w:rsidTr="00355A56">
        <w:trPr>
          <w:trHeight w:val="353"/>
        </w:trPr>
        <w:tc>
          <w:tcPr>
            <w:tcW w:w="1134" w:type="dxa"/>
          </w:tcPr>
          <w:p w14:paraId="7CC760A0" w14:textId="77777777" w:rsidR="00DD13BF" w:rsidRPr="00347461" w:rsidRDefault="00DD13BF" w:rsidP="00355A56">
            <w:pPr>
              <w:pStyle w:val="TableParagraph"/>
              <w:rPr>
                <w:sz w:val="20"/>
              </w:rPr>
            </w:pPr>
            <w:r>
              <w:rPr>
                <w:sz w:val="20"/>
              </w:rPr>
              <w:t>4</w:t>
            </w:r>
          </w:p>
        </w:tc>
        <w:tc>
          <w:tcPr>
            <w:tcW w:w="992" w:type="dxa"/>
          </w:tcPr>
          <w:p w14:paraId="07D2DF5A" w14:textId="77777777" w:rsidR="00DD13BF" w:rsidRPr="00347461" w:rsidRDefault="00DD13BF" w:rsidP="00355A56">
            <w:pPr>
              <w:pStyle w:val="TableParagraph"/>
              <w:rPr>
                <w:sz w:val="20"/>
              </w:rPr>
            </w:pPr>
            <w:r>
              <w:rPr>
                <w:color w:val="000000"/>
                <w:sz w:val="20"/>
              </w:rPr>
              <w:t>RSO2.8</w:t>
            </w:r>
          </w:p>
        </w:tc>
        <w:tc>
          <w:tcPr>
            <w:tcW w:w="695" w:type="dxa"/>
          </w:tcPr>
          <w:p w14:paraId="3FCF31AC" w14:textId="77777777" w:rsidR="00DD13BF" w:rsidRPr="00347461" w:rsidRDefault="00DD13BF" w:rsidP="00355A56">
            <w:pPr>
              <w:pStyle w:val="TableParagraph"/>
              <w:rPr>
                <w:sz w:val="20"/>
              </w:rPr>
            </w:pPr>
            <w:r>
              <w:rPr>
                <w:sz w:val="20"/>
              </w:rPr>
              <w:t>ERDF</w:t>
            </w:r>
          </w:p>
        </w:tc>
        <w:tc>
          <w:tcPr>
            <w:tcW w:w="1570" w:type="dxa"/>
          </w:tcPr>
          <w:p w14:paraId="0AB1733F" w14:textId="77777777" w:rsidR="00DD13BF" w:rsidRPr="00BD74FC" w:rsidRDefault="00DD13BF" w:rsidP="00355A56">
            <w:pPr>
              <w:pStyle w:val="TableParagraph"/>
              <w:rPr>
                <w:color w:val="000000"/>
                <w:sz w:val="20"/>
              </w:rPr>
            </w:pPr>
            <w:r>
              <w:rPr>
                <w:color w:val="000000"/>
                <w:sz w:val="20"/>
              </w:rPr>
              <w:t>More developed</w:t>
            </w:r>
          </w:p>
        </w:tc>
        <w:tc>
          <w:tcPr>
            <w:tcW w:w="708" w:type="dxa"/>
          </w:tcPr>
          <w:p w14:paraId="549EF09B" w14:textId="77777777" w:rsidR="00DD13BF" w:rsidRPr="00B50EDE" w:rsidRDefault="00DD13BF" w:rsidP="00355A56">
            <w:pPr>
              <w:pStyle w:val="TableParagraph"/>
              <w:rPr>
                <w:sz w:val="20"/>
              </w:rPr>
            </w:pPr>
            <w:r>
              <w:rPr>
                <w:sz w:val="20"/>
              </w:rPr>
              <w:t>RCR64</w:t>
            </w:r>
          </w:p>
        </w:tc>
        <w:tc>
          <w:tcPr>
            <w:tcW w:w="3264" w:type="dxa"/>
          </w:tcPr>
          <w:p w14:paraId="70815767" w14:textId="77777777" w:rsidR="00DD13BF" w:rsidRPr="00B50EDE" w:rsidRDefault="00DD13BF" w:rsidP="00355A56">
            <w:pPr>
              <w:pStyle w:val="TableParagraph"/>
              <w:rPr>
                <w:sz w:val="20"/>
              </w:rPr>
            </w:pPr>
            <w:r>
              <w:rPr>
                <w:sz w:val="20"/>
              </w:rPr>
              <w:t>Annual users of dedicated cycling infrastructure</w:t>
            </w:r>
          </w:p>
        </w:tc>
        <w:tc>
          <w:tcPr>
            <w:tcW w:w="992" w:type="dxa"/>
          </w:tcPr>
          <w:p w14:paraId="2D02F63E" w14:textId="77777777" w:rsidR="00DD13BF" w:rsidRPr="00347461" w:rsidRDefault="00DD13BF" w:rsidP="00355A56">
            <w:pPr>
              <w:pStyle w:val="TableParagraph"/>
              <w:rPr>
                <w:sz w:val="20"/>
              </w:rPr>
            </w:pPr>
            <w:r>
              <w:rPr>
                <w:color w:val="000000"/>
                <w:sz w:val="20"/>
              </w:rPr>
              <w:t>Users/year</w:t>
            </w:r>
          </w:p>
        </w:tc>
        <w:tc>
          <w:tcPr>
            <w:tcW w:w="1133" w:type="dxa"/>
          </w:tcPr>
          <w:p w14:paraId="65AD6AAF" w14:textId="77777777" w:rsidR="00DD13BF" w:rsidRPr="00347461" w:rsidRDefault="00DD13BF" w:rsidP="00355A56">
            <w:pPr>
              <w:pStyle w:val="TableParagraph"/>
              <w:rPr>
                <w:sz w:val="20"/>
              </w:rPr>
            </w:pPr>
            <w:r>
              <w:rPr>
                <w:sz w:val="20"/>
              </w:rPr>
              <w:t>0</w:t>
            </w:r>
          </w:p>
        </w:tc>
        <w:tc>
          <w:tcPr>
            <w:tcW w:w="992" w:type="dxa"/>
          </w:tcPr>
          <w:p w14:paraId="48E2A453" w14:textId="77777777" w:rsidR="00DD13BF" w:rsidRPr="00347461" w:rsidRDefault="00DD13BF" w:rsidP="00355A56">
            <w:pPr>
              <w:pStyle w:val="TableParagraph"/>
              <w:rPr>
                <w:sz w:val="20"/>
              </w:rPr>
            </w:pPr>
            <w:r>
              <w:rPr>
                <w:sz w:val="20"/>
              </w:rPr>
              <w:t>2021</w:t>
            </w:r>
          </w:p>
        </w:tc>
        <w:tc>
          <w:tcPr>
            <w:tcW w:w="850" w:type="dxa"/>
            <w:shd w:val="clear" w:color="auto" w:fill="auto"/>
          </w:tcPr>
          <w:p w14:paraId="39C6DB72" w14:textId="77777777" w:rsidR="00DD13BF" w:rsidRPr="00347461" w:rsidRDefault="00DD13BF" w:rsidP="00355A56">
            <w:pPr>
              <w:pStyle w:val="TableParagraph"/>
              <w:rPr>
                <w:sz w:val="20"/>
              </w:rPr>
            </w:pPr>
            <w:r>
              <w:rPr>
                <w:sz w:val="20"/>
              </w:rPr>
              <w:t>520,000</w:t>
            </w:r>
          </w:p>
        </w:tc>
        <w:tc>
          <w:tcPr>
            <w:tcW w:w="850" w:type="dxa"/>
          </w:tcPr>
          <w:p w14:paraId="1CDD6F58" w14:textId="77777777" w:rsidR="00DD13BF" w:rsidRPr="00347461" w:rsidRDefault="00DD13BF" w:rsidP="00355A56">
            <w:pPr>
              <w:pStyle w:val="TableParagraph"/>
              <w:rPr>
                <w:sz w:val="20"/>
              </w:rPr>
            </w:pPr>
            <w:r>
              <w:rPr>
                <w:sz w:val="20"/>
              </w:rPr>
              <w:t>MZI</w:t>
            </w:r>
          </w:p>
        </w:tc>
        <w:tc>
          <w:tcPr>
            <w:tcW w:w="711" w:type="dxa"/>
          </w:tcPr>
          <w:p w14:paraId="76054F05" w14:textId="77777777" w:rsidR="00DD13BF" w:rsidRPr="00347461" w:rsidRDefault="00DD13BF" w:rsidP="00355A56">
            <w:pPr>
              <w:pStyle w:val="TableParagraph"/>
              <w:jc w:val="center"/>
              <w:rPr>
                <w:sz w:val="20"/>
              </w:rPr>
            </w:pPr>
          </w:p>
        </w:tc>
      </w:tr>
    </w:tbl>
    <w:p w14:paraId="7C6422AA" w14:textId="77777777" w:rsidR="00DD13BF" w:rsidRPr="00F81084" w:rsidRDefault="00DD13BF" w:rsidP="00DD13BF">
      <w:pPr>
        <w:pStyle w:val="Telobesedila"/>
      </w:pPr>
    </w:p>
    <w:p w14:paraId="2892DE14" w14:textId="77777777" w:rsidR="00DD13BF" w:rsidRPr="00F81084" w:rsidRDefault="00DD13BF" w:rsidP="00DD13BF">
      <w:pPr>
        <w:pStyle w:val="Telobesedila"/>
      </w:pPr>
    </w:p>
    <w:p w14:paraId="255E64BB" w14:textId="77777777" w:rsidR="00DD13BF" w:rsidRDefault="00DD13BF" w:rsidP="00DD13BF">
      <w:pPr>
        <w:pStyle w:val="Naslov5"/>
        <w:numPr>
          <w:ilvl w:val="4"/>
          <w:numId w:val="16"/>
        </w:numPr>
        <w:spacing w:before="0"/>
      </w:pPr>
      <w:r>
        <w:t>Indicative breakdown of the programme resources (EU) by type of intervention</w:t>
      </w:r>
    </w:p>
    <w:p w14:paraId="314B2E01" w14:textId="77777777" w:rsidR="00DD13BF" w:rsidRDefault="00DD13BF" w:rsidP="00DD13BF">
      <w:pPr>
        <w:ind w:left="640"/>
        <w:rPr>
          <w:spacing w:val="-5"/>
        </w:rPr>
      </w:pPr>
    </w:p>
    <w:p w14:paraId="2C30AE90" w14:textId="77777777" w:rsidR="00DD13BF" w:rsidRPr="00673ADB" w:rsidRDefault="00DD13BF" w:rsidP="00DD13BF">
      <w:pPr>
        <w:ind w:left="339"/>
        <w:rPr>
          <w:spacing w:val="-7"/>
        </w:rPr>
      </w:pPr>
      <w:r>
        <w:t>Table 4: Dimension 1 – intervention field</w:t>
      </w:r>
    </w:p>
    <w:p w14:paraId="62A587C0"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179ABC0" w14:textId="77777777" w:rsidTr="00355A56">
        <w:trPr>
          <w:trHeight w:val="353"/>
        </w:trPr>
        <w:tc>
          <w:tcPr>
            <w:tcW w:w="2088" w:type="dxa"/>
          </w:tcPr>
          <w:p w14:paraId="0355CEDC" w14:textId="77777777" w:rsidR="00DD13BF" w:rsidRDefault="00DD13BF" w:rsidP="00355A56">
            <w:pPr>
              <w:pStyle w:val="TableParagraph"/>
              <w:ind w:left="115"/>
            </w:pPr>
            <w:r>
              <w:t>Priority no.</w:t>
            </w:r>
          </w:p>
        </w:tc>
        <w:tc>
          <w:tcPr>
            <w:tcW w:w="1133" w:type="dxa"/>
          </w:tcPr>
          <w:p w14:paraId="0DED75F0" w14:textId="77777777" w:rsidR="00DD13BF" w:rsidRDefault="00DD13BF" w:rsidP="00355A56">
            <w:pPr>
              <w:pStyle w:val="TableParagraph"/>
              <w:ind w:left="320"/>
            </w:pPr>
            <w:r>
              <w:t>Fund</w:t>
            </w:r>
          </w:p>
        </w:tc>
        <w:tc>
          <w:tcPr>
            <w:tcW w:w="3249" w:type="dxa"/>
          </w:tcPr>
          <w:p w14:paraId="69D22B83" w14:textId="77777777" w:rsidR="00DD13BF" w:rsidRDefault="00DD13BF" w:rsidP="00355A56">
            <w:pPr>
              <w:pStyle w:val="TableParagraph"/>
              <w:ind w:left="907"/>
            </w:pPr>
            <w:r>
              <w:t>Category of region</w:t>
            </w:r>
          </w:p>
        </w:tc>
        <w:tc>
          <w:tcPr>
            <w:tcW w:w="3099" w:type="dxa"/>
          </w:tcPr>
          <w:p w14:paraId="3EDC2AB0" w14:textId="77777777" w:rsidR="00DD13BF" w:rsidRDefault="00DD13BF" w:rsidP="00355A56">
            <w:pPr>
              <w:pStyle w:val="TableParagraph"/>
              <w:ind w:left="948"/>
            </w:pPr>
            <w:r>
              <w:t>Specific objective</w:t>
            </w:r>
          </w:p>
        </w:tc>
        <w:tc>
          <w:tcPr>
            <w:tcW w:w="1161" w:type="dxa"/>
          </w:tcPr>
          <w:p w14:paraId="1F5E8392" w14:textId="77777777" w:rsidR="00DD13BF" w:rsidRDefault="00DD13BF" w:rsidP="00355A56">
            <w:pPr>
              <w:pStyle w:val="TableParagraph"/>
              <w:ind w:left="333"/>
            </w:pPr>
            <w:r>
              <w:t>Code</w:t>
            </w:r>
          </w:p>
        </w:tc>
        <w:tc>
          <w:tcPr>
            <w:tcW w:w="2731" w:type="dxa"/>
          </w:tcPr>
          <w:p w14:paraId="07EA4585" w14:textId="77777777" w:rsidR="00DD13BF" w:rsidRDefault="00DD13BF" w:rsidP="00355A56">
            <w:pPr>
              <w:pStyle w:val="TableParagraph"/>
              <w:ind w:left="660"/>
            </w:pPr>
            <w:r>
              <w:t>Amount (in EUR)</w:t>
            </w:r>
          </w:p>
        </w:tc>
      </w:tr>
      <w:tr w:rsidR="00DD13BF" w14:paraId="29C425DC" w14:textId="77777777" w:rsidTr="00355A56">
        <w:trPr>
          <w:trHeight w:val="353"/>
        </w:trPr>
        <w:tc>
          <w:tcPr>
            <w:tcW w:w="2088" w:type="dxa"/>
          </w:tcPr>
          <w:p w14:paraId="73BEB392" w14:textId="77777777" w:rsidR="00DD13BF" w:rsidRDefault="00DD13BF" w:rsidP="00355A56">
            <w:pPr>
              <w:pStyle w:val="TableParagraph"/>
              <w:rPr>
                <w:sz w:val="20"/>
              </w:rPr>
            </w:pPr>
            <w:r>
              <w:rPr>
                <w:sz w:val="20"/>
              </w:rPr>
              <w:t>4</w:t>
            </w:r>
          </w:p>
        </w:tc>
        <w:tc>
          <w:tcPr>
            <w:tcW w:w="1133" w:type="dxa"/>
          </w:tcPr>
          <w:p w14:paraId="75FBEB89" w14:textId="77777777" w:rsidR="00DD13BF" w:rsidRDefault="00DD13BF" w:rsidP="00355A56">
            <w:pPr>
              <w:pStyle w:val="TableParagraph"/>
              <w:rPr>
                <w:sz w:val="20"/>
              </w:rPr>
            </w:pPr>
            <w:r>
              <w:rPr>
                <w:sz w:val="20"/>
              </w:rPr>
              <w:t>ERDF</w:t>
            </w:r>
          </w:p>
        </w:tc>
        <w:tc>
          <w:tcPr>
            <w:tcW w:w="3249" w:type="dxa"/>
          </w:tcPr>
          <w:p w14:paraId="5C87DE94" w14:textId="77777777" w:rsidR="00DD13BF" w:rsidRDefault="00DD13BF" w:rsidP="00355A56">
            <w:pPr>
              <w:pStyle w:val="TableParagraph"/>
              <w:rPr>
                <w:sz w:val="20"/>
              </w:rPr>
            </w:pPr>
            <w:r>
              <w:rPr>
                <w:sz w:val="20"/>
              </w:rPr>
              <w:t>Less developed</w:t>
            </w:r>
          </w:p>
        </w:tc>
        <w:tc>
          <w:tcPr>
            <w:tcW w:w="3099" w:type="dxa"/>
          </w:tcPr>
          <w:p w14:paraId="6372BEB0" w14:textId="77777777" w:rsidR="00DD13BF" w:rsidRDefault="00DD13BF" w:rsidP="00355A56">
            <w:pPr>
              <w:pStyle w:val="TableParagraph"/>
              <w:rPr>
                <w:sz w:val="20"/>
              </w:rPr>
            </w:pPr>
            <w:r>
              <w:rPr>
                <w:color w:val="000000"/>
                <w:sz w:val="20"/>
              </w:rPr>
              <w:t>RSO2.8</w:t>
            </w:r>
          </w:p>
        </w:tc>
        <w:tc>
          <w:tcPr>
            <w:tcW w:w="1161" w:type="dxa"/>
          </w:tcPr>
          <w:p w14:paraId="440A477F" w14:textId="77777777" w:rsidR="00DD13BF" w:rsidRDefault="00DD13BF" w:rsidP="00355A56">
            <w:pPr>
              <w:pStyle w:val="TableParagraph"/>
              <w:rPr>
                <w:sz w:val="20"/>
              </w:rPr>
            </w:pPr>
            <w:r>
              <w:rPr>
                <w:sz w:val="20"/>
              </w:rPr>
              <w:t>81</w:t>
            </w:r>
          </w:p>
        </w:tc>
        <w:tc>
          <w:tcPr>
            <w:tcW w:w="2731" w:type="dxa"/>
          </w:tcPr>
          <w:p w14:paraId="596599A5" w14:textId="77777777" w:rsidR="00DD13BF" w:rsidRDefault="00DD13BF" w:rsidP="00355A56">
            <w:pPr>
              <w:pStyle w:val="TableParagraph"/>
              <w:rPr>
                <w:sz w:val="20"/>
              </w:rPr>
            </w:pPr>
            <w:r>
              <w:rPr>
                <w:sz w:val="20"/>
              </w:rPr>
              <w:t xml:space="preserve">15,672,561  </w:t>
            </w:r>
          </w:p>
        </w:tc>
      </w:tr>
      <w:tr w:rsidR="00DD13BF" w:rsidRPr="00401F69" w14:paraId="4F863603" w14:textId="77777777" w:rsidTr="00355A56">
        <w:trPr>
          <w:trHeight w:val="353"/>
        </w:trPr>
        <w:tc>
          <w:tcPr>
            <w:tcW w:w="2088" w:type="dxa"/>
          </w:tcPr>
          <w:p w14:paraId="64ED375F" w14:textId="77777777" w:rsidR="00DD13BF" w:rsidRDefault="00DD13BF" w:rsidP="00355A56">
            <w:pPr>
              <w:pStyle w:val="TableParagraph"/>
              <w:rPr>
                <w:sz w:val="20"/>
              </w:rPr>
            </w:pPr>
            <w:r>
              <w:rPr>
                <w:sz w:val="20"/>
              </w:rPr>
              <w:t>4</w:t>
            </w:r>
          </w:p>
        </w:tc>
        <w:tc>
          <w:tcPr>
            <w:tcW w:w="1133" w:type="dxa"/>
          </w:tcPr>
          <w:p w14:paraId="7B72182A" w14:textId="77777777" w:rsidR="00DD13BF" w:rsidRDefault="00DD13BF" w:rsidP="00355A56">
            <w:pPr>
              <w:pStyle w:val="TableParagraph"/>
              <w:rPr>
                <w:sz w:val="20"/>
              </w:rPr>
            </w:pPr>
            <w:r>
              <w:rPr>
                <w:sz w:val="20"/>
              </w:rPr>
              <w:t>ERDF</w:t>
            </w:r>
          </w:p>
        </w:tc>
        <w:tc>
          <w:tcPr>
            <w:tcW w:w="3249" w:type="dxa"/>
          </w:tcPr>
          <w:p w14:paraId="63160F99" w14:textId="77777777" w:rsidR="00DD13BF" w:rsidRDefault="00DD13BF" w:rsidP="00355A56">
            <w:pPr>
              <w:pStyle w:val="TableParagraph"/>
              <w:rPr>
                <w:sz w:val="20"/>
              </w:rPr>
            </w:pPr>
            <w:r>
              <w:rPr>
                <w:sz w:val="20"/>
              </w:rPr>
              <w:t>More developed</w:t>
            </w:r>
          </w:p>
        </w:tc>
        <w:tc>
          <w:tcPr>
            <w:tcW w:w="3099" w:type="dxa"/>
          </w:tcPr>
          <w:p w14:paraId="606142A9" w14:textId="77777777" w:rsidR="00DD13BF" w:rsidRDefault="00DD13BF" w:rsidP="00355A56">
            <w:pPr>
              <w:pStyle w:val="TableParagraph"/>
              <w:rPr>
                <w:sz w:val="20"/>
              </w:rPr>
            </w:pPr>
            <w:r>
              <w:rPr>
                <w:color w:val="000000"/>
                <w:sz w:val="20"/>
              </w:rPr>
              <w:t>RSO2.8</w:t>
            </w:r>
          </w:p>
        </w:tc>
        <w:tc>
          <w:tcPr>
            <w:tcW w:w="1161" w:type="dxa"/>
          </w:tcPr>
          <w:p w14:paraId="0E4744AF" w14:textId="77777777" w:rsidR="00DD13BF" w:rsidRDefault="00DD13BF" w:rsidP="00355A56">
            <w:pPr>
              <w:pStyle w:val="TableParagraph"/>
              <w:rPr>
                <w:sz w:val="20"/>
              </w:rPr>
            </w:pPr>
            <w:r>
              <w:rPr>
                <w:sz w:val="20"/>
              </w:rPr>
              <w:t>81</w:t>
            </w:r>
          </w:p>
        </w:tc>
        <w:tc>
          <w:tcPr>
            <w:tcW w:w="2731" w:type="dxa"/>
          </w:tcPr>
          <w:p w14:paraId="5F22A7A4" w14:textId="77777777" w:rsidR="00DD13BF" w:rsidRDefault="00DD13BF" w:rsidP="00355A56">
            <w:pPr>
              <w:pStyle w:val="TableParagraph"/>
              <w:rPr>
                <w:sz w:val="20"/>
              </w:rPr>
            </w:pPr>
            <w:r>
              <w:rPr>
                <w:sz w:val="20"/>
              </w:rPr>
              <w:t xml:space="preserve">6,694,692  </w:t>
            </w:r>
          </w:p>
        </w:tc>
      </w:tr>
      <w:tr w:rsidR="00DD13BF" w:rsidRPr="00401F69" w14:paraId="6B2903CF" w14:textId="77777777" w:rsidTr="00355A56">
        <w:trPr>
          <w:trHeight w:val="353"/>
        </w:trPr>
        <w:tc>
          <w:tcPr>
            <w:tcW w:w="2088" w:type="dxa"/>
          </w:tcPr>
          <w:p w14:paraId="6AD2FF75" w14:textId="77777777" w:rsidR="00DD13BF" w:rsidRDefault="00DD13BF" w:rsidP="00355A56">
            <w:pPr>
              <w:pStyle w:val="TableParagraph"/>
              <w:rPr>
                <w:sz w:val="20"/>
              </w:rPr>
            </w:pPr>
            <w:r>
              <w:rPr>
                <w:sz w:val="20"/>
              </w:rPr>
              <w:t>4</w:t>
            </w:r>
          </w:p>
        </w:tc>
        <w:tc>
          <w:tcPr>
            <w:tcW w:w="1133" w:type="dxa"/>
          </w:tcPr>
          <w:p w14:paraId="3B9F1AB3" w14:textId="77777777" w:rsidR="00DD13BF" w:rsidRDefault="00DD13BF" w:rsidP="00355A56">
            <w:pPr>
              <w:pStyle w:val="TableParagraph"/>
              <w:rPr>
                <w:sz w:val="20"/>
              </w:rPr>
            </w:pPr>
            <w:r>
              <w:rPr>
                <w:sz w:val="20"/>
              </w:rPr>
              <w:t>ERDF</w:t>
            </w:r>
          </w:p>
        </w:tc>
        <w:tc>
          <w:tcPr>
            <w:tcW w:w="3249" w:type="dxa"/>
          </w:tcPr>
          <w:p w14:paraId="61D00DC8" w14:textId="77777777" w:rsidR="00DD13BF" w:rsidRDefault="00DD13BF" w:rsidP="00355A56">
            <w:pPr>
              <w:pStyle w:val="TableParagraph"/>
              <w:rPr>
                <w:sz w:val="20"/>
              </w:rPr>
            </w:pPr>
            <w:r>
              <w:rPr>
                <w:sz w:val="20"/>
              </w:rPr>
              <w:t>Less developed</w:t>
            </w:r>
          </w:p>
        </w:tc>
        <w:tc>
          <w:tcPr>
            <w:tcW w:w="3099" w:type="dxa"/>
          </w:tcPr>
          <w:p w14:paraId="05AD99CF" w14:textId="77777777" w:rsidR="00DD13BF" w:rsidRDefault="00DD13BF" w:rsidP="00355A56">
            <w:pPr>
              <w:pStyle w:val="TableParagraph"/>
              <w:rPr>
                <w:sz w:val="20"/>
              </w:rPr>
            </w:pPr>
            <w:r>
              <w:rPr>
                <w:color w:val="000000"/>
                <w:sz w:val="20"/>
              </w:rPr>
              <w:t>RSO2.8</w:t>
            </w:r>
          </w:p>
        </w:tc>
        <w:tc>
          <w:tcPr>
            <w:tcW w:w="1161" w:type="dxa"/>
          </w:tcPr>
          <w:p w14:paraId="6FF2601B" w14:textId="77777777" w:rsidR="00DD13BF" w:rsidRDefault="00DD13BF" w:rsidP="00355A56">
            <w:pPr>
              <w:pStyle w:val="TableParagraph"/>
              <w:rPr>
                <w:sz w:val="20"/>
              </w:rPr>
            </w:pPr>
            <w:r>
              <w:rPr>
                <w:sz w:val="20"/>
              </w:rPr>
              <w:t>82</w:t>
            </w:r>
          </w:p>
        </w:tc>
        <w:tc>
          <w:tcPr>
            <w:tcW w:w="2731" w:type="dxa"/>
          </w:tcPr>
          <w:p w14:paraId="405DD7B5" w14:textId="77777777" w:rsidR="00DD13BF" w:rsidRDefault="00DD13BF" w:rsidP="00355A56">
            <w:pPr>
              <w:pStyle w:val="TableParagraph"/>
              <w:rPr>
                <w:sz w:val="20"/>
              </w:rPr>
            </w:pPr>
            <w:r>
              <w:rPr>
                <w:sz w:val="20"/>
              </w:rPr>
              <w:t xml:space="preserve">4,000,000 </w:t>
            </w:r>
          </w:p>
        </w:tc>
      </w:tr>
      <w:tr w:rsidR="00DD13BF" w:rsidRPr="00401F69" w14:paraId="58BEFCEA" w14:textId="77777777" w:rsidTr="00355A56">
        <w:trPr>
          <w:trHeight w:val="353"/>
        </w:trPr>
        <w:tc>
          <w:tcPr>
            <w:tcW w:w="2088" w:type="dxa"/>
          </w:tcPr>
          <w:p w14:paraId="1F83F9DD" w14:textId="77777777" w:rsidR="00DD13BF" w:rsidRDefault="00DD13BF" w:rsidP="00355A56">
            <w:pPr>
              <w:pStyle w:val="TableParagraph"/>
              <w:rPr>
                <w:sz w:val="20"/>
              </w:rPr>
            </w:pPr>
            <w:r>
              <w:rPr>
                <w:sz w:val="20"/>
              </w:rPr>
              <w:t>4</w:t>
            </w:r>
          </w:p>
        </w:tc>
        <w:tc>
          <w:tcPr>
            <w:tcW w:w="1133" w:type="dxa"/>
          </w:tcPr>
          <w:p w14:paraId="251548DC" w14:textId="77777777" w:rsidR="00DD13BF" w:rsidRDefault="00DD13BF" w:rsidP="00355A56">
            <w:pPr>
              <w:pStyle w:val="TableParagraph"/>
              <w:rPr>
                <w:sz w:val="20"/>
              </w:rPr>
            </w:pPr>
            <w:r>
              <w:rPr>
                <w:sz w:val="20"/>
              </w:rPr>
              <w:t>ERDF</w:t>
            </w:r>
          </w:p>
        </w:tc>
        <w:tc>
          <w:tcPr>
            <w:tcW w:w="3249" w:type="dxa"/>
          </w:tcPr>
          <w:p w14:paraId="3C98F4E4" w14:textId="77777777" w:rsidR="00DD13BF" w:rsidRDefault="00DD13BF" w:rsidP="00355A56">
            <w:pPr>
              <w:pStyle w:val="TableParagraph"/>
              <w:rPr>
                <w:sz w:val="20"/>
              </w:rPr>
            </w:pPr>
            <w:r>
              <w:rPr>
                <w:sz w:val="20"/>
              </w:rPr>
              <w:t>More developed</w:t>
            </w:r>
          </w:p>
        </w:tc>
        <w:tc>
          <w:tcPr>
            <w:tcW w:w="3099" w:type="dxa"/>
          </w:tcPr>
          <w:p w14:paraId="52F7A7EB" w14:textId="77777777" w:rsidR="00DD13BF" w:rsidRDefault="00DD13BF" w:rsidP="00355A56">
            <w:pPr>
              <w:pStyle w:val="TableParagraph"/>
              <w:rPr>
                <w:sz w:val="20"/>
              </w:rPr>
            </w:pPr>
            <w:r>
              <w:rPr>
                <w:color w:val="000000"/>
                <w:sz w:val="20"/>
              </w:rPr>
              <w:t>RSO2.8</w:t>
            </w:r>
          </w:p>
        </w:tc>
        <w:tc>
          <w:tcPr>
            <w:tcW w:w="1161" w:type="dxa"/>
          </w:tcPr>
          <w:p w14:paraId="01F1BB17" w14:textId="77777777" w:rsidR="00DD13BF" w:rsidRDefault="00DD13BF" w:rsidP="00355A56">
            <w:pPr>
              <w:pStyle w:val="TableParagraph"/>
              <w:rPr>
                <w:sz w:val="20"/>
              </w:rPr>
            </w:pPr>
            <w:r>
              <w:rPr>
                <w:sz w:val="20"/>
              </w:rPr>
              <w:t>82</w:t>
            </w:r>
          </w:p>
        </w:tc>
        <w:tc>
          <w:tcPr>
            <w:tcW w:w="2731" w:type="dxa"/>
          </w:tcPr>
          <w:p w14:paraId="31A3173B" w14:textId="77777777" w:rsidR="00DD13BF" w:rsidRDefault="00DD13BF" w:rsidP="00355A56">
            <w:pPr>
              <w:pStyle w:val="TableParagraph"/>
              <w:rPr>
                <w:sz w:val="20"/>
              </w:rPr>
            </w:pPr>
            <w:r>
              <w:rPr>
                <w:sz w:val="20"/>
              </w:rPr>
              <w:t xml:space="preserve">2,000,000 </w:t>
            </w:r>
          </w:p>
        </w:tc>
      </w:tr>
      <w:tr w:rsidR="00DD13BF" w:rsidRPr="00401F69" w14:paraId="6DBABF54" w14:textId="77777777" w:rsidTr="00355A56">
        <w:trPr>
          <w:trHeight w:val="353"/>
        </w:trPr>
        <w:tc>
          <w:tcPr>
            <w:tcW w:w="2088" w:type="dxa"/>
          </w:tcPr>
          <w:p w14:paraId="31F97C9E" w14:textId="77777777" w:rsidR="00DD13BF" w:rsidRDefault="00DD13BF" w:rsidP="00355A56">
            <w:pPr>
              <w:pStyle w:val="TableParagraph"/>
              <w:rPr>
                <w:sz w:val="20"/>
              </w:rPr>
            </w:pPr>
            <w:r>
              <w:rPr>
                <w:sz w:val="20"/>
              </w:rPr>
              <w:t>4</w:t>
            </w:r>
          </w:p>
        </w:tc>
        <w:tc>
          <w:tcPr>
            <w:tcW w:w="1133" w:type="dxa"/>
          </w:tcPr>
          <w:p w14:paraId="4B2E8A8C" w14:textId="77777777" w:rsidR="00DD13BF" w:rsidRDefault="00DD13BF" w:rsidP="00355A56">
            <w:pPr>
              <w:pStyle w:val="TableParagraph"/>
              <w:rPr>
                <w:sz w:val="20"/>
              </w:rPr>
            </w:pPr>
            <w:r>
              <w:rPr>
                <w:sz w:val="20"/>
              </w:rPr>
              <w:t>ERDF</w:t>
            </w:r>
          </w:p>
        </w:tc>
        <w:tc>
          <w:tcPr>
            <w:tcW w:w="3249" w:type="dxa"/>
          </w:tcPr>
          <w:p w14:paraId="5385EBD5" w14:textId="77777777" w:rsidR="00DD13BF" w:rsidRDefault="00DD13BF" w:rsidP="00355A56">
            <w:pPr>
              <w:pStyle w:val="TableParagraph"/>
              <w:rPr>
                <w:sz w:val="20"/>
              </w:rPr>
            </w:pPr>
            <w:r>
              <w:rPr>
                <w:sz w:val="20"/>
              </w:rPr>
              <w:t>Less developed</w:t>
            </w:r>
          </w:p>
        </w:tc>
        <w:tc>
          <w:tcPr>
            <w:tcW w:w="3099" w:type="dxa"/>
          </w:tcPr>
          <w:p w14:paraId="53B53573" w14:textId="77777777" w:rsidR="00DD13BF" w:rsidRDefault="00DD13BF" w:rsidP="00355A56">
            <w:pPr>
              <w:pStyle w:val="TableParagraph"/>
              <w:rPr>
                <w:sz w:val="20"/>
              </w:rPr>
            </w:pPr>
            <w:r>
              <w:rPr>
                <w:color w:val="000000"/>
                <w:sz w:val="20"/>
              </w:rPr>
              <w:t>RSO2.8</w:t>
            </w:r>
          </w:p>
        </w:tc>
        <w:tc>
          <w:tcPr>
            <w:tcW w:w="1161" w:type="dxa"/>
          </w:tcPr>
          <w:p w14:paraId="69D06C45" w14:textId="77777777" w:rsidR="00DD13BF" w:rsidRDefault="00DD13BF" w:rsidP="00355A56">
            <w:pPr>
              <w:pStyle w:val="TableParagraph"/>
              <w:rPr>
                <w:sz w:val="20"/>
              </w:rPr>
            </w:pPr>
            <w:r>
              <w:rPr>
                <w:sz w:val="20"/>
              </w:rPr>
              <w:t>83</w:t>
            </w:r>
          </w:p>
        </w:tc>
        <w:tc>
          <w:tcPr>
            <w:tcW w:w="2731" w:type="dxa"/>
          </w:tcPr>
          <w:p w14:paraId="7BD677B1" w14:textId="77777777" w:rsidR="00DD13BF" w:rsidRDefault="00DD13BF" w:rsidP="00355A56">
            <w:pPr>
              <w:pStyle w:val="TableParagraph"/>
              <w:rPr>
                <w:sz w:val="20"/>
              </w:rPr>
            </w:pPr>
            <w:r>
              <w:rPr>
                <w:sz w:val="20"/>
              </w:rPr>
              <w:t xml:space="preserve">9,600,000 </w:t>
            </w:r>
          </w:p>
        </w:tc>
      </w:tr>
      <w:tr w:rsidR="00DD13BF" w:rsidRPr="00401F69" w14:paraId="2342086F" w14:textId="77777777" w:rsidTr="00355A56">
        <w:trPr>
          <w:trHeight w:val="353"/>
        </w:trPr>
        <w:tc>
          <w:tcPr>
            <w:tcW w:w="2088" w:type="dxa"/>
          </w:tcPr>
          <w:p w14:paraId="304AE770" w14:textId="77777777" w:rsidR="00DD13BF" w:rsidRDefault="00DD13BF" w:rsidP="00355A56">
            <w:pPr>
              <w:pStyle w:val="TableParagraph"/>
              <w:rPr>
                <w:sz w:val="20"/>
              </w:rPr>
            </w:pPr>
            <w:r>
              <w:rPr>
                <w:sz w:val="20"/>
              </w:rPr>
              <w:t>4</w:t>
            </w:r>
          </w:p>
        </w:tc>
        <w:tc>
          <w:tcPr>
            <w:tcW w:w="1133" w:type="dxa"/>
          </w:tcPr>
          <w:p w14:paraId="449D7925" w14:textId="77777777" w:rsidR="00DD13BF" w:rsidRDefault="00DD13BF" w:rsidP="00355A56">
            <w:pPr>
              <w:pStyle w:val="TableParagraph"/>
              <w:rPr>
                <w:sz w:val="20"/>
              </w:rPr>
            </w:pPr>
            <w:r>
              <w:rPr>
                <w:sz w:val="20"/>
              </w:rPr>
              <w:t>ERDF</w:t>
            </w:r>
          </w:p>
        </w:tc>
        <w:tc>
          <w:tcPr>
            <w:tcW w:w="3249" w:type="dxa"/>
          </w:tcPr>
          <w:p w14:paraId="683D68E4" w14:textId="77777777" w:rsidR="00DD13BF" w:rsidRDefault="00DD13BF" w:rsidP="00355A56">
            <w:pPr>
              <w:pStyle w:val="TableParagraph"/>
              <w:rPr>
                <w:sz w:val="20"/>
              </w:rPr>
            </w:pPr>
            <w:r>
              <w:rPr>
                <w:sz w:val="20"/>
              </w:rPr>
              <w:t>More developed</w:t>
            </w:r>
          </w:p>
        </w:tc>
        <w:tc>
          <w:tcPr>
            <w:tcW w:w="3099" w:type="dxa"/>
          </w:tcPr>
          <w:p w14:paraId="16EDD49D" w14:textId="77777777" w:rsidR="00DD13BF" w:rsidRDefault="00DD13BF" w:rsidP="00355A56">
            <w:pPr>
              <w:pStyle w:val="TableParagraph"/>
              <w:rPr>
                <w:sz w:val="20"/>
              </w:rPr>
            </w:pPr>
            <w:r>
              <w:rPr>
                <w:color w:val="000000"/>
                <w:sz w:val="20"/>
              </w:rPr>
              <w:t>RSO2.8</w:t>
            </w:r>
          </w:p>
        </w:tc>
        <w:tc>
          <w:tcPr>
            <w:tcW w:w="1161" w:type="dxa"/>
          </w:tcPr>
          <w:p w14:paraId="3D024016" w14:textId="77777777" w:rsidR="00DD13BF" w:rsidRDefault="00DD13BF" w:rsidP="00355A56">
            <w:pPr>
              <w:pStyle w:val="TableParagraph"/>
              <w:rPr>
                <w:sz w:val="20"/>
              </w:rPr>
            </w:pPr>
            <w:r>
              <w:rPr>
                <w:sz w:val="20"/>
              </w:rPr>
              <w:t>83</w:t>
            </w:r>
          </w:p>
        </w:tc>
        <w:tc>
          <w:tcPr>
            <w:tcW w:w="2731" w:type="dxa"/>
          </w:tcPr>
          <w:p w14:paraId="1A61568C" w14:textId="77777777" w:rsidR="00DD13BF" w:rsidRDefault="00DD13BF" w:rsidP="00355A56">
            <w:pPr>
              <w:pStyle w:val="TableParagraph"/>
              <w:rPr>
                <w:sz w:val="20"/>
              </w:rPr>
            </w:pPr>
            <w:r>
              <w:rPr>
                <w:sz w:val="20"/>
              </w:rPr>
              <w:t xml:space="preserve">3,950,000 </w:t>
            </w:r>
          </w:p>
        </w:tc>
      </w:tr>
      <w:tr w:rsidR="00DD13BF" w:rsidRPr="00401F69" w14:paraId="7B3D689F" w14:textId="77777777" w:rsidTr="00355A56">
        <w:trPr>
          <w:trHeight w:val="353"/>
        </w:trPr>
        <w:tc>
          <w:tcPr>
            <w:tcW w:w="2088" w:type="dxa"/>
          </w:tcPr>
          <w:p w14:paraId="374A606B" w14:textId="77777777" w:rsidR="00DD13BF" w:rsidRDefault="00DD13BF" w:rsidP="00355A56">
            <w:pPr>
              <w:pStyle w:val="TableParagraph"/>
              <w:rPr>
                <w:sz w:val="20"/>
              </w:rPr>
            </w:pPr>
            <w:r>
              <w:rPr>
                <w:sz w:val="20"/>
              </w:rPr>
              <w:t>4</w:t>
            </w:r>
          </w:p>
        </w:tc>
        <w:tc>
          <w:tcPr>
            <w:tcW w:w="1133" w:type="dxa"/>
          </w:tcPr>
          <w:p w14:paraId="3B61B766" w14:textId="77777777" w:rsidR="00DD13BF" w:rsidRDefault="00DD13BF" w:rsidP="00355A56">
            <w:pPr>
              <w:pStyle w:val="TableParagraph"/>
              <w:rPr>
                <w:sz w:val="20"/>
              </w:rPr>
            </w:pPr>
            <w:r>
              <w:rPr>
                <w:sz w:val="20"/>
              </w:rPr>
              <w:t>ERDF</w:t>
            </w:r>
          </w:p>
        </w:tc>
        <w:tc>
          <w:tcPr>
            <w:tcW w:w="3249" w:type="dxa"/>
          </w:tcPr>
          <w:p w14:paraId="2EC58552" w14:textId="77777777" w:rsidR="00DD13BF" w:rsidRDefault="00DD13BF" w:rsidP="00355A56">
            <w:pPr>
              <w:pStyle w:val="TableParagraph"/>
              <w:rPr>
                <w:sz w:val="20"/>
              </w:rPr>
            </w:pPr>
            <w:r>
              <w:rPr>
                <w:sz w:val="20"/>
              </w:rPr>
              <w:t>Less developed</w:t>
            </w:r>
          </w:p>
        </w:tc>
        <w:tc>
          <w:tcPr>
            <w:tcW w:w="3099" w:type="dxa"/>
          </w:tcPr>
          <w:p w14:paraId="6A985648" w14:textId="77777777" w:rsidR="00DD13BF" w:rsidRDefault="00DD13BF" w:rsidP="00355A56">
            <w:pPr>
              <w:pStyle w:val="TableParagraph"/>
              <w:rPr>
                <w:sz w:val="20"/>
              </w:rPr>
            </w:pPr>
            <w:r>
              <w:rPr>
                <w:color w:val="000000"/>
                <w:sz w:val="20"/>
              </w:rPr>
              <w:t>RSO2.8</w:t>
            </w:r>
          </w:p>
        </w:tc>
        <w:tc>
          <w:tcPr>
            <w:tcW w:w="1161" w:type="dxa"/>
          </w:tcPr>
          <w:p w14:paraId="7132EA89" w14:textId="77777777" w:rsidR="00DD13BF" w:rsidRDefault="00DD13BF" w:rsidP="00355A56">
            <w:pPr>
              <w:pStyle w:val="TableParagraph"/>
              <w:rPr>
                <w:sz w:val="20"/>
              </w:rPr>
            </w:pPr>
            <w:r>
              <w:rPr>
                <w:sz w:val="20"/>
              </w:rPr>
              <w:t>84</w:t>
            </w:r>
          </w:p>
        </w:tc>
        <w:tc>
          <w:tcPr>
            <w:tcW w:w="2731" w:type="dxa"/>
          </w:tcPr>
          <w:p w14:paraId="495C7691" w14:textId="77777777" w:rsidR="00DD13BF" w:rsidRDefault="00DD13BF" w:rsidP="00355A56">
            <w:pPr>
              <w:pStyle w:val="TableParagraph"/>
              <w:rPr>
                <w:sz w:val="20"/>
              </w:rPr>
            </w:pPr>
            <w:r>
              <w:rPr>
                <w:sz w:val="20"/>
              </w:rPr>
              <w:t xml:space="preserve">2,000,000 </w:t>
            </w:r>
          </w:p>
        </w:tc>
      </w:tr>
      <w:tr w:rsidR="00DD13BF" w:rsidRPr="00401F69" w14:paraId="35A98191" w14:textId="77777777" w:rsidTr="00355A56">
        <w:trPr>
          <w:trHeight w:val="353"/>
        </w:trPr>
        <w:tc>
          <w:tcPr>
            <w:tcW w:w="2088" w:type="dxa"/>
          </w:tcPr>
          <w:p w14:paraId="7DE394B1" w14:textId="77777777" w:rsidR="00DD13BF" w:rsidRDefault="00DD13BF" w:rsidP="00355A56">
            <w:pPr>
              <w:pStyle w:val="TableParagraph"/>
              <w:rPr>
                <w:sz w:val="20"/>
              </w:rPr>
            </w:pPr>
            <w:r>
              <w:rPr>
                <w:sz w:val="20"/>
              </w:rPr>
              <w:t>4</w:t>
            </w:r>
          </w:p>
        </w:tc>
        <w:tc>
          <w:tcPr>
            <w:tcW w:w="1133" w:type="dxa"/>
          </w:tcPr>
          <w:p w14:paraId="1ECC5119" w14:textId="77777777" w:rsidR="00DD13BF" w:rsidRDefault="00DD13BF" w:rsidP="00355A56">
            <w:pPr>
              <w:pStyle w:val="TableParagraph"/>
              <w:rPr>
                <w:sz w:val="20"/>
              </w:rPr>
            </w:pPr>
            <w:r>
              <w:rPr>
                <w:sz w:val="20"/>
              </w:rPr>
              <w:t>ERDF</w:t>
            </w:r>
          </w:p>
        </w:tc>
        <w:tc>
          <w:tcPr>
            <w:tcW w:w="3249" w:type="dxa"/>
          </w:tcPr>
          <w:p w14:paraId="1F4FFD3B" w14:textId="77777777" w:rsidR="00DD13BF" w:rsidRDefault="00DD13BF" w:rsidP="00355A56">
            <w:pPr>
              <w:pStyle w:val="TableParagraph"/>
              <w:rPr>
                <w:sz w:val="20"/>
              </w:rPr>
            </w:pPr>
            <w:r>
              <w:rPr>
                <w:sz w:val="20"/>
              </w:rPr>
              <w:t>More developed</w:t>
            </w:r>
          </w:p>
        </w:tc>
        <w:tc>
          <w:tcPr>
            <w:tcW w:w="3099" w:type="dxa"/>
          </w:tcPr>
          <w:p w14:paraId="5AB28F68" w14:textId="77777777" w:rsidR="00DD13BF" w:rsidRDefault="00DD13BF" w:rsidP="00355A56">
            <w:pPr>
              <w:pStyle w:val="TableParagraph"/>
              <w:rPr>
                <w:sz w:val="20"/>
              </w:rPr>
            </w:pPr>
            <w:r>
              <w:rPr>
                <w:color w:val="000000"/>
                <w:sz w:val="20"/>
              </w:rPr>
              <w:t>RSO2.8</w:t>
            </w:r>
          </w:p>
        </w:tc>
        <w:tc>
          <w:tcPr>
            <w:tcW w:w="1161" w:type="dxa"/>
          </w:tcPr>
          <w:p w14:paraId="0F3473DB" w14:textId="77777777" w:rsidR="00DD13BF" w:rsidRDefault="00DD13BF" w:rsidP="00355A56">
            <w:pPr>
              <w:pStyle w:val="TableParagraph"/>
              <w:rPr>
                <w:sz w:val="20"/>
              </w:rPr>
            </w:pPr>
            <w:r>
              <w:rPr>
                <w:sz w:val="20"/>
              </w:rPr>
              <w:t>84</w:t>
            </w:r>
          </w:p>
        </w:tc>
        <w:tc>
          <w:tcPr>
            <w:tcW w:w="2731" w:type="dxa"/>
          </w:tcPr>
          <w:p w14:paraId="6A4D61B0" w14:textId="77777777" w:rsidR="00DD13BF" w:rsidRDefault="00DD13BF" w:rsidP="00355A56">
            <w:pPr>
              <w:pStyle w:val="TableParagraph"/>
              <w:rPr>
                <w:sz w:val="20"/>
              </w:rPr>
            </w:pPr>
            <w:r>
              <w:rPr>
                <w:sz w:val="20"/>
              </w:rPr>
              <w:t xml:space="preserve">1,000,000 </w:t>
            </w:r>
          </w:p>
        </w:tc>
      </w:tr>
      <w:tr w:rsidR="00DD13BF" w:rsidRPr="00401F69" w14:paraId="07CF99BC" w14:textId="77777777" w:rsidTr="00355A56">
        <w:trPr>
          <w:trHeight w:val="353"/>
        </w:trPr>
        <w:tc>
          <w:tcPr>
            <w:tcW w:w="2088" w:type="dxa"/>
          </w:tcPr>
          <w:p w14:paraId="42DC6F58" w14:textId="77777777" w:rsidR="00DD13BF" w:rsidRDefault="00DD13BF" w:rsidP="00355A56">
            <w:pPr>
              <w:pStyle w:val="TableParagraph"/>
              <w:rPr>
                <w:sz w:val="20"/>
              </w:rPr>
            </w:pPr>
            <w:r>
              <w:rPr>
                <w:sz w:val="20"/>
              </w:rPr>
              <w:t>4</w:t>
            </w:r>
          </w:p>
        </w:tc>
        <w:tc>
          <w:tcPr>
            <w:tcW w:w="1133" w:type="dxa"/>
          </w:tcPr>
          <w:p w14:paraId="1DA84A61" w14:textId="77777777" w:rsidR="00DD13BF" w:rsidRDefault="00DD13BF" w:rsidP="00355A56">
            <w:pPr>
              <w:pStyle w:val="TableParagraph"/>
              <w:rPr>
                <w:sz w:val="20"/>
              </w:rPr>
            </w:pPr>
            <w:r>
              <w:rPr>
                <w:sz w:val="20"/>
              </w:rPr>
              <w:t>ERDF</w:t>
            </w:r>
          </w:p>
        </w:tc>
        <w:tc>
          <w:tcPr>
            <w:tcW w:w="3249" w:type="dxa"/>
          </w:tcPr>
          <w:p w14:paraId="5C3A22AF" w14:textId="77777777" w:rsidR="00DD13BF" w:rsidRDefault="00DD13BF" w:rsidP="00355A56">
            <w:pPr>
              <w:pStyle w:val="TableParagraph"/>
              <w:rPr>
                <w:sz w:val="20"/>
              </w:rPr>
            </w:pPr>
            <w:r>
              <w:rPr>
                <w:sz w:val="20"/>
              </w:rPr>
              <w:t>Less developed</w:t>
            </w:r>
          </w:p>
        </w:tc>
        <w:tc>
          <w:tcPr>
            <w:tcW w:w="3099" w:type="dxa"/>
          </w:tcPr>
          <w:p w14:paraId="3D517D4C" w14:textId="77777777" w:rsidR="00DD13BF" w:rsidRDefault="00DD13BF" w:rsidP="00355A56">
            <w:pPr>
              <w:pStyle w:val="TableParagraph"/>
              <w:rPr>
                <w:sz w:val="20"/>
              </w:rPr>
            </w:pPr>
            <w:r>
              <w:rPr>
                <w:color w:val="000000"/>
                <w:sz w:val="20"/>
              </w:rPr>
              <w:t>RSO2.8</w:t>
            </w:r>
          </w:p>
        </w:tc>
        <w:tc>
          <w:tcPr>
            <w:tcW w:w="1161" w:type="dxa"/>
          </w:tcPr>
          <w:p w14:paraId="7A40B1C2" w14:textId="77777777" w:rsidR="00DD13BF" w:rsidRDefault="00DD13BF" w:rsidP="00355A56">
            <w:pPr>
              <w:pStyle w:val="TableParagraph"/>
              <w:rPr>
                <w:sz w:val="20"/>
              </w:rPr>
            </w:pPr>
            <w:r>
              <w:rPr>
                <w:sz w:val="20"/>
              </w:rPr>
              <w:t>86</w:t>
            </w:r>
          </w:p>
        </w:tc>
        <w:tc>
          <w:tcPr>
            <w:tcW w:w="2731" w:type="dxa"/>
          </w:tcPr>
          <w:p w14:paraId="1EF067EC" w14:textId="77777777" w:rsidR="00DD13BF" w:rsidRDefault="00DD13BF" w:rsidP="00355A56">
            <w:pPr>
              <w:pStyle w:val="TableParagraph"/>
              <w:rPr>
                <w:sz w:val="20"/>
              </w:rPr>
            </w:pPr>
            <w:r>
              <w:rPr>
                <w:sz w:val="20"/>
              </w:rPr>
              <w:t xml:space="preserve">6,000,000 </w:t>
            </w:r>
          </w:p>
        </w:tc>
      </w:tr>
      <w:tr w:rsidR="00DD13BF" w:rsidRPr="00401F69" w14:paraId="4C6A2B8A" w14:textId="77777777" w:rsidTr="00355A56">
        <w:trPr>
          <w:trHeight w:val="353"/>
        </w:trPr>
        <w:tc>
          <w:tcPr>
            <w:tcW w:w="2088" w:type="dxa"/>
          </w:tcPr>
          <w:p w14:paraId="42498256" w14:textId="77777777" w:rsidR="00DD13BF" w:rsidRDefault="00DD13BF" w:rsidP="00355A56">
            <w:pPr>
              <w:pStyle w:val="TableParagraph"/>
              <w:rPr>
                <w:sz w:val="20"/>
              </w:rPr>
            </w:pPr>
            <w:r>
              <w:rPr>
                <w:sz w:val="20"/>
              </w:rPr>
              <w:t>4</w:t>
            </w:r>
          </w:p>
        </w:tc>
        <w:tc>
          <w:tcPr>
            <w:tcW w:w="1133" w:type="dxa"/>
          </w:tcPr>
          <w:p w14:paraId="1919EA32" w14:textId="77777777" w:rsidR="00DD13BF" w:rsidRDefault="00DD13BF" w:rsidP="00355A56">
            <w:pPr>
              <w:pStyle w:val="TableParagraph"/>
              <w:rPr>
                <w:sz w:val="20"/>
              </w:rPr>
            </w:pPr>
            <w:r>
              <w:rPr>
                <w:sz w:val="20"/>
              </w:rPr>
              <w:t>ERDF</w:t>
            </w:r>
          </w:p>
        </w:tc>
        <w:tc>
          <w:tcPr>
            <w:tcW w:w="3249" w:type="dxa"/>
          </w:tcPr>
          <w:p w14:paraId="123A488C" w14:textId="77777777" w:rsidR="00DD13BF" w:rsidRDefault="00DD13BF" w:rsidP="00355A56">
            <w:pPr>
              <w:pStyle w:val="TableParagraph"/>
              <w:rPr>
                <w:sz w:val="20"/>
              </w:rPr>
            </w:pPr>
            <w:r>
              <w:rPr>
                <w:sz w:val="20"/>
              </w:rPr>
              <w:t>More developed</w:t>
            </w:r>
          </w:p>
        </w:tc>
        <w:tc>
          <w:tcPr>
            <w:tcW w:w="3099" w:type="dxa"/>
          </w:tcPr>
          <w:p w14:paraId="60FDE82B" w14:textId="77777777" w:rsidR="00DD13BF" w:rsidRDefault="00DD13BF" w:rsidP="00355A56">
            <w:pPr>
              <w:pStyle w:val="TableParagraph"/>
              <w:rPr>
                <w:sz w:val="20"/>
              </w:rPr>
            </w:pPr>
            <w:r>
              <w:rPr>
                <w:color w:val="000000"/>
                <w:sz w:val="20"/>
              </w:rPr>
              <w:t>RSO2.8</w:t>
            </w:r>
          </w:p>
        </w:tc>
        <w:tc>
          <w:tcPr>
            <w:tcW w:w="1161" w:type="dxa"/>
          </w:tcPr>
          <w:p w14:paraId="07C09423" w14:textId="77777777" w:rsidR="00DD13BF" w:rsidRDefault="00DD13BF" w:rsidP="00355A56">
            <w:pPr>
              <w:pStyle w:val="TableParagraph"/>
              <w:rPr>
                <w:sz w:val="20"/>
              </w:rPr>
            </w:pPr>
            <w:r>
              <w:rPr>
                <w:sz w:val="20"/>
              </w:rPr>
              <w:t>86</w:t>
            </w:r>
          </w:p>
        </w:tc>
        <w:tc>
          <w:tcPr>
            <w:tcW w:w="2731" w:type="dxa"/>
          </w:tcPr>
          <w:p w14:paraId="01FFC661" w14:textId="77777777" w:rsidR="00DD13BF" w:rsidRDefault="00DD13BF" w:rsidP="00355A56">
            <w:pPr>
              <w:pStyle w:val="TableParagraph"/>
              <w:rPr>
                <w:sz w:val="20"/>
              </w:rPr>
            </w:pPr>
            <w:r>
              <w:rPr>
                <w:sz w:val="20"/>
              </w:rPr>
              <w:t xml:space="preserve">3,000,000 </w:t>
            </w:r>
          </w:p>
        </w:tc>
      </w:tr>
    </w:tbl>
    <w:p w14:paraId="20151EBC" w14:textId="77777777" w:rsidR="00DD13BF" w:rsidRDefault="00DD13BF" w:rsidP="00DD13BF"/>
    <w:p w14:paraId="6548D55B" w14:textId="77777777" w:rsidR="00DD13BF" w:rsidRPr="00673ADB" w:rsidRDefault="00DD13BF" w:rsidP="00DD13BF">
      <w:pPr>
        <w:ind w:left="339"/>
        <w:rPr>
          <w:spacing w:val="-7"/>
        </w:rPr>
      </w:pPr>
      <w:r>
        <w:t>Table 5: Dimension 2 – form of financing</w:t>
      </w:r>
    </w:p>
    <w:p w14:paraId="362DF3B4"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0EFEEBE6" w14:textId="77777777" w:rsidTr="00355A56">
        <w:trPr>
          <w:trHeight w:val="353"/>
        </w:trPr>
        <w:tc>
          <w:tcPr>
            <w:tcW w:w="2088" w:type="dxa"/>
          </w:tcPr>
          <w:p w14:paraId="1BEB0C98" w14:textId="77777777" w:rsidR="00DD13BF" w:rsidRDefault="00DD13BF" w:rsidP="00355A56">
            <w:pPr>
              <w:pStyle w:val="TableParagraph"/>
              <w:ind w:left="115"/>
            </w:pPr>
            <w:r>
              <w:t>Priority no.</w:t>
            </w:r>
          </w:p>
        </w:tc>
        <w:tc>
          <w:tcPr>
            <w:tcW w:w="1133" w:type="dxa"/>
          </w:tcPr>
          <w:p w14:paraId="234EF2A5" w14:textId="77777777" w:rsidR="00DD13BF" w:rsidRDefault="00DD13BF" w:rsidP="00355A56">
            <w:pPr>
              <w:pStyle w:val="TableParagraph"/>
              <w:ind w:left="320"/>
            </w:pPr>
            <w:r>
              <w:t>Fund</w:t>
            </w:r>
          </w:p>
        </w:tc>
        <w:tc>
          <w:tcPr>
            <w:tcW w:w="3249" w:type="dxa"/>
          </w:tcPr>
          <w:p w14:paraId="26BF6C19" w14:textId="77777777" w:rsidR="00DD13BF" w:rsidRDefault="00DD13BF" w:rsidP="00355A56">
            <w:pPr>
              <w:pStyle w:val="TableParagraph"/>
              <w:ind w:left="907"/>
            </w:pPr>
            <w:r>
              <w:t>Category of region</w:t>
            </w:r>
          </w:p>
        </w:tc>
        <w:tc>
          <w:tcPr>
            <w:tcW w:w="3099" w:type="dxa"/>
          </w:tcPr>
          <w:p w14:paraId="18A2D1DA" w14:textId="77777777" w:rsidR="00DD13BF" w:rsidRDefault="00DD13BF" w:rsidP="00355A56">
            <w:pPr>
              <w:pStyle w:val="TableParagraph"/>
              <w:ind w:left="948"/>
            </w:pPr>
            <w:r>
              <w:t>Specific objective</w:t>
            </w:r>
          </w:p>
        </w:tc>
        <w:tc>
          <w:tcPr>
            <w:tcW w:w="1161" w:type="dxa"/>
          </w:tcPr>
          <w:p w14:paraId="395958B6" w14:textId="77777777" w:rsidR="00DD13BF" w:rsidRDefault="00DD13BF" w:rsidP="00355A56">
            <w:pPr>
              <w:pStyle w:val="TableParagraph"/>
              <w:ind w:left="334"/>
            </w:pPr>
            <w:r>
              <w:t>Code</w:t>
            </w:r>
          </w:p>
        </w:tc>
        <w:tc>
          <w:tcPr>
            <w:tcW w:w="2731" w:type="dxa"/>
          </w:tcPr>
          <w:p w14:paraId="33AD00A8" w14:textId="77777777" w:rsidR="00DD13BF" w:rsidRDefault="00DD13BF" w:rsidP="00355A56">
            <w:pPr>
              <w:pStyle w:val="TableParagraph"/>
              <w:ind w:left="661"/>
            </w:pPr>
            <w:r>
              <w:t>Amount (in EUR)</w:t>
            </w:r>
          </w:p>
        </w:tc>
      </w:tr>
      <w:tr w:rsidR="00DD13BF" w14:paraId="606F6262" w14:textId="77777777" w:rsidTr="00355A56">
        <w:trPr>
          <w:trHeight w:val="353"/>
        </w:trPr>
        <w:tc>
          <w:tcPr>
            <w:tcW w:w="2088" w:type="dxa"/>
          </w:tcPr>
          <w:p w14:paraId="64AC993D" w14:textId="77777777" w:rsidR="00DD13BF" w:rsidRDefault="00DD13BF" w:rsidP="00355A56">
            <w:pPr>
              <w:pStyle w:val="TableParagraph"/>
              <w:rPr>
                <w:sz w:val="20"/>
              </w:rPr>
            </w:pPr>
            <w:r>
              <w:rPr>
                <w:sz w:val="20"/>
              </w:rPr>
              <w:t>4</w:t>
            </w:r>
          </w:p>
        </w:tc>
        <w:tc>
          <w:tcPr>
            <w:tcW w:w="1133" w:type="dxa"/>
          </w:tcPr>
          <w:p w14:paraId="4C7FAC53" w14:textId="77777777" w:rsidR="00DD13BF" w:rsidRDefault="00DD13BF" w:rsidP="00355A56">
            <w:pPr>
              <w:pStyle w:val="TableParagraph"/>
              <w:rPr>
                <w:sz w:val="20"/>
              </w:rPr>
            </w:pPr>
            <w:r>
              <w:rPr>
                <w:sz w:val="20"/>
              </w:rPr>
              <w:t>ERDF</w:t>
            </w:r>
          </w:p>
        </w:tc>
        <w:tc>
          <w:tcPr>
            <w:tcW w:w="3249" w:type="dxa"/>
          </w:tcPr>
          <w:p w14:paraId="5902CCF5" w14:textId="77777777" w:rsidR="00DD13BF" w:rsidRDefault="00DD13BF" w:rsidP="00355A56">
            <w:pPr>
              <w:pStyle w:val="TableParagraph"/>
              <w:rPr>
                <w:sz w:val="20"/>
              </w:rPr>
            </w:pPr>
            <w:r>
              <w:rPr>
                <w:sz w:val="20"/>
              </w:rPr>
              <w:t>Less developed</w:t>
            </w:r>
          </w:p>
        </w:tc>
        <w:tc>
          <w:tcPr>
            <w:tcW w:w="3099" w:type="dxa"/>
          </w:tcPr>
          <w:p w14:paraId="5B7DC6EB" w14:textId="77777777" w:rsidR="00DD13BF" w:rsidRDefault="00DD13BF" w:rsidP="00355A56">
            <w:pPr>
              <w:pStyle w:val="TableParagraph"/>
              <w:rPr>
                <w:sz w:val="20"/>
              </w:rPr>
            </w:pPr>
            <w:r>
              <w:rPr>
                <w:color w:val="000000"/>
                <w:sz w:val="20"/>
              </w:rPr>
              <w:t>RSO2.8</w:t>
            </w:r>
          </w:p>
        </w:tc>
        <w:tc>
          <w:tcPr>
            <w:tcW w:w="1161" w:type="dxa"/>
          </w:tcPr>
          <w:p w14:paraId="0344FF24" w14:textId="77777777" w:rsidR="00DD13BF" w:rsidRDefault="00DD13BF" w:rsidP="00355A56">
            <w:pPr>
              <w:pStyle w:val="TableParagraph"/>
              <w:rPr>
                <w:sz w:val="20"/>
              </w:rPr>
            </w:pPr>
            <w:r>
              <w:rPr>
                <w:sz w:val="20"/>
              </w:rPr>
              <w:t>01</w:t>
            </w:r>
          </w:p>
        </w:tc>
        <w:tc>
          <w:tcPr>
            <w:tcW w:w="2731" w:type="dxa"/>
          </w:tcPr>
          <w:p w14:paraId="08FCAC6C" w14:textId="77777777" w:rsidR="00DD13BF" w:rsidRDefault="00DD13BF" w:rsidP="00355A56">
            <w:pPr>
              <w:pStyle w:val="TableParagraph"/>
              <w:rPr>
                <w:sz w:val="20"/>
              </w:rPr>
            </w:pPr>
            <w:r>
              <w:rPr>
                <w:sz w:val="20"/>
              </w:rPr>
              <w:t>37,272,561</w:t>
            </w:r>
          </w:p>
        </w:tc>
      </w:tr>
      <w:tr w:rsidR="00DD13BF" w14:paraId="4FA6B3E1" w14:textId="77777777" w:rsidTr="00355A56">
        <w:trPr>
          <w:trHeight w:val="353"/>
        </w:trPr>
        <w:tc>
          <w:tcPr>
            <w:tcW w:w="2088" w:type="dxa"/>
          </w:tcPr>
          <w:p w14:paraId="2C1E2E72" w14:textId="77777777" w:rsidR="00DD13BF" w:rsidRDefault="00DD13BF" w:rsidP="00355A56">
            <w:pPr>
              <w:pStyle w:val="TableParagraph"/>
              <w:rPr>
                <w:sz w:val="20"/>
              </w:rPr>
            </w:pPr>
            <w:r>
              <w:rPr>
                <w:sz w:val="20"/>
              </w:rPr>
              <w:t>4</w:t>
            </w:r>
          </w:p>
        </w:tc>
        <w:tc>
          <w:tcPr>
            <w:tcW w:w="1133" w:type="dxa"/>
          </w:tcPr>
          <w:p w14:paraId="1CE8A8B4" w14:textId="77777777" w:rsidR="00DD13BF" w:rsidRDefault="00DD13BF" w:rsidP="00355A56">
            <w:pPr>
              <w:pStyle w:val="TableParagraph"/>
              <w:rPr>
                <w:sz w:val="20"/>
              </w:rPr>
            </w:pPr>
            <w:r>
              <w:rPr>
                <w:sz w:val="20"/>
              </w:rPr>
              <w:t>ERDF</w:t>
            </w:r>
          </w:p>
        </w:tc>
        <w:tc>
          <w:tcPr>
            <w:tcW w:w="3249" w:type="dxa"/>
          </w:tcPr>
          <w:p w14:paraId="249CBA57" w14:textId="77777777" w:rsidR="00DD13BF" w:rsidRDefault="00DD13BF" w:rsidP="00355A56">
            <w:pPr>
              <w:pStyle w:val="TableParagraph"/>
              <w:rPr>
                <w:sz w:val="20"/>
              </w:rPr>
            </w:pPr>
            <w:r>
              <w:rPr>
                <w:sz w:val="20"/>
              </w:rPr>
              <w:t>More developed</w:t>
            </w:r>
          </w:p>
        </w:tc>
        <w:tc>
          <w:tcPr>
            <w:tcW w:w="3099" w:type="dxa"/>
          </w:tcPr>
          <w:p w14:paraId="2BA550E2" w14:textId="77777777" w:rsidR="00DD13BF" w:rsidRDefault="00DD13BF" w:rsidP="00355A56">
            <w:pPr>
              <w:pStyle w:val="TableParagraph"/>
              <w:rPr>
                <w:sz w:val="20"/>
              </w:rPr>
            </w:pPr>
            <w:r>
              <w:rPr>
                <w:color w:val="000000"/>
                <w:sz w:val="20"/>
              </w:rPr>
              <w:t>RSO2.8</w:t>
            </w:r>
          </w:p>
        </w:tc>
        <w:tc>
          <w:tcPr>
            <w:tcW w:w="1161" w:type="dxa"/>
          </w:tcPr>
          <w:p w14:paraId="001CA733" w14:textId="77777777" w:rsidR="00DD13BF" w:rsidRDefault="00DD13BF" w:rsidP="00355A56">
            <w:pPr>
              <w:pStyle w:val="TableParagraph"/>
              <w:rPr>
                <w:sz w:val="20"/>
              </w:rPr>
            </w:pPr>
            <w:r>
              <w:rPr>
                <w:sz w:val="20"/>
              </w:rPr>
              <w:t>01</w:t>
            </w:r>
          </w:p>
        </w:tc>
        <w:tc>
          <w:tcPr>
            <w:tcW w:w="2731" w:type="dxa"/>
          </w:tcPr>
          <w:p w14:paraId="664712BC" w14:textId="77777777" w:rsidR="00DD13BF" w:rsidRDefault="00DD13BF" w:rsidP="00355A56">
            <w:pPr>
              <w:pStyle w:val="TableParagraph"/>
              <w:rPr>
                <w:sz w:val="20"/>
              </w:rPr>
            </w:pPr>
            <w:r>
              <w:rPr>
                <w:sz w:val="20"/>
              </w:rPr>
              <w:t xml:space="preserve">16,644,692 </w:t>
            </w:r>
          </w:p>
        </w:tc>
      </w:tr>
    </w:tbl>
    <w:p w14:paraId="494F9116" w14:textId="77777777" w:rsidR="00DD13BF" w:rsidRDefault="00DD13BF" w:rsidP="00DD13BF">
      <w:pPr>
        <w:rPr>
          <w:sz w:val="20"/>
        </w:rPr>
        <w:sectPr w:rsidR="00DD13BF" w:rsidSect="00BD3536">
          <w:headerReference w:type="default" r:id="rId61"/>
          <w:footerReference w:type="first" r:id="rId62"/>
          <w:type w:val="continuous"/>
          <w:pgSz w:w="16840" w:h="11910" w:orient="landscape"/>
          <w:pgMar w:top="1417" w:right="1417" w:bottom="1417" w:left="1417" w:header="708" w:footer="708" w:gutter="0"/>
          <w:cols w:space="708"/>
          <w:titlePg/>
          <w:docGrid w:linePitch="299"/>
        </w:sectPr>
      </w:pPr>
    </w:p>
    <w:p w14:paraId="0C7DC460" w14:textId="77777777" w:rsidR="00DD13BF" w:rsidRDefault="00DD13BF" w:rsidP="00DD13BF">
      <w:pPr>
        <w:ind w:left="339"/>
        <w:rPr>
          <w:spacing w:val="-7"/>
        </w:rPr>
      </w:pPr>
    </w:p>
    <w:p w14:paraId="4FE34003" w14:textId="77777777" w:rsidR="00DD13BF" w:rsidRDefault="00DD13BF" w:rsidP="00DD13BF">
      <w:pPr>
        <w:ind w:left="339"/>
      </w:pPr>
      <w:r>
        <w:t>Table 6: Dimension 3 – territorial delivery mechanism and territorial focus</w:t>
      </w:r>
    </w:p>
    <w:p w14:paraId="5C1B8236"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FEE96EE" w14:textId="77777777" w:rsidTr="00355A56">
        <w:trPr>
          <w:trHeight w:val="353"/>
        </w:trPr>
        <w:tc>
          <w:tcPr>
            <w:tcW w:w="2088" w:type="dxa"/>
          </w:tcPr>
          <w:p w14:paraId="265F4AA1" w14:textId="77777777" w:rsidR="00DD13BF" w:rsidRDefault="00DD13BF" w:rsidP="00355A56">
            <w:pPr>
              <w:pStyle w:val="TableParagraph"/>
              <w:ind w:left="115"/>
            </w:pPr>
            <w:r>
              <w:t>Priority no.</w:t>
            </w:r>
          </w:p>
        </w:tc>
        <w:tc>
          <w:tcPr>
            <w:tcW w:w="1132" w:type="dxa"/>
          </w:tcPr>
          <w:p w14:paraId="30BEC361" w14:textId="77777777" w:rsidR="00DD13BF" w:rsidRDefault="00DD13BF" w:rsidP="00355A56">
            <w:pPr>
              <w:pStyle w:val="TableParagraph"/>
              <w:ind w:left="320"/>
            </w:pPr>
            <w:r>
              <w:t>Fund</w:t>
            </w:r>
          </w:p>
        </w:tc>
        <w:tc>
          <w:tcPr>
            <w:tcW w:w="3248" w:type="dxa"/>
          </w:tcPr>
          <w:p w14:paraId="215A1F41" w14:textId="77777777" w:rsidR="00DD13BF" w:rsidRDefault="00DD13BF" w:rsidP="00355A56">
            <w:pPr>
              <w:pStyle w:val="TableParagraph"/>
              <w:ind w:left="908"/>
            </w:pPr>
            <w:r>
              <w:t>Category of region</w:t>
            </w:r>
          </w:p>
        </w:tc>
        <w:tc>
          <w:tcPr>
            <w:tcW w:w="3098" w:type="dxa"/>
          </w:tcPr>
          <w:p w14:paraId="196DD13D" w14:textId="77777777" w:rsidR="00DD13BF" w:rsidRDefault="00DD13BF" w:rsidP="00355A56">
            <w:pPr>
              <w:pStyle w:val="TableParagraph"/>
              <w:ind w:left="950"/>
            </w:pPr>
            <w:r>
              <w:t>Specific objective</w:t>
            </w:r>
          </w:p>
        </w:tc>
        <w:tc>
          <w:tcPr>
            <w:tcW w:w="1160" w:type="dxa"/>
          </w:tcPr>
          <w:p w14:paraId="2500D5B9" w14:textId="77777777" w:rsidR="00DD13BF" w:rsidRDefault="00DD13BF" w:rsidP="00355A56">
            <w:pPr>
              <w:pStyle w:val="TableParagraph"/>
              <w:ind w:left="336"/>
            </w:pPr>
            <w:r>
              <w:t>Code</w:t>
            </w:r>
          </w:p>
        </w:tc>
        <w:tc>
          <w:tcPr>
            <w:tcW w:w="2730" w:type="dxa"/>
          </w:tcPr>
          <w:p w14:paraId="2C13D567" w14:textId="77777777" w:rsidR="00DD13BF" w:rsidRDefault="00DD13BF" w:rsidP="00355A56">
            <w:pPr>
              <w:pStyle w:val="TableParagraph"/>
              <w:ind w:left="664"/>
            </w:pPr>
            <w:r>
              <w:t>Amount (in EUR)</w:t>
            </w:r>
          </w:p>
        </w:tc>
      </w:tr>
      <w:tr w:rsidR="00DD13BF" w14:paraId="5C423CA8" w14:textId="77777777" w:rsidTr="00355A56">
        <w:trPr>
          <w:trHeight w:val="353"/>
        </w:trPr>
        <w:tc>
          <w:tcPr>
            <w:tcW w:w="2088" w:type="dxa"/>
          </w:tcPr>
          <w:p w14:paraId="4F20D904" w14:textId="77777777" w:rsidR="00DD13BF" w:rsidRDefault="00DD13BF" w:rsidP="00355A56">
            <w:pPr>
              <w:pStyle w:val="TableParagraph"/>
              <w:rPr>
                <w:sz w:val="20"/>
              </w:rPr>
            </w:pPr>
            <w:r>
              <w:rPr>
                <w:sz w:val="20"/>
              </w:rPr>
              <w:t>4</w:t>
            </w:r>
          </w:p>
        </w:tc>
        <w:tc>
          <w:tcPr>
            <w:tcW w:w="1132" w:type="dxa"/>
          </w:tcPr>
          <w:p w14:paraId="3A323CE7" w14:textId="77777777" w:rsidR="00DD13BF" w:rsidRDefault="00DD13BF" w:rsidP="00355A56">
            <w:pPr>
              <w:pStyle w:val="TableParagraph"/>
              <w:rPr>
                <w:sz w:val="20"/>
              </w:rPr>
            </w:pPr>
            <w:r>
              <w:rPr>
                <w:sz w:val="20"/>
              </w:rPr>
              <w:t>ERDF</w:t>
            </w:r>
          </w:p>
        </w:tc>
        <w:tc>
          <w:tcPr>
            <w:tcW w:w="3248" w:type="dxa"/>
          </w:tcPr>
          <w:p w14:paraId="34574A94" w14:textId="77777777" w:rsidR="00DD13BF" w:rsidRDefault="00DD13BF" w:rsidP="00355A56">
            <w:pPr>
              <w:pStyle w:val="TableParagraph"/>
              <w:rPr>
                <w:sz w:val="20"/>
              </w:rPr>
            </w:pPr>
            <w:r>
              <w:rPr>
                <w:sz w:val="20"/>
              </w:rPr>
              <w:t>Less developed</w:t>
            </w:r>
          </w:p>
        </w:tc>
        <w:tc>
          <w:tcPr>
            <w:tcW w:w="3098" w:type="dxa"/>
          </w:tcPr>
          <w:p w14:paraId="13D4CF62" w14:textId="77777777" w:rsidR="00DD13BF" w:rsidRDefault="00DD13BF" w:rsidP="00355A56">
            <w:pPr>
              <w:pStyle w:val="TableParagraph"/>
              <w:rPr>
                <w:sz w:val="20"/>
              </w:rPr>
            </w:pPr>
            <w:r>
              <w:rPr>
                <w:color w:val="000000"/>
                <w:sz w:val="20"/>
              </w:rPr>
              <w:t>RSO2.8</w:t>
            </w:r>
          </w:p>
        </w:tc>
        <w:tc>
          <w:tcPr>
            <w:tcW w:w="1160" w:type="dxa"/>
          </w:tcPr>
          <w:p w14:paraId="66249E3E" w14:textId="77777777" w:rsidR="00DD13BF" w:rsidRDefault="00DD13BF" w:rsidP="00355A56">
            <w:pPr>
              <w:pStyle w:val="TableParagraph"/>
              <w:rPr>
                <w:sz w:val="20"/>
              </w:rPr>
            </w:pPr>
            <w:r>
              <w:rPr>
                <w:sz w:val="20"/>
              </w:rPr>
              <w:t>02</w:t>
            </w:r>
          </w:p>
        </w:tc>
        <w:tc>
          <w:tcPr>
            <w:tcW w:w="2730" w:type="dxa"/>
          </w:tcPr>
          <w:p w14:paraId="25D7A0D8" w14:textId="77777777" w:rsidR="00DD13BF" w:rsidRPr="00A36B20" w:rsidRDefault="00DD13BF" w:rsidP="00355A56">
            <w:pPr>
              <w:pStyle w:val="TableParagraph"/>
              <w:rPr>
                <w:sz w:val="20"/>
              </w:rPr>
            </w:pPr>
            <w:r>
              <w:rPr>
                <w:sz w:val="20"/>
              </w:rPr>
              <w:t>37,272,561</w:t>
            </w:r>
          </w:p>
        </w:tc>
      </w:tr>
      <w:tr w:rsidR="00DD13BF" w14:paraId="01898C44" w14:textId="77777777" w:rsidTr="00355A56">
        <w:trPr>
          <w:trHeight w:val="353"/>
        </w:trPr>
        <w:tc>
          <w:tcPr>
            <w:tcW w:w="2088" w:type="dxa"/>
          </w:tcPr>
          <w:p w14:paraId="741DF017" w14:textId="77777777" w:rsidR="00DD13BF" w:rsidRDefault="00DD13BF" w:rsidP="00355A56">
            <w:pPr>
              <w:pStyle w:val="TableParagraph"/>
              <w:rPr>
                <w:sz w:val="20"/>
              </w:rPr>
            </w:pPr>
            <w:r>
              <w:rPr>
                <w:sz w:val="20"/>
              </w:rPr>
              <w:t>4</w:t>
            </w:r>
          </w:p>
        </w:tc>
        <w:tc>
          <w:tcPr>
            <w:tcW w:w="1132" w:type="dxa"/>
          </w:tcPr>
          <w:p w14:paraId="3B90943F" w14:textId="77777777" w:rsidR="00DD13BF" w:rsidRDefault="00DD13BF" w:rsidP="00355A56">
            <w:pPr>
              <w:pStyle w:val="TableParagraph"/>
              <w:rPr>
                <w:sz w:val="20"/>
              </w:rPr>
            </w:pPr>
            <w:r>
              <w:rPr>
                <w:sz w:val="20"/>
              </w:rPr>
              <w:t>ERDF</w:t>
            </w:r>
          </w:p>
        </w:tc>
        <w:tc>
          <w:tcPr>
            <w:tcW w:w="3248" w:type="dxa"/>
          </w:tcPr>
          <w:p w14:paraId="34941253" w14:textId="77777777" w:rsidR="00DD13BF" w:rsidRDefault="00DD13BF" w:rsidP="00355A56">
            <w:pPr>
              <w:pStyle w:val="TableParagraph"/>
              <w:rPr>
                <w:sz w:val="20"/>
              </w:rPr>
            </w:pPr>
            <w:r>
              <w:rPr>
                <w:sz w:val="20"/>
              </w:rPr>
              <w:t>More developed</w:t>
            </w:r>
          </w:p>
        </w:tc>
        <w:tc>
          <w:tcPr>
            <w:tcW w:w="3098" w:type="dxa"/>
          </w:tcPr>
          <w:p w14:paraId="2F8FC109" w14:textId="77777777" w:rsidR="00DD13BF" w:rsidRDefault="00DD13BF" w:rsidP="00355A56">
            <w:pPr>
              <w:pStyle w:val="TableParagraph"/>
              <w:rPr>
                <w:sz w:val="20"/>
              </w:rPr>
            </w:pPr>
            <w:r>
              <w:rPr>
                <w:color w:val="000000"/>
                <w:sz w:val="20"/>
              </w:rPr>
              <w:t>RSO2.8</w:t>
            </w:r>
          </w:p>
        </w:tc>
        <w:tc>
          <w:tcPr>
            <w:tcW w:w="1160" w:type="dxa"/>
          </w:tcPr>
          <w:p w14:paraId="38ED49AA" w14:textId="77777777" w:rsidR="00DD13BF" w:rsidRPr="002A2A07" w:rsidRDefault="00DD13BF" w:rsidP="00355A56">
            <w:pPr>
              <w:pStyle w:val="TableParagraph"/>
              <w:rPr>
                <w:sz w:val="20"/>
                <w:highlight w:val="yellow"/>
              </w:rPr>
            </w:pPr>
            <w:r>
              <w:rPr>
                <w:sz w:val="20"/>
              </w:rPr>
              <w:t>02</w:t>
            </w:r>
          </w:p>
        </w:tc>
        <w:tc>
          <w:tcPr>
            <w:tcW w:w="2730" w:type="dxa"/>
          </w:tcPr>
          <w:p w14:paraId="022FDEF8" w14:textId="77777777" w:rsidR="00DD13BF" w:rsidRPr="00A36B20" w:rsidRDefault="00DD13BF" w:rsidP="00355A56">
            <w:pPr>
              <w:pStyle w:val="TableParagraph"/>
              <w:rPr>
                <w:sz w:val="20"/>
              </w:rPr>
            </w:pPr>
            <w:r>
              <w:rPr>
                <w:sz w:val="20"/>
              </w:rPr>
              <w:t xml:space="preserve">16,644,692 </w:t>
            </w:r>
          </w:p>
        </w:tc>
      </w:tr>
    </w:tbl>
    <w:p w14:paraId="14D6BAB7" w14:textId="77777777" w:rsidR="00DD13BF" w:rsidRDefault="00DD13BF" w:rsidP="00DD13BF"/>
    <w:p w14:paraId="0CC5B6D3" w14:textId="77777777" w:rsidR="00DD13BF" w:rsidRDefault="00DD13BF" w:rsidP="00DD13BF">
      <w:pPr>
        <w:ind w:left="339"/>
      </w:pPr>
      <w:r>
        <w:t>Table 7: Dimension 6 – ESF+ secondary themes</w:t>
      </w:r>
    </w:p>
    <w:p w14:paraId="180373C9"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67D5CD9" w14:textId="77777777" w:rsidTr="00355A56">
        <w:trPr>
          <w:trHeight w:val="353"/>
        </w:trPr>
        <w:tc>
          <w:tcPr>
            <w:tcW w:w="2088" w:type="dxa"/>
          </w:tcPr>
          <w:p w14:paraId="577D955B" w14:textId="77777777" w:rsidR="00DD13BF" w:rsidRDefault="00DD13BF" w:rsidP="00355A56">
            <w:pPr>
              <w:pStyle w:val="TableParagraph"/>
              <w:ind w:left="115"/>
            </w:pPr>
            <w:r>
              <w:lastRenderedPageBreak/>
              <w:t>Priority no.</w:t>
            </w:r>
          </w:p>
        </w:tc>
        <w:tc>
          <w:tcPr>
            <w:tcW w:w="1132" w:type="dxa"/>
          </w:tcPr>
          <w:p w14:paraId="07D79DF5" w14:textId="77777777" w:rsidR="00DD13BF" w:rsidRDefault="00DD13BF" w:rsidP="00355A56">
            <w:pPr>
              <w:pStyle w:val="TableParagraph"/>
              <w:ind w:left="321"/>
            </w:pPr>
            <w:r>
              <w:t>Fund</w:t>
            </w:r>
          </w:p>
        </w:tc>
        <w:tc>
          <w:tcPr>
            <w:tcW w:w="3248" w:type="dxa"/>
          </w:tcPr>
          <w:p w14:paraId="75D37A25" w14:textId="77777777" w:rsidR="00DD13BF" w:rsidRDefault="00DD13BF" w:rsidP="00355A56">
            <w:pPr>
              <w:pStyle w:val="TableParagraph"/>
              <w:ind w:left="909"/>
            </w:pPr>
            <w:r>
              <w:t>Category of region</w:t>
            </w:r>
          </w:p>
        </w:tc>
        <w:tc>
          <w:tcPr>
            <w:tcW w:w="3098" w:type="dxa"/>
          </w:tcPr>
          <w:p w14:paraId="4D01DBD8" w14:textId="77777777" w:rsidR="00DD13BF" w:rsidRDefault="00DD13BF" w:rsidP="00355A56">
            <w:pPr>
              <w:pStyle w:val="TableParagraph"/>
              <w:ind w:left="950"/>
            </w:pPr>
            <w:r>
              <w:t>Specific objective</w:t>
            </w:r>
          </w:p>
        </w:tc>
        <w:tc>
          <w:tcPr>
            <w:tcW w:w="1160" w:type="dxa"/>
          </w:tcPr>
          <w:p w14:paraId="5B5BD7CA" w14:textId="77777777" w:rsidR="00DD13BF" w:rsidRDefault="00DD13BF" w:rsidP="00355A56">
            <w:pPr>
              <w:pStyle w:val="TableParagraph"/>
              <w:ind w:left="337"/>
            </w:pPr>
            <w:r>
              <w:t>Code</w:t>
            </w:r>
          </w:p>
        </w:tc>
        <w:tc>
          <w:tcPr>
            <w:tcW w:w="2730" w:type="dxa"/>
          </w:tcPr>
          <w:p w14:paraId="6D7256EB" w14:textId="77777777" w:rsidR="00DD13BF" w:rsidRDefault="00DD13BF" w:rsidP="00355A56">
            <w:pPr>
              <w:pStyle w:val="TableParagraph"/>
              <w:ind w:left="665"/>
            </w:pPr>
            <w:r>
              <w:t>Amount (in EUR)</w:t>
            </w:r>
          </w:p>
        </w:tc>
      </w:tr>
    </w:tbl>
    <w:p w14:paraId="225FC4D4" w14:textId="77777777" w:rsidR="00DD13BF" w:rsidRPr="00673ADB" w:rsidRDefault="00DD13BF" w:rsidP="00DD13BF"/>
    <w:p w14:paraId="4F0EC43E" w14:textId="77777777" w:rsidR="00DD13BF" w:rsidRDefault="00DD13BF" w:rsidP="00DD13BF">
      <w:pPr>
        <w:ind w:left="339"/>
      </w:pPr>
      <w:r>
        <w:t>Table 8: Dimension 7 – ESF+*, ERDF, Cohesion Fund and JTF gender equality dimension</w:t>
      </w:r>
    </w:p>
    <w:p w14:paraId="048B6674"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B5C3E38" w14:textId="77777777" w:rsidTr="00355A56">
        <w:trPr>
          <w:trHeight w:val="353"/>
        </w:trPr>
        <w:tc>
          <w:tcPr>
            <w:tcW w:w="2088" w:type="dxa"/>
          </w:tcPr>
          <w:p w14:paraId="72E62124" w14:textId="77777777" w:rsidR="00DD13BF" w:rsidRDefault="00DD13BF" w:rsidP="00355A56">
            <w:pPr>
              <w:pStyle w:val="TableParagraph"/>
              <w:ind w:left="115"/>
            </w:pPr>
            <w:r>
              <w:t>Priority no.</w:t>
            </w:r>
          </w:p>
        </w:tc>
        <w:tc>
          <w:tcPr>
            <w:tcW w:w="1132" w:type="dxa"/>
          </w:tcPr>
          <w:p w14:paraId="01925A58" w14:textId="77777777" w:rsidR="00DD13BF" w:rsidRDefault="00DD13BF" w:rsidP="00355A56">
            <w:pPr>
              <w:pStyle w:val="TableParagraph"/>
              <w:ind w:left="320"/>
            </w:pPr>
            <w:r>
              <w:t>Fund</w:t>
            </w:r>
          </w:p>
        </w:tc>
        <w:tc>
          <w:tcPr>
            <w:tcW w:w="3248" w:type="dxa"/>
          </w:tcPr>
          <w:p w14:paraId="66A0839C" w14:textId="77777777" w:rsidR="00DD13BF" w:rsidRDefault="00DD13BF" w:rsidP="00355A56">
            <w:pPr>
              <w:pStyle w:val="TableParagraph"/>
              <w:ind w:left="908"/>
            </w:pPr>
            <w:r>
              <w:t>Category of region</w:t>
            </w:r>
          </w:p>
        </w:tc>
        <w:tc>
          <w:tcPr>
            <w:tcW w:w="3098" w:type="dxa"/>
          </w:tcPr>
          <w:p w14:paraId="36E5E6DE" w14:textId="77777777" w:rsidR="00DD13BF" w:rsidRDefault="00DD13BF" w:rsidP="00355A56">
            <w:pPr>
              <w:pStyle w:val="TableParagraph"/>
              <w:ind w:left="950"/>
            </w:pPr>
            <w:r>
              <w:t>Specific objective</w:t>
            </w:r>
          </w:p>
        </w:tc>
        <w:tc>
          <w:tcPr>
            <w:tcW w:w="1160" w:type="dxa"/>
          </w:tcPr>
          <w:p w14:paraId="2CD6A6DF" w14:textId="77777777" w:rsidR="00DD13BF" w:rsidRDefault="00DD13BF" w:rsidP="00355A56">
            <w:pPr>
              <w:pStyle w:val="TableParagraph"/>
              <w:ind w:left="336"/>
            </w:pPr>
            <w:r>
              <w:t>Code</w:t>
            </w:r>
          </w:p>
        </w:tc>
        <w:tc>
          <w:tcPr>
            <w:tcW w:w="2730" w:type="dxa"/>
          </w:tcPr>
          <w:p w14:paraId="41CC72C8" w14:textId="77777777" w:rsidR="00DD13BF" w:rsidRDefault="00DD13BF" w:rsidP="00355A56">
            <w:pPr>
              <w:pStyle w:val="TableParagraph"/>
              <w:ind w:left="664"/>
            </w:pPr>
            <w:r>
              <w:t>Amount (in EUR)</w:t>
            </w:r>
          </w:p>
        </w:tc>
      </w:tr>
      <w:tr w:rsidR="00DD13BF" w14:paraId="2414DE0F" w14:textId="77777777" w:rsidTr="00355A56">
        <w:trPr>
          <w:trHeight w:val="353"/>
        </w:trPr>
        <w:tc>
          <w:tcPr>
            <w:tcW w:w="2088" w:type="dxa"/>
          </w:tcPr>
          <w:p w14:paraId="7CCBC2D5" w14:textId="77777777" w:rsidR="00DD13BF" w:rsidRDefault="00DD13BF" w:rsidP="00355A56">
            <w:pPr>
              <w:pStyle w:val="TableParagraph"/>
              <w:rPr>
                <w:sz w:val="20"/>
              </w:rPr>
            </w:pPr>
            <w:r>
              <w:rPr>
                <w:sz w:val="20"/>
              </w:rPr>
              <w:t>4</w:t>
            </w:r>
          </w:p>
        </w:tc>
        <w:tc>
          <w:tcPr>
            <w:tcW w:w="1132" w:type="dxa"/>
          </w:tcPr>
          <w:p w14:paraId="2FFE5313" w14:textId="77777777" w:rsidR="00DD13BF" w:rsidRDefault="00DD13BF" w:rsidP="00355A56">
            <w:pPr>
              <w:pStyle w:val="TableParagraph"/>
              <w:rPr>
                <w:sz w:val="20"/>
              </w:rPr>
            </w:pPr>
            <w:r>
              <w:rPr>
                <w:sz w:val="20"/>
              </w:rPr>
              <w:t>ERDF</w:t>
            </w:r>
          </w:p>
        </w:tc>
        <w:tc>
          <w:tcPr>
            <w:tcW w:w="3248" w:type="dxa"/>
          </w:tcPr>
          <w:p w14:paraId="4AC5D6BE" w14:textId="77777777" w:rsidR="00DD13BF" w:rsidRDefault="00DD13BF" w:rsidP="00355A56">
            <w:pPr>
              <w:pStyle w:val="TableParagraph"/>
              <w:rPr>
                <w:sz w:val="20"/>
              </w:rPr>
            </w:pPr>
            <w:r>
              <w:rPr>
                <w:sz w:val="20"/>
              </w:rPr>
              <w:t>Less developed</w:t>
            </w:r>
          </w:p>
        </w:tc>
        <w:tc>
          <w:tcPr>
            <w:tcW w:w="3098" w:type="dxa"/>
          </w:tcPr>
          <w:p w14:paraId="22CC24DF" w14:textId="77777777" w:rsidR="00DD13BF" w:rsidRDefault="00DD13BF" w:rsidP="00355A56">
            <w:pPr>
              <w:pStyle w:val="TableParagraph"/>
              <w:rPr>
                <w:sz w:val="20"/>
              </w:rPr>
            </w:pPr>
            <w:r>
              <w:rPr>
                <w:color w:val="000000"/>
                <w:sz w:val="20"/>
              </w:rPr>
              <w:t>RSO2.8</w:t>
            </w:r>
          </w:p>
        </w:tc>
        <w:tc>
          <w:tcPr>
            <w:tcW w:w="1160" w:type="dxa"/>
          </w:tcPr>
          <w:p w14:paraId="0CAF3D6E" w14:textId="77777777" w:rsidR="00DD13BF" w:rsidRDefault="00DD13BF" w:rsidP="00355A56">
            <w:pPr>
              <w:pStyle w:val="TableParagraph"/>
              <w:rPr>
                <w:sz w:val="20"/>
              </w:rPr>
            </w:pPr>
            <w:r>
              <w:rPr>
                <w:sz w:val="20"/>
              </w:rPr>
              <w:t>03</w:t>
            </w:r>
          </w:p>
        </w:tc>
        <w:tc>
          <w:tcPr>
            <w:tcW w:w="2730" w:type="dxa"/>
          </w:tcPr>
          <w:p w14:paraId="39D46433" w14:textId="77777777" w:rsidR="00DD13BF" w:rsidRDefault="00DD13BF" w:rsidP="00355A56">
            <w:pPr>
              <w:pStyle w:val="TableParagraph"/>
              <w:rPr>
                <w:sz w:val="20"/>
              </w:rPr>
            </w:pPr>
            <w:r>
              <w:rPr>
                <w:sz w:val="20"/>
              </w:rPr>
              <w:t>37,272,561</w:t>
            </w:r>
          </w:p>
        </w:tc>
      </w:tr>
      <w:tr w:rsidR="00DD13BF" w14:paraId="371DD11F" w14:textId="77777777" w:rsidTr="00355A56">
        <w:trPr>
          <w:trHeight w:val="353"/>
        </w:trPr>
        <w:tc>
          <w:tcPr>
            <w:tcW w:w="2088" w:type="dxa"/>
          </w:tcPr>
          <w:p w14:paraId="4F979DA5" w14:textId="77777777" w:rsidR="00DD13BF" w:rsidRDefault="00DD13BF" w:rsidP="00355A56">
            <w:pPr>
              <w:pStyle w:val="TableParagraph"/>
              <w:rPr>
                <w:sz w:val="20"/>
              </w:rPr>
            </w:pPr>
            <w:r>
              <w:rPr>
                <w:sz w:val="20"/>
              </w:rPr>
              <w:t>4</w:t>
            </w:r>
          </w:p>
        </w:tc>
        <w:tc>
          <w:tcPr>
            <w:tcW w:w="1132" w:type="dxa"/>
          </w:tcPr>
          <w:p w14:paraId="0687A5A0" w14:textId="77777777" w:rsidR="00DD13BF" w:rsidRDefault="00DD13BF" w:rsidP="00355A56">
            <w:pPr>
              <w:pStyle w:val="TableParagraph"/>
              <w:rPr>
                <w:sz w:val="20"/>
              </w:rPr>
            </w:pPr>
            <w:r>
              <w:rPr>
                <w:sz w:val="20"/>
              </w:rPr>
              <w:t>ERDF</w:t>
            </w:r>
          </w:p>
        </w:tc>
        <w:tc>
          <w:tcPr>
            <w:tcW w:w="3248" w:type="dxa"/>
          </w:tcPr>
          <w:p w14:paraId="1CE9A712" w14:textId="77777777" w:rsidR="00DD13BF" w:rsidRDefault="00DD13BF" w:rsidP="00355A56">
            <w:pPr>
              <w:pStyle w:val="TableParagraph"/>
              <w:rPr>
                <w:sz w:val="20"/>
              </w:rPr>
            </w:pPr>
            <w:r>
              <w:rPr>
                <w:sz w:val="20"/>
              </w:rPr>
              <w:t>More developed</w:t>
            </w:r>
          </w:p>
        </w:tc>
        <w:tc>
          <w:tcPr>
            <w:tcW w:w="3098" w:type="dxa"/>
          </w:tcPr>
          <w:p w14:paraId="4ABB1D01" w14:textId="77777777" w:rsidR="00DD13BF" w:rsidRDefault="00DD13BF" w:rsidP="00355A56">
            <w:pPr>
              <w:pStyle w:val="TableParagraph"/>
              <w:rPr>
                <w:sz w:val="20"/>
              </w:rPr>
            </w:pPr>
            <w:r>
              <w:rPr>
                <w:color w:val="000000"/>
                <w:sz w:val="20"/>
              </w:rPr>
              <w:t>RSO2.8</w:t>
            </w:r>
          </w:p>
        </w:tc>
        <w:tc>
          <w:tcPr>
            <w:tcW w:w="1160" w:type="dxa"/>
          </w:tcPr>
          <w:p w14:paraId="07548370" w14:textId="77777777" w:rsidR="00DD13BF" w:rsidRDefault="00DD13BF" w:rsidP="00355A56">
            <w:pPr>
              <w:pStyle w:val="TableParagraph"/>
              <w:rPr>
                <w:sz w:val="20"/>
              </w:rPr>
            </w:pPr>
            <w:r>
              <w:rPr>
                <w:sz w:val="20"/>
              </w:rPr>
              <w:t>03</w:t>
            </w:r>
          </w:p>
        </w:tc>
        <w:tc>
          <w:tcPr>
            <w:tcW w:w="2730" w:type="dxa"/>
          </w:tcPr>
          <w:p w14:paraId="50430B85" w14:textId="77777777" w:rsidR="00DD13BF" w:rsidRDefault="00DD13BF" w:rsidP="00355A56">
            <w:pPr>
              <w:pStyle w:val="TableParagraph"/>
              <w:rPr>
                <w:sz w:val="20"/>
              </w:rPr>
            </w:pPr>
            <w:r>
              <w:rPr>
                <w:sz w:val="20"/>
              </w:rPr>
              <w:t xml:space="preserve">16,644,692 </w:t>
            </w:r>
          </w:p>
        </w:tc>
      </w:tr>
    </w:tbl>
    <w:p w14:paraId="0DEC6A02" w14:textId="77777777" w:rsidR="00DD13BF" w:rsidRPr="00673ADB" w:rsidRDefault="00DD13BF" w:rsidP="00DD13BF">
      <w:pPr>
        <w:tabs>
          <w:tab w:val="left" w:pos="426"/>
        </w:tabs>
        <w:ind w:left="284"/>
        <w:rPr>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41AB76BD" w14:textId="77777777" w:rsidR="00DD13BF" w:rsidRDefault="00DD13BF" w:rsidP="00DD13BF">
      <w:pPr>
        <w:sectPr w:rsidR="00DD13BF" w:rsidSect="00FC3010">
          <w:headerReference w:type="default" r:id="rId63"/>
          <w:footerReference w:type="first" r:id="rId64"/>
          <w:type w:val="continuous"/>
          <w:pgSz w:w="16840" w:h="11910" w:orient="landscape"/>
          <w:pgMar w:top="1417" w:right="1417" w:bottom="1417" w:left="1417" w:header="708" w:footer="708" w:gutter="0"/>
          <w:cols w:space="708"/>
        </w:sectPr>
      </w:pPr>
    </w:p>
    <w:p w14:paraId="69F70A59" w14:textId="77777777" w:rsidR="00DD13BF" w:rsidRDefault="00DD13BF" w:rsidP="00DD13BF">
      <w:r>
        <w:br w:type="page"/>
      </w:r>
    </w:p>
    <w:p w14:paraId="4554E26E" w14:textId="77777777" w:rsidR="00DD13BF" w:rsidRDefault="00DD13BF" w:rsidP="00DD13BF">
      <w:pPr>
        <w:pStyle w:val="Naslov3"/>
      </w:pPr>
      <w:bookmarkStart w:id="34" w:name="_Toc131161713"/>
      <w:r>
        <w:lastRenderedPageBreak/>
        <w:t>Priority 5: Sustainable cross-regional mobility and connectivity</w:t>
      </w:r>
      <w:bookmarkEnd w:id="34"/>
    </w:p>
    <w:p w14:paraId="647F7797"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0AFBB277" w14:textId="77777777" w:rsidTr="00355A56">
        <w:tc>
          <w:tcPr>
            <w:tcW w:w="13994" w:type="dxa"/>
          </w:tcPr>
          <w:p w14:paraId="091BCFB3" w14:textId="77777777" w:rsidR="00DD13BF" w:rsidRPr="006A1DD0" w:rsidRDefault="00DD13BF" w:rsidP="00355A56">
            <w:pPr>
              <w:rPr>
                <w:rFonts w:eastAsia="Calibri"/>
              </w:rPr>
            </w:pPr>
            <w:r>
              <w:rPr>
                <w:noProof/>
                <w:lang w:val="sl-SI"/>
              </w:rPr>
              <w:drawing>
                <wp:inline distT="0" distB="0" distL="0" distR="0" wp14:anchorId="718DA138" wp14:editId="616EDFF9">
                  <wp:extent cx="121920" cy="103505"/>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youth employment</w:t>
            </w:r>
          </w:p>
        </w:tc>
      </w:tr>
      <w:tr w:rsidR="00DD13BF" w:rsidRPr="006A1DD0" w14:paraId="3BD18E70" w14:textId="77777777" w:rsidTr="00355A56">
        <w:tc>
          <w:tcPr>
            <w:tcW w:w="13994" w:type="dxa"/>
          </w:tcPr>
          <w:p w14:paraId="74FA27B0" w14:textId="77777777" w:rsidR="00DD13BF" w:rsidRPr="006A1DD0" w:rsidRDefault="00DD13BF" w:rsidP="00355A56">
            <w:pPr>
              <w:rPr>
                <w:rFonts w:eastAsia="Calibri"/>
              </w:rPr>
            </w:pPr>
            <w:r>
              <w:rPr>
                <w:noProof/>
                <w:lang w:val="sl-SI"/>
              </w:rPr>
              <w:drawing>
                <wp:inline distT="0" distB="0" distL="0" distR="0" wp14:anchorId="75932C65" wp14:editId="2A1B0FD6">
                  <wp:extent cx="121920" cy="103505"/>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social innovative actions</w:t>
            </w:r>
          </w:p>
        </w:tc>
      </w:tr>
      <w:tr w:rsidR="00DD13BF" w:rsidRPr="006A1DD0" w14:paraId="790D7332" w14:textId="77777777" w:rsidTr="00355A56">
        <w:tc>
          <w:tcPr>
            <w:tcW w:w="13994" w:type="dxa"/>
          </w:tcPr>
          <w:p w14:paraId="71523022" w14:textId="77777777" w:rsidR="00DD13BF" w:rsidRPr="006A1DD0" w:rsidRDefault="00DD13BF" w:rsidP="00355A56">
            <w:pPr>
              <w:rPr>
                <w:rFonts w:eastAsia="Calibri"/>
              </w:rPr>
            </w:pPr>
            <w:r>
              <w:rPr>
                <w:noProof/>
                <w:lang w:val="sl-SI"/>
              </w:rPr>
              <w:drawing>
                <wp:inline distT="0" distB="0" distL="0" distR="0" wp14:anchorId="6B3B4301" wp14:editId="5B867B64">
                  <wp:extent cx="121920" cy="103505"/>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8"/>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42D97758" w14:textId="77777777" w:rsidTr="00355A56">
        <w:tc>
          <w:tcPr>
            <w:tcW w:w="13994" w:type="dxa"/>
          </w:tcPr>
          <w:p w14:paraId="14094645" w14:textId="77777777" w:rsidR="00DD13BF" w:rsidRPr="006A1DD0" w:rsidRDefault="00DD13BF" w:rsidP="00355A56">
            <w:pPr>
              <w:rPr>
                <w:rFonts w:eastAsia="Calibri"/>
              </w:rPr>
            </w:pPr>
            <w:r>
              <w:rPr>
                <w:noProof/>
                <w:lang w:val="sl-SI"/>
              </w:rPr>
              <w:drawing>
                <wp:inline distT="0" distB="0" distL="0" distR="0" wp14:anchorId="5138993F" wp14:editId="035BF1A3">
                  <wp:extent cx="121920" cy="103505"/>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9"/>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34652B12" w14:textId="77777777" w:rsidTr="00355A56">
        <w:tc>
          <w:tcPr>
            <w:tcW w:w="13994" w:type="dxa"/>
          </w:tcPr>
          <w:p w14:paraId="2BC4403D" w14:textId="77777777" w:rsidR="00DD13BF" w:rsidRPr="006A1DD0" w:rsidRDefault="00DD13BF" w:rsidP="00355A56">
            <w:pPr>
              <w:rPr>
                <w:rFonts w:eastAsia="Calibri"/>
              </w:rPr>
            </w:pPr>
            <w:r>
              <w:rPr>
                <w:noProof/>
                <w:lang w:val="sl-SI"/>
              </w:rPr>
              <w:drawing>
                <wp:inline distT="0" distB="0" distL="0" distR="0" wp14:anchorId="7951B555" wp14:editId="4EA663C8">
                  <wp:extent cx="121920" cy="103505"/>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0"/>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urban mobility specific objective set out in point (viii) of Article 3(1)(b) of the ERDF and Cohesion Fund Regulation</w:t>
            </w:r>
          </w:p>
          <w:p w14:paraId="22E132C3" w14:textId="77777777" w:rsidR="00DD13BF" w:rsidRPr="006A1DD0" w:rsidRDefault="00DD13BF" w:rsidP="00355A56">
            <w:pPr>
              <w:rPr>
                <w:rFonts w:eastAsia="Calibri"/>
              </w:rPr>
            </w:pPr>
          </w:p>
        </w:tc>
      </w:tr>
      <w:tr w:rsidR="00DD13BF" w:rsidRPr="006A1DD0" w14:paraId="17EBBB5A" w14:textId="77777777" w:rsidTr="00355A56">
        <w:trPr>
          <w:trHeight w:val="83"/>
        </w:trPr>
        <w:tc>
          <w:tcPr>
            <w:tcW w:w="13994" w:type="dxa"/>
          </w:tcPr>
          <w:p w14:paraId="28322F47" w14:textId="77777777" w:rsidR="00DD13BF" w:rsidRPr="00DD1BF0" w:rsidRDefault="00DD13BF" w:rsidP="00355A56">
            <w:pPr>
              <w:rPr>
                <w:rFonts w:eastAsia="Calibri"/>
              </w:rPr>
            </w:pPr>
            <w:r>
              <w:rPr>
                <w:noProof/>
                <w:lang w:val="sl-SI"/>
              </w:rPr>
              <w:drawing>
                <wp:inline distT="0" distB="0" distL="0" distR="0" wp14:anchorId="604ECAB1" wp14:editId="49C2DCBD">
                  <wp:extent cx="121920" cy="103505"/>
                  <wp:effectExtent l="0" t="0" r="0" b="0"/>
                  <wp:docPr id="1120" name="Slika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0"/>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digital connectivity specific objective set out in point (v) of Article 3(1)(a) of the ERDF and Cohesion Fund Regulation</w:t>
            </w:r>
          </w:p>
          <w:p w14:paraId="284C7330" w14:textId="77777777" w:rsidR="00DD13BF" w:rsidRPr="006A1DD0" w:rsidRDefault="00DD13BF" w:rsidP="00355A56">
            <w:pPr>
              <w:rPr>
                <w:rFonts w:eastAsia="Calibri"/>
              </w:rPr>
            </w:pPr>
          </w:p>
        </w:tc>
      </w:tr>
    </w:tbl>
    <w:p w14:paraId="497F270A"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2E097F14" w14:textId="77777777" w:rsidR="00DD13BF" w:rsidRDefault="00DD13BF" w:rsidP="00DD13BF"/>
    <w:p w14:paraId="3D5CF0F1" w14:textId="77777777" w:rsidR="00DD13BF" w:rsidRDefault="00DD13BF" w:rsidP="00DD13BF"/>
    <w:p w14:paraId="31941CC0" w14:textId="77777777" w:rsidR="00DD13BF" w:rsidRPr="00BD3536" w:rsidRDefault="00DD13BF" w:rsidP="00DD13BF">
      <w:pPr>
        <w:pStyle w:val="Naslov4"/>
        <w:ind w:left="1134"/>
      </w:pPr>
      <w:bookmarkStart w:id="35" w:name="_Toc131161714"/>
      <w:r>
        <w:t>Specific objective RSO3.1. Developing a sustainable, climate resilient, intelligent, secure, sustainable and intermodal TEN-T (Cohesion Fund)</w:t>
      </w:r>
      <w:bookmarkEnd w:id="35"/>
    </w:p>
    <w:p w14:paraId="1A1FCB5E" w14:textId="77777777" w:rsidR="00DD13BF" w:rsidRDefault="00DD13BF" w:rsidP="00DD13BF">
      <w:pPr>
        <w:rPr>
          <w:sz w:val="30"/>
        </w:rPr>
      </w:pPr>
    </w:p>
    <w:p w14:paraId="50C991EA" w14:textId="77777777" w:rsidR="00DD13BF" w:rsidRPr="00C10464" w:rsidRDefault="00DD13BF" w:rsidP="00DD13BF">
      <w:pPr>
        <w:pStyle w:val="Naslov5"/>
        <w:spacing w:before="0"/>
      </w:pPr>
      <w:r>
        <w:t>Interventions of the Funds</w:t>
      </w:r>
    </w:p>
    <w:p w14:paraId="5FEFA3C2" w14:textId="77777777" w:rsidR="00DD13BF" w:rsidRDefault="00DD13BF" w:rsidP="00DD13BF">
      <w:pPr>
        <w:rPr>
          <w:sz w:val="30"/>
        </w:rPr>
      </w:pPr>
    </w:p>
    <w:p w14:paraId="076A3CF2" w14:textId="77777777" w:rsidR="00DD13BF" w:rsidRDefault="00DD13BF" w:rsidP="00DD13BF">
      <w:pPr>
        <w:ind w:left="1349"/>
        <w:rPr>
          <w:spacing w:val="-2"/>
        </w:rPr>
      </w:pPr>
      <w:r>
        <w:t>Related types of actions:</w:t>
      </w:r>
    </w:p>
    <w:p w14:paraId="11B0BFDF"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2CEDFD6E" w14:textId="77777777" w:rsidTr="00355A56">
        <w:trPr>
          <w:trHeight w:val="316"/>
        </w:trPr>
        <w:tc>
          <w:tcPr>
            <w:tcW w:w="12758" w:type="dxa"/>
          </w:tcPr>
          <w:p w14:paraId="44BD8B14" w14:textId="77777777" w:rsidR="00DD13BF" w:rsidRDefault="00DD13BF" w:rsidP="00355A56">
            <w:pPr>
              <w:jc w:val="both"/>
              <w:rPr>
                <w:rFonts w:cstheme="minorHAnsi"/>
              </w:rPr>
            </w:pPr>
            <w:r>
              <w:t>The measures will help to reduce GHG emissions in the most crucial sector, i.e. transport. The Transport Development Strategy of the Republic of Slovenia by 2030 (hereinafter: TDS)</w:t>
            </w:r>
            <w:r>
              <w:rPr>
                <w:rStyle w:val="Sprotnaopomba-sklic"/>
                <w:rFonts w:cstheme="minorHAnsi"/>
              </w:rPr>
              <w:footnoteReference w:id="155"/>
            </w:r>
            <w:r>
              <w:t xml:space="preserve"> and the Resolution on the National Programme for the Development of Transport of the Republic of Slovenia until 2030</w:t>
            </w:r>
            <w:r>
              <w:rPr>
                <w:rStyle w:val="Sprotnaopomba-sklic"/>
                <w:rFonts w:cstheme="minorHAnsi"/>
              </w:rPr>
              <w:footnoteReference w:id="156"/>
            </w:r>
            <w:r>
              <w:t xml:space="preserve"> are key strategic documents that determine the required measures in the field of transport until 2030 based on the results of expert transport, functional, environmental, social and other analyses. Most selected measures are based on a special analytical instrument, i.e. the national transport model, which takes into account the current and future transport network supply and the current and expected future transport demand. The specific objective of the TDS is to improve transport links with neighbouring countries and to coordinate with neighbouring countries, which means ensuring sufficient capacity of the network that also meets TEN-T standards and improves the safety of the road infrastructure. In accordance with the requirements of the European TEN-T regulation (Regulation (EU) No 1315/2013), the Republic of Slovenia has undertaken to achieve standards on the TEN-T core network by 2030. In addition, Slovenia provides a systematic inspection </w:t>
            </w:r>
            <w:r>
              <w:lastRenderedPageBreak/>
              <w:t>process for the safety of the road infrastructure, which takes place in all phases of road infrastructure planning and operation in accordance with the Directive 2008/96/EC.</w:t>
            </w:r>
          </w:p>
          <w:p w14:paraId="368D5987" w14:textId="77777777" w:rsidR="00DD13BF" w:rsidRDefault="00DD13BF" w:rsidP="00355A56">
            <w:pPr>
              <w:jc w:val="both"/>
              <w:rPr>
                <w:rFonts w:cstheme="minorHAnsi"/>
              </w:rPr>
            </w:pPr>
          </w:p>
          <w:p w14:paraId="67B07305" w14:textId="77777777" w:rsidR="00DD13BF" w:rsidRDefault="00DD13BF" w:rsidP="00355A56">
            <w:pPr>
              <w:jc w:val="both"/>
              <w:rPr>
                <w:rFonts w:cstheme="minorHAnsi"/>
              </w:rPr>
            </w:pPr>
            <w:r>
              <w:t xml:space="preserve">The measures under this specific objective selected on the basis of forecasts of traffic flows, traffic safety, environmental impacts and social acceptability are measures that, in addition to national strategic importance, also have a high European added value, as they represent important sections of the TEN-T network. First and foremost, investments will be made in the modernisation of the railway infrastructure in the Mediterranean and Baltic-Adriatic corridors (Regulation (EU) No 1316/2013), which will also contribute to fulfilling the commitments arising from the EU TEN-T Regulation. These are measures that relate not only to infrastructure, but also to organisation, traffic management and traffic safety. When selecting the measures, efforts were made to maximise the utilisation of the existing transport infrastructure capacity. </w:t>
            </w:r>
          </w:p>
          <w:p w14:paraId="773984FE" w14:textId="77777777" w:rsidR="00DD13BF" w:rsidRDefault="00DD13BF" w:rsidP="00355A56">
            <w:pPr>
              <w:jc w:val="both"/>
              <w:rPr>
                <w:rFonts w:cstheme="minorHAnsi"/>
              </w:rPr>
            </w:pPr>
          </w:p>
          <w:p w14:paraId="74AFFFFA" w14:textId="77777777" w:rsidR="00DD13BF" w:rsidRDefault="00DD13BF" w:rsidP="00355A56">
            <w:pPr>
              <w:jc w:val="both"/>
              <w:rPr>
                <w:rFonts w:cstheme="minorHAnsi"/>
              </w:rPr>
            </w:pPr>
            <w:r>
              <w:t>In line with the aforementioned, the following two sets of measures are foreseen:</w:t>
            </w:r>
          </w:p>
          <w:p w14:paraId="1EFC15D4" w14:textId="77777777" w:rsidR="00DD13BF" w:rsidRPr="00BD74FC" w:rsidRDefault="00DD13BF" w:rsidP="00DD13BF">
            <w:pPr>
              <w:pStyle w:val="Odstavekseznama"/>
              <w:widowControl/>
              <w:numPr>
                <w:ilvl w:val="0"/>
                <w:numId w:val="27"/>
              </w:numPr>
              <w:autoSpaceDE/>
              <w:autoSpaceDN/>
              <w:jc w:val="both"/>
              <w:rPr>
                <w:rFonts w:ascii="Times New Roman" w:hAnsi="Times New Roman" w:cs="Times New Roman"/>
              </w:rPr>
            </w:pPr>
            <w:r>
              <w:rPr>
                <w:rFonts w:ascii="Times New Roman" w:hAnsi="Times New Roman"/>
                <w:i/>
                <w:iCs/>
              </w:rPr>
              <w:t>Investments in the modernisation and upgrading of the TEN-T railway network to improve the efficiency of passenger and freight transport to achieve TEN-T standards and the withdrawal of transit freight traffic from city centres and urban settlements</w:t>
            </w:r>
            <w:r>
              <w:rPr>
                <w:rFonts w:ascii="Times New Roman" w:hAnsi="Times New Roman"/>
              </w:rPr>
              <w:t>; the following investments are foreseen:</w:t>
            </w:r>
          </w:p>
          <w:p w14:paraId="47DE312B" w14:textId="77777777" w:rsidR="00DD13BF" w:rsidRPr="00D2456B" w:rsidRDefault="00DD13BF" w:rsidP="00DD13BF">
            <w:pPr>
              <w:pStyle w:val="Odstavekseznama"/>
              <w:widowControl/>
              <w:numPr>
                <w:ilvl w:val="1"/>
                <w:numId w:val="26"/>
              </w:numPr>
              <w:autoSpaceDE/>
              <w:autoSpaceDN/>
              <w:jc w:val="both"/>
              <w:rPr>
                <w:rFonts w:ascii="Times New Roman" w:hAnsi="Times New Roman" w:cs="Times New Roman"/>
              </w:rPr>
            </w:pPr>
            <w:r>
              <w:rPr>
                <w:rFonts w:ascii="Times New Roman" w:hAnsi="Times New Roman"/>
                <w:i/>
                <w:iCs/>
              </w:rPr>
              <w:t>Upgrading the state border–Dobova–Zidani Most railway line – Phase 1 – State border–Dobova–Sevnica section</w:t>
            </w:r>
            <w:r>
              <w:rPr>
                <w:rFonts w:ascii="Times New Roman" w:hAnsi="Times New Roman"/>
              </w:rPr>
              <w:t xml:space="preserve">: The state border–Dobova–Sevnica section is part of the TEN-T core network and the Mediterranean corridor and constitutes the main railway connection between Slovenia and Croatia. The line facilitates an axle load of 22.5 t, but it has deteriorated due to the age and wear of the elements of the superstructure and substructure, as have the elements of the rolling stock. Freight trains up to a maximum length of 570 m can be operated on the section in question. The throughput capacity of the track is critical, and it deteriorates further during the closure of one track. Due to the level access to the platforms, the protection of passengers at stations and stops must be ensured. Individual level crossings of the railway line with the road are still located on the main station tracks, inside the switches for incoming and outgoing trains. </w:t>
            </w:r>
          </w:p>
          <w:p w14:paraId="32111F94" w14:textId="77777777" w:rsidR="00DD13BF" w:rsidRDefault="00DD13BF" w:rsidP="00355A56">
            <w:pPr>
              <w:pStyle w:val="Odstavekseznama"/>
              <w:ind w:left="1440"/>
              <w:jc w:val="both"/>
              <w:rPr>
                <w:rFonts w:ascii="Times New Roman" w:hAnsi="Times New Roman" w:cs="Times New Roman"/>
              </w:rPr>
            </w:pPr>
            <w:r>
              <w:rPr>
                <w:rFonts w:ascii="Times New Roman" w:hAnsi="Times New Roman"/>
              </w:rPr>
              <w:t xml:space="preserve">After the upgrade, the following will be realised in the section in question: the bottleneck from the aspect of meeting the TEN-T requirements will be eliminated; the operation of longer freight trains will be provided, the travelling speed of trains and track capacity will be increased, interoperability will be provided and the requirements of technical specifications will be met, traffic safety will be improved, noise pollution in settlement areas will be reduced, accessibility of individual regions and interregional connections will be enhanced. </w:t>
            </w:r>
          </w:p>
          <w:p w14:paraId="55F54C41" w14:textId="77777777" w:rsidR="00DD13BF" w:rsidRPr="00401CDC" w:rsidRDefault="00DD13BF" w:rsidP="00355A56">
            <w:pPr>
              <w:pStyle w:val="Odstavekseznama"/>
              <w:ind w:left="1440"/>
              <w:jc w:val="both"/>
              <w:rPr>
                <w:rFonts w:ascii="Times New Roman" w:hAnsi="Times New Roman" w:cs="Times New Roman"/>
              </w:rPr>
            </w:pPr>
            <w:r>
              <w:rPr>
                <w:rFonts w:ascii="Times New Roman" w:hAnsi="Times New Roman"/>
              </w:rPr>
              <w:t>As part of the project’s Phase 1, 33.7 km of railway lines will be upgraded, i.e. five stations (Dobova, Brežice, Krško, Brestanica and Blanca), a stop (Libna), and the state border–Dobova, Dobova–Brežice, Brežice–Krško, Krško–Brestanica, Brestanica–Blanca and Blanca–Sevnica sections will be upgraded. The works will include the upgrading of the superstructure and substructure to ensure the track category D4 and the clearance gauge, the extension of the station tracks for the possibility of operating 740 m long trains, the upgrading of the existing platform infrastructure with the provision of grade-separated access for persons with functional disabilities and cyclists, the upgrading of signal security and telecommunication devices, the abolition of 12 level crossings with roads and implementation of noise protection measures.</w:t>
            </w:r>
          </w:p>
          <w:p w14:paraId="3E7B2B23" w14:textId="77777777" w:rsidR="00DD13BF" w:rsidRDefault="00DD13BF" w:rsidP="00DD13BF">
            <w:pPr>
              <w:pStyle w:val="Odstavekseznama"/>
              <w:widowControl/>
              <w:numPr>
                <w:ilvl w:val="1"/>
                <w:numId w:val="26"/>
              </w:numPr>
              <w:autoSpaceDE/>
              <w:autoSpaceDN/>
              <w:jc w:val="both"/>
              <w:rPr>
                <w:rFonts w:ascii="Times New Roman" w:hAnsi="Times New Roman" w:cs="Times New Roman"/>
              </w:rPr>
            </w:pPr>
            <w:r>
              <w:rPr>
                <w:rFonts w:ascii="Times New Roman" w:hAnsi="Times New Roman"/>
              </w:rPr>
              <w:lastRenderedPageBreak/>
              <w:t xml:space="preserve">The upgrading of the railway line on the Ljubljana–Kranj section and the railway stations Kranj, Podnart, Lesce–Bled, Žirovnica and Slovenski Javornik, which is a bottleneck on the public railway infrastructure in Slovenia and in both TEN-T corridors (Mediterranean and Baltic-Adriatic), is classified as a backup project on the TEN-T railway network. </w:t>
            </w:r>
          </w:p>
          <w:p w14:paraId="1632A92C" w14:textId="77777777" w:rsidR="00DD13BF" w:rsidRPr="003A2373" w:rsidRDefault="00DD13BF" w:rsidP="00355A56">
            <w:pPr>
              <w:pStyle w:val="Odstavekseznama"/>
              <w:ind w:left="1440"/>
              <w:jc w:val="both"/>
              <w:rPr>
                <w:rFonts w:ascii="Times New Roman" w:hAnsi="Times New Roman"/>
              </w:rPr>
            </w:pPr>
          </w:p>
          <w:p w14:paraId="3090AD17" w14:textId="77777777" w:rsidR="00DD13BF" w:rsidRPr="00CE51B4" w:rsidRDefault="00DD13BF" w:rsidP="00DD13BF">
            <w:pPr>
              <w:pStyle w:val="Odstavekseznama"/>
              <w:widowControl/>
              <w:numPr>
                <w:ilvl w:val="0"/>
                <w:numId w:val="43"/>
              </w:numPr>
              <w:autoSpaceDE/>
              <w:autoSpaceDN/>
              <w:jc w:val="both"/>
              <w:rPr>
                <w:rFonts w:ascii="Times New Roman" w:hAnsi="Times New Roman" w:cs="Times New Roman"/>
                <w:i/>
                <w:iCs/>
              </w:rPr>
            </w:pPr>
            <w:r>
              <w:rPr>
                <w:rFonts w:ascii="Times New Roman" w:hAnsi="Times New Roman"/>
                <w:i/>
                <w:iCs/>
              </w:rPr>
              <w:t>Projects on national roads based on their positive impact on traffic safety</w:t>
            </w:r>
            <w:r>
              <w:rPr>
                <w:rFonts w:ascii="Times New Roman" w:hAnsi="Times New Roman"/>
              </w:rPr>
              <w:t>: Measures of modern construction and a new intelligent transport system (hereinafter: IITS) will greatly improve the existing state of the road infrastructure and solve problems in congested areas. The following measure is foreseen:</w:t>
            </w:r>
          </w:p>
          <w:p w14:paraId="394D165C" w14:textId="77777777" w:rsidR="00DD13BF" w:rsidRPr="00FE44D4" w:rsidRDefault="00DD13BF" w:rsidP="00DD13BF">
            <w:pPr>
              <w:pStyle w:val="Odstavekseznama"/>
              <w:widowControl/>
              <w:numPr>
                <w:ilvl w:val="1"/>
                <w:numId w:val="43"/>
              </w:numPr>
              <w:autoSpaceDE/>
              <w:autoSpaceDN/>
              <w:jc w:val="both"/>
              <w:rPr>
                <w:rFonts w:ascii="Times New Roman" w:hAnsi="Times New Roman" w:cs="Times New Roman"/>
              </w:rPr>
            </w:pPr>
            <w:r>
              <w:rPr>
                <w:rFonts w:ascii="Times New Roman" w:hAnsi="Times New Roman"/>
                <w:i/>
                <w:iCs/>
              </w:rPr>
              <w:t>Reconstructing the first tube of the Karavanke Tunnel</w:t>
            </w:r>
            <w:r>
              <w:rPr>
                <w:rFonts w:ascii="Times New Roman" w:hAnsi="Times New Roman"/>
              </w:rPr>
              <w:t>: The existing Karavanke Tunnel is a one-tube two-way tunnel that connects Slovenia and Austria. The tunnel tube was built in 1991. Due to the lower traffic density, only the western tube was built at the time, and the tunnel was planned to be upgraded to a double tube later. The second tunnel tube is currently under construction. Based on the results of the main inspections, a detailed damage catalogue was prepared, which provides a comprehensive overview of the condition of the first tunnel tube. Several deficiencies were identified, including damage to the inner lining or tunnel arch, damage to the carriageway structure and curbs, etc. Most of the recorded anomalies were eliminated. It was agreed with the Austrian side that the reconstruction of the existing tube of the Karavanke Tunnel will commence as soon as the new tube of the tunnel starts operating. By then, certain parts of the tunnel will have exceeded their useful life; therefore, a comprehensive reconstruction or replacement of these systems must be planned.</w:t>
            </w:r>
            <w:r>
              <w:t xml:space="preserve"> </w:t>
            </w:r>
            <w:r>
              <w:rPr>
                <w:rFonts w:ascii="Times New Roman" w:hAnsi="Times New Roman"/>
              </w:rPr>
              <w:t>If the first tube of the Karavanke Tunnel is not reconstructed, the closure or partial closure of the tunnel due to the deformation of the invert arch, the need for rehabilitation of the drainage system and other elements can be realistically expected. In this case, the diversion of traffic from one tunnel tube to two will not be possible; therefore, the situation will not be significantly better than it is now even after the construction of the new tube. Traffic will still have to be two-way in one tube despite the fact that the new tube is designed for one-way traffic and, for example, does not have emergency bays on the west side of the carriageway (in the direction of Slovenia). This greatly affects traffic flow and safety on the motorway network and the rest of the road network. Considering the trend of increasing traffic, which has already exceeded the values ​​from 2019, ever-increasing congestion in front of the tunnel and on the rest of the road network is to be expected, since part of the traffic in this case would definitely be diverted to national roads and the Štajerska motorway section, which is congested as it is.</w:t>
            </w:r>
          </w:p>
          <w:p w14:paraId="5D5F9A71" w14:textId="77777777" w:rsidR="00DD13BF" w:rsidRPr="00FE44D4" w:rsidRDefault="00DD13BF" w:rsidP="00355A56">
            <w:pPr>
              <w:pStyle w:val="Odstavekseznama"/>
              <w:ind w:left="720"/>
              <w:jc w:val="both"/>
              <w:rPr>
                <w:rFonts w:ascii="Times New Roman" w:eastAsia="Times New Roman" w:hAnsi="Times New Roman" w:cs="Times New Roman"/>
              </w:rPr>
            </w:pPr>
          </w:p>
          <w:p w14:paraId="37B4C4C8" w14:textId="77777777" w:rsidR="00DD13BF" w:rsidRPr="00413E16" w:rsidRDefault="00DD13BF" w:rsidP="00355A56">
            <w:pPr>
              <w:pStyle w:val="Odstavekseznama"/>
              <w:ind w:left="31"/>
              <w:jc w:val="both"/>
            </w:pPr>
            <w:r>
              <w:rPr>
                <w:rFonts w:ascii="Times New Roman" w:hAnsi="Times New Roman"/>
              </w:rPr>
              <w:t>Where appropriate or relevant, the New European Bauhaus initiative will be taken into account, successfully integrating the principles of sustainability, aesthetics and inclusion to find accessible, inclusive, sustainable and attractive solutions to climate challenges. 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By its nature, none of the measures foreseen under this specific objective has a significant adverse impact on any of the six environmental objectives, taking into account the technical screening criteria listed in annex DNSH.</w:t>
            </w:r>
          </w:p>
        </w:tc>
      </w:tr>
    </w:tbl>
    <w:p w14:paraId="41203775" w14:textId="77777777" w:rsidR="00DD13BF" w:rsidRDefault="00DD13BF" w:rsidP="00DD13BF">
      <w:pPr>
        <w:ind w:left="1349"/>
        <w:rPr>
          <w:spacing w:val="-6"/>
        </w:rPr>
      </w:pPr>
    </w:p>
    <w:p w14:paraId="0BFC5CD2" w14:textId="77777777" w:rsidR="00DD13BF" w:rsidRDefault="00DD13BF" w:rsidP="00DD13BF">
      <w:pPr>
        <w:ind w:left="1349"/>
      </w:pPr>
      <w:r>
        <w:t>Main target groups:</w:t>
      </w:r>
    </w:p>
    <w:p w14:paraId="6B81AB8B"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61BFEE8" w14:textId="77777777" w:rsidTr="00355A56">
        <w:tc>
          <w:tcPr>
            <w:tcW w:w="12763" w:type="dxa"/>
          </w:tcPr>
          <w:p w14:paraId="689EE9BB" w14:textId="77777777" w:rsidR="00DD13BF" w:rsidRDefault="00DD13BF" w:rsidP="00355A56">
            <w:pPr>
              <w:jc w:val="both"/>
              <w:rPr>
                <w:rFonts w:cstheme="minorHAnsi"/>
              </w:rPr>
            </w:pPr>
            <w:r>
              <w:lastRenderedPageBreak/>
              <w:t xml:space="preserve"> Target groups: transport infrastructure operators, goods and passenger transport operators, enterprises, public sector, local communities, residents.</w:t>
            </w:r>
          </w:p>
          <w:p w14:paraId="33799D0D" w14:textId="77777777" w:rsidR="00DD13BF" w:rsidRDefault="00DD13BF" w:rsidP="00355A56">
            <w:pPr>
              <w:jc w:val="both"/>
              <w:rPr>
                <w:rFonts w:cstheme="minorHAnsi"/>
              </w:rPr>
            </w:pPr>
          </w:p>
          <w:p w14:paraId="5B8AC7B3" w14:textId="77777777" w:rsidR="00DD13BF" w:rsidRPr="00B3569A" w:rsidRDefault="00DD13BF" w:rsidP="00355A56">
            <w:pPr>
              <w:jc w:val="both"/>
              <w:rPr>
                <w:rFonts w:cstheme="minorHAnsi"/>
              </w:rPr>
            </w:pPr>
            <w:r>
              <w:t xml:space="preserve">Beneficiaries: Slovenian Infrastructure Agency (DRSI), </w:t>
            </w:r>
            <w:r w:rsidRPr="00EA3A08">
              <w:t xml:space="preserve">Motorway Company of the Republic of Slovenia </w:t>
            </w:r>
            <w:r>
              <w:t>(DARS).</w:t>
            </w:r>
          </w:p>
        </w:tc>
      </w:tr>
    </w:tbl>
    <w:p w14:paraId="2B0F052A" w14:textId="77777777" w:rsidR="00DD13BF" w:rsidRPr="006B7178" w:rsidRDefault="00DD13BF" w:rsidP="00DD13BF">
      <w:pPr>
        <w:ind w:left="1349"/>
      </w:pPr>
    </w:p>
    <w:p w14:paraId="7A45F1E6" w14:textId="77777777" w:rsidR="00DD13BF" w:rsidRDefault="00DD13BF" w:rsidP="00DD13BF">
      <w:pPr>
        <w:ind w:left="1349"/>
        <w:rPr>
          <w:spacing w:val="-2"/>
        </w:rPr>
      </w:pPr>
      <w:r>
        <w:t>Measures to protect equality, inclusion and non-discrimination:</w:t>
      </w:r>
    </w:p>
    <w:p w14:paraId="685DF5FE"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3F18E389" w14:textId="77777777" w:rsidTr="00355A56">
        <w:tc>
          <w:tcPr>
            <w:tcW w:w="12715" w:type="dxa"/>
          </w:tcPr>
          <w:p w14:paraId="77B311C6" w14:textId="77777777" w:rsidR="00DD13BF" w:rsidRDefault="00DD13BF" w:rsidP="00355A56">
            <w:pPr>
              <w:jc w:val="both"/>
              <w:rPr>
                <w:rFonts w:cstheme="minorHAns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 </w:t>
            </w:r>
          </w:p>
          <w:p w14:paraId="2BBDC67A" w14:textId="77777777" w:rsidR="00DD13BF" w:rsidRDefault="00DD13BF" w:rsidP="00355A56">
            <w:pPr>
              <w:jc w:val="both"/>
              <w:rPr>
                <w:rFonts w:cstheme="minorHAnsi"/>
              </w:rPr>
            </w:pPr>
          </w:p>
          <w:p w14:paraId="2A73FF61" w14:textId="77777777" w:rsidR="00DD13BF" w:rsidRPr="00B3569A" w:rsidRDefault="00DD13BF" w:rsidP="00355A56">
            <w:pPr>
              <w:jc w:val="both"/>
              <w:rPr>
                <w:rFonts w:cstheme="minorHAnsi"/>
              </w:rPr>
            </w:pPr>
            <w:r>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38DDDA8F" w14:textId="77777777" w:rsidR="00DD13BF" w:rsidRDefault="00DD13BF" w:rsidP="00DD13BF">
      <w:pPr>
        <w:rPr>
          <w:sz w:val="20"/>
        </w:rPr>
      </w:pPr>
    </w:p>
    <w:p w14:paraId="321666FB" w14:textId="77777777" w:rsidR="00DD13BF" w:rsidRDefault="00DD13BF" w:rsidP="00DD13BF">
      <w:pPr>
        <w:ind w:left="1415"/>
        <w:rPr>
          <w:spacing w:val="-4"/>
        </w:rPr>
      </w:pPr>
      <w:r>
        <w:t>Indication of the specific territories targeted, including the planned use of territorial tools:</w:t>
      </w:r>
    </w:p>
    <w:p w14:paraId="20798C85"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7D6EC9A6" w14:textId="77777777" w:rsidTr="00355A56">
        <w:tc>
          <w:tcPr>
            <w:tcW w:w="12763" w:type="dxa"/>
          </w:tcPr>
          <w:p w14:paraId="72107BEB" w14:textId="77777777" w:rsidR="00DD13BF" w:rsidRPr="00B3569A" w:rsidRDefault="00DD13BF" w:rsidP="00355A56">
            <w:pPr>
              <w:rPr>
                <w:rFonts w:cstheme="minorHAnsi"/>
              </w:rPr>
            </w:pPr>
            <w:r>
              <w:t>Under this specific objective, the use of territorial tools is not foreseen.</w:t>
            </w:r>
          </w:p>
        </w:tc>
      </w:tr>
    </w:tbl>
    <w:p w14:paraId="1E3AD912" w14:textId="77777777" w:rsidR="00DD13BF" w:rsidRDefault="00DD13BF" w:rsidP="00DD13BF">
      <w:pPr>
        <w:rPr>
          <w:sz w:val="18"/>
        </w:rPr>
      </w:pPr>
    </w:p>
    <w:p w14:paraId="52A65371" w14:textId="77777777" w:rsidR="00DD13BF" w:rsidRDefault="00DD13BF" w:rsidP="00DD13BF">
      <w:pPr>
        <w:ind w:left="1415"/>
      </w:pPr>
      <w:r>
        <w:t>The interregional, cross-border and transnational actions:</w:t>
      </w:r>
    </w:p>
    <w:p w14:paraId="51DBEFF7"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78E7AF3" w14:textId="77777777" w:rsidTr="00355A56">
        <w:tc>
          <w:tcPr>
            <w:tcW w:w="12763" w:type="dxa"/>
          </w:tcPr>
          <w:p w14:paraId="7D91AF5E" w14:textId="77777777" w:rsidR="00DD13BF" w:rsidRPr="0005785C" w:rsidRDefault="00DD13BF" w:rsidP="00355A56">
            <w:pPr>
              <w:jc w:val="both"/>
              <w:rPr>
                <w:rFonts w:cstheme="minorHAnsi"/>
              </w:rPr>
            </w:pPr>
            <w:r>
              <w:t xml:space="preserve">The measures for the development of the TEN-T intermodal network are complementary to the objectives and activities which are part of the EU macro-regional strategies, of which Slovenia is also part. Within the framework of the EU Strategy for the Danube Region (EUSDR), particularly of Priority Area 1b (to improve mobility and multimodality – rail, road and air links), the proposed projects contribute to improving connectivity and reducing differences between the transport network of the states in the macro-region. This particularly applies to projects along the Western Balkans Transport Corridor, newly proposed in the revised proposal for the TEN-T regulation, i.e.: a) upgrading of the state border–Dobova–Zidani Most railway line, b) upgrading of the railway line on the Ljubljana-Kranj section and c) reconstruction of the first tube of the </w:t>
            </w:r>
            <w:r>
              <w:lastRenderedPageBreak/>
              <w:t>Karavanke Tunnel (the existing motorway tunnel). For the successful implementation of the reconstruction project of the first tube of the Karavanke Tunnel, we cooperate with the Federal Land of Carinthia and individual ministries of the Republic of Austria, such as: the Federal Ministry for European and International Affairs, the Federal Ministry for Transport, Innovation and Technology, the Federal Ministry of Finance and the Federal Ministry of Foreign Affairs, and the Austrian motorway operator ASFINAG.</w:t>
            </w:r>
          </w:p>
          <w:p w14:paraId="5901A4C7" w14:textId="77777777" w:rsidR="00DD13BF" w:rsidRDefault="00DD13BF" w:rsidP="00355A56">
            <w:pPr>
              <w:jc w:val="both"/>
              <w:rPr>
                <w:rFonts w:cstheme="minorHAnsi"/>
              </w:rPr>
            </w:pPr>
          </w:p>
          <w:p w14:paraId="2F1B5B68" w14:textId="77777777" w:rsidR="00DD13BF" w:rsidRPr="0005785C" w:rsidRDefault="00DD13BF" w:rsidP="00355A56">
            <w:pPr>
              <w:jc w:val="both"/>
              <w:rPr>
                <w:rFonts w:ascii="Calibri" w:eastAsia="Calibri" w:hAnsi="Calibri" w:cs="Calibri"/>
              </w:rPr>
            </w:pPr>
            <w:r>
              <w:t>In addition, the said projects are important for connecting the outskirts with ports within the EU Strategy for the Adriatic-Ionian Region (EUSAIR), while for the implementation of the EU Strategy for the Alpine Region (EUSALP), they are important in the light of better cross-border connections and the development of intermodal transport.</w:t>
            </w:r>
          </w:p>
        </w:tc>
      </w:tr>
    </w:tbl>
    <w:p w14:paraId="400F91C5" w14:textId="77777777" w:rsidR="00DD13BF" w:rsidRDefault="00DD13BF" w:rsidP="00DD13BF">
      <w:pPr>
        <w:rPr>
          <w:sz w:val="17"/>
        </w:rPr>
      </w:pPr>
    </w:p>
    <w:p w14:paraId="30581613" w14:textId="77777777" w:rsidR="00DD13BF" w:rsidRDefault="00DD13BF" w:rsidP="00DD13BF">
      <w:pPr>
        <w:ind w:left="1415"/>
        <w:rPr>
          <w:spacing w:val="-3"/>
        </w:rPr>
      </w:pPr>
      <w:r>
        <w:t>Planned use of financial instruments:</w:t>
      </w:r>
    </w:p>
    <w:p w14:paraId="3E5392C5"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54C323CA" w14:textId="77777777" w:rsidTr="00355A56">
        <w:tc>
          <w:tcPr>
            <w:tcW w:w="12758" w:type="dxa"/>
          </w:tcPr>
          <w:p w14:paraId="27326E6D"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w:t>
            </w:r>
          </w:p>
        </w:tc>
      </w:tr>
    </w:tbl>
    <w:p w14:paraId="5D40CE34" w14:textId="77777777" w:rsidR="00DD13BF" w:rsidRDefault="00DD13BF" w:rsidP="00DD13BF">
      <w:pPr>
        <w:rPr>
          <w:sz w:val="20"/>
        </w:rPr>
      </w:pPr>
    </w:p>
    <w:p w14:paraId="1A338838" w14:textId="77777777" w:rsidR="00DD13BF" w:rsidRDefault="00DD13BF" w:rsidP="00DD13BF">
      <w:pPr>
        <w:rPr>
          <w:sz w:val="20"/>
        </w:rPr>
      </w:pPr>
    </w:p>
    <w:p w14:paraId="45FD9254" w14:textId="77777777" w:rsidR="00DD13BF" w:rsidRDefault="00DD13BF" w:rsidP="00DD13BF">
      <w:pPr>
        <w:pStyle w:val="Naslov5"/>
        <w:spacing w:before="0"/>
      </w:pPr>
      <w:r>
        <w:t>Indicators</w:t>
      </w:r>
    </w:p>
    <w:p w14:paraId="2BE36D05" w14:textId="77777777" w:rsidR="00DD13BF" w:rsidRDefault="00DD13BF" w:rsidP="00DD13BF"/>
    <w:p w14:paraId="4EDA1DC0" w14:textId="77777777" w:rsidR="00DD13BF" w:rsidRDefault="00DD13BF" w:rsidP="00DD13BF">
      <w:pPr>
        <w:ind w:left="379"/>
      </w:pPr>
      <w:r>
        <w:t>Table 2: Impact indicators</w:t>
      </w:r>
    </w:p>
    <w:p w14:paraId="20B42CCA" w14:textId="77777777" w:rsidR="00DD13BF" w:rsidRDefault="00DD13BF" w:rsidP="00DD13BF">
      <w:pPr>
        <w:rPr>
          <w:sz w:val="21"/>
        </w:rPr>
      </w:pPr>
    </w:p>
    <w:tbl>
      <w:tblPr>
        <w:tblStyle w:val="NormalTable0"/>
        <w:tblW w:w="14025"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276"/>
        <w:gridCol w:w="708"/>
        <w:gridCol w:w="1701"/>
        <w:gridCol w:w="778"/>
        <w:gridCol w:w="4609"/>
        <w:gridCol w:w="1276"/>
        <w:gridCol w:w="1418"/>
        <w:gridCol w:w="1134"/>
      </w:tblGrid>
      <w:tr w:rsidR="00DD13BF" w14:paraId="2F590106" w14:textId="77777777" w:rsidTr="00355A56">
        <w:trPr>
          <w:trHeight w:val="254"/>
        </w:trPr>
        <w:tc>
          <w:tcPr>
            <w:tcW w:w="1125" w:type="dxa"/>
            <w:vAlign w:val="center"/>
          </w:tcPr>
          <w:p w14:paraId="3B26F349" w14:textId="77777777" w:rsidR="00DD13BF" w:rsidRDefault="00DD13BF" w:rsidP="00355A56">
            <w:pPr>
              <w:pStyle w:val="TableParagraph"/>
              <w:ind w:right="82"/>
            </w:pPr>
            <w:r>
              <w:t>Priority</w:t>
            </w:r>
          </w:p>
        </w:tc>
        <w:tc>
          <w:tcPr>
            <w:tcW w:w="1276" w:type="dxa"/>
            <w:vAlign w:val="center"/>
          </w:tcPr>
          <w:p w14:paraId="6050104F" w14:textId="77777777" w:rsidR="00DD13BF" w:rsidRDefault="00DD13BF" w:rsidP="00355A56">
            <w:pPr>
              <w:pStyle w:val="TableParagraph"/>
            </w:pPr>
            <w:r>
              <w:t>Specific objective</w:t>
            </w:r>
          </w:p>
        </w:tc>
        <w:tc>
          <w:tcPr>
            <w:tcW w:w="708" w:type="dxa"/>
            <w:vAlign w:val="center"/>
          </w:tcPr>
          <w:p w14:paraId="7A8E89E7" w14:textId="77777777" w:rsidR="00DD13BF" w:rsidRDefault="00DD13BF" w:rsidP="00355A56">
            <w:pPr>
              <w:pStyle w:val="TableParagraph"/>
            </w:pPr>
            <w:r>
              <w:t>Fund</w:t>
            </w:r>
          </w:p>
        </w:tc>
        <w:tc>
          <w:tcPr>
            <w:tcW w:w="1701" w:type="dxa"/>
            <w:vAlign w:val="center"/>
          </w:tcPr>
          <w:p w14:paraId="494D4FA4" w14:textId="77777777" w:rsidR="00DD13BF" w:rsidRDefault="00DD13BF" w:rsidP="00355A56">
            <w:pPr>
              <w:pStyle w:val="TableParagraph"/>
            </w:pPr>
            <w:r>
              <w:t>Category of region</w:t>
            </w:r>
          </w:p>
        </w:tc>
        <w:tc>
          <w:tcPr>
            <w:tcW w:w="778" w:type="dxa"/>
            <w:vAlign w:val="center"/>
          </w:tcPr>
          <w:p w14:paraId="35F50FA2" w14:textId="77777777" w:rsidR="00DD13BF" w:rsidRPr="00347461" w:rsidRDefault="00DD13BF" w:rsidP="00355A56">
            <w:pPr>
              <w:pStyle w:val="TableParagraph"/>
              <w:rPr>
                <w:sz w:val="20"/>
              </w:rPr>
            </w:pPr>
            <w:r>
              <w:t>ID</w:t>
            </w:r>
          </w:p>
        </w:tc>
        <w:tc>
          <w:tcPr>
            <w:tcW w:w="4609" w:type="dxa"/>
            <w:vAlign w:val="center"/>
          </w:tcPr>
          <w:p w14:paraId="15659784" w14:textId="77777777" w:rsidR="00DD13BF" w:rsidRPr="00347461" w:rsidRDefault="00DD13BF" w:rsidP="00355A56">
            <w:pPr>
              <w:pStyle w:val="TableParagraph"/>
              <w:rPr>
                <w:sz w:val="20"/>
              </w:rPr>
            </w:pPr>
            <w:r>
              <w:t>Indicators</w:t>
            </w:r>
          </w:p>
        </w:tc>
        <w:tc>
          <w:tcPr>
            <w:tcW w:w="1276" w:type="dxa"/>
            <w:vAlign w:val="center"/>
          </w:tcPr>
          <w:p w14:paraId="75725860" w14:textId="77777777" w:rsidR="00DD13BF" w:rsidRPr="00347461" w:rsidRDefault="00DD13BF" w:rsidP="00355A56">
            <w:pPr>
              <w:pStyle w:val="TableParagraph"/>
              <w:rPr>
                <w:sz w:val="20"/>
              </w:rPr>
            </w:pPr>
            <w:r>
              <w:t>Measurement unit</w:t>
            </w:r>
          </w:p>
        </w:tc>
        <w:tc>
          <w:tcPr>
            <w:tcW w:w="1418" w:type="dxa"/>
            <w:vAlign w:val="center"/>
          </w:tcPr>
          <w:p w14:paraId="3EB54845" w14:textId="77777777" w:rsidR="00DD13BF" w:rsidRPr="00347461" w:rsidRDefault="00DD13BF" w:rsidP="00355A56">
            <w:pPr>
              <w:pStyle w:val="TableParagraph"/>
              <w:rPr>
                <w:sz w:val="20"/>
              </w:rPr>
            </w:pPr>
            <w:r>
              <w:t>Milestone (2014)</w:t>
            </w:r>
          </w:p>
        </w:tc>
        <w:tc>
          <w:tcPr>
            <w:tcW w:w="1134" w:type="dxa"/>
            <w:vAlign w:val="center"/>
          </w:tcPr>
          <w:p w14:paraId="4BA26066" w14:textId="77777777" w:rsidR="00DD13BF" w:rsidRDefault="00DD13BF" w:rsidP="00355A56">
            <w:pPr>
              <w:pStyle w:val="TableParagraph"/>
            </w:pPr>
            <w:r>
              <w:t>Target (2029)</w:t>
            </w:r>
          </w:p>
        </w:tc>
      </w:tr>
      <w:tr w:rsidR="00DD13BF" w14:paraId="5CDEE859" w14:textId="77777777" w:rsidTr="00355A56">
        <w:trPr>
          <w:trHeight w:val="367"/>
        </w:trPr>
        <w:tc>
          <w:tcPr>
            <w:tcW w:w="1125" w:type="dxa"/>
          </w:tcPr>
          <w:p w14:paraId="0489001A" w14:textId="77777777" w:rsidR="00DD13BF" w:rsidRPr="00DD1BF0" w:rsidRDefault="00DD13BF" w:rsidP="00355A56">
            <w:pPr>
              <w:pStyle w:val="TableParagraph"/>
              <w:rPr>
                <w:sz w:val="20"/>
              </w:rPr>
            </w:pPr>
            <w:r>
              <w:rPr>
                <w:sz w:val="20"/>
              </w:rPr>
              <w:t>5</w:t>
            </w:r>
          </w:p>
        </w:tc>
        <w:tc>
          <w:tcPr>
            <w:tcW w:w="1276" w:type="dxa"/>
          </w:tcPr>
          <w:p w14:paraId="16D58C69" w14:textId="77777777" w:rsidR="00DD13BF" w:rsidRDefault="00DD13BF" w:rsidP="00355A56">
            <w:pPr>
              <w:pStyle w:val="TableParagraph"/>
              <w:ind w:left="-5" w:firstLine="5"/>
              <w:rPr>
                <w:sz w:val="20"/>
              </w:rPr>
            </w:pPr>
            <w:r>
              <w:rPr>
                <w:color w:val="000000"/>
                <w:sz w:val="20"/>
              </w:rPr>
              <w:t>RSO3.1</w:t>
            </w:r>
          </w:p>
        </w:tc>
        <w:tc>
          <w:tcPr>
            <w:tcW w:w="708" w:type="dxa"/>
          </w:tcPr>
          <w:p w14:paraId="19785D02" w14:textId="77777777" w:rsidR="00DD13BF" w:rsidRPr="00AA63AC" w:rsidRDefault="00DD13BF" w:rsidP="00355A56">
            <w:pPr>
              <w:pStyle w:val="TableParagraph"/>
              <w:rPr>
                <w:color w:val="000000"/>
                <w:sz w:val="20"/>
              </w:rPr>
            </w:pPr>
            <w:r>
              <w:rPr>
                <w:color w:val="000000"/>
                <w:sz w:val="20"/>
              </w:rPr>
              <w:t>CF</w:t>
            </w:r>
          </w:p>
        </w:tc>
        <w:tc>
          <w:tcPr>
            <w:tcW w:w="1701" w:type="dxa"/>
          </w:tcPr>
          <w:p w14:paraId="3994C66E" w14:textId="77777777" w:rsidR="00DD13BF" w:rsidRDefault="00DD13BF" w:rsidP="00355A56">
            <w:pPr>
              <w:pStyle w:val="TableParagraph"/>
              <w:rPr>
                <w:color w:val="000000"/>
                <w:sz w:val="20"/>
              </w:rPr>
            </w:pPr>
            <w:r>
              <w:rPr>
                <w:color w:val="000000"/>
                <w:sz w:val="20"/>
              </w:rPr>
              <w:t>Entire Slovenia</w:t>
            </w:r>
          </w:p>
        </w:tc>
        <w:tc>
          <w:tcPr>
            <w:tcW w:w="778" w:type="dxa"/>
          </w:tcPr>
          <w:p w14:paraId="1B8D465A" w14:textId="77777777" w:rsidR="00DD13BF" w:rsidRPr="00AA63AC" w:rsidRDefault="00DD13BF" w:rsidP="00355A56">
            <w:pPr>
              <w:pStyle w:val="TableParagraph"/>
              <w:rPr>
                <w:sz w:val="20"/>
              </w:rPr>
            </w:pPr>
            <w:r>
              <w:rPr>
                <w:sz w:val="20"/>
              </w:rPr>
              <w:t>RCO45</w:t>
            </w:r>
          </w:p>
        </w:tc>
        <w:tc>
          <w:tcPr>
            <w:tcW w:w="4609" w:type="dxa"/>
          </w:tcPr>
          <w:p w14:paraId="15D09CC0" w14:textId="77777777" w:rsidR="00DD13BF" w:rsidRDefault="00DD13BF" w:rsidP="00355A56">
            <w:pPr>
              <w:pStyle w:val="TableParagraph"/>
              <w:rPr>
                <w:sz w:val="20"/>
              </w:rPr>
            </w:pPr>
            <w:r>
              <w:rPr>
                <w:sz w:val="20"/>
              </w:rPr>
              <w:t>Length of roads reconstructed or modernised – TEN-T</w:t>
            </w:r>
          </w:p>
        </w:tc>
        <w:tc>
          <w:tcPr>
            <w:tcW w:w="1276" w:type="dxa"/>
          </w:tcPr>
          <w:p w14:paraId="7F1A321C" w14:textId="77777777" w:rsidR="00DD13BF" w:rsidRDefault="00DD13BF" w:rsidP="00355A56">
            <w:pPr>
              <w:pStyle w:val="TableParagraph"/>
              <w:rPr>
                <w:sz w:val="20"/>
              </w:rPr>
            </w:pPr>
            <w:r>
              <w:rPr>
                <w:sz w:val="20"/>
              </w:rPr>
              <w:t>Km</w:t>
            </w:r>
          </w:p>
        </w:tc>
        <w:tc>
          <w:tcPr>
            <w:tcW w:w="1418" w:type="dxa"/>
          </w:tcPr>
          <w:p w14:paraId="2B015D80" w14:textId="77777777" w:rsidR="00DD13BF" w:rsidRDefault="00DD13BF" w:rsidP="00355A56">
            <w:pPr>
              <w:pStyle w:val="TableParagraph"/>
              <w:rPr>
                <w:sz w:val="20"/>
              </w:rPr>
            </w:pPr>
            <w:r>
              <w:rPr>
                <w:sz w:val="20"/>
              </w:rPr>
              <w:t>0</w:t>
            </w:r>
          </w:p>
        </w:tc>
        <w:tc>
          <w:tcPr>
            <w:tcW w:w="1134" w:type="dxa"/>
          </w:tcPr>
          <w:p w14:paraId="6E6CBEC1" w14:textId="77777777" w:rsidR="00DD13BF" w:rsidRDefault="00DD13BF" w:rsidP="00355A56">
            <w:pPr>
              <w:pStyle w:val="TableParagraph"/>
              <w:rPr>
                <w:sz w:val="20"/>
              </w:rPr>
            </w:pPr>
            <w:r>
              <w:rPr>
                <w:sz w:val="20"/>
              </w:rPr>
              <w:t>4</w:t>
            </w:r>
          </w:p>
        </w:tc>
      </w:tr>
      <w:tr w:rsidR="00DD13BF" w14:paraId="1ED4491A" w14:textId="77777777" w:rsidTr="00355A56">
        <w:trPr>
          <w:trHeight w:val="367"/>
        </w:trPr>
        <w:tc>
          <w:tcPr>
            <w:tcW w:w="1125" w:type="dxa"/>
          </w:tcPr>
          <w:p w14:paraId="6E849072" w14:textId="77777777" w:rsidR="00DD13BF" w:rsidRDefault="00DD13BF" w:rsidP="00355A56">
            <w:pPr>
              <w:pStyle w:val="TableParagraph"/>
              <w:rPr>
                <w:sz w:val="20"/>
              </w:rPr>
            </w:pPr>
            <w:r>
              <w:rPr>
                <w:sz w:val="20"/>
              </w:rPr>
              <w:t>5</w:t>
            </w:r>
          </w:p>
        </w:tc>
        <w:tc>
          <w:tcPr>
            <w:tcW w:w="1276" w:type="dxa"/>
          </w:tcPr>
          <w:p w14:paraId="6EA657C1" w14:textId="77777777" w:rsidR="00DD13BF" w:rsidRPr="00347461" w:rsidRDefault="00DD13BF" w:rsidP="00355A56">
            <w:pPr>
              <w:pStyle w:val="TableParagraph"/>
              <w:rPr>
                <w:sz w:val="20"/>
              </w:rPr>
            </w:pPr>
            <w:r>
              <w:rPr>
                <w:color w:val="000000"/>
                <w:sz w:val="20"/>
              </w:rPr>
              <w:t>RSO3.1</w:t>
            </w:r>
          </w:p>
        </w:tc>
        <w:tc>
          <w:tcPr>
            <w:tcW w:w="708" w:type="dxa"/>
          </w:tcPr>
          <w:p w14:paraId="7E816824" w14:textId="77777777" w:rsidR="00DD13BF" w:rsidRPr="00AA63AC" w:rsidRDefault="00DD13BF" w:rsidP="00355A56">
            <w:pPr>
              <w:pStyle w:val="TableParagraph"/>
              <w:rPr>
                <w:sz w:val="20"/>
              </w:rPr>
            </w:pPr>
            <w:r>
              <w:rPr>
                <w:color w:val="000000"/>
                <w:sz w:val="20"/>
              </w:rPr>
              <w:t>CF</w:t>
            </w:r>
          </w:p>
        </w:tc>
        <w:tc>
          <w:tcPr>
            <w:tcW w:w="1701" w:type="dxa"/>
          </w:tcPr>
          <w:p w14:paraId="458535F9" w14:textId="77777777" w:rsidR="00DD13BF" w:rsidRPr="00AA63AC" w:rsidRDefault="00DD13BF" w:rsidP="00355A56">
            <w:pPr>
              <w:pStyle w:val="TableParagraph"/>
              <w:rPr>
                <w:sz w:val="20"/>
              </w:rPr>
            </w:pPr>
            <w:r>
              <w:rPr>
                <w:color w:val="000000"/>
                <w:sz w:val="20"/>
              </w:rPr>
              <w:t>Entire Slovenia</w:t>
            </w:r>
          </w:p>
        </w:tc>
        <w:tc>
          <w:tcPr>
            <w:tcW w:w="778" w:type="dxa"/>
          </w:tcPr>
          <w:p w14:paraId="227465E7" w14:textId="77777777" w:rsidR="00DD13BF" w:rsidRPr="00AA63AC" w:rsidRDefault="00DD13BF" w:rsidP="00355A56">
            <w:pPr>
              <w:pStyle w:val="TableParagraph"/>
              <w:rPr>
                <w:sz w:val="20"/>
              </w:rPr>
            </w:pPr>
            <w:r>
              <w:rPr>
                <w:sz w:val="20"/>
              </w:rPr>
              <w:t>RCO47</w:t>
            </w:r>
          </w:p>
        </w:tc>
        <w:tc>
          <w:tcPr>
            <w:tcW w:w="4609" w:type="dxa"/>
          </w:tcPr>
          <w:p w14:paraId="66761D97" w14:textId="77777777" w:rsidR="00DD13BF" w:rsidRPr="00AA63AC" w:rsidRDefault="00DD13BF" w:rsidP="00355A56">
            <w:pPr>
              <w:pStyle w:val="TableParagraph"/>
              <w:rPr>
                <w:sz w:val="20"/>
              </w:rPr>
            </w:pPr>
            <w:r>
              <w:rPr>
                <w:sz w:val="20"/>
              </w:rPr>
              <w:t>Length of new or upgraded rail – TEN-T</w:t>
            </w:r>
          </w:p>
        </w:tc>
        <w:tc>
          <w:tcPr>
            <w:tcW w:w="1276" w:type="dxa"/>
          </w:tcPr>
          <w:p w14:paraId="5C5A1F6B" w14:textId="77777777" w:rsidR="00DD13BF" w:rsidRPr="00AA63AC" w:rsidRDefault="00DD13BF" w:rsidP="00355A56">
            <w:pPr>
              <w:pStyle w:val="TableParagraph"/>
              <w:rPr>
                <w:sz w:val="20"/>
              </w:rPr>
            </w:pPr>
            <w:r>
              <w:rPr>
                <w:sz w:val="20"/>
              </w:rPr>
              <w:t>Km</w:t>
            </w:r>
          </w:p>
        </w:tc>
        <w:tc>
          <w:tcPr>
            <w:tcW w:w="1418" w:type="dxa"/>
          </w:tcPr>
          <w:p w14:paraId="0874257D" w14:textId="77777777" w:rsidR="00DD13BF" w:rsidRPr="00347461" w:rsidRDefault="00DD13BF" w:rsidP="00355A56">
            <w:pPr>
              <w:pStyle w:val="TableParagraph"/>
              <w:rPr>
                <w:sz w:val="20"/>
              </w:rPr>
            </w:pPr>
            <w:r>
              <w:rPr>
                <w:sz w:val="20"/>
              </w:rPr>
              <w:t>0</w:t>
            </w:r>
          </w:p>
        </w:tc>
        <w:tc>
          <w:tcPr>
            <w:tcW w:w="1134" w:type="dxa"/>
          </w:tcPr>
          <w:p w14:paraId="6ACEE92D" w14:textId="77777777" w:rsidR="00DD13BF" w:rsidRDefault="00DD13BF" w:rsidP="00355A56">
            <w:pPr>
              <w:pStyle w:val="TableParagraph"/>
              <w:spacing w:line="259" w:lineRule="auto"/>
              <w:rPr>
                <w:sz w:val="20"/>
              </w:rPr>
            </w:pPr>
            <w:r>
              <w:rPr>
                <w:sz w:val="20"/>
              </w:rPr>
              <w:t>33.7</w:t>
            </w:r>
          </w:p>
        </w:tc>
      </w:tr>
    </w:tbl>
    <w:p w14:paraId="510537B2" w14:textId="77777777" w:rsidR="00DD13BF" w:rsidRDefault="00DD13BF" w:rsidP="00DD13BF">
      <w:pPr>
        <w:rPr>
          <w:sz w:val="24"/>
        </w:rPr>
      </w:pPr>
    </w:p>
    <w:p w14:paraId="50368BEB" w14:textId="77777777" w:rsidR="00DD13BF" w:rsidRPr="00200EDD" w:rsidRDefault="00DD13BF" w:rsidP="00DD13BF">
      <w:pPr>
        <w:ind w:left="379"/>
      </w:pPr>
      <w:r>
        <w:t>Table 3: Result indicators</w:t>
      </w:r>
    </w:p>
    <w:p w14:paraId="57A2918F" w14:textId="77777777" w:rsidR="00DD13BF" w:rsidRPr="00200EDD" w:rsidRDefault="00DD13BF" w:rsidP="00DD13BF">
      <w:pPr>
        <w:rPr>
          <w:sz w:val="21"/>
        </w:rPr>
      </w:pPr>
    </w:p>
    <w:tbl>
      <w:tblPr>
        <w:tblStyle w:val="NormalTable0"/>
        <w:tblW w:w="14024"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992"/>
        <w:gridCol w:w="696"/>
        <w:gridCol w:w="1572"/>
        <w:gridCol w:w="709"/>
        <w:gridCol w:w="2552"/>
        <w:gridCol w:w="1701"/>
        <w:gridCol w:w="1134"/>
        <w:gridCol w:w="993"/>
        <w:gridCol w:w="1133"/>
        <w:gridCol w:w="851"/>
        <w:gridCol w:w="708"/>
      </w:tblGrid>
      <w:tr w:rsidR="00DD13BF" w:rsidRPr="00200EDD" w14:paraId="7320EDB4" w14:textId="77777777" w:rsidTr="00355A56">
        <w:trPr>
          <w:trHeight w:val="353"/>
        </w:trPr>
        <w:tc>
          <w:tcPr>
            <w:tcW w:w="983" w:type="dxa"/>
          </w:tcPr>
          <w:p w14:paraId="12B6F6F7" w14:textId="77777777" w:rsidR="00DD13BF" w:rsidRPr="00200EDD" w:rsidRDefault="00DD13BF" w:rsidP="00355A56">
            <w:pPr>
              <w:pStyle w:val="TableParagraph"/>
              <w:rPr>
                <w:sz w:val="20"/>
              </w:rPr>
            </w:pPr>
            <w:r>
              <w:rPr>
                <w:sz w:val="20"/>
              </w:rPr>
              <w:t>Priority</w:t>
            </w:r>
          </w:p>
        </w:tc>
        <w:tc>
          <w:tcPr>
            <w:tcW w:w="992" w:type="dxa"/>
          </w:tcPr>
          <w:p w14:paraId="102D174F" w14:textId="77777777" w:rsidR="00DD13BF" w:rsidRPr="00200EDD" w:rsidRDefault="00DD13BF" w:rsidP="00355A56">
            <w:pPr>
              <w:pStyle w:val="TableParagraph"/>
              <w:rPr>
                <w:sz w:val="20"/>
              </w:rPr>
            </w:pPr>
            <w:r>
              <w:rPr>
                <w:sz w:val="20"/>
              </w:rPr>
              <w:t>Specific objective</w:t>
            </w:r>
          </w:p>
        </w:tc>
        <w:tc>
          <w:tcPr>
            <w:tcW w:w="696" w:type="dxa"/>
          </w:tcPr>
          <w:p w14:paraId="2CE3E04E" w14:textId="77777777" w:rsidR="00DD13BF" w:rsidRPr="00200EDD" w:rsidRDefault="00DD13BF" w:rsidP="00355A56">
            <w:pPr>
              <w:pStyle w:val="TableParagraph"/>
              <w:rPr>
                <w:sz w:val="20"/>
              </w:rPr>
            </w:pPr>
            <w:r>
              <w:rPr>
                <w:sz w:val="20"/>
              </w:rPr>
              <w:t>Fund</w:t>
            </w:r>
          </w:p>
        </w:tc>
        <w:tc>
          <w:tcPr>
            <w:tcW w:w="1572" w:type="dxa"/>
          </w:tcPr>
          <w:p w14:paraId="3D20E96D" w14:textId="77777777" w:rsidR="00DD13BF" w:rsidRPr="00200EDD" w:rsidRDefault="00DD13BF" w:rsidP="00355A56">
            <w:pPr>
              <w:pStyle w:val="TableParagraph"/>
              <w:rPr>
                <w:sz w:val="20"/>
              </w:rPr>
            </w:pPr>
            <w:r>
              <w:rPr>
                <w:sz w:val="20"/>
              </w:rPr>
              <w:t>Category of region</w:t>
            </w:r>
          </w:p>
        </w:tc>
        <w:tc>
          <w:tcPr>
            <w:tcW w:w="709" w:type="dxa"/>
          </w:tcPr>
          <w:p w14:paraId="32A7D350" w14:textId="77777777" w:rsidR="00DD13BF" w:rsidRPr="00200EDD" w:rsidRDefault="00DD13BF" w:rsidP="00355A56">
            <w:pPr>
              <w:pStyle w:val="TableParagraph"/>
              <w:rPr>
                <w:sz w:val="20"/>
              </w:rPr>
            </w:pPr>
            <w:r>
              <w:rPr>
                <w:sz w:val="20"/>
              </w:rPr>
              <w:t>ID</w:t>
            </w:r>
          </w:p>
        </w:tc>
        <w:tc>
          <w:tcPr>
            <w:tcW w:w="2552" w:type="dxa"/>
          </w:tcPr>
          <w:p w14:paraId="6B62804C" w14:textId="77777777" w:rsidR="00DD13BF" w:rsidRPr="00200EDD" w:rsidRDefault="00DD13BF" w:rsidP="00355A56">
            <w:pPr>
              <w:pStyle w:val="TableParagraph"/>
              <w:rPr>
                <w:sz w:val="20"/>
              </w:rPr>
            </w:pPr>
            <w:r>
              <w:rPr>
                <w:sz w:val="20"/>
              </w:rPr>
              <w:t>Indicator</w:t>
            </w:r>
          </w:p>
        </w:tc>
        <w:tc>
          <w:tcPr>
            <w:tcW w:w="1701" w:type="dxa"/>
          </w:tcPr>
          <w:p w14:paraId="3CE0D474" w14:textId="77777777" w:rsidR="00DD13BF" w:rsidRPr="00200EDD" w:rsidRDefault="00DD13BF" w:rsidP="00355A56">
            <w:pPr>
              <w:pStyle w:val="TableParagraph"/>
              <w:rPr>
                <w:sz w:val="20"/>
              </w:rPr>
            </w:pPr>
            <w:r>
              <w:rPr>
                <w:sz w:val="20"/>
              </w:rPr>
              <w:t>Measurement unit</w:t>
            </w:r>
          </w:p>
        </w:tc>
        <w:tc>
          <w:tcPr>
            <w:tcW w:w="1134" w:type="dxa"/>
          </w:tcPr>
          <w:p w14:paraId="18432EE6" w14:textId="77777777" w:rsidR="00DD13BF" w:rsidRPr="00200EDD" w:rsidRDefault="00DD13BF" w:rsidP="00355A56">
            <w:pPr>
              <w:pStyle w:val="TableParagraph"/>
              <w:rPr>
                <w:sz w:val="20"/>
              </w:rPr>
            </w:pPr>
            <w:r>
              <w:rPr>
                <w:sz w:val="20"/>
              </w:rPr>
              <w:t>Baseline or reference value</w:t>
            </w:r>
          </w:p>
        </w:tc>
        <w:tc>
          <w:tcPr>
            <w:tcW w:w="993" w:type="dxa"/>
          </w:tcPr>
          <w:p w14:paraId="646AEF57" w14:textId="77777777" w:rsidR="00DD13BF" w:rsidRPr="00200EDD" w:rsidRDefault="00DD13BF" w:rsidP="00355A56">
            <w:pPr>
              <w:pStyle w:val="TableParagraph"/>
              <w:rPr>
                <w:sz w:val="20"/>
              </w:rPr>
            </w:pPr>
            <w:r>
              <w:rPr>
                <w:sz w:val="20"/>
              </w:rPr>
              <w:t>Reference year</w:t>
            </w:r>
          </w:p>
        </w:tc>
        <w:tc>
          <w:tcPr>
            <w:tcW w:w="1133" w:type="dxa"/>
          </w:tcPr>
          <w:p w14:paraId="756CC8E0" w14:textId="77777777" w:rsidR="00DD13BF" w:rsidRPr="00200EDD" w:rsidRDefault="00DD13BF" w:rsidP="00355A56">
            <w:pPr>
              <w:pStyle w:val="TableParagraph"/>
              <w:rPr>
                <w:sz w:val="20"/>
              </w:rPr>
            </w:pPr>
            <w:r>
              <w:rPr>
                <w:sz w:val="20"/>
              </w:rPr>
              <w:t>Target (2029)</w:t>
            </w:r>
          </w:p>
        </w:tc>
        <w:tc>
          <w:tcPr>
            <w:tcW w:w="851" w:type="dxa"/>
          </w:tcPr>
          <w:p w14:paraId="69632545" w14:textId="77777777" w:rsidR="00DD13BF" w:rsidRPr="00200EDD" w:rsidRDefault="00DD13BF" w:rsidP="00355A56">
            <w:pPr>
              <w:pStyle w:val="TableParagraph"/>
              <w:rPr>
                <w:sz w:val="20"/>
              </w:rPr>
            </w:pPr>
            <w:r>
              <w:rPr>
                <w:sz w:val="20"/>
              </w:rPr>
              <w:t>Source of data</w:t>
            </w:r>
          </w:p>
        </w:tc>
        <w:tc>
          <w:tcPr>
            <w:tcW w:w="708" w:type="dxa"/>
          </w:tcPr>
          <w:p w14:paraId="1B99B77D" w14:textId="77777777" w:rsidR="00DD13BF" w:rsidRPr="00200EDD" w:rsidRDefault="00DD13BF" w:rsidP="00355A56">
            <w:pPr>
              <w:pStyle w:val="TableParagraph"/>
              <w:rPr>
                <w:sz w:val="20"/>
              </w:rPr>
            </w:pPr>
            <w:r>
              <w:rPr>
                <w:sz w:val="20"/>
              </w:rPr>
              <w:t>Notes</w:t>
            </w:r>
          </w:p>
        </w:tc>
      </w:tr>
      <w:tr w:rsidR="00DD13BF" w:rsidRPr="00200EDD" w14:paraId="51ADC9D5" w14:textId="77777777" w:rsidTr="00355A56">
        <w:trPr>
          <w:trHeight w:val="353"/>
        </w:trPr>
        <w:tc>
          <w:tcPr>
            <w:tcW w:w="983" w:type="dxa"/>
          </w:tcPr>
          <w:p w14:paraId="514C148A" w14:textId="77777777" w:rsidR="00DD13BF" w:rsidRPr="00200EDD" w:rsidRDefault="00DD13BF" w:rsidP="00355A56">
            <w:pPr>
              <w:pStyle w:val="TableParagraph"/>
              <w:rPr>
                <w:sz w:val="20"/>
              </w:rPr>
            </w:pPr>
            <w:r>
              <w:rPr>
                <w:sz w:val="20"/>
              </w:rPr>
              <w:t>5</w:t>
            </w:r>
          </w:p>
        </w:tc>
        <w:tc>
          <w:tcPr>
            <w:tcW w:w="992" w:type="dxa"/>
          </w:tcPr>
          <w:p w14:paraId="6EBCDF9A" w14:textId="77777777" w:rsidR="00DD13BF" w:rsidRPr="00200EDD" w:rsidRDefault="00DD13BF" w:rsidP="00355A56">
            <w:pPr>
              <w:pStyle w:val="TableParagraph"/>
              <w:rPr>
                <w:sz w:val="20"/>
              </w:rPr>
            </w:pPr>
            <w:r>
              <w:rPr>
                <w:color w:val="000000"/>
                <w:sz w:val="20"/>
              </w:rPr>
              <w:t>RSO3.1</w:t>
            </w:r>
          </w:p>
        </w:tc>
        <w:tc>
          <w:tcPr>
            <w:tcW w:w="696" w:type="dxa"/>
          </w:tcPr>
          <w:p w14:paraId="5EDAFF3E" w14:textId="77777777" w:rsidR="00DD13BF" w:rsidRPr="00200EDD" w:rsidRDefault="00DD13BF" w:rsidP="00355A56">
            <w:pPr>
              <w:pStyle w:val="TableParagraph"/>
              <w:rPr>
                <w:sz w:val="20"/>
              </w:rPr>
            </w:pPr>
            <w:r>
              <w:rPr>
                <w:color w:val="000000"/>
                <w:sz w:val="20"/>
              </w:rPr>
              <w:t>CF</w:t>
            </w:r>
          </w:p>
        </w:tc>
        <w:tc>
          <w:tcPr>
            <w:tcW w:w="1572" w:type="dxa"/>
          </w:tcPr>
          <w:p w14:paraId="127EE7BC" w14:textId="77777777" w:rsidR="00DD13BF" w:rsidRPr="00200EDD" w:rsidRDefault="00DD13BF" w:rsidP="00355A56">
            <w:pPr>
              <w:pStyle w:val="TableParagraph"/>
              <w:rPr>
                <w:sz w:val="20"/>
              </w:rPr>
            </w:pPr>
            <w:r>
              <w:rPr>
                <w:color w:val="000000"/>
                <w:sz w:val="20"/>
              </w:rPr>
              <w:t>Entire Slovenia</w:t>
            </w:r>
          </w:p>
        </w:tc>
        <w:tc>
          <w:tcPr>
            <w:tcW w:w="709" w:type="dxa"/>
          </w:tcPr>
          <w:p w14:paraId="298CD497" w14:textId="77777777" w:rsidR="00DD13BF" w:rsidRPr="00200EDD" w:rsidRDefault="00DD13BF" w:rsidP="00355A56">
            <w:pPr>
              <w:pStyle w:val="TableParagraph"/>
              <w:rPr>
                <w:sz w:val="20"/>
              </w:rPr>
            </w:pPr>
            <w:r>
              <w:rPr>
                <w:sz w:val="20"/>
              </w:rPr>
              <w:t>RCR59</w:t>
            </w:r>
          </w:p>
        </w:tc>
        <w:tc>
          <w:tcPr>
            <w:tcW w:w="2552" w:type="dxa"/>
          </w:tcPr>
          <w:p w14:paraId="1AC46EAA" w14:textId="77777777" w:rsidR="00DD13BF" w:rsidRPr="00200EDD" w:rsidRDefault="00DD13BF" w:rsidP="00355A56">
            <w:pPr>
              <w:pStyle w:val="TableParagraph"/>
              <w:rPr>
                <w:sz w:val="20"/>
              </w:rPr>
            </w:pPr>
            <w:r>
              <w:rPr>
                <w:sz w:val="20"/>
              </w:rPr>
              <w:t>Freight transport on rail</w:t>
            </w:r>
          </w:p>
        </w:tc>
        <w:tc>
          <w:tcPr>
            <w:tcW w:w="1701" w:type="dxa"/>
          </w:tcPr>
          <w:p w14:paraId="7CD62002" w14:textId="77777777" w:rsidR="00DD13BF" w:rsidRPr="00200EDD" w:rsidRDefault="00DD13BF" w:rsidP="00355A56">
            <w:pPr>
              <w:pStyle w:val="TableParagraph"/>
              <w:rPr>
                <w:sz w:val="20"/>
              </w:rPr>
            </w:pPr>
            <w:r>
              <w:rPr>
                <w:sz w:val="20"/>
              </w:rPr>
              <w:t>Tonnes-km/year</w:t>
            </w:r>
          </w:p>
        </w:tc>
        <w:tc>
          <w:tcPr>
            <w:tcW w:w="1134" w:type="dxa"/>
          </w:tcPr>
          <w:p w14:paraId="3D96EC08" w14:textId="77777777" w:rsidR="00DD13BF" w:rsidRPr="00200EDD" w:rsidRDefault="00DD13BF" w:rsidP="00355A56">
            <w:pPr>
              <w:pStyle w:val="TableParagraph"/>
              <w:rPr>
                <w:sz w:val="20"/>
              </w:rPr>
            </w:pPr>
            <w:r>
              <w:rPr>
                <w:sz w:val="20"/>
              </w:rPr>
              <w:t>254,000,000</w:t>
            </w:r>
          </w:p>
        </w:tc>
        <w:tc>
          <w:tcPr>
            <w:tcW w:w="993" w:type="dxa"/>
          </w:tcPr>
          <w:p w14:paraId="61E9B9C2" w14:textId="77777777" w:rsidR="00DD13BF" w:rsidRPr="00200EDD" w:rsidRDefault="00DD13BF" w:rsidP="00355A56">
            <w:pPr>
              <w:pStyle w:val="TableParagraph"/>
              <w:rPr>
                <w:sz w:val="20"/>
              </w:rPr>
            </w:pPr>
            <w:r>
              <w:rPr>
                <w:sz w:val="20"/>
              </w:rPr>
              <w:t>2021</w:t>
            </w:r>
          </w:p>
        </w:tc>
        <w:tc>
          <w:tcPr>
            <w:tcW w:w="1133" w:type="dxa"/>
          </w:tcPr>
          <w:p w14:paraId="5E8832EC" w14:textId="77777777" w:rsidR="00DD13BF" w:rsidRPr="00200EDD" w:rsidRDefault="00DD13BF" w:rsidP="00355A56">
            <w:pPr>
              <w:pStyle w:val="TableParagraph"/>
              <w:rPr>
                <w:sz w:val="20"/>
              </w:rPr>
            </w:pPr>
            <w:r>
              <w:rPr>
                <w:sz w:val="20"/>
              </w:rPr>
              <w:t>266,000,000</w:t>
            </w:r>
          </w:p>
        </w:tc>
        <w:tc>
          <w:tcPr>
            <w:tcW w:w="851" w:type="dxa"/>
          </w:tcPr>
          <w:p w14:paraId="2A1673B5" w14:textId="77777777" w:rsidR="00DD13BF" w:rsidRPr="00200EDD" w:rsidRDefault="00DD13BF" w:rsidP="00355A56">
            <w:pPr>
              <w:pStyle w:val="TableParagraph"/>
              <w:rPr>
                <w:sz w:val="20"/>
              </w:rPr>
            </w:pPr>
            <w:r>
              <w:rPr>
                <w:sz w:val="20"/>
              </w:rPr>
              <w:t>DRSI</w:t>
            </w:r>
          </w:p>
        </w:tc>
        <w:tc>
          <w:tcPr>
            <w:tcW w:w="708" w:type="dxa"/>
          </w:tcPr>
          <w:p w14:paraId="3A61B6C7" w14:textId="77777777" w:rsidR="00DD13BF" w:rsidRPr="00200EDD" w:rsidRDefault="00DD13BF" w:rsidP="00355A56">
            <w:pPr>
              <w:pStyle w:val="TableParagraph"/>
              <w:rPr>
                <w:sz w:val="20"/>
              </w:rPr>
            </w:pPr>
          </w:p>
        </w:tc>
      </w:tr>
      <w:tr w:rsidR="00DD13BF" w14:paraId="7342657B" w14:textId="77777777" w:rsidTr="00355A56">
        <w:trPr>
          <w:trHeight w:val="353"/>
        </w:trPr>
        <w:tc>
          <w:tcPr>
            <w:tcW w:w="983" w:type="dxa"/>
          </w:tcPr>
          <w:p w14:paraId="1324CC8B" w14:textId="77777777" w:rsidR="00DD13BF" w:rsidRPr="00200EDD" w:rsidRDefault="00DD13BF" w:rsidP="00355A56">
            <w:pPr>
              <w:pStyle w:val="TableParagraph"/>
              <w:rPr>
                <w:sz w:val="20"/>
              </w:rPr>
            </w:pPr>
            <w:r>
              <w:rPr>
                <w:sz w:val="20"/>
              </w:rPr>
              <w:t>5</w:t>
            </w:r>
          </w:p>
        </w:tc>
        <w:tc>
          <w:tcPr>
            <w:tcW w:w="992" w:type="dxa"/>
          </w:tcPr>
          <w:p w14:paraId="05C7B403" w14:textId="77777777" w:rsidR="00DD13BF" w:rsidRPr="00200EDD" w:rsidRDefault="00DD13BF" w:rsidP="00355A56">
            <w:pPr>
              <w:pStyle w:val="TableParagraph"/>
              <w:rPr>
                <w:sz w:val="20"/>
              </w:rPr>
            </w:pPr>
            <w:r>
              <w:rPr>
                <w:color w:val="000000"/>
                <w:sz w:val="20"/>
              </w:rPr>
              <w:t>RSO3.1</w:t>
            </w:r>
          </w:p>
        </w:tc>
        <w:tc>
          <w:tcPr>
            <w:tcW w:w="696" w:type="dxa"/>
          </w:tcPr>
          <w:p w14:paraId="59517D74" w14:textId="77777777" w:rsidR="00DD13BF" w:rsidRPr="00200EDD" w:rsidRDefault="00DD13BF" w:rsidP="00355A56">
            <w:pPr>
              <w:pStyle w:val="TableParagraph"/>
              <w:rPr>
                <w:color w:val="000000"/>
                <w:sz w:val="20"/>
              </w:rPr>
            </w:pPr>
            <w:r>
              <w:rPr>
                <w:color w:val="000000"/>
                <w:sz w:val="20"/>
              </w:rPr>
              <w:t>CF</w:t>
            </w:r>
          </w:p>
        </w:tc>
        <w:tc>
          <w:tcPr>
            <w:tcW w:w="1572" w:type="dxa"/>
          </w:tcPr>
          <w:p w14:paraId="2646A4FB" w14:textId="77777777" w:rsidR="00DD13BF" w:rsidRPr="00200EDD" w:rsidRDefault="00DD13BF" w:rsidP="00355A56">
            <w:pPr>
              <w:pStyle w:val="TableParagraph"/>
              <w:rPr>
                <w:color w:val="000000"/>
                <w:sz w:val="20"/>
              </w:rPr>
            </w:pPr>
            <w:r>
              <w:rPr>
                <w:color w:val="000000"/>
                <w:sz w:val="20"/>
              </w:rPr>
              <w:t>Entire Slovenia</w:t>
            </w:r>
          </w:p>
        </w:tc>
        <w:tc>
          <w:tcPr>
            <w:tcW w:w="709" w:type="dxa"/>
          </w:tcPr>
          <w:p w14:paraId="7F3402DA" w14:textId="77777777" w:rsidR="00DD13BF" w:rsidRPr="00200EDD" w:rsidRDefault="00DD13BF" w:rsidP="00355A56">
            <w:pPr>
              <w:pStyle w:val="TableParagraph"/>
              <w:rPr>
                <w:sz w:val="20"/>
              </w:rPr>
            </w:pPr>
            <w:r>
              <w:rPr>
                <w:sz w:val="20"/>
              </w:rPr>
              <w:t>RCR56</w:t>
            </w:r>
          </w:p>
        </w:tc>
        <w:tc>
          <w:tcPr>
            <w:tcW w:w="2552" w:type="dxa"/>
          </w:tcPr>
          <w:p w14:paraId="095E64F4" w14:textId="77777777" w:rsidR="00DD13BF" w:rsidRPr="00200EDD" w:rsidRDefault="00DD13BF" w:rsidP="00355A56">
            <w:pPr>
              <w:pStyle w:val="TableParagraph"/>
              <w:rPr>
                <w:sz w:val="20"/>
              </w:rPr>
            </w:pPr>
            <w:r>
              <w:rPr>
                <w:sz w:val="20"/>
              </w:rPr>
              <w:t>Time savings due to improved road infrastructure</w:t>
            </w:r>
          </w:p>
        </w:tc>
        <w:tc>
          <w:tcPr>
            <w:tcW w:w="1701" w:type="dxa"/>
          </w:tcPr>
          <w:p w14:paraId="05538C95" w14:textId="77777777" w:rsidR="00DD13BF" w:rsidRPr="00200EDD" w:rsidRDefault="00DD13BF" w:rsidP="00355A56">
            <w:pPr>
              <w:pStyle w:val="TableParagraph"/>
              <w:rPr>
                <w:sz w:val="20"/>
              </w:rPr>
            </w:pPr>
            <w:r>
              <w:rPr>
                <w:sz w:val="20"/>
              </w:rPr>
              <w:t>Working days per person/year</w:t>
            </w:r>
          </w:p>
        </w:tc>
        <w:tc>
          <w:tcPr>
            <w:tcW w:w="1134" w:type="dxa"/>
          </w:tcPr>
          <w:p w14:paraId="7144DC7C" w14:textId="77777777" w:rsidR="00DD13BF" w:rsidRPr="00200EDD" w:rsidRDefault="00DD13BF" w:rsidP="00355A56">
            <w:pPr>
              <w:pStyle w:val="TableParagraph"/>
              <w:rPr>
                <w:sz w:val="20"/>
              </w:rPr>
            </w:pPr>
            <w:r>
              <w:rPr>
                <w:sz w:val="20"/>
              </w:rPr>
              <w:t>0</w:t>
            </w:r>
          </w:p>
        </w:tc>
        <w:tc>
          <w:tcPr>
            <w:tcW w:w="993" w:type="dxa"/>
          </w:tcPr>
          <w:p w14:paraId="79CB6F43" w14:textId="77777777" w:rsidR="00DD13BF" w:rsidRPr="00D00976" w:rsidRDefault="00DD13BF" w:rsidP="00355A56">
            <w:pPr>
              <w:pStyle w:val="TableParagraph"/>
              <w:rPr>
                <w:sz w:val="20"/>
              </w:rPr>
            </w:pPr>
            <w:r>
              <w:rPr>
                <w:sz w:val="20"/>
              </w:rPr>
              <w:t>2021</w:t>
            </w:r>
          </w:p>
        </w:tc>
        <w:tc>
          <w:tcPr>
            <w:tcW w:w="1133" w:type="dxa"/>
          </w:tcPr>
          <w:p w14:paraId="0C78650A" w14:textId="77777777" w:rsidR="00DD13BF" w:rsidRPr="00200EDD" w:rsidRDefault="00DD13BF" w:rsidP="00355A56">
            <w:pPr>
              <w:pStyle w:val="TableParagraph"/>
              <w:rPr>
                <w:sz w:val="20"/>
              </w:rPr>
            </w:pPr>
            <w:r>
              <w:rPr>
                <w:sz w:val="20"/>
              </w:rPr>
              <w:t>23,500</w:t>
            </w:r>
          </w:p>
        </w:tc>
        <w:tc>
          <w:tcPr>
            <w:tcW w:w="851" w:type="dxa"/>
          </w:tcPr>
          <w:p w14:paraId="01C8E250" w14:textId="77777777" w:rsidR="00DD13BF" w:rsidRPr="00347461" w:rsidRDefault="00DD13BF" w:rsidP="00355A56">
            <w:pPr>
              <w:pStyle w:val="TableParagraph"/>
              <w:rPr>
                <w:sz w:val="20"/>
              </w:rPr>
            </w:pPr>
            <w:r>
              <w:rPr>
                <w:sz w:val="20"/>
              </w:rPr>
              <w:t>DARS</w:t>
            </w:r>
          </w:p>
        </w:tc>
        <w:tc>
          <w:tcPr>
            <w:tcW w:w="708" w:type="dxa"/>
          </w:tcPr>
          <w:p w14:paraId="129EDAF3" w14:textId="77777777" w:rsidR="00DD13BF" w:rsidRPr="00347461" w:rsidRDefault="00DD13BF" w:rsidP="00355A56">
            <w:pPr>
              <w:pStyle w:val="TableParagraph"/>
              <w:rPr>
                <w:sz w:val="20"/>
              </w:rPr>
            </w:pPr>
          </w:p>
        </w:tc>
      </w:tr>
    </w:tbl>
    <w:p w14:paraId="553C2248" w14:textId="77777777" w:rsidR="00DD13BF" w:rsidRPr="00F81084" w:rsidRDefault="00DD13BF" w:rsidP="00DD13BF">
      <w:pPr>
        <w:pStyle w:val="Telobesedila"/>
      </w:pPr>
    </w:p>
    <w:p w14:paraId="7EFC1512" w14:textId="77777777" w:rsidR="00DD13BF" w:rsidRPr="00F81084" w:rsidRDefault="00DD13BF" w:rsidP="00DD13BF">
      <w:pPr>
        <w:pStyle w:val="Telobesedila"/>
      </w:pPr>
    </w:p>
    <w:p w14:paraId="27C1497A" w14:textId="77777777" w:rsidR="00DD13BF" w:rsidRDefault="00DD13BF" w:rsidP="00DD13BF">
      <w:pPr>
        <w:pStyle w:val="Naslov5"/>
        <w:numPr>
          <w:ilvl w:val="4"/>
          <w:numId w:val="16"/>
        </w:numPr>
        <w:spacing w:before="0"/>
      </w:pPr>
      <w:r>
        <w:t>Indicative breakdown of the programme resources (EU) by type of intervention</w:t>
      </w:r>
    </w:p>
    <w:p w14:paraId="3D2CA390" w14:textId="77777777" w:rsidR="00DD13BF" w:rsidRDefault="00DD13BF" w:rsidP="00DD13BF">
      <w:pPr>
        <w:ind w:left="640"/>
        <w:rPr>
          <w:spacing w:val="-5"/>
        </w:rPr>
      </w:pPr>
    </w:p>
    <w:p w14:paraId="748BA7C5" w14:textId="77777777" w:rsidR="00DD13BF" w:rsidRPr="00673ADB" w:rsidRDefault="00DD13BF" w:rsidP="00DD13BF">
      <w:pPr>
        <w:ind w:left="339"/>
        <w:rPr>
          <w:spacing w:val="-7"/>
        </w:rPr>
      </w:pPr>
      <w:r>
        <w:t>Table 4: Dimension 1 – intervention field</w:t>
      </w:r>
    </w:p>
    <w:p w14:paraId="2CB03651"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008DB509" w14:textId="77777777" w:rsidTr="00355A56">
        <w:trPr>
          <w:trHeight w:val="353"/>
        </w:trPr>
        <w:tc>
          <w:tcPr>
            <w:tcW w:w="2088" w:type="dxa"/>
          </w:tcPr>
          <w:p w14:paraId="7F207DBD" w14:textId="77777777" w:rsidR="00DD13BF" w:rsidRDefault="00DD13BF" w:rsidP="00355A56">
            <w:pPr>
              <w:pStyle w:val="TableParagraph"/>
              <w:ind w:left="115"/>
            </w:pPr>
            <w:r>
              <w:t>Priority no.</w:t>
            </w:r>
          </w:p>
        </w:tc>
        <w:tc>
          <w:tcPr>
            <w:tcW w:w="1133" w:type="dxa"/>
          </w:tcPr>
          <w:p w14:paraId="1C84C455" w14:textId="77777777" w:rsidR="00DD13BF" w:rsidRDefault="00DD13BF" w:rsidP="00355A56">
            <w:pPr>
              <w:pStyle w:val="TableParagraph"/>
              <w:ind w:left="320"/>
            </w:pPr>
            <w:r>
              <w:t>Fund</w:t>
            </w:r>
          </w:p>
        </w:tc>
        <w:tc>
          <w:tcPr>
            <w:tcW w:w="3249" w:type="dxa"/>
          </w:tcPr>
          <w:p w14:paraId="2C6CB058" w14:textId="77777777" w:rsidR="00DD13BF" w:rsidRDefault="00DD13BF" w:rsidP="00355A56">
            <w:pPr>
              <w:pStyle w:val="TableParagraph"/>
              <w:ind w:left="907"/>
            </w:pPr>
            <w:r>
              <w:t>Category of region</w:t>
            </w:r>
          </w:p>
        </w:tc>
        <w:tc>
          <w:tcPr>
            <w:tcW w:w="3099" w:type="dxa"/>
          </w:tcPr>
          <w:p w14:paraId="60B5F409" w14:textId="77777777" w:rsidR="00DD13BF" w:rsidRDefault="00DD13BF" w:rsidP="00355A56">
            <w:pPr>
              <w:pStyle w:val="TableParagraph"/>
              <w:ind w:left="948"/>
            </w:pPr>
            <w:r>
              <w:t>Specific objective</w:t>
            </w:r>
          </w:p>
        </w:tc>
        <w:tc>
          <w:tcPr>
            <w:tcW w:w="1161" w:type="dxa"/>
          </w:tcPr>
          <w:p w14:paraId="3F5FF5D4" w14:textId="77777777" w:rsidR="00DD13BF" w:rsidRDefault="00DD13BF" w:rsidP="00355A56">
            <w:pPr>
              <w:pStyle w:val="TableParagraph"/>
              <w:ind w:left="333"/>
            </w:pPr>
            <w:r>
              <w:t>Code</w:t>
            </w:r>
          </w:p>
        </w:tc>
        <w:tc>
          <w:tcPr>
            <w:tcW w:w="2731" w:type="dxa"/>
          </w:tcPr>
          <w:p w14:paraId="5F66A9D2" w14:textId="77777777" w:rsidR="00DD13BF" w:rsidRDefault="00DD13BF" w:rsidP="00355A56">
            <w:pPr>
              <w:pStyle w:val="TableParagraph"/>
              <w:ind w:left="660"/>
            </w:pPr>
            <w:r>
              <w:t>Amount (in EUR)</w:t>
            </w:r>
          </w:p>
        </w:tc>
      </w:tr>
      <w:tr w:rsidR="00DD13BF" w14:paraId="3B000F98" w14:textId="77777777" w:rsidTr="00355A56">
        <w:trPr>
          <w:trHeight w:val="353"/>
        </w:trPr>
        <w:tc>
          <w:tcPr>
            <w:tcW w:w="2088" w:type="dxa"/>
          </w:tcPr>
          <w:p w14:paraId="5766C248" w14:textId="77777777" w:rsidR="00DD13BF" w:rsidRDefault="00DD13BF" w:rsidP="00355A56">
            <w:pPr>
              <w:pStyle w:val="TableParagraph"/>
              <w:rPr>
                <w:sz w:val="20"/>
              </w:rPr>
            </w:pPr>
            <w:r>
              <w:rPr>
                <w:sz w:val="20"/>
              </w:rPr>
              <w:t>5</w:t>
            </w:r>
          </w:p>
        </w:tc>
        <w:tc>
          <w:tcPr>
            <w:tcW w:w="1133" w:type="dxa"/>
          </w:tcPr>
          <w:p w14:paraId="1C381DD9" w14:textId="77777777" w:rsidR="00DD13BF" w:rsidRDefault="00DD13BF" w:rsidP="00355A56">
            <w:pPr>
              <w:pStyle w:val="TableParagraph"/>
              <w:rPr>
                <w:sz w:val="20"/>
              </w:rPr>
            </w:pPr>
            <w:r>
              <w:rPr>
                <w:sz w:val="20"/>
              </w:rPr>
              <w:t>CF</w:t>
            </w:r>
          </w:p>
        </w:tc>
        <w:tc>
          <w:tcPr>
            <w:tcW w:w="3249" w:type="dxa"/>
          </w:tcPr>
          <w:p w14:paraId="2FDDDD08" w14:textId="77777777" w:rsidR="00DD13BF" w:rsidRDefault="00DD13BF" w:rsidP="00355A56">
            <w:pPr>
              <w:pStyle w:val="TableParagraph"/>
              <w:rPr>
                <w:sz w:val="20"/>
              </w:rPr>
            </w:pPr>
            <w:r>
              <w:rPr>
                <w:color w:val="000000"/>
                <w:sz w:val="20"/>
              </w:rPr>
              <w:t>Entire Slovenia</w:t>
            </w:r>
          </w:p>
        </w:tc>
        <w:tc>
          <w:tcPr>
            <w:tcW w:w="3099" w:type="dxa"/>
          </w:tcPr>
          <w:p w14:paraId="6D755585" w14:textId="77777777" w:rsidR="00DD13BF" w:rsidRDefault="00DD13BF" w:rsidP="00355A56">
            <w:pPr>
              <w:pStyle w:val="TableParagraph"/>
              <w:rPr>
                <w:sz w:val="20"/>
              </w:rPr>
            </w:pPr>
            <w:r>
              <w:rPr>
                <w:color w:val="000000"/>
                <w:sz w:val="20"/>
              </w:rPr>
              <w:t>RSO3.1</w:t>
            </w:r>
          </w:p>
        </w:tc>
        <w:tc>
          <w:tcPr>
            <w:tcW w:w="1161" w:type="dxa"/>
          </w:tcPr>
          <w:p w14:paraId="495EB272" w14:textId="77777777" w:rsidR="00DD13BF" w:rsidRDefault="00DD13BF" w:rsidP="00355A56">
            <w:pPr>
              <w:pStyle w:val="TableParagraph"/>
              <w:rPr>
                <w:sz w:val="20"/>
              </w:rPr>
            </w:pPr>
            <w:r>
              <w:rPr>
                <w:sz w:val="20"/>
              </w:rPr>
              <w:t>092</w:t>
            </w:r>
          </w:p>
        </w:tc>
        <w:tc>
          <w:tcPr>
            <w:tcW w:w="2731" w:type="dxa"/>
          </w:tcPr>
          <w:p w14:paraId="50F0A53E" w14:textId="77777777" w:rsidR="00DD13BF" w:rsidRDefault="00DD13BF" w:rsidP="00355A56">
            <w:pPr>
              <w:pStyle w:val="TableParagraph"/>
              <w:rPr>
                <w:sz w:val="20"/>
              </w:rPr>
            </w:pPr>
            <w:r>
              <w:rPr>
                <w:sz w:val="20"/>
              </w:rPr>
              <w:t>32,210,000</w:t>
            </w:r>
          </w:p>
        </w:tc>
      </w:tr>
      <w:tr w:rsidR="00DD13BF" w14:paraId="37529DF5" w14:textId="77777777" w:rsidTr="00355A56">
        <w:trPr>
          <w:trHeight w:val="353"/>
        </w:trPr>
        <w:tc>
          <w:tcPr>
            <w:tcW w:w="2088" w:type="dxa"/>
          </w:tcPr>
          <w:p w14:paraId="0C630C6B" w14:textId="77777777" w:rsidR="00DD13BF" w:rsidRDefault="00DD13BF" w:rsidP="00355A56">
            <w:pPr>
              <w:pStyle w:val="TableParagraph"/>
              <w:rPr>
                <w:sz w:val="20"/>
              </w:rPr>
            </w:pPr>
            <w:r>
              <w:rPr>
                <w:sz w:val="20"/>
              </w:rPr>
              <w:t>5</w:t>
            </w:r>
          </w:p>
        </w:tc>
        <w:tc>
          <w:tcPr>
            <w:tcW w:w="1133" w:type="dxa"/>
          </w:tcPr>
          <w:p w14:paraId="4EE02250" w14:textId="77777777" w:rsidR="00DD13BF" w:rsidRDefault="00DD13BF" w:rsidP="00355A56">
            <w:pPr>
              <w:pStyle w:val="TableParagraph"/>
              <w:rPr>
                <w:sz w:val="20"/>
              </w:rPr>
            </w:pPr>
            <w:r>
              <w:rPr>
                <w:sz w:val="20"/>
              </w:rPr>
              <w:t>CF</w:t>
            </w:r>
          </w:p>
        </w:tc>
        <w:tc>
          <w:tcPr>
            <w:tcW w:w="3249" w:type="dxa"/>
          </w:tcPr>
          <w:p w14:paraId="07912ECF" w14:textId="77777777" w:rsidR="00DD13BF" w:rsidRDefault="00DD13BF" w:rsidP="00355A56">
            <w:pPr>
              <w:pStyle w:val="TableParagraph"/>
              <w:rPr>
                <w:sz w:val="20"/>
              </w:rPr>
            </w:pPr>
            <w:r>
              <w:rPr>
                <w:color w:val="000000"/>
                <w:sz w:val="20"/>
              </w:rPr>
              <w:t>Entire Slovenia</w:t>
            </w:r>
          </w:p>
        </w:tc>
        <w:tc>
          <w:tcPr>
            <w:tcW w:w="3099" w:type="dxa"/>
          </w:tcPr>
          <w:p w14:paraId="67BD6335" w14:textId="77777777" w:rsidR="00DD13BF" w:rsidRDefault="00DD13BF" w:rsidP="00355A56">
            <w:pPr>
              <w:pStyle w:val="TableParagraph"/>
              <w:rPr>
                <w:sz w:val="20"/>
              </w:rPr>
            </w:pPr>
            <w:r>
              <w:rPr>
                <w:color w:val="000000"/>
                <w:sz w:val="20"/>
              </w:rPr>
              <w:t>RSO3.1</w:t>
            </w:r>
          </w:p>
        </w:tc>
        <w:tc>
          <w:tcPr>
            <w:tcW w:w="1161" w:type="dxa"/>
          </w:tcPr>
          <w:p w14:paraId="6793E84E" w14:textId="77777777" w:rsidR="00DD13BF" w:rsidRDefault="00DD13BF" w:rsidP="00355A56">
            <w:pPr>
              <w:pStyle w:val="TableParagraph"/>
              <w:rPr>
                <w:sz w:val="20"/>
              </w:rPr>
            </w:pPr>
            <w:r>
              <w:rPr>
                <w:sz w:val="20"/>
              </w:rPr>
              <w:t>100</w:t>
            </w:r>
          </w:p>
        </w:tc>
        <w:tc>
          <w:tcPr>
            <w:tcW w:w="2731" w:type="dxa"/>
          </w:tcPr>
          <w:p w14:paraId="3043E270" w14:textId="77777777" w:rsidR="00DD13BF" w:rsidRDefault="00DD13BF" w:rsidP="00355A56">
            <w:pPr>
              <w:pStyle w:val="TableParagraph"/>
              <w:spacing w:line="259" w:lineRule="auto"/>
              <w:rPr>
                <w:sz w:val="20"/>
              </w:rPr>
            </w:pPr>
            <w:r>
              <w:rPr>
                <w:sz w:val="20"/>
              </w:rPr>
              <w:t>251,930,000</w:t>
            </w:r>
          </w:p>
        </w:tc>
      </w:tr>
    </w:tbl>
    <w:p w14:paraId="77828D7A" w14:textId="77777777" w:rsidR="00DD13BF" w:rsidRDefault="00DD13BF" w:rsidP="00DD13BF">
      <w:pPr>
        <w:ind w:left="339"/>
        <w:jc w:val="right"/>
        <w:rPr>
          <w:spacing w:val="-7"/>
        </w:rPr>
      </w:pPr>
    </w:p>
    <w:p w14:paraId="667A7A7A" w14:textId="77777777" w:rsidR="00DD13BF" w:rsidRPr="00673ADB" w:rsidRDefault="00DD13BF" w:rsidP="00DD13BF">
      <w:pPr>
        <w:ind w:left="339"/>
        <w:rPr>
          <w:spacing w:val="-7"/>
        </w:rPr>
      </w:pPr>
      <w:r>
        <w:t>Table 5: Dimension 2 – form of financing</w:t>
      </w:r>
    </w:p>
    <w:p w14:paraId="03B98F96"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18484A6" w14:textId="77777777" w:rsidTr="00355A56">
        <w:trPr>
          <w:trHeight w:val="353"/>
        </w:trPr>
        <w:tc>
          <w:tcPr>
            <w:tcW w:w="2088" w:type="dxa"/>
          </w:tcPr>
          <w:p w14:paraId="00C62B3D" w14:textId="77777777" w:rsidR="00DD13BF" w:rsidRDefault="00DD13BF" w:rsidP="00355A56">
            <w:pPr>
              <w:pStyle w:val="TableParagraph"/>
              <w:ind w:left="115"/>
            </w:pPr>
            <w:r>
              <w:t>Priority no.</w:t>
            </w:r>
          </w:p>
        </w:tc>
        <w:tc>
          <w:tcPr>
            <w:tcW w:w="1133" w:type="dxa"/>
          </w:tcPr>
          <w:p w14:paraId="4D756A0C" w14:textId="77777777" w:rsidR="00DD13BF" w:rsidRDefault="00DD13BF" w:rsidP="00355A56">
            <w:pPr>
              <w:pStyle w:val="TableParagraph"/>
              <w:ind w:left="320"/>
            </w:pPr>
            <w:r>
              <w:t>Fund</w:t>
            </w:r>
          </w:p>
        </w:tc>
        <w:tc>
          <w:tcPr>
            <w:tcW w:w="3249" w:type="dxa"/>
          </w:tcPr>
          <w:p w14:paraId="2C72329E" w14:textId="77777777" w:rsidR="00DD13BF" w:rsidRDefault="00DD13BF" w:rsidP="00355A56">
            <w:pPr>
              <w:pStyle w:val="TableParagraph"/>
              <w:ind w:left="907"/>
            </w:pPr>
            <w:r>
              <w:t>Category of region</w:t>
            </w:r>
          </w:p>
        </w:tc>
        <w:tc>
          <w:tcPr>
            <w:tcW w:w="3099" w:type="dxa"/>
          </w:tcPr>
          <w:p w14:paraId="340C97B0" w14:textId="77777777" w:rsidR="00DD13BF" w:rsidRDefault="00DD13BF" w:rsidP="00355A56">
            <w:pPr>
              <w:pStyle w:val="TableParagraph"/>
              <w:ind w:left="948"/>
            </w:pPr>
            <w:r>
              <w:t>Specific objective</w:t>
            </w:r>
          </w:p>
        </w:tc>
        <w:tc>
          <w:tcPr>
            <w:tcW w:w="1161" w:type="dxa"/>
          </w:tcPr>
          <w:p w14:paraId="62240EEE" w14:textId="77777777" w:rsidR="00DD13BF" w:rsidRDefault="00DD13BF" w:rsidP="00355A56">
            <w:pPr>
              <w:pStyle w:val="TableParagraph"/>
              <w:ind w:left="334"/>
            </w:pPr>
            <w:r>
              <w:t>Code</w:t>
            </w:r>
          </w:p>
        </w:tc>
        <w:tc>
          <w:tcPr>
            <w:tcW w:w="2731" w:type="dxa"/>
          </w:tcPr>
          <w:p w14:paraId="1C5DB20E" w14:textId="77777777" w:rsidR="00DD13BF" w:rsidRDefault="00DD13BF" w:rsidP="00355A56">
            <w:pPr>
              <w:pStyle w:val="TableParagraph"/>
              <w:ind w:left="661"/>
            </w:pPr>
            <w:r>
              <w:t>Amount (in EUR)</w:t>
            </w:r>
          </w:p>
        </w:tc>
      </w:tr>
      <w:tr w:rsidR="00DD13BF" w14:paraId="61ED1494" w14:textId="77777777" w:rsidTr="00355A56">
        <w:trPr>
          <w:trHeight w:val="353"/>
        </w:trPr>
        <w:tc>
          <w:tcPr>
            <w:tcW w:w="2088" w:type="dxa"/>
          </w:tcPr>
          <w:p w14:paraId="63E1ABAB" w14:textId="77777777" w:rsidR="00DD13BF" w:rsidRDefault="00DD13BF" w:rsidP="00355A56">
            <w:pPr>
              <w:pStyle w:val="TableParagraph"/>
              <w:rPr>
                <w:sz w:val="20"/>
              </w:rPr>
            </w:pPr>
            <w:r>
              <w:rPr>
                <w:sz w:val="20"/>
              </w:rPr>
              <w:t>5</w:t>
            </w:r>
          </w:p>
        </w:tc>
        <w:tc>
          <w:tcPr>
            <w:tcW w:w="1133" w:type="dxa"/>
          </w:tcPr>
          <w:p w14:paraId="6383B761" w14:textId="77777777" w:rsidR="00DD13BF" w:rsidRDefault="00DD13BF" w:rsidP="00355A56">
            <w:pPr>
              <w:pStyle w:val="TableParagraph"/>
              <w:rPr>
                <w:sz w:val="20"/>
              </w:rPr>
            </w:pPr>
            <w:r>
              <w:rPr>
                <w:sz w:val="20"/>
              </w:rPr>
              <w:t>CF</w:t>
            </w:r>
          </w:p>
        </w:tc>
        <w:tc>
          <w:tcPr>
            <w:tcW w:w="3249" w:type="dxa"/>
          </w:tcPr>
          <w:p w14:paraId="4F1EF288" w14:textId="77777777" w:rsidR="00DD13BF" w:rsidRDefault="00DD13BF" w:rsidP="00355A56">
            <w:pPr>
              <w:pStyle w:val="TableParagraph"/>
              <w:rPr>
                <w:sz w:val="20"/>
              </w:rPr>
            </w:pPr>
            <w:r>
              <w:rPr>
                <w:color w:val="000000"/>
                <w:sz w:val="20"/>
              </w:rPr>
              <w:t>Entire Slovenia</w:t>
            </w:r>
          </w:p>
        </w:tc>
        <w:tc>
          <w:tcPr>
            <w:tcW w:w="3099" w:type="dxa"/>
          </w:tcPr>
          <w:p w14:paraId="714B33A1" w14:textId="77777777" w:rsidR="00DD13BF" w:rsidRDefault="00DD13BF" w:rsidP="00355A56">
            <w:pPr>
              <w:pStyle w:val="TableParagraph"/>
              <w:rPr>
                <w:sz w:val="20"/>
              </w:rPr>
            </w:pPr>
            <w:r>
              <w:rPr>
                <w:color w:val="000000"/>
                <w:sz w:val="20"/>
              </w:rPr>
              <w:t>RSO3.1</w:t>
            </w:r>
          </w:p>
        </w:tc>
        <w:tc>
          <w:tcPr>
            <w:tcW w:w="1161" w:type="dxa"/>
          </w:tcPr>
          <w:p w14:paraId="6D089ABA" w14:textId="77777777" w:rsidR="00DD13BF" w:rsidRDefault="00DD13BF" w:rsidP="00355A56">
            <w:pPr>
              <w:pStyle w:val="TableParagraph"/>
              <w:rPr>
                <w:sz w:val="20"/>
              </w:rPr>
            </w:pPr>
            <w:r>
              <w:rPr>
                <w:sz w:val="20"/>
              </w:rPr>
              <w:t>01</w:t>
            </w:r>
          </w:p>
        </w:tc>
        <w:tc>
          <w:tcPr>
            <w:tcW w:w="2731" w:type="dxa"/>
          </w:tcPr>
          <w:p w14:paraId="7E24B97E" w14:textId="77777777" w:rsidR="00DD13BF" w:rsidRDefault="00DD13BF" w:rsidP="00355A56">
            <w:pPr>
              <w:pStyle w:val="TableParagraph"/>
              <w:rPr>
                <w:sz w:val="20"/>
              </w:rPr>
            </w:pPr>
            <w:r>
              <w:rPr>
                <w:sz w:val="20"/>
              </w:rPr>
              <w:t>284,140,000</w:t>
            </w:r>
          </w:p>
        </w:tc>
      </w:tr>
    </w:tbl>
    <w:p w14:paraId="5F3B4AB4" w14:textId="77777777" w:rsidR="00DD13BF" w:rsidRDefault="00DD13BF" w:rsidP="00DD13BF">
      <w:pPr>
        <w:rPr>
          <w:sz w:val="20"/>
        </w:rPr>
        <w:sectPr w:rsidR="00DD13BF" w:rsidSect="00BD3536">
          <w:headerReference w:type="default" r:id="rId65"/>
          <w:footerReference w:type="first" r:id="rId66"/>
          <w:type w:val="continuous"/>
          <w:pgSz w:w="16840" w:h="11910" w:orient="landscape"/>
          <w:pgMar w:top="1417" w:right="1417" w:bottom="1417" w:left="1417" w:header="708" w:footer="708" w:gutter="0"/>
          <w:cols w:space="708"/>
          <w:titlePg/>
          <w:docGrid w:linePitch="299"/>
        </w:sectPr>
      </w:pPr>
    </w:p>
    <w:p w14:paraId="00ADCC89" w14:textId="77777777" w:rsidR="00DD13BF" w:rsidRDefault="00DD13BF" w:rsidP="00DD13BF">
      <w:pPr>
        <w:ind w:left="339"/>
        <w:rPr>
          <w:spacing w:val="-7"/>
        </w:rPr>
      </w:pPr>
    </w:p>
    <w:p w14:paraId="268C61E3" w14:textId="77777777" w:rsidR="00DD13BF" w:rsidRDefault="00DD13BF" w:rsidP="00DD13BF">
      <w:pPr>
        <w:ind w:left="339"/>
      </w:pPr>
      <w:r>
        <w:t>Table 6: Dimension 3 – territorial delivery mechanism and territorial focus</w:t>
      </w:r>
    </w:p>
    <w:p w14:paraId="72940B31"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F823E8E" w14:textId="77777777" w:rsidTr="00355A56">
        <w:trPr>
          <w:trHeight w:val="353"/>
        </w:trPr>
        <w:tc>
          <w:tcPr>
            <w:tcW w:w="2088" w:type="dxa"/>
          </w:tcPr>
          <w:p w14:paraId="347E5851" w14:textId="77777777" w:rsidR="00DD13BF" w:rsidRDefault="00DD13BF" w:rsidP="00355A56">
            <w:pPr>
              <w:pStyle w:val="TableParagraph"/>
              <w:ind w:left="115"/>
            </w:pPr>
            <w:r>
              <w:t>Priority no.</w:t>
            </w:r>
          </w:p>
        </w:tc>
        <w:tc>
          <w:tcPr>
            <w:tcW w:w="1132" w:type="dxa"/>
          </w:tcPr>
          <w:p w14:paraId="6E0EE0E2" w14:textId="77777777" w:rsidR="00DD13BF" w:rsidRDefault="00DD13BF" w:rsidP="00355A56">
            <w:pPr>
              <w:pStyle w:val="TableParagraph"/>
              <w:ind w:left="320"/>
            </w:pPr>
            <w:r>
              <w:t>Fund</w:t>
            </w:r>
          </w:p>
        </w:tc>
        <w:tc>
          <w:tcPr>
            <w:tcW w:w="3248" w:type="dxa"/>
          </w:tcPr>
          <w:p w14:paraId="4BD6268D" w14:textId="77777777" w:rsidR="00DD13BF" w:rsidRDefault="00DD13BF" w:rsidP="00355A56">
            <w:pPr>
              <w:pStyle w:val="TableParagraph"/>
              <w:ind w:left="908"/>
            </w:pPr>
            <w:r>
              <w:t>Category of region</w:t>
            </w:r>
          </w:p>
        </w:tc>
        <w:tc>
          <w:tcPr>
            <w:tcW w:w="3098" w:type="dxa"/>
          </w:tcPr>
          <w:p w14:paraId="7191D127" w14:textId="77777777" w:rsidR="00DD13BF" w:rsidRDefault="00DD13BF" w:rsidP="00355A56">
            <w:pPr>
              <w:pStyle w:val="TableParagraph"/>
              <w:ind w:left="950"/>
            </w:pPr>
            <w:r>
              <w:t>Specific objective</w:t>
            </w:r>
          </w:p>
        </w:tc>
        <w:tc>
          <w:tcPr>
            <w:tcW w:w="1160" w:type="dxa"/>
          </w:tcPr>
          <w:p w14:paraId="0211AE85" w14:textId="77777777" w:rsidR="00DD13BF" w:rsidRDefault="00DD13BF" w:rsidP="00355A56">
            <w:pPr>
              <w:pStyle w:val="TableParagraph"/>
              <w:ind w:left="336"/>
            </w:pPr>
            <w:r>
              <w:t>Code</w:t>
            </w:r>
          </w:p>
        </w:tc>
        <w:tc>
          <w:tcPr>
            <w:tcW w:w="2730" w:type="dxa"/>
          </w:tcPr>
          <w:p w14:paraId="7B60E6C6" w14:textId="77777777" w:rsidR="00DD13BF" w:rsidRDefault="00DD13BF" w:rsidP="00355A56">
            <w:pPr>
              <w:pStyle w:val="TableParagraph"/>
              <w:ind w:left="664"/>
            </w:pPr>
            <w:r>
              <w:t>Amount (in EUR)</w:t>
            </w:r>
          </w:p>
        </w:tc>
      </w:tr>
      <w:tr w:rsidR="00DD13BF" w14:paraId="74265A19" w14:textId="77777777" w:rsidTr="00355A56">
        <w:trPr>
          <w:trHeight w:val="353"/>
        </w:trPr>
        <w:tc>
          <w:tcPr>
            <w:tcW w:w="2088" w:type="dxa"/>
          </w:tcPr>
          <w:p w14:paraId="52A6AB78" w14:textId="77777777" w:rsidR="00DD13BF" w:rsidRDefault="00DD13BF" w:rsidP="00355A56">
            <w:pPr>
              <w:pStyle w:val="TableParagraph"/>
              <w:rPr>
                <w:sz w:val="20"/>
              </w:rPr>
            </w:pPr>
            <w:r>
              <w:rPr>
                <w:sz w:val="20"/>
              </w:rPr>
              <w:t>5</w:t>
            </w:r>
          </w:p>
        </w:tc>
        <w:tc>
          <w:tcPr>
            <w:tcW w:w="1132" w:type="dxa"/>
          </w:tcPr>
          <w:p w14:paraId="5F0D0B49" w14:textId="77777777" w:rsidR="00DD13BF" w:rsidRDefault="00DD13BF" w:rsidP="00355A56">
            <w:pPr>
              <w:pStyle w:val="TableParagraph"/>
              <w:rPr>
                <w:sz w:val="20"/>
              </w:rPr>
            </w:pPr>
            <w:r>
              <w:rPr>
                <w:sz w:val="20"/>
              </w:rPr>
              <w:t>CF</w:t>
            </w:r>
          </w:p>
        </w:tc>
        <w:tc>
          <w:tcPr>
            <w:tcW w:w="3248" w:type="dxa"/>
          </w:tcPr>
          <w:p w14:paraId="1276D08E" w14:textId="77777777" w:rsidR="00DD13BF" w:rsidRDefault="00DD13BF" w:rsidP="00355A56">
            <w:pPr>
              <w:pStyle w:val="TableParagraph"/>
              <w:rPr>
                <w:sz w:val="20"/>
              </w:rPr>
            </w:pPr>
            <w:r>
              <w:rPr>
                <w:color w:val="000000"/>
                <w:sz w:val="20"/>
              </w:rPr>
              <w:t>Entire Slovenia</w:t>
            </w:r>
          </w:p>
        </w:tc>
        <w:tc>
          <w:tcPr>
            <w:tcW w:w="3098" w:type="dxa"/>
          </w:tcPr>
          <w:p w14:paraId="732B93AD" w14:textId="77777777" w:rsidR="00DD13BF" w:rsidRDefault="00DD13BF" w:rsidP="00355A56">
            <w:pPr>
              <w:pStyle w:val="TableParagraph"/>
              <w:rPr>
                <w:sz w:val="20"/>
              </w:rPr>
            </w:pPr>
            <w:r>
              <w:rPr>
                <w:color w:val="000000"/>
                <w:sz w:val="20"/>
              </w:rPr>
              <w:t>RSO3.1</w:t>
            </w:r>
          </w:p>
        </w:tc>
        <w:tc>
          <w:tcPr>
            <w:tcW w:w="1160" w:type="dxa"/>
          </w:tcPr>
          <w:p w14:paraId="69CD479C" w14:textId="77777777" w:rsidR="00DD13BF" w:rsidRDefault="00DD13BF" w:rsidP="00355A56">
            <w:pPr>
              <w:pStyle w:val="TableParagraph"/>
              <w:rPr>
                <w:sz w:val="20"/>
              </w:rPr>
            </w:pPr>
            <w:r>
              <w:rPr>
                <w:sz w:val="20"/>
              </w:rPr>
              <w:t>33</w:t>
            </w:r>
          </w:p>
        </w:tc>
        <w:tc>
          <w:tcPr>
            <w:tcW w:w="2730" w:type="dxa"/>
          </w:tcPr>
          <w:p w14:paraId="03411DF1" w14:textId="77777777" w:rsidR="00DD13BF" w:rsidRDefault="00DD13BF" w:rsidP="00355A56">
            <w:pPr>
              <w:pStyle w:val="TableParagraph"/>
              <w:rPr>
                <w:sz w:val="20"/>
              </w:rPr>
            </w:pPr>
            <w:r>
              <w:rPr>
                <w:sz w:val="20"/>
              </w:rPr>
              <w:t xml:space="preserve">284,140,000 </w:t>
            </w:r>
          </w:p>
        </w:tc>
      </w:tr>
    </w:tbl>
    <w:p w14:paraId="7E5B7016" w14:textId="77777777" w:rsidR="00DD13BF" w:rsidRDefault="00DD13BF" w:rsidP="00DD13BF"/>
    <w:p w14:paraId="14E7E844" w14:textId="77777777" w:rsidR="00DD13BF" w:rsidRDefault="00DD13BF" w:rsidP="00DD13BF">
      <w:pPr>
        <w:ind w:left="339"/>
      </w:pPr>
      <w:r>
        <w:t>Table 7: Dimension 6 – ESF+ secondary themes</w:t>
      </w:r>
    </w:p>
    <w:p w14:paraId="1FC63E50"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4EEC067" w14:textId="77777777" w:rsidTr="00355A56">
        <w:trPr>
          <w:trHeight w:val="353"/>
        </w:trPr>
        <w:tc>
          <w:tcPr>
            <w:tcW w:w="2088" w:type="dxa"/>
          </w:tcPr>
          <w:p w14:paraId="13515317" w14:textId="77777777" w:rsidR="00DD13BF" w:rsidRDefault="00DD13BF" w:rsidP="00355A56">
            <w:pPr>
              <w:pStyle w:val="TableParagraph"/>
              <w:ind w:left="115"/>
            </w:pPr>
            <w:r>
              <w:t>Priority no.</w:t>
            </w:r>
          </w:p>
        </w:tc>
        <w:tc>
          <w:tcPr>
            <w:tcW w:w="1132" w:type="dxa"/>
          </w:tcPr>
          <w:p w14:paraId="31ED4C88" w14:textId="77777777" w:rsidR="00DD13BF" w:rsidRDefault="00DD13BF" w:rsidP="00355A56">
            <w:pPr>
              <w:pStyle w:val="TableParagraph"/>
              <w:ind w:left="321"/>
            </w:pPr>
            <w:r>
              <w:t>Fund</w:t>
            </w:r>
          </w:p>
        </w:tc>
        <w:tc>
          <w:tcPr>
            <w:tcW w:w="3248" w:type="dxa"/>
          </w:tcPr>
          <w:p w14:paraId="779DD991" w14:textId="77777777" w:rsidR="00DD13BF" w:rsidRDefault="00DD13BF" w:rsidP="00355A56">
            <w:pPr>
              <w:pStyle w:val="TableParagraph"/>
              <w:ind w:left="909"/>
            </w:pPr>
            <w:r>
              <w:t>Category of region</w:t>
            </w:r>
          </w:p>
        </w:tc>
        <w:tc>
          <w:tcPr>
            <w:tcW w:w="3098" w:type="dxa"/>
          </w:tcPr>
          <w:p w14:paraId="7DB0798C" w14:textId="77777777" w:rsidR="00DD13BF" w:rsidRDefault="00DD13BF" w:rsidP="00355A56">
            <w:pPr>
              <w:pStyle w:val="TableParagraph"/>
              <w:ind w:left="950"/>
            </w:pPr>
            <w:r>
              <w:t>Specific objective</w:t>
            </w:r>
          </w:p>
        </w:tc>
        <w:tc>
          <w:tcPr>
            <w:tcW w:w="1160" w:type="dxa"/>
          </w:tcPr>
          <w:p w14:paraId="7633E305" w14:textId="77777777" w:rsidR="00DD13BF" w:rsidRDefault="00DD13BF" w:rsidP="00355A56">
            <w:pPr>
              <w:pStyle w:val="TableParagraph"/>
              <w:ind w:left="337"/>
            </w:pPr>
            <w:r>
              <w:t>Code</w:t>
            </w:r>
          </w:p>
        </w:tc>
        <w:tc>
          <w:tcPr>
            <w:tcW w:w="2730" w:type="dxa"/>
          </w:tcPr>
          <w:p w14:paraId="3F993E10" w14:textId="77777777" w:rsidR="00DD13BF" w:rsidRDefault="00DD13BF" w:rsidP="00355A56">
            <w:pPr>
              <w:pStyle w:val="TableParagraph"/>
              <w:ind w:left="665"/>
            </w:pPr>
            <w:r>
              <w:t>Amount (in EUR)</w:t>
            </w:r>
          </w:p>
        </w:tc>
      </w:tr>
    </w:tbl>
    <w:p w14:paraId="06583265" w14:textId="77777777" w:rsidR="00DD13BF" w:rsidRPr="00673ADB" w:rsidRDefault="00DD13BF" w:rsidP="00DD13BF"/>
    <w:p w14:paraId="009213A7" w14:textId="77777777" w:rsidR="00DD13BF" w:rsidRDefault="00DD13BF" w:rsidP="00DD13BF">
      <w:pPr>
        <w:ind w:left="339"/>
      </w:pPr>
      <w:r>
        <w:t>Table 8: Dimension 7 – ESF+*, ERDF, Cohesion Fund and JTF gender equality dimension</w:t>
      </w:r>
    </w:p>
    <w:p w14:paraId="7F08A1AA"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2380D66" w14:textId="77777777" w:rsidTr="00355A56">
        <w:trPr>
          <w:trHeight w:val="353"/>
        </w:trPr>
        <w:tc>
          <w:tcPr>
            <w:tcW w:w="2088" w:type="dxa"/>
          </w:tcPr>
          <w:p w14:paraId="092EF936" w14:textId="77777777" w:rsidR="00DD13BF" w:rsidRDefault="00DD13BF" w:rsidP="00355A56">
            <w:pPr>
              <w:pStyle w:val="TableParagraph"/>
              <w:ind w:left="115"/>
            </w:pPr>
            <w:r>
              <w:t>Priority no.</w:t>
            </w:r>
          </w:p>
        </w:tc>
        <w:tc>
          <w:tcPr>
            <w:tcW w:w="1132" w:type="dxa"/>
          </w:tcPr>
          <w:p w14:paraId="6A1B54C5" w14:textId="77777777" w:rsidR="00DD13BF" w:rsidRDefault="00DD13BF" w:rsidP="00355A56">
            <w:pPr>
              <w:pStyle w:val="TableParagraph"/>
              <w:ind w:left="320"/>
            </w:pPr>
            <w:r>
              <w:t>Fund</w:t>
            </w:r>
          </w:p>
        </w:tc>
        <w:tc>
          <w:tcPr>
            <w:tcW w:w="3248" w:type="dxa"/>
          </w:tcPr>
          <w:p w14:paraId="359006B3" w14:textId="77777777" w:rsidR="00DD13BF" w:rsidRDefault="00DD13BF" w:rsidP="00355A56">
            <w:pPr>
              <w:pStyle w:val="TableParagraph"/>
              <w:ind w:left="908"/>
            </w:pPr>
            <w:r>
              <w:t>Category of region</w:t>
            </w:r>
          </w:p>
        </w:tc>
        <w:tc>
          <w:tcPr>
            <w:tcW w:w="3098" w:type="dxa"/>
          </w:tcPr>
          <w:p w14:paraId="715DC18A" w14:textId="77777777" w:rsidR="00DD13BF" w:rsidRDefault="00DD13BF" w:rsidP="00355A56">
            <w:pPr>
              <w:pStyle w:val="TableParagraph"/>
              <w:ind w:left="950"/>
            </w:pPr>
            <w:r>
              <w:t>Specific objective</w:t>
            </w:r>
          </w:p>
        </w:tc>
        <w:tc>
          <w:tcPr>
            <w:tcW w:w="1160" w:type="dxa"/>
          </w:tcPr>
          <w:p w14:paraId="34D6B409" w14:textId="77777777" w:rsidR="00DD13BF" w:rsidRDefault="00DD13BF" w:rsidP="00355A56">
            <w:pPr>
              <w:pStyle w:val="TableParagraph"/>
              <w:ind w:left="336"/>
            </w:pPr>
            <w:r>
              <w:t>Code</w:t>
            </w:r>
          </w:p>
        </w:tc>
        <w:tc>
          <w:tcPr>
            <w:tcW w:w="2730" w:type="dxa"/>
          </w:tcPr>
          <w:p w14:paraId="2BC57C23" w14:textId="77777777" w:rsidR="00DD13BF" w:rsidRDefault="00DD13BF" w:rsidP="00355A56">
            <w:pPr>
              <w:pStyle w:val="TableParagraph"/>
              <w:ind w:left="664"/>
            </w:pPr>
            <w:r>
              <w:t>Amount (in EUR)</w:t>
            </w:r>
          </w:p>
        </w:tc>
      </w:tr>
      <w:tr w:rsidR="00DD13BF" w14:paraId="56EA25AF" w14:textId="77777777" w:rsidTr="00355A56">
        <w:trPr>
          <w:trHeight w:val="353"/>
        </w:trPr>
        <w:tc>
          <w:tcPr>
            <w:tcW w:w="2088" w:type="dxa"/>
          </w:tcPr>
          <w:p w14:paraId="4B66F538" w14:textId="77777777" w:rsidR="00DD13BF" w:rsidRDefault="00DD13BF" w:rsidP="00355A56">
            <w:pPr>
              <w:pStyle w:val="TableParagraph"/>
              <w:rPr>
                <w:sz w:val="20"/>
              </w:rPr>
            </w:pPr>
            <w:r>
              <w:rPr>
                <w:sz w:val="20"/>
              </w:rPr>
              <w:t>5</w:t>
            </w:r>
          </w:p>
        </w:tc>
        <w:tc>
          <w:tcPr>
            <w:tcW w:w="1132" w:type="dxa"/>
          </w:tcPr>
          <w:p w14:paraId="47DA4627" w14:textId="77777777" w:rsidR="00DD13BF" w:rsidRDefault="00DD13BF" w:rsidP="00355A56">
            <w:pPr>
              <w:pStyle w:val="TableParagraph"/>
              <w:rPr>
                <w:sz w:val="20"/>
              </w:rPr>
            </w:pPr>
            <w:r>
              <w:rPr>
                <w:sz w:val="20"/>
              </w:rPr>
              <w:t>CF</w:t>
            </w:r>
          </w:p>
        </w:tc>
        <w:tc>
          <w:tcPr>
            <w:tcW w:w="3248" w:type="dxa"/>
          </w:tcPr>
          <w:p w14:paraId="1BC213B9" w14:textId="77777777" w:rsidR="00DD13BF" w:rsidRDefault="00DD13BF" w:rsidP="00355A56">
            <w:pPr>
              <w:pStyle w:val="TableParagraph"/>
              <w:rPr>
                <w:sz w:val="20"/>
              </w:rPr>
            </w:pPr>
            <w:r>
              <w:rPr>
                <w:color w:val="000000"/>
                <w:sz w:val="20"/>
              </w:rPr>
              <w:t>Entire Slovenia</w:t>
            </w:r>
          </w:p>
        </w:tc>
        <w:tc>
          <w:tcPr>
            <w:tcW w:w="3098" w:type="dxa"/>
          </w:tcPr>
          <w:p w14:paraId="7F7B539B" w14:textId="77777777" w:rsidR="00DD13BF" w:rsidRDefault="00DD13BF" w:rsidP="00355A56">
            <w:pPr>
              <w:pStyle w:val="TableParagraph"/>
              <w:rPr>
                <w:sz w:val="20"/>
              </w:rPr>
            </w:pPr>
            <w:r>
              <w:rPr>
                <w:color w:val="000000"/>
                <w:sz w:val="20"/>
              </w:rPr>
              <w:t>RSO3.1</w:t>
            </w:r>
          </w:p>
        </w:tc>
        <w:tc>
          <w:tcPr>
            <w:tcW w:w="1160" w:type="dxa"/>
          </w:tcPr>
          <w:p w14:paraId="39435260" w14:textId="77777777" w:rsidR="00DD13BF" w:rsidRDefault="00DD13BF" w:rsidP="00355A56">
            <w:pPr>
              <w:pStyle w:val="TableParagraph"/>
              <w:rPr>
                <w:sz w:val="20"/>
              </w:rPr>
            </w:pPr>
            <w:r>
              <w:rPr>
                <w:sz w:val="20"/>
              </w:rPr>
              <w:t>03</w:t>
            </w:r>
          </w:p>
        </w:tc>
        <w:tc>
          <w:tcPr>
            <w:tcW w:w="2730" w:type="dxa"/>
          </w:tcPr>
          <w:p w14:paraId="66BC0A75" w14:textId="77777777" w:rsidR="00DD13BF" w:rsidRDefault="00DD13BF" w:rsidP="00355A56">
            <w:pPr>
              <w:pStyle w:val="TableParagraph"/>
              <w:rPr>
                <w:sz w:val="20"/>
              </w:rPr>
            </w:pPr>
            <w:r>
              <w:rPr>
                <w:sz w:val="20"/>
              </w:rPr>
              <w:t xml:space="preserve">284,140,000 </w:t>
            </w:r>
          </w:p>
        </w:tc>
      </w:tr>
    </w:tbl>
    <w:p w14:paraId="6FB49C17"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7ED4FF4F" w14:textId="77777777" w:rsidR="00DD13BF" w:rsidRDefault="00DD13BF" w:rsidP="00DD13BF">
      <w:pPr>
        <w:rPr>
          <w:sz w:val="24"/>
        </w:rPr>
      </w:pPr>
    </w:p>
    <w:p w14:paraId="4C537BB3" w14:textId="77777777" w:rsidR="00DD13BF" w:rsidRDefault="00DD13BF" w:rsidP="00DD13BF"/>
    <w:p w14:paraId="39BD6190" w14:textId="77777777" w:rsidR="00DD13BF" w:rsidRDefault="00DD13BF" w:rsidP="00DD13BF"/>
    <w:p w14:paraId="31549B7E" w14:textId="77777777" w:rsidR="00DD13BF" w:rsidRDefault="00DD13BF" w:rsidP="00DD13BF"/>
    <w:p w14:paraId="15DE03DF" w14:textId="77777777" w:rsidR="00DD13BF" w:rsidRDefault="00DD13BF" w:rsidP="00DD13BF"/>
    <w:p w14:paraId="0147465A" w14:textId="77777777" w:rsidR="00DD13BF" w:rsidRDefault="00DD13BF" w:rsidP="00DD13BF">
      <w:r>
        <w:br w:type="page"/>
      </w:r>
    </w:p>
    <w:p w14:paraId="266290FC" w14:textId="77777777" w:rsidR="00DD13BF" w:rsidRPr="00BD3536" w:rsidRDefault="00DD13BF" w:rsidP="00DD13BF">
      <w:pPr>
        <w:pStyle w:val="Naslov4"/>
        <w:ind w:left="1134"/>
      </w:pPr>
      <w:bookmarkStart w:id="36" w:name="_Toc131161715"/>
      <w:r>
        <w:lastRenderedPageBreak/>
        <w:t>Specific objective RSO3.2. Developing and enhancing sustainable, climate resilient, intelligent and intermodal national, regional and local mobility, including improved access to TEN-T and cross-border mobility (ERDF) (Cohesion Fund)</w:t>
      </w:r>
      <w:bookmarkEnd w:id="36"/>
    </w:p>
    <w:p w14:paraId="2E60E66C" w14:textId="77777777" w:rsidR="00DD13BF" w:rsidRDefault="00DD13BF" w:rsidP="00DD13BF">
      <w:pPr>
        <w:rPr>
          <w:sz w:val="30"/>
        </w:rPr>
      </w:pPr>
    </w:p>
    <w:p w14:paraId="5674782A" w14:textId="77777777" w:rsidR="00DD13BF" w:rsidRPr="00C10464" w:rsidRDefault="00DD13BF" w:rsidP="00DD13BF">
      <w:pPr>
        <w:pStyle w:val="Naslov5"/>
        <w:spacing w:before="0"/>
      </w:pPr>
      <w:r>
        <w:t>Interventions of the Funds</w:t>
      </w:r>
    </w:p>
    <w:p w14:paraId="4D32CAEC" w14:textId="77777777" w:rsidR="00DD13BF" w:rsidRDefault="00DD13BF" w:rsidP="00DD13BF">
      <w:pPr>
        <w:rPr>
          <w:sz w:val="30"/>
        </w:rPr>
      </w:pPr>
    </w:p>
    <w:p w14:paraId="309F91DB" w14:textId="77777777" w:rsidR="00DD13BF" w:rsidRPr="00104C33" w:rsidRDefault="00DD13BF" w:rsidP="00DD13BF">
      <w:pPr>
        <w:ind w:left="1349"/>
      </w:pPr>
      <w:r>
        <w:t>Related types of actions:</w:t>
      </w:r>
    </w:p>
    <w:p w14:paraId="74AB5B64"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3EBF8E8B" w14:textId="77777777" w:rsidTr="00355A56">
        <w:trPr>
          <w:trHeight w:val="316"/>
        </w:trPr>
        <w:tc>
          <w:tcPr>
            <w:tcW w:w="12758" w:type="dxa"/>
          </w:tcPr>
          <w:p w14:paraId="6CDE0D8D" w14:textId="77777777" w:rsidR="00DD13BF" w:rsidRPr="00D41B61" w:rsidRDefault="00DD13BF" w:rsidP="00355A56">
            <w:pPr>
              <w:jc w:val="both"/>
            </w:pPr>
            <w:r>
              <w:t>According to the TDS, the key objective of this specific objective is to improve national and regional connections within Slovenia. The changes and additions to the National Transport Development Programme from June 2021 put an even greater emphasis on sustainable transport, particularly those infrastructural arrangements that will help to provide the conditions for greater use of all forms of sustainable mobility and strengthen the development of public passenger transport (hereinafter: PPT), where accessibility must not be compromised, where road and car are the only choice or provide access to the first transfer points of PPT. In 2022, a public passenger transport management company will be established, the task of which will be to manage interurban PPT. Adequate connectivity at all levels is crucial for the efficiency of the public transport system, so all PPT projects at the local and regional levels will be coordinated with the public passenger transport management company when it is operational.</w:t>
            </w:r>
          </w:p>
          <w:p w14:paraId="1DBACEBD" w14:textId="77777777" w:rsidR="00DD13BF" w:rsidRDefault="00DD13BF" w:rsidP="00355A56">
            <w:pPr>
              <w:jc w:val="both"/>
              <w:rPr>
                <w:rFonts w:cstheme="minorHAnsi"/>
              </w:rPr>
            </w:pPr>
          </w:p>
          <w:p w14:paraId="2299ED85" w14:textId="77777777" w:rsidR="00DD13BF" w:rsidRPr="00D41B61" w:rsidRDefault="00DD13BF" w:rsidP="00355A56">
            <w:pPr>
              <w:jc w:val="both"/>
              <w:rPr>
                <w:rFonts w:cstheme="minorBidi"/>
              </w:rPr>
            </w:pPr>
            <w:r>
              <w:t xml:space="preserve">The amended National Transport Development Programme includes projects on the regional railway network to provide low-emission, safe and resilient daily mobility to passengers in the regions. The key objective is to upgrade the network so that the railway will provide the backbone transport network where it already exists and which will be connected to the road transport network, PPT, P + R systems and cycling infrastructure. The upgrading of regional lines is planned primarily through electrification and speed increases, modern rail traffic management systems, and information equipment and accompanying measures (car parks, bike racks) at stations and stops for passenger-friendly services.  The electrification of regional railway lines will further reduce pollution, and above all, bring relief to the road network, which will directly contribute to approaching carbon neutrality. Shorter travel times and punctual timetables on railways and other measures (transfer points, bike racks, coordinated timetables, etc.), which are the basis of the entire transport system, will increase the attractiveness of PPT and ensure sustainable mobility. </w:t>
            </w:r>
          </w:p>
          <w:p w14:paraId="0639DE63" w14:textId="77777777" w:rsidR="00DD13BF" w:rsidRDefault="00DD13BF" w:rsidP="00355A56">
            <w:pPr>
              <w:jc w:val="both"/>
              <w:rPr>
                <w:rFonts w:cstheme="minorHAnsi"/>
              </w:rPr>
            </w:pPr>
          </w:p>
          <w:p w14:paraId="751531FC" w14:textId="77777777" w:rsidR="00DD13BF" w:rsidRDefault="00DD13BF" w:rsidP="00355A56">
            <w:pPr>
              <w:jc w:val="both"/>
              <w:rPr>
                <w:rFonts w:cstheme="minorBidi"/>
              </w:rPr>
            </w:pPr>
            <w:r>
              <w:t xml:space="preserve">Therefore, the selected measures related to the construction of development axes and other regional connections to improve access to the TEN-T network are priority projects on the regional railway network and the construction of the national cycling network. The coordination and effectiveness of these measures will be ensured by horizontal transport planning measures. </w:t>
            </w:r>
          </w:p>
          <w:p w14:paraId="492B8F53" w14:textId="77777777" w:rsidR="00DD13BF" w:rsidRDefault="00DD13BF" w:rsidP="00355A56">
            <w:pPr>
              <w:jc w:val="both"/>
              <w:rPr>
                <w:rFonts w:cstheme="minorHAnsi"/>
              </w:rPr>
            </w:pPr>
          </w:p>
          <w:p w14:paraId="272649E2" w14:textId="77777777" w:rsidR="00DD13BF" w:rsidRPr="00116B89" w:rsidRDefault="00DD13BF" w:rsidP="00355A56">
            <w:pPr>
              <w:jc w:val="both"/>
              <w:rPr>
                <w:rFonts w:cstheme="minorHAnsi"/>
              </w:rPr>
            </w:pPr>
            <w:r>
              <w:t xml:space="preserve">In line with the aforementioned, the following measures are foreseen: </w:t>
            </w:r>
          </w:p>
          <w:p w14:paraId="02ED17B5" w14:textId="77777777" w:rsidR="00DD13BF" w:rsidRPr="003B4D80" w:rsidRDefault="00DD13BF" w:rsidP="00355A56">
            <w:pPr>
              <w:ind w:left="360"/>
              <w:jc w:val="both"/>
              <w:rPr>
                <w:rFonts w:cstheme="minorHAnsi"/>
              </w:rPr>
            </w:pPr>
          </w:p>
          <w:p w14:paraId="5CB31B7F" w14:textId="77777777" w:rsidR="00DD13BF" w:rsidRPr="003B4D80" w:rsidRDefault="00DD13BF" w:rsidP="00DD13BF">
            <w:pPr>
              <w:pStyle w:val="Odstavekseznama"/>
              <w:widowControl/>
              <w:numPr>
                <w:ilvl w:val="0"/>
                <w:numId w:val="28"/>
              </w:numPr>
              <w:autoSpaceDE/>
              <w:autoSpaceDN/>
              <w:jc w:val="both"/>
              <w:rPr>
                <w:rFonts w:ascii="Times New Roman" w:hAnsi="Times New Roman" w:cs="Times New Roman"/>
              </w:rPr>
            </w:pPr>
            <w:r>
              <w:rPr>
                <w:rFonts w:ascii="Times New Roman" w:hAnsi="Times New Roman"/>
                <w:i/>
                <w:iCs/>
              </w:rPr>
              <w:lastRenderedPageBreak/>
              <w:t>Upgrading the Maribor – Ruše railway line</w:t>
            </w:r>
            <w:r>
              <w:rPr>
                <w:rFonts w:ascii="Times New Roman" w:hAnsi="Times New Roman"/>
              </w:rPr>
              <w:t xml:space="preserve">: The measure will increase the capacity of the railway infrastructure, including upgrading railway stations as multimodal hubs, which will provide a more sustainable mode of transport. Interoperability, more efficient management and better traffic safety will also be provided. </w:t>
            </w:r>
          </w:p>
          <w:p w14:paraId="5E32BF70" w14:textId="77777777" w:rsidR="00DD13BF" w:rsidRPr="003B4D80" w:rsidRDefault="00DD13BF" w:rsidP="00355A56">
            <w:pPr>
              <w:pStyle w:val="Odstavekseznama"/>
              <w:ind w:left="720"/>
              <w:jc w:val="both"/>
              <w:rPr>
                <w:rFonts w:ascii="Times New Roman" w:hAnsi="Times New Roman" w:cs="Times New Roman"/>
              </w:rPr>
            </w:pPr>
            <w:r>
              <w:rPr>
                <w:rFonts w:ascii="Times New Roman" w:hAnsi="Times New Roman"/>
              </w:rPr>
              <w:t xml:space="preserve">The proposed measure includes: (1) arrangement of the Maribor Tezno–Maribor Studenci railway triangle; (2) upgrading of the line on the Maribor–Ruše section, and of three stations and five stops, as part of which the electrification of a 10 km long section is planned, and (3) arrangement of signal security and telecommunication devices on the Maribor–Ruše section. </w:t>
            </w:r>
          </w:p>
          <w:p w14:paraId="5BE71689" w14:textId="77777777" w:rsidR="00DD13BF" w:rsidRPr="003B4D80" w:rsidRDefault="00DD13BF" w:rsidP="00355A56">
            <w:pPr>
              <w:pStyle w:val="Odstavekseznama"/>
              <w:ind w:left="720"/>
              <w:jc w:val="both"/>
              <w:rPr>
                <w:rFonts w:ascii="Times New Roman" w:hAnsi="Times New Roman" w:cs="Times New Roman"/>
              </w:rPr>
            </w:pPr>
            <w:r>
              <w:rPr>
                <w:rFonts w:ascii="Times New Roman" w:hAnsi="Times New Roman"/>
              </w:rPr>
              <w:t xml:space="preserve">Backup projects for the regional railway infrastructure include </w:t>
            </w:r>
            <w:r>
              <w:rPr>
                <w:rFonts w:ascii="Times New Roman" w:hAnsi="Times New Roman"/>
                <w:i/>
              </w:rPr>
              <w:t>the upgrading of the Dolenjska line</w:t>
            </w:r>
            <w:r>
              <w:rPr>
                <w:i/>
              </w:rPr>
              <w:t xml:space="preserve"> </w:t>
            </w:r>
            <w:r>
              <w:t>(</w:t>
            </w:r>
            <w:r>
              <w:rPr>
                <w:rFonts w:ascii="Times New Roman" w:hAnsi="Times New Roman"/>
              </w:rPr>
              <w:t>state border–Metlika–Ljubljana regional line), and the upgrading of stations and stops in the area of the Eastern Slovenia cohesion region from the Ivančna Gorica station to the Birčna vas station.</w:t>
            </w:r>
          </w:p>
          <w:p w14:paraId="4B58605C" w14:textId="77777777" w:rsidR="00DD13BF" w:rsidRPr="003B4D80" w:rsidRDefault="00DD13BF" w:rsidP="00355A56">
            <w:pPr>
              <w:jc w:val="both"/>
            </w:pPr>
          </w:p>
          <w:p w14:paraId="1875740E" w14:textId="77777777" w:rsidR="00DD13BF" w:rsidRPr="00EA16ED" w:rsidRDefault="00DD13BF" w:rsidP="00DD13BF">
            <w:pPr>
              <w:pStyle w:val="Odstavekseznama"/>
              <w:widowControl/>
              <w:numPr>
                <w:ilvl w:val="0"/>
                <w:numId w:val="28"/>
              </w:numPr>
              <w:autoSpaceDE/>
              <w:autoSpaceDN/>
              <w:jc w:val="both"/>
              <w:rPr>
                <w:rFonts w:ascii="Times New Roman" w:hAnsi="Times New Roman" w:cs="Times New Roman"/>
              </w:rPr>
            </w:pPr>
            <w:r>
              <w:rPr>
                <w:rFonts w:ascii="Times New Roman" w:hAnsi="Times New Roman"/>
                <w:i/>
              </w:rPr>
              <w:t>Third development axis – south: Novo mesto–Maline (Stage I – stages 1 and 2</w:t>
            </w:r>
            <w:r>
              <w:rPr>
                <w:rFonts w:ascii="Times New Roman" w:hAnsi="Times New Roman"/>
              </w:rPr>
              <w:t xml:space="preserve">): The construction of a new expressway between the A2 connection near Novo mesto to the Osredek connection at a length of 5.05 km. Today, the main connection in the area under consideration is the G2-105 Novo mesto–Metlika–MP Metlika road, which passes through settlements and does not meet the needs of modern long-distance road connections and, as a result, does not provide sufficient traffic safety. In the area of ​​Novo mesto, AADT on the G2-105 road was between 12,809 and 19,256 vehicles/day, and the share of heavy goods vehicles was between 3.2% and 5.5% in 2016. Between 2011 and 2016, there were 115 traffic accidents on the G2-105 road in the area of ​​stages 1+2, of which 37 resulted in minor and two in serious injuries. The objectives of the project are to reduce traffic in Novo mesto, thereby accelerating further economic development in and around Novo mesto and improving traffic safety and air quality in Novo mesto. Traffic loads on the existing road network will decrease in 2035 due to the construction of an expressway. The share of heavy goods vehicles on the existing road network will also decrease, which will result in a relative reduction of GHG emissions. In 2035, the total GHG emissions on the transport network in Novo mesto will negligibly increase, which is a result of the expected improvement in the technical characteristics of vehicles and a greater number of electric cars. At the same time, GHG emissions on the rest of the road network in Novo mesto (without the new expressway) will decrease by 17%, resulting from the positive remote impact of the expressway. The total impact of the operation of the new state road on GHG emissions is thus assessed as insignificant or positive.  </w:t>
            </w:r>
          </w:p>
          <w:p w14:paraId="6CF1ED43" w14:textId="77777777" w:rsidR="00DD13BF" w:rsidRPr="00EA16ED" w:rsidRDefault="00DD13BF" w:rsidP="00355A56">
            <w:pPr>
              <w:pStyle w:val="Odstavekseznama"/>
              <w:ind w:left="720"/>
              <w:jc w:val="both"/>
              <w:rPr>
                <w:rFonts w:ascii="Times New Roman" w:hAnsi="Times New Roman" w:cs="Times New Roman"/>
                <w:i/>
                <w:iCs/>
              </w:rPr>
            </w:pPr>
          </w:p>
          <w:p w14:paraId="18281BAD" w14:textId="77777777" w:rsidR="00DD13BF" w:rsidRPr="00EA16ED" w:rsidRDefault="00DD13BF" w:rsidP="00DD13BF">
            <w:pPr>
              <w:pStyle w:val="Odstavekseznama"/>
              <w:widowControl/>
              <w:numPr>
                <w:ilvl w:val="0"/>
                <w:numId w:val="28"/>
              </w:numPr>
              <w:autoSpaceDE/>
              <w:autoSpaceDN/>
              <w:jc w:val="both"/>
              <w:rPr>
                <w:rFonts w:asciiTheme="minorHAnsi" w:hAnsiTheme="minorHAnsi"/>
              </w:rPr>
            </w:pPr>
            <w:r>
              <w:rPr>
                <w:rFonts w:ascii="Times New Roman" w:hAnsi="Times New Roman"/>
                <w:i/>
                <w:iCs/>
              </w:rPr>
              <w:t>Further work on the third development axis: Dramlje–Šentjur section</w:t>
            </w:r>
            <w:r>
              <w:rPr>
                <w:rFonts w:ascii="Times New Roman" w:hAnsi="Times New Roman"/>
              </w:rPr>
              <w:t xml:space="preserve">: The Dramlje-Šentjur connecting road is part of the planned middle section of the third development axis – connection between the A1 motorway (Savinjska region) and the A2 motorway (Dolenjska region). The connecting road is a connection between Bizeljsko and Kozjansko and the motorway network on the one hand and with the Republic of Croatia and Posavje on the other. As part of the project, a new road connection will be built on the section between the Dramlje connection to the A1 motorway past Šentjur to the G2-107 road at a total length of 5.8 km. On the three road sections that meet in Šentjur, AADT (average annual daily traffic) amounted to between 9,500 and 11,500 vehicles in 2019, and between 7,800 and 10,100 vehicles in 2020 due to restrictions during the pandemic. The share of heavy goods vehicles was between 10 and 13% in 2019, and higher in 2020, i.e. between 11 and 24%. The construction of a new road connection is expected to improve traffic safety. Between 2016 and 2020, there were 124 traffic accidents on the road sections that will be replaced by the new road, of which five resulted in serious and 43 in minor injuries. The operation of the connecting road will also reduce noise pollution in the nearest </w:t>
            </w:r>
            <w:r>
              <w:rPr>
                <w:rFonts w:ascii="Times New Roman" w:hAnsi="Times New Roman"/>
              </w:rPr>
              <w:lastRenderedPageBreak/>
              <w:t xml:space="preserve">residential buildings, particularly in the settlements of Trnovec, Dole and Šentjur. The area along the new connecting road is sparsely populated, and noise protection measures will be implemented in areas where the noise limit values ​​will be exceeded. </w:t>
            </w:r>
          </w:p>
          <w:p w14:paraId="55BA8AE5" w14:textId="77777777" w:rsidR="00DD13BF" w:rsidRPr="009C3447" w:rsidRDefault="00DD13BF" w:rsidP="00355A56">
            <w:pPr>
              <w:ind w:left="720"/>
              <w:jc w:val="both"/>
            </w:pPr>
          </w:p>
          <w:p w14:paraId="706F653B" w14:textId="77777777" w:rsidR="00DD13BF" w:rsidRPr="00CE41EB" w:rsidRDefault="00DD13BF" w:rsidP="00DD13BF">
            <w:pPr>
              <w:pStyle w:val="Odstavekseznama"/>
              <w:widowControl/>
              <w:numPr>
                <w:ilvl w:val="0"/>
                <w:numId w:val="28"/>
              </w:numPr>
              <w:autoSpaceDE/>
              <w:autoSpaceDN/>
              <w:jc w:val="both"/>
              <w:rPr>
                <w:rFonts w:cstheme="minorBidi"/>
              </w:rPr>
            </w:pPr>
            <w:r>
              <w:rPr>
                <w:rFonts w:ascii="Times New Roman" w:hAnsi="Times New Roman"/>
                <w:i/>
                <w:iCs/>
              </w:rPr>
              <w:t>National cycling network</w:t>
            </w:r>
            <w:r>
              <w:rPr>
                <w:rFonts w:ascii="Times New Roman" w:hAnsi="Times New Roman"/>
              </w:rPr>
              <w:t xml:space="preserve">: The construction or the upgrading of cycling connections within the national cycling network is planned to improve connections with urban centres and particularly to PPT hubs, which will promote multimodality in making sustainable daily journeys from the starting point to the destination. By building cycling connections, we want part of the journeys currently made by cars to be made by bicycles, e-bikes or with bicycle/train or bus intermodality. With this approach, we want to cover short routes suitable for cycling and long routes suitable for a bicycle/train or bus combination. Changing the mode of travel from a car to a bicycle or a bicycle and PPT combination constitutes a direct reduction in GHG emissions. The national cycling network in Slovenia was defined in 2018 and has an estimated total length of 4,000 km. The total length of the existing cycling infrastructure of the national network was only 365 km. Projects are in progress to build an additional 400 km by the end of 2023. The measures will include the construction of missing sections of the national network, primarily near towns and cities. </w:t>
            </w:r>
          </w:p>
          <w:p w14:paraId="7C8B73CD" w14:textId="77777777" w:rsidR="00DD13BF" w:rsidRPr="005D559B" w:rsidRDefault="00DD13BF" w:rsidP="00355A56">
            <w:pPr>
              <w:pStyle w:val="Odstavekseznama"/>
              <w:ind w:left="720"/>
              <w:jc w:val="both"/>
              <w:rPr>
                <w:rFonts w:ascii="Times New Roman" w:hAnsi="Times New Roman" w:cs="Times New Roman"/>
              </w:rPr>
            </w:pPr>
          </w:p>
          <w:p w14:paraId="0CE68AEB" w14:textId="77777777" w:rsidR="00DD13BF" w:rsidRPr="00641F21" w:rsidRDefault="00DD13BF" w:rsidP="00DD13BF">
            <w:pPr>
              <w:pStyle w:val="Odstavekseznama"/>
              <w:widowControl/>
              <w:numPr>
                <w:ilvl w:val="0"/>
                <w:numId w:val="28"/>
              </w:numPr>
              <w:autoSpaceDE/>
              <w:autoSpaceDN/>
              <w:jc w:val="both"/>
              <w:rPr>
                <w:rFonts w:ascii="Times New Roman" w:hAnsi="Times New Roman" w:cs="Times New Roman"/>
              </w:rPr>
            </w:pPr>
            <w:r>
              <w:rPr>
                <w:rFonts w:ascii="Times New Roman" w:hAnsi="Times New Roman"/>
                <w:i/>
              </w:rPr>
              <w:t xml:space="preserve">Non-infrastructural sustainable mobility measures at the horizontal level: </w:t>
            </w:r>
            <w:r>
              <w:rPr>
                <w:rFonts w:ascii="Times New Roman" w:hAnsi="Times New Roman"/>
              </w:rPr>
              <w:t>The preparation of regional integrated transport strategies, the updating of integrated transport strategies at the local level and the establishment of regional mobility centres for the promotion and management of sustainable mobility in the regions based on pilot projects are planned; support for education, awareness-raising and information of various target groups about sustainable mobility will also be implemented; incentives for the implementation of measures based on mobility plans at the level of institutions and the certification system of sustainable mobility-oriented employers; incentives for the implementation of measures based on parking policy plans at the level of towns and cities and regions and their implementation; and incentives for the management of city logistics at local and regional levels, including in the form of support for demonstration projects. In this regard, incentives for innovative digital solutions (e.g. carpooling, on-call transport integrated into the system and the introduction of group transport) are particularly important, as they will complement public transport and facilitate greater occupancy of free seats in all means of transport. The development of advanced solutions (digitalisation in transport), which facilitates real-time monitoring of data on the occupancy and location of vehicles and thus optimal route planning, will contribute to that.</w:t>
            </w:r>
          </w:p>
          <w:p w14:paraId="036C0E33" w14:textId="77777777" w:rsidR="00DD13BF" w:rsidRPr="005D559B" w:rsidRDefault="00DD13BF" w:rsidP="00355A56">
            <w:pPr>
              <w:pStyle w:val="Odstavekseznama"/>
              <w:rPr>
                <w:rFonts w:ascii="Times New Roman" w:hAnsi="Times New Roman" w:cs="Times New Roman"/>
              </w:rPr>
            </w:pPr>
          </w:p>
          <w:p w14:paraId="6369702D" w14:textId="77777777" w:rsidR="00DD13BF" w:rsidRPr="005D559B" w:rsidRDefault="00DD13BF" w:rsidP="00DD13BF">
            <w:pPr>
              <w:pStyle w:val="Odstavekseznama"/>
              <w:widowControl/>
              <w:numPr>
                <w:ilvl w:val="0"/>
                <w:numId w:val="28"/>
              </w:numPr>
              <w:autoSpaceDE/>
              <w:autoSpaceDN/>
              <w:jc w:val="both"/>
              <w:rPr>
                <w:rFonts w:ascii="Times New Roman" w:hAnsi="Times New Roman" w:cs="Times New Roman"/>
              </w:rPr>
            </w:pPr>
            <w:r>
              <w:rPr>
                <w:rFonts w:ascii="Times New Roman" w:hAnsi="Times New Roman"/>
                <w:i/>
                <w:iCs/>
              </w:rPr>
              <w:t>Sustainable mobility infrastructure at the local level</w:t>
            </w:r>
            <w:r>
              <w:rPr>
                <w:rFonts w:ascii="Times New Roman" w:hAnsi="Times New Roman"/>
              </w:rPr>
              <w:t>: On the basis of the adopted integrated transport strategies (ITS), priorities will be precisely identified in municipalities with urban settlements and in regions, and funds will be primarily allocated to infrastructure for multimodal door-to-door passenger transport. PPT must be the backbone of the system and complemented with solutions for the first and last kilometre. These are primarily bicycle connections and pedestrian infrastructure with an emphasis on access to PPT stops and points of transfer from a car to PPT or carpooling. Investments in sustainable mobility will help to increase the share of sustainable modes of transport in the daily commute of residents. A greater share of the use of sustainable modes of transport will help to reduce GHG emissions and other air pollutants from transport and thus improve the quality of life. The planned measures include:</w:t>
            </w:r>
          </w:p>
          <w:p w14:paraId="5F014A48" w14:textId="77777777" w:rsidR="00DD13BF" w:rsidRPr="005D559B" w:rsidRDefault="00DD13BF" w:rsidP="00DD13BF">
            <w:pPr>
              <w:pStyle w:val="Odstavekseznama"/>
              <w:widowControl/>
              <w:numPr>
                <w:ilvl w:val="1"/>
                <w:numId w:val="28"/>
              </w:numPr>
              <w:autoSpaceDE/>
              <w:autoSpaceDN/>
              <w:jc w:val="both"/>
              <w:rPr>
                <w:rFonts w:ascii="Times New Roman" w:hAnsi="Times New Roman" w:cs="Times New Roman"/>
              </w:rPr>
            </w:pPr>
            <w:r>
              <w:rPr>
                <w:rFonts w:ascii="Times New Roman" w:hAnsi="Times New Roman"/>
              </w:rPr>
              <w:t>Arranging PPT stations and stops.</w:t>
            </w:r>
          </w:p>
          <w:p w14:paraId="4F8BA77D" w14:textId="77777777" w:rsidR="00DD13BF" w:rsidRPr="005D559B" w:rsidRDefault="00DD13BF" w:rsidP="00DD13BF">
            <w:pPr>
              <w:pStyle w:val="Odstavekseznama"/>
              <w:widowControl/>
              <w:numPr>
                <w:ilvl w:val="1"/>
                <w:numId w:val="28"/>
              </w:numPr>
              <w:autoSpaceDE/>
              <w:autoSpaceDN/>
              <w:jc w:val="both"/>
              <w:rPr>
                <w:rFonts w:ascii="Times New Roman" w:hAnsi="Times New Roman" w:cs="Times New Roman"/>
              </w:rPr>
            </w:pPr>
            <w:r>
              <w:rPr>
                <w:rFonts w:ascii="Times New Roman" w:hAnsi="Times New Roman"/>
              </w:rPr>
              <w:t>Rearranging the pedestrian infrastructure, particularly for access to schools and PPT stations and stops, including devices and measures to calm traffic for pedestrian safety.</w:t>
            </w:r>
          </w:p>
          <w:p w14:paraId="3BA53F80" w14:textId="77777777" w:rsidR="00DD13BF" w:rsidRPr="005D559B" w:rsidRDefault="00DD13BF" w:rsidP="00DD13BF">
            <w:pPr>
              <w:pStyle w:val="Odstavekseznama"/>
              <w:widowControl/>
              <w:numPr>
                <w:ilvl w:val="1"/>
                <w:numId w:val="28"/>
              </w:numPr>
              <w:autoSpaceDE/>
              <w:autoSpaceDN/>
              <w:jc w:val="both"/>
              <w:rPr>
                <w:rFonts w:ascii="Times New Roman" w:hAnsi="Times New Roman" w:cs="Times New Roman"/>
              </w:rPr>
            </w:pPr>
            <w:r>
              <w:rPr>
                <w:rFonts w:ascii="Times New Roman" w:hAnsi="Times New Roman"/>
              </w:rPr>
              <w:lastRenderedPageBreak/>
              <w:t>Constructing high-quality separate cycling areas and other cycling infrastructure, including infrastructure for charging e-bikes and parking spaces for bikes, particularly safe bike racks for e-bikes next to public infrastructure, for example schools, municipalities, business zones, railway and bus stations and stops, to promote the use of ordinary and e-bikes for daily commute.</w:t>
            </w:r>
          </w:p>
          <w:p w14:paraId="4D81EA37" w14:textId="77777777" w:rsidR="00DD13BF" w:rsidRDefault="00DD13BF" w:rsidP="00DD13BF">
            <w:pPr>
              <w:pStyle w:val="Odstavekseznama"/>
              <w:widowControl/>
              <w:numPr>
                <w:ilvl w:val="1"/>
                <w:numId w:val="28"/>
              </w:numPr>
              <w:autoSpaceDE/>
              <w:autoSpaceDN/>
              <w:jc w:val="both"/>
              <w:rPr>
                <w:rFonts w:ascii="Times New Roman" w:hAnsi="Times New Roman" w:cs="Times New Roman"/>
              </w:rPr>
            </w:pPr>
            <w:r>
              <w:rPr>
                <w:rFonts w:ascii="Times New Roman" w:hAnsi="Times New Roman"/>
              </w:rPr>
              <w:t>Infrastructure of transfer points between various forms of mobility.</w:t>
            </w:r>
          </w:p>
          <w:p w14:paraId="0C031C38" w14:textId="77777777" w:rsidR="00DD13BF" w:rsidRPr="005D559B" w:rsidRDefault="00DD13BF" w:rsidP="00355A56">
            <w:pPr>
              <w:pStyle w:val="Odstavekseznama"/>
              <w:ind w:left="1440"/>
              <w:jc w:val="both"/>
              <w:rPr>
                <w:rFonts w:ascii="Times New Roman" w:hAnsi="Times New Roman" w:cs="Times New Roman"/>
              </w:rPr>
            </w:pPr>
          </w:p>
          <w:p w14:paraId="6E5E5AD2" w14:textId="77777777" w:rsidR="00DD13BF" w:rsidRDefault="00DD13BF" w:rsidP="00DD13BF">
            <w:pPr>
              <w:pStyle w:val="Odstavekseznama"/>
              <w:widowControl/>
              <w:numPr>
                <w:ilvl w:val="0"/>
                <w:numId w:val="28"/>
              </w:numPr>
              <w:autoSpaceDE/>
              <w:autoSpaceDN/>
              <w:jc w:val="both"/>
              <w:rPr>
                <w:rFonts w:asciiTheme="minorHAnsi" w:eastAsiaTheme="minorEastAsia" w:hAnsiTheme="minorHAnsi" w:cstheme="minorBidi"/>
              </w:rPr>
            </w:pPr>
            <w:r>
              <w:rPr>
                <w:rFonts w:ascii="Times New Roman" w:hAnsi="Times New Roman"/>
                <w:i/>
                <w:iCs/>
              </w:rPr>
              <w:t>Sustainable mobility organisation at the local level</w:t>
            </w:r>
            <w:r>
              <w:rPr>
                <w:rFonts w:ascii="Times New Roman" w:hAnsi="Times New Roman"/>
              </w:rPr>
              <w:t>: On the basis of the adopted integrated transport strategies (ITS), priorities will be precisely identified in municipalities with urban settlements and in regions. The funds will be allocated to measures for better traffic management in towns and cities and regions to increase the attractiveness of sustainable modes of transport and discourage users from excessive car use. The planned measures include:</w:t>
            </w:r>
          </w:p>
          <w:p w14:paraId="34CF1942" w14:textId="77777777" w:rsidR="00DD13BF" w:rsidRDefault="00DD13BF" w:rsidP="00DD13BF">
            <w:pPr>
              <w:pStyle w:val="Odstavekseznama"/>
              <w:widowControl/>
              <w:numPr>
                <w:ilvl w:val="1"/>
                <w:numId w:val="28"/>
              </w:numPr>
              <w:autoSpaceDE/>
              <w:autoSpaceDN/>
              <w:jc w:val="both"/>
              <w:rPr>
                <w:rFonts w:asciiTheme="minorHAnsi" w:eastAsiaTheme="minorEastAsia" w:hAnsiTheme="minorHAnsi" w:cstheme="minorBidi"/>
              </w:rPr>
            </w:pPr>
            <w:r>
              <w:rPr>
                <w:rFonts w:ascii="Times New Roman" w:hAnsi="Times New Roman"/>
              </w:rPr>
              <w:t>Using intelligent transport systems to manage multimodal sustainable mobility.</w:t>
            </w:r>
          </w:p>
          <w:p w14:paraId="0808D345" w14:textId="77777777" w:rsidR="00DD13BF" w:rsidRPr="005D559B" w:rsidRDefault="00DD13BF" w:rsidP="00DD13BF">
            <w:pPr>
              <w:pStyle w:val="Odstavekseznama"/>
              <w:widowControl/>
              <w:numPr>
                <w:ilvl w:val="1"/>
                <w:numId w:val="28"/>
              </w:numPr>
              <w:autoSpaceDE/>
              <w:autoSpaceDN/>
              <w:jc w:val="both"/>
              <w:rPr>
                <w:rFonts w:ascii="Times New Roman" w:hAnsi="Times New Roman" w:cs="Times New Roman"/>
              </w:rPr>
            </w:pPr>
            <w:r>
              <w:rPr>
                <w:rFonts w:ascii="Times New Roman" w:hAnsi="Times New Roman"/>
              </w:rPr>
              <w:t>Implementing pilot projects within the framework of the sustainable parking policy measure, limiting traffic in city centres and using advanced technologies for mobility management.</w:t>
            </w:r>
          </w:p>
          <w:p w14:paraId="559DACD2" w14:textId="77777777" w:rsidR="00DD13BF" w:rsidRPr="000F0D79" w:rsidRDefault="00DD13BF" w:rsidP="00DD13BF">
            <w:pPr>
              <w:pStyle w:val="Odstavekseznama"/>
              <w:widowControl/>
              <w:numPr>
                <w:ilvl w:val="1"/>
                <w:numId w:val="28"/>
              </w:numPr>
              <w:autoSpaceDE/>
              <w:autoSpaceDN/>
              <w:jc w:val="both"/>
              <w:rPr>
                <w:rFonts w:cstheme="minorBidi"/>
              </w:rPr>
            </w:pPr>
            <w:r>
              <w:rPr>
                <w:rFonts w:ascii="Times New Roman" w:hAnsi="Times New Roman"/>
              </w:rPr>
              <w:t>Incentives for the use of advanced technologies for effective mobility management (e.g. establishing traffic optimisation systems with preferential treatment of PPT, cyclists and pedestrians; establishing systems for accessing travel information for users, including the computerisation of parking management; establishing conditions for cross-border mobility or, above all, connections between PPT and transfer points in neighbouring countries).</w:t>
            </w:r>
          </w:p>
          <w:p w14:paraId="1CFBDB51" w14:textId="77777777" w:rsidR="00DD13BF" w:rsidRPr="00262988" w:rsidRDefault="00DD13BF" w:rsidP="00355A56">
            <w:pPr>
              <w:jc w:val="both"/>
            </w:pPr>
          </w:p>
          <w:p w14:paraId="051982E7" w14:textId="77777777" w:rsidR="00DD13BF" w:rsidRPr="00C86CE7" w:rsidRDefault="00DD13BF" w:rsidP="00355A56">
            <w:pPr>
              <w:pStyle w:val="Odstavekseznama"/>
              <w:ind w:left="31"/>
              <w:jc w:val="both"/>
            </w:pPr>
            <w:r>
              <w:rPr>
                <w:rFonts w:ascii="Times New Roman" w:hAnsi="Times New Roman"/>
              </w:rPr>
              <w:t>Where relevant, the implementation of measures will comply with the New European Bauhaus initiative to successfully integrate the principles of sustainability, aesthetics and inclusion to find accessible, inclusive, sustainable and attractive solutions to climate challenges. To formulate the final content of the measures, and the criteria for their selection and implementation, the relevant mitigation measures and, to the greatest extent possible, the relevant recommendations in accordance with the strategic environmental assessment, which are listed in the annex Mitigation Measures and Recommendations, will be taken into account. By its nature, none of the measures foreseen has a significant adverse impact on any of the six environmental objectives, taking into account the technical screening criteria listed in annex DNSH.</w:t>
            </w:r>
          </w:p>
        </w:tc>
      </w:tr>
    </w:tbl>
    <w:p w14:paraId="55CC2DEE" w14:textId="77777777" w:rsidR="00DD13BF" w:rsidRDefault="00DD13BF" w:rsidP="00DD13BF">
      <w:pPr>
        <w:ind w:left="1349"/>
        <w:rPr>
          <w:spacing w:val="-6"/>
        </w:rPr>
      </w:pPr>
    </w:p>
    <w:p w14:paraId="150AEF96" w14:textId="77777777" w:rsidR="00DD13BF" w:rsidRDefault="00DD13BF" w:rsidP="00DD13BF">
      <w:pPr>
        <w:ind w:left="1349"/>
      </w:pPr>
      <w:r>
        <w:t>Main target groups:</w:t>
      </w:r>
    </w:p>
    <w:p w14:paraId="5F960516"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BBD2676" w14:textId="77777777" w:rsidTr="00355A56">
        <w:tc>
          <w:tcPr>
            <w:tcW w:w="12763" w:type="dxa"/>
          </w:tcPr>
          <w:p w14:paraId="194E14A8" w14:textId="77777777" w:rsidR="00DD13BF" w:rsidRDefault="00DD13BF" w:rsidP="00355A56">
            <w:pPr>
              <w:jc w:val="both"/>
              <w:rPr>
                <w:rFonts w:cstheme="minorHAnsi"/>
              </w:rPr>
            </w:pPr>
            <w:r>
              <w:t>Target groups: enterprises, public sector, households, local communities, cooperatives, institutions, regional development agencies, individuals.</w:t>
            </w:r>
          </w:p>
          <w:p w14:paraId="637B2794" w14:textId="77777777" w:rsidR="00DD13BF" w:rsidRDefault="00DD13BF" w:rsidP="00355A56">
            <w:pPr>
              <w:jc w:val="both"/>
              <w:rPr>
                <w:rFonts w:cstheme="minorHAnsi"/>
              </w:rPr>
            </w:pPr>
          </w:p>
          <w:p w14:paraId="06AA3B9A" w14:textId="77777777" w:rsidR="00DD13BF" w:rsidRPr="00B3569A" w:rsidRDefault="00DD13BF" w:rsidP="00355A56">
            <w:pPr>
              <w:jc w:val="both"/>
              <w:rPr>
                <w:rFonts w:cstheme="minorHAnsi"/>
              </w:rPr>
            </w:pPr>
            <w:r>
              <w:t>Beneficiaries: Slovenian Infrastructure Agency (DRSI), Družba za avtoceste v Republiki Sloveniji (DARS), local communities, state administration, institutions, regional development agencies, enterprises.</w:t>
            </w:r>
          </w:p>
        </w:tc>
      </w:tr>
    </w:tbl>
    <w:p w14:paraId="32795A74" w14:textId="77777777" w:rsidR="00DD13BF" w:rsidRPr="006B7178" w:rsidRDefault="00DD13BF" w:rsidP="00DD13BF">
      <w:pPr>
        <w:ind w:left="1349"/>
      </w:pPr>
    </w:p>
    <w:p w14:paraId="748FE8F5" w14:textId="77777777" w:rsidR="00DD13BF" w:rsidRDefault="00DD13BF" w:rsidP="00DD13BF">
      <w:pPr>
        <w:ind w:left="1349"/>
        <w:rPr>
          <w:spacing w:val="-2"/>
        </w:rPr>
      </w:pPr>
      <w:r>
        <w:t>Measures to protect equality, inclusion and non-discrimination:</w:t>
      </w:r>
    </w:p>
    <w:p w14:paraId="4FE8F085"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058267DA" w14:textId="77777777" w:rsidTr="00355A56">
        <w:tc>
          <w:tcPr>
            <w:tcW w:w="12715" w:type="dxa"/>
          </w:tcPr>
          <w:p w14:paraId="365FFF59" w14:textId="77777777" w:rsidR="00DD13BF" w:rsidRDefault="00DD13BF" w:rsidP="00355A56">
            <w:pPr>
              <w:jc w:val="both"/>
              <w:rPr>
                <w:rFonts w:cstheme="minorHAnsi"/>
              </w:rPr>
            </w:pPr>
            <w:r>
              <w:t xml:space="preserve">When planning, implementing and monitoring measures, the principles of gender equality, equal opportunities and non-discrimination will be respected in accordance with national legislation (Equal Opportunities for Women and Men Act, Protection Against Discrimination Act, </w:t>
            </w:r>
            <w:r>
              <w:lastRenderedPageBreak/>
              <w:t xml:space="preserve">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 </w:t>
            </w:r>
          </w:p>
          <w:p w14:paraId="1BD3DBCA" w14:textId="77777777" w:rsidR="00DD13BF" w:rsidRDefault="00DD13BF" w:rsidP="00355A56">
            <w:pPr>
              <w:jc w:val="both"/>
              <w:rPr>
                <w:rFonts w:cstheme="minorHAnsi"/>
              </w:rPr>
            </w:pPr>
          </w:p>
          <w:p w14:paraId="29A3A1C9" w14:textId="77777777" w:rsidR="00DD13BF" w:rsidRPr="00B3569A" w:rsidRDefault="00DD13BF" w:rsidP="00355A56">
            <w:pPr>
              <w:jc w:val="both"/>
              <w:rPr>
                <w:rFonts w:cstheme="minorHAnsi"/>
              </w:rPr>
            </w:pPr>
            <w:r>
              <w:t>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76D6C2C6" w14:textId="77777777" w:rsidR="00DD13BF" w:rsidRDefault="00DD13BF" w:rsidP="00DD13BF">
      <w:pPr>
        <w:rPr>
          <w:sz w:val="20"/>
        </w:rPr>
      </w:pPr>
    </w:p>
    <w:p w14:paraId="27FB290E" w14:textId="77777777" w:rsidR="00DD13BF" w:rsidRDefault="00DD13BF" w:rsidP="00DD13BF">
      <w:pPr>
        <w:ind w:left="1415"/>
        <w:rPr>
          <w:spacing w:val="-4"/>
        </w:rPr>
      </w:pPr>
      <w:r>
        <w:t>Indication of the specific territories targeted, including the planned use of territorial tools:</w:t>
      </w:r>
    </w:p>
    <w:p w14:paraId="6962D321"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72D11A91" w14:textId="77777777" w:rsidTr="00355A56">
        <w:tc>
          <w:tcPr>
            <w:tcW w:w="12763" w:type="dxa"/>
          </w:tcPr>
          <w:p w14:paraId="0F4A790D" w14:textId="77777777" w:rsidR="00DD13BF" w:rsidRDefault="00DD13BF" w:rsidP="00355A56">
            <w:pPr>
              <w:jc w:val="both"/>
              <w:rPr>
                <w:rFonts w:cstheme="minorHAnsi"/>
              </w:rPr>
            </w:pPr>
            <w:r>
              <w:t>Under the specific objective, the regional development approach stemming from needs in the drafted territorial strategies (RDP) is to be addressed. In the first phase, the selection of operations includes decision-makers and representatives of the regions (within the councils of the regions).</w:t>
            </w:r>
          </w:p>
          <w:p w14:paraId="371295F4" w14:textId="77777777" w:rsidR="00DD13BF" w:rsidRDefault="00DD13BF" w:rsidP="00355A56">
            <w:pPr>
              <w:jc w:val="both"/>
              <w:rPr>
                <w:rFonts w:cstheme="minorHAnsi"/>
              </w:rPr>
            </w:pPr>
          </w:p>
          <w:p w14:paraId="5F0F8E40" w14:textId="77777777" w:rsidR="00DD13BF" w:rsidRPr="00B3569A" w:rsidRDefault="00DD13BF" w:rsidP="00355A56">
            <w:pPr>
              <w:jc w:val="both"/>
              <w:rPr>
                <w:rFonts w:cstheme="minorHAnsi"/>
              </w:rPr>
            </w:pPr>
            <w:r>
              <w:t>The measures planned within the ERDF funds under this specific objective are foreseen only in the Eastern Slovenia cohesion region, as the greatest needs are shown in this cohesion region.</w:t>
            </w:r>
          </w:p>
        </w:tc>
      </w:tr>
    </w:tbl>
    <w:p w14:paraId="5AF52D67" w14:textId="77777777" w:rsidR="00DD13BF" w:rsidRDefault="00DD13BF" w:rsidP="00DD13BF">
      <w:pPr>
        <w:rPr>
          <w:sz w:val="18"/>
        </w:rPr>
      </w:pPr>
    </w:p>
    <w:p w14:paraId="0ADBA4A9" w14:textId="77777777" w:rsidR="00DD13BF" w:rsidRDefault="00DD13BF" w:rsidP="00DD13BF">
      <w:pPr>
        <w:ind w:left="1415"/>
      </w:pPr>
      <w:r>
        <w:t>The interregional, cross-border and transnational actions:</w:t>
      </w:r>
    </w:p>
    <w:p w14:paraId="27488B8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612AFD60" w14:textId="77777777" w:rsidTr="00355A56">
        <w:tc>
          <w:tcPr>
            <w:tcW w:w="12763" w:type="dxa"/>
          </w:tcPr>
          <w:p w14:paraId="251CE933" w14:textId="77777777" w:rsidR="00DD13BF" w:rsidRPr="0005785C" w:rsidRDefault="00DD13BF" w:rsidP="00355A56">
            <w:pPr>
              <w:jc w:val="both"/>
              <w:rPr>
                <w:rFonts w:eastAsia="Calibri"/>
              </w:rPr>
            </w:pPr>
            <w:r>
              <w:t>The implementation of interregional, cross-border and transnational actions is not planned under this specific objective, as these are measures to promote all forms of sustainable mobility and strengthen public passenger transport, including providing better access to the TEN-T network, which are primarily intended for target groups in the territory of Slovenia.</w:t>
            </w:r>
          </w:p>
        </w:tc>
      </w:tr>
    </w:tbl>
    <w:p w14:paraId="49474063" w14:textId="77777777" w:rsidR="00DD13BF" w:rsidRDefault="00DD13BF" w:rsidP="00DD13BF">
      <w:pPr>
        <w:rPr>
          <w:sz w:val="17"/>
        </w:rPr>
      </w:pPr>
    </w:p>
    <w:p w14:paraId="4D7E011D" w14:textId="77777777" w:rsidR="00DD13BF" w:rsidRDefault="00DD13BF" w:rsidP="00DD13BF">
      <w:pPr>
        <w:ind w:left="1415"/>
        <w:rPr>
          <w:spacing w:val="-3"/>
        </w:rPr>
      </w:pPr>
      <w:r>
        <w:t>Planned use of financial instruments:</w:t>
      </w:r>
    </w:p>
    <w:p w14:paraId="75FD85A1"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05A23977" w14:textId="77777777" w:rsidTr="00355A56">
        <w:tc>
          <w:tcPr>
            <w:tcW w:w="12758" w:type="dxa"/>
          </w:tcPr>
          <w:p w14:paraId="19FC785D" w14:textId="77777777" w:rsidR="00DD13BF" w:rsidRPr="00B3569A" w:rsidRDefault="00DD13BF" w:rsidP="00355A56">
            <w:pPr>
              <w:jc w:val="both"/>
              <w:rPr>
                <w:rFonts w:cstheme="minorBidi"/>
              </w:rPr>
            </w:pPr>
            <w:r>
              <w:t xml:space="preserve">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profit, therefore, there is no possibility of savings or return of refundable funds. In addition, the projects are not prepared for refundable funds due to various circumstances (e.g. underdeveloped market, etc.); therefore, </w:t>
            </w:r>
            <w:r>
              <w:lastRenderedPageBreak/>
              <w:t>only the use of grants is foreseen.</w:t>
            </w:r>
          </w:p>
        </w:tc>
      </w:tr>
    </w:tbl>
    <w:p w14:paraId="3B834E1E" w14:textId="77777777" w:rsidR="00DD13BF" w:rsidRDefault="00DD13BF" w:rsidP="00DD13BF">
      <w:pPr>
        <w:rPr>
          <w:sz w:val="20"/>
        </w:rPr>
      </w:pPr>
    </w:p>
    <w:p w14:paraId="37589E1B" w14:textId="77777777" w:rsidR="00DD13BF" w:rsidRDefault="00DD13BF" w:rsidP="00DD13BF">
      <w:pPr>
        <w:rPr>
          <w:sz w:val="20"/>
        </w:rPr>
      </w:pPr>
    </w:p>
    <w:p w14:paraId="5DB6370A" w14:textId="77777777" w:rsidR="00DD13BF" w:rsidRDefault="00DD13BF" w:rsidP="00DD13BF">
      <w:pPr>
        <w:pStyle w:val="Naslov5"/>
        <w:spacing w:before="0"/>
      </w:pPr>
      <w:r>
        <w:t>Indicators</w:t>
      </w:r>
    </w:p>
    <w:p w14:paraId="326A748B" w14:textId="77777777" w:rsidR="00DD13BF" w:rsidRDefault="00DD13BF" w:rsidP="00DD13BF"/>
    <w:p w14:paraId="3905C047" w14:textId="77777777" w:rsidR="00DD13BF" w:rsidRDefault="00DD13BF" w:rsidP="00DD13BF">
      <w:pPr>
        <w:ind w:left="379"/>
      </w:pPr>
      <w:r>
        <w:t>Table 2: Impact indicators</w:t>
      </w:r>
    </w:p>
    <w:p w14:paraId="2CAE3E15"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276"/>
        <w:gridCol w:w="708"/>
        <w:gridCol w:w="1701"/>
        <w:gridCol w:w="778"/>
        <w:gridCol w:w="4042"/>
        <w:gridCol w:w="1276"/>
        <w:gridCol w:w="1418"/>
        <w:gridCol w:w="1558"/>
      </w:tblGrid>
      <w:tr w:rsidR="00DD13BF" w14:paraId="65FF6E51" w14:textId="77777777" w:rsidTr="00355A56">
        <w:trPr>
          <w:trHeight w:val="254"/>
        </w:trPr>
        <w:tc>
          <w:tcPr>
            <w:tcW w:w="1125" w:type="dxa"/>
            <w:vAlign w:val="center"/>
          </w:tcPr>
          <w:p w14:paraId="339080C0" w14:textId="77777777" w:rsidR="00DD13BF" w:rsidRDefault="00DD13BF" w:rsidP="00355A56">
            <w:pPr>
              <w:pStyle w:val="TableParagraph"/>
              <w:ind w:right="82"/>
            </w:pPr>
            <w:r>
              <w:t>Priority</w:t>
            </w:r>
          </w:p>
        </w:tc>
        <w:tc>
          <w:tcPr>
            <w:tcW w:w="1276" w:type="dxa"/>
            <w:vAlign w:val="center"/>
          </w:tcPr>
          <w:p w14:paraId="49A8066A" w14:textId="77777777" w:rsidR="00DD13BF" w:rsidRDefault="00DD13BF" w:rsidP="00355A56">
            <w:pPr>
              <w:pStyle w:val="TableParagraph"/>
            </w:pPr>
            <w:r>
              <w:t>Specific objective</w:t>
            </w:r>
          </w:p>
        </w:tc>
        <w:tc>
          <w:tcPr>
            <w:tcW w:w="708" w:type="dxa"/>
            <w:vAlign w:val="center"/>
          </w:tcPr>
          <w:p w14:paraId="4E0AE0FB" w14:textId="77777777" w:rsidR="00DD13BF" w:rsidRDefault="00DD13BF" w:rsidP="00355A56">
            <w:pPr>
              <w:pStyle w:val="TableParagraph"/>
            </w:pPr>
            <w:r>
              <w:t>Fund</w:t>
            </w:r>
          </w:p>
        </w:tc>
        <w:tc>
          <w:tcPr>
            <w:tcW w:w="1701" w:type="dxa"/>
            <w:vAlign w:val="center"/>
          </w:tcPr>
          <w:p w14:paraId="1265DA2C" w14:textId="77777777" w:rsidR="00DD13BF" w:rsidRDefault="00DD13BF" w:rsidP="00355A56">
            <w:pPr>
              <w:pStyle w:val="TableParagraph"/>
            </w:pPr>
            <w:r>
              <w:t>Category of region</w:t>
            </w:r>
          </w:p>
        </w:tc>
        <w:tc>
          <w:tcPr>
            <w:tcW w:w="778" w:type="dxa"/>
            <w:vAlign w:val="center"/>
          </w:tcPr>
          <w:p w14:paraId="686F8D6B" w14:textId="77777777" w:rsidR="00DD13BF" w:rsidRPr="00347461" w:rsidRDefault="00DD13BF" w:rsidP="00355A56">
            <w:pPr>
              <w:pStyle w:val="TableParagraph"/>
              <w:rPr>
                <w:sz w:val="20"/>
              </w:rPr>
            </w:pPr>
            <w:r>
              <w:t>ID</w:t>
            </w:r>
          </w:p>
        </w:tc>
        <w:tc>
          <w:tcPr>
            <w:tcW w:w="4042" w:type="dxa"/>
            <w:vAlign w:val="center"/>
          </w:tcPr>
          <w:p w14:paraId="1A912DFF" w14:textId="77777777" w:rsidR="00DD13BF" w:rsidRPr="00347461" w:rsidRDefault="00DD13BF" w:rsidP="00355A56">
            <w:pPr>
              <w:pStyle w:val="TableParagraph"/>
              <w:rPr>
                <w:sz w:val="20"/>
              </w:rPr>
            </w:pPr>
            <w:r>
              <w:t>Indicators</w:t>
            </w:r>
          </w:p>
        </w:tc>
        <w:tc>
          <w:tcPr>
            <w:tcW w:w="1276" w:type="dxa"/>
            <w:vAlign w:val="center"/>
          </w:tcPr>
          <w:p w14:paraId="4E9E473C" w14:textId="77777777" w:rsidR="00DD13BF" w:rsidRPr="00347461" w:rsidRDefault="00DD13BF" w:rsidP="00355A56">
            <w:pPr>
              <w:pStyle w:val="TableParagraph"/>
              <w:rPr>
                <w:sz w:val="20"/>
              </w:rPr>
            </w:pPr>
            <w:r>
              <w:t>Measurement unit</w:t>
            </w:r>
          </w:p>
        </w:tc>
        <w:tc>
          <w:tcPr>
            <w:tcW w:w="1418" w:type="dxa"/>
            <w:vAlign w:val="center"/>
          </w:tcPr>
          <w:p w14:paraId="291F9A19" w14:textId="77777777" w:rsidR="00DD13BF" w:rsidRPr="00347461" w:rsidRDefault="00DD13BF" w:rsidP="00355A56">
            <w:pPr>
              <w:pStyle w:val="TableParagraph"/>
              <w:rPr>
                <w:sz w:val="20"/>
              </w:rPr>
            </w:pPr>
            <w:r>
              <w:t>Milestone (2014)</w:t>
            </w:r>
          </w:p>
        </w:tc>
        <w:tc>
          <w:tcPr>
            <w:tcW w:w="1558" w:type="dxa"/>
            <w:vAlign w:val="center"/>
          </w:tcPr>
          <w:p w14:paraId="3C6767A1" w14:textId="77777777" w:rsidR="00DD13BF" w:rsidRDefault="00DD13BF" w:rsidP="00355A56">
            <w:pPr>
              <w:pStyle w:val="TableParagraph"/>
            </w:pPr>
            <w:r>
              <w:t>Target (2029)</w:t>
            </w:r>
          </w:p>
        </w:tc>
      </w:tr>
      <w:tr w:rsidR="00DD13BF" w14:paraId="46124DF8" w14:textId="77777777" w:rsidTr="00355A56">
        <w:trPr>
          <w:trHeight w:val="367"/>
        </w:trPr>
        <w:tc>
          <w:tcPr>
            <w:tcW w:w="1125" w:type="dxa"/>
          </w:tcPr>
          <w:p w14:paraId="133809AC" w14:textId="77777777" w:rsidR="00DD13BF" w:rsidRPr="00DD1BF0" w:rsidRDefault="00DD13BF" w:rsidP="00355A56">
            <w:pPr>
              <w:pStyle w:val="TableParagraph"/>
              <w:rPr>
                <w:sz w:val="20"/>
              </w:rPr>
            </w:pPr>
            <w:r>
              <w:rPr>
                <w:sz w:val="20"/>
              </w:rPr>
              <w:t>5</w:t>
            </w:r>
          </w:p>
        </w:tc>
        <w:tc>
          <w:tcPr>
            <w:tcW w:w="1276" w:type="dxa"/>
          </w:tcPr>
          <w:p w14:paraId="67D7C2B4" w14:textId="77777777" w:rsidR="00DD13BF" w:rsidRPr="00DD1BF0" w:rsidRDefault="00DD13BF" w:rsidP="00355A56">
            <w:pPr>
              <w:pStyle w:val="TableParagraph"/>
              <w:rPr>
                <w:sz w:val="20"/>
              </w:rPr>
            </w:pPr>
            <w:r>
              <w:rPr>
                <w:color w:val="000000"/>
                <w:sz w:val="20"/>
              </w:rPr>
              <w:t>RSO3.2</w:t>
            </w:r>
          </w:p>
        </w:tc>
        <w:tc>
          <w:tcPr>
            <w:tcW w:w="708" w:type="dxa"/>
          </w:tcPr>
          <w:p w14:paraId="5B556E92" w14:textId="77777777" w:rsidR="00DD13BF" w:rsidRPr="00D41B61" w:rsidRDefault="00DD13BF" w:rsidP="00355A56">
            <w:pPr>
              <w:pStyle w:val="TableParagraph"/>
              <w:rPr>
                <w:sz w:val="20"/>
              </w:rPr>
            </w:pPr>
            <w:r>
              <w:rPr>
                <w:color w:val="000000"/>
                <w:sz w:val="20"/>
              </w:rPr>
              <w:t>ERDF</w:t>
            </w:r>
          </w:p>
        </w:tc>
        <w:tc>
          <w:tcPr>
            <w:tcW w:w="1701" w:type="dxa"/>
          </w:tcPr>
          <w:p w14:paraId="777FC88D" w14:textId="77777777" w:rsidR="00DD13BF" w:rsidRPr="00D41B61" w:rsidRDefault="00DD13BF" w:rsidP="00355A56">
            <w:pPr>
              <w:pStyle w:val="TableParagraph"/>
              <w:rPr>
                <w:sz w:val="20"/>
              </w:rPr>
            </w:pPr>
            <w:r>
              <w:rPr>
                <w:color w:val="000000"/>
                <w:sz w:val="20"/>
              </w:rPr>
              <w:t>Less developed</w:t>
            </w:r>
          </w:p>
        </w:tc>
        <w:tc>
          <w:tcPr>
            <w:tcW w:w="778" w:type="dxa"/>
          </w:tcPr>
          <w:p w14:paraId="7C3DD08A" w14:textId="77777777" w:rsidR="00DD13BF" w:rsidRPr="00D41B61" w:rsidRDefault="00DD13BF" w:rsidP="00355A56">
            <w:pPr>
              <w:pStyle w:val="TableParagraph"/>
              <w:rPr>
                <w:sz w:val="20"/>
              </w:rPr>
            </w:pPr>
            <w:r>
              <w:rPr>
                <w:color w:val="000000"/>
                <w:sz w:val="20"/>
              </w:rPr>
              <w:t>RCO44</w:t>
            </w:r>
          </w:p>
        </w:tc>
        <w:tc>
          <w:tcPr>
            <w:tcW w:w="4042" w:type="dxa"/>
          </w:tcPr>
          <w:p w14:paraId="6A764022" w14:textId="77777777" w:rsidR="00DD13BF" w:rsidRPr="00D41B61" w:rsidRDefault="00DD13BF" w:rsidP="00355A56">
            <w:pPr>
              <w:pStyle w:val="TableParagraph"/>
              <w:rPr>
                <w:sz w:val="20"/>
              </w:rPr>
            </w:pPr>
            <w:r>
              <w:rPr>
                <w:color w:val="000000"/>
                <w:sz w:val="20"/>
              </w:rPr>
              <w:t>Length of new or upgraded roads – non-TEN-T</w:t>
            </w:r>
          </w:p>
        </w:tc>
        <w:tc>
          <w:tcPr>
            <w:tcW w:w="1276" w:type="dxa"/>
          </w:tcPr>
          <w:p w14:paraId="558737E2" w14:textId="77777777" w:rsidR="00DD13BF" w:rsidRPr="00D41B61" w:rsidRDefault="00DD13BF" w:rsidP="00355A56">
            <w:pPr>
              <w:pStyle w:val="TableParagraph"/>
              <w:rPr>
                <w:sz w:val="20"/>
              </w:rPr>
            </w:pPr>
            <w:r>
              <w:rPr>
                <w:color w:val="000000"/>
                <w:sz w:val="20"/>
              </w:rPr>
              <w:t>Km</w:t>
            </w:r>
          </w:p>
        </w:tc>
        <w:tc>
          <w:tcPr>
            <w:tcW w:w="1418" w:type="dxa"/>
          </w:tcPr>
          <w:p w14:paraId="3F77C9A5" w14:textId="77777777" w:rsidR="00DD13BF" w:rsidRPr="00347461" w:rsidRDefault="00DD13BF" w:rsidP="00355A56">
            <w:pPr>
              <w:pStyle w:val="TableParagraph"/>
              <w:rPr>
                <w:sz w:val="20"/>
              </w:rPr>
            </w:pPr>
            <w:r>
              <w:rPr>
                <w:sz w:val="20"/>
              </w:rPr>
              <w:t>0</w:t>
            </w:r>
          </w:p>
        </w:tc>
        <w:tc>
          <w:tcPr>
            <w:tcW w:w="1558" w:type="dxa"/>
          </w:tcPr>
          <w:p w14:paraId="717F9209" w14:textId="77777777" w:rsidR="00DD13BF" w:rsidRPr="00104C33" w:rsidRDefault="00DD13BF" w:rsidP="00355A56">
            <w:pPr>
              <w:pStyle w:val="TableParagraph"/>
              <w:rPr>
                <w:sz w:val="20"/>
              </w:rPr>
            </w:pPr>
            <w:r>
              <w:t>10.85</w:t>
            </w:r>
          </w:p>
        </w:tc>
      </w:tr>
      <w:tr w:rsidR="00DD13BF" w14:paraId="2AE129C8" w14:textId="77777777" w:rsidTr="00355A56">
        <w:trPr>
          <w:trHeight w:val="367"/>
        </w:trPr>
        <w:tc>
          <w:tcPr>
            <w:tcW w:w="1125" w:type="dxa"/>
          </w:tcPr>
          <w:p w14:paraId="4745EFBF" w14:textId="77777777" w:rsidR="00DD13BF" w:rsidRDefault="00DD13BF" w:rsidP="00355A56">
            <w:pPr>
              <w:pStyle w:val="TableParagraph"/>
              <w:rPr>
                <w:sz w:val="20"/>
              </w:rPr>
            </w:pPr>
            <w:r>
              <w:rPr>
                <w:sz w:val="20"/>
              </w:rPr>
              <w:t>5</w:t>
            </w:r>
          </w:p>
        </w:tc>
        <w:tc>
          <w:tcPr>
            <w:tcW w:w="1276" w:type="dxa"/>
          </w:tcPr>
          <w:p w14:paraId="610B4541" w14:textId="77777777" w:rsidR="00DD13BF" w:rsidRPr="00347461" w:rsidRDefault="00DD13BF" w:rsidP="00355A56">
            <w:pPr>
              <w:pStyle w:val="TableParagraph"/>
              <w:rPr>
                <w:sz w:val="20"/>
              </w:rPr>
            </w:pPr>
            <w:r>
              <w:rPr>
                <w:color w:val="000000"/>
                <w:sz w:val="20"/>
              </w:rPr>
              <w:t>RSO3.2</w:t>
            </w:r>
          </w:p>
        </w:tc>
        <w:tc>
          <w:tcPr>
            <w:tcW w:w="708" w:type="dxa"/>
          </w:tcPr>
          <w:p w14:paraId="086CCAC6" w14:textId="77777777" w:rsidR="00DD13BF" w:rsidRPr="00D41B61" w:rsidRDefault="00DD13BF" w:rsidP="00355A56">
            <w:pPr>
              <w:pStyle w:val="TableParagraph"/>
              <w:rPr>
                <w:sz w:val="20"/>
              </w:rPr>
            </w:pPr>
            <w:r>
              <w:rPr>
                <w:color w:val="000000"/>
                <w:sz w:val="20"/>
              </w:rPr>
              <w:t>ERDF</w:t>
            </w:r>
          </w:p>
        </w:tc>
        <w:tc>
          <w:tcPr>
            <w:tcW w:w="1701" w:type="dxa"/>
          </w:tcPr>
          <w:p w14:paraId="50ABC095" w14:textId="77777777" w:rsidR="00DD13BF" w:rsidRPr="00D41B61" w:rsidRDefault="00DD13BF" w:rsidP="00355A56">
            <w:pPr>
              <w:pStyle w:val="TableParagraph"/>
              <w:rPr>
                <w:sz w:val="20"/>
              </w:rPr>
            </w:pPr>
            <w:r>
              <w:rPr>
                <w:color w:val="000000"/>
                <w:sz w:val="20"/>
              </w:rPr>
              <w:t>Less developed</w:t>
            </w:r>
          </w:p>
        </w:tc>
        <w:tc>
          <w:tcPr>
            <w:tcW w:w="778" w:type="dxa"/>
          </w:tcPr>
          <w:p w14:paraId="6807E5E0" w14:textId="77777777" w:rsidR="00DD13BF" w:rsidRPr="00D41B61" w:rsidRDefault="00DD13BF" w:rsidP="00355A56">
            <w:pPr>
              <w:pStyle w:val="TableParagraph"/>
              <w:rPr>
                <w:sz w:val="20"/>
              </w:rPr>
            </w:pPr>
            <w:r>
              <w:rPr>
                <w:sz w:val="20"/>
              </w:rPr>
              <w:t>RCO48</w:t>
            </w:r>
          </w:p>
        </w:tc>
        <w:tc>
          <w:tcPr>
            <w:tcW w:w="4042" w:type="dxa"/>
          </w:tcPr>
          <w:p w14:paraId="120AA2BC" w14:textId="77777777" w:rsidR="00DD13BF" w:rsidRPr="00D41B61" w:rsidRDefault="00DD13BF" w:rsidP="00355A56">
            <w:pPr>
              <w:pStyle w:val="TableParagraph"/>
              <w:rPr>
                <w:sz w:val="20"/>
              </w:rPr>
            </w:pPr>
            <w:r>
              <w:rPr>
                <w:sz w:val="20"/>
              </w:rPr>
              <w:t xml:space="preserve">Length of new or upgraded rail – non-TEN-T </w:t>
            </w:r>
          </w:p>
        </w:tc>
        <w:tc>
          <w:tcPr>
            <w:tcW w:w="1276" w:type="dxa"/>
          </w:tcPr>
          <w:p w14:paraId="3D11D067" w14:textId="77777777" w:rsidR="00DD13BF" w:rsidRPr="00D41B61" w:rsidRDefault="00DD13BF" w:rsidP="00355A56">
            <w:pPr>
              <w:pStyle w:val="TableParagraph"/>
              <w:rPr>
                <w:sz w:val="20"/>
              </w:rPr>
            </w:pPr>
            <w:r>
              <w:rPr>
                <w:sz w:val="20"/>
              </w:rPr>
              <w:t>Km</w:t>
            </w:r>
          </w:p>
        </w:tc>
        <w:tc>
          <w:tcPr>
            <w:tcW w:w="1418" w:type="dxa"/>
          </w:tcPr>
          <w:p w14:paraId="6F74CB8B" w14:textId="77777777" w:rsidR="00DD13BF" w:rsidRPr="00347461" w:rsidRDefault="00DD13BF" w:rsidP="00355A56">
            <w:pPr>
              <w:pStyle w:val="TableParagraph"/>
              <w:rPr>
                <w:sz w:val="20"/>
              </w:rPr>
            </w:pPr>
            <w:r>
              <w:rPr>
                <w:sz w:val="20"/>
              </w:rPr>
              <w:t>0</w:t>
            </w:r>
          </w:p>
        </w:tc>
        <w:tc>
          <w:tcPr>
            <w:tcW w:w="1558" w:type="dxa"/>
          </w:tcPr>
          <w:p w14:paraId="6EB18250" w14:textId="77777777" w:rsidR="00DD13BF" w:rsidRDefault="00DD13BF" w:rsidP="00355A56">
            <w:pPr>
              <w:pStyle w:val="TableParagraph"/>
              <w:rPr>
                <w:sz w:val="20"/>
              </w:rPr>
            </w:pPr>
            <w:r>
              <w:rPr>
                <w:sz w:val="20"/>
              </w:rPr>
              <w:t>10</w:t>
            </w:r>
          </w:p>
        </w:tc>
      </w:tr>
      <w:tr w:rsidR="00DD13BF" w14:paraId="28E022FD" w14:textId="77777777" w:rsidTr="00355A56">
        <w:trPr>
          <w:trHeight w:val="367"/>
        </w:trPr>
        <w:tc>
          <w:tcPr>
            <w:tcW w:w="1125" w:type="dxa"/>
          </w:tcPr>
          <w:p w14:paraId="1B0C94BB" w14:textId="77777777" w:rsidR="00DD13BF" w:rsidRPr="00DD1BF0" w:rsidRDefault="00DD13BF" w:rsidP="00355A56">
            <w:pPr>
              <w:pStyle w:val="TableParagraph"/>
              <w:rPr>
                <w:sz w:val="20"/>
              </w:rPr>
            </w:pPr>
            <w:r>
              <w:rPr>
                <w:sz w:val="20"/>
              </w:rPr>
              <w:t>5</w:t>
            </w:r>
          </w:p>
        </w:tc>
        <w:tc>
          <w:tcPr>
            <w:tcW w:w="1276" w:type="dxa"/>
          </w:tcPr>
          <w:p w14:paraId="4CB290D1" w14:textId="77777777" w:rsidR="00DD13BF" w:rsidRPr="00DD1BF0" w:rsidRDefault="00DD13BF" w:rsidP="00355A56">
            <w:pPr>
              <w:pStyle w:val="TableParagraph"/>
              <w:rPr>
                <w:sz w:val="20"/>
              </w:rPr>
            </w:pPr>
            <w:r>
              <w:rPr>
                <w:color w:val="000000"/>
                <w:sz w:val="20"/>
              </w:rPr>
              <w:t>RSO3.2</w:t>
            </w:r>
          </w:p>
        </w:tc>
        <w:tc>
          <w:tcPr>
            <w:tcW w:w="708" w:type="dxa"/>
          </w:tcPr>
          <w:p w14:paraId="796A7551" w14:textId="77777777" w:rsidR="00DD13BF" w:rsidRPr="00D41B61" w:rsidRDefault="00DD13BF" w:rsidP="00355A56">
            <w:pPr>
              <w:pStyle w:val="TableParagraph"/>
              <w:rPr>
                <w:sz w:val="20"/>
              </w:rPr>
            </w:pPr>
            <w:r>
              <w:rPr>
                <w:color w:val="000000"/>
                <w:sz w:val="20"/>
              </w:rPr>
              <w:t>ERDF</w:t>
            </w:r>
          </w:p>
        </w:tc>
        <w:tc>
          <w:tcPr>
            <w:tcW w:w="1701" w:type="dxa"/>
          </w:tcPr>
          <w:p w14:paraId="0423AB00" w14:textId="77777777" w:rsidR="00DD13BF" w:rsidRPr="00D41B61" w:rsidRDefault="00DD13BF" w:rsidP="00355A56">
            <w:pPr>
              <w:pStyle w:val="TableParagraph"/>
              <w:rPr>
                <w:sz w:val="20"/>
              </w:rPr>
            </w:pPr>
            <w:r>
              <w:rPr>
                <w:color w:val="000000"/>
                <w:sz w:val="20"/>
              </w:rPr>
              <w:t>Less developed</w:t>
            </w:r>
          </w:p>
        </w:tc>
        <w:tc>
          <w:tcPr>
            <w:tcW w:w="778" w:type="dxa"/>
          </w:tcPr>
          <w:p w14:paraId="6763DB2A" w14:textId="77777777" w:rsidR="00DD13BF" w:rsidRPr="00D41B61" w:rsidRDefault="00DD13BF" w:rsidP="00355A56">
            <w:pPr>
              <w:pStyle w:val="TableParagraph"/>
              <w:rPr>
                <w:sz w:val="20"/>
              </w:rPr>
            </w:pPr>
            <w:r>
              <w:rPr>
                <w:sz w:val="20"/>
              </w:rPr>
              <w:t>RCO53</w:t>
            </w:r>
          </w:p>
        </w:tc>
        <w:tc>
          <w:tcPr>
            <w:tcW w:w="4042" w:type="dxa"/>
          </w:tcPr>
          <w:p w14:paraId="7CDBD4FD" w14:textId="77777777" w:rsidR="00DD13BF" w:rsidRPr="00D41B61" w:rsidRDefault="00DD13BF" w:rsidP="00355A56">
            <w:pPr>
              <w:pStyle w:val="TableParagraph"/>
              <w:rPr>
                <w:sz w:val="20"/>
              </w:rPr>
            </w:pPr>
            <w:r>
              <w:rPr>
                <w:sz w:val="20"/>
              </w:rPr>
              <w:t xml:space="preserve">New or modernised railway stations and stops </w:t>
            </w:r>
          </w:p>
        </w:tc>
        <w:tc>
          <w:tcPr>
            <w:tcW w:w="1276" w:type="dxa"/>
          </w:tcPr>
          <w:p w14:paraId="1886DBFC" w14:textId="77777777" w:rsidR="00DD13BF" w:rsidRPr="00D41B61" w:rsidRDefault="00DD13BF" w:rsidP="00355A56">
            <w:pPr>
              <w:pStyle w:val="TableParagraph"/>
              <w:rPr>
                <w:sz w:val="20"/>
              </w:rPr>
            </w:pPr>
            <w:r>
              <w:rPr>
                <w:sz w:val="20"/>
              </w:rPr>
              <w:t>Stations and stops</w:t>
            </w:r>
          </w:p>
        </w:tc>
        <w:tc>
          <w:tcPr>
            <w:tcW w:w="1418" w:type="dxa"/>
          </w:tcPr>
          <w:p w14:paraId="08B1FF95" w14:textId="77777777" w:rsidR="00DD13BF" w:rsidRPr="00347461" w:rsidRDefault="00DD13BF" w:rsidP="00355A56">
            <w:pPr>
              <w:pStyle w:val="TableParagraph"/>
              <w:rPr>
                <w:sz w:val="20"/>
              </w:rPr>
            </w:pPr>
            <w:r>
              <w:rPr>
                <w:sz w:val="20"/>
              </w:rPr>
              <w:t>0</w:t>
            </w:r>
          </w:p>
        </w:tc>
        <w:tc>
          <w:tcPr>
            <w:tcW w:w="1558" w:type="dxa"/>
          </w:tcPr>
          <w:p w14:paraId="2FA6B0FA" w14:textId="77777777" w:rsidR="00DD13BF" w:rsidRDefault="00DD13BF" w:rsidP="00355A56">
            <w:pPr>
              <w:pStyle w:val="TableParagraph"/>
              <w:spacing w:line="259" w:lineRule="auto"/>
              <w:rPr>
                <w:sz w:val="20"/>
              </w:rPr>
            </w:pPr>
            <w:r>
              <w:rPr>
                <w:sz w:val="20"/>
              </w:rPr>
              <w:t>8</w:t>
            </w:r>
          </w:p>
        </w:tc>
      </w:tr>
      <w:tr w:rsidR="00DD13BF" w14:paraId="564ECFA0" w14:textId="77777777" w:rsidTr="00355A56">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67"/>
        </w:trPr>
        <w:tc>
          <w:tcPr>
            <w:tcW w:w="1125" w:type="dxa"/>
          </w:tcPr>
          <w:p w14:paraId="39AB1848" w14:textId="77777777" w:rsidR="00DD13BF" w:rsidRDefault="00DD13BF" w:rsidP="00355A56">
            <w:pPr>
              <w:pStyle w:val="TableParagraph"/>
              <w:rPr>
                <w:sz w:val="20"/>
              </w:rPr>
            </w:pPr>
            <w:r>
              <w:rPr>
                <w:sz w:val="20"/>
              </w:rPr>
              <w:t>5</w:t>
            </w:r>
          </w:p>
        </w:tc>
        <w:tc>
          <w:tcPr>
            <w:tcW w:w="1276" w:type="dxa"/>
          </w:tcPr>
          <w:p w14:paraId="73CF49DC" w14:textId="77777777" w:rsidR="00DD13BF" w:rsidRDefault="00DD13BF" w:rsidP="00355A56">
            <w:pPr>
              <w:pStyle w:val="TableParagraph"/>
              <w:rPr>
                <w:sz w:val="20"/>
              </w:rPr>
            </w:pPr>
            <w:r>
              <w:rPr>
                <w:color w:val="000000"/>
                <w:sz w:val="20"/>
              </w:rPr>
              <w:t>RSO3.2</w:t>
            </w:r>
          </w:p>
        </w:tc>
        <w:tc>
          <w:tcPr>
            <w:tcW w:w="708" w:type="dxa"/>
          </w:tcPr>
          <w:p w14:paraId="7251769A" w14:textId="77777777" w:rsidR="00DD13BF" w:rsidRDefault="00DD13BF" w:rsidP="00355A56">
            <w:pPr>
              <w:pStyle w:val="TableParagraph"/>
              <w:rPr>
                <w:color w:val="000000" w:themeColor="text1"/>
                <w:sz w:val="20"/>
              </w:rPr>
            </w:pPr>
            <w:r>
              <w:rPr>
                <w:color w:val="000000" w:themeColor="text1"/>
                <w:sz w:val="20"/>
              </w:rPr>
              <w:t>CF</w:t>
            </w:r>
          </w:p>
        </w:tc>
        <w:tc>
          <w:tcPr>
            <w:tcW w:w="1701" w:type="dxa"/>
          </w:tcPr>
          <w:p w14:paraId="3A3FF18D" w14:textId="77777777" w:rsidR="00DD13BF" w:rsidRDefault="00DD13BF" w:rsidP="00355A56">
            <w:pPr>
              <w:pStyle w:val="TableParagraph"/>
              <w:rPr>
                <w:color w:val="000000" w:themeColor="text1"/>
                <w:sz w:val="20"/>
              </w:rPr>
            </w:pPr>
            <w:r>
              <w:rPr>
                <w:color w:val="000000" w:themeColor="text1"/>
                <w:sz w:val="20"/>
              </w:rPr>
              <w:t>Entire Slovenia</w:t>
            </w:r>
          </w:p>
        </w:tc>
        <w:tc>
          <w:tcPr>
            <w:tcW w:w="778" w:type="dxa"/>
          </w:tcPr>
          <w:p w14:paraId="42226E96" w14:textId="77777777" w:rsidR="00DD13BF" w:rsidRDefault="00DD13BF" w:rsidP="00355A56">
            <w:pPr>
              <w:pStyle w:val="TableParagraph"/>
              <w:rPr>
                <w:sz w:val="20"/>
              </w:rPr>
            </w:pPr>
            <w:r>
              <w:rPr>
                <w:sz w:val="20"/>
              </w:rPr>
              <w:t>RCO58</w:t>
            </w:r>
          </w:p>
        </w:tc>
        <w:tc>
          <w:tcPr>
            <w:tcW w:w="4042" w:type="dxa"/>
          </w:tcPr>
          <w:p w14:paraId="3DF94B75" w14:textId="77777777" w:rsidR="00DD13BF" w:rsidRDefault="00DD13BF" w:rsidP="00355A56">
            <w:pPr>
              <w:pStyle w:val="TableParagraph"/>
              <w:rPr>
                <w:sz w:val="20"/>
              </w:rPr>
            </w:pPr>
            <w:r>
              <w:rPr>
                <w:color w:val="000000"/>
                <w:sz w:val="20"/>
              </w:rPr>
              <w:t>Dedicated cycling infrastructure supported</w:t>
            </w:r>
          </w:p>
        </w:tc>
        <w:tc>
          <w:tcPr>
            <w:tcW w:w="1276" w:type="dxa"/>
          </w:tcPr>
          <w:p w14:paraId="1FD08E9D" w14:textId="77777777" w:rsidR="00DD13BF" w:rsidRDefault="00DD13BF" w:rsidP="00355A56">
            <w:pPr>
              <w:pStyle w:val="TableParagraph"/>
              <w:rPr>
                <w:sz w:val="20"/>
              </w:rPr>
            </w:pPr>
            <w:r>
              <w:rPr>
                <w:sz w:val="20"/>
              </w:rPr>
              <w:t>Km</w:t>
            </w:r>
          </w:p>
        </w:tc>
        <w:tc>
          <w:tcPr>
            <w:tcW w:w="1418" w:type="dxa"/>
          </w:tcPr>
          <w:p w14:paraId="1EFBDEF9" w14:textId="77777777" w:rsidR="00DD13BF" w:rsidRDefault="00DD13BF" w:rsidP="00355A56">
            <w:pPr>
              <w:pStyle w:val="TableParagraph"/>
              <w:rPr>
                <w:sz w:val="20"/>
              </w:rPr>
            </w:pPr>
            <w:r>
              <w:rPr>
                <w:sz w:val="20"/>
              </w:rPr>
              <w:t>6</w:t>
            </w:r>
          </w:p>
        </w:tc>
        <w:tc>
          <w:tcPr>
            <w:tcW w:w="1558" w:type="dxa"/>
          </w:tcPr>
          <w:p w14:paraId="3FA5CA4D" w14:textId="77777777" w:rsidR="00DD13BF" w:rsidRDefault="00DD13BF" w:rsidP="00355A56">
            <w:pPr>
              <w:pStyle w:val="TableParagraph"/>
              <w:rPr>
                <w:sz w:val="20"/>
              </w:rPr>
            </w:pPr>
            <w:r>
              <w:rPr>
                <w:sz w:val="20"/>
              </w:rPr>
              <w:t>120</w:t>
            </w:r>
          </w:p>
        </w:tc>
      </w:tr>
    </w:tbl>
    <w:p w14:paraId="28801D4B" w14:textId="77777777" w:rsidR="00DD13BF" w:rsidRDefault="00DD13BF" w:rsidP="00DD13BF">
      <w:pPr>
        <w:rPr>
          <w:sz w:val="24"/>
          <w:szCs w:val="24"/>
        </w:rPr>
      </w:pPr>
    </w:p>
    <w:p w14:paraId="55F09CDD" w14:textId="77777777" w:rsidR="00DD13BF" w:rsidRDefault="00DD13BF" w:rsidP="00DD13BF">
      <w:pPr>
        <w:ind w:left="379"/>
      </w:pPr>
      <w:r>
        <w:t>Table 3: Result indicators</w:t>
      </w:r>
    </w:p>
    <w:p w14:paraId="0ABEA33B"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850"/>
        <w:gridCol w:w="696"/>
        <w:gridCol w:w="1572"/>
        <w:gridCol w:w="709"/>
        <w:gridCol w:w="2977"/>
        <w:gridCol w:w="1276"/>
        <w:gridCol w:w="1134"/>
        <w:gridCol w:w="993"/>
        <w:gridCol w:w="851"/>
        <w:gridCol w:w="851"/>
        <w:gridCol w:w="848"/>
      </w:tblGrid>
      <w:tr w:rsidR="00DD13BF" w14:paraId="229EB344" w14:textId="77777777" w:rsidTr="00355A56">
        <w:trPr>
          <w:trHeight w:val="353"/>
        </w:trPr>
        <w:tc>
          <w:tcPr>
            <w:tcW w:w="1125" w:type="dxa"/>
          </w:tcPr>
          <w:p w14:paraId="4E88B2D9" w14:textId="77777777" w:rsidR="00DD13BF" w:rsidRPr="00347461" w:rsidRDefault="00DD13BF" w:rsidP="00355A56">
            <w:pPr>
              <w:pStyle w:val="TableParagraph"/>
              <w:rPr>
                <w:sz w:val="20"/>
              </w:rPr>
            </w:pPr>
            <w:r>
              <w:rPr>
                <w:sz w:val="20"/>
              </w:rPr>
              <w:t>Priority</w:t>
            </w:r>
          </w:p>
        </w:tc>
        <w:tc>
          <w:tcPr>
            <w:tcW w:w="850" w:type="dxa"/>
          </w:tcPr>
          <w:p w14:paraId="6D42134F" w14:textId="77777777" w:rsidR="00DD13BF" w:rsidRPr="00347461" w:rsidRDefault="00DD13BF" w:rsidP="00355A56">
            <w:pPr>
              <w:pStyle w:val="TableParagraph"/>
              <w:rPr>
                <w:sz w:val="20"/>
              </w:rPr>
            </w:pPr>
            <w:r>
              <w:rPr>
                <w:sz w:val="20"/>
              </w:rPr>
              <w:t>Specific objective</w:t>
            </w:r>
          </w:p>
        </w:tc>
        <w:tc>
          <w:tcPr>
            <w:tcW w:w="696" w:type="dxa"/>
          </w:tcPr>
          <w:p w14:paraId="1AEBADCB" w14:textId="77777777" w:rsidR="00DD13BF" w:rsidRPr="00347461" w:rsidRDefault="00DD13BF" w:rsidP="00355A56">
            <w:pPr>
              <w:pStyle w:val="TableParagraph"/>
              <w:rPr>
                <w:sz w:val="20"/>
              </w:rPr>
            </w:pPr>
            <w:r>
              <w:rPr>
                <w:sz w:val="20"/>
              </w:rPr>
              <w:t>Fund</w:t>
            </w:r>
          </w:p>
        </w:tc>
        <w:tc>
          <w:tcPr>
            <w:tcW w:w="1572" w:type="dxa"/>
          </w:tcPr>
          <w:p w14:paraId="5E771465" w14:textId="77777777" w:rsidR="00DD13BF" w:rsidRPr="00347461" w:rsidRDefault="00DD13BF" w:rsidP="00355A56">
            <w:pPr>
              <w:pStyle w:val="TableParagraph"/>
              <w:rPr>
                <w:sz w:val="20"/>
              </w:rPr>
            </w:pPr>
            <w:r>
              <w:rPr>
                <w:sz w:val="20"/>
              </w:rPr>
              <w:t>Category of region</w:t>
            </w:r>
          </w:p>
        </w:tc>
        <w:tc>
          <w:tcPr>
            <w:tcW w:w="709" w:type="dxa"/>
          </w:tcPr>
          <w:p w14:paraId="195643C1" w14:textId="77777777" w:rsidR="00DD13BF" w:rsidRPr="00347461" w:rsidRDefault="00DD13BF" w:rsidP="00355A56">
            <w:pPr>
              <w:pStyle w:val="TableParagraph"/>
              <w:rPr>
                <w:sz w:val="20"/>
              </w:rPr>
            </w:pPr>
            <w:r>
              <w:rPr>
                <w:sz w:val="20"/>
              </w:rPr>
              <w:t>ID</w:t>
            </w:r>
          </w:p>
        </w:tc>
        <w:tc>
          <w:tcPr>
            <w:tcW w:w="2977" w:type="dxa"/>
          </w:tcPr>
          <w:p w14:paraId="1D720D85" w14:textId="77777777" w:rsidR="00DD13BF" w:rsidRPr="00347461" w:rsidRDefault="00DD13BF" w:rsidP="00355A56">
            <w:pPr>
              <w:pStyle w:val="TableParagraph"/>
              <w:rPr>
                <w:sz w:val="20"/>
              </w:rPr>
            </w:pPr>
            <w:r>
              <w:rPr>
                <w:sz w:val="20"/>
              </w:rPr>
              <w:t>Indicator</w:t>
            </w:r>
          </w:p>
        </w:tc>
        <w:tc>
          <w:tcPr>
            <w:tcW w:w="1276" w:type="dxa"/>
          </w:tcPr>
          <w:p w14:paraId="3B7D68F4" w14:textId="77777777" w:rsidR="00DD13BF" w:rsidRPr="00347461" w:rsidRDefault="00DD13BF" w:rsidP="00355A56">
            <w:pPr>
              <w:pStyle w:val="TableParagraph"/>
              <w:rPr>
                <w:sz w:val="20"/>
              </w:rPr>
            </w:pPr>
            <w:r>
              <w:rPr>
                <w:sz w:val="20"/>
              </w:rPr>
              <w:t>Measurement unit</w:t>
            </w:r>
          </w:p>
        </w:tc>
        <w:tc>
          <w:tcPr>
            <w:tcW w:w="1134" w:type="dxa"/>
          </w:tcPr>
          <w:p w14:paraId="553036F9" w14:textId="77777777" w:rsidR="00DD13BF" w:rsidRPr="00347461" w:rsidRDefault="00DD13BF" w:rsidP="00355A56">
            <w:pPr>
              <w:pStyle w:val="TableParagraph"/>
              <w:rPr>
                <w:sz w:val="20"/>
              </w:rPr>
            </w:pPr>
            <w:r>
              <w:rPr>
                <w:sz w:val="20"/>
              </w:rPr>
              <w:t>Baseline or reference value</w:t>
            </w:r>
          </w:p>
        </w:tc>
        <w:tc>
          <w:tcPr>
            <w:tcW w:w="993" w:type="dxa"/>
          </w:tcPr>
          <w:p w14:paraId="35B9E299" w14:textId="77777777" w:rsidR="00DD13BF" w:rsidRPr="00347461" w:rsidRDefault="00DD13BF" w:rsidP="00355A56">
            <w:pPr>
              <w:pStyle w:val="TableParagraph"/>
              <w:rPr>
                <w:sz w:val="20"/>
              </w:rPr>
            </w:pPr>
            <w:r>
              <w:rPr>
                <w:sz w:val="20"/>
              </w:rPr>
              <w:t>Reference year</w:t>
            </w:r>
          </w:p>
        </w:tc>
        <w:tc>
          <w:tcPr>
            <w:tcW w:w="851" w:type="dxa"/>
          </w:tcPr>
          <w:p w14:paraId="3736CFE4" w14:textId="77777777" w:rsidR="00DD13BF" w:rsidRPr="00347461" w:rsidRDefault="00DD13BF" w:rsidP="00355A56">
            <w:pPr>
              <w:pStyle w:val="TableParagraph"/>
              <w:rPr>
                <w:sz w:val="20"/>
              </w:rPr>
            </w:pPr>
            <w:r>
              <w:rPr>
                <w:sz w:val="20"/>
              </w:rPr>
              <w:t>Target (2029)</w:t>
            </w:r>
          </w:p>
        </w:tc>
        <w:tc>
          <w:tcPr>
            <w:tcW w:w="851" w:type="dxa"/>
          </w:tcPr>
          <w:p w14:paraId="4CD21C2B" w14:textId="77777777" w:rsidR="00DD13BF" w:rsidRPr="00347461" w:rsidRDefault="00DD13BF" w:rsidP="00355A56">
            <w:pPr>
              <w:pStyle w:val="TableParagraph"/>
              <w:rPr>
                <w:sz w:val="20"/>
              </w:rPr>
            </w:pPr>
            <w:r>
              <w:rPr>
                <w:sz w:val="20"/>
              </w:rPr>
              <w:t>Source of data</w:t>
            </w:r>
          </w:p>
        </w:tc>
        <w:tc>
          <w:tcPr>
            <w:tcW w:w="848" w:type="dxa"/>
          </w:tcPr>
          <w:p w14:paraId="338F7C42" w14:textId="77777777" w:rsidR="00DD13BF" w:rsidRPr="00347461" w:rsidRDefault="00DD13BF" w:rsidP="00355A56">
            <w:pPr>
              <w:pStyle w:val="TableParagraph"/>
              <w:rPr>
                <w:sz w:val="20"/>
              </w:rPr>
            </w:pPr>
            <w:r>
              <w:rPr>
                <w:sz w:val="20"/>
              </w:rPr>
              <w:t>Notes</w:t>
            </w:r>
          </w:p>
        </w:tc>
      </w:tr>
      <w:tr w:rsidR="00DD13BF" w14:paraId="4AED4D32" w14:textId="77777777" w:rsidTr="00355A56">
        <w:trPr>
          <w:trHeight w:val="353"/>
        </w:trPr>
        <w:tc>
          <w:tcPr>
            <w:tcW w:w="1125" w:type="dxa"/>
          </w:tcPr>
          <w:p w14:paraId="3D4FEF86" w14:textId="77777777" w:rsidR="00DD13BF" w:rsidRPr="00347461" w:rsidRDefault="00DD13BF" w:rsidP="00355A56">
            <w:pPr>
              <w:pStyle w:val="TableParagraph"/>
              <w:rPr>
                <w:sz w:val="20"/>
              </w:rPr>
            </w:pPr>
            <w:r>
              <w:rPr>
                <w:sz w:val="20"/>
              </w:rPr>
              <w:t>5</w:t>
            </w:r>
          </w:p>
        </w:tc>
        <w:tc>
          <w:tcPr>
            <w:tcW w:w="850" w:type="dxa"/>
          </w:tcPr>
          <w:p w14:paraId="3EA4CDE2" w14:textId="77777777" w:rsidR="00DD13BF" w:rsidRPr="00347461" w:rsidRDefault="00DD13BF" w:rsidP="00355A56">
            <w:pPr>
              <w:pStyle w:val="TableParagraph"/>
              <w:rPr>
                <w:sz w:val="20"/>
              </w:rPr>
            </w:pPr>
            <w:r>
              <w:rPr>
                <w:color w:val="000000"/>
                <w:sz w:val="20"/>
              </w:rPr>
              <w:t>RSO3.2</w:t>
            </w:r>
          </w:p>
        </w:tc>
        <w:tc>
          <w:tcPr>
            <w:tcW w:w="696" w:type="dxa"/>
          </w:tcPr>
          <w:p w14:paraId="537B27A6" w14:textId="77777777" w:rsidR="00DD13BF" w:rsidRPr="00D30722" w:rsidRDefault="00DD13BF" w:rsidP="00355A56">
            <w:pPr>
              <w:pStyle w:val="TableParagraph"/>
              <w:rPr>
                <w:sz w:val="20"/>
              </w:rPr>
            </w:pPr>
            <w:r>
              <w:rPr>
                <w:sz w:val="20"/>
              </w:rPr>
              <w:t>ERDF</w:t>
            </w:r>
          </w:p>
        </w:tc>
        <w:tc>
          <w:tcPr>
            <w:tcW w:w="1572" w:type="dxa"/>
          </w:tcPr>
          <w:p w14:paraId="36ACEF43" w14:textId="77777777" w:rsidR="00DD13BF" w:rsidRPr="00D30722" w:rsidRDefault="00DD13BF" w:rsidP="00355A56">
            <w:pPr>
              <w:pStyle w:val="TableParagraph"/>
              <w:rPr>
                <w:sz w:val="20"/>
              </w:rPr>
            </w:pPr>
            <w:r>
              <w:rPr>
                <w:sz w:val="20"/>
              </w:rPr>
              <w:t>Less developed</w:t>
            </w:r>
          </w:p>
        </w:tc>
        <w:tc>
          <w:tcPr>
            <w:tcW w:w="709" w:type="dxa"/>
          </w:tcPr>
          <w:p w14:paraId="23639CA8" w14:textId="77777777" w:rsidR="00DD13BF" w:rsidRPr="00D30722" w:rsidRDefault="00DD13BF" w:rsidP="00355A56">
            <w:pPr>
              <w:pStyle w:val="TableParagraph"/>
              <w:rPr>
                <w:sz w:val="20"/>
              </w:rPr>
            </w:pPr>
            <w:r>
              <w:rPr>
                <w:sz w:val="20"/>
              </w:rPr>
              <w:t xml:space="preserve">RCR56 </w:t>
            </w:r>
          </w:p>
        </w:tc>
        <w:tc>
          <w:tcPr>
            <w:tcW w:w="2977" w:type="dxa"/>
          </w:tcPr>
          <w:p w14:paraId="3F7D9F2A" w14:textId="77777777" w:rsidR="00DD13BF" w:rsidRPr="00D30722" w:rsidRDefault="00DD13BF" w:rsidP="00355A56">
            <w:pPr>
              <w:pStyle w:val="TableParagraph"/>
              <w:rPr>
                <w:sz w:val="20"/>
              </w:rPr>
            </w:pPr>
            <w:r>
              <w:rPr>
                <w:sz w:val="20"/>
              </w:rPr>
              <w:t>Time savings due to improved road infrastructure</w:t>
            </w:r>
          </w:p>
        </w:tc>
        <w:tc>
          <w:tcPr>
            <w:tcW w:w="1276" w:type="dxa"/>
          </w:tcPr>
          <w:p w14:paraId="514FE8B2" w14:textId="77777777" w:rsidR="00DD13BF" w:rsidRPr="00D30722" w:rsidRDefault="00DD13BF" w:rsidP="00355A56">
            <w:pPr>
              <w:pStyle w:val="TableParagraph"/>
              <w:rPr>
                <w:sz w:val="20"/>
              </w:rPr>
            </w:pPr>
            <w:r>
              <w:rPr>
                <w:color w:val="000000"/>
                <w:sz w:val="20"/>
              </w:rPr>
              <w:t>Working days per person/year</w:t>
            </w:r>
          </w:p>
        </w:tc>
        <w:tc>
          <w:tcPr>
            <w:tcW w:w="1134" w:type="dxa"/>
          </w:tcPr>
          <w:p w14:paraId="019ED7B9" w14:textId="77777777" w:rsidR="00DD13BF" w:rsidRPr="00347461" w:rsidRDefault="00DD13BF" w:rsidP="00355A56">
            <w:pPr>
              <w:pStyle w:val="TableParagraph"/>
              <w:rPr>
                <w:sz w:val="20"/>
              </w:rPr>
            </w:pPr>
            <w:r>
              <w:rPr>
                <w:sz w:val="20"/>
              </w:rPr>
              <w:t>0</w:t>
            </w:r>
          </w:p>
        </w:tc>
        <w:tc>
          <w:tcPr>
            <w:tcW w:w="993" w:type="dxa"/>
          </w:tcPr>
          <w:p w14:paraId="45C68CA1" w14:textId="77777777" w:rsidR="00DD13BF" w:rsidRPr="00347461" w:rsidRDefault="00DD13BF" w:rsidP="00355A56">
            <w:pPr>
              <w:pStyle w:val="TableParagraph"/>
              <w:rPr>
                <w:sz w:val="20"/>
              </w:rPr>
            </w:pPr>
            <w:r>
              <w:t>2021</w:t>
            </w:r>
          </w:p>
        </w:tc>
        <w:tc>
          <w:tcPr>
            <w:tcW w:w="851" w:type="dxa"/>
          </w:tcPr>
          <w:p w14:paraId="6D0DCDB6" w14:textId="77777777" w:rsidR="00DD13BF" w:rsidRPr="00104C33" w:rsidRDefault="00DD13BF" w:rsidP="00355A56">
            <w:pPr>
              <w:pStyle w:val="TableParagraph"/>
              <w:spacing w:line="259" w:lineRule="auto"/>
              <w:rPr>
                <w:sz w:val="16"/>
              </w:rPr>
            </w:pPr>
            <w:r>
              <w:rPr>
                <w:sz w:val="20"/>
              </w:rPr>
              <w:t>76,800</w:t>
            </w:r>
          </w:p>
        </w:tc>
        <w:tc>
          <w:tcPr>
            <w:tcW w:w="851" w:type="dxa"/>
          </w:tcPr>
          <w:p w14:paraId="4599A086" w14:textId="77777777" w:rsidR="00DD13BF" w:rsidRPr="00347461" w:rsidRDefault="00DD13BF" w:rsidP="00355A56">
            <w:pPr>
              <w:pStyle w:val="TableParagraph"/>
              <w:rPr>
                <w:sz w:val="20"/>
              </w:rPr>
            </w:pPr>
            <w:r>
              <w:rPr>
                <w:sz w:val="20"/>
              </w:rPr>
              <w:t>DARS</w:t>
            </w:r>
          </w:p>
        </w:tc>
        <w:tc>
          <w:tcPr>
            <w:tcW w:w="848" w:type="dxa"/>
          </w:tcPr>
          <w:p w14:paraId="31B0139D" w14:textId="77777777" w:rsidR="00DD13BF" w:rsidRPr="00347461" w:rsidRDefault="00DD13BF" w:rsidP="00355A56">
            <w:pPr>
              <w:pStyle w:val="TableParagraph"/>
              <w:rPr>
                <w:sz w:val="20"/>
              </w:rPr>
            </w:pPr>
          </w:p>
        </w:tc>
      </w:tr>
      <w:tr w:rsidR="00DD13BF" w14:paraId="1B2EE426" w14:textId="77777777" w:rsidTr="00355A56">
        <w:trPr>
          <w:trHeight w:val="353"/>
        </w:trPr>
        <w:tc>
          <w:tcPr>
            <w:tcW w:w="1125" w:type="dxa"/>
          </w:tcPr>
          <w:p w14:paraId="0CB744DE" w14:textId="77777777" w:rsidR="00DD13BF" w:rsidRPr="00347461" w:rsidRDefault="00DD13BF" w:rsidP="00355A56">
            <w:pPr>
              <w:pStyle w:val="TableParagraph"/>
              <w:rPr>
                <w:sz w:val="20"/>
              </w:rPr>
            </w:pPr>
            <w:r>
              <w:rPr>
                <w:sz w:val="20"/>
              </w:rPr>
              <w:t>5</w:t>
            </w:r>
          </w:p>
        </w:tc>
        <w:tc>
          <w:tcPr>
            <w:tcW w:w="850" w:type="dxa"/>
          </w:tcPr>
          <w:p w14:paraId="6DD9B9FC" w14:textId="77777777" w:rsidR="00DD13BF" w:rsidRPr="00347461" w:rsidRDefault="00DD13BF" w:rsidP="00355A56">
            <w:pPr>
              <w:pStyle w:val="TableParagraph"/>
              <w:rPr>
                <w:sz w:val="20"/>
              </w:rPr>
            </w:pPr>
            <w:r>
              <w:rPr>
                <w:color w:val="000000"/>
                <w:sz w:val="20"/>
              </w:rPr>
              <w:t>RSO3.2</w:t>
            </w:r>
          </w:p>
        </w:tc>
        <w:tc>
          <w:tcPr>
            <w:tcW w:w="696" w:type="dxa"/>
          </w:tcPr>
          <w:p w14:paraId="54C0E15F" w14:textId="77777777" w:rsidR="00DD13BF" w:rsidRPr="00D30722" w:rsidRDefault="00DD13BF" w:rsidP="00355A56">
            <w:pPr>
              <w:pStyle w:val="TableParagraph"/>
              <w:rPr>
                <w:sz w:val="20"/>
              </w:rPr>
            </w:pPr>
            <w:r>
              <w:rPr>
                <w:sz w:val="20"/>
              </w:rPr>
              <w:t>ERDF</w:t>
            </w:r>
          </w:p>
        </w:tc>
        <w:tc>
          <w:tcPr>
            <w:tcW w:w="1572" w:type="dxa"/>
          </w:tcPr>
          <w:p w14:paraId="0692D7DA" w14:textId="77777777" w:rsidR="00DD13BF" w:rsidRPr="00D30722" w:rsidRDefault="00DD13BF" w:rsidP="00355A56">
            <w:pPr>
              <w:pStyle w:val="TableParagraph"/>
              <w:rPr>
                <w:sz w:val="20"/>
              </w:rPr>
            </w:pPr>
            <w:r>
              <w:rPr>
                <w:sz w:val="20"/>
              </w:rPr>
              <w:t>Less developed</w:t>
            </w:r>
          </w:p>
        </w:tc>
        <w:tc>
          <w:tcPr>
            <w:tcW w:w="709" w:type="dxa"/>
          </w:tcPr>
          <w:p w14:paraId="4A6F6D9B" w14:textId="77777777" w:rsidR="00DD13BF" w:rsidRPr="00D30722" w:rsidRDefault="00DD13BF" w:rsidP="00355A56">
            <w:pPr>
              <w:pStyle w:val="TableParagraph"/>
              <w:rPr>
                <w:sz w:val="20"/>
              </w:rPr>
            </w:pPr>
            <w:r>
              <w:rPr>
                <w:sz w:val="20"/>
              </w:rPr>
              <w:t>RCR58</w:t>
            </w:r>
          </w:p>
        </w:tc>
        <w:tc>
          <w:tcPr>
            <w:tcW w:w="2977" w:type="dxa"/>
          </w:tcPr>
          <w:p w14:paraId="2FCCC1FB" w14:textId="77777777" w:rsidR="00DD13BF" w:rsidRPr="00D30722" w:rsidRDefault="00DD13BF" w:rsidP="00355A56">
            <w:pPr>
              <w:pStyle w:val="TableParagraph"/>
              <w:rPr>
                <w:sz w:val="20"/>
              </w:rPr>
            </w:pPr>
            <w:r>
              <w:rPr>
                <w:sz w:val="20"/>
              </w:rPr>
              <w:t>Annual users of newly built, upgraded, reconstructed or modernised railways</w:t>
            </w:r>
          </w:p>
        </w:tc>
        <w:tc>
          <w:tcPr>
            <w:tcW w:w="1276" w:type="dxa"/>
          </w:tcPr>
          <w:p w14:paraId="5D3A7886" w14:textId="77777777" w:rsidR="00DD13BF" w:rsidRPr="00D30722" w:rsidRDefault="00DD13BF" w:rsidP="00355A56">
            <w:pPr>
              <w:pStyle w:val="TableParagraph"/>
              <w:rPr>
                <w:sz w:val="20"/>
              </w:rPr>
            </w:pPr>
            <w:r>
              <w:rPr>
                <w:sz w:val="20"/>
              </w:rPr>
              <w:t>Passenger-km/year</w:t>
            </w:r>
          </w:p>
        </w:tc>
        <w:tc>
          <w:tcPr>
            <w:tcW w:w="1134" w:type="dxa"/>
          </w:tcPr>
          <w:p w14:paraId="272E8B51" w14:textId="77777777" w:rsidR="00DD13BF" w:rsidRPr="00347461" w:rsidRDefault="00DD13BF" w:rsidP="00355A56">
            <w:pPr>
              <w:pStyle w:val="TableParagraph"/>
              <w:rPr>
                <w:sz w:val="20"/>
              </w:rPr>
            </w:pPr>
            <w:r>
              <w:rPr>
                <w:sz w:val="20"/>
              </w:rPr>
              <w:t>1,302,000</w:t>
            </w:r>
          </w:p>
        </w:tc>
        <w:tc>
          <w:tcPr>
            <w:tcW w:w="993" w:type="dxa"/>
          </w:tcPr>
          <w:p w14:paraId="3FA365B6" w14:textId="77777777" w:rsidR="00DD13BF" w:rsidRPr="00347461" w:rsidRDefault="00DD13BF" w:rsidP="00355A56">
            <w:pPr>
              <w:pStyle w:val="TableParagraph"/>
              <w:rPr>
                <w:sz w:val="20"/>
              </w:rPr>
            </w:pPr>
            <w:r>
              <w:rPr>
                <w:sz w:val="20"/>
              </w:rPr>
              <w:t>2021</w:t>
            </w:r>
          </w:p>
        </w:tc>
        <w:tc>
          <w:tcPr>
            <w:tcW w:w="851" w:type="dxa"/>
          </w:tcPr>
          <w:p w14:paraId="7A81D54C" w14:textId="77777777" w:rsidR="00DD13BF" w:rsidRPr="00347461" w:rsidRDefault="00DD13BF" w:rsidP="00355A56">
            <w:pPr>
              <w:pStyle w:val="TableParagraph"/>
              <w:rPr>
                <w:sz w:val="20"/>
              </w:rPr>
            </w:pPr>
            <w:r>
              <w:rPr>
                <w:sz w:val="20"/>
              </w:rPr>
              <w:t>1,416,000</w:t>
            </w:r>
          </w:p>
        </w:tc>
        <w:tc>
          <w:tcPr>
            <w:tcW w:w="851" w:type="dxa"/>
          </w:tcPr>
          <w:p w14:paraId="61E0D12C" w14:textId="77777777" w:rsidR="00DD13BF" w:rsidRPr="00347461" w:rsidRDefault="00DD13BF" w:rsidP="00355A56">
            <w:pPr>
              <w:pStyle w:val="TableParagraph"/>
              <w:rPr>
                <w:sz w:val="20"/>
              </w:rPr>
            </w:pPr>
            <w:r>
              <w:rPr>
                <w:sz w:val="20"/>
              </w:rPr>
              <w:t>DRSI</w:t>
            </w:r>
          </w:p>
        </w:tc>
        <w:tc>
          <w:tcPr>
            <w:tcW w:w="848" w:type="dxa"/>
          </w:tcPr>
          <w:p w14:paraId="08C57BE6" w14:textId="77777777" w:rsidR="00DD13BF" w:rsidRPr="00347461" w:rsidRDefault="00DD13BF" w:rsidP="00355A56">
            <w:pPr>
              <w:pStyle w:val="TableParagraph"/>
              <w:rPr>
                <w:sz w:val="20"/>
              </w:rPr>
            </w:pPr>
          </w:p>
        </w:tc>
      </w:tr>
      <w:tr w:rsidR="00DD13BF" w14:paraId="3805C4F1" w14:textId="77777777" w:rsidTr="00355A56">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53"/>
        </w:trPr>
        <w:tc>
          <w:tcPr>
            <w:tcW w:w="1125" w:type="dxa"/>
          </w:tcPr>
          <w:p w14:paraId="70F3451E" w14:textId="77777777" w:rsidR="00DD13BF" w:rsidRDefault="00DD13BF" w:rsidP="00355A56">
            <w:pPr>
              <w:pStyle w:val="TableParagraph"/>
              <w:rPr>
                <w:sz w:val="20"/>
              </w:rPr>
            </w:pPr>
            <w:r>
              <w:rPr>
                <w:sz w:val="20"/>
              </w:rPr>
              <w:t>5</w:t>
            </w:r>
          </w:p>
        </w:tc>
        <w:tc>
          <w:tcPr>
            <w:tcW w:w="850" w:type="dxa"/>
          </w:tcPr>
          <w:p w14:paraId="3FAF7C65" w14:textId="77777777" w:rsidR="00DD13BF" w:rsidRDefault="00DD13BF" w:rsidP="00355A56">
            <w:pPr>
              <w:pStyle w:val="TableParagraph"/>
              <w:rPr>
                <w:sz w:val="20"/>
              </w:rPr>
            </w:pPr>
            <w:r>
              <w:rPr>
                <w:color w:val="000000"/>
                <w:sz w:val="20"/>
              </w:rPr>
              <w:t>RSO3.2</w:t>
            </w:r>
          </w:p>
        </w:tc>
        <w:tc>
          <w:tcPr>
            <w:tcW w:w="696" w:type="dxa"/>
          </w:tcPr>
          <w:p w14:paraId="4A440921" w14:textId="77777777" w:rsidR="00DD13BF" w:rsidRDefault="00DD13BF" w:rsidP="00355A56">
            <w:pPr>
              <w:pStyle w:val="TableParagraph"/>
              <w:rPr>
                <w:sz w:val="20"/>
              </w:rPr>
            </w:pPr>
            <w:r>
              <w:rPr>
                <w:sz w:val="20"/>
              </w:rPr>
              <w:t>CF</w:t>
            </w:r>
          </w:p>
        </w:tc>
        <w:tc>
          <w:tcPr>
            <w:tcW w:w="1572" w:type="dxa"/>
          </w:tcPr>
          <w:p w14:paraId="2F1F1A0B" w14:textId="77777777" w:rsidR="00DD13BF" w:rsidRDefault="00DD13BF" w:rsidP="00355A56">
            <w:pPr>
              <w:pStyle w:val="TableParagraph"/>
              <w:rPr>
                <w:sz w:val="20"/>
              </w:rPr>
            </w:pPr>
            <w:r>
              <w:rPr>
                <w:sz w:val="20"/>
              </w:rPr>
              <w:t>Entire Slovenia</w:t>
            </w:r>
          </w:p>
        </w:tc>
        <w:tc>
          <w:tcPr>
            <w:tcW w:w="709" w:type="dxa"/>
          </w:tcPr>
          <w:p w14:paraId="5736F6C7" w14:textId="77777777" w:rsidR="00DD13BF" w:rsidRDefault="00DD13BF" w:rsidP="00355A56">
            <w:pPr>
              <w:pStyle w:val="TableParagraph"/>
              <w:rPr>
                <w:sz w:val="20"/>
              </w:rPr>
            </w:pPr>
            <w:r>
              <w:rPr>
                <w:sz w:val="20"/>
              </w:rPr>
              <w:t>1</w:t>
            </w:r>
          </w:p>
        </w:tc>
        <w:tc>
          <w:tcPr>
            <w:tcW w:w="2977" w:type="dxa"/>
          </w:tcPr>
          <w:p w14:paraId="72A627E0" w14:textId="77777777" w:rsidR="00DD13BF" w:rsidRDefault="00DD13BF" w:rsidP="00355A56">
            <w:pPr>
              <w:pStyle w:val="TableParagraph"/>
              <w:rPr>
                <w:sz w:val="20"/>
              </w:rPr>
            </w:pPr>
            <w:r>
              <w:rPr>
                <w:sz w:val="20"/>
              </w:rPr>
              <w:t>Annual users of dedicated cycling infrastructure</w:t>
            </w:r>
          </w:p>
        </w:tc>
        <w:tc>
          <w:tcPr>
            <w:tcW w:w="1276" w:type="dxa"/>
          </w:tcPr>
          <w:p w14:paraId="6B54B8AE" w14:textId="77777777" w:rsidR="00DD13BF" w:rsidRDefault="00DD13BF" w:rsidP="00355A56">
            <w:pPr>
              <w:pStyle w:val="TableParagraph"/>
              <w:rPr>
                <w:sz w:val="20"/>
              </w:rPr>
            </w:pPr>
            <w:r>
              <w:rPr>
                <w:sz w:val="20"/>
              </w:rPr>
              <w:t>Users</w:t>
            </w:r>
          </w:p>
        </w:tc>
        <w:tc>
          <w:tcPr>
            <w:tcW w:w="1134" w:type="dxa"/>
          </w:tcPr>
          <w:p w14:paraId="2C3DD23D" w14:textId="77777777" w:rsidR="00DD13BF" w:rsidRDefault="00DD13BF" w:rsidP="00355A56">
            <w:pPr>
              <w:pStyle w:val="TableParagraph"/>
              <w:rPr>
                <w:sz w:val="20"/>
              </w:rPr>
            </w:pPr>
            <w:r>
              <w:rPr>
                <w:sz w:val="20"/>
              </w:rPr>
              <w:t>0</w:t>
            </w:r>
          </w:p>
        </w:tc>
        <w:tc>
          <w:tcPr>
            <w:tcW w:w="993" w:type="dxa"/>
          </w:tcPr>
          <w:p w14:paraId="5AB73EB5" w14:textId="77777777" w:rsidR="00DD13BF" w:rsidRDefault="00DD13BF" w:rsidP="00355A56">
            <w:pPr>
              <w:pStyle w:val="TableParagraph"/>
              <w:rPr>
                <w:sz w:val="20"/>
              </w:rPr>
            </w:pPr>
            <w:r>
              <w:rPr>
                <w:sz w:val="20"/>
              </w:rPr>
              <w:t>2021</w:t>
            </w:r>
          </w:p>
        </w:tc>
        <w:tc>
          <w:tcPr>
            <w:tcW w:w="851" w:type="dxa"/>
          </w:tcPr>
          <w:p w14:paraId="42ED89B5" w14:textId="77777777" w:rsidR="00DD13BF" w:rsidRDefault="00DD13BF" w:rsidP="00355A56">
            <w:pPr>
              <w:pStyle w:val="TableParagraph"/>
              <w:rPr>
                <w:sz w:val="20"/>
              </w:rPr>
            </w:pPr>
            <w:r>
              <w:rPr>
                <w:sz w:val="20"/>
              </w:rPr>
              <w:t>180,000</w:t>
            </w:r>
          </w:p>
        </w:tc>
        <w:tc>
          <w:tcPr>
            <w:tcW w:w="851" w:type="dxa"/>
          </w:tcPr>
          <w:p w14:paraId="2DC8CA6F" w14:textId="77777777" w:rsidR="00DD13BF" w:rsidRDefault="00DD13BF" w:rsidP="00355A56">
            <w:pPr>
              <w:pStyle w:val="TableParagraph"/>
              <w:rPr>
                <w:sz w:val="20"/>
              </w:rPr>
            </w:pPr>
            <w:r>
              <w:rPr>
                <w:sz w:val="20"/>
              </w:rPr>
              <w:t>MZI</w:t>
            </w:r>
          </w:p>
        </w:tc>
        <w:tc>
          <w:tcPr>
            <w:tcW w:w="848" w:type="dxa"/>
          </w:tcPr>
          <w:p w14:paraId="0B0ACA76" w14:textId="77777777" w:rsidR="00DD13BF" w:rsidRDefault="00DD13BF" w:rsidP="00355A56">
            <w:pPr>
              <w:pStyle w:val="TableParagraph"/>
              <w:rPr>
                <w:sz w:val="20"/>
              </w:rPr>
            </w:pPr>
          </w:p>
        </w:tc>
      </w:tr>
    </w:tbl>
    <w:p w14:paraId="5061349B" w14:textId="77777777" w:rsidR="00DD13BF" w:rsidRPr="00F81084" w:rsidRDefault="00DD13BF" w:rsidP="00DD13BF">
      <w:pPr>
        <w:pStyle w:val="Telobesedila"/>
      </w:pPr>
    </w:p>
    <w:p w14:paraId="3C2BFD18" w14:textId="77777777" w:rsidR="00DD13BF" w:rsidRPr="00F81084" w:rsidRDefault="00DD13BF" w:rsidP="00DD13BF">
      <w:pPr>
        <w:pStyle w:val="Telobesedila"/>
      </w:pPr>
    </w:p>
    <w:p w14:paraId="7E9952F0" w14:textId="77777777" w:rsidR="00DD13BF" w:rsidRDefault="00DD13BF" w:rsidP="00DD13BF">
      <w:pPr>
        <w:pStyle w:val="Naslov5"/>
        <w:numPr>
          <w:ilvl w:val="4"/>
          <w:numId w:val="16"/>
        </w:numPr>
        <w:spacing w:before="0"/>
      </w:pPr>
      <w:r>
        <w:t>Indicative breakdown of the programme resources (EU) by type of intervention</w:t>
      </w:r>
    </w:p>
    <w:p w14:paraId="5B0FBD7E" w14:textId="77777777" w:rsidR="00DD13BF" w:rsidRDefault="00DD13BF" w:rsidP="00DD13BF">
      <w:pPr>
        <w:ind w:left="640"/>
        <w:rPr>
          <w:spacing w:val="-5"/>
        </w:rPr>
      </w:pPr>
    </w:p>
    <w:p w14:paraId="05E571CE" w14:textId="77777777" w:rsidR="00DD13BF" w:rsidRPr="00673ADB" w:rsidRDefault="00DD13BF" w:rsidP="00DD13BF">
      <w:pPr>
        <w:ind w:left="339"/>
        <w:rPr>
          <w:spacing w:val="-7"/>
        </w:rPr>
      </w:pPr>
      <w:r>
        <w:t>Table 4: Dimension 1 – intervention field</w:t>
      </w:r>
    </w:p>
    <w:p w14:paraId="4E4B95F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1133"/>
        <w:gridCol w:w="3249"/>
        <w:gridCol w:w="3099"/>
        <w:gridCol w:w="1161"/>
        <w:gridCol w:w="2731"/>
      </w:tblGrid>
      <w:tr w:rsidR="00DD13BF" w14:paraId="6DA67F94" w14:textId="77777777" w:rsidTr="00355A56">
        <w:trPr>
          <w:trHeight w:val="353"/>
        </w:trPr>
        <w:tc>
          <w:tcPr>
            <w:tcW w:w="2126" w:type="dxa"/>
          </w:tcPr>
          <w:p w14:paraId="44C441E6" w14:textId="77777777" w:rsidR="00DD13BF" w:rsidRDefault="00DD13BF" w:rsidP="00355A56">
            <w:pPr>
              <w:pStyle w:val="TableParagraph"/>
              <w:ind w:left="115"/>
            </w:pPr>
            <w:r>
              <w:t>Priority no.</w:t>
            </w:r>
          </w:p>
        </w:tc>
        <w:tc>
          <w:tcPr>
            <w:tcW w:w="1133" w:type="dxa"/>
          </w:tcPr>
          <w:p w14:paraId="3820FE5B" w14:textId="77777777" w:rsidR="00DD13BF" w:rsidRDefault="00DD13BF" w:rsidP="00355A56">
            <w:pPr>
              <w:pStyle w:val="TableParagraph"/>
              <w:ind w:left="320"/>
            </w:pPr>
            <w:r>
              <w:t>Fund</w:t>
            </w:r>
          </w:p>
        </w:tc>
        <w:tc>
          <w:tcPr>
            <w:tcW w:w="3249" w:type="dxa"/>
          </w:tcPr>
          <w:p w14:paraId="64CAAED1" w14:textId="77777777" w:rsidR="00DD13BF" w:rsidRDefault="00DD13BF" w:rsidP="00355A56">
            <w:pPr>
              <w:pStyle w:val="TableParagraph"/>
              <w:ind w:left="907"/>
            </w:pPr>
            <w:r>
              <w:t>Category of region</w:t>
            </w:r>
          </w:p>
        </w:tc>
        <w:tc>
          <w:tcPr>
            <w:tcW w:w="3099" w:type="dxa"/>
          </w:tcPr>
          <w:p w14:paraId="4EA165E3" w14:textId="77777777" w:rsidR="00DD13BF" w:rsidRDefault="00DD13BF" w:rsidP="00355A56">
            <w:pPr>
              <w:pStyle w:val="TableParagraph"/>
              <w:ind w:left="948"/>
            </w:pPr>
            <w:r>
              <w:t>Specific objective</w:t>
            </w:r>
          </w:p>
        </w:tc>
        <w:tc>
          <w:tcPr>
            <w:tcW w:w="1161" w:type="dxa"/>
          </w:tcPr>
          <w:p w14:paraId="20CE86C4" w14:textId="77777777" w:rsidR="00DD13BF" w:rsidRDefault="00DD13BF" w:rsidP="00355A56">
            <w:pPr>
              <w:pStyle w:val="TableParagraph"/>
              <w:ind w:left="333"/>
            </w:pPr>
            <w:r>
              <w:t>Code</w:t>
            </w:r>
          </w:p>
        </w:tc>
        <w:tc>
          <w:tcPr>
            <w:tcW w:w="2731" w:type="dxa"/>
          </w:tcPr>
          <w:p w14:paraId="2E14C3C1" w14:textId="77777777" w:rsidR="00DD13BF" w:rsidRDefault="00DD13BF" w:rsidP="00355A56">
            <w:pPr>
              <w:pStyle w:val="TableParagraph"/>
              <w:ind w:left="660"/>
            </w:pPr>
            <w:r>
              <w:t>Amount (in EUR)</w:t>
            </w:r>
          </w:p>
        </w:tc>
      </w:tr>
      <w:tr w:rsidR="00DD13BF" w14:paraId="786EB5C8" w14:textId="77777777" w:rsidTr="00355A56">
        <w:trPr>
          <w:trHeight w:val="353"/>
        </w:trPr>
        <w:tc>
          <w:tcPr>
            <w:tcW w:w="2126" w:type="dxa"/>
          </w:tcPr>
          <w:p w14:paraId="27794103" w14:textId="77777777" w:rsidR="00DD13BF" w:rsidRDefault="00DD13BF" w:rsidP="00355A56">
            <w:pPr>
              <w:pStyle w:val="TableParagraph"/>
              <w:rPr>
                <w:sz w:val="20"/>
              </w:rPr>
            </w:pPr>
            <w:r>
              <w:rPr>
                <w:sz w:val="20"/>
              </w:rPr>
              <w:lastRenderedPageBreak/>
              <w:t>5</w:t>
            </w:r>
          </w:p>
        </w:tc>
        <w:tc>
          <w:tcPr>
            <w:tcW w:w="1133" w:type="dxa"/>
          </w:tcPr>
          <w:p w14:paraId="71BFC776" w14:textId="77777777" w:rsidR="00DD13BF" w:rsidRDefault="00DD13BF" w:rsidP="00355A56">
            <w:pPr>
              <w:pStyle w:val="TableParagraph"/>
              <w:rPr>
                <w:sz w:val="20"/>
              </w:rPr>
            </w:pPr>
            <w:r>
              <w:rPr>
                <w:sz w:val="20"/>
              </w:rPr>
              <w:t>ERDF</w:t>
            </w:r>
          </w:p>
        </w:tc>
        <w:tc>
          <w:tcPr>
            <w:tcW w:w="3249" w:type="dxa"/>
          </w:tcPr>
          <w:p w14:paraId="6553DC9F" w14:textId="77777777" w:rsidR="00DD13BF" w:rsidRDefault="00DD13BF" w:rsidP="00355A56">
            <w:pPr>
              <w:pStyle w:val="TableParagraph"/>
              <w:rPr>
                <w:sz w:val="20"/>
              </w:rPr>
            </w:pPr>
            <w:r>
              <w:rPr>
                <w:sz w:val="20"/>
              </w:rPr>
              <w:t>Less developed</w:t>
            </w:r>
          </w:p>
        </w:tc>
        <w:tc>
          <w:tcPr>
            <w:tcW w:w="3099" w:type="dxa"/>
          </w:tcPr>
          <w:p w14:paraId="5D43A92F" w14:textId="77777777" w:rsidR="00DD13BF" w:rsidRDefault="00DD13BF" w:rsidP="00355A56">
            <w:pPr>
              <w:pStyle w:val="TableParagraph"/>
              <w:rPr>
                <w:sz w:val="20"/>
              </w:rPr>
            </w:pPr>
            <w:r>
              <w:rPr>
                <w:color w:val="000000"/>
                <w:sz w:val="20"/>
              </w:rPr>
              <w:t>RSO3.2</w:t>
            </w:r>
          </w:p>
        </w:tc>
        <w:tc>
          <w:tcPr>
            <w:tcW w:w="1161" w:type="dxa"/>
          </w:tcPr>
          <w:p w14:paraId="07BE5FB9" w14:textId="77777777" w:rsidR="00DD13BF" w:rsidRDefault="00DD13BF" w:rsidP="00355A56">
            <w:pPr>
              <w:pStyle w:val="TableParagraph"/>
              <w:rPr>
                <w:sz w:val="20"/>
              </w:rPr>
            </w:pPr>
            <w:r>
              <w:rPr>
                <w:sz w:val="20"/>
              </w:rPr>
              <w:t>089</w:t>
            </w:r>
          </w:p>
        </w:tc>
        <w:tc>
          <w:tcPr>
            <w:tcW w:w="2731" w:type="dxa"/>
          </w:tcPr>
          <w:p w14:paraId="2D6AE20C" w14:textId="77777777" w:rsidR="00DD13BF" w:rsidRDefault="00DD13BF" w:rsidP="00355A56">
            <w:pPr>
              <w:pStyle w:val="TableParagraph"/>
              <w:rPr>
                <w:sz w:val="20"/>
              </w:rPr>
            </w:pPr>
            <w:r>
              <w:rPr>
                <w:sz w:val="20"/>
              </w:rPr>
              <w:t>68,141,540</w:t>
            </w:r>
          </w:p>
        </w:tc>
      </w:tr>
      <w:tr w:rsidR="00DD13BF" w14:paraId="33B90D43" w14:textId="77777777" w:rsidTr="00355A56">
        <w:trPr>
          <w:trHeight w:val="353"/>
        </w:trPr>
        <w:tc>
          <w:tcPr>
            <w:tcW w:w="2126" w:type="dxa"/>
          </w:tcPr>
          <w:p w14:paraId="4A40A82D" w14:textId="77777777" w:rsidR="00DD13BF" w:rsidRDefault="00DD13BF" w:rsidP="00355A56">
            <w:pPr>
              <w:pStyle w:val="TableParagraph"/>
              <w:rPr>
                <w:sz w:val="20"/>
              </w:rPr>
            </w:pPr>
            <w:r>
              <w:rPr>
                <w:sz w:val="20"/>
              </w:rPr>
              <w:t>5</w:t>
            </w:r>
          </w:p>
        </w:tc>
        <w:tc>
          <w:tcPr>
            <w:tcW w:w="1133" w:type="dxa"/>
          </w:tcPr>
          <w:p w14:paraId="2D809D31" w14:textId="77777777" w:rsidR="00DD13BF" w:rsidRDefault="00DD13BF" w:rsidP="00355A56">
            <w:pPr>
              <w:pStyle w:val="TableParagraph"/>
              <w:rPr>
                <w:sz w:val="20"/>
              </w:rPr>
            </w:pPr>
            <w:r>
              <w:rPr>
                <w:sz w:val="20"/>
              </w:rPr>
              <w:t>ERDF</w:t>
            </w:r>
          </w:p>
        </w:tc>
        <w:tc>
          <w:tcPr>
            <w:tcW w:w="3249" w:type="dxa"/>
          </w:tcPr>
          <w:p w14:paraId="3A1B2848" w14:textId="77777777" w:rsidR="00DD13BF" w:rsidRDefault="00DD13BF" w:rsidP="00355A56">
            <w:pPr>
              <w:pStyle w:val="TableParagraph"/>
              <w:rPr>
                <w:sz w:val="20"/>
              </w:rPr>
            </w:pPr>
            <w:r>
              <w:rPr>
                <w:sz w:val="20"/>
              </w:rPr>
              <w:t>Less developed</w:t>
            </w:r>
          </w:p>
        </w:tc>
        <w:tc>
          <w:tcPr>
            <w:tcW w:w="3099" w:type="dxa"/>
          </w:tcPr>
          <w:p w14:paraId="3EE536EF" w14:textId="77777777" w:rsidR="00DD13BF" w:rsidRDefault="00DD13BF" w:rsidP="00355A56">
            <w:pPr>
              <w:pStyle w:val="TableParagraph"/>
              <w:rPr>
                <w:sz w:val="20"/>
              </w:rPr>
            </w:pPr>
            <w:r>
              <w:rPr>
                <w:color w:val="000000"/>
                <w:sz w:val="20"/>
              </w:rPr>
              <w:t>RSO3.2</w:t>
            </w:r>
          </w:p>
        </w:tc>
        <w:tc>
          <w:tcPr>
            <w:tcW w:w="1161" w:type="dxa"/>
          </w:tcPr>
          <w:p w14:paraId="7A79546C" w14:textId="77777777" w:rsidR="00DD13BF" w:rsidRDefault="00DD13BF" w:rsidP="00355A56">
            <w:pPr>
              <w:pStyle w:val="TableParagraph"/>
              <w:rPr>
                <w:sz w:val="20"/>
              </w:rPr>
            </w:pPr>
            <w:r>
              <w:rPr>
                <w:sz w:val="20"/>
              </w:rPr>
              <w:t>102</w:t>
            </w:r>
          </w:p>
        </w:tc>
        <w:tc>
          <w:tcPr>
            <w:tcW w:w="2731" w:type="dxa"/>
          </w:tcPr>
          <w:p w14:paraId="1BA8BF21" w14:textId="77777777" w:rsidR="00DD13BF" w:rsidRDefault="00DD13BF" w:rsidP="00355A56">
            <w:pPr>
              <w:pStyle w:val="TableParagraph"/>
              <w:rPr>
                <w:sz w:val="20"/>
              </w:rPr>
            </w:pPr>
            <w:r>
              <w:rPr>
                <w:sz w:val="20"/>
              </w:rPr>
              <w:t>37,746,941</w:t>
            </w:r>
          </w:p>
        </w:tc>
      </w:tr>
      <w:tr w:rsidR="00DD13BF" w14:paraId="4025D33F" w14:textId="77777777" w:rsidTr="00355A56">
        <w:trPr>
          <w:trHeight w:val="353"/>
        </w:trPr>
        <w:tc>
          <w:tcPr>
            <w:tcW w:w="2126" w:type="dxa"/>
          </w:tcPr>
          <w:p w14:paraId="5D3E86A0" w14:textId="77777777" w:rsidR="00DD13BF" w:rsidRDefault="00DD13BF" w:rsidP="00355A56">
            <w:pPr>
              <w:pStyle w:val="TableParagraph"/>
              <w:rPr>
                <w:sz w:val="20"/>
              </w:rPr>
            </w:pPr>
            <w:r>
              <w:rPr>
                <w:sz w:val="20"/>
              </w:rPr>
              <w:t>5</w:t>
            </w:r>
          </w:p>
        </w:tc>
        <w:tc>
          <w:tcPr>
            <w:tcW w:w="1133" w:type="dxa"/>
          </w:tcPr>
          <w:p w14:paraId="42BF864F" w14:textId="77777777" w:rsidR="00DD13BF" w:rsidRDefault="00DD13BF" w:rsidP="00355A56">
            <w:pPr>
              <w:pStyle w:val="TableParagraph"/>
              <w:rPr>
                <w:sz w:val="20"/>
              </w:rPr>
            </w:pPr>
            <w:r>
              <w:rPr>
                <w:sz w:val="20"/>
              </w:rPr>
              <w:t>CF</w:t>
            </w:r>
          </w:p>
        </w:tc>
        <w:tc>
          <w:tcPr>
            <w:tcW w:w="3249" w:type="dxa"/>
          </w:tcPr>
          <w:p w14:paraId="48906AE7" w14:textId="77777777" w:rsidR="00DD13BF" w:rsidRDefault="00DD13BF" w:rsidP="00355A56">
            <w:pPr>
              <w:pStyle w:val="TableParagraph"/>
              <w:rPr>
                <w:sz w:val="20"/>
              </w:rPr>
            </w:pPr>
            <w:r>
              <w:rPr>
                <w:sz w:val="20"/>
              </w:rPr>
              <w:t>Entire Slovenia</w:t>
            </w:r>
          </w:p>
        </w:tc>
        <w:tc>
          <w:tcPr>
            <w:tcW w:w="3099" w:type="dxa"/>
          </w:tcPr>
          <w:p w14:paraId="6761F077" w14:textId="77777777" w:rsidR="00DD13BF" w:rsidRDefault="00DD13BF" w:rsidP="00355A56">
            <w:pPr>
              <w:pStyle w:val="TableParagraph"/>
              <w:rPr>
                <w:sz w:val="20"/>
              </w:rPr>
            </w:pPr>
            <w:r>
              <w:rPr>
                <w:color w:val="000000"/>
                <w:sz w:val="20"/>
              </w:rPr>
              <w:t>RSO3.2</w:t>
            </w:r>
          </w:p>
        </w:tc>
        <w:tc>
          <w:tcPr>
            <w:tcW w:w="1161" w:type="dxa"/>
          </w:tcPr>
          <w:p w14:paraId="3352E930" w14:textId="77777777" w:rsidR="00DD13BF" w:rsidRDefault="00DD13BF" w:rsidP="00355A56">
            <w:pPr>
              <w:pStyle w:val="TableParagraph"/>
              <w:rPr>
                <w:sz w:val="20"/>
              </w:rPr>
            </w:pPr>
            <w:r>
              <w:rPr>
                <w:sz w:val="20"/>
              </w:rPr>
              <w:t>081</w:t>
            </w:r>
          </w:p>
        </w:tc>
        <w:tc>
          <w:tcPr>
            <w:tcW w:w="2731" w:type="dxa"/>
          </w:tcPr>
          <w:p w14:paraId="0EC895C1" w14:textId="77777777" w:rsidR="00DD13BF" w:rsidRDefault="00DD13BF" w:rsidP="00355A56">
            <w:pPr>
              <w:pStyle w:val="TableParagraph"/>
              <w:rPr>
                <w:sz w:val="20"/>
              </w:rPr>
            </w:pPr>
            <w:r>
              <w:rPr>
                <w:sz w:val="20"/>
              </w:rPr>
              <w:t xml:space="preserve">41,000,000 </w:t>
            </w:r>
          </w:p>
        </w:tc>
      </w:tr>
      <w:tr w:rsidR="00DD13BF" w14:paraId="438314D9" w14:textId="77777777" w:rsidTr="00355A56">
        <w:trPr>
          <w:trHeight w:val="353"/>
        </w:trPr>
        <w:tc>
          <w:tcPr>
            <w:tcW w:w="2126" w:type="dxa"/>
          </w:tcPr>
          <w:p w14:paraId="0625F254" w14:textId="77777777" w:rsidR="00DD13BF" w:rsidRDefault="00DD13BF" w:rsidP="00355A56">
            <w:pPr>
              <w:pStyle w:val="TableParagraph"/>
              <w:rPr>
                <w:sz w:val="20"/>
              </w:rPr>
            </w:pPr>
            <w:r>
              <w:rPr>
                <w:sz w:val="20"/>
              </w:rPr>
              <w:t>5</w:t>
            </w:r>
          </w:p>
        </w:tc>
        <w:tc>
          <w:tcPr>
            <w:tcW w:w="1133" w:type="dxa"/>
          </w:tcPr>
          <w:p w14:paraId="78CE3D34" w14:textId="77777777" w:rsidR="00DD13BF" w:rsidRDefault="00DD13BF" w:rsidP="00355A56">
            <w:pPr>
              <w:pStyle w:val="TableParagraph"/>
              <w:rPr>
                <w:sz w:val="20"/>
              </w:rPr>
            </w:pPr>
            <w:r>
              <w:rPr>
                <w:sz w:val="20"/>
              </w:rPr>
              <w:t>CF</w:t>
            </w:r>
          </w:p>
        </w:tc>
        <w:tc>
          <w:tcPr>
            <w:tcW w:w="3249" w:type="dxa"/>
          </w:tcPr>
          <w:p w14:paraId="1B0EF90A" w14:textId="77777777" w:rsidR="00DD13BF" w:rsidRPr="00FA4535" w:rsidRDefault="00DD13BF" w:rsidP="00355A56">
            <w:pPr>
              <w:rPr>
                <w:color w:val="000000"/>
                <w:sz w:val="20"/>
              </w:rPr>
            </w:pPr>
            <w:r>
              <w:rPr>
                <w:color w:val="000000"/>
                <w:sz w:val="20"/>
              </w:rPr>
              <w:t>Entire Slovenia</w:t>
            </w:r>
          </w:p>
        </w:tc>
        <w:tc>
          <w:tcPr>
            <w:tcW w:w="3099" w:type="dxa"/>
          </w:tcPr>
          <w:p w14:paraId="2874C5EF" w14:textId="77777777" w:rsidR="00DD13BF" w:rsidRDefault="00DD13BF" w:rsidP="00355A56">
            <w:pPr>
              <w:pStyle w:val="TableParagraph"/>
              <w:rPr>
                <w:sz w:val="20"/>
              </w:rPr>
            </w:pPr>
            <w:r>
              <w:rPr>
                <w:color w:val="000000"/>
                <w:sz w:val="20"/>
              </w:rPr>
              <w:t>RSO3.2</w:t>
            </w:r>
          </w:p>
        </w:tc>
        <w:tc>
          <w:tcPr>
            <w:tcW w:w="1161" w:type="dxa"/>
          </w:tcPr>
          <w:p w14:paraId="22DA1860" w14:textId="77777777" w:rsidR="00DD13BF" w:rsidRDefault="00DD13BF" w:rsidP="00355A56">
            <w:pPr>
              <w:pStyle w:val="TableParagraph"/>
              <w:rPr>
                <w:sz w:val="20"/>
              </w:rPr>
            </w:pPr>
            <w:r>
              <w:rPr>
                <w:sz w:val="20"/>
              </w:rPr>
              <w:t>083</w:t>
            </w:r>
          </w:p>
        </w:tc>
        <w:tc>
          <w:tcPr>
            <w:tcW w:w="2731" w:type="dxa"/>
          </w:tcPr>
          <w:p w14:paraId="23E5D758" w14:textId="77777777" w:rsidR="00DD13BF" w:rsidRDefault="00DD13BF" w:rsidP="00355A56">
            <w:pPr>
              <w:pStyle w:val="TableParagraph"/>
              <w:rPr>
                <w:sz w:val="20"/>
              </w:rPr>
            </w:pPr>
            <w:r>
              <w:rPr>
                <w:sz w:val="20"/>
              </w:rPr>
              <w:t xml:space="preserve">61,000,000 </w:t>
            </w:r>
          </w:p>
        </w:tc>
      </w:tr>
      <w:tr w:rsidR="00DD13BF" w14:paraId="79CF82F7" w14:textId="77777777" w:rsidTr="00355A56">
        <w:trPr>
          <w:trHeight w:val="353"/>
        </w:trPr>
        <w:tc>
          <w:tcPr>
            <w:tcW w:w="2126" w:type="dxa"/>
          </w:tcPr>
          <w:p w14:paraId="16C3A66C" w14:textId="77777777" w:rsidR="00DD13BF" w:rsidRDefault="00DD13BF" w:rsidP="00355A56">
            <w:pPr>
              <w:pStyle w:val="TableParagraph"/>
              <w:rPr>
                <w:sz w:val="20"/>
              </w:rPr>
            </w:pPr>
            <w:r>
              <w:rPr>
                <w:sz w:val="20"/>
              </w:rPr>
              <w:t>5</w:t>
            </w:r>
          </w:p>
        </w:tc>
        <w:tc>
          <w:tcPr>
            <w:tcW w:w="1133" w:type="dxa"/>
          </w:tcPr>
          <w:p w14:paraId="6AD42BB0" w14:textId="77777777" w:rsidR="00DD13BF" w:rsidRDefault="00DD13BF" w:rsidP="00355A56">
            <w:pPr>
              <w:pStyle w:val="TableParagraph"/>
              <w:rPr>
                <w:sz w:val="20"/>
              </w:rPr>
            </w:pPr>
            <w:r>
              <w:rPr>
                <w:sz w:val="20"/>
              </w:rPr>
              <w:t>CF</w:t>
            </w:r>
          </w:p>
        </w:tc>
        <w:tc>
          <w:tcPr>
            <w:tcW w:w="3249" w:type="dxa"/>
          </w:tcPr>
          <w:p w14:paraId="689CF074" w14:textId="77777777" w:rsidR="00DD13BF" w:rsidRDefault="00DD13BF" w:rsidP="00355A56">
            <w:pPr>
              <w:pStyle w:val="TableParagraph"/>
              <w:rPr>
                <w:sz w:val="20"/>
              </w:rPr>
            </w:pPr>
            <w:r>
              <w:rPr>
                <w:sz w:val="20"/>
              </w:rPr>
              <w:t>Entire Slovenia</w:t>
            </w:r>
          </w:p>
        </w:tc>
        <w:tc>
          <w:tcPr>
            <w:tcW w:w="3099" w:type="dxa"/>
          </w:tcPr>
          <w:p w14:paraId="67C1732C" w14:textId="77777777" w:rsidR="00DD13BF" w:rsidRDefault="00DD13BF" w:rsidP="00355A56">
            <w:pPr>
              <w:pStyle w:val="TableParagraph"/>
              <w:rPr>
                <w:sz w:val="20"/>
              </w:rPr>
            </w:pPr>
            <w:r>
              <w:rPr>
                <w:color w:val="000000"/>
                <w:sz w:val="20"/>
              </w:rPr>
              <w:t>RSO3.2</w:t>
            </w:r>
          </w:p>
        </w:tc>
        <w:tc>
          <w:tcPr>
            <w:tcW w:w="1161" w:type="dxa"/>
          </w:tcPr>
          <w:p w14:paraId="036C4172" w14:textId="77777777" w:rsidR="00DD13BF" w:rsidRDefault="00DD13BF" w:rsidP="00355A56">
            <w:pPr>
              <w:pStyle w:val="TableParagraph"/>
              <w:rPr>
                <w:sz w:val="20"/>
              </w:rPr>
            </w:pPr>
            <w:r>
              <w:rPr>
                <w:sz w:val="20"/>
              </w:rPr>
              <w:t>109</w:t>
            </w:r>
          </w:p>
        </w:tc>
        <w:tc>
          <w:tcPr>
            <w:tcW w:w="2731" w:type="dxa"/>
          </w:tcPr>
          <w:p w14:paraId="6B175973" w14:textId="77777777" w:rsidR="00DD13BF" w:rsidRDefault="00DD13BF" w:rsidP="00355A56">
            <w:pPr>
              <w:pStyle w:val="TableParagraph"/>
              <w:rPr>
                <w:sz w:val="20"/>
              </w:rPr>
            </w:pPr>
            <w:r>
              <w:rPr>
                <w:sz w:val="20"/>
              </w:rPr>
              <w:t xml:space="preserve">19,002,680 </w:t>
            </w:r>
          </w:p>
        </w:tc>
      </w:tr>
    </w:tbl>
    <w:p w14:paraId="28E0370B" w14:textId="77777777" w:rsidR="00DD13BF" w:rsidRDefault="00DD13BF" w:rsidP="00DD13BF"/>
    <w:p w14:paraId="3CAC5778" w14:textId="77777777" w:rsidR="00DD13BF" w:rsidRPr="00673ADB" w:rsidRDefault="00DD13BF" w:rsidP="00DD13BF">
      <w:pPr>
        <w:ind w:left="339"/>
        <w:rPr>
          <w:spacing w:val="-7"/>
        </w:rPr>
      </w:pPr>
      <w:r>
        <w:t>Table 5: Dimension 2 – form of financing</w:t>
      </w:r>
    </w:p>
    <w:p w14:paraId="3AA47275"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49334A3" w14:textId="77777777" w:rsidTr="00355A56">
        <w:trPr>
          <w:trHeight w:val="353"/>
        </w:trPr>
        <w:tc>
          <w:tcPr>
            <w:tcW w:w="2088" w:type="dxa"/>
          </w:tcPr>
          <w:p w14:paraId="51C7C081" w14:textId="77777777" w:rsidR="00DD13BF" w:rsidRDefault="00DD13BF" w:rsidP="00355A56">
            <w:pPr>
              <w:pStyle w:val="TableParagraph"/>
              <w:ind w:left="115"/>
            </w:pPr>
            <w:r>
              <w:t>Priority no.</w:t>
            </w:r>
          </w:p>
        </w:tc>
        <w:tc>
          <w:tcPr>
            <w:tcW w:w="1133" w:type="dxa"/>
          </w:tcPr>
          <w:p w14:paraId="7730F212" w14:textId="77777777" w:rsidR="00DD13BF" w:rsidRDefault="00DD13BF" w:rsidP="00355A56">
            <w:pPr>
              <w:pStyle w:val="TableParagraph"/>
              <w:ind w:left="320"/>
            </w:pPr>
            <w:r>
              <w:t>Fund</w:t>
            </w:r>
          </w:p>
        </w:tc>
        <w:tc>
          <w:tcPr>
            <w:tcW w:w="3249" w:type="dxa"/>
          </w:tcPr>
          <w:p w14:paraId="2BC39B3F" w14:textId="77777777" w:rsidR="00DD13BF" w:rsidRDefault="00DD13BF" w:rsidP="00355A56">
            <w:pPr>
              <w:pStyle w:val="TableParagraph"/>
              <w:ind w:left="907"/>
            </w:pPr>
            <w:r>
              <w:t>Category of region</w:t>
            </w:r>
          </w:p>
        </w:tc>
        <w:tc>
          <w:tcPr>
            <w:tcW w:w="3099" w:type="dxa"/>
          </w:tcPr>
          <w:p w14:paraId="0A27795C" w14:textId="77777777" w:rsidR="00DD13BF" w:rsidRDefault="00DD13BF" w:rsidP="00355A56">
            <w:pPr>
              <w:pStyle w:val="TableParagraph"/>
              <w:ind w:left="948"/>
            </w:pPr>
            <w:r>
              <w:t>Specific objective</w:t>
            </w:r>
          </w:p>
        </w:tc>
        <w:tc>
          <w:tcPr>
            <w:tcW w:w="1161" w:type="dxa"/>
          </w:tcPr>
          <w:p w14:paraId="27677E1D" w14:textId="77777777" w:rsidR="00DD13BF" w:rsidRDefault="00DD13BF" w:rsidP="00355A56">
            <w:pPr>
              <w:pStyle w:val="TableParagraph"/>
              <w:ind w:left="334"/>
            </w:pPr>
            <w:r>
              <w:t>Code</w:t>
            </w:r>
          </w:p>
        </w:tc>
        <w:tc>
          <w:tcPr>
            <w:tcW w:w="2731" w:type="dxa"/>
          </w:tcPr>
          <w:p w14:paraId="485DE125" w14:textId="77777777" w:rsidR="00DD13BF" w:rsidRDefault="00DD13BF" w:rsidP="00355A56">
            <w:pPr>
              <w:pStyle w:val="TableParagraph"/>
              <w:ind w:left="661"/>
            </w:pPr>
            <w:r>
              <w:t>Amount (in EUR)</w:t>
            </w:r>
          </w:p>
        </w:tc>
      </w:tr>
      <w:tr w:rsidR="00DD13BF" w14:paraId="3396B379" w14:textId="77777777" w:rsidTr="00355A56">
        <w:trPr>
          <w:trHeight w:val="353"/>
        </w:trPr>
        <w:tc>
          <w:tcPr>
            <w:tcW w:w="2088" w:type="dxa"/>
          </w:tcPr>
          <w:p w14:paraId="2E573625" w14:textId="77777777" w:rsidR="00DD13BF" w:rsidRDefault="00DD13BF" w:rsidP="00355A56">
            <w:pPr>
              <w:pStyle w:val="TableParagraph"/>
              <w:rPr>
                <w:sz w:val="20"/>
              </w:rPr>
            </w:pPr>
            <w:r>
              <w:rPr>
                <w:sz w:val="20"/>
              </w:rPr>
              <w:t>5</w:t>
            </w:r>
          </w:p>
        </w:tc>
        <w:tc>
          <w:tcPr>
            <w:tcW w:w="1133" w:type="dxa"/>
          </w:tcPr>
          <w:p w14:paraId="62C4F69E" w14:textId="77777777" w:rsidR="00DD13BF" w:rsidRDefault="00DD13BF" w:rsidP="00355A56">
            <w:pPr>
              <w:pStyle w:val="TableParagraph"/>
              <w:rPr>
                <w:sz w:val="20"/>
              </w:rPr>
            </w:pPr>
            <w:r>
              <w:rPr>
                <w:sz w:val="20"/>
              </w:rPr>
              <w:t>ERDF</w:t>
            </w:r>
          </w:p>
        </w:tc>
        <w:tc>
          <w:tcPr>
            <w:tcW w:w="3249" w:type="dxa"/>
          </w:tcPr>
          <w:p w14:paraId="3935E8AF" w14:textId="77777777" w:rsidR="00DD13BF" w:rsidRPr="005D559B" w:rsidRDefault="00DD13BF" w:rsidP="00355A56">
            <w:pPr>
              <w:pStyle w:val="TableParagraph"/>
            </w:pPr>
            <w:r>
              <w:t>Less developed</w:t>
            </w:r>
          </w:p>
        </w:tc>
        <w:tc>
          <w:tcPr>
            <w:tcW w:w="3099" w:type="dxa"/>
          </w:tcPr>
          <w:p w14:paraId="642C60E2" w14:textId="77777777" w:rsidR="00DD13BF" w:rsidRDefault="00DD13BF" w:rsidP="00355A56">
            <w:pPr>
              <w:pStyle w:val="TableParagraph"/>
              <w:rPr>
                <w:sz w:val="20"/>
              </w:rPr>
            </w:pPr>
            <w:r>
              <w:rPr>
                <w:color w:val="000000"/>
                <w:sz w:val="20"/>
              </w:rPr>
              <w:t>RSO3.2</w:t>
            </w:r>
          </w:p>
        </w:tc>
        <w:tc>
          <w:tcPr>
            <w:tcW w:w="1161" w:type="dxa"/>
          </w:tcPr>
          <w:p w14:paraId="158D99BE" w14:textId="77777777" w:rsidR="00DD13BF" w:rsidRDefault="00DD13BF" w:rsidP="00355A56">
            <w:pPr>
              <w:pStyle w:val="TableParagraph"/>
              <w:rPr>
                <w:sz w:val="20"/>
              </w:rPr>
            </w:pPr>
            <w:r>
              <w:rPr>
                <w:sz w:val="20"/>
              </w:rPr>
              <w:t>01</w:t>
            </w:r>
          </w:p>
        </w:tc>
        <w:tc>
          <w:tcPr>
            <w:tcW w:w="2731" w:type="dxa"/>
          </w:tcPr>
          <w:p w14:paraId="744FC71E" w14:textId="77777777" w:rsidR="00DD13BF" w:rsidRDefault="00DD13BF" w:rsidP="00355A56">
            <w:pPr>
              <w:pStyle w:val="TableParagraph"/>
              <w:rPr>
                <w:sz w:val="20"/>
              </w:rPr>
            </w:pPr>
            <w:r>
              <w:rPr>
                <w:sz w:val="20"/>
              </w:rPr>
              <w:t>105,888,481</w:t>
            </w:r>
          </w:p>
        </w:tc>
      </w:tr>
      <w:tr w:rsidR="00DD13BF" w14:paraId="1FD05CD9" w14:textId="77777777" w:rsidTr="00355A56">
        <w:trPr>
          <w:trHeight w:val="353"/>
        </w:trPr>
        <w:tc>
          <w:tcPr>
            <w:tcW w:w="2088" w:type="dxa"/>
          </w:tcPr>
          <w:p w14:paraId="37700040" w14:textId="77777777" w:rsidR="00DD13BF" w:rsidRDefault="00DD13BF" w:rsidP="00355A56">
            <w:pPr>
              <w:pStyle w:val="TableParagraph"/>
              <w:rPr>
                <w:sz w:val="20"/>
              </w:rPr>
            </w:pPr>
            <w:r>
              <w:rPr>
                <w:sz w:val="20"/>
              </w:rPr>
              <w:t>5</w:t>
            </w:r>
          </w:p>
        </w:tc>
        <w:tc>
          <w:tcPr>
            <w:tcW w:w="1133" w:type="dxa"/>
          </w:tcPr>
          <w:p w14:paraId="5EC6622D" w14:textId="77777777" w:rsidR="00DD13BF" w:rsidRDefault="00DD13BF" w:rsidP="00355A56">
            <w:pPr>
              <w:pStyle w:val="TableParagraph"/>
              <w:rPr>
                <w:sz w:val="20"/>
              </w:rPr>
            </w:pPr>
            <w:r>
              <w:rPr>
                <w:sz w:val="20"/>
              </w:rPr>
              <w:t>CF</w:t>
            </w:r>
          </w:p>
        </w:tc>
        <w:tc>
          <w:tcPr>
            <w:tcW w:w="3249" w:type="dxa"/>
          </w:tcPr>
          <w:p w14:paraId="7BB14AC3" w14:textId="77777777" w:rsidR="00DD13BF" w:rsidRPr="00C91A32" w:rsidRDefault="00DD13BF" w:rsidP="00355A56">
            <w:pPr>
              <w:pStyle w:val="TableParagraph"/>
            </w:pPr>
            <w:r>
              <w:t>Entire Slovenia</w:t>
            </w:r>
          </w:p>
        </w:tc>
        <w:tc>
          <w:tcPr>
            <w:tcW w:w="3099" w:type="dxa"/>
          </w:tcPr>
          <w:p w14:paraId="5B8E02B0" w14:textId="77777777" w:rsidR="00DD13BF" w:rsidRDefault="00DD13BF" w:rsidP="00355A56">
            <w:pPr>
              <w:pStyle w:val="TableParagraph"/>
              <w:rPr>
                <w:sz w:val="20"/>
              </w:rPr>
            </w:pPr>
            <w:r>
              <w:rPr>
                <w:color w:val="000000"/>
                <w:sz w:val="20"/>
              </w:rPr>
              <w:t>RSO3.2</w:t>
            </w:r>
          </w:p>
        </w:tc>
        <w:tc>
          <w:tcPr>
            <w:tcW w:w="1161" w:type="dxa"/>
          </w:tcPr>
          <w:p w14:paraId="720A10D9" w14:textId="77777777" w:rsidR="00DD13BF" w:rsidRDefault="00DD13BF" w:rsidP="00355A56">
            <w:pPr>
              <w:pStyle w:val="TableParagraph"/>
              <w:rPr>
                <w:sz w:val="20"/>
              </w:rPr>
            </w:pPr>
            <w:r>
              <w:rPr>
                <w:sz w:val="20"/>
              </w:rPr>
              <w:t>01</w:t>
            </w:r>
          </w:p>
        </w:tc>
        <w:tc>
          <w:tcPr>
            <w:tcW w:w="2731" w:type="dxa"/>
          </w:tcPr>
          <w:p w14:paraId="073538CA" w14:textId="77777777" w:rsidR="00DD13BF" w:rsidRDefault="00DD13BF" w:rsidP="00355A56">
            <w:pPr>
              <w:pStyle w:val="TableParagraph"/>
              <w:rPr>
                <w:sz w:val="20"/>
              </w:rPr>
            </w:pPr>
            <w:r>
              <w:rPr>
                <w:sz w:val="20"/>
              </w:rPr>
              <w:t>121,002,680</w:t>
            </w:r>
          </w:p>
        </w:tc>
      </w:tr>
    </w:tbl>
    <w:p w14:paraId="1786C4E8" w14:textId="77777777" w:rsidR="00DD13BF" w:rsidRDefault="00DD13BF" w:rsidP="00DD13BF">
      <w:pPr>
        <w:rPr>
          <w:sz w:val="20"/>
        </w:rPr>
        <w:sectPr w:rsidR="00DD13BF" w:rsidSect="00BD3536">
          <w:headerReference w:type="default" r:id="rId67"/>
          <w:footerReference w:type="first" r:id="rId68"/>
          <w:type w:val="continuous"/>
          <w:pgSz w:w="16840" w:h="11910" w:orient="landscape"/>
          <w:pgMar w:top="1417" w:right="1417" w:bottom="1417" w:left="1417" w:header="708" w:footer="708" w:gutter="0"/>
          <w:cols w:space="708"/>
          <w:titlePg/>
          <w:docGrid w:linePitch="299"/>
        </w:sectPr>
      </w:pPr>
    </w:p>
    <w:p w14:paraId="283CA41E" w14:textId="77777777" w:rsidR="00DD13BF" w:rsidRDefault="00DD13BF" w:rsidP="00DD13BF">
      <w:pPr>
        <w:ind w:left="339"/>
      </w:pPr>
      <w:r>
        <w:t>Table 6: Dimension 3 – territorial delivery mechanism and territorial focus</w:t>
      </w:r>
    </w:p>
    <w:p w14:paraId="3970D057" w14:textId="77777777" w:rsidR="00DD13BF" w:rsidRDefault="00DD13BF" w:rsidP="00DD13BF"/>
    <w:tbl>
      <w:tblPr>
        <w:tblStyle w:val="NormalTable0"/>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132"/>
        <w:gridCol w:w="3248"/>
        <w:gridCol w:w="3098"/>
        <w:gridCol w:w="1160"/>
        <w:gridCol w:w="2730"/>
      </w:tblGrid>
      <w:tr w:rsidR="00DD13BF" w14:paraId="6C8CEA0D" w14:textId="77777777" w:rsidTr="00355A56">
        <w:trPr>
          <w:trHeight w:val="353"/>
        </w:trPr>
        <w:tc>
          <w:tcPr>
            <w:tcW w:w="2088" w:type="dxa"/>
          </w:tcPr>
          <w:p w14:paraId="37F57159" w14:textId="77777777" w:rsidR="00DD13BF" w:rsidRDefault="00DD13BF" w:rsidP="00355A56">
            <w:pPr>
              <w:pStyle w:val="TableParagraph"/>
              <w:ind w:left="115"/>
            </w:pPr>
            <w:r>
              <w:t>Priority no.</w:t>
            </w:r>
          </w:p>
        </w:tc>
        <w:tc>
          <w:tcPr>
            <w:tcW w:w="1132" w:type="dxa"/>
          </w:tcPr>
          <w:p w14:paraId="5E0A31B5" w14:textId="77777777" w:rsidR="00DD13BF" w:rsidRDefault="00DD13BF" w:rsidP="00355A56">
            <w:pPr>
              <w:pStyle w:val="TableParagraph"/>
              <w:ind w:left="320"/>
            </w:pPr>
            <w:r>
              <w:t>Fund</w:t>
            </w:r>
          </w:p>
        </w:tc>
        <w:tc>
          <w:tcPr>
            <w:tcW w:w="3248" w:type="dxa"/>
          </w:tcPr>
          <w:p w14:paraId="4821C671" w14:textId="77777777" w:rsidR="00DD13BF" w:rsidRDefault="00DD13BF" w:rsidP="00355A56">
            <w:pPr>
              <w:pStyle w:val="TableParagraph"/>
              <w:ind w:left="908"/>
            </w:pPr>
            <w:r>
              <w:t>Category of region</w:t>
            </w:r>
          </w:p>
        </w:tc>
        <w:tc>
          <w:tcPr>
            <w:tcW w:w="3098" w:type="dxa"/>
          </w:tcPr>
          <w:p w14:paraId="52C6C726" w14:textId="77777777" w:rsidR="00DD13BF" w:rsidRDefault="00DD13BF" w:rsidP="00355A56">
            <w:pPr>
              <w:pStyle w:val="TableParagraph"/>
              <w:ind w:left="950"/>
            </w:pPr>
            <w:r>
              <w:t>Specific objective</w:t>
            </w:r>
          </w:p>
        </w:tc>
        <w:tc>
          <w:tcPr>
            <w:tcW w:w="1160" w:type="dxa"/>
          </w:tcPr>
          <w:p w14:paraId="2ED2DE70" w14:textId="77777777" w:rsidR="00DD13BF" w:rsidRDefault="00DD13BF" w:rsidP="00355A56">
            <w:pPr>
              <w:pStyle w:val="TableParagraph"/>
              <w:ind w:left="336"/>
            </w:pPr>
            <w:r>
              <w:t>Code</w:t>
            </w:r>
          </w:p>
        </w:tc>
        <w:tc>
          <w:tcPr>
            <w:tcW w:w="2730" w:type="dxa"/>
          </w:tcPr>
          <w:p w14:paraId="6AAC3C29" w14:textId="77777777" w:rsidR="00DD13BF" w:rsidRDefault="00DD13BF" w:rsidP="00355A56">
            <w:pPr>
              <w:pStyle w:val="TableParagraph"/>
              <w:ind w:left="664"/>
            </w:pPr>
            <w:r>
              <w:t>Amount (in EUR)</w:t>
            </w:r>
          </w:p>
        </w:tc>
      </w:tr>
      <w:tr w:rsidR="00DD13BF" w14:paraId="47925455" w14:textId="77777777" w:rsidTr="00355A56">
        <w:trPr>
          <w:trHeight w:val="353"/>
        </w:trPr>
        <w:tc>
          <w:tcPr>
            <w:tcW w:w="2088" w:type="dxa"/>
          </w:tcPr>
          <w:p w14:paraId="74FBE9E8" w14:textId="77777777" w:rsidR="00DD13BF" w:rsidRDefault="00DD13BF" w:rsidP="00355A56">
            <w:pPr>
              <w:pStyle w:val="TableParagraph"/>
              <w:rPr>
                <w:sz w:val="20"/>
              </w:rPr>
            </w:pPr>
            <w:r>
              <w:rPr>
                <w:sz w:val="20"/>
              </w:rPr>
              <w:t>5</w:t>
            </w:r>
          </w:p>
        </w:tc>
        <w:tc>
          <w:tcPr>
            <w:tcW w:w="1132" w:type="dxa"/>
          </w:tcPr>
          <w:p w14:paraId="7F496CC7" w14:textId="77777777" w:rsidR="00DD13BF" w:rsidRDefault="00DD13BF" w:rsidP="00355A56">
            <w:pPr>
              <w:pStyle w:val="TableParagraph"/>
              <w:rPr>
                <w:sz w:val="20"/>
              </w:rPr>
            </w:pPr>
            <w:r>
              <w:rPr>
                <w:sz w:val="20"/>
              </w:rPr>
              <w:t>ERDF</w:t>
            </w:r>
          </w:p>
        </w:tc>
        <w:tc>
          <w:tcPr>
            <w:tcW w:w="3248" w:type="dxa"/>
          </w:tcPr>
          <w:p w14:paraId="3EDF061B" w14:textId="77777777" w:rsidR="00DD13BF" w:rsidRDefault="00DD13BF" w:rsidP="00355A56">
            <w:pPr>
              <w:pStyle w:val="TableParagraph"/>
              <w:rPr>
                <w:sz w:val="20"/>
              </w:rPr>
            </w:pPr>
            <w:r>
              <w:rPr>
                <w:sz w:val="20"/>
              </w:rPr>
              <w:t>Less developed</w:t>
            </w:r>
          </w:p>
        </w:tc>
        <w:tc>
          <w:tcPr>
            <w:tcW w:w="3098" w:type="dxa"/>
          </w:tcPr>
          <w:p w14:paraId="0CF9FE5F" w14:textId="77777777" w:rsidR="00DD13BF" w:rsidRDefault="00DD13BF" w:rsidP="00355A56">
            <w:pPr>
              <w:pStyle w:val="TableParagraph"/>
              <w:rPr>
                <w:sz w:val="20"/>
              </w:rPr>
            </w:pPr>
            <w:r>
              <w:rPr>
                <w:color w:val="000000"/>
                <w:sz w:val="20"/>
              </w:rPr>
              <w:t>RSO3.2</w:t>
            </w:r>
          </w:p>
        </w:tc>
        <w:tc>
          <w:tcPr>
            <w:tcW w:w="1160" w:type="dxa"/>
          </w:tcPr>
          <w:p w14:paraId="6DA03DB4" w14:textId="77777777" w:rsidR="00DD13BF" w:rsidRDefault="00DD13BF" w:rsidP="00355A56">
            <w:pPr>
              <w:pStyle w:val="TableParagraph"/>
              <w:rPr>
                <w:sz w:val="20"/>
              </w:rPr>
            </w:pPr>
            <w:r>
              <w:rPr>
                <w:sz w:val="20"/>
              </w:rPr>
              <w:t>33</w:t>
            </w:r>
          </w:p>
        </w:tc>
        <w:tc>
          <w:tcPr>
            <w:tcW w:w="2730" w:type="dxa"/>
          </w:tcPr>
          <w:p w14:paraId="376C0F43" w14:textId="77777777" w:rsidR="00DD13BF" w:rsidRDefault="00DD13BF" w:rsidP="00355A56">
            <w:pPr>
              <w:pStyle w:val="TableParagraph"/>
              <w:rPr>
                <w:sz w:val="20"/>
              </w:rPr>
            </w:pPr>
            <w:r>
              <w:rPr>
                <w:sz w:val="20"/>
              </w:rPr>
              <w:t>105,888,481</w:t>
            </w:r>
          </w:p>
        </w:tc>
      </w:tr>
      <w:tr w:rsidR="00DD13BF" w14:paraId="3284DB1A" w14:textId="77777777" w:rsidTr="00355A56">
        <w:trPr>
          <w:trHeight w:val="353"/>
        </w:trPr>
        <w:tc>
          <w:tcPr>
            <w:tcW w:w="2088" w:type="dxa"/>
          </w:tcPr>
          <w:p w14:paraId="53BA164C" w14:textId="77777777" w:rsidR="00DD13BF" w:rsidRDefault="00DD13BF" w:rsidP="00355A56">
            <w:pPr>
              <w:pStyle w:val="TableParagraph"/>
              <w:rPr>
                <w:sz w:val="20"/>
              </w:rPr>
            </w:pPr>
            <w:r>
              <w:rPr>
                <w:sz w:val="20"/>
              </w:rPr>
              <w:t>5</w:t>
            </w:r>
          </w:p>
        </w:tc>
        <w:tc>
          <w:tcPr>
            <w:tcW w:w="1132" w:type="dxa"/>
          </w:tcPr>
          <w:p w14:paraId="24F63E26" w14:textId="77777777" w:rsidR="00DD13BF" w:rsidRDefault="00DD13BF" w:rsidP="00355A56">
            <w:pPr>
              <w:pStyle w:val="TableParagraph"/>
              <w:rPr>
                <w:sz w:val="20"/>
              </w:rPr>
            </w:pPr>
            <w:r>
              <w:rPr>
                <w:sz w:val="20"/>
              </w:rPr>
              <w:t>CF</w:t>
            </w:r>
          </w:p>
        </w:tc>
        <w:tc>
          <w:tcPr>
            <w:tcW w:w="3248" w:type="dxa"/>
          </w:tcPr>
          <w:p w14:paraId="15BAF7CC" w14:textId="77777777" w:rsidR="00DD13BF" w:rsidRDefault="00DD13BF" w:rsidP="00355A56">
            <w:pPr>
              <w:pStyle w:val="TableParagraph"/>
              <w:rPr>
                <w:sz w:val="20"/>
              </w:rPr>
            </w:pPr>
            <w:r>
              <w:rPr>
                <w:sz w:val="20"/>
              </w:rPr>
              <w:t>Entire Slovenia</w:t>
            </w:r>
          </w:p>
        </w:tc>
        <w:tc>
          <w:tcPr>
            <w:tcW w:w="3098" w:type="dxa"/>
          </w:tcPr>
          <w:p w14:paraId="40C1053B" w14:textId="77777777" w:rsidR="00DD13BF" w:rsidRDefault="00DD13BF" w:rsidP="00355A56">
            <w:pPr>
              <w:pStyle w:val="TableParagraph"/>
              <w:rPr>
                <w:sz w:val="20"/>
              </w:rPr>
            </w:pPr>
            <w:r>
              <w:rPr>
                <w:color w:val="000000"/>
                <w:sz w:val="20"/>
              </w:rPr>
              <w:t>RSO3.2</w:t>
            </w:r>
          </w:p>
        </w:tc>
        <w:tc>
          <w:tcPr>
            <w:tcW w:w="1160" w:type="dxa"/>
          </w:tcPr>
          <w:p w14:paraId="47F28425" w14:textId="77777777" w:rsidR="00DD13BF" w:rsidRDefault="00DD13BF" w:rsidP="00355A56">
            <w:pPr>
              <w:pStyle w:val="TableParagraph"/>
              <w:rPr>
                <w:sz w:val="20"/>
              </w:rPr>
            </w:pPr>
            <w:r>
              <w:rPr>
                <w:sz w:val="20"/>
              </w:rPr>
              <w:t>33</w:t>
            </w:r>
          </w:p>
        </w:tc>
        <w:tc>
          <w:tcPr>
            <w:tcW w:w="2730" w:type="dxa"/>
          </w:tcPr>
          <w:p w14:paraId="3DC465DE" w14:textId="77777777" w:rsidR="00DD13BF" w:rsidRDefault="00DD13BF" w:rsidP="00355A56">
            <w:pPr>
              <w:pStyle w:val="TableParagraph"/>
              <w:rPr>
                <w:sz w:val="20"/>
              </w:rPr>
            </w:pPr>
            <w:r>
              <w:rPr>
                <w:sz w:val="20"/>
              </w:rPr>
              <w:t xml:space="preserve">54,502,680 </w:t>
            </w:r>
          </w:p>
        </w:tc>
      </w:tr>
      <w:tr w:rsidR="00DD13BF" w14:paraId="0D674C87" w14:textId="77777777" w:rsidTr="00355A56">
        <w:trPr>
          <w:trHeight w:val="353"/>
        </w:trPr>
        <w:tc>
          <w:tcPr>
            <w:tcW w:w="2088" w:type="dxa"/>
          </w:tcPr>
          <w:p w14:paraId="2DD64C0A" w14:textId="77777777" w:rsidR="00DD13BF" w:rsidRDefault="00DD13BF" w:rsidP="00355A56">
            <w:pPr>
              <w:pStyle w:val="TableParagraph"/>
              <w:rPr>
                <w:sz w:val="20"/>
              </w:rPr>
            </w:pPr>
            <w:r>
              <w:rPr>
                <w:sz w:val="20"/>
              </w:rPr>
              <w:t>5</w:t>
            </w:r>
          </w:p>
        </w:tc>
        <w:tc>
          <w:tcPr>
            <w:tcW w:w="1132" w:type="dxa"/>
          </w:tcPr>
          <w:p w14:paraId="112FDC13" w14:textId="77777777" w:rsidR="00DD13BF" w:rsidRDefault="00DD13BF" w:rsidP="00355A56">
            <w:pPr>
              <w:pStyle w:val="TableParagraph"/>
              <w:rPr>
                <w:sz w:val="20"/>
              </w:rPr>
            </w:pPr>
            <w:r>
              <w:rPr>
                <w:sz w:val="20"/>
              </w:rPr>
              <w:t>CF</w:t>
            </w:r>
          </w:p>
        </w:tc>
        <w:tc>
          <w:tcPr>
            <w:tcW w:w="3248" w:type="dxa"/>
          </w:tcPr>
          <w:p w14:paraId="741A8078" w14:textId="77777777" w:rsidR="00DD13BF" w:rsidRDefault="00DD13BF" w:rsidP="00355A56">
            <w:pPr>
              <w:pStyle w:val="TableParagraph"/>
              <w:rPr>
                <w:sz w:val="20"/>
              </w:rPr>
            </w:pPr>
            <w:r>
              <w:rPr>
                <w:sz w:val="20"/>
              </w:rPr>
              <w:t>Entire Slovenia</w:t>
            </w:r>
          </w:p>
        </w:tc>
        <w:tc>
          <w:tcPr>
            <w:tcW w:w="3098" w:type="dxa"/>
          </w:tcPr>
          <w:p w14:paraId="37BF64F2" w14:textId="77777777" w:rsidR="00DD13BF" w:rsidRPr="00F65376" w:rsidRDefault="00DD13BF" w:rsidP="00355A56">
            <w:pPr>
              <w:pStyle w:val="TableParagraph"/>
              <w:rPr>
                <w:sz w:val="20"/>
              </w:rPr>
            </w:pPr>
            <w:r>
              <w:rPr>
                <w:color w:val="000000"/>
                <w:sz w:val="20"/>
              </w:rPr>
              <w:t>RSO3.2</w:t>
            </w:r>
          </w:p>
        </w:tc>
        <w:tc>
          <w:tcPr>
            <w:tcW w:w="1160" w:type="dxa"/>
          </w:tcPr>
          <w:p w14:paraId="44905A60" w14:textId="77777777" w:rsidR="00DD13BF" w:rsidRDefault="00DD13BF" w:rsidP="00355A56">
            <w:pPr>
              <w:pStyle w:val="TableParagraph"/>
              <w:rPr>
                <w:sz w:val="20"/>
              </w:rPr>
            </w:pPr>
            <w:r>
              <w:rPr>
                <w:sz w:val="20"/>
              </w:rPr>
              <w:t>24</w:t>
            </w:r>
          </w:p>
        </w:tc>
        <w:tc>
          <w:tcPr>
            <w:tcW w:w="2730" w:type="dxa"/>
          </w:tcPr>
          <w:p w14:paraId="70E7F322" w14:textId="77777777" w:rsidR="00DD13BF" w:rsidRPr="2CDEFCE5" w:rsidRDefault="00DD13BF" w:rsidP="00355A56">
            <w:pPr>
              <w:pStyle w:val="TableParagraph"/>
              <w:rPr>
                <w:sz w:val="20"/>
              </w:rPr>
            </w:pPr>
            <w:r>
              <w:rPr>
                <w:sz w:val="20"/>
              </w:rPr>
              <w:t>66,500,000</w:t>
            </w:r>
          </w:p>
        </w:tc>
      </w:tr>
    </w:tbl>
    <w:p w14:paraId="4EEF7D2E" w14:textId="77777777" w:rsidR="00DD13BF" w:rsidRDefault="00DD13BF" w:rsidP="00DD13BF"/>
    <w:p w14:paraId="54A23902" w14:textId="77777777" w:rsidR="00DD13BF" w:rsidRDefault="00DD13BF" w:rsidP="00DD13BF">
      <w:pPr>
        <w:ind w:left="339"/>
      </w:pPr>
      <w:r>
        <w:t>Table 7: Dimension 6 – ESF+ secondary themes</w:t>
      </w: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F7AE0AB" w14:textId="77777777" w:rsidTr="00355A56">
        <w:trPr>
          <w:trHeight w:val="353"/>
        </w:trPr>
        <w:tc>
          <w:tcPr>
            <w:tcW w:w="2088" w:type="dxa"/>
          </w:tcPr>
          <w:p w14:paraId="6E71DFC2" w14:textId="77777777" w:rsidR="00DD13BF" w:rsidRDefault="00DD13BF" w:rsidP="00355A56">
            <w:pPr>
              <w:pStyle w:val="TableParagraph"/>
              <w:ind w:left="115"/>
            </w:pPr>
            <w:r>
              <w:t>Priority no.</w:t>
            </w:r>
          </w:p>
        </w:tc>
        <w:tc>
          <w:tcPr>
            <w:tcW w:w="1132" w:type="dxa"/>
          </w:tcPr>
          <w:p w14:paraId="21A2141C" w14:textId="77777777" w:rsidR="00DD13BF" w:rsidRDefault="00DD13BF" w:rsidP="00355A56">
            <w:pPr>
              <w:pStyle w:val="TableParagraph"/>
              <w:ind w:left="321"/>
            </w:pPr>
            <w:r>
              <w:t>Fund</w:t>
            </w:r>
          </w:p>
        </w:tc>
        <w:tc>
          <w:tcPr>
            <w:tcW w:w="3248" w:type="dxa"/>
          </w:tcPr>
          <w:p w14:paraId="61EA28BF" w14:textId="77777777" w:rsidR="00DD13BF" w:rsidRDefault="00DD13BF" w:rsidP="00355A56">
            <w:pPr>
              <w:pStyle w:val="TableParagraph"/>
              <w:ind w:left="909"/>
            </w:pPr>
            <w:r>
              <w:t>Category of region</w:t>
            </w:r>
          </w:p>
        </w:tc>
        <w:tc>
          <w:tcPr>
            <w:tcW w:w="3098" w:type="dxa"/>
          </w:tcPr>
          <w:p w14:paraId="6F2A1887" w14:textId="77777777" w:rsidR="00DD13BF" w:rsidRDefault="00DD13BF" w:rsidP="00355A56">
            <w:pPr>
              <w:pStyle w:val="TableParagraph"/>
              <w:ind w:left="950"/>
            </w:pPr>
            <w:r>
              <w:t>Specific objective</w:t>
            </w:r>
          </w:p>
        </w:tc>
        <w:tc>
          <w:tcPr>
            <w:tcW w:w="1160" w:type="dxa"/>
          </w:tcPr>
          <w:p w14:paraId="3CFBD786" w14:textId="77777777" w:rsidR="00DD13BF" w:rsidRDefault="00DD13BF" w:rsidP="00355A56">
            <w:pPr>
              <w:pStyle w:val="TableParagraph"/>
              <w:ind w:left="337"/>
            </w:pPr>
            <w:r>
              <w:t>Code</w:t>
            </w:r>
          </w:p>
        </w:tc>
        <w:tc>
          <w:tcPr>
            <w:tcW w:w="2730" w:type="dxa"/>
          </w:tcPr>
          <w:p w14:paraId="2487F97C" w14:textId="77777777" w:rsidR="00DD13BF" w:rsidRDefault="00DD13BF" w:rsidP="00355A56">
            <w:pPr>
              <w:pStyle w:val="TableParagraph"/>
              <w:ind w:left="665"/>
            </w:pPr>
            <w:r>
              <w:t>Amount (in EUR)</w:t>
            </w:r>
          </w:p>
        </w:tc>
      </w:tr>
    </w:tbl>
    <w:p w14:paraId="7809B2B2" w14:textId="77777777" w:rsidR="00DD13BF" w:rsidRPr="00673ADB" w:rsidRDefault="00DD13BF" w:rsidP="00DD13BF"/>
    <w:p w14:paraId="271947CF" w14:textId="77777777" w:rsidR="00DD13BF" w:rsidRDefault="00DD13BF" w:rsidP="00DD13BF">
      <w:pPr>
        <w:ind w:left="339"/>
      </w:pPr>
      <w:r>
        <w:t>Table 8: Dimension 7 – ESF+*, ERDF, Cohesion Fund and JTF gender equality dimension</w:t>
      </w:r>
    </w:p>
    <w:p w14:paraId="0FE48E78"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0A2A285" w14:textId="77777777" w:rsidTr="00355A56">
        <w:trPr>
          <w:trHeight w:val="353"/>
        </w:trPr>
        <w:tc>
          <w:tcPr>
            <w:tcW w:w="2088" w:type="dxa"/>
          </w:tcPr>
          <w:p w14:paraId="4E3A42E5" w14:textId="77777777" w:rsidR="00DD13BF" w:rsidRDefault="00DD13BF" w:rsidP="00355A56">
            <w:pPr>
              <w:pStyle w:val="TableParagraph"/>
              <w:ind w:left="115"/>
            </w:pPr>
            <w:r>
              <w:t>Priority no.</w:t>
            </w:r>
          </w:p>
        </w:tc>
        <w:tc>
          <w:tcPr>
            <w:tcW w:w="1132" w:type="dxa"/>
          </w:tcPr>
          <w:p w14:paraId="2C2538F6" w14:textId="77777777" w:rsidR="00DD13BF" w:rsidRDefault="00DD13BF" w:rsidP="00355A56">
            <w:pPr>
              <w:pStyle w:val="TableParagraph"/>
              <w:ind w:left="320"/>
            </w:pPr>
            <w:r>
              <w:t>Fund</w:t>
            </w:r>
          </w:p>
        </w:tc>
        <w:tc>
          <w:tcPr>
            <w:tcW w:w="3248" w:type="dxa"/>
          </w:tcPr>
          <w:p w14:paraId="2B07132E" w14:textId="77777777" w:rsidR="00DD13BF" w:rsidRDefault="00DD13BF" w:rsidP="00355A56">
            <w:pPr>
              <w:pStyle w:val="TableParagraph"/>
              <w:ind w:left="908"/>
            </w:pPr>
            <w:r>
              <w:t>Category of region</w:t>
            </w:r>
          </w:p>
        </w:tc>
        <w:tc>
          <w:tcPr>
            <w:tcW w:w="3098" w:type="dxa"/>
          </w:tcPr>
          <w:p w14:paraId="49778F12" w14:textId="77777777" w:rsidR="00DD13BF" w:rsidRDefault="00DD13BF" w:rsidP="00355A56">
            <w:pPr>
              <w:pStyle w:val="TableParagraph"/>
              <w:ind w:left="950"/>
            </w:pPr>
            <w:r>
              <w:t>Specific objective</w:t>
            </w:r>
          </w:p>
        </w:tc>
        <w:tc>
          <w:tcPr>
            <w:tcW w:w="1160" w:type="dxa"/>
          </w:tcPr>
          <w:p w14:paraId="0AB88AB2" w14:textId="77777777" w:rsidR="00DD13BF" w:rsidRDefault="00DD13BF" w:rsidP="00355A56">
            <w:pPr>
              <w:pStyle w:val="TableParagraph"/>
              <w:ind w:left="336"/>
            </w:pPr>
            <w:r>
              <w:t>Code</w:t>
            </w:r>
          </w:p>
        </w:tc>
        <w:tc>
          <w:tcPr>
            <w:tcW w:w="2730" w:type="dxa"/>
          </w:tcPr>
          <w:p w14:paraId="64AD8A61" w14:textId="77777777" w:rsidR="00DD13BF" w:rsidRDefault="00DD13BF" w:rsidP="00355A56">
            <w:pPr>
              <w:pStyle w:val="TableParagraph"/>
              <w:ind w:left="664"/>
            </w:pPr>
            <w:r>
              <w:t>Amount (in EUR)</w:t>
            </w:r>
          </w:p>
        </w:tc>
      </w:tr>
      <w:tr w:rsidR="00DD13BF" w14:paraId="7FCCFDBB" w14:textId="77777777" w:rsidTr="00355A56">
        <w:trPr>
          <w:trHeight w:val="353"/>
        </w:trPr>
        <w:tc>
          <w:tcPr>
            <w:tcW w:w="2088" w:type="dxa"/>
          </w:tcPr>
          <w:p w14:paraId="2A41CF1D" w14:textId="77777777" w:rsidR="00DD13BF" w:rsidRDefault="00DD13BF" w:rsidP="00355A56">
            <w:pPr>
              <w:pStyle w:val="TableParagraph"/>
              <w:rPr>
                <w:sz w:val="20"/>
              </w:rPr>
            </w:pPr>
            <w:r>
              <w:rPr>
                <w:sz w:val="20"/>
              </w:rPr>
              <w:t>5</w:t>
            </w:r>
          </w:p>
        </w:tc>
        <w:tc>
          <w:tcPr>
            <w:tcW w:w="1132" w:type="dxa"/>
          </w:tcPr>
          <w:p w14:paraId="39B35CAF" w14:textId="77777777" w:rsidR="00DD13BF" w:rsidRDefault="00DD13BF" w:rsidP="00355A56">
            <w:pPr>
              <w:pStyle w:val="TableParagraph"/>
              <w:rPr>
                <w:sz w:val="20"/>
              </w:rPr>
            </w:pPr>
            <w:r>
              <w:rPr>
                <w:sz w:val="20"/>
              </w:rPr>
              <w:t>ERDF</w:t>
            </w:r>
          </w:p>
        </w:tc>
        <w:tc>
          <w:tcPr>
            <w:tcW w:w="3248" w:type="dxa"/>
          </w:tcPr>
          <w:p w14:paraId="30F7748D" w14:textId="77777777" w:rsidR="00DD13BF" w:rsidRDefault="00DD13BF" w:rsidP="00355A56">
            <w:pPr>
              <w:pStyle w:val="TableParagraph"/>
              <w:rPr>
                <w:sz w:val="20"/>
              </w:rPr>
            </w:pPr>
            <w:r>
              <w:rPr>
                <w:sz w:val="20"/>
              </w:rPr>
              <w:t>Less developed</w:t>
            </w:r>
          </w:p>
        </w:tc>
        <w:tc>
          <w:tcPr>
            <w:tcW w:w="3098" w:type="dxa"/>
          </w:tcPr>
          <w:p w14:paraId="203F09EF" w14:textId="77777777" w:rsidR="00DD13BF" w:rsidRDefault="00DD13BF" w:rsidP="00355A56">
            <w:pPr>
              <w:pStyle w:val="TableParagraph"/>
              <w:rPr>
                <w:sz w:val="20"/>
              </w:rPr>
            </w:pPr>
            <w:r>
              <w:rPr>
                <w:color w:val="000000"/>
                <w:sz w:val="20"/>
              </w:rPr>
              <w:t>RSO3.2</w:t>
            </w:r>
          </w:p>
        </w:tc>
        <w:tc>
          <w:tcPr>
            <w:tcW w:w="1160" w:type="dxa"/>
          </w:tcPr>
          <w:p w14:paraId="2D6CDEF5" w14:textId="77777777" w:rsidR="00DD13BF" w:rsidRDefault="00DD13BF" w:rsidP="00355A56">
            <w:pPr>
              <w:pStyle w:val="TableParagraph"/>
              <w:rPr>
                <w:sz w:val="20"/>
              </w:rPr>
            </w:pPr>
            <w:r>
              <w:rPr>
                <w:sz w:val="20"/>
              </w:rPr>
              <w:t>03</w:t>
            </w:r>
          </w:p>
        </w:tc>
        <w:tc>
          <w:tcPr>
            <w:tcW w:w="2730" w:type="dxa"/>
          </w:tcPr>
          <w:p w14:paraId="44B21B45" w14:textId="77777777" w:rsidR="00DD13BF" w:rsidRDefault="00DD13BF" w:rsidP="00355A56">
            <w:pPr>
              <w:pStyle w:val="TableParagraph"/>
              <w:rPr>
                <w:sz w:val="20"/>
              </w:rPr>
            </w:pPr>
            <w:r>
              <w:rPr>
                <w:sz w:val="20"/>
              </w:rPr>
              <w:t>105,888,481</w:t>
            </w:r>
          </w:p>
        </w:tc>
      </w:tr>
      <w:tr w:rsidR="00DD13BF" w14:paraId="06469726" w14:textId="77777777" w:rsidTr="00355A56">
        <w:trPr>
          <w:trHeight w:val="353"/>
        </w:trPr>
        <w:tc>
          <w:tcPr>
            <w:tcW w:w="2088" w:type="dxa"/>
          </w:tcPr>
          <w:p w14:paraId="762EDCB3" w14:textId="77777777" w:rsidR="00DD13BF" w:rsidRDefault="00DD13BF" w:rsidP="00355A56">
            <w:pPr>
              <w:pStyle w:val="TableParagraph"/>
              <w:rPr>
                <w:sz w:val="20"/>
              </w:rPr>
            </w:pPr>
            <w:r>
              <w:rPr>
                <w:sz w:val="20"/>
              </w:rPr>
              <w:t>5</w:t>
            </w:r>
          </w:p>
        </w:tc>
        <w:tc>
          <w:tcPr>
            <w:tcW w:w="1132" w:type="dxa"/>
          </w:tcPr>
          <w:p w14:paraId="7ED5C346" w14:textId="77777777" w:rsidR="00DD13BF" w:rsidRDefault="00DD13BF" w:rsidP="00355A56">
            <w:pPr>
              <w:pStyle w:val="TableParagraph"/>
              <w:rPr>
                <w:sz w:val="20"/>
              </w:rPr>
            </w:pPr>
            <w:r>
              <w:rPr>
                <w:sz w:val="20"/>
              </w:rPr>
              <w:t>CF</w:t>
            </w:r>
          </w:p>
        </w:tc>
        <w:tc>
          <w:tcPr>
            <w:tcW w:w="3248" w:type="dxa"/>
          </w:tcPr>
          <w:p w14:paraId="69B14532" w14:textId="77777777" w:rsidR="00DD13BF" w:rsidRDefault="00DD13BF" w:rsidP="00355A56">
            <w:pPr>
              <w:pStyle w:val="TableParagraph"/>
              <w:rPr>
                <w:sz w:val="20"/>
              </w:rPr>
            </w:pPr>
            <w:r>
              <w:rPr>
                <w:sz w:val="20"/>
              </w:rPr>
              <w:t>Entire Slovenia</w:t>
            </w:r>
          </w:p>
        </w:tc>
        <w:tc>
          <w:tcPr>
            <w:tcW w:w="3098" w:type="dxa"/>
          </w:tcPr>
          <w:p w14:paraId="50B8773D" w14:textId="77777777" w:rsidR="00DD13BF" w:rsidRDefault="00DD13BF" w:rsidP="00355A56">
            <w:pPr>
              <w:pStyle w:val="TableParagraph"/>
              <w:rPr>
                <w:sz w:val="20"/>
              </w:rPr>
            </w:pPr>
            <w:r>
              <w:rPr>
                <w:color w:val="000000"/>
                <w:sz w:val="20"/>
              </w:rPr>
              <w:t>RSO3.2</w:t>
            </w:r>
          </w:p>
        </w:tc>
        <w:tc>
          <w:tcPr>
            <w:tcW w:w="1160" w:type="dxa"/>
          </w:tcPr>
          <w:p w14:paraId="4FC34476" w14:textId="77777777" w:rsidR="00DD13BF" w:rsidRDefault="00DD13BF" w:rsidP="00355A56">
            <w:pPr>
              <w:pStyle w:val="TableParagraph"/>
              <w:rPr>
                <w:sz w:val="20"/>
              </w:rPr>
            </w:pPr>
            <w:r>
              <w:rPr>
                <w:sz w:val="20"/>
              </w:rPr>
              <w:t>03</w:t>
            </w:r>
          </w:p>
        </w:tc>
        <w:tc>
          <w:tcPr>
            <w:tcW w:w="2730" w:type="dxa"/>
          </w:tcPr>
          <w:p w14:paraId="112652E3" w14:textId="77777777" w:rsidR="00DD13BF" w:rsidRDefault="00DD13BF" w:rsidP="00355A56">
            <w:pPr>
              <w:pStyle w:val="TableParagraph"/>
              <w:rPr>
                <w:sz w:val="20"/>
              </w:rPr>
            </w:pPr>
            <w:r>
              <w:rPr>
                <w:sz w:val="20"/>
              </w:rPr>
              <w:t>121,002,680</w:t>
            </w:r>
          </w:p>
        </w:tc>
      </w:tr>
    </w:tbl>
    <w:p w14:paraId="5D21479F" w14:textId="77777777" w:rsidR="00DD13BF" w:rsidRPr="00454B7F" w:rsidRDefault="00DD13BF" w:rsidP="00DD13BF">
      <w:pPr>
        <w:tabs>
          <w:tab w:val="left" w:pos="426"/>
        </w:tabs>
        <w:ind w:left="284"/>
        <w:rPr>
          <w:sz w:val="16"/>
          <w:szCs w:val="16"/>
        </w:rPr>
        <w:sectPr w:rsidR="00DD13BF" w:rsidRPr="00454B7F" w:rsidSect="00FC3010">
          <w:headerReference w:type="default" r:id="rId69"/>
          <w:footerReference w:type="first" r:id="rId70"/>
          <w:type w:val="continuous"/>
          <w:pgSz w:w="16840" w:h="11910" w:orient="landscape"/>
          <w:pgMar w:top="1417" w:right="1417" w:bottom="1417" w:left="1417" w:header="708" w:footer="708" w:gutter="0"/>
          <w:cols w:space="708"/>
        </w:sect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60C58F27" w14:textId="77777777" w:rsidR="00DD13BF" w:rsidRDefault="00DD13BF" w:rsidP="00DD13BF">
      <w:pPr>
        <w:rPr>
          <w:spacing w:val="-2"/>
        </w:rPr>
      </w:pPr>
    </w:p>
    <w:p w14:paraId="1611B6B1" w14:textId="77777777" w:rsidR="00DD13BF" w:rsidRDefault="00DD13BF" w:rsidP="00DD13BF">
      <w:pPr>
        <w:rPr>
          <w:spacing w:val="-2"/>
        </w:rPr>
      </w:pPr>
    </w:p>
    <w:p w14:paraId="409A70E1" w14:textId="77777777" w:rsidR="00DD13BF" w:rsidRDefault="00DD13BF" w:rsidP="00DD13BF">
      <w:pPr>
        <w:pStyle w:val="Naslov3"/>
      </w:pPr>
      <w:bookmarkStart w:id="37" w:name="_Toc131161716"/>
      <w:r>
        <w:t>Priority 6: Skills and responsive labour market</w:t>
      </w:r>
      <w:bookmarkEnd w:id="37"/>
      <w:r>
        <w:t xml:space="preserve">  </w:t>
      </w:r>
    </w:p>
    <w:p w14:paraId="7FE933A3"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2BA65E6A" w14:textId="77777777" w:rsidTr="00355A56">
        <w:tc>
          <w:tcPr>
            <w:tcW w:w="13994" w:type="dxa"/>
          </w:tcPr>
          <w:p w14:paraId="306EF47E" w14:textId="77777777" w:rsidR="00DD13BF" w:rsidRPr="00D30138" w:rsidRDefault="00DD13BF" w:rsidP="00DD13BF">
            <w:pPr>
              <w:pStyle w:val="Odstavekseznama"/>
              <w:widowControl/>
              <w:numPr>
                <w:ilvl w:val="0"/>
                <w:numId w:val="4"/>
              </w:numPr>
              <w:autoSpaceDE/>
              <w:autoSpaceDN/>
              <w:ind w:left="318" w:hanging="284"/>
              <w:rPr>
                <w:rFonts w:ascii="Times New Roman" w:eastAsia="Calibri" w:hAnsi="Times New Roman" w:cs="Times New Roman"/>
              </w:rPr>
            </w:pPr>
            <w:r>
              <w:rPr>
                <w:rFonts w:ascii="Times New Roman" w:hAnsi="Times New Roman"/>
              </w:rPr>
              <w:t>This is a priority dedicated to youth employment</w:t>
            </w:r>
          </w:p>
        </w:tc>
      </w:tr>
      <w:tr w:rsidR="00DD13BF" w:rsidRPr="006A1DD0" w14:paraId="72C8E9E4" w14:textId="77777777" w:rsidTr="00355A56">
        <w:tc>
          <w:tcPr>
            <w:tcW w:w="13994" w:type="dxa"/>
          </w:tcPr>
          <w:p w14:paraId="2880DDC7" w14:textId="77777777" w:rsidR="00DD13BF" w:rsidRPr="006A1DD0" w:rsidRDefault="00DD13BF" w:rsidP="00355A56">
            <w:pPr>
              <w:rPr>
                <w:rFonts w:eastAsia="Calibri"/>
              </w:rPr>
            </w:pPr>
            <w:r>
              <w:rPr>
                <w:noProof/>
                <w:lang w:val="sl-SI"/>
              </w:rPr>
              <w:drawing>
                <wp:inline distT="0" distB="0" distL="0" distR="0" wp14:anchorId="539B22D7" wp14:editId="01946654">
                  <wp:extent cx="121920" cy="103505"/>
                  <wp:effectExtent l="0" t="0" r="0" b="0"/>
                  <wp:docPr id="1122" name="Slika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2"/>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social innovative actions</w:t>
            </w:r>
          </w:p>
        </w:tc>
      </w:tr>
      <w:tr w:rsidR="00DD13BF" w:rsidRPr="006A1DD0" w14:paraId="43B312F8" w14:textId="77777777" w:rsidTr="00355A56">
        <w:tc>
          <w:tcPr>
            <w:tcW w:w="13994" w:type="dxa"/>
          </w:tcPr>
          <w:p w14:paraId="20C1BE6D" w14:textId="77777777" w:rsidR="00DD13BF" w:rsidRPr="006A1DD0" w:rsidRDefault="00DD13BF" w:rsidP="00355A56">
            <w:pPr>
              <w:rPr>
                <w:rFonts w:eastAsia="Calibri"/>
              </w:rPr>
            </w:pPr>
            <w:r>
              <w:rPr>
                <w:noProof/>
                <w:lang w:val="sl-SI"/>
              </w:rPr>
              <w:drawing>
                <wp:inline distT="0" distB="0" distL="0" distR="0" wp14:anchorId="35265E49" wp14:editId="1BFBF216">
                  <wp:extent cx="121920" cy="103505"/>
                  <wp:effectExtent l="0" t="0" r="0" b="0"/>
                  <wp:docPr id="1123" name="Slika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3"/>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3406EC1B" w14:textId="77777777" w:rsidTr="00355A56">
        <w:tc>
          <w:tcPr>
            <w:tcW w:w="13994" w:type="dxa"/>
          </w:tcPr>
          <w:p w14:paraId="47EB96D9" w14:textId="77777777" w:rsidR="00DD13BF" w:rsidRPr="006A1DD0" w:rsidRDefault="00DD13BF" w:rsidP="00355A56">
            <w:pPr>
              <w:rPr>
                <w:rFonts w:eastAsia="Calibri"/>
              </w:rPr>
            </w:pPr>
            <w:r>
              <w:rPr>
                <w:noProof/>
                <w:lang w:val="sl-SI"/>
              </w:rPr>
              <w:drawing>
                <wp:inline distT="0" distB="0" distL="0" distR="0" wp14:anchorId="2B82F39F" wp14:editId="59C8F0BE">
                  <wp:extent cx="121920" cy="103505"/>
                  <wp:effectExtent l="0" t="0" r="0" b="0"/>
                  <wp:docPr id="1124" name="Slika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4FE274BB" w14:textId="77777777" w:rsidTr="00355A56">
        <w:tc>
          <w:tcPr>
            <w:tcW w:w="13994" w:type="dxa"/>
          </w:tcPr>
          <w:p w14:paraId="089CA985" w14:textId="77777777" w:rsidR="00DD13BF" w:rsidRPr="006A1DD0" w:rsidRDefault="00DD13BF" w:rsidP="00355A56">
            <w:pPr>
              <w:rPr>
                <w:rFonts w:eastAsia="Calibri"/>
              </w:rPr>
            </w:pPr>
            <w:r>
              <w:rPr>
                <w:noProof/>
                <w:lang w:val="sl-SI"/>
              </w:rPr>
              <w:drawing>
                <wp:inline distT="0" distB="0" distL="0" distR="0" wp14:anchorId="0CC88048" wp14:editId="02EDFE76">
                  <wp:extent cx="121920" cy="103505"/>
                  <wp:effectExtent l="0" t="0" r="0" b="0"/>
                  <wp:docPr id="1125" name="Slika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5"/>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urban mobility specific objective set out in point (viii) of Article 3(1)(b) of the ERDF and Cohesion Fund Regulation</w:t>
            </w:r>
          </w:p>
          <w:p w14:paraId="7D200165" w14:textId="77777777" w:rsidR="00DD13BF" w:rsidRPr="006A1DD0" w:rsidRDefault="00DD13BF" w:rsidP="00355A56">
            <w:pPr>
              <w:rPr>
                <w:rFonts w:eastAsia="Calibri"/>
              </w:rPr>
            </w:pPr>
          </w:p>
        </w:tc>
      </w:tr>
      <w:tr w:rsidR="00DD13BF" w:rsidRPr="006A1DD0" w14:paraId="7065C8A4" w14:textId="77777777" w:rsidTr="00355A56">
        <w:trPr>
          <w:trHeight w:val="83"/>
        </w:trPr>
        <w:tc>
          <w:tcPr>
            <w:tcW w:w="13994" w:type="dxa"/>
          </w:tcPr>
          <w:p w14:paraId="3DA4F948" w14:textId="77777777" w:rsidR="00DD13BF" w:rsidRPr="00DD1BF0" w:rsidRDefault="00DD13BF" w:rsidP="00355A56">
            <w:pPr>
              <w:rPr>
                <w:rFonts w:eastAsia="Calibri"/>
              </w:rPr>
            </w:pPr>
            <w:r>
              <w:rPr>
                <w:noProof/>
                <w:lang w:val="sl-SI"/>
              </w:rPr>
              <w:drawing>
                <wp:inline distT="0" distB="0" distL="0" distR="0" wp14:anchorId="7F47A019" wp14:editId="79D5D7DE">
                  <wp:extent cx="121920" cy="103505"/>
                  <wp:effectExtent l="0" t="0" r="0" b="0"/>
                  <wp:docPr id="1126" name="Slika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6"/>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digital connectivity specific objective set out in point (v) of Article 3(1)(a) of the ERDF and Cohesion Fund Regulation</w:t>
            </w:r>
          </w:p>
          <w:p w14:paraId="7CFC26B4" w14:textId="77777777" w:rsidR="00DD13BF" w:rsidRPr="006A1DD0" w:rsidRDefault="00DD13BF" w:rsidP="00355A56">
            <w:pPr>
              <w:rPr>
                <w:rFonts w:eastAsia="Calibri"/>
              </w:rPr>
            </w:pPr>
          </w:p>
        </w:tc>
      </w:tr>
    </w:tbl>
    <w:p w14:paraId="0BCF2229"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245E25A2" w14:textId="77777777" w:rsidR="00DD13BF" w:rsidRDefault="00DD13BF" w:rsidP="00DD13BF"/>
    <w:p w14:paraId="4AD68E2B" w14:textId="77777777" w:rsidR="00DD13BF" w:rsidRDefault="00DD13BF" w:rsidP="00DD13BF"/>
    <w:p w14:paraId="2418EB0E" w14:textId="77777777" w:rsidR="00DD13BF" w:rsidRPr="00BD3536" w:rsidRDefault="00DD13BF" w:rsidP="00DD13BF">
      <w:pPr>
        <w:pStyle w:val="Naslov4"/>
        <w:ind w:left="1134"/>
      </w:pPr>
      <w:bookmarkStart w:id="38" w:name="_Toc131161717"/>
      <w:r>
        <w:t>Specific objective ESO4.1. Improving access to employment and activation measures for all jobseekers, in particular young people, especially through the implementation of the Youth Guarantee, for long-term unemployed and disadvantaged groups on the labour market, and for inactive people, as well as through the promotion of self-employment and the social economy (ESF+)</w:t>
      </w:r>
      <w:bookmarkEnd w:id="38"/>
    </w:p>
    <w:p w14:paraId="6AFE2CFC" w14:textId="77777777" w:rsidR="00DD13BF" w:rsidRDefault="00DD13BF" w:rsidP="00DD13BF">
      <w:pPr>
        <w:rPr>
          <w:sz w:val="30"/>
        </w:rPr>
      </w:pPr>
    </w:p>
    <w:p w14:paraId="3410A287" w14:textId="77777777" w:rsidR="00DD13BF" w:rsidRPr="00C10464" w:rsidRDefault="00DD13BF" w:rsidP="00DD13BF">
      <w:pPr>
        <w:pStyle w:val="Naslov5"/>
        <w:spacing w:before="0"/>
      </w:pPr>
      <w:r>
        <w:t>Interventions of the Funds</w:t>
      </w:r>
    </w:p>
    <w:p w14:paraId="7D37ECEE" w14:textId="77777777" w:rsidR="00DD13BF" w:rsidRDefault="00DD13BF" w:rsidP="00DD13BF">
      <w:pPr>
        <w:rPr>
          <w:sz w:val="30"/>
        </w:rPr>
      </w:pPr>
    </w:p>
    <w:p w14:paraId="65896922" w14:textId="77777777" w:rsidR="00DD13BF" w:rsidRDefault="00DD13BF" w:rsidP="00DD13BF">
      <w:pPr>
        <w:ind w:left="1349"/>
        <w:rPr>
          <w:spacing w:val="-2"/>
        </w:rPr>
      </w:pPr>
      <w:r>
        <w:t>Related types of actions:</w:t>
      </w:r>
    </w:p>
    <w:p w14:paraId="63933529"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61294166" w14:textId="77777777" w:rsidTr="00355A56">
        <w:trPr>
          <w:trHeight w:val="316"/>
        </w:trPr>
        <w:tc>
          <w:tcPr>
            <w:tcW w:w="12758" w:type="dxa"/>
          </w:tcPr>
          <w:p w14:paraId="216B50BF" w14:textId="77777777" w:rsidR="00DD13BF" w:rsidRPr="00627DF0" w:rsidRDefault="00DD13BF" w:rsidP="00355A56">
            <w:pPr>
              <w:jc w:val="both"/>
            </w:pPr>
            <w:bookmarkStart w:id="39" w:name="_Hlk126599922"/>
            <w:r>
              <w:t xml:space="preserve">To provide suitable and sufficient personnel for employers’ future needs, Slovenia will have to pay special attention and provide adapted activities to the demographic of unemployed persons, particularly to long-term unemployed persons, elderly people and less educated persons (including persons with the ISCED 3 level of education), and to </w:t>
            </w:r>
            <w:bookmarkEnd w:id="39"/>
            <w:r>
              <w:t xml:space="preserve">jobseekers and persons whose employment or self-employment is at risk, particularly from the aspect of ensuring adequate competences for an easier transition to the labour market and shortening the duration of unemployment. The empowerment of the said target groups in the labour market must be enhanced from the aspect of knowing their rights arising from employment relationships to ensure their social security, particularly when they could be faced with atypical forms of work, disguised employment relationships or precarious work. A prerequisite for the measures under this SO to be effective is to create new and higher-quality jobs, whereby special attention will have to be paid to the strengthening of digital competences, knowledge for green transition </w:t>
            </w:r>
            <w:r>
              <w:lastRenderedPageBreak/>
              <w:t>and the circular economy, and for social development in general</w:t>
            </w:r>
            <w:r>
              <w:rPr>
                <w:rStyle w:val="Sprotnaopomba-sklic"/>
              </w:rPr>
              <w:footnoteReference w:id="157"/>
            </w:r>
            <w:r>
              <w:t xml:space="preserve">, and to additional measures to promote youth employment and the employment of long-term unemployed persons. </w:t>
            </w:r>
          </w:p>
          <w:p w14:paraId="2D05639D" w14:textId="77777777" w:rsidR="00DD13BF" w:rsidRDefault="00DD13BF" w:rsidP="00355A56">
            <w:pPr>
              <w:jc w:val="both"/>
              <w:rPr>
                <w:rFonts w:cstheme="minorHAnsi"/>
              </w:rPr>
            </w:pPr>
          </w:p>
          <w:p w14:paraId="42CB48AA" w14:textId="77777777" w:rsidR="00DD13BF" w:rsidRPr="002A4D6C" w:rsidRDefault="00DD13BF" w:rsidP="00355A56">
            <w:pPr>
              <w:jc w:val="both"/>
              <w:rPr>
                <w:rFonts w:cstheme="minorHAnsi"/>
              </w:rPr>
            </w:pPr>
            <w:r>
              <w:t xml:space="preserve">It is also crucial to ensure social security for employees in non-standard forms of work, eliminate disguised employment relationships and precarious work on the one hand, and to create new and higher-quality jobs and measures to promote youth employment and the employment of long-term unemployed persons on the other. </w:t>
            </w:r>
          </w:p>
          <w:p w14:paraId="0BAF784E" w14:textId="77777777" w:rsidR="00DD13BF" w:rsidRDefault="00DD13BF" w:rsidP="00355A56">
            <w:pPr>
              <w:jc w:val="both"/>
              <w:rPr>
                <w:rFonts w:cstheme="minorHAnsi"/>
              </w:rPr>
            </w:pPr>
          </w:p>
          <w:p w14:paraId="65A6F3F1" w14:textId="77777777" w:rsidR="00DD13BF" w:rsidRDefault="00DD13BF" w:rsidP="00355A56">
            <w:pPr>
              <w:jc w:val="both"/>
              <w:rPr>
                <w:rFonts w:cstheme="minorHAnsi"/>
              </w:rPr>
            </w:pPr>
            <w:r>
              <w:t>The following measures will be supported under the specific objective ESO4.1:</w:t>
            </w:r>
          </w:p>
          <w:p w14:paraId="50E959D0" w14:textId="77777777" w:rsidR="00DD13BF" w:rsidRPr="002A4D6C" w:rsidRDefault="00DD13BF" w:rsidP="00355A56">
            <w:pPr>
              <w:jc w:val="both"/>
              <w:rPr>
                <w:rFonts w:cstheme="minorHAnsi"/>
              </w:rPr>
            </w:pPr>
          </w:p>
          <w:p w14:paraId="232764AB" w14:textId="77777777" w:rsidR="00DD13BF" w:rsidRPr="00D137EB" w:rsidRDefault="00DD13BF" w:rsidP="00DD13BF">
            <w:pPr>
              <w:pStyle w:val="Odstavekseznama"/>
              <w:widowControl/>
              <w:numPr>
                <w:ilvl w:val="0"/>
                <w:numId w:val="30"/>
              </w:numPr>
              <w:autoSpaceDE/>
              <w:autoSpaceDN/>
              <w:jc w:val="both"/>
              <w:rPr>
                <w:rFonts w:ascii="Times New Roman" w:hAnsi="Times New Roman" w:cs="Times New Roman"/>
              </w:rPr>
            </w:pPr>
            <w:r>
              <w:rPr>
                <w:rFonts w:ascii="Times New Roman" w:hAnsi="Times New Roman"/>
                <w:i/>
                <w:iCs/>
              </w:rPr>
              <w:t>Implementing active employment policy (AEP) measures</w:t>
            </w:r>
            <w:r>
              <w:rPr>
                <w:rFonts w:ascii="Times New Roman" w:hAnsi="Times New Roman"/>
              </w:rPr>
              <w:t xml:space="preserve"> to effectively and quickly promote access to employment for the target groups of elderly people, less educated persons, persons with disabilities and inactive persons during their employment period through activation by training and education of unemployed persons and employment incentives (subsidies for employment, payment of part of salaries, etc.). The content of informal training or formal education for unemployed persons will be defined or more adapted to the needs of employers, particularly at the local level of regional offices of the ZRSZ, taking into account sustainability and green jobs, automation and digitisation of jobs. The identification of employers’ needs in the search for suitable personnel will be enhanced through SO ESO4.2 measures as part of the planned </w:t>
            </w:r>
            <w:r>
              <w:rPr>
                <w:rFonts w:ascii="Times New Roman" w:hAnsi="Times New Roman"/>
                <w:i/>
                <w:iCs/>
              </w:rPr>
              <w:t>development and upgrade of the platform for long-term prediction of competences or knowledge and skills</w:t>
            </w:r>
            <w:r>
              <w:rPr>
                <w:rFonts w:ascii="Times New Roman" w:hAnsi="Times New Roman"/>
              </w:rPr>
              <w:t xml:space="preserve"> required in the labour market and the network of offices for employers at the ZRSZ. Depending on employers’ needs, people will be involved in targeted training.</w:t>
            </w:r>
          </w:p>
          <w:p w14:paraId="394DC15F" w14:textId="77777777" w:rsidR="00DD13BF" w:rsidRDefault="00DD13BF" w:rsidP="00355A56">
            <w:pPr>
              <w:pStyle w:val="Odstavekseznama"/>
              <w:ind w:left="720"/>
              <w:jc w:val="both"/>
              <w:rPr>
                <w:rFonts w:ascii="Times New Roman" w:hAnsi="Times New Roman" w:cs="Times New Roman"/>
              </w:rPr>
            </w:pPr>
            <w:r>
              <w:rPr>
                <w:rFonts w:ascii="Times New Roman" w:hAnsi="Times New Roman"/>
              </w:rPr>
              <w:t>In the 2021–2027 period, employment incentives will be even more connected with previous training or job trial and follow-up after employment of unemployed persons from the most vulnerable target groups</w:t>
            </w:r>
            <w:r w:rsidRPr="007206D7">
              <w:rPr>
                <w:rStyle w:val="Sprotnaopomba-sklic"/>
                <w:rFonts w:ascii="Times New Roman" w:hAnsi="Times New Roman" w:cs="Times New Roman"/>
                <w:spacing w:val="-5"/>
              </w:rPr>
              <w:footnoteReference w:id="158"/>
            </w:r>
            <w:r>
              <w:rPr>
                <w:rFonts w:ascii="Times New Roman" w:hAnsi="Times New Roman"/>
              </w:rPr>
              <w:t>, i.e. to ensure suitable competences for employers’ needs and consequently more stable/long-term employment or prevent long-term unemployment.</w:t>
            </w:r>
          </w:p>
          <w:p w14:paraId="77003DC3" w14:textId="77777777" w:rsidR="00DD13BF" w:rsidRPr="003E3C56" w:rsidRDefault="00DD13BF" w:rsidP="00355A56">
            <w:pPr>
              <w:pStyle w:val="Odstavekseznama"/>
              <w:ind w:left="720"/>
              <w:jc w:val="both"/>
              <w:rPr>
                <w:rFonts w:ascii="Times New Roman" w:hAnsi="Times New Roman"/>
              </w:rPr>
            </w:pPr>
            <w:r>
              <w:rPr>
                <w:rFonts w:ascii="Times New Roman" w:hAnsi="Times New Roman"/>
              </w:rPr>
              <w:t>To attain the goals of the European Pillar of Social Rights Action Plan and the national objectives of Slovenia 2030, the measures will be aimed mainly at reducing long-term unemployment and unemployment of less educated persons and prolonging the work activity, particularly of elderly people, for whom involvement in lifelong learning will be crucial to adapt to the digitisation and automation of jobs. The measures will be designed taking into account territorial inequalities. Depending on the needs, the funds will be allocated in both cohesion regions with the intensity being slightly higher in the Eastern Slovenia cohesion region.</w:t>
            </w:r>
          </w:p>
          <w:p w14:paraId="5F4E6364" w14:textId="77777777" w:rsidR="00DD13BF" w:rsidRDefault="00DD13BF" w:rsidP="00355A56">
            <w:pPr>
              <w:pStyle w:val="Odstavekseznama"/>
              <w:ind w:left="720"/>
              <w:jc w:val="both"/>
              <w:rPr>
                <w:rFonts w:ascii="Times New Roman" w:hAnsi="Times New Roman" w:cs="Times New Roman"/>
              </w:rPr>
            </w:pPr>
            <w:r>
              <w:rPr>
                <w:rFonts w:ascii="Times New Roman" w:hAnsi="Times New Roman"/>
              </w:rPr>
              <w:t>The measures will also address labour market integration of migrants through the inclusion of individuals in the AEP programmes, which will provide access to employers. Men and women will be treated equally and included in the measures. The measures will also address the most vulnerable groups of women and men.</w:t>
            </w:r>
          </w:p>
          <w:p w14:paraId="5D47CF6A" w14:textId="77777777" w:rsidR="00DD13BF" w:rsidRPr="001045E9" w:rsidRDefault="00DD13BF" w:rsidP="00355A56">
            <w:pPr>
              <w:pStyle w:val="Odstavekseznama"/>
              <w:ind w:left="720"/>
              <w:jc w:val="both"/>
              <w:rPr>
                <w:rFonts w:ascii="Times New Roman" w:hAnsi="Times New Roman" w:cs="Times New Roman"/>
              </w:rPr>
            </w:pPr>
          </w:p>
          <w:p w14:paraId="26ECF86A" w14:textId="77777777" w:rsidR="00DD13BF" w:rsidRDefault="00DD13BF" w:rsidP="00DD13BF">
            <w:pPr>
              <w:pStyle w:val="Odstavekseznama"/>
              <w:widowControl/>
              <w:numPr>
                <w:ilvl w:val="0"/>
                <w:numId w:val="30"/>
              </w:numPr>
              <w:autoSpaceDE/>
              <w:autoSpaceDN/>
              <w:jc w:val="both"/>
              <w:rPr>
                <w:rFonts w:ascii="Times New Roman" w:hAnsi="Times New Roman" w:cs="Times New Roman"/>
              </w:rPr>
            </w:pPr>
            <w:bookmarkStart w:id="40" w:name="_Hlk113542060"/>
            <w:r>
              <w:rPr>
                <w:rFonts w:ascii="Times New Roman" w:hAnsi="Times New Roman"/>
                <w:i/>
                <w:iCs/>
              </w:rPr>
              <w:t>Implementing programmes for the retention in the labour market of those groups whose employment or self-employment is at risk or temporary, the reduction and prevention of precariousness and the prevention of transition back to unemployment for target groups facing atypical forms of work</w:t>
            </w:r>
            <w:r>
              <w:rPr>
                <w:rFonts w:ascii="Times New Roman" w:hAnsi="Times New Roman"/>
              </w:rPr>
              <w:t>, i.e.:</w:t>
            </w:r>
          </w:p>
          <w:p w14:paraId="6C02CB5A" w14:textId="77777777" w:rsidR="00DD13BF" w:rsidRPr="003A63B3" w:rsidRDefault="00DD13BF" w:rsidP="00DD13BF">
            <w:pPr>
              <w:pStyle w:val="Odstavekseznama"/>
              <w:widowControl/>
              <w:numPr>
                <w:ilvl w:val="1"/>
                <w:numId w:val="30"/>
              </w:numPr>
              <w:autoSpaceDE/>
              <w:autoSpaceDN/>
              <w:jc w:val="both"/>
              <w:rPr>
                <w:rFonts w:ascii="Times New Roman" w:hAnsi="Times New Roman" w:cs="Times New Roman"/>
              </w:rPr>
            </w:pPr>
            <w:r>
              <w:rPr>
                <w:rFonts w:ascii="Times New Roman" w:hAnsi="Times New Roman"/>
              </w:rPr>
              <w:lastRenderedPageBreak/>
              <w:t xml:space="preserve">Programmes for the retention in the labour market of those groups whose (self-)employment is at risk, temporary or precarious, which prompt the inclusion of employees in various forms of information, motivation, career counselling, training or education (where inclusion in training and education programmes in the field of green, sustainable, digital and other contents, which will be adapted to the needs of the labour market, will be facilitated). This will facilitate the transition to new jobs or new employment or increase employment opportunities for employees and precarious workers whose employment is at risk or who face atypical forms of work. In this way, people will be promptly activated and their transition to open unemployment will be prevented. </w:t>
            </w:r>
          </w:p>
          <w:p w14:paraId="42403B86" w14:textId="77777777" w:rsidR="00DD13BF" w:rsidRPr="00F00A4E" w:rsidRDefault="00DD13BF" w:rsidP="00DD13BF">
            <w:pPr>
              <w:pStyle w:val="Odstavekseznama"/>
              <w:widowControl/>
              <w:numPr>
                <w:ilvl w:val="1"/>
                <w:numId w:val="30"/>
              </w:numPr>
              <w:autoSpaceDE/>
              <w:autoSpaceDN/>
              <w:jc w:val="both"/>
              <w:rPr>
                <w:rFonts w:ascii="Times New Roman" w:hAnsi="Times New Roman" w:cs="Times New Roman"/>
              </w:rPr>
            </w:pPr>
            <w:r>
              <w:rPr>
                <w:rFonts w:ascii="Times New Roman" w:hAnsi="Times New Roman"/>
              </w:rPr>
              <w:t>Addressing the problem of youth precariousness in the labour market by establishing a supportive environment in the youth sector and implementing pilot projects on the ground. As part of the supportive environment, suitable awareness raising and empowerment of young people and actors in the youth sector (organisations and youth workers) and information for the general public about the issue of precariousness among young people will be provided. As part of the implementation of pilot projects on the ground, authorised organisations in the youth sector will also provide support to young people in raising awareness of precariousness, facing the consequences of precariousness, and precarious forms of employment within the framework of training.</w:t>
            </w:r>
            <w:r>
              <w:t xml:space="preserve"> </w:t>
            </w:r>
            <w:r>
              <w:rPr>
                <w:rFonts w:ascii="Times New Roman" w:hAnsi="Times New Roman"/>
              </w:rPr>
              <w:t xml:space="preserve">Activities will be based on the principles and methods of quality youth work. The measure will be implemented at the national level to provide systemic support at this level. </w:t>
            </w:r>
          </w:p>
          <w:bookmarkEnd w:id="40"/>
          <w:p w14:paraId="35385906" w14:textId="77777777" w:rsidR="00DD13BF" w:rsidRPr="00B32726" w:rsidRDefault="00DD13BF" w:rsidP="00355A56">
            <w:pPr>
              <w:pStyle w:val="Odstavekseznama"/>
              <w:rPr>
                <w:rFonts w:ascii="Times New Roman" w:hAnsi="Times New Roman"/>
              </w:rPr>
            </w:pPr>
          </w:p>
          <w:p w14:paraId="4DBC10BF" w14:textId="77777777" w:rsidR="00DD13BF" w:rsidRPr="0052689E" w:rsidRDefault="00DD13BF" w:rsidP="00DD13BF">
            <w:pPr>
              <w:pStyle w:val="Odstavekseznama"/>
              <w:widowControl/>
              <w:numPr>
                <w:ilvl w:val="0"/>
                <w:numId w:val="30"/>
              </w:numPr>
              <w:autoSpaceDE/>
              <w:autoSpaceDN/>
              <w:jc w:val="both"/>
              <w:rPr>
                <w:rFonts w:ascii="Times New Roman" w:hAnsi="Times New Roman" w:cs="Times New Roman"/>
              </w:rPr>
            </w:pPr>
            <w:r>
              <w:rPr>
                <w:rFonts w:ascii="Times New Roman" w:hAnsi="Times New Roman"/>
                <w:i/>
              </w:rPr>
              <w:t>Measures to promote self-employment and the social economy, i.e.:</w:t>
            </w:r>
          </w:p>
          <w:p w14:paraId="42DB59DC" w14:textId="77777777" w:rsidR="00DD13BF" w:rsidRDefault="00DD13BF" w:rsidP="00DD13BF">
            <w:pPr>
              <w:pStyle w:val="Odstavekseznama"/>
              <w:widowControl/>
              <w:numPr>
                <w:ilvl w:val="1"/>
                <w:numId w:val="30"/>
              </w:numPr>
              <w:autoSpaceDE/>
              <w:autoSpaceDN/>
              <w:jc w:val="both"/>
              <w:rPr>
                <w:rFonts w:ascii="Times New Roman" w:hAnsi="Times New Roman" w:cs="Times New Roman"/>
              </w:rPr>
            </w:pPr>
            <w:r>
              <w:rPr>
                <w:rFonts w:ascii="Times New Roman" w:hAnsi="Times New Roman"/>
              </w:rPr>
              <w:t>Developing and professionalising the social economy to increase employment opportunities in the social economy sector, improve the competences of employees and create high-quality and safe jobs, and increase the sector’s ability to apply social innovation to work or business models that will be supported in SMEs or social enterprises. The measure will be aimed at establishing a supportive environment, a mentorship system and direct support for the development of social economy entities or persons involved in measures to promote the development of services and goods with social impact. The measures will complement the incentives of SMEs and social economy entities, and facilitate their better access to the market and creation of new jobs. Professionalisation will also focus on the use and development of digital competences, new business models and skills for creating and measuring the social effects of social enterprises or the effects of developed social innovations.</w:t>
            </w:r>
          </w:p>
          <w:p w14:paraId="74132B07" w14:textId="77777777" w:rsidR="00DD13BF" w:rsidRDefault="00DD13BF" w:rsidP="00DD13BF">
            <w:pPr>
              <w:pStyle w:val="Odstavekseznama"/>
              <w:widowControl/>
              <w:numPr>
                <w:ilvl w:val="1"/>
                <w:numId w:val="30"/>
              </w:numPr>
              <w:autoSpaceDE/>
              <w:autoSpaceDN/>
              <w:jc w:val="both"/>
              <w:rPr>
                <w:rFonts w:ascii="Times New Roman" w:hAnsi="Times New Roman" w:cs="Times New Roman"/>
              </w:rPr>
            </w:pPr>
            <w:r>
              <w:rPr>
                <w:rFonts w:ascii="Times New Roman" w:hAnsi="Times New Roman"/>
              </w:rPr>
              <w:t xml:space="preserve">Training programmes to promote female entrepreneurship, creativity, entrepreneurship and innovation among young people and implement new business models, including support for sustainable labour market integration: for women and young people who want to become entrepreneurs, support is required before entering the entrepreneurial path and after the establishment of an enterprise. Intensive and longer free training will facilitate the acquisition of competences to empower women and young people for entrepreneurship, including an emphasis on specific competences linked to global trends. </w:t>
            </w:r>
          </w:p>
          <w:p w14:paraId="1E66B124" w14:textId="77777777" w:rsidR="00DD13BF" w:rsidRDefault="00DD13BF" w:rsidP="00355A56">
            <w:pPr>
              <w:pStyle w:val="Odstavekseznama"/>
              <w:ind w:left="1440"/>
              <w:jc w:val="both"/>
              <w:rPr>
                <w:rFonts w:ascii="Times New Roman" w:hAnsi="Times New Roman" w:cs="Times New Roman"/>
              </w:rPr>
            </w:pPr>
            <w:r>
              <w:rPr>
                <w:rFonts w:ascii="Times New Roman" w:hAnsi="Times New Roman"/>
              </w:rPr>
              <w:t xml:space="preserve">Based on the experience from the 2014–2020 period regarding the support of special target groups (young people, women) with subsidies and stimulating effects, these target groups will be supported in the 2021–2027 period so as to provide subsidies from PO 1 for commencing an entrepreneurial journey, and these target groups will be able to upgrade their competences through training, mentorship, etc. within PO 4. A combination of incentives also shows good results in other measures or added value to the direct financial incentive. In this way, we attempt to address complementary content with various funds to achieve </w:t>
            </w:r>
            <w:r>
              <w:rPr>
                <w:rFonts w:ascii="Times New Roman" w:hAnsi="Times New Roman"/>
              </w:rPr>
              <w:lastRenderedPageBreak/>
              <w:t xml:space="preserve">better results. </w:t>
            </w:r>
          </w:p>
          <w:p w14:paraId="64A686D2" w14:textId="77777777" w:rsidR="00DD13BF" w:rsidRDefault="00DD13BF" w:rsidP="00DD13BF">
            <w:pPr>
              <w:pStyle w:val="Odstavekseznama"/>
              <w:widowControl/>
              <w:numPr>
                <w:ilvl w:val="1"/>
                <w:numId w:val="30"/>
              </w:numPr>
              <w:autoSpaceDE/>
              <w:autoSpaceDN/>
              <w:jc w:val="both"/>
              <w:rPr>
                <w:rFonts w:ascii="Times New Roman" w:hAnsi="Times New Roman" w:cs="Times New Roman"/>
              </w:rPr>
            </w:pPr>
            <w:r>
              <w:rPr>
                <w:rFonts w:ascii="Times New Roman" w:hAnsi="Times New Roman"/>
              </w:rPr>
              <w:t>As part of the feasibility study of social impact bonds in Slovenia, two pilot projects were identified, including a project to promote the employment of young people not in education, employment, or training in tourism. The implementation of the said pilot project, which would improve access to employment for young people, would be necessary to test the new approach in practice and to attract private investors to the implementation of such projects in the future. The same approach would be used to promote female entrepreneurship.</w:t>
            </w:r>
          </w:p>
          <w:p w14:paraId="638F10D6" w14:textId="77777777" w:rsidR="00DD13BF" w:rsidRDefault="00DD13BF" w:rsidP="00355A56">
            <w:pPr>
              <w:pStyle w:val="Odstavekseznama"/>
              <w:ind w:left="1440"/>
              <w:jc w:val="both"/>
              <w:rPr>
                <w:rFonts w:ascii="Times New Roman" w:hAnsi="Times New Roman" w:cs="Times New Roman"/>
              </w:rPr>
            </w:pPr>
          </w:p>
          <w:p w14:paraId="0285C6D3" w14:textId="77777777" w:rsidR="00DD13BF" w:rsidRPr="003B1507" w:rsidRDefault="00DD13BF" w:rsidP="00355A56">
            <w:pPr>
              <w:pStyle w:val="Odstavekseznama"/>
              <w:ind w:left="38"/>
              <w:jc w:val="both"/>
              <w:rPr>
                <w:rFonts w:ascii="Times New Roman" w:hAnsi="Times New Roman" w:cs="Times New Roman"/>
              </w:rPr>
            </w:pPr>
            <w:r>
              <w:rPr>
                <w:rFonts w:ascii="Times New Roman" w:hAnsi="Times New Roman"/>
              </w:rP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06BEE178" w14:textId="77777777" w:rsidR="00DD13BF" w:rsidRDefault="00DD13BF" w:rsidP="00DD13BF">
      <w:pPr>
        <w:ind w:left="1349"/>
        <w:rPr>
          <w:spacing w:val="-6"/>
        </w:rPr>
      </w:pPr>
    </w:p>
    <w:p w14:paraId="63DC62ED" w14:textId="77777777" w:rsidR="00DD13BF" w:rsidRDefault="00DD13BF" w:rsidP="00DD13BF">
      <w:pPr>
        <w:ind w:left="1349"/>
      </w:pPr>
      <w:r>
        <w:t>Main target groups:</w:t>
      </w:r>
    </w:p>
    <w:p w14:paraId="18CC0FFE"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663B9AB8" w14:textId="77777777" w:rsidTr="00355A56">
        <w:tc>
          <w:tcPr>
            <w:tcW w:w="12763" w:type="dxa"/>
          </w:tcPr>
          <w:p w14:paraId="678E3A58" w14:textId="77777777" w:rsidR="00DD13BF" w:rsidRDefault="00DD13BF" w:rsidP="00355A56">
            <w:pPr>
              <w:jc w:val="both"/>
              <w:rPr>
                <w:rFonts w:cstheme="minorHAnsi"/>
              </w:rPr>
            </w:pPr>
            <w:r>
              <w:t>Target groups are as follows:</w:t>
            </w:r>
          </w:p>
          <w:p w14:paraId="56612F37" w14:textId="77777777" w:rsidR="00DD13BF"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 xml:space="preserve">unemployed with a high risk of long-term unemployment, long-term unemployed, particularly persons with low education (ISCED 3 or less), persons above 50 years of age; </w:t>
            </w:r>
          </w:p>
          <w:p w14:paraId="695D2460" w14:textId="77777777" w:rsidR="00DD13BF" w:rsidRPr="001045E9"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employees whose employment is at risk due to various changes or is precarious;</w:t>
            </w:r>
          </w:p>
          <w:p w14:paraId="35495715" w14:textId="77777777" w:rsidR="00DD13BF" w:rsidRPr="001045E9"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young people between 18 and 29 years of age, and youth workers;</w:t>
            </w:r>
          </w:p>
          <w:p w14:paraId="599EA329" w14:textId="77777777" w:rsidR="00DD13BF" w:rsidRPr="0052689E" w:rsidRDefault="00DD13BF" w:rsidP="00DD13BF">
            <w:pPr>
              <w:pStyle w:val="Odstavekseznama"/>
              <w:widowControl/>
              <w:numPr>
                <w:ilvl w:val="0"/>
                <w:numId w:val="31"/>
              </w:numPr>
              <w:autoSpaceDE/>
              <w:autoSpaceDN/>
              <w:jc w:val="both"/>
              <w:rPr>
                <w:rFonts w:cstheme="minorHAnsi"/>
              </w:rPr>
            </w:pPr>
            <w:r>
              <w:rPr>
                <w:rFonts w:ascii="Times New Roman" w:hAnsi="Times New Roman"/>
              </w:rPr>
              <w:t>disadvantaged workers, severely disadvantaged workers and workers with disabilities as specified in Commission Regulation (EU) No 651/2014;</w:t>
            </w:r>
          </w:p>
          <w:p w14:paraId="35E63044" w14:textId="77777777" w:rsidR="00DD13BF" w:rsidRPr="0052689E"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potential female entrepreneurs and new entrepreneurs, ministries, implementing institutions;</w:t>
            </w:r>
          </w:p>
          <w:p w14:paraId="5AD66868" w14:textId="77777777" w:rsidR="00DD13BF" w:rsidRPr="00A61618" w:rsidRDefault="00DD13BF" w:rsidP="00DD13BF">
            <w:pPr>
              <w:pStyle w:val="Odstavekseznama"/>
              <w:widowControl/>
              <w:numPr>
                <w:ilvl w:val="0"/>
                <w:numId w:val="31"/>
              </w:numPr>
              <w:autoSpaceDE/>
              <w:autoSpaceDN/>
              <w:jc w:val="both"/>
              <w:rPr>
                <w:rFonts w:asciiTheme="minorHAnsi" w:eastAsiaTheme="minorEastAsia" w:hAnsiTheme="minorHAnsi" w:cstheme="minorBidi"/>
              </w:rPr>
            </w:pPr>
            <w:r>
              <w:rPr>
                <w:rFonts w:ascii="Times New Roman" w:hAnsi="Times New Roman"/>
              </w:rPr>
              <w:t>potential young entrepreneurs and new entrepreneurs, ministries, implementing institutions;</w:t>
            </w:r>
          </w:p>
          <w:p w14:paraId="6E705776" w14:textId="77777777" w:rsidR="00DD13BF" w:rsidRPr="0052689E"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disadvantaged workers and severely disadvantaged workers pursuant to the Social Entrepreneurship Act (hereinafter: ZSocP);</w:t>
            </w:r>
          </w:p>
          <w:p w14:paraId="66D84978" w14:textId="77777777" w:rsidR="00DD13BF" w:rsidRPr="003B1507" w:rsidRDefault="00DD13BF" w:rsidP="00DD13BF">
            <w:pPr>
              <w:pStyle w:val="Odstavekseznama"/>
              <w:widowControl/>
              <w:numPr>
                <w:ilvl w:val="0"/>
                <w:numId w:val="31"/>
              </w:numPr>
              <w:autoSpaceDE/>
              <w:autoSpaceDN/>
              <w:jc w:val="both"/>
              <w:rPr>
                <w:rFonts w:ascii="Times New Roman" w:hAnsi="Times New Roman" w:cs="Times New Roman"/>
              </w:rPr>
            </w:pPr>
            <w:r>
              <w:rPr>
                <w:rFonts w:ascii="Times New Roman" w:hAnsi="Times New Roman"/>
              </w:rPr>
              <w:t xml:space="preserve">social enterprises and the social economy entities pursuant to the ZSocP; </w:t>
            </w:r>
          </w:p>
          <w:p w14:paraId="12876753" w14:textId="77777777" w:rsidR="00DD13BF" w:rsidRPr="006D7D71" w:rsidRDefault="00DD13BF" w:rsidP="00DD13BF">
            <w:pPr>
              <w:pStyle w:val="Odstavekseznama"/>
              <w:widowControl/>
              <w:numPr>
                <w:ilvl w:val="0"/>
                <w:numId w:val="31"/>
              </w:numPr>
              <w:autoSpaceDE/>
              <w:autoSpaceDN/>
              <w:jc w:val="both"/>
              <w:rPr>
                <w:rFonts w:cstheme="minorHAnsi"/>
              </w:rPr>
            </w:pPr>
            <w:r>
              <w:rPr>
                <w:rFonts w:ascii="Times New Roman" w:hAnsi="Times New Roman"/>
              </w:rPr>
              <w:t>NGOs.</w:t>
            </w:r>
          </w:p>
          <w:p w14:paraId="6F938FC0" w14:textId="77777777" w:rsidR="00DD13BF" w:rsidRDefault="00DD13BF" w:rsidP="00355A56">
            <w:pPr>
              <w:jc w:val="both"/>
              <w:rPr>
                <w:rFonts w:cstheme="minorHAnsi"/>
                <w:lang w:bidi="sl-SI"/>
              </w:rPr>
            </w:pPr>
          </w:p>
          <w:p w14:paraId="0AFEA639" w14:textId="77777777" w:rsidR="00DD13BF" w:rsidRPr="006D7D71" w:rsidRDefault="00DD13BF" w:rsidP="00355A56">
            <w:pPr>
              <w:jc w:val="both"/>
              <w:rPr>
                <w:rFonts w:cstheme="minorHAnsi"/>
              </w:rPr>
            </w:pPr>
            <w:r>
              <w:t>Beneficiaries: ZRSZ, JŠRIPS, social and educational service providers, NGOs, ministries, implementing institutions, organisations in the youth sector, cultural entities, SMEs, research organisations, incubators, social economy entities, young people, potential female entrepreneurs, regional development agencies and chambers.</w:t>
            </w:r>
          </w:p>
        </w:tc>
      </w:tr>
    </w:tbl>
    <w:p w14:paraId="17AB5FA9" w14:textId="77777777" w:rsidR="00DD13BF" w:rsidRPr="006B7178" w:rsidRDefault="00DD13BF" w:rsidP="00DD13BF">
      <w:pPr>
        <w:ind w:left="1349"/>
      </w:pPr>
    </w:p>
    <w:p w14:paraId="24818F91" w14:textId="77777777" w:rsidR="00DD13BF" w:rsidRDefault="00DD13BF" w:rsidP="00DD13BF">
      <w:pPr>
        <w:ind w:left="1349"/>
        <w:rPr>
          <w:spacing w:val="-2"/>
        </w:rPr>
      </w:pPr>
      <w:r>
        <w:t>Measures to protect equality, inclusion and non-discrimination:</w:t>
      </w:r>
    </w:p>
    <w:p w14:paraId="196D77DC"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1D763959" w14:textId="77777777" w:rsidTr="00355A56">
        <w:tc>
          <w:tcPr>
            <w:tcW w:w="12715" w:type="dxa"/>
          </w:tcPr>
          <w:p w14:paraId="179BDFA8" w14:textId="77777777" w:rsidR="00DD13BF" w:rsidRDefault="00DD13BF" w:rsidP="00355A56">
            <w:pPr>
              <w:jc w:val="both"/>
            </w:pPr>
            <w:r>
              <w:t xml:space="preserve">The principles of gender equality, inclusion and non-discrimination will be respected at all levels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w:t>
            </w:r>
            <w:r>
              <w:lastRenderedPageBreak/>
              <w:t xml:space="preserve">European Pillar of Social Rights, and relevant international documents for the protection of human rights, in particular the UN Convention on the Rights of Persons with Disabilities and the UN Convention on the Rights of the Child. </w:t>
            </w:r>
          </w:p>
          <w:p w14:paraId="51DFF45D" w14:textId="77777777" w:rsidR="00DD13BF" w:rsidRDefault="00DD13BF" w:rsidP="00355A56">
            <w:pPr>
              <w:jc w:val="both"/>
              <w:rPr>
                <w:rFonts w:cstheme="minorHAnsi"/>
              </w:rPr>
            </w:pPr>
          </w:p>
          <w:p w14:paraId="17AE86CE" w14:textId="77777777" w:rsidR="00DD13BF" w:rsidRPr="00B3569A" w:rsidRDefault="00DD13BF" w:rsidP="00355A56">
            <w:pPr>
              <w:jc w:val="both"/>
              <w:rPr>
                <w:rFonts w:cstheme="minorHAnsi"/>
              </w:rPr>
            </w:pPr>
            <w:r>
              <w:t>Measures to improve access to employment and activation measures for all jobseekers, particularly young people, long-term unemployed persons and disadvantaged groups in the labour market and inactive persons are consistent with the objective of the Sustainable Development Strategy, as they promote the development of a democratic, socially inclusive, and just society that respects fundamental rights and cultural diversity, creates equal opportunities, and combats all forms of discrimination. The measures support the implementation of the European Pillar of Social Rights – Chapter I: Equal opportunities and access to the labour market, as the principles of non-discrimination and inclusion regardless of gender, race or ethnic origin, religion or belief, disability or sexual orientation will be taken into account. Inclusion in the measures will provide unemployed persons, particularly long-term unemployed and less educated persons (ISCED 3 or less) and persons above 50 years of age, with better opportunities for employment or safe employment and, as a result, a way out of social disadvantage. The measures will have a lasting positive impact on the careers of individuals, as they will use the acquired knowledge to manage their own careers autonomously and gain access to more permanent employment. The measures will preserve jobs that would otherwise be at risk due to the consequences of the epidemic or other reasons. This will ensure the economic and social security of employees in jobs at risk. On the other hand, the measures in the field of ​​addressing the problem of precariousness of young people in the labour market (15 to 29 years of age) will largely lower their exposure to precarious forms of work. Training programmes to promote female entrepreneurship, creativity, entrepreneurship and innovation among young people will contribute to the long-term integration of women and young people into the labour market.</w:t>
            </w:r>
          </w:p>
        </w:tc>
      </w:tr>
    </w:tbl>
    <w:p w14:paraId="5B82BAC3" w14:textId="77777777" w:rsidR="00DD13BF" w:rsidRDefault="00DD13BF" w:rsidP="00DD13BF">
      <w:pPr>
        <w:rPr>
          <w:sz w:val="20"/>
        </w:rPr>
      </w:pPr>
    </w:p>
    <w:p w14:paraId="4143A3DB" w14:textId="77777777" w:rsidR="00DD13BF" w:rsidRDefault="00DD13BF" w:rsidP="00DD13BF">
      <w:pPr>
        <w:ind w:left="1415"/>
        <w:rPr>
          <w:spacing w:val="-4"/>
        </w:rPr>
      </w:pPr>
      <w:r>
        <w:t>Indication of the specific territories targeted, including the planned use of territorial tools:</w:t>
      </w:r>
    </w:p>
    <w:p w14:paraId="5AF1DA4E"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3449F0C5" w14:textId="77777777" w:rsidTr="00355A56">
        <w:tc>
          <w:tcPr>
            <w:tcW w:w="12763" w:type="dxa"/>
          </w:tcPr>
          <w:p w14:paraId="0B50C2B2" w14:textId="77777777" w:rsidR="00DD13BF" w:rsidRPr="00B3569A" w:rsidRDefault="00DD13BF" w:rsidP="00355A56">
            <w:pPr>
              <w:rPr>
                <w:rFonts w:cstheme="minorHAnsi"/>
              </w:rPr>
            </w:pPr>
            <w:r>
              <w:t>Under this specific objective, the use of territorial tools is not foreseen.</w:t>
            </w:r>
          </w:p>
        </w:tc>
      </w:tr>
    </w:tbl>
    <w:p w14:paraId="13A681B2" w14:textId="77777777" w:rsidR="00DD13BF" w:rsidRDefault="00DD13BF" w:rsidP="00DD13BF">
      <w:pPr>
        <w:rPr>
          <w:sz w:val="18"/>
        </w:rPr>
      </w:pPr>
    </w:p>
    <w:p w14:paraId="75CA521E" w14:textId="77777777" w:rsidR="00DD13BF" w:rsidRDefault="00DD13BF" w:rsidP="00DD13BF">
      <w:pPr>
        <w:ind w:left="1415"/>
      </w:pPr>
      <w:r>
        <w:t>The interregional, cross-border and transnational actions:</w:t>
      </w:r>
    </w:p>
    <w:p w14:paraId="6DBD3B89"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30E05E5" w14:textId="77777777" w:rsidTr="00355A56">
        <w:tc>
          <w:tcPr>
            <w:tcW w:w="12763" w:type="dxa"/>
          </w:tcPr>
          <w:p w14:paraId="0FA1F3AE" w14:textId="77777777" w:rsidR="00DD13BF" w:rsidRPr="00B3569A" w:rsidRDefault="00DD13BF" w:rsidP="00355A56">
            <w:pPr>
              <w:jc w:val="both"/>
              <w:rPr>
                <w:rFonts w:cstheme="minorHAnsi"/>
              </w:rPr>
            </w:pPr>
            <w:r>
              <w:t>The interregional, cross-border and transnational actions are not foreseen under this specific objective, as these are measures intended for unemployed persons and persons whose employment or self-employment is at risk for an easier transition to the labour market and shortening the duration of unemployment. Therefore, the needs or specifics of the residents of Slovenia must be primarily taken into account.</w:t>
            </w:r>
          </w:p>
        </w:tc>
      </w:tr>
    </w:tbl>
    <w:p w14:paraId="5C04F80F" w14:textId="77777777" w:rsidR="00DD13BF" w:rsidRDefault="00DD13BF" w:rsidP="00DD13BF">
      <w:pPr>
        <w:rPr>
          <w:sz w:val="17"/>
        </w:rPr>
      </w:pPr>
    </w:p>
    <w:p w14:paraId="45AD376F" w14:textId="77777777" w:rsidR="00DD13BF" w:rsidRDefault="00DD13BF" w:rsidP="00DD13BF">
      <w:pPr>
        <w:ind w:left="1415"/>
        <w:rPr>
          <w:spacing w:val="-3"/>
        </w:rPr>
      </w:pPr>
      <w:r>
        <w:t>Planned use of financial instruments:</w:t>
      </w:r>
    </w:p>
    <w:p w14:paraId="21346AF4"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2780B2AD" w14:textId="77777777" w:rsidTr="00355A56">
        <w:tc>
          <w:tcPr>
            <w:tcW w:w="12758" w:type="dxa"/>
          </w:tcPr>
          <w:p w14:paraId="72F7CD02"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w:t>
            </w:r>
          </w:p>
        </w:tc>
      </w:tr>
    </w:tbl>
    <w:p w14:paraId="0F534E86" w14:textId="77777777" w:rsidR="00DD13BF" w:rsidRDefault="00DD13BF" w:rsidP="00DD13BF">
      <w:pPr>
        <w:rPr>
          <w:sz w:val="20"/>
        </w:rPr>
      </w:pPr>
    </w:p>
    <w:p w14:paraId="09F81C96" w14:textId="77777777" w:rsidR="00DD13BF" w:rsidRDefault="00DD13BF" w:rsidP="00DD13BF">
      <w:pPr>
        <w:rPr>
          <w:sz w:val="20"/>
        </w:rPr>
      </w:pPr>
    </w:p>
    <w:p w14:paraId="0E6D58EC" w14:textId="77777777" w:rsidR="00DD13BF" w:rsidRDefault="00DD13BF" w:rsidP="00DD13BF">
      <w:pPr>
        <w:pStyle w:val="Naslov5"/>
        <w:spacing w:before="0"/>
      </w:pPr>
      <w:r>
        <w:lastRenderedPageBreak/>
        <w:t>Indicators</w:t>
      </w:r>
    </w:p>
    <w:p w14:paraId="13F91294" w14:textId="77777777" w:rsidR="00DD13BF" w:rsidRDefault="00DD13BF" w:rsidP="00DD13BF"/>
    <w:p w14:paraId="554A7E1F" w14:textId="77777777" w:rsidR="00DD13BF" w:rsidRDefault="00DD13BF" w:rsidP="00DD13BF">
      <w:pPr>
        <w:ind w:left="379"/>
      </w:pPr>
      <w:r>
        <w:t>Table 2: Impact indicators</w:t>
      </w:r>
    </w:p>
    <w:p w14:paraId="25D55A9B" w14:textId="77777777" w:rsidR="00DD13BF" w:rsidRDefault="00DD13BF" w:rsidP="00DD13BF">
      <w:pPr>
        <w:rPr>
          <w:sz w:val="21"/>
        </w:rPr>
      </w:pPr>
    </w:p>
    <w:tbl>
      <w:tblPr>
        <w:tblStyle w:val="NormalTable0"/>
        <w:tblW w:w="1374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76"/>
        <w:gridCol w:w="707"/>
        <w:gridCol w:w="1699"/>
        <w:gridCol w:w="777"/>
        <w:gridCol w:w="4329"/>
        <w:gridCol w:w="1275"/>
        <w:gridCol w:w="1416"/>
        <w:gridCol w:w="1133"/>
      </w:tblGrid>
      <w:tr w:rsidR="00DD13BF" w14:paraId="61B51943" w14:textId="77777777" w:rsidTr="00355A56">
        <w:trPr>
          <w:trHeight w:val="254"/>
        </w:trPr>
        <w:tc>
          <w:tcPr>
            <w:tcW w:w="1134" w:type="dxa"/>
            <w:vAlign w:val="center"/>
          </w:tcPr>
          <w:p w14:paraId="0501C301" w14:textId="77777777" w:rsidR="00DD13BF" w:rsidRDefault="00DD13BF" w:rsidP="00355A56">
            <w:pPr>
              <w:pStyle w:val="TableParagraph"/>
              <w:ind w:right="82"/>
            </w:pPr>
            <w:r>
              <w:t>Priority</w:t>
            </w:r>
          </w:p>
        </w:tc>
        <w:tc>
          <w:tcPr>
            <w:tcW w:w="1276" w:type="dxa"/>
            <w:vAlign w:val="center"/>
          </w:tcPr>
          <w:p w14:paraId="2FA2B6E9" w14:textId="77777777" w:rsidR="00DD13BF" w:rsidRDefault="00DD13BF" w:rsidP="00355A56">
            <w:pPr>
              <w:pStyle w:val="TableParagraph"/>
            </w:pPr>
            <w:r>
              <w:t>Specific objective</w:t>
            </w:r>
          </w:p>
        </w:tc>
        <w:tc>
          <w:tcPr>
            <w:tcW w:w="707" w:type="dxa"/>
            <w:vAlign w:val="center"/>
          </w:tcPr>
          <w:p w14:paraId="104FCF4E" w14:textId="77777777" w:rsidR="00DD13BF" w:rsidRDefault="00DD13BF" w:rsidP="00355A56">
            <w:pPr>
              <w:pStyle w:val="TableParagraph"/>
            </w:pPr>
            <w:r>
              <w:t>Fund</w:t>
            </w:r>
          </w:p>
        </w:tc>
        <w:tc>
          <w:tcPr>
            <w:tcW w:w="1699" w:type="dxa"/>
            <w:vAlign w:val="center"/>
          </w:tcPr>
          <w:p w14:paraId="60D0A1D3" w14:textId="77777777" w:rsidR="00DD13BF" w:rsidRDefault="00DD13BF" w:rsidP="00355A56">
            <w:pPr>
              <w:pStyle w:val="TableParagraph"/>
            </w:pPr>
            <w:r>
              <w:t>Category of region</w:t>
            </w:r>
          </w:p>
        </w:tc>
        <w:tc>
          <w:tcPr>
            <w:tcW w:w="777" w:type="dxa"/>
            <w:vAlign w:val="center"/>
          </w:tcPr>
          <w:p w14:paraId="3EDD0839" w14:textId="77777777" w:rsidR="00DD13BF" w:rsidRPr="00347461" w:rsidRDefault="00DD13BF" w:rsidP="00355A56">
            <w:pPr>
              <w:pStyle w:val="TableParagraph"/>
              <w:rPr>
                <w:sz w:val="20"/>
              </w:rPr>
            </w:pPr>
            <w:r>
              <w:t>ID</w:t>
            </w:r>
          </w:p>
        </w:tc>
        <w:tc>
          <w:tcPr>
            <w:tcW w:w="4329" w:type="dxa"/>
            <w:vAlign w:val="center"/>
          </w:tcPr>
          <w:p w14:paraId="4091541D" w14:textId="77777777" w:rsidR="00DD13BF" w:rsidRPr="00347461" w:rsidRDefault="00DD13BF" w:rsidP="00355A56">
            <w:pPr>
              <w:pStyle w:val="TableParagraph"/>
              <w:rPr>
                <w:sz w:val="20"/>
              </w:rPr>
            </w:pPr>
            <w:r>
              <w:t>Indicators</w:t>
            </w:r>
          </w:p>
        </w:tc>
        <w:tc>
          <w:tcPr>
            <w:tcW w:w="1275" w:type="dxa"/>
            <w:vAlign w:val="center"/>
          </w:tcPr>
          <w:p w14:paraId="2254BB79" w14:textId="77777777" w:rsidR="00DD13BF" w:rsidRPr="00347461" w:rsidRDefault="00DD13BF" w:rsidP="00355A56">
            <w:pPr>
              <w:pStyle w:val="TableParagraph"/>
              <w:rPr>
                <w:sz w:val="20"/>
              </w:rPr>
            </w:pPr>
            <w:r>
              <w:t>Measurement unit</w:t>
            </w:r>
          </w:p>
        </w:tc>
        <w:tc>
          <w:tcPr>
            <w:tcW w:w="1416" w:type="dxa"/>
            <w:vAlign w:val="center"/>
          </w:tcPr>
          <w:p w14:paraId="27A8C9C1" w14:textId="77777777" w:rsidR="00DD13BF" w:rsidRPr="00347461" w:rsidRDefault="00DD13BF" w:rsidP="00355A56">
            <w:pPr>
              <w:pStyle w:val="TableParagraph"/>
              <w:rPr>
                <w:sz w:val="20"/>
              </w:rPr>
            </w:pPr>
            <w:r>
              <w:t>Milestone (2014)</w:t>
            </w:r>
          </w:p>
        </w:tc>
        <w:tc>
          <w:tcPr>
            <w:tcW w:w="1133" w:type="dxa"/>
            <w:vAlign w:val="center"/>
          </w:tcPr>
          <w:p w14:paraId="1150BED1" w14:textId="77777777" w:rsidR="00DD13BF" w:rsidRDefault="00DD13BF" w:rsidP="00355A56">
            <w:pPr>
              <w:pStyle w:val="TableParagraph"/>
            </w:pPr>
            <w:r>
              <w:t>Target (2029)</w:t>
            </w:r>
          </w:p>
        </w:tc>
      </w:tr>
      <w:tr w:rsidR="00DD13BF" w14:paraId="152F2939" w14:textId="77777777" w:rsidTr="00355A56">
        <w:trPr>
          <w:trHeight w:val="367"/>
        </w:trPr>
        <w:tc>
          <w:tcPr>
            <w:tcW w:w="1134" w:type="dxa"/>
          </w:tcPr>
          <w:p w14:paraId="7B970829" w14:textId="77777777" w:rsidR="00DD13BF" w:rsidRDefault="00DD13BF" w:rsidP="00355A56">
            <w:pPr>
              <w:pStyle w:val="TableParagraph"/>
              <w:rPr>
                <w:sz w:val="20"/>
              </w:rPr>
            </w:pPr>
            <w:r>
              <w:rPr>
                <w:sz w:val="20"/>
              </w:rPr>
              <w:t>6</w:t>
            </w:r>
          </w:p>
        </w:tc>
        <w:tc>
          <w:tcPr>
            <w:tcW w:w="1276" w:type="dxa"/>
          </w:tcPr>
          <w:p w14:paraId="6C211184" w14:textId="77777777" w:rsidR="00DD13BF" w:rsidRPr="00347461" w:rsidRDefault="00DD13BF" w:rsidP="00355A56">
            <w:pPr>
              <w:pStyle w:val="TableParagraph"/>
              <w:rPr>
                <w:sz w:val="20"/>
              </w:rPr>
            </w:pPr>
            <w:r>
              <w:rPr>
                <w:color w:val="000000"/>
                <w:sz w:val="20"/>
              </w:rPr>
              <w:t>ESO4.1</w:t>
            </w:r>
          </w:p>
        </w:tc>
        <w:tc>
          <w:tcPr>
            <w:tcW w:w="707" w:type="dxa"/>
          </w:tcPr>
          <w:p w14:paraId="4BA9E246" w14:textId="77777777" w:rsidR="00DD13BF" w:rsidRDefault="00DD13BF" w:rsidP="00355A56">
            <w:pPr>
              <w:pStyle w:val="TableParagraph"/>
              <w:rPr>
                <w:sz w:val="20"/>
              </w:rPr>
            </w:pPr>
            <w:r>
              <w:rPr>
                <w:sz w:val="20"/>
              </w:rPr>
              <w:t>ESF+</w:t>
            </w:r>
          </w:p>
        </w:tc>
        <w:tc>
          <w:tcPr>
            <w:tcW w:w="1699" w:type="dxa"/>
          </w:tcPr>
          <w:p w14:paraId="4F5A71DE" w14:textId="77777777" w:rsidR="00DD13BF" w:rsidRDefault="00DD13BF" w:rsidP="00355A56">
            <w:pPr>
              <w:pStyle w:val="TableParagraph"/>
              <w:rPr>
                <w:sz w:val="20"/>
              </w:rPr>
            </w:pPr>
            <w:r>
              <w:rPr>
                <w:sz w:val="20"/>
              </w:rPr>
              <w:t>Less developed</w:t>
            </w:r>
          </w:p>
        </w:tc>
        <w:tc>
          <w:tcPr>
            <w:tcW w:w="777" w:type="dxa"/>
          </w:tcPr>
          <w:p w14:paraId="5BCF34B4" w14:textId="77777777" w:rsidR="00DD13BF" w:rsidRPr="00C4473B" w:rsidRDefault="00DD13BF" w:rsidP="00355A56">
            <w:pPr>
              <w:pStyle w:val="TableParagraph"/>
              <w:rPr>
                <w:sz w:val="20"/>
              </w:rPr>
            </w:pPr>
            <w:commentRangeStart w:id="41"/>
            <w:r>
              <w:rPr>
                <w:sz w:val="20"/>
              </w:rPr>
              <w:t>EECO02</w:t>
            </w:r>
            <w:commentRangeEnd w:id="41"/>
            <w:r>
              <w:rPr>
                <w:rStyle w:val="Pripombasklic"/>
                <w:rFonts w:asciiTheme="minorHAnsi" w:eastAsiaTheme="minorHAnsi" w:hAnsiTheme="minorHAnsi" w:cstheme="minorBidi"/>
              </w:rPr>
              <w:commentReference w:id="41"/>
            </w:r>
            <w:r>
              <w:rPr>
                <w:sz w:val="20"/>
              </w:rPr>
              <w:t xml:space="preserve"> </w:t>
            </w:r>
          </w:p>
        </w:tc>
        <w:tc>
          <w:tcPr>
            <w:tcW w:w="4329" w:type="dxa"/>
          </w:tcPr>
          <w:p w14:paraId="3725BC2D" w14:textId="77777777" w:rsidR="00DD13BF" w:rsidRPr="00C4473B" w:rsidRDefault="00DD13BF" w:rsidP="00355A56">
            <w:pPr>
              <w:pStyle w:val="TableParagraph"/>
              <w:rPr>
                <w:sz w:val="20"/>
              </w:rPr>
            </w:pPr>
            <w:r>
              <w:rPr>
                <w:sz w:val="20"/>
              </w:rPr>
              <w:t>Unemployed, including long-term unemployed</w:t>
            </w:r>
          </w:p>
        </w:tc>
        <w:tc>
          <w:tcPr>
            <w:tcW w:w="1275" w:type="dxa"/>
          </w:tcPr>
          <w:p w14:paraId="3DB0DB92" w14:textId="77777777" w:rsidR="00DD13BF" w:rsidRPr="00C4473B" w:rsidRDefault="00DD13BF" w:rsidP="00355A56">
            <w:pPr>
              <w:pStyle w:val="TableParagraph"/>
              <w:rPr>
                <w:sz w:val="20"/>
              </w:rPr>
            </w:pPr>
            <w:r>
              <w:rPr>
                <w:color w:val="000000"/>
                <w:sz w:val="20"/>
              </w:rPr>
              <w:t>Persons</w:t>
            </w:r>
          </w:p>
        </w:tc>
        <w:tc>
          <w:tcPr>
            <w:tcW w:w="1416" w:type="dxa"/>
          </w:tcPr>
          <w:p w14:paraId="44E445FB" w14:textId="77777777" w:rsidR="00DD13BF" w:rsidRPr="00C76857" w:rsidRDefault="00DD13BF" w:rsidP="00355A56">
            <w:pPr>
              <w:pStyle w:val="TableParagraph"/>
              <w:rPr>
                <w:sz w:val="20"/>
              </w:rPr>
            </w:pPr>
            <w:r>
              <w:rPr>
                <w:sz w:val="20"/>
              </w:rPr>
              <w:t>4,890</w:t>
            </w:r>
          </w:p>
        </w:tc>
        <w:tc>
          <w:tcPr>
            <w:tcW w:w="1133" w:type="dxa"/>
          </w:tcPr>
          <w:p w14:paraId="045D9524" w14:textId="77777777" w:rsidR="00DD13BF" w:rsidRPr="00C76857" w:rsidRDefault="00DD13BF" w:rsidP="00355A56">
            <w:pPr>
              <w:pStyle w:val="TableParagraph"/>
              <w:rPr>
                <w:sz w:val="20"/>
              </w:rPr>
            </w:pPr>
            <w:r>
              <w:rPr>
                <w:sz w:val="20"/>
              </w:rPr>
              <w:t>24,468</w:t>
            </w:r>
          </w:p>
        </w:tc>
      </w:tr>
      <w:tr w:rsidR="00DD13BF" w14:paraId="75A027A5" w14:textId="77777777" w:rsidTr="00355A56">
        <w:trPr>
          <w:trHeight w:val="367"/>
        </w:trPr>
        <w:tc>
          <w:tcPr>
            <w:tcW w:w="1134" w:type="dxa"/>
          </w:tcPr>
          <w:p w14:paraId="4D4D2A73" w14:textId="77777777" w:rsidR="00DD13BF" w:rsidRDefault="00DD13BF" w:rsidP="00355A56">
            <w:pPr>
              <w:pStyle w:val="TableParagraph"/>
              <w:rPr>
                <w:sz w:val="20"/>
              </w:rPr>
            </w:pPr>
            <w:r>
              <w:rPr>
                <w:sz w:val="20"/>
              </w:rPr>
              <w:t>6</w:t>
            </w:r>
          </w:p>
        </w:tc>
        <w:tc>
          <w:tcPr>
            <w:tcW w:w="1276" w:type="dxa"/>
          </w:tcPr>
          <w:p w14:paraId="24626734" w14:textId="77777777" w:rsidR="00DD13BF" w:rsidRPr="00347461" w:rsidRDefault="00DD13BF" w:rsidP="00355A56">
            <w:pPr>
              <w:pStyle w:val="TableParagraph"/>
              <w:rPr>
                <w:sz w:val="20"/>
              </w:rPr>
            </w:pPr>
            <w:r>
              <w:rPr>
                <w:color w:val="000000"/>
                <w:sz w:val="20"/>
              </w:rPr>
              <w:t>ESO4.1</w:t>
            </w:r>
          </w:p>
        </w:tc>
        <w:tc>
          <w:tcPr>
            <w:tcW w:w="707" w:type="dxa"/>
          </w:tcPr>
          <w:p w14:paraId="6E1DFF2B" w14:textId="77777777" w:rsidR="00DD13BF" w:rsidRDefault="00DD13BF" w:rsidP="00355A56">
            <w:pPr>
              <w:pStyle w:val="TableParagraph"/>
              <w:rPr>
                <w:sz w:val="20"/>
              </w:rPr>
            </w:pPr>
            <w:r>
              <w:rPr>
                <w:sz w:val="20"/>
              </w:rPr>
              <w:t>ESF+</w:t>
            </w:r>
          </w:p>
        </w:tc>
        <w:tc>
          <w:tcPr>
            <w:tcW w:w="1699" w:type="dxa"/>
          </w:tcPr>
          <w:p w14:paraId="0FD30731" w14:textId="77777777" w:rsidR="00DD13BF" w:rsidRDefault="00DD13BF" w:rsidP="00355A56">
            <w:pPr>
              <w:pStyle w:val="TableParagraph"/>
              <w:rPr>
                <w:sz w:val="20"/>
              </w:rPr>
            </w:pPr>
            <w:r>
              <w:rPr>
                <w:sz w:val="20"/>
              </w:rPr>
              <w:t>More developed</w:t>
            </w:r>
          </w:p>
        </w:tc>
        <w:tc>
          <w:tcPr>
            <w:tcW w:w="777" w:type="dxa"/>
          </w:tcPr>
          <w:p w14:paraId="2DC78BF0" w14:textId="77777777" w:rsidR="00DD13BF" w:rsidRPr="00C4473B" w:rsidRDefault="00DD13BF" w:rsidP="00355A56">
            <w:pPr>
              <w:pStyle w:val="TableParagraph"/>
              <w:rPr>
                <w:sz w:val="20"/>
              </w:rPr>
            </w:pPr>
            <w:r w:rsidRPr="00F46D55">
              <w:rPr>
                <w:sz w:val="20"/>
                <w:highlight w:val="yellow"/>
              </w:rPr>
              <w:t>EECO02</w:t>
            </w:r>
            <w:r>
              <w:rPr>
                <w:sz w:val="20"/>
              </w:rPr>
              <w:t xml:space="preserve"> </w:t>
            </w:r>
          </w:p>
        </w:tc>
        <w:tc>
          <w:tcPr>
            <w:tcW w:w="4329" w:type="dxa"/>
          </w:tcPr>
          <w:p w14:paraId="5B50454F" w14:textId="77777777" w:rsidR="00DD13BF" w:rsidRPr="00C4473B" w:rsidRDefault="00DD13BF" w:rsidP="00355A56">
            <w:pPr>
              <w:pStyle w:val="TableParagraph"/>
              <w:rPr>
                <w:sz w:val="20"/>
              </w:rPr>
            </w:pPr>
            <w:r>
              <w:rPr>
                <w:sz w:val="20"/>
              </w:rPr>
              <w:t>Unemployed, including long-term unemployed</w:t>
            </w:r>
          </w:p>
        </w:tc>
        <w:tc>
          <w:tcPr>
            <w:tcW w:w="1275" w:type="dxa"/>
          </w:tcPr>
          <w:p w14:paraId="317FE0B6" w14:textId="77777777" w:rsidR="00DD13BF" w:rsidRPr="00C4473B" w:rsidRDefault="00DD13BF" w:rsidP="00355A56">
            <w:pPr>
              <w:pStyle w:val="TableParagraph"/>
              <w:rPr>
                <w:sz w:val="20"/>
              </w:rPr>
            </w:pPr>
            <w:r>
              <w:rPr>
                <w:color w:val="000000"/>
                <w:sz w:val="20"/>
              </w:rPr>
              <w:t>Persons</w:t>
            </w:r>
          </w:p>
        </w:tc>
        <w:tc>
          <w:tcPr>
            <w:tcW w:w="1416" w:type="dxa"/>
          </w:tcPr>
          <w:p w14:paraId="11DC6702" w14:textId="77777777" w:rsidR="00DD13BF" w:rsidRPr="00C76857" w:rsidRDefault="00DD13BF" w:rsidP="00355A56">
            <w:pPr>
              <w:pStyle w:val="TableParagraph"/>
              <w:rPr>
                <w:sz w:val="20"/>
              </w:rPr>
            </w:pPr>
            <w:r>
              <w:rPr>
                <w:sz w:val="20"/>
              </w:rPr>
              <w:t>1,223</w:t>
            </w:r>
          </w:p>
        </w:tc>
        <w:tc>
          <w:tcPr>
            <w:tcW w:w="1133" w:type="dxa"/>
          </w:tcPr>
          <w:p w14:paraId="4F6876BE" w14:textId="77777777" w:rsidR="00DD13BF" w:rsidRPr="00C76857" w:rsidRDefault="00DD13BF" w:rsidP="00355A56">
            <w:pPr>
              <w:pStyle w:val="TableParagraph"/>
              <w:rPr>
                <w:sz w:val="20"/>
              </w:rPr>
            </w:pPr>
            <w:r>
              <w:rPr>
                <w:sz w:val="20"/>
              </w:rPr>
              <w:t>6,097</w:t>
            </w:r>
          </w:p>
        </w:tc>
      </w:tr>
      <w:tr w:rsidR="00DD13BF" w:rsidRPr="00B675DB" w14:paraId="6DF44E77" w14:textId="77777777" w:rsidTr="00355A56">
        <w:trPr>
          <w:trHeight w:val="367"/>
        </w:trPr>
        <w:tc>
          <w:tcPr>
            <w:tcW w:w="1134" w:type="dxa"/>
            <w:shd w:val="clear" w:color="auto" w:fill="auto"/>
          </w:tcPr>
          <w:p w14:paraId="1C1DCFDE" w14:textId="77777777" w:rsidR="00DD13BF" w:rsidRPr="00B675DB" w:rsidRDefault="00DD13BF" w:rsidP="00355A56">
            <w:pPr>
              <w:pStyle w:val="TableParagraph"/>
              <w:rPr>
                <w:sz w:val="20"/>
              </w:rPr>
            </w:pPr>
            <w:r>
              <w:rPr>
                <w:sz w:val="20"/>
              </w:rPr>
              <w:t>6</w:t>
            </w:r>
          </w:p>
        </w:tc>
        <w:tc>
          <w:tcPr>
            <w:tcW w:w="1276" w:type="dxa"/>
            <w:shd w:val="clear" w:color="auto" w:fill="auto"/>
          </w:tcPr>
          <w:p w14:paraId="3EBC32EB" w14:textId="77777777" w:rsidR="00DD13BF" w:rsidRPr="00B675DB" w:rsidRDefault="00DD13BF" w:rsidP="00355A56">
            <w:pPr>
              <w:pStyle w:val="TableParagraph"/>
              <w:rPr>
                <w:sz w:val="20"/>
              </w:rPr>
            </w:pPr>
            <w:r>
              <w:rPr>
                <w:color w:val="000000"/>
                <w:sz w:val="20"/>
              </w:rPr>
              <w:t>ESO4.1</w:t>
            </w:r>
          </w:p>
        </w:tc>
        <w:tc>
          <w:tcPr>
            <w:tcW w:w="707" w:type="dxa"/>
            <w:shd w:val="clear" w:color="auto" w:fill="auto"/>
          </w:tcPr>
          <w:p w14:paraId="54FA2ED9" w14:textId="77777777" w:rsidR="00DD13BF" w:rsidRPr="00B675DB" w:rsidRDefault="00DD13BF" w:rsidP="00355A56">
            <w:pPr>
              <w:pStyle w:val="TableParagraph"/>
              <w:rPr>
                <w:sz w:val="20"/>
              </w:rPr>
            </w:pPr>
            <w:r>
              <w:rPr>
                <w:sz w:val="20"/>
              </w:rPr>
              <w:t>ESF+</w:t>
            </w:r>
          </w:p>
        </w:tc>
        <w:tc>
          <w:tcPr>
            <w:tcW w:w="1699" w:type="dxa"/>
            <w:shd w:val="clear" w:color="auto" w:fill="auto"/>
          </w:tcPr>
          <w:p w14:paraId="1CE40DA1" w14:textId="77777777" w:rsidR="00DD13BF" w:rsidRPr="00B675DB" w:rsidRDefault="00DD13BF" w:rsidP="00355A56">
            <w:pPr>
              <w:pStyle w:val="TableParagraph"/>
              <w:rPr>
                <w:sz w:val="20"/>
              </w:rPr>
            </w:pPr>
            <w:r>
              <w:rPr>
                <w:sz w:val="20"/>
              </w:rPr>
              <w:t>Less developed</w:t>
            </w:r>
          </w:p>
        </w:tc>
        <w:tc>
          <w:tcPr>
            <w:tcW w:w="777" w:type="dxa"/>
            <w:shd w:val="clear" w:color="auto" w:fill="auto"/>
          </w:tcPr>
          <w:p w14:paraId="73EBA84F" w14:textId="77777777" w:rsidR="00DD13BF" w:rsidRPr="00B675DB" w:rsidRDefault="00DD13BF" w:rsidP="00355A56">
            <w:pPr>
              <w:pStyle w:val="TableParagraph"/>
              <w:rPr>
                <w:sz w:val="20"/>
              </w:rPr>
            </w:pPr>
            <w:r>
              <w:rPr>
                <w:sz w:val="20"/>
              </w:rPr>
              <w:t>EECO19</w:t>
            </w:r>
          </w:p>
        </w:tc>
        <w:tc>
          <w:tcPr>
            <w:tcW w:w="4329" w:type="dxa"/>
            <w:shd w:val="clear" w:color="auto" w:fill="auto"/>
          </w:tcPr>
          <w:p w14:paraId="32A4E233" w14:textId="77777777" w:rsidR="00DD13BF" w:rsidRPr="00204DDA" w:rsidRDefault="00DD13BF" w:rsidP="00355A56">
            <w:pPr>
              <w:pStyle w:val="TableParagraph"/>
              <w:rPr>
                <w:rFonts w:cstheme="minorHAnsi"/>
                <w:sz w:val="20"/>
              </w:rPr>
            </w:pPr>
            <w:r>
              <w:rPr>
                <w:color w:val="000000"/>
                <w:sz w:val="20"/>
              </w:rPr>
              <w:t>Number of micro, small and medium-sized enterprises supported</w:t>
            </w:r>
          </w:p>
        </w:tc>
        <w:tc>
          <w:tcPr>
            <w:tcW w:w="1275" w:type="dxa"/>
            <w:shd w:val="clear" w:color="auto" w:fill="auto"/>
          </w:tcPr>
          <w:p w14:paraId="7A868FF9" w14:textId="77777777" w:rsidR="00DD13BF" w:rsidRPr="00B675DB" w:rsidRDefault="00DD13BF" w:rsidP="00355A56">
            <w:pPr>
              <w:pStyle w:val="TableParagraph"/>
              <w:rPr>
                <w:rFonts w:cstheme="minorHAnsi"/>
                <w:sz w:val="20"/>
              </w:rPr>
            </w:pPr>
            <w:r>
              <w:rPr>
                <w:color w:val="000000"/>
                <w:sz w:val="20"/>
              </w:rPr>
              <w:t>Enterprises</w:t>
            </w:r>
          </w:p>
        </w:tc>
        <w:tc>
          <w:tcPr>
            <w:tcW w:w="1416" w:type="dxa"/>
            <w:shd w:val="clear" w:color="auto" w:fill="auto"/>
          </w:tcPr>
          <w:p w14:paraId="174E2E4F" w14:textId="77777777" w:rsidR="00DD13BF" w:rsidRPr="00B675DB" w:rsidRDefault="00DD13BF" w:rsidP="00355A56">
            <w:pPr>
              <w:pStyle w:val="TableParagraph"/>
              <w:rPr>
                <w:sz w:val="20"/>
              </w:rPr>
            </w:pPr>
            <w:r>
              <w:rPr>
                <w:sz w:val="20"/>
              </w:rPr>
              <w:t>59</w:t>
            </w:r>
          </w:p>
        </w:tc>
        <w:tc>
          <w:tcPr>
            <w:tcW w:w="1133" w:type="dxa"/>
            <w:shd w:val="clear" w:color="auto" w:fill="auto"/>
          </w:tcPr>
          <w:p w14:paraId="2D534113" w14:textId="77777777" w:rsidR="00DD13BF" w:rsidRPr="00B675DB" w:rsidRDefault="00DD13BF" w:rsidP="00355A56">
            <w:pPr>
              <w:pStyle w:val="TableParagraph"/>
              <w:rPr>
                <w:sz w:val="20"/>
              </w:rPr>
            </w:pPr>
            <w:r>
              <w:rPr>
                <w:sz w:val="20"/>
              </w:rPr>
              <w:t>141</w:t>
            </w:r>
          </w:p>
        </w:tc>
      </w:tr>
      <w:tr w:rsidR="00DD13BF" w:rsidRPr="00B675DB" w14:paraId="064D5677" w14:textId="77777777" w:rsidTr="00355A56">
        <w:trPr>
          <w:trHeight w:val="367"/>
        </w:trPr>
        <w:tc>
          <w:tcPr>
            <w:tcW w:w="1134" w:type="dxa"/>
            <w:shd w:val="clear" w:color="auto" w:fill="auto"/>
          </w:tcPr>
          <w:p w14:paraId="50731FE5" w14:textId="77777777" w:rsidR="00DD13BF" w:rsidRPr="00B675DB" w:rsidRDefault="00DD13BF" w:rsidP="00355A56">
            <w:pPr>
              <w:pStyle w:val="TableParagraph"/>
              <w:rPr>
                <w:sz w:val="20"/>
              </w:rPr>
            </w:pPr>
            <w:r>
              <w:rPr>
                <w:sz w:val="20"/>
              </w:rPr>
              <w:t>6</w:t>
            </w:r>
          </w:p>
        </w:tc>
        <w:tc>
          <w:tcPr>
            <w:tcW w:w="1276" w:type="dxa"/>
            <w:shd w:val="clear" w:color="auto" w:fill="auto"/>
          </w:tcPr>
          <w:p w14:paraId="6B9B66FC" w14:textId="77777777" w:rsidR="00DD13BF" w:rsidRPr="00B675DB" w:rsidRDefault="00DD13BF" w:rsidP="00355A56">
            <w:pPr>
              <w:pStyle w:val="TableParagraph"/>
              <w:rPr>
                <w:sz w:val="20"/>
              </w:rPr>
            </w:pPr>
            <w:r>
              <w:rPr>
                <w:color w:val="000000"/>
                <w:sz w:val="20"/>
              </w:rPr>
              <w:t>ESO4.1</w:t>
            </w:r>
          </w:p>
        </w:tc>
        <w:tc>
          <w:tcPr>
            <w:tcW w:w="707" w:type="dxa"/>
            <w:shd w:val="clear" w:color="auto" w:fill="auto"/>
          </w:tcPr>
          <w:p w14:paraId="43CAC6BC" w14:textId="77777777" w:rsidR="00DD13BF" w:rsidRPr="00B675DB" w:rsidRDefault="00DD13BF" w:rsidP="00355A56">
            <w:pPr>
              <w:pStyle w:val="TableParagraph"/>
              <w:rPr>
                <w:sz w:val="20"/>
              </w:rPr>
            </w:pPr>
            <w:r>
              <w:rPr>
                <w:sz w:val="20"/>
              </w:rPr>
              <w:t>ESF+</w:t>
            </w:r>
          </w:p>
        </w:tc>
        <w:tc>
          <w:tcPr>
            <w:tcW w:w="1699" w:type="dxa"/>
            <w:shd w:val="clear" w:color="auto" w:fill="auto"/>
          </w:tcPr>
          <w:p w14:paraId="5536F76F" w14:textId="77777777" w:rsidR="00DD13BF" w:rsidRPr="00B675DB" w:rsidRDefault="00DD13BF" w:rsidP="00355A56">
            <w:pPr>
              <w:pStyle w:val="TableParagraph"/>
              <w:rPr>
                <w:sz w:val="20"/>
              </w:rPr>
            </w:pPr>
            <w:r>
              <w:rPr>
                <w:sz w:val="20"/>
              </w:rPr>
              <w:t>More developed</w:t>
            </w:r>
          </w:p>
        </w:tc>
        <w:tc>
          <w:tcPr>
            <w:tcW w:w="777" w:type="dxa"/>
            <w:shd w:val="clear" w:color="auto" w:fill="auto"/>
          </w:tcPr>
          <w:p w14:paraId="38BF2EB2" w14:textId="77777777" w:rsidR="00DD13BF" w:rsidRPr="00B675DB" w:rsidRDefault="00DD13BF" w:rsidP="00355A56">
            <w:pPr>
              <w:pStyle w:val="TableParagraph"/>
              <w:rPr>
                <w:sz w:val="20"/>
              </w:rPr>
            </w:pPr>
            <w:r>
              <w:rPr>
                <w:sz w:val="20"/>
              </w:rPr>
              <w:t>EECO19</w:t>
            </w:r>
          </w:p>
        </w:tc>
        <w:tc>
          <w:tcPr>
            <w:tcW w:w="4329" w:type="dxa"/>
            <w:shd w:val="clear" w:color="auto" w:fill="auto"/>
          </w:tcPr>
          <w:p w14:paraId="196F468C" w14:textId="77777777" w:rsidR="00DD13BF" w:rsidRPr="00204DDA" w:rsidRDefault="00DD13BF" w:rsidP="00355A56">
            <w:pPr>
              <w:pStyle w:val="TableParagraph"/>
              <w:rPr>
                <w:rFonts w:cstheme="minorHAnsi"/>
                <w:sz w:val="20"/>
              </w:rPr>
            </w:pPr>
            <w:r>
              <w:rPr>
                <w:color w:val="000000"/>
                <w:sz w:val="20"/>
              </w:rPr>
              <w:t>Number of micro, small and medium-sized enterprises supported</w:t>
            </w:r>
          </w:p>
        </w:tc>
        <w:tc>
          <w:tcPr>
            <w:tcW w:w="1275" w:type="dxa"/>
            <w:shd w:val="clear" w:color="auto" w:fill="auto"/>
          </w:tcPr>
          <w:p w14:paraId="5CF22134" w14:textId="77777777" w:rsidR="00DD13BF" w:rsidRPr="00B675DB" w:rsidRDefault="00DD13BF" w:rsidP="00355A56">
            <w:pPr>
              <w:pStyle w:val="TableParagraph"/>
              <w:rPr>
                <w:rFonts w:cstheme="minorHAnsi"/>
                <w:sz w:val="20"/>
              </w:rPr>
            </w:pPr>
            <w:r>
              <w:rPr>
                <w:color w:val="000000"/>
                <w:sz w:val="20"/>
              </w:rPr>
              <w:t>Enterprises</w:t>
            </w:r>
          </w:p>
        </w:tc>
        <w:tc>
          <w:tcPr>
            <w:tcW w:w="1416" w:type="dxa"/>
            <w:shd w:val="clear" w:color="auto" w:fill="auto"/>
          </w:tcPr>
          <w:p w14:paraId="4FF0B882" w14:textId="77777777" w:rsidR="00DD13BF" w:rsidRPr="00B675DB" w:rsidRDefault="00DD13BF" w:rsidP="00355A56">
            <w:pPr>
              <w:pStyle w:val="TableParagraph"/>
              <w:rPr>
                <w:sz w:val="20"/>
              </w:rPr>
            </w:pPr>
            <w:r>
              <w:rPr>
                <w:sz w:val="20"/>
              </w:rPr>
              <w:t>7</w:t>
            </w:r>
          </w:p>
        </w:tc>
        <w:tc>
          <w:tcPr>
            <w:tcW w:w="1133" w:type="dxa"/>
            <w:shd w:val="clear" w:color="auto" w:fill="auto"/>
          </w:tcPr>
          <w:p w14:paraId="60E32D4A" w14:textId="77777777" w:rsidR="00DD13BF" w:rsidRPr="00B675DB" w:rsidRDefault="00DD13BF" w:rsidP="00355A56">
            <w:pPr>
              <w:pStyle w:val="TableParagraph"/>
              <w:rPr>
                <w:sz w:val="20"/>
              </w:rPr>
            </w:pPr>
            <w:r>
              <w:rPr>
                <w:sz w:val="20"/>
              </w:rPr>
              <w:t>16</w:t>
            </w:r>
          </w:p>
        </w:tc>
      </w:tr>
    </w:tbl>
    <w:p w14:paraId="5FFAB9E4" w14:textId="77777777" w:rsidR="00DD13BF" w:rsidRDefault="00DD13BF" w:rsidP="00DD13BF">
      <w:pPr>
        <w:rPr>
          <w:sz w:val="24"/>
        </w:rPr>
      </w:pPr>
    </w:p>
    <w:p w14:paraId="30BA558B" w14:textId="77777777" w:rsidR="00DD13BF" w:rsidRDefault="00DD13BF" w:rsidP="00DD13BF">
      <w:pPr>
        <w:ind w:left="379"/>
      </w:pPr>
      <w:r>
        <w:t>Table 3: Result indicators</w:t>
      </w:r>
    </w:p>
    <w:p w14:paraId="777076AE" w14:textId="77777777" w:rsidR="00DD13BF" w:rsidRDefault="00DD13BF" w:rsidP="00DD13BF">
      <w:pPr>
        <w:rPr>
          <w:sz w:val="21"/>
        </w:rPr>
      </w:pPr>
    </w:p>
    <w:tbl>
      <w:tblPr>
        <w:tblStyle w:val="NormalTable0"/>
        <w:tblW w:w="13745" w:type="dxa"/>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992"/>
        <w:gridCol w:w="992"/>
        <w:gridCol w:w="695"/>
        <w:gridCol w:w="1570"/>
        <w:gridCol w:w="849"/>
        <w:gridCol w:w="3407"/>
        <w:gridCol w:w="707"/>
        <w:gridCol w:w="1133"/>
        <w:gridCol w:w="992"/>
        <w:gridCol w:w="849"/>
        <w:gridCol w:w="850"/>
        <w:gridCol w:w="709"/>
      </w:tblGrid>
      <w:tr w:rsidR="00DD13BF" w14:paraId="05DE604C" w14:textId="77777777" w:rsidTr="00355A56">
        <w:trPr>
          <w:trHeight w:val="353"/>
        </w:trPr>
        <w:tc>
          <w:tcPr>
            <w:tcW w:w="992" w:type="dxa"/>
          </w:tcPr>
          <w:p w14:paraId="3085F277" w14:textId="77777777" w:rsidR="00DD13BF" w:rsidRPr="00347461" w:rsidRDefault="00DD13BF" w:rsidP="00355A56">
            <w:pPr>
              <w:pStyle w:val="TableParagraph"/>
              <w:rPr>
                <w:sz w:val="20"/>
              </w:rPr>
            </w:pPr>
            <w:r>
              <w:rPr>
                <w:sz w:val="20"/>
              </w:rPr>
              <w:t>Priority</w:t>
            </w:r>
          </w:p>
        </w:tc>
        <w:tc>
          <w:tcPr>
            <w:tcW w:w="992" w:type="dxa"/>
          </w:tcPr>
          <w:p w14:paraId="1DB37F72" w14:textId="77777777" w:rsidR="00DD13BF" w:rsidRPr="00347461" w:rsidRDefault="00DD13BF" w:rsidP="00355A56">
            <w:pPr>
              <w:pStyle w:val="TableParagraph"/>
              <w:rPr>
                <w:sz w:val="20"/>
              </w:rPr>
            </w:pPr>
            <w:r>
              <w:rPr>
                <w:sz w:val="20"/>
              </w:rPr>
              <w:t>Specific objective</w:t>
            </w:r>
          </w:p>
        </w:tc>
        <w:tc>
          <w:tcPr>
            <w:tcW w:w="695" w:type="dxa"/>
          </w:tcPr>
          <w:p w14:paraId="0A2D0572" w14:textId="77777777" w:rsidR="00DD13BF" w:rsidRPr="00347461" w:rsidRDefault="00DD13BF" w:rsidP="00355A56">
            <w:pPr>
              <w:pStyle w:val="TableParagraph"/>
              <w:rPr>
                <w:sz w:val="20"/>
              </w:rPr>
            </w:pPr>
            <w:r>
              <w:rPr>
                <w:sz w:val="20"/>
              </w:rPr>
              <w:t>Fund</w:t>
            </w:r>
          </w:p>
        </w:tc>
        <w:tc>
          <w:tcPr>
            <w:tcW w:w="1570" w:type="dxa"/>
          </w:tcPr>
          <w:p w14:paraId="7C368F66" w14:textId="77777777" w:rsidR="00DD13BF" w:rsidRPr="00347461" w:rsidRDefault="00DD13BF" w:rsidP="00355A56">
            <w:pPr>
              <w:pStyle w:val="TableParagraph"/>
              <w:rPr>
                <w:sz w:val="20"/>
              </w:rPr>
            </w:pPr>
            <w:r>
              <w:rPr>
                <w:sz w:val="20"/>
              </w:rPr>
              <w:t>Category of region</w:t>
            </w:r>
          </w:p>
        </w:tc>
        <w:tc>
          <w:tcPr>
            <w:tcW w:w="849" w:type="dxa"/>
          </w:tcPr>
          <w:p w14:paraId="5428239B" w14:textId="77777777" w:rsidR="00DD13BF" w:rsidRPr="00347461" w:rsidRDefault="00DD13BF" w:rsidP="00355A56">
            <w:pPr>
              <w:pStyle w:val="TableParagraph"/>
              <w:rPr>
                <w:sz w:val="20"/>
              </w:rPr>
            </w:pPr>
            <w:r>
              <w:rPr>
                <w:sz w:val="20"/>
              </w:rPr>
              <w:t>ID</w:t>
            </w:r>
          </w:p>
        </w:tc>
        <w:tc>
          <w:tcPr>
            <w:tcW w:w="3407" w:type="dxa"/>
          </w:tcPr>
          <w:p w14:paraId="22EACC59" w14:textId="77777777" w:rsidR="00DD13BF" w:rsidRPr="00347461" w:rsidRDefault="00DD13BF" w:rsidP="00355A56">
            <w:pPr>
              <w:pStyle w:val="TableParagraph"/>
              <w:rPr>
                <w:sz w:val="20"/>
              </w:rPr>
            </w:pPr>
            <w:r>
              <w:rPr>
                <w:sz w:val="20"/>
              </w:rPr>
              <w:t>Indicator</w:t>
            </w:r>
          </w:p>
        </w:tc>
        <w:tc>
          <w:tcPr>
            <w:tcW w:w="707" w:type="dxa"/>
          </w:tcPr>
          <w:p w14:paraId="24AE4069" w14:textId="77777777" w:rsidR="00DD13BF" w:rsidRPr="00347461" w:rsidRDefault="00DD13BF" w:rsidP="00355A56">
            <w:pPr>
              <w:pStyle w:val="TableParagraph"/>
              <w:rPr>
                <w:sz w:val="20"/>
              </w:rPr>
            </w:pPr>
            <w:r>
              <w:rPr>
                <w:sz w:val="20"/>
              </w:rPr>
              <w:t>Measurement unit</w:t>
            </w:r>
          </w:p>
        </w:tc>
        <w:tc>
          <w:tcPr>
            <w:tcW w:w="1133" w:type="dxa"/>
          </w:tcPr>
          <w:p w14:paraId="4BE9B9F6" w14:textId="77777777" w:rsidR="00DD13BF" w:rsidRPr="00347461" w:rsidRDefault="00DD13BF" w:rsidP="00355A56">
            <w:pPr>
              <w:pStyle w:val="TableParagraph"/>
              <w:rPr>
                <w:sz w:val="20"/>
              </w:rPr>
            </w:pPr>
            <w:r>
              <w:rPr>
                <w:sz w:val="20"/>
              </w:rPr>
              <w:t>Baseline or reference value</w:t>
            </w:r>
          </w:p>
        </w:tc>
        <w:tc>
          <w:tcPr>
            <w:tcW w:w="992" w:type="dxa"/>
          </w:tcPr>
          <w:p w14:paraId="608FE696" w14:textId="77777777" w:rsidR="00DD13BF" w:rsidRPr="00347461" w:rsidRDefault="00DD13BF" w:rsidP="00355A56">
            <w:pPr>
              <w:pStyle w:val="TableParagraph"/>
              <w:rPr>
                <w:sz w:val="20"/>
              </w:rPr>
            </w:pPr>
            <w:r>
              <w:rPr>
                <w:sz w:val="20"/>
              </w:rPr>
              <w:t>Reference year</w:t>
            </w:r>
          </w:p>
        </w:tc>
        <w:tc>
          <w:tcPr>
            <w:tcW w:w="849" w:type="dxa"/>
          </w:tcPr>
          <w:p w14:paraId="0B8DE8A1" w14:textId="77777777" w:rsidR="00DD13BF" w:rsidRPr="00347461" w:rsidRDefault="00DD13BF" w:rsidP="00355A56">
            <w:pPr>
              <w:pStyle w:val="TableParagraph"/>
              <w:rPr>
                <w:sz w:val="20"/>
              </w:rPr>
            </w:pPr>
            <w:r>
              <w:rPr>
                <w:sz w:val="20"/>
              </w:rPr>
              <w:t>Target (2029)</w:t>
            </w:r>
          </w:p>
        </w:tc>
        <w:tc>
          <w:tcPr>
            <w:tcW w:w="850" w:type="dxa"/>
          </w:tcPr>
          <w:p w14:paraId="5E221DB0" w14:textId="77777777" w:rsidR="00DD13BF" w:rsidRPr="00347461" w:rsidRDefault="00DD13BF" w:rsidP="00355A56">
            <w:pPr>
              <w:pStyle w:val="TableParagraph"/>
              <w:rPr>
                <w:sz w:val="20"/>
              </w:rPr>
            </w:pPr>
            <w:r>
              <w:rPr>
                <w:sz w:val="20"/>
              </w:rPr>
              <w:t>Source of data</w:t>
            </w:r>
          </w:p>
        </w:tc>
        <w:tc>
          <w:tcPr>
            <w:tcW w:w="709" w:type="dxa"/>
          </w:tcPr>
          <w:p w14:paraId="5DD9C16D" w14:textId="77777777" w:rsidR="00DD13BF" w:rsidRPr="00347461" w:rsidRDefault="00DD13BF" w:rsidP="00355A56">
            <w:pPr>
              <w:pStyle w:val="TableParagraph"/>
              <w:rPr>
                <w:sz w:val="20"/>
              </w:rPr>
            </w:pPr>
            <w:r>
              <w:rPr>
                <w:sz w:val="20"/>
              </w:rPr>
              <w:t>Notes</w:t>
            </w:r>
          </w:p>
        </w:tc>
      </w:tr>
      <w:tr w:rsidR="00DD13BF" w14:paraId="52884436" w14:textId="77777777" w:rsidTr="00355A56">
        <w:trPr>
          <w:trHeight w:val="353"/>
        </w:trPr>
        <w:tc>
          <w:tcPr>
            <w:tcW w:w="992" w:type="dxa"/>
          </w:tcPr>
          <w:p w14:paraId="3F20F417" w14:textId="77777777" w:rsidR="00DD13BF" w:rsidRPr="00347461" w:rsidRDefault="00DD13BF" w:rsidP="00355A56">
            <w:pPr>
              <w:pStyle w:val="TableParagraph"/>
              <w:rPr>
                <w:sz w:val="20"/>
              </w:rPr>
            </w:pPr>
            <w:r>
              <w:rPr>
                <w:sz w:val="20"/>
              </w:rPr>
              <w:t>6</w:t>
            </w:r>
          </w:p>
        </w:tc>
        <w:tc>
          <w:tcPr>
            <w:tcW w:w="992" w:type="dxa"/>
          </w:tcPr>
          <w:p w14:paraId="6E40DDD6" w14:textId="77777777" w:rsidR="00DD13BF" w:rsidRPr="00347461" w:rsidRDefault="00DD13BF" w:rsidP="00355A56">
            <w:pPr>
              <w:pStyle w:val="TableParagraph"/>
              <w:rPr>
                <w:sz w:val="20"/>
              </w:rPr>
            </w:pPr>
            <w:r>
              <w:rPr>
                <w:color w:val="000000"/>
                <w:sz w:val="20"/>
              </w:rPr>
              <w:t>ESO4.1</w:t>
            </w:r>
          </w:p>
        </w:tc>
        <w:tc>
          <w:tcPr>
            <w:tcW w:w="695" w:type="dxa"/>
          </w:tcPr>
          <w:p w14:paraId="498B3F85" w14:textId="77777777" w:rsidR="00DD13BF" w:rsidRPr="00347461" w:rsidRDefault="00DD13BF" w:rsidP="00355A56">
            <w:pPr>
              <w:pStyle w:val="TableParagraph"/>
              <w:rPr>
                <w:sz w:val="20"/>
              </w:rPr>
            </w:pPr>
            <w:r>
              <w:rPr>
                <w:sz w:val="20"/>
              </w:rPr>
              <w:t>ESF+</w:t>
            </w:r>
          </w:p>
        </w:tc>
        <w:tc>
          <w:tcPr>
            <w:tcW w:w="1570" w:type="dxa"/>
          </w:tcPr>
          <w:p w14:paraId="7E10B6FE" w14:textId="77777777" w:rsidR="00DD13BF" w:rsidRPr="00347461" w:rsidRDefault="00DD13BF" w:rsidP="00355A56">
            <w:pPr>
              <w:pStyle w:val="TableParagraph"/>
              <w:rPr>
                <w:sz w:val="20"/>
              </w:rPr>
            </w:pPr>
            <w:r>
              <w:rPr>
                <w:sz w:val="20"/>
              </w:rPr>
              <w:t>Less developed</w:t>
            </w:r>
          </w:p>
        </w:tc>
        <w:tc>
          <w:tcPr>
            <w:tcW w:w="849" w:type="dxa"/>
          </w:tcPr>
          <w:p w14:paraId="62491AC5" w14:textId="77777777" w:rsidR="00DD13BF" w:rsidRPr="00C4473B" w:rsidRDefault="00DD13BF" w:rsidP="00355A56">
            <w:pPr>
              <w:pStyle w:val="TableParagraph"/>
              <w:rPr>
                <w:sz w:val="20"/>
              </w:rPr>
            </w:pPr>
            <w:r>
              <w:rPr>
                <w:sz w:val="20"/>
              </w:rPr>
              <w:t>EECR04</w:t>
            </w:r>
          </w:p>
        </w:tc>
        <w:tc>
          <w:tcPr>
            <w:tcW w:w="3407" w:type="dxa"/>
          </w:tcPr>
          <w:p w14:paraId="2994D202" w14:textId="77777777" w:rsidR="00DD13BF" w:rsidRPr="00C4473B" w:rsidRDefault="00DD13BF" w:rsidP="00355A56">
            <w:pPr>
              <w:pStyle w:val="TableParagraph"/>
              <w:rPr>
                <w:sz w:val="20"/>
              </w:rPr>
            </w:pPr>
            <w:r>
              <w:rPr>
                <w:sz w:val="20"/>
              </w:rPr>
              <w:t>Participants in employment, including self-employment, upon leaving</w:t>
            </w:r>
          </w:p>
        </w:tc>
        <w:tc>
          <w:tcPr>
            <w:tcW w:w="707" w:type="dxa"/>
          </w:tcPr>
          <w:p w14:paraId="4D49536B" w14:textId="77777777" w:rsidR="00DD13BF" w:rsidRPr="00C4473B" w:rsidRDefault="00DD13BF" w:rsidP="00355A56">
            <w:pPr>
              <w:pStyle w:val="TableParagraph"/>
              <w:rPr>
                <w:sz w:val="20"/>
              </w:rPr>
            </w:pPr>
            <w:r>
              <w:rPr>
                <w:color w:val="000000"/>
                <w:sz w:val="20"/>
              </w:rPr>
              <w:t>Persons</w:t>
            </w:r>
          </w:p>
        </w:tc>
        <w:tc>
          <w:tcPr>
            <w:tcW w:w="1133" w:type="dxa"/>
          </w:tcPr>
          <w:p w14:paraId="11120EA9" w14:textId="77777777" w:rsidR="00DD13BF" w:rsidRPr="00C76857" w:rsidRDefault="00DD13BF" w:rsidP="00355A56">
            <w:pPr>
              <w:pStyle w:val="TableParagraph"/>
              <w:rPr>
                <w:sz w:val="20"/>
              </w:rPr>
            </w:pPr>
            <w:r>
              <w:rPr>
                <w:sz w:val="20"/>
              </w:rPr>
              <w:t>8,869</w:t>
            </w:r>
          </w:p>
        </w:tc>
        <w:tc>
          <w:tcPr>
            <w:tcW w:w="992" w:type="dxa"/>
          </w:tcPr>
          <w:p w14:paraId="7CC91440" w14:textId="77777777" w:rsidR="00DD13BF" w:rsidRPr="00C76857" w:rsidRDefault="00DD13BF" w:rsidP="00355A56">
            <w:pPr>
              <w:pStyle w:val="TableParagraph"/>
              <w:rPr>
                <w:sz w:val="20"/>
              </w:rPr>
            </w:pPr>
            <w:r>
              <w:rPr>
                <w:sz w:val="20"/>
              </w:rPr>
              <w:t>2020</w:t>
            </w:r>
          </w:p>
        </w:tc>
        <w:tc>
          <w:tcPr>
            <w:tcW w:w="849" w:type="dxa"/>
          </w:tcPr>
          <w:p w14:paraId="491AD78E" w14:textId="77777777" w:rsidR="00DD13BF" w:rsidRPr="00C76857" w:rsidRDefault="00DD13BF" w:rsidP="00355A56">
            <w:pPr>
              <w:pStyle w:val="TableParagraph"/>
              <w:rPr>
                <w:sz w:val="20"/>
              </w:rPr>
            </w:pPr>
            <w:r>
              <w:rPr>
                <w:sz w:val="20"/>
              </w:rPr>
              <w:t>9,222</w:t>
            </w:r>
          </w:p>
        </w:tc>
        <w:tc>
          <w:tcPr>
            <w:tcW w:w="850" w:type="dxa"/>
          </w:tcPr>
          <w:p w14:paraId="25CC499D" w14:textId="77777777" w:rsidR="00DD13BF" w:rsidRPr="00C76857" w:rsidRDefault="00DD13BF" w:rsidP="00355A56">
            <w:pPr>
              <w:pStyle w:val="TableParagraph"/>
              <w:rPr>
                <w:sz w:val="20"/>
              </w:rPr>
            </w:pPr>
            <w:r>
              <w:rPr>
                <w:sz w:val="20"/>
              </w:rPr>
              <w:t>MDDSZ</w:t>
            </w:r>
          </w:p>
        </w:tc>
        <w:tc>
          <w:tcPr>
            <w:tcW w:w="709" w:type="dxa"/>
          </w:tcPr>
          <w:p w14:paraId="2930DC83" w14:textId="77777777" w:rsidR="00DD13BF" w:rsidRPr="00347461" w:rsidRDefault="00DD13BF" w:rsidP="00355A56">
            <w:pPr>
              <w:pStyle w:val="TableParagraph"/>
              <w:rPr>
                <w:sz w:val="20"/>
              </w:rPr>
            </w:pPr>
          </w:p>
        </w:tc>
      </w:tr>
      <w:tr w:rsidR="00DD13BF" w14:paraId="5A83A3D8" w14:textId="77777777" w:rsidTr="00355A56">
        <w:trPr>
          <w:trHeight w:val="353"/>
        </w:trPr>
        <w:tc>
          <w:tcPr>
            <w:tcW w:w="992" w:type="dxa"/>
          </w:tcPr>
          <w:p w14:paraId="50ADB56A" w14:textId="77777777" w:rsidR="00DD13BF" w:rsidRPr="00347461" w:rsidRDefault="00DD13BF" w:rsidP="00355A56">
            <w:pPr>
              <w:pStyle w:val="TableParagraph"/>
              <w:rPr>
                <w:sz w:val="20"/>
              </w:rPr>
            </w:pPr>
            <w:r>
              <w:rPr>
                <w:sz w:val="20"/>
              </w:rPr>
              <w:t>6</w:t>
            </w:r>
          </w:p>
        </w:tc>
        <w:tc>
          <w:tcPr>
            <w:tcW w:w="992" w:type="dxa"/>
          </w:tcPr>
          <w:p w14:paraId="33158FA1" w14:textId="77777777" w:rsidR="00DD13BF" w:rsidRPr="00347461" w:rsidRDefault="00DD13BF" w:rsidP="00355A56">
            <w:pPr>
              <w:pStyle w:val="TableParagraph"/>
              <w:rPr>
                <w:sz w:val="20"/>
              </w:rPr>
            </w:pPr>
            <w:r>
              <w:rPr>
                <w:color w:val="000000"/>
                <w:sz w:val="20"/>
              </w:rPr>
              <w:t>ESO4.1</w:t>
            </w:r>
          </w:p>
        </w:tc>
        <w:tc>
          <w:tcPr>
            <w:tcW w:w="695" w:type="dxa"/>
          </w:tcPr>
          <w:p w14:paraId="5D33F172" w14:textId="77777777" w:rsidR="00DD13BF" w:rsidRPr="00347461" w:rsidRDefault="00DD13BF" w:rsidP="00355A56">
            <w:pPr>
              <w:pStyle w:val="TableParagraph"/>
              <w:rPr>
                <w:sz w:val="20"/>
              </w:rPr>
            </w:pPr>
            <w:r>
              <w:rPr>
                <w:sz w:val="20"/>
              </w:rPr>
              <w:t>ESF+</w:t>
            </w:r>
          </w:p>
        </w:tc>
        <w:tc>
          <w:tcPr>
            <w:tcW w:w="1570" w:type="dxa"/>
          </w:tcPr>
          <w:p w14:paraId="2CC29A13" w14:textId="77777777" w:rsidR="00DD13BF" w:rsidRPr="00526576" w:rsidRDefault="00DD13BF" w:rsidP="00355A56">
            <w:pPr>
              <w:pStyle w:val="TableParagraph"/>
              <w:rPr>
                <w:sz w:val="20"/>
              </w:rPr>
            </w:pPr>
            <w:r>
              <w:rPr>
                <w:sz w:val="20"/>
              </w:rPr>
              <w:t>More developed</w:t>
            </w:r>
          </w:p>
        </w:tc>
        <w:tc>
          <w:tcPr>
            <w:tcW w:w="849" w:type="dxa"/>
          </w:tcPr>
          <w:p w14:paraId="409DA7D0" w14:textId="77777777" w:rsidR="00DD13BF" w:rsidRPr="00C4473B" w:rsidRDefault="00DD13BF" w:rsidP="00355A56">
            <w:pPr>
              <w:pStyle w:val="TableParagraph"/>
              <w:rPr>
                <w:sz w:val="20"/>
              </w:rPr>
            </w:pPr>
            <w:r>
              <w:rPr>
                <w:sz w:val="20"/>
              </w:rPr>
              <w:t>EECR04</w:t>
            </w:r>
          </w:p>
        </w:tc>
        <w:tc>
          <w:tcPr>
            <w:tcW w:w="3407" w:type="dxa"/>
          </w:tcPr>
          <w:p w14:paraId="7B3BB964" w14:textId="77777777" w:rsidR="00DD13BF" w:rsidRPr="00C4473B" w:rsidRDefault="00DD13BF" w:rsidP="00355A56">
            <w:pPr>
              <w:pStyle w:val="TableParagraph"/>
              <w:rPr>
                <w:sz w:val="20"/>
              </w:rPr>
            </w:pPr>
            <w:r>
              <w:rPr>
                <w:sz w:val="20"/>
              </w:rPr>
              <w:t>Participants in employment, including self-employment, upon leaving</w:t>
            </w:r>
          </w:p>
        </w:tc>
        <w:tc>
          <w:tcPr>
            <w:tcW w:w="707" w:type="dxa"/>
          </w:tcPr>
          <w:p w14:paraId="3D442192" w14:textId="77777777" w:rsidR="00DD13BF" w:rsidRPr="00C4473B" w:rsidRDefault="00DD13BF" w:rsidP="00355A56">
            <w:pPr>
              <w:pStyle w:val="TableParagraph"/>
              <w:rPr>
                <w:sz w:val="20"/>
              </w:rPr>
            </w:pPr>
            <w:r>
              <w:rPr>
                <w:color w:val="000000"/>
                <w:sz w:val="20"/>
              </w:rPr>
              <w:t>Persons</w:t>
            </w:r>
          </w:p>
        </w:tc>
        <w:tc>
          <w:tcPr>
            <w:tcW w:w="1133" w:type="dxa"/>
          </w:tcPr>
          <w:p w14:paraId="79C8BBC5" w14:textId="77777777" w:rsidR="00DD13BF" w:rsidRPr="00C76857" w:rsidRDefault="00DD13BF" w:rsidP="00355A56">
            <w:pPr>
              <w:pStyle w:val="TableParagraph"/>
              <w:rPr>
                <w:sz w:val="20"/>
              </w:rPr>
            </w:pPr>
            <w:r>
              <w:rPr>
                <w:sz w:val="20"/>
              </w:rPr>
              <w:t>6,955</w:t>
            </w:r>
          </w:p>
        </w:tc>
        <w:tc>
          <w:tcPr>
            <w:tcW w:w="992" w:type="dxa"/>
          </w:tcPr>
          <w:p w14:paraId="24D87DB0" w14:textId="77777777" w:rsidR="00DD13BF" w:rsidRPr="00C76857" w:rsidRDefault="00DD13BF" w:rsidP="00355A56">
            <w:pPr>
              <w:pStyle w:val="TableParagraph"/>
              <w:rPr>
                <w:sz w:val="20"/>
              </w:rPr>
            </w:pPr>
            <w:r>
              <w:rPr>
                <w:sz w:val="20"/>
              </w:rPr>
              <w:t>2020</w:t>
            </w:r>
          </w:p>
        </w:tc>
        <w:tc>
          <w:tcPr>
            <w:tcW w:w="849" w:type="dxa"/>
          </w:tcPr>
          <w:p w14:paraId="205A8C00" w14:textId="77777777" w:rsidR="00DD13BF" w:rsidRPr="00C76857" w:rsidRDefault="00DD13BF" w:rsidP="00355A56">
            <w:pPr>
              <w:pStyle w:val="TableParagraph"/>
              <w:rPr>
                <w:sz w:val="20"/>
              </w:rPr>
            </w:pPr>
            <w:r>
              <w:rPr>
                <w:sz w:val="20"/>
              </w:rPr>
              <w:t>2,317</w:t>
            </w:r>
          </w:p>
        </w:tc>
        <w:tc>
          <w:tcPr>
            <w:tcW w:w="850" w:type="dxa"/>
          </w:tcPr>
          <w:p w14:paraId="4CB9A548" w14:textId="77777777" w:rsidR="00DD13BF" w:rsidRPr="00C76857" w:rsidRDefault="00DD13BF" w:rsidP="00355A56">
            <w:pPr>
              <w:pStyle w:val="TableParagraph"/>
              <w:rPr>
                <w:sz w:val="20"/>
              </w:rPr>
            </w:pPr>
            <w:r>
              <w:rPr>
                <w:sz w:val="20"/>
              </w:rPr>
              <w:t>MDDSZ</w:t>
            </w:r>
          </w:p>
        </w:tc>
        <w:tc>
          <w:tcPr>
            <w:tcW w:w="709" w:type="dxa"/>
          </w:tcPr>
          <w:p w14:paraId="0906875D" w14:textId="77777777" w:rsidR="00DD13BF" w:rsidRPr="00347461" w:rsidRDefault="00DD13BF" w:rsidP="00355A56">
            <w:pPr>
              <w:pStyle w:val="TableParagraph"/>
              <w:rPr>
                <w:sz w:val="20"/>
              </w:rPr>
            </w:pPr>
          </w:p>
        </w:tc>
      </w:tr>
    </w:tbl>
    <w:p w14:paraId="073183FE" w14:textId="77777777" w:rsidR="00DD13BF" w:rsidRPr="00F81084" w:rsidRDefault="00DD13BF" w:rsidP="00DD13BF">
      <w:pPr>
        <w:pStyle w:val="Telobesedila"/>
      </w:pPr>
    </w:p>
    <w:p w14:paraId="11A157AE" w14:textId="77777777" w:rsidR="00DD13BF" w:rsidRPr="00F81084" w:rsidRDefault="00DD13BF" w:rsidP="00DD13BF">
      <w:pPr>
        <w:pStyle w:val="Telobesedila"/>
      </w:pPr>
    </w:p>
    <w:p w14:paraId="75AD6EB9" w14:textId="77777777" w:rsidR="00DD13BF" w:rsidRPr="00606FAD" w:rsidRDefault="00DD13BF" w:rsidP="00DD13BF">
      <w:pPr>
        <w:pStyle w:val="Naslov5"/>
        <w:numPr>
          <w:ilvl w:val="4"/>
          <w:numId w:val="16"/>
        </w:numPr>
        <w:spacing w:before="0"/>
      </w:pPr>
      <w:r>
        <w:t>Indicative breakdown of the programme resources (EU) by type of intervention</w:t>
      </w:r>
    </w:p>
    <w:p w14:paraId="197D981C" w14:textId="77777777" w:rsidR="00DD13BF" w:rsidRPr="00606FAD" w:rsidRDefault="00DD13BF" w:rsidP="00DD13BF">
      <w:pPr>
        <w:ind w:left="640"/>
        <w:rPr>
          <w:spacing w:val="-5"/>
        </w:rPr>
      </w:pPr>
    </w:p>
    <w:p w14:paraId="0241290A" w14:textId="77777777" w:rsidR="00DD13BF" w:rsidRPr="00606FAD" w:rsidRDefault="00DD13BF" w:rsidP="00DD13BF">
      <w:pPr>
        <w:ind w:left="339"/>
        <w:rPr>
          <w:spacing w:val="-7"/>
        </w:rPr>
      </w:pPr>
      <w:r>
        <w:t>Table 4: Dimension 1 – intervention field</w:t>
      </w:r>
    </w:p>
    <w:p w14:paraId="18D02752" w14:textId="77777777" w:rsidR="00DD13BF" w:rsidRPr="00606FAD"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031BC7C8" w14:textId="77777777" w:rsidTr="00355A56">
        <w:trPr>
          <w:trHeight w:val="283"/>
        </w:trPr>
        <w:tc>
          <w:tcPr>
            <w:tcW w:w="2088" w:type="dxa"/>
          </w:tcPr>
          <w:p w14:paraId="04814199" w14:textId="77777777" w:rsidR="00DD13BF" w:rsidRPr="00606FAD" w:rsidRDefault="00DD13BF" w:rsidP="00355A56">
            <w:pPr>
              <w:pStyle w:val="TableParagraph"/>
              <w:ind w:left="115"/>
            </w:pPr>
            <w:r>
              <w:t>Priority no.</w:t>
            </w:r>
          </w:p>
        </w:tc>
        <w:tc>
          <w:tcPr>
            <w:tcW w:w="1133" w:type="dxa"/>
          </w:tcPr>
          <w:p w14:paraId="6DBE35AA" w14:textId="77777777" w:rsidR="00DD13BF" w:rsidRPr="00606FAD" w:rsidRDefault="00DD13BF" w:rsidP="00355A56">
            <w:pPr>
              <w:pStyle w:val="TableParagraph"/>
              <w:ind w:left="320"/>
            </w:pPr>
            <w:r>
              <w:t>Fund</w:t>
            </w:r>
          </w:p>
        </w:tc>
        <w:tc>
          <w:tcPr>
            <w:tcW w:w="3249" w:type="dxa"/>
          </w:tcPr>
          <w:p w14:paraId="351DA59B" w14:textId="77777777" w:rsidR="00DD13BF" w:rsidRPr="00606FAD" w:rsidRDefault="00DD13BF" w:rsidP="00355A56">
            <w:pPr>
              <w:pStyle w:val="TableParagraph"/>
              <w:ind w:left="907"/>
            </w:pPr>
            <w:r>
              <w:t>Category of region</w:t>
            </w:r>
          </w:p>
        </w:tc>
        <w:tc>
          <w:tcPr>
            <w:tcW w:w="3099" w:type="dxa"/>
          </w:tcPr>
          <w:p w14:paraId="4D67060C" w14:textId="77777777" w:rsidR="00DD13BF" w:rsidRPr="00606FAD" w:rsidRDefault="00DD13BF" w:rsidP="00355A56">
            <w:pPr>
              <w:pStyle w:val="TableParagraph"/>
              <w:ind w:left="948"/>
            </w:pPr>
            <w:r>
              <w:t>Specific objective</w:t>
            </w:r>
          </w:p>
        </w:tc>
        <w:tc>
          <w:tcPr>
            <w:tcW w:w="1161" w:type="dxa"/>
          </w:tcPr>
          <w:p w14:paraId="045FD2EE" w14:textId="77777777" w:rsidR="00DD13BF" w:rsidRPr="00606FAD" w:rsidRDefault="00DD13BF" w:rsidP="00355A56">
            <w:pPr>
              <w:pStyle w:val="TableParagraph"/>
              <w:ind w:left="333"/>
            </w:pPr>
            <w:r>
              <w:t>Code</w:t>
            </w:r>
          </w:p>
        </w:tc>
        <w:tc>
          <w:tcPr>
            <w:tcW w:w="2731" w:type="dxa"/>
          </w:tcPr>
          <w:p w14:paraId="6B2B9C65" w14:textId="77777777" w:rsidR="00DD13BF" w:rsidRPr="00606FAD" w:rsidRDefault="00DD13BF" w:rsidP="00355A56">
            <w:pPr>
              <w:pStyle w:val="TableParagraph"/>
              <w:ind w:left="660"/>
            </w:pPr>
            <w:r>
              <w:t>Amount (in EUR)</w:t>
            </w:r>
          </w:p>
        </w:tc>
      </w:tr>
      <w:tr w:rsidR="00DD13BF" w14:paraId="67A1EBC7" w14:textId="77777777" w:rsidTr="00355A56">
        <w:trPr>
          <w:trHeight w:val="353"/>
        </w:trPr>
        <w:tc>
          <w:tcPr>
            <w:tcW w:w="2088" w:type="dxa"/>
          </w:tcPr>
          <w:p w14:paraId="5BCBE526" w14:textId="77777777" w:rsidR="00DD13BF" w:rsidRDefault="00DD13BF" w:rsidP="00355A56">
            <w:pPr>
              <w:pStyle w:val="TableParagraph"/>
              <w:rPr>
                <w:sz w:val="20"/>
              </w:rPr>
            </w:pPr>
            <w:r>
              <w:rPr>
                <w:sz w:val="20"/>
              </w:rPr>
              <w:t>6</w:t>
            </w:r>
          </w:p>
        </w:tc>
        <w:tc>
          <w:tcPr>
            <w:tcW w:w="1133" w:type="dxa"/>
          </w:tcPr>
          <w:p w14:paraId="3822C411" w14:textId="77777777" w:rsidR="00DD13BF" w:rsidRDefault="00DD13BF" w:rsidP="00355A56">
            <w:pPr>
              <w:pStyle w:val="TableParagraph"/>
              <w:rPr>
                <w:sz w:val="20"/>
              </w:rPr>
            </w:pPr>
            <w:r>
              <w:rPr>
                <w:sz w:val="20"/>
              </w:rPr>
              <w:t>ESF+</w:t>
            </w:r>
          </w:p>
        </w:tc>
        <w:tc>
          <w:tcPr>
            <w:tcW w:w="3249" w:type="dxa"/>
          </w:tcPr>
          <w:p w14:paraId="28C881D1" w14:textId="77777777" w:rsidR="00DD13BF" w:rsidRDefault="00DD13BF" w:rsidP="00355A56">
            <w:pPr>
              <w:pStyle w:val="TableParagraph"/>
              <w:rPr>
                <w:sz w:val="20"/>
              </w:rPr>
            </w:pPr>
            <w:r>
              <w:rPr>
                <w:sz w:val="20"/>
              </w:rPr>
              <w:t>Less developed</w:t>
            </w:r>
          </w:p>
        </w:tc>
        <w:tc>
          <w:tcPr>
            <w:tcW w:w="3099" w:type="dxa"/>
          </w:tcPr>
          <w:p w14:paraId="2F28E6E6" w14:textId="77777777" w:rsidR="00DD13BF" w:rsidRDefault="00DD13BF" w:rsidP="00355A56">
            <w:pPr>
              <w:pStyle w:val="TableParagraph"/>
              <w:rPr>
                <w:sz w:val="20"/>
              </w:rPr>
            </w:pPr>
            <w:r>
              <w:rPr>
                <w:color w:val="000000"/>
                <w:sz w:val="20"/>
              </w:rPr>
              <w:t>ESO4.1</w:t>
            </w:r>
          </w:p>
        </w:tc>
        <w:tc>
          <w:tcPr>
            <w:tcW w:w="1161" w:type="dxa"/>
          </w:tcPr>
          <w:p w14:paraId="4F2ED354" w14:textId="77777777" w:rsidR="00DD13BF" w:rsidRDefault="00DD13BF" w:rsidP="00355A56">
            <w:pPr>
              <w:pStyle w:val="TableParagraph"/>
              <w:rPr>
                <w:sz w:val="20"/>
              </w:rPr>
            </w:pPr>
            <w:r>
              <w:rPr>
                <w:sz w:val="20"/>
              </w:rPr>
              <w:t>134</w:t>
            </w:r>
          </w:p>
        </w:tc>
        <w:tc>
          <w:tcPr>
            <w:tcW w:w="2731" w:type="dxa"/>
          </w:tcPr>
          <w:p w14:paraId="526E2C2F" w14:textId="77777777" w:rsidR="00DD13BF" w:rsidRPr="00606FAD" w:rsidRDefault="00DD13BF" w:rsidP="00355A56">
            <w:pPr>
              <w:pStyle w:val="TableParagraph"/>
              <w:rPr>
                <w:sz w:val="20"/>
              </w:rPr>
            </w:pPr>
            <w:r>
              <w:rPr>
                <w:sz w:val="20"/>
              </w:rPr>
              <w:t>112,315,721</w:t>
            </w:r>
          </w:p>
        </w:tc>
      </w:tr>
      <w:tr w:rsidR="00DD13BF" w14:paraId="4180C89A" w14:textId="77777777" w:rsidTr="00355A56">
        <w:trPr>
          <w:trHeight w:val="353"/>
        </w:trPr>
        <w:tc>
          <w:tcPr>
            <w:tcW w:w="2088" w:type="dxa"/>
          </w:tcPr>
          <w:p w14:paraId="49DF0FED" w14:textId="77777777" w:rsidR="00DD13BF" w:rsidRDefault="00DD13BF" w:rsidP="00355A56">
            <w:pPr>
              <w:pStyle w:val="TableParagraph"/>
              <w:rPr>
                <w:sz w:val="20"/>
              </w:rPr>
            </w:pPr>
            <w:r>
              <w:rPr>
                <w:sz w:val="20"/>
              </w:rPr>
              <w:t>6</w:t>
            </w:r>
          </w:p>
        </w:tc>
        <w:tc>
          <w:tcPr>
            <w:tcW w:w="1133" w:type="dxa"/>
          </w:tcPr>
          <w:p w14:paraId="0D72E0C0" w14:textId="77777777" w:rsidR="00DD13BF" w:rsidRDefault="00DD13BF" w:rsidP="00355A56">
            <w:pPr>
              <w:pStyle w:val="TableParagraph"/>
              <w:rPr>
                <w:sz w:val="20"/>
              </w:rPr>
            </w:pPr>
            <w:r>
              <w:rPr>
                <w:sz w:val="20"/>
              </w:rPr>
              <w:t>ESF+</w:t>
            </w:r>
          </w:p>
        </w:tc>
        <w:tc>
          <w:tcPr>
            <w:tcW w:w="3249" w:type="dxa"/>
          </w:tcPr>
          <w:p w14:paraId="0B24DD93" w14:textId="77777777" w:rsidR="00DD13BF" w:rsidDel="00C01DD5" w:rsidRDefault="00DD13BF" w:rsidP="00355A56">
            <w:pPr>
              <w:pStyle w:val="TableParagraph"/>
              <w:rPr>
                <w:sz w:val="20"/>
              </w:rPr>
            </w:pPr>
            <w:r>
              <w:rPr>
                <w:sz w:val="20"/>
              </w:rPr>
              <w:t>More developed</w:t>
            </w:r>
          </w:p>
        </w:tc>
        <w:tc>
          <w:tcPr>
            <w:tcW w:w="3099" w:type="dxa"/>
          </w:tcPr>
          <w:p w14:paraId="2055103E" w14:textId="77777777" w:rsidR="00DD13BF" w:rsidRDefault="00DD13BF" w:rsidP="00355A56">
            <w:pPr>
              <w:pStyle w:val="TableParagraph"/>
              <w:rPr>
                <w:sz w:val="20"/>
              </w:rPr>
            </w:pPr>
            <w:r>
              <w:rPr>
                <w:color w:val="000000"/>
                <w:sz w:val="20"/>
              </w:rPr>
              <w:t>ESO4.1</w:t>
            </w:r>
          </w:p>
        </w:tc>
        <w:tc>
          <w:tcPr>
            <w:tcW w:w="1161" w:type="dxa"/>
          </w:tcPr>
          <w:p w14:paraId="7A5CEB11" w14:textId="77777777" w:rsidR="00DD13BF" w:rsidRDefault="00DD13BF" w:rsidP="00355A56">
            <w:pPr>
              <w:pStyle w:val="TableParagraph"/>
              <w:rPr>
                <w:sz w:val="20"/>
              </w:rPr>
            </w:pPr>
            <w:r>
              <w:rPr>
                <w:sz w:val="20"/>
              </w:rPr>
              <w:t>134</w:t>
            </w:r>
          </w:p>
        </w:tc>
        <w:tc>
          <w:tcPr>
            <w:tcW w:w="2731" w:type="dxa"/>
          </w:tcPr>
          <w:p w14:paraId="59B2F57E" w14:textId="77777777" w:rsidR="00DD13BF" w:rsidRPr="00606FAD" w:rsidRDefault="00DD13BF" w:rsidP="00355A56">
            <w:pPr>
              <w:pStyle w:val="TableParagraph"/>
              <w:rPr>
                <w:sz w:val="20"/>
              </w:rPr>
            </w:pPr>
            <w:r>
              <w:rPr>
                <w:sz w:val="20"/>
              </w:rPr>
              <w:t>14,865,783</w:t>
            </w:r>
          </w:p>
        </w:tc>
      </w:tr>
      <w:tr w:rsidR="00DD13BF" w14:paraId="51002CFB" w14:textId="77777777" w:rsidTr="00355A56">
        <w:trPr>
          <w:trHeight w:val="353"/>
        </w:trPr>
        <w:tc>
          <w:tcPr>
            <w:tcW w:w="2088" w:type="dxa"/>
          </w:tcPr>
          <w:p w14:paraId="049C9005" w14:textId="77777777" w:rsidR="00DD13BF" w:rsidRDefault="00DD13BF" w:rsidP="00355A56">
            <w:pPr>
              <w:pStyle w:val="TableParagraph"/>
              <w:rPr>
                <w:sz w:val="20"/>
              </w:rPr>
            </w:pPr>
            <w:r>
              <w:rPr>
                <w:sz w:val="20"/>
              </w:rPr>
              <w:t>6</w:t>
            </w:r>
          </w:p>
        </w:tc>
        <w:tc>
          <w:tcPr>
            <w:tcW w:w="1133" w:type="dxa"/>
          </w:tcPr>
          <w:p w14:paraId="054DBBA7" w14:textId="77777777" w:rsidR="00DD13BF" w:rsidRDefault="00DD13BF" w:rsidP="00355A56">
            <w:pPr>
              <w:pStyle w:val="TableParagraph"/>
              <w:rPr>
                <w:sz w:val="20"/>
              </w:rPr>
            </w:pPr>
            <w:r>
              <w:rPr>
                <w:sz w:val="20"/>
              </w:rPr>
              <w:t>ESF+</w:t>
            </w:r>
          </w:p>
        </w:tc>
        <w:tc>
          <w:tcPr>
            <w:tcW w:w="3249" w:type="dxa"/>
          </w:tcPr>
          <w:p w14:paraId="1224B31D" w14:textId="77777777" w:rsidR="00DD13BF" w:rsidDel="00C01DD5" w:rsidRDefault="00DD13BF" w:rsidP="00355A56">
            <w:pPr>
              <w:pStyle w:val="TableParagraph"/>
              <w:rPr>
                <w:sz w:val="20"/>
              </w:rPr>
            </w:pPr>
            <w:r>
              <w:rPr>
                <w:sz w:val="20"/>
              </w:rPr>
              <w:t>Less developed</w:t>
            </w:r>
          </w:p>
        </w:tc>
        <w:tc>
          <w:tcPr>
            <w:tcW w:w="3099" w:type="dxa"/>
          </w:tcPr>
          <w:p w14:paraId="24F810EA" w14:textId="77777777" w:rsidR="00DD13BF" w:rsidRDefault="00DD13BF" w:rsidP="00355A56">
            <w:pPr>
              <w:pStyle w:val="TableParagraph"/>
              <w:rPr>
                <w:sz w:val="20"/>
              </w:rPr>
            </w:pPr>
            <w:r>
              <w:rPr>
                <w:color w:val="000000"/>
                <w:sz w:val="20"/>
              </w:rPr>
              <w:t>ESO4.1</w:t>
            </w:r>
          </w:p>
        </w:tc>
        <w:tc>
          <w:tcPr>
            <w:tcW w:w="1161" w:type="dxa"/>
          </w:tcPr>
          <w:p w14:paraId="5BADAF62" w14:textId="77777777" w:rsidR="00DD13BF" w:rsidRDefault="00DD13BF" w:rsidP="00355A56">
            <w:pPr>
              <w:pStyle w:val="TableParagraph"/>
              <w:rPr>
                <w:sz w:val="20"/>
              </w:rPr>
            </w:pPr>
            <w:r>
              <w:rPr>
                <w:sz w:val="20"/>
              </w:rPr>
              <w:t>136</w:t>
            </w:r>
          </w:p>
        </w:tc>
        <w:tc>
          <w:tcPr>
            <w:tcW w:w="2731" w:type="dxa"/>
          </w:tcPr>
          <w:p w14:paraId="312E1C4B" w14:textId="77777777" w:rsidR="00DD13BF" w:rsidRPr="00606FAD" w:rsidRDefault="00DD13BF" w:rsidP="00355A56">
            <w:pPr>
              <w:pStyle w:val="TableParagraph"/>
              <w:rPr>
                <w:sz w:val="20"/>
              </w:rPr>
            </w:pPr>
            <w:r>
              <w:rPr>
                <w:sz w:val="20"/>
              </w:rPr>
              <w:t>7,604,000</w:t>
            </w:r>
          </w:p>
        </w:tc>
      </w:tr>
      <w:tr w:rsidR="00DD13BF" w14:paraId="259933E6" w14:textId="77777777" w:rsidTr="00355A56">
        <w:trPr>
          <w:trHeight w:val="353"/>
        </w:trPr>
        <w:tc>
          <w:tcPr>
            <w:tcW w:w="2088" w:type="dxa"/>
          </w:tcPr>
          <w:p w14:paraId="0ECA7AD2" w14:textId="77777777" w:rsidR="00DD13BF" w:rsidRDefault="00DD13BF" w:rsidP="00355A56">
            <w:pPr>
              <w:pStyle w:val="TableParagraph"/>
              <w:rPr>
                <w:sz w:val="20"/>
              </w:rPr>
            </w:pPr>
            <w:r>
              <w:rPr>
                <w:sz w:val="20"/>
              </w:rPr>
              <w:t>6</w:t>
            </w:r>
          </w:p>
        </w:tc>
        <w:tc>
          <w:tcPr>
            <w:tcW w:w="1133" w:type="dxa"/>
          </w:tcPr>
          <w:p w14:paraId="08D67168" w14:textId="77777777" w:rsidR="00DD13BF" w:rsidRDefault="00DD13BF" w:rsidP="00355A56">
            <w:pPr>
              <w:pStyle w:val="TableParagraph"/>
              <w:rPr>
                <w:sz w:val="20"/>
              </w:rPr>
            </w:pPr>
            <w:r>
              <w:rPr>
                <w:sz w:val="20"/>
              </w:rPr>
              <w:t>ESF+</w:t>
            </w:r>
          </w:p>
        </w:tc>
        <w:tc>
          <w:tcPr>
            <w:tcW w:w="3249" w:type="dxa"/>
          </w:tcPr>
          <w:p w14:paraId="25C94F37" w14:textId="77777777" w:rsidR="00DD13BF" w:rsidDel="00C01DD5" w:rsidRDefault="00DD13BF" w:rsidP="00355A56">
            <w:pPr>
              <w:pStyle w:val="TableParagraph"/>
              <w:rPr>
                <w:sz w:val="20"/>
              </w:rPr>
            </w:pPr>
            <w:r>
              <w:rPr>
                <w:sz w:val="20"/>
              </w:rPr>
              <w:t>More developed</w:t>
            </w:r>
          </w:p>
        </w:tc>
        <w:tc>
          <w:tcPr>
            <w:tcW w:w="3099" w:type="dxa"/>
          </w:tcPr>
          <w:p w14:paraId="36F0BFCE" w14:textId="77777777" w:rsidR="00DD13BF" w:rsidRDefault="00DD13BF" w:rsidP="00355A56">
            <w:pPr>
              <w:pStyle w:val="TableParagraph"/>
              <w:rPr>
                <w:sz w:val="20"/>
              </w:rPr>
            </w:pPr>
            <w:r>
              <w:rPr>
                <w:color w:val="000000"/>
                <w:sz w:val="20"/>
              </w:rPr>
              <w:t>ESO4.1</w:t>
            </w:r>
          </w:p>
        </w:tc>
        <w:tc>
          <w:tcPr>
            <w:tcW w:w="1161" w:type="dxa"/>
          </w:tcPr>
          <w:p w14:paraId="4CFB1EF9" w14:textId="77777777" w:rsidR="00DD13BF" w:rsidRDefault="00DD13BF" w:rsidP="00355A56">
            <w:pPr>
              <w:pStyle w:val="TableParagraph"/>
              <w:rPr>
                <w:sz w:val="20"/>
              </w:rPr>
            </w:pPr>
            <w:r>
              <w:rPr>
                <w:sz w:val="20"/>
              </w:rPr>
              <w:t>136</w:t>
            </w:r>
          </w:p>
        </w:tc>
        <w:tc>
          <w:tcPr>
            <w:tcW w:w="2731" w:type="dxa"/>
          </w:tcPr>
          <w:p w14:paraId="58E007D4" w14:textId="77777777" w:rsidR="00DD13BF" w:rsidRPr="00606FAD" w:rsidRDefault="00DD13BF" w:rsidP="00355A56">
            <w:pPr>
              <w:pStyle w:val="TableParagraph"/>
              <w:rPr>
                <w:sz w:val="20"/>
              </w:rPr>
            </w:pPr>
            <w:r>
              <w:rPr>
                <w:sz w:val="20"/>
              </w:rPr>
              <w:t>2,324,000</w:t>
            </w:r>
          </w:p>
        </w:tc>
      </w:tr>
      <w:tr w:rsidR="00DD13BF" w14:paraId="6F850122" w14:textId="77777777" w:rsidTr="00355A56">
        <w:trPr>
          <w:trHeight w:val="353"/>
        </w:trPr>
        <w:tc>
          <w:tcPr>
            <w:tcW w:w="2088" w:type="dxa"/>
          </w:tcPr>
          <w:p w14:paraId="0168B6E8" w14:textId="77777777" w:rsidR="00DD13BF" w:rsidRDefault="00DD13BF" w:rsidP="00355A56">
            <w:pPr>
              <w:pStyle w:val="TableParagraph"/>
              <w:rPr>
                <w:sz w:val="20"/>
              </w:rPr>
            </w:pPr>
            <w:r>
              <w:rPr>
                <w:sz w:val="20"/>
              </w:rPr>
              <w:lastRenderedPageBreak/>
              <w:t>6</w:t>
            </w:r>
          </w:p>
        </w:tc>
        <w:tc>
          <w:tcPr>
            <w:tcW w:w="1133" w:type="dxa"/>
          </w:tcPr>
          <w:p w14:paraId="293D862C" w14:textId="77777777" w:rsidR="00DD13BF" w:rsidRDefault="00DD13BF" w:rsidP="00355A56">
            <w:pPr>
              <w:pStyle w:val="TableParagraph"/>
              <w:rPr>
                <w:sz w:val="20"/>
              </w:rPr>
            </w:pPr>
            <w:r>
              <w:rPr>
                <w:sz w:val="20"/>
              </w:rPr>
              <w:t>ESF+</w:t>
            </w:r>
          </w:p>
        </w:tc>
        <w:tc>
          <w:tcPr>
            <w:tcW w:w="3249" w:type="dxa"/>
          </w:tcPr>
          <w:p w14:paraId="3851200D" w14:textId="77777777" w:rsidR="00DD13BF" w:rsidDel="00C01DD5" w:rsidRDefault="00DD13BF" w:rsidP="00355A56">
            <w:pPr>
              <w:pStyle w:val="TableParagraph"/>
              <w:rPr>
                <w:sz w:val="20"/>
              </w:rPr>
            </w:pPr>
            <w:r>
              <w:rPr>
                <w:sz w:val="20"/>
              </w:rPr>
              <w:t>Less developed</w:t>
            </w:r>
          </w:p>
        </w:tc>
        <w:tc>
          <w:tcPr>
            <w:tcW w:w="3099" w:type="dxa"/>
          </w:tcPr>
          <w:p w14:paraId="1B475E71" w14:textId="77777777" w:rsidR="00DD13BF" w:rsidRDefault="00DD13BF" w:rsidP="00355A56">
            <w:pPr>
              <w:pStyle w:val="TableParagraph"/>
              <w:rPr>
                <w:sz w:val="20"/>
              </w:rPr>
            </w:pPr>
            <w:r>
              <w:rPr>
                <w:color w:val="000000"/>
                <w:sz w:val="20"/>
              </w:rPr>
              <w:t>ESO4.1</w:t>
            </w:r>
          </w:p>
        </w:tc>
        <w:tc>
          <w:tcPr>
            <w:tcW w:w="1161" w:type="dxa"/>
          </w:tcPr>
          <w:p w14:paraId="1BFECA67" w14:textId="77777777" w:rsidR="00DD13BF" w:rsidRDefault="00DD13BF" w:rsidP="00355A56">
            <w:pPr>
              <w:pStyle w:val="TableParagraph"/>
              <w:rPr>
                <w:sz w:val="20"/>
              </w:rPr>
            </w:pPr>
            <w:r>
              <w:rPr>
                <w:sz w:val="20"/>
              </w:rPr>
              <w:t>138</w:t>
            </w:r>
          </w:p>
        </w:tc>
        <w:tc>
          <w:tcPr>
            <w:tcW w:w="2731" w:type="dxa"/>
          </w:tcPr>
          <w:p w14:paraId="18A7917C" w14:textId="77777777" w:rsidR="00DD13BF" w:rsidRPr="00606FAD" w:rsidRDefault="00DD13BF" w:rsidP="00355A56">
            <w:pPr>
              <w:pStyle w:val="TableParagraph"/>
              <w:rPr>
                <w:sz w:val="20"/>
              </w:rPr>
            </w:pPr>
            <w:r>
              <w:rPr>
                <w:sz w:val="20"/>
              </w:rPr>
              <w:t>6,170,000</w:t>
            </w:r>
          </w:p>
        </w:tc>
      </w:tr>
      <w:tr w:rsidR="00DD13BF" w14:paraId="7B80A162" w14:textId="77777777" w:rsidTr="00355A56">
        <w:trPr>
          <w:trHeight w:val="353"/>
        </w:trPr>
        <w:tc>
          <w:tcPr>
            <w:tcW w:w="2088" w:type="dxa"/>
          </w:tcPr>
          <w:p w14:paraId="5C89734E" w14:textId="77777777" w:rsidR="00DD13BF" w:rsidRDefault="00DD13BF" w:rsidP="00355A56">
            <w:pPr>
              <w:pStyle w:val="TableParagraph"/>
              <w:rPr>
                <w:sz w:val="20"/>
              </w:rPr>
            </w:pPr>
            <w:r>
              <w:rPr>
                <w:sz w:val="20"/>
              </w:rPr>
              <w:t>6</w:t>
            </w:r>
          </w:p>
        </w:tc>
        <w:tc>
          <w:tcPr>
            <w:tcW w:w="1133" w:type="dxa"/>
          </w:tcPr>
          <w:p w14:paraId="20195E37" w14:textId="77777777" w:rsidR="00DD13BF" w:rsidRDefault="00DD13BF" w:rsidP="00355A56">
            <w:pPr>
              <w:pStyle w:val="TableParagraph"/>
              <w:rPr>
                <w:sz w:val="20"/>
              </w:rPr>
            </w:pPr>
            <w:r>
              <w:rPr>
                <w:sz w:val="20"/>
              </w:rPr>
              <w:t>ESF+</w:t>
            </w:r>
          </w:p>
        </w:tc>
        <w:tc>
          <w:tcPr>
            <w:tcW w:w="3249" w:type="dxa"/>
          </w:tcPr>
          <w:p w14:paraId="08402685" w14:textId="77777777" w:rsidR="00DD13BF" w:rsidRDefault="00DD13BF" w:rsidP="00355A56">
            <w:pPr>
              <w:pStyle w:val="TableParagraph"/>
              <w:rPr>
                <w:sz w:val="20"/>
              </w:rPr>
            </w:pPr>
            <w:r>
              <w:rPr>
                <w:sz w:val="20"/>
              </w:rPr>
              <w:t>More developed</w:t>
            </w:r>
          </w:p>
        </w:tc>
        <w:tc>
          <w:tcPr>
            <w:tcW w:w="3099" w:type="dxa"/>
          </w:tcPr>
          <w:p w14:paraId="20127B2F" w14:textId="77777777" w:rsidR="00DD13BF" w:rsidRDefault="00DD13BF" w:rsidP="00355A56">
            <w:pPr>
              <w:pStyle w:val="TableParagraph"/>
              <w:rPr>
                <w:sz w:val="20"/>
              </w:rPr>
            </w:pPr>
            <w:r>
              <w:rPr>
                <w:color w:val="000000"/>
                <w:sz w:val="20"/>
              </w:rPr>
              <w:t>ESO4.1</w:t>
            </w:r>
          </w:p>
        </w:tc>
        <w:tc>
          <w:tcPr>
            <w:tcW w:w="1161" w:type="dxa"/>
          </w:tcPr>
          <w:p w14:paraId="000C7CC4" w14:textId="77777777" w:rsidR="00DD13BF" w:rsidRDefault="00DD13BF" w:rsidP="00355A56">
            <w:pPr>
              <w:pStyle w:val="TableParagraph"/>
              <w:rPr>
                <w:sz w:val="20"/>
              </w:rPr>
            </w:pPr>
            <w:r>
              <w:rPr>
                <w:sz w:val="20"/>
              </w:rPr>
              <w:t>138</w:t>
            </w:r>
          </w:p>
        </w:tc>
        <w:tc>
          <w:tcPr>
            <w:tcW w:w="2731" w:type="dxa"/>
          </w:tcPr>
          <w:p w14:paraId="7A1B11A3" w14:textId="77777777" w:rsidR="00DD13BF" w:rsidRPr="00606FAD" w:rsidRDefault="00DD13BF" w:rsidP="00355A56">
            <w:pPr>
              <w:pStyle w:val="TableParagraph"/>
              <w:rPr>
                <w:sz w:val="20"/>
              </w:rPr>
            </w:pPr>
            <w:r>
              <w:rPr>
                <w:sz w:val="20"/>
              </w:rPr>
              <w:t>690,000</w:t>
            </w:r>
          </w:p>
        </w:tc>
      </w:tr>
    </w:tbl>
    <w:p w14:paraId="10BC2E4E" w14:textId="77777777" w:rsidR="00DD13BF" w:rsidRDefault="00DD13BF" w:rsidP="00DD13BF"/>
    <w:p w14:paraId="1E492A00" w14:textId="77777777" w:rsidR="00DD13BF" w:rsidRPr="00673ADB" w:rsidRDefault="00DD13BF" w:rsidP="00DD13BF">
      <w:pPr>
        <w:ind w:left="339"/>
        <w:rPr>
          <w:spacing w:val="-7"/>
        </w:rPr>
      </w:pPr>
      <w:r>
        <w:t>Table 5: Dimension 2 – form of financing</w:t>
      </w:r>
    </w:p>
    <w:p w14:paraId="77DCF64C"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E875ECA" w14:textId="77777777" w:rsidTr="00355A56">
        <w:trPr>
          <w:trHeight w:val="353"/>
        </w:trPr>
        <w:tc>
          <w:tcPr>
            <w:tcW w:w="2088" w:type="dxa"/>
          </w:tcPr>
          <w:p w14:paraId="72E1B991" w14:textId="77777777" w:rsidR="00DD13BF" w:rsidRDefault="00DD13BF" w:rsidP="00355A56">
            <w:pPr>
              <w:pStyle w:val="TableParagraph"/>
              <w:ind w:left="115"/>
            </w:pPr>
            <w:r>
              <w:t>Priority no.</w:t>
            </w:r>
          </w:p>
        </w:tc>
        <w:tc>
          <w:tcPr>
            <w:tcW w:w="1133" w:type="dxa"/>
          </w:tcPr>
          <w:p w14:paraId="5898E889" w14:textId="77777777" w:rsidR="00DD13BF" w:rsidRDefault="00DD13BF" w:rsidP="00355A56">
            <w:pPr>
              <w:pStyle w:val="TableParagraph"/>
              <w:ind w:left="320"/>
            </w:pPr>
            <w:r>
              <w:t>Fund</w:t>
            </w:r>
          </w:p>
        </w:tc>
        <w:tc>
          <w:tcPr>
            <w:tcW w:w="3249" w:type="dxa"/>
          </w:tcPr>
          <w:p w14:paraId="7D1DA928" w14:textId="77777777" w:rsidR="00DD13BF" w:rsidRDefault="00DD13BF" w:rsidP="00355A56">
            <w:pPr>
              <w:pStyle w:val="TableParagraph"/>
              <w:ind w:left="907"/>
            </w:pPr>
            <w:r>
              <w:t>Category of region</w:t>
            </w:r>
          </w:p>
        </w:tc>
        <w:tc>
          <w:tcPr>
            <w:tcW w:w="3099" w:type="dxa"/>
          </w:tcPr>
          <w:p w14:paraId="75EF581E" w14:textId="77777777" w:rsidR="00DD13BF" w:rsidRDefault="00DD13BF" w:rsidP="00355A56">
            <w:pPr>
              <w:pStyle w:val="TableParagraph"/>
              <w:ind w:left="948"/>
            </w:pPr>
            <w:r>
              <w:t>Specific objective</w:t>
            </w:r>
          </w:p>
        </w:tc>
        <w:tc>
          <w:tcPr>
            <w:tcW w:w="1161" w:type="dxa"/>
          </w:tcPr>
          <w:p w14:paraId="7A146903" w14:textId="77777777" w:rsidR="00DD13BF" w:rsidRDefault="00DD13BF" w:rsidP="00355A56">
            <w:pPr>
              <w:pStyle w:val="TableParagraph"/>
              <w:ind w:left="334"/>
            </w:pPr>
            <w:r>
              <w:t>Code</w:t>
            </w:r>
          </w:p>
        </w:tc>
        <w:tc>
          <w:tcPr>
            <w:tcW w:w="2731" w:type="dxa"/>
          </w:tcPr>
          <w:p w14:paraId="7C0D8A81" w14:textId="77777777" w:rsidR="00DD13BF" w:rsidRDefault="00DD13BF" w:rsidP="00355A56">
            <w:pPr>
              <w:pStyle w:val="TableParagraph"/>
              <w:ind w:left="661"/>
            </w:pPr>
            <w:r>
              <w:t>Amount (in EUR)</w:t>
            </w:r>
          </w:p>
        </w:tc>
      </w:tr>
      <w:tr w:rsidR="00DD13BF" w14:paraId="6DB9ABE9" w14:textId="77777777" w:rsidTr="00355A56">
        <w:trPr>
          <w:trHeight w:val="353"/>
        </w:trPr>
        <w:tc>
          <w:tcPr>
            <w:tcW w:w="2088" w:type="dxa"/>
          </w:tcPr>
          <w:p w14:paraId="1A4C42D4" w14:textId="77777777" w:rsidR="00DD13BF" w:rsidRDefault="00DD13BF" w:rsidP="00355A56">
            <w:pPr>
              <w:pStyle w:val="TableParagraph"/>
              <w:rPr>
                <w:sz w:val="20"/>
              </w:rPr>
            </w:pPr>
            <w:r>
              <w:rPr>
                <w:sz w:val="20"/>
              </w:rPr>
              <w:t>6</w:t>
            </w:r>
          </w:p>
        </w:tc>
        <w:tc>
          <w:tcPr>
            <w:tcW w:w="1133" w:type="dxa"/>
          </w:tcPr>
          <w:p w14:paraId="7AAC7184" w14:textId="77777777" w:rsidR="00DD13BF" w:rsidRDefault="00DD13BF" w:rsidP="00355A56">
            <w:pPr>
              <w:pStyle w:val="TableParagraph"/>
              <w:rPr>
                <w:sz w:val="20"/>
              </w:rPr>
            </w:pPr>
            <w:r>
              <w:rPr>
                <w:sz w:val="20"/>
              </w:rPr>
              <w:t>ESF+</w:t>
            </w:r>
          </w:p>
        </w:tc>
        <w:tc>
          <w:tcPr>
            <w:tcW w:w="3249" w:type="dxa"/>
          </w:tcPr>
          <w:p w14:paraId="448BBF20" w14:textId="77777777" w:rsidR="00DD13BF" w:rsidRDefault="00DD13BF" w:rsidP="00355A56">
            <w:pPr>
              <w:pStyle w:val="TableParagraph"/>
              <w:rPr>
                <w:sz w:val="20"/>
              </w:rPr>
            </w:pPr>
            <w:r>
              <w:rPr>
                <w:sz w:val="20"/>
              </w:rPr>
              <w:t>Less developed</w:t>
            </w:r>
          </w:p>
          <w:p w14:paraId="4030174D" w14:textId="77777777" w:rsidR="00DD13BF" w:rsidRDefault="00DD13BF" w:rsidP="00355A56">
            <w:pPr>
              <w:pStyle w:val="TableParagraph"/>
              <w:rPr>
                <w:sz w:val="20"/>
              </w:rPr>
            </w:pPr>
          </w:p>
        </w:tc>
        <w:tc>
          <w:tcPr>
            <w:tcW w:w="3099" w:type="dxa"/>
          </w:tcPr>
          <w:p w14:paraId="0FFAB54D" w14:textId="77777777" w:rsidR="00DD13BF" w:rsidRDefault="00DD13BF" w:rsidP="00355A56">
            <w:pPr>
              <w:pStyle w:val="TableParagraph"/>
              <w:rPr>
                <w:sz w:val="20"/>
              </w:rPr>
            </w:pPr>
            <w:r>
              <w:rPr>
                <w:color w:val="000000"/>
                <w:sz w:val="20"/>
              </w:rPr>
              <w:t>ESO4.1</w:t>
            </w:r>
          </w:p>
        </w:tc>
        <w:tc>
          <w:tcPr>
            <w:tcW w:w="1161" w:type="dxa"/>
          </w:tcPr>
          <w:p w14:paraId="2009F3A9" w14:textId="77777777" w:rsidR="00DD13BF" w:rsidRDefault="00DD13BF" w:rsidP="00355A56">
            <w:pPr>
              <w:pStyle w:val="TableParagraph"/>
              <w:rPr>
                <w:sz w:val="20"/>
              </w:rPr>
            </w:pPr>
            <w:r>
              <w:rPr>
                <w:sz w:val="20"/>
              </w:rPr>
              <w:t>01</w:t>
            </w:r>
          </w:p>
        </w:tc>
        <w:tc>
          <w:tcPr>
            <w:tcW w:w="2731" w:type="dxa"/>
          </w:tcPr>
          <w:p w14:paraId="38D56613" w14:textId="77777777" w:rsidR="00DD13BF" w:rsidRDefault="00DD13BF" w:rsidP="00355A56">
            <w:pPr>
              <w:pStyle w:val="TableParagraph"/>
              <w:rPr>
                <w:sz w:val="20"/>
              </w:rPr>
            </w:pPr>
            <w:r>
              <w:rPr>
                <w:sz w:val="20"/>
              </w:rPr>
              <w:t>126,089,721</w:t>
            </w:r>
          </w:p>
        </w:tc>
      </w:tr>
      <w:tr w:rsidR="00DD13BF" w14:paraId="76A1D671" w14:textId="77777777" w:rsidTr="00355A56">
        <w:trPr>
          <w:trHeight w:val="353"/>
        </w:trPr>
        <w:tc>
          <w:tcPr>
            <w:tcW w:w="2088" w:type="dxa"/>
          </w:tcPr>
          <w:p w14:paraId="0704EEA7" w14:textId="77777777" w:rsidR="00DD13BF" w:rsidRDefault="00DD13BF" w:rsidP="00355A56">
            <w:pPr>
              <w:pStyle w:val="TableParagraph"/>
              <w:rPr>
                <w:sz w:val="20"/>
              </w:rPr>
            </w:pPr>
            <w:r>
              <w:rPr>
                <w:sz w:val="20"/>
              </w:rPr>
              <w:t>6</w:t>
            </w:r>
          </w:p>
        </w:tc>
        <w:tc>
          <w:tcPr>
            <w:tcW w:w="1133" w:type="dxa"/>
          </w:tcPr>
          <w:p w14:paraId="63442A73" w14:textId="77777777" w:rsidR="00DD13BF" w:rsidRDefault="00DD13BF" w:rsidP="00355A56">
            <w:pPr>
              <w:pStyle w:val="TableParagraph"/>
              <w:rPr>
                <w:sz w:val="20"/>
              </w:rPr>
            </w:pPr>
            <w:r>
              <w:rPr>
                <w:sz w:val="20"/>
              </w:rPr>
              <w:t>ESF+</w:t>
            </w:r>
          </w:p>
        </w:tc>
        <w:tc>
          <w:tcPr>
            <w:tcW w:w="3249" w:type="dxa"/>
          </w:tcPr>
          <w:p w14:paraId="491D56F1" w14:textId="77777777" w:rsidR="00DD13BF" w:rsidRDefault="00DD13BF" w:rsidP="00355A56">
            <w:pPr>
              <w:pStyle w:val="TableParagraph"/>
              <w:rPr>
                <w:sz w:val="20"/>
              </w:rPr>
            </w:pPr>
            <w:r>
              <w:rPr>
                <w:sz w:val="20"/>
              </w:rPr>
              <w:t>More developed</w:t>
            </w:r>
          </w:p>
        </w:tc>
        <w:tc>
          <w:tcPr>
            <w:tcW w:w="3099" w:type="dxa"/>
          </w:tcPr>
          <w:p w14:paraId="059D3B3D" w14:textId="77777777" w:rsidR="00DD13BF" w:rsidRDefault="00DD13BF" w:rsidP="00355A56">
            <w:pPr>
              <w:pStyle w:val="TableParagraph"/>
              <w:rPr>
                <w:sz w:val="20"/>
              </w:rPr>
            </w:pPr>
            <w:r>
              <w:rPr>
                <w:color w:val="000000"/>
                <w:sz w:val="20"/>
              </w:rPr>
              <w:t>ESO4.1</w:t>
            </w:r>
          </w:p>
        </w:tc>
        <w:tc>
          <w:tcPr>
            <w:tcW w:w="1161" w:type="dxa"/>
          </w:tcPr>
          <w:p w14:paraId="7BF644E9" w14:textId="77777777" w:rsidR="00DD13BF" w:rsidRDefault="00DD13BF" w:rsidP="00355A56">
            <w:pPr>
              <w:pStyle w:val="TableParagraph"/>
              <w:rPr>
                <w:sz w:val="20"/>
              </w:rPr>
            </w:pPr>
            <w:r>
              <w:rPr>
                <w:sz w:val="20"/>
              </w:rPr>
              <w:t>01</w:t>
            </w:r>
          </w:p>
        </w:tc>
        <w:tc>
          <w:tcPr>
            <w:tcW w:w="2731" w:type="dxa"/>
          </w:tcPr>
          <w:p w14:paraId="31BE8FDD" w14:textId="77777777" w:rsidR="00DD13BF" w:rsidRDefault="00DD13BF" w:rsidP="00355A56">
            <w:pPr>
              <w:pStyle w:val="TableParagraph"/>
              <w:rPr>
                <w:sz w:val="20"/>
              </w:rPr>
            </w:pPr>
            <w:r>
              <w:rPr>
                <w:sz w:val="20"/>
              </w:rPr>
              <w:t>17,879,783</w:t>
            </w:r>
          </w:p>
        </w:tc>
      </w:tr>
    </w:tbl>
    <w:p w14:paraId="39AC9FFE" w14:textId="77777777" w:rsidR="00DD13BF" w:rsidRDefault="00DD13BF" w:rsidP="00DD13BF">
      <w:pPr>
        <w:rPr>
          <w:sz w:val="20"/>
        </w:rPr>
        <w:sectPr w:rsidR="00DD13BF" w:rsidSect="00BD3536">
          <w:headerReference w:type="default" r:id="rId71"/>
          <w:footerReference w:type="first" r:id="rId72"/>
          <w:type w:val="continuous"/>
          <w:pgSz w:w="16840" w:h="11910" w:orient="landscape"/>
          <w:pgMar w:top="1417" w:right="1417" w:bottom="1417" w:left="1417" w:header="708" w:footer="708" w:gutter="0"/>
          <w:cols w:space="708"/>
          <w:titlePg/>
          <w:docGrid w:linePitch="299"/>
        </w:sectPr>
      </w:pPr>
    </w:p>
    <w:p w14:paraId="2E829F54" w14:textId="77777777" w:rsidR="00DD13BF" w:rsidRDefault="00DD13BF" w:rsidP="00DD13BF">
      <w:pPr>
        <w:ind w:left="339"/>
        <w:rPr>
          <w:spacing w:val="-7"/>
        </w:rPr>
      </w:pPr>
    </w:p>
    <w:p w14:paraId="64271B00" w14:textId="77777777" w:rsidR="00DD13BF" w:rsidRDefault="00DD13BF" w:rsidP="00DD13BF">
      <w:pPr>
        <w:ind w:left="339"/>
      </w:pPr>
      <w:r>
        <w:t>Table 6: Dimension 3 – territorial delivery mechanism and territorial focus</w:t>
      </w:r>
    </w:p>
    <w:p w14:paraId="4B43C5C3"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4412A7A" w14:textId="77777777" w:rsidTr="00355A56">
        <w:trPr>
          <w:trHeight w:val="353"/>
        </w:trPr>
        <w:tc>
          <w:tcPr>
            <w:tcW w:w="2088" w:type="dxa"/>
          </w:tcPr>
          <w:p w14:paraId="02069FDD" w14:textId="77777777" w:rsidR="00DD13BF" w:rsidRDefault="00DD13BF" w:rsidP="00355A56">
            <w:pPr>
              <w:pStyle w:val="TableParagraph"/>
              <w:ind w:left="115"/>
            </w:pPr>
            <w:r>
              <w:t>Priority no.</w:t>
            </w:r>
          </w:p>
        </w:tc>
        <w:tc>
          <w:tcPr>
            <w:tcW w:w="1132" w:type="dxa"/>
          </w:tcPr>
          <w:p w14:paraId="532F827A" w14:textId="77777777" w:rsidR="00DD13BF" w:rsidRDefault="00DD13BF" w:rsidP="00355A56">
            <w:pPr>
              <w:pStyle w:val="TableParagraph"/>
              <w:ind w:left="320"/>
            </w:pPr>
            <w:r>
              <w:t>Fund</w:t>
            </w:r>
          </w:p>
        </w:tc>
        <w:tc>
          <w:tcPr>
            <w:tcW w:w="3248" w:type="dxa"/>
          </w:tcPr>
          <w:p w14:paraId="60AD6E11" w14:textId="77777777" w:rsidR="00DD13BF" w:rsidRDefault="00DD13BF" w:rsidP="00355A56">
            <w:pPr>
              <w:pStyle w:val="TableParagraph"/>
              <w:ind w:left="908"/>
            </w:pPr>
            <w:r>
              <w:t>Category of region</w:t>
            </w:r>
          </w:p>
        </w:tc>
        <w:tc>
          <w:tcPr>
            <w:tcW w:w="3098" w:type="dxa"/>
          </w:tcPr>
          <w:p w14:paraId="78647AA8" w14:textId="77777777" w:rsidR="00DD13BF" w:rsidRDefault="00DD13BF" w:rsidP="00355A56">
            <w:pPr>
              <w:pStyle w:val="TableParagraph"/>
              <w:ind w:left="950"/>
            </w:pPr>
            <w:r>
              <w:t>Specific objective</w:t>
            </w:r>
          </w:p>
        </w:tc>
        <w:tc>
          <w:tcPr>
            <w:tcW w:w="1160" w:type="dxa"/>
          </w:tcPr>
          <w:p w14:paraId="41C2823B" w14:textId="77777777" w:rsidR="00DD13BF" w:rsidRPr="00526576" w:rsidRDefault="00DD13BF" w:rsidP="00355A56">
            <w:pPr>
              <w:pStyle w:val="TableParagraph"/>
              <w:ind w:left="336"/>
            </w:pPr>
            <w:r>
              <w:t>Code</w:t>
            </w:r>
          </w:p>
        </w:tc>
        <w:tc>
          <w:tcPr>
            <w:tcW w:w="2730" w:type="dxa"/>
          </w:tcPr>
          <w:p w14:paraId="5E0AED5E" w14:textId="77777777" w:rsidR="00DD13BF" w:rsidRDefault="00DD13BF" w:rsidP="00355A56">
            <w:pPr>
              <w:pStyle w:val="TableParagraph"/>
              <w:ind w:left="664"/>
            </w:pPr>
            <w:r>
              <w:t>Amount (in EUR)</w:t>
            </w:r>
          </w:p>
        </w:tc>
      </w:tr>
      <w:tr w:rsidR="00DD13BF" w14:paraId="27B1233E" w14:textId="77777777" w:rsidTr="00355A56">
        <w:trPr>
          <w:trHeight w:val="353"/>
        </w:trPr>
        <w:tc>
          <w:tcPr>
            <w:tcW w:w="2088" w:type="dxa"/>
          </w:tcPr>
          <w:p w14:paraId="330789C6" w14:textId="77777777" w:rsidR="00DD13BF" w:rsidRDefault="00DD13BF" w:rsidP="00355A56">
            <w:pPr>
              <w:pStyle w:val="TableParagraph"/>
              <w:rPr>
                <w:sz w:val="20"/>
              </w:rPr>
            </w:pPr>
            <w:r>
              <w:rPr>
                <w:sz w:val="20"/>
              </w:rPr>
              <w:t>6</w:t>
            </w:r>
          </w:p>
        </w:tc>
        <w:tc>
          <w:tcPr>
            <w:tcW w:w="1132" w:type="dxa"/>
          </w:tcPr>
          <w:p w14:paraId="433D49A5" w14:textId="77777777" w:rsidR="00DD13BF" w:rsidRDefault="00DD13BF" w:rsidP="00355A56">
            <w:pPr>
              <w:pStyle w:val="TableParagraph"/>
              <w:rPr>
                <w:sz w:val="20"/>
              </w:rPr>
            </w:pPr>
            <w:r>
              <w:rPr>
                <w:sz w:val="20"/>
              </w:rPr>
              <w:t>ESF+</w:t>
            </w:r>
          </w:p>
        </w:tc>
        <w:tc>
          <w:tcPr>
            <w:tcW w:w="3248" w:type="dxa"/>
          </w:tcPr>
          <w:p w14:paraId="213F1B2E" w14:textId="77777777" w:rsidR="00DD13BF" w:rsidRDefault="00DD13BF" w:rsidP="00355A56">
            <w:pPr>
              <w:pStyle w:val="TableParagraph"/>
              <w:rPr>
                <w:sz w:val="20"/>
              </w:rPr>
            </w:pPr>
            <w:r>
              <w:rPr>
                <w:sz w:val="20"/>
              </w:rPr>
              <w:t>Less developed</w:t>
            </w:r>
          </w:p>
          <w:p w14:paraId="0D027E31" w14:textId="77777777" w:rsidR="00DD13BF" w:rsidRDefault="00DD13BF" w:rsidP="00355A56">
            <w:pPr>
              <w:pStyle w:val="TableParagraph"/>
              <w:rPr>
                <w:sz w:val="20"/>
              </w:rPr>
            </w:pPr>
          </w:p>
        </w:tc>
        <w:tc>
          <w:tcPr>
            <w:tcW w:w="3098" w:type="dxa"/>
          </w:tcPr>
          <w:p w14:paraId="33AFE668" w14:textId="77777777" w:rsidR="00DD13BF" w:rsidRDefault="00DD13BF" w:rsidP="00355A56">
            <w:pPr>
              <w:pStyle w:val="TableParagraph"/>
              <w:rPr>
                <w:sz w:val="20"/>
              </w:rPr>
            </w:pPr>
            <w:r>
              <w:rPr>
                <w:color w:val="000000"/>
                <w:sz w:val="20"/>
              </w:rPr>
              <w:t>ESO4.1</w:t>
            </w:r>
          </w:p>
        </w:tc>
        <w:tc>
          <w:tcPr>
            <w:tcW w:w="1160" w:type="dxa"/>
          </w:tcPr>
          <w:p w14:paraId="7E26FDFE" w14:textId="77777777" w:rsidR="00DD13BF" w:rsidRPr="00526576" w:rsidRDefault="00DD13BF" w:rsidP="00355A56">
            <w:pPr>
              <w:pStyle w:val="TableParagraph"/>
              <w:rPr>
                <w:sz w:val="20"/>
              </w:rPr>
            </w:pPr>
            <w:r>
              <w:rPr>
                <w:sz w:val="20"/>
              </w:rPr>
              <w:t>33</w:t>
            </w:r>
          </w:p>
        </w:tc>
        <w:tc>
          <w:tcPr>
            <w:tcW w:w="2730" w:type="dxa"/>
          </w:tcPr>
          <w:p w14:paraId="38EAEDCA" w14:textId="77777777" w:rsidR="00DD13BF" w:rsidRDefault="00DD13BF" w:rsidP="00355A56">
            <w:pPr>
              <w:pStyle w:val="TableParagraph"/>
              <w:rPr>
                <w:sz w:val="20"/>
              </w:rPr>
            </w:pPr>
            <w:r>
              <w:t>126,089,721</w:t>
            </w:r>
          </w:p>
        </w:tc>
      </w:tr>
      <w:tr w:rsidR="00DD13BF" w14:paraId="5E74A880" w14:textId="77777777" w:rsidTr="00355A56">
        <w:trPr>
          <w:trHeight w:val="353"/>
        </w:trPr>
        <w:tc>
          <w:tcPr>
            <w:tcW w:w="2088" w:type="dxa"/>
          </w:tcPr>
          <w:p w14:paraId="51A1D897" w14:textId="77777777" w:rsidR="00DD13BF" w:rsidRDefault="00DD13BF" w:rsidP="00355A56">
            <w:pPr>
              <w:pStyle w:val="TableParagraph"/>
              <w:rPr>
                <w:sz w:val="20"/>
              </w:rPr>
            </w:pPr>
            <w:r>
              <w:rPr>
                <w:sz w:val="20"/>
              </w:rPr>
              <w:t>6</w:t>
            </w:r>
          </w:p>
        </w:tc>
        <w:tc>
          <w:tcPr>
            <w:tcW w:w="1132" w:type="dxa"/>
          </w:tcPr>
          <w:p w14:paraId="48FEF53E" w14:textId="77777777" w:rsidR="00DD13BF" w:rsidRDefault="00DD13BF" w:rsidP="00355A56">
            <w:pPr>
              <w:pStyle w:val="TableParagraph"/>
              <w:rPr>
                <w:sz w:val="20"/>
              </w:rPr>
            </w:pPr>
            <w:r>
              <w:rPr>
                <w:sz w:val="20"/>
              </w:rPr>
              <w:t>ESF+</w:t>
            </w:r>
          </w:p>
        </w:tc>
        <w:tc>
          <w:tcPr>
            <w:tcW w:w="3248" w:type="dxa"/>
          </w:tcPr>
          <w:p w14:paraId="781323F0" w14:textId="77777777" w:rsidR="00DD13BF" w:rsidRDefault="00DD13BF" w:rsidP="00355A56">
            <w:pPr>
              <w:pStyle w:val="TableParagraph"/>
              <w:rPr>
                <w:sz w:val="20"/>
              </w:rPr>
            </w:pPr>
            <w:r>
              <w:rPr>
                <w:sz w:val="20"/>
              </w:rPr>
              <w:t>More developed</w:t>
            </w:r>
          </w:p>
        </w:tc>
        <w:tc>
          <w:tcPr>
            <w:tcW w:w="3098" w:type="dxa"/>
          </w:tcPr>
          <w:p w14:paraId="115694EB" w14:textId="77777777" w:rsidR="00DD13BF" w:rsidRDefault="00DD13BF" w:rsidP="00355A56">
            <w:pPr>
              <w:pStyle w:val="TableParagraph"/>
              <w:rPr>
                <w:sz w:val="20"/>
              </w:rPr>
            </w:pPr>
            <w:r>
              <w:rPr>
                <w:color w:val="000000"/>
                <w:sz w:val="20"/>
              </w:rPr>
              <w:t>ESO4.1</w:t>
            </w:r>
          </w:p>
        </w:tc>
        <w:tc>
          <w:tcPr>
            <w:tcW w:w="1160" w:type="dxa"/>
          </w:tcPr>
          <w:p w14:paraId="419BB00C" w14:textId="77777777" w:rsidR="00DD13BF" w:rsidRPr="00526576" w:rsidRDefault="00DD13BF" w:rsidP="00355A56">
            <w:pPr>
              <w:pStyle w:val="TableParagraph"/>
              <w:rPr>
                <w:sz w:val="20"/>
              </w:rPr>
            </w:pPr>
            <w:r>
              <w:rPr>
                <w:sz w:val="20"/>
              </w:rPr>
              <w:t>33</w:t>
            </w:r>
          </w:p>
        </w:tc>
        <w:tc>
          <w:tcPr>
            <w:tcW w:w="2730" w:type="dxa"/>
          </w:tcPr>
          <w:p w14:paraId="0CBD8A70" w14:textId="77777777" w:rsidR="00DD13BF" w:rsidRDefault="00DD13BF" w:rsidP="00355A56">
            <w:pPr>
              <w:pStyle w:val="TableParagraph"/>
              <w:rPr>
                <w:sz w:val="20"/>
              </w:rPr>
            </w:pPr>
            <w:r>
              <w:t>17,879,783</w:t>
            </w:r>
          </w:p>
        </w:tc>
      </w:tr>
    </w:tbl>
    <w:p w14:paraId="3C713115" w14:textId="77777777" w:rsidR="00DD13BF" w:rsidRDefault="00DD13BF" w:rsidP="00DD13BF"/>
    <w:p w14:paraId="5D74D2C3" w14:textId="77777777" w:rsidR="00DD13BF" w:rsidRDefault="00DD13BF" w:rsidP="00DD13BF">
      <w:pPr>
        <w:ind w:left="339"/>
      </w:pPr>
      <w:r>
        <w:t>Table 7: Dimension 6 – ESF+ secondary themes</w:t>
      </w:r>
    </w:p>
    <w:p w14:paraId="65C65E66"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D3802E9" w14:textId="77777777" w:rsidTr="00355A56">
        <w:trPr>
          <w:trHeight w:val="353"/>
        </w:trPr>
        <w:tc>
          <w:tcPr>
            <w:tcW w:w="2088" w:type="dxa"/>
          </w:tcPr>
          <w:p w14:paraId="06206DEA" w14:textId="77777777" w:rsidR="00DD13BF" w:rsidRDefault="00DD13BF" w:rsidP="00355A56">
            <w:pPr>
              <w:pStyle w:val="TableParagraph"/>
              <w:ind w:left="115"/>
            </w:pPr>
            <w:r>
              <w:t>Priority no.</w:t>
            </w:r>
          </w:p>
        </w:tc>
        <w:tc>
          <w:tcPr>
            <w:tcW w:w="1132" w:type="dxa"/>
          </w:tcPr>
          <w:p w14:paraId="25254AFA" w14:textId="77777777" w:rsidR="00DD13BF" w:rsidRDefault="00DD13BF" w:rsidP="00355A56">
            <w:pPr>
              <w:pStyle w:val="TableParagraph"/>
              <w:ind w:left="321"/>
            </w:pPr>
            <w:r>
              <w:t>Fund</w:t>
            </w:r>
          </w:p>
        </w:tc>
        <w:tc>
          <w:tcPr>
            <w:tcW w:w="3248" w:type="dxa"/>
          </w:tcPr>
          <w:p w14:paraId="22BA2FAA" w14:textId="77777777" w:rsidR="00DD13BF" w:rsidRDefault="00DD13BF" w:rsidP="00355A56">
            <w:pPr>
              <w:pStyle w:val="TableParagraph"/>
              <w:ind w:left="909"/>
            </w:pPr>
            <w:r>
              <w:t>Category of region</w:t>
            </w:r>
          </w:p>
        </w:tc>
        <w:tc>
          <w:tcPr>
            <w:tcW w:w="3098" w:type="dxa"/>
          </w:tcPr>
          <w:p w14:paraId="5BC3543D" w14:textId="77777777" w:rsidR="00DD13BF" w:rsidRDefault="00DD13BF" w:rsidP="00355A56">
            <w:pPr>
              <w:pStyle w:val="TableParagraph"/>
              <w:ind w:left="950"/>
            </w:pPr>
            <w:r>
              <w:t>Specific objective</w:t>
            </w:r>
          </w:p>
        </w:tc>
        <w:tc>
          <w:tcPr>
            <w:tcW w:w="1160" w:type="dxa"/>
          </w:tcPr>
          <w:p w14:paraId="6F838CF0" w14:textId="77777777" w:rsidR="00DD13BF" w:rsidRDefault="00DD13BF" w:rsidP="00355A56">
            <w:pPr>
              <w:pStyle w:val="TableParagraph"/>
              <w:ind w:left="337"/>
            </w:pPr>
            <w:r>
              <w:t>Code</w:t>
            </w:r>
          </w:p>
        </w:tc>
        <w:tc>
          <w:tcPr>
            <w:tcW w:w="2730" w:type="dxa"/>
          </w:tcPr>
          <w:p w14:paraId="24C2B8CB" w14:textId="77777777" w:rsidR="00DD13BF" w:rsidRDefault="00DD13BF" w:rsidP="00355A56">
            <w:pPr>
              <w:pStyle w:val="TableParagraph"/>
              <w:ind w:left="665"/>
            </w:pPr>
            <w:r>
              <w:t>Amount (in EUR)</w:t>
            </w:r>
          </w:p>
        </w:tc>
      </w:tr>
      <w:tr w:rsidR="00DD13BF" w14:paraId="3FDF6C16" w14:textId="77777777" w:rsidTr="00355A56">
        <w:trPr>
          <w:trHeight w:val="353"/>
        </w:trPr>
        <w:tc>
          <w:tcPr>
            <w:tcW w:w="2088" w:type="dxa"/>
          </w:tcPr>
          <w:p w14:paraId="48D48334" w14:textId="77777777" w:rsidR="00DD13BF" w:rsidRDefault="00DD13BF" w:rsidP="00355A56">
            <w:pPr>
              <w:pStyle w:val="TableParagraph"/>
              <w:rPr>
                <w:sz w:val="20"/>
              </w:rPr>
            </w:pPr>
            <w:r>
              <w:rPr>
                <w:sz w:val="20"/>
              </w:rPr>
              <w:t>6</w:t>
            </w:r>
          </w:p>
        </w:tc>
        <w:tc>
          <w:tcPr>
            <w:tcW w:w="1132" w:type="dxa"/>
          </w:tcPr>
          <w:p w14:paraId="1BBA4493" w14:textId="77777777" w:rsidR="00DD13BF" w:rsidRDefault="00DD13BF" w:rsidP="00355A56">
            <w:pPr>
              <w:pStyle w:val="TableParagraph"/>
              <w:rPr>
                <w:sz w:val="20"/>
              </w:rPr>
            </w:pPr>
            <w:r>
              <w:rPr>
                <w:sz w:val="20"/>
              </w:rPr>
              <w:t>ESF+</w:t>
            </w:r>
          </w:p>
        </w:tc>
        <w:tc>
          <w:tcPr>
            <w:tcW w:w="3248" w:type="dxa"/>
          </w:tcPr>
          <w:p w14:paraId="53E57758" w14:textId="77777777" w:rsidR="00DD13BF" w:rsidRDefault="00DD13BF" w:rsidP="00355A56">
            <w:pPr>
              <w:pStyle w:val="TableParagraph"/>
              <w:rPr>
                <w:sz w:val="20"/>
              </w:rPr>
            </w:pPr>
            <w:r>
              <w:rPr>
                <w:sz w:val="20"/>
              </w:rPr>
              <w:t>Less developed</w:t>
            </w:r>
          </w:p>
        </w:tc>
        <w:tc>
          <w:tcPr>
            <w:tcW w:w="3098" w:type="dxa"/>
          </w:tcPr>
          <w:p w14:paraId="252050CC" w14:textId="77777777" w:rsidR="00DD13BF" w:rsidRDefault="00DD13BF" w:rsidP="00355A56">
            <w:pPr>
              <w:pStyle w:val="TableParagraph"/>
              <w:rPr>
                <w:sz w:val="20"/>
              </w:rPr>
            </w:pPr>
            <w:r>
              <w:rPr>
                <w:color w:val="000000"/>
                <w:sz w:val="20"/>
              </w:rPr>
              <w:t>ESO4.1</w:t>
            </w:r>
          </w:p>
        </w:tc>
        <w:tc>
          <w:tcPr>
            <w:tcW w:w="1160" w:type="dxa"/>
          </w:tcPr>
          <w:p w14:paraId="63C8762D" w14:textId="77777777" w:rsidR="00DD13BF" w:rsidRDefault="00DD13BF" w:rsidP="00355A56">
            <w:pPr>
              <w:pStyle w:val="TableParagraph"/>
              <w:rPr>
                <w:sz w:val="20"/>
              </w:rPr>
            </w:pPr>
            <w:r>
              <w:rPr>
                <w:sz w:val="20"/>
              </w:rPr>
              <w:t>08</w:t>
            </w:r>
          </w:p>
        </w:tc>
        <w:tc>
          <w:tcPr>
            <w:tcW w:w="2730" w:type="dxa"/>
          </w:tcPr>
          <w:p w14:paraId="1C6A94E9" w14:textId="77777777" w:rsidR="00DD13BF" w:rsidRDefault="00DD13BF" w:rsidP="00355A56">
            <w:pPr>
              <w:pStyle w:val="TableParagraph"/>
              <w:rPr>
                <w:sz w:val="20"/>
              </w:rPr>
            </w:pPr>
            <w:r>
              <w:rPr>
                <w:sz w:val="20"/>
              </w:rPr>
              <w:t>9,774,000</w:t>
            </w:r>
          </w:p>
        </w:tc>
      </w:tr>
      <w:tr w:rsidR="00DD13BF" w14:paraId="57E24CE4" w14:textId="77777777" w:rsidTr="00355A56">
        <w:trPr>
          <w:trHeight w:val="353"/>
        </w:trPr>
        <w:tc>
          <w:tcPr>
            <w:tcW w:w="2088" w:type="dxa"/>
          </w:tcPr>
          <w:p w14:paraId="79425FBB" w14:textId="77777777" w:rsidR="00DD13BF" w:rsidRDefault="00DD13BF" w:rsidP="00355A56">
            <w:pPr>
              <w:pStyle w:val="TableParagraph"/>
              <w:rPr>
                <w:sz w:val="20"/>
              </w:rPr>
            </w:pPr>
            <w:r>
              <w:rPr>
                <w:sz w:val="20"/>
              </w:rPr>
              <w:t>6</w:t>
            </w:r>
          </w:p>
        </w:tc>
        <w:tc>
          <w:tcPr>
            <w:tcW w:w="1132" w:type="dxa"/>
          </w:tcPr>
          <w:p w14:paraId="025F7DAD" w14:textId="77777777" w:rsidR="00DD13BF" w:rsidRDefault="00DD13BF" w:rsidP="00355A56">
            <w:pPr>
              <w:pStyle w:val="TableParagraph"/>
              <w:rPr>
                <w:sz w:val="20"/>
              </w:rPr>
            </w:pPr>
            <w:r>
              <w:rPr>
                <w:sz w:val="20"/>
              </w:rPr>
              <w:t>ESF+</w:t>
            </w:r>
          </w:p>
        </w:tc>
        <w:tc>
          <w:tcPr>
            <w:tcW w:w="3248" w:type="dxa"/>
          </w:tcPr>
          <w:p w14:paraId="24650953" w14:textId="77777777" w:rsidR="00DD13BF" w:rsidRDefault="00DD13BF" w:rsidP="00355A56">
            <w:pPr>
              <w:pStyle w:val="TableParagraph"/>
              <w:rPr>
                <w:sz w:val="20"/>
              </w:rPr>
            </w:pPr>
            <w:r>
              <w:rPr>
                <w:sz w:val="20"/>
              </w:rPr>
              <w:t>More developed</w:t>
            </w:r>
          </w:p>
        </w:tc>
        <w:tc>
          <w:tcPr>
            <w:tcW w:w="3098" w:type="dxa"/>
          </w:tcPr>
          <w:p w14:paraId="532386D3" w14:textId="77777777" w:rsidR="00DD13BF" w:rsidRDefault="00DD13BF" w:rsidP="00355A56">
            <w:pPr>
              <w:pStyle w:val="TableParagraph"/>
              <w:rPr>
                <w:sz w:val="20"/>
              </w:rPr>
            </w:pPr>
            <w:r>
              <w:rPr>
                <w:color w:val="000000"/>
                <w:sz w:val="20"/>
              </w:rPr>
              <w:t>ESO4.1</w:t>
            </w:r>
          </w:p>
        </w:tc>
        <w:tc>
          <w:tcPr>
            <w:tcW w:w="1160" w:type="dxa"/>
          </w:tcPr>
          <w:p w14:paraId="14F83D0C" w14:textId="77777777" w:rsidR="00DD13BF" w:rsidRDefault="00DD13BF" w:rsidP="00355A56">
            <w:pPr>
              <w:pStyle w:val="TableParagraph"/>
              <w:rPr>
                <w:sz w:val="20"/>
              </w:rPr>
            </w:pPr>
            <w:r>
              <w:rPr>
                <w:sz w:val="20"/>
              </w:rPr>
              <w:t>08</w:t>
            </w:r>
          </w:p>
        </w:tc>
        <w:tc>
          <w:tcPr>
            <w:tcW w:w="2730" w:type="dxa"/>
          </w:tcPr>
          <w:p w14:paraId="124ABA85" w14:textId="77777777" w:rsidR="00DD13BF" w:rsidRDefault="00DD13BF" w:rsidP="00355A56">
            <w:pPr>
              <w:pStyle w:val="TableParagraph"/>
              <w:rPr>
                <w:sz w:val="20"/>
              </w:rPr>
            </w:pPr>
            <w:r>
              <w:rPr>
                <w:sz w:val="20"/>
              </w:rPr>
              <w:t>2,194,000</w:t>
            </w:r>
          </w:p>
        </w:tc>
      </w:tr>
      <w:tr w:rsidR="00DD13BF" w14:paraId="7F803B2A" w14:textId="77777777" w:rsidTr="00355A56">
        <w:trPr>
          <w:trHeight w:val="353"/>
        </w:trPr>
        <w:tc>
          <w:tcPr>
            <w:tcW w:w="2088" w:type="dxa"/>
          </w:tcPr>
          <w:p w14:paraId="1FACB919" w14:textId="77777777" w:rsidR="00DD13BF" w:rsidRDefault="00DD13BF" w:rsidP="00355A56">
            <w:pPr>
              <w:pStyle w:val="TableParagraph"/>
              <w:rPr>
                <w:sz w:val="20"/>
              </w:rPr>
            </w:pPr>
            <w:r>
              <w:rPr>
                <w:sz w:val="20"/>
              </w:rPr>
              <w:t>6</w:t>
            </w:r>
          </w:p>
        </w:tc>
        <w:tc>
          <w:tcPr>
            <w:tcW w:w="1132" w:type="dxa"/>
          </w:tcPr>
          <w:p w14:paraId="4045A7A2" w14:textId="77777777" w:rsidR="00DD13BF" w:rsidRDefault="00DD13BF" w:rsidP="00355A56">
            <w:pPr>
              <w:pStyle w:val="TableParagraph"/>
              <w:rPr>
                <w:sz w:val="20"/>
              </w:rPr>
            </w:pPr>
            <w:r>
              <w:rPr>
                <w:sz w:val="20"/>
              </w:rPr>
              <w:t>ESF+</w:t>
            </w:r>
          </w:p>
        </w:tc>
        <w:tc>
          <w:tcPr>
            <w:tcW w:w="3248" w:type="dxa"/>
          </w:tcPr>
          <w:p w14:paraId="4B3CCA7E" w14:textId="77777777" w:rsidR="00DD13BF" w:rsidRDefault="00DD13BF" w:rsidP="00355A56">
            <w:pPr>
              <w:pStyle w:val="TableParagraph"/>
              <w:rPr>
                <w:sz w:val="20"/>
              </w:rPr>
            </w:pPr>
            <w:r>
              <w:rPr>
                <w:sz w:val="20"/>
              </w:rPr>
              <w:t>Less developed</w:t>
            </w:r>
          </w:p>
        </w:tc>
        <w:tc>
          <w:tcPr>
            <w:tcW w:w="3098" w:type="dxa"/>
          </w:tcPr>
          <w:p w14:paraId="7631190A" w14:textId="77777777" w:rsidR="00DD13BF" w:rsidRDefault="00DD13BF" w:rsidP="00355A56">
            <w:pPr>
              <w:pStyle w:val="TableParagraph"/>
              <w:rPr>
                <w:sz w:val="20"/>
              </w:rPr>
            </w:pPr>
            <w:r>
              <w:rPr>
                <w:color w:val="000000"/>
                <w:sz w:val="20"/>
              </w:rPr>
              <w:t>ESO4.1</w:t>
            </w:r>
          </w:p>
        </w:tc>
        <w:tc>
          <w:tcPr>
            <w:tcW w:w="1160" w:type="dxa"/>
          </w:tcPr>
          <w:p w14:paraId="549A8998" w14:textId="77777777" w:rsidR="00DD13BF" w:rsidRDefault="00DD13BF" w:rsidP="00355A56">
            <w:pPr>
              <w:pStyle w:val="TableParagraph"/>
              <w:rPr>
                <w:sz w:val="20"/>
              </w:rPr>
            </w:pPr>
            <w:r>
              <w:rPr>
                <w:sz w:val="20"/>
              </w:rPr>
              <w:t>09</w:t>
            </w:r>
          </w:p>
        </w:tc>
        <w:tc>
          <w:tcPr>
            <w:tcW w:w="2730" w:type="dxa"/>
          </w:tcPr>
          <w:p w14:paraId="479D7AE3" w14:textId="77777777" w:rsidR="00DD13BF" w:rsidRDefault="00DD13BF" w:rsidP="00355A56">
            <w:pPr>
              <w:pStyle w:val="TableParagraph"/>
              <w:rPr>
                <w:sz w:val="20"/>
              </w:rPr>
            </w:pPr>
            <w:r>
              <w:rPr>
                <w:sz w:val="20"/>
              </w:rPr>
              <w:t>109,515,721</w:t>
            </w:r>
          </w:p>
        </w:tc>
      </w:tr>
      <w:tr w:rsidR="00DD13BF" w14:paraId="564721CD" w14:textId="77777777" w:rsidTr="00355A56">
        <w:trPr>
          <w:trHeight w:val="353"/>
        </w:trPr>
        <w:tc>
          <w:tcPr>
            <w:tcW w:w="2088" w:type="dxa"/>
          </w:tcPr>
          <w:p w14:paraId="756ABF41" w14:textId="77777777" w:rsidR="00DD13BF" w:rsidRDefault="00DD13BF" w:rsidP="00355A56">
            <w:pPr>
              <w:pStyle w:val="TableParagraph"/>
              <w:rPr>
                <w:sz w:val="20"/>
              </w:rPr>
            </w:pPr>
            <w:r>
              <w:rPr>
                <w:sz w:val="20"/>
              </w:rPr>
              <w:t>6</w:t>
            </w:r>
          </w:p>
        </w:tc>
        <w:tc>
          <w:tcPr>
            <w:tcW w:w="1132" w:type="dxa"/>
          </w:tcPr>
          <w:p w14:paraId="1B380A57" w14:textId="77777777" w:rsidR="00DD13BF" w:rsidRDefault="00DD13BF" w:rsidP="00355A56">
            <w:pPr>
              <w:pStyle w:val="TableParagraph"/>
              <w:rPr>
                <w:sz w:val="20"/>
              </w:rPr>
            </w:pPr>
            <w:r>
              <w:rPr>
                <w:sz w:val="20"/>
              </w:rPr>
              <w:t>ESF+</w:t>
            </w:r>
          </w:p>
        </w:tc>
        <w:tc>
          <w:tcPr>
            <w:tcW w:w="3248" w:type="dxa"/>
          </w:tcPr>
          <w:p w14:paraId="4FF16A78" w14:textId="77777777" w:rsidR="00DD13BF" w:rsidRDefault="00DD13BF" w:rsidP="00355A56">
            <w:pPr>
              <w:pStyle w:val="TableParagraph"/>
              <w:rPr>
                <w:sz w:val="20"/>
              </w:rPr>
            </w:pPr>
            <w:r>
              <w:rPr>
                <w:sz w:val="20"/>
              </w:rPr>
              <w:t>More developed</w:t>
            </w:r>
          </w:p>
        </w:tc>
        <w:tc>
          <w:tcPr>
            <w:tcW w:w="3098" w:type="dxa"/>
          </w:tcPr>
          <w:p w14:paraId="7B8E66A4" w14:textId="77777777" w:rsidR="00DD13BF" w:rsidRDefault="00DD13BF" w:rsidP="00355A56">
            <w:pPr>
              <w:pStyle w:val="TableParagraph"/>
              <w:rPr>
                <w:sz w:val="20"/>
              </w:rPr>
            </w:pPr>
            <w:r>
              <w:rPr>
                <w:color w:val="000000"/>
                <w:sz w:val="20"/>
              </w:rPr>
              <w:t>ESO4.1</w:t>
            </w:r>
          </w:p>
        </w:tc>
        <w:tc>
          <w:tcPr>
            <w:tcW w:w="1160" w:type="dxa"/>
          </w:tcPr>
          <w:p w14:paraId="210494BF" w14:textId="77777777" w:rsidR="00DD13BF" w:rsidRDefault="00DD13BF" w:rsidP="00355A56">
            <w:pPr>
              <w:pStyle w:val="TableParagraph"/>
              <w:rPr>
                <w:sz w:val="20"/>
              </w:rPr>
            </w:pPr>
            <w:r>
              <w:rPr>
                <w:sz w:val="20"/>
              </w:rPr>
              <w:t>09</w:t>
            </w:r>
          </w:p>
        </w:tc>
        <w:tc>
          <w:tcPr>
            <w:tcW w:w="2730" w:type="dxa"/>
          </w:tcPr>
          <w:p w14:paraId="47CB1DE8" w14:textId="77777777" w:rsidR="00DD13BF" w:rsidRDefault="00DD13BF" w:rsidP="00355A56">
            <w:pPr>
              <w:pStyle w:val="TableParagraph"/>
              <w:rPr>
                <w:sz w:val="20"/>
              </w:rPr>
            </w:pPr>
            <w:r>
              <w:rPr>
                <w:sz w:val="20"/>
              </w:rPr>
              <w:t>14,885,783</w:t>
            </w:r>
          </w:p>
        </w:tc>
      </w:tr>
      <w:tr w:rsidR="00DD13BF" w14:paraId="0C842CA9" w14:textId="77777777" w:rsidTr="00355A56">
        <w:trPr>
          <w:trHeight w:val="353"/>
        </w:trPr>
        <w:tc>
          <w:tcPr>
            <w:tcW w:w="2088" w:type="dxa"/>
          </w:tcPr>
          <w:p w14:paraId="01E88B1F" w14:textId="77777777" w:rsidR="00DD13BF" w:rsidRDefault="00DD13BF" w:rsidP="00355A56">
            <w:pPr>
              <w:pStyle w:val="TableParagraph"/>
              <w:rPr>
                <w:sz w:val="20"/>
              </w:rPr>
            </w:pPr>
            <w:r>
              <w:rPr>
                <w:sz w:val="20"/>
              </w:rPr>
              <w:t>6</w:t>
            </w:r>
          </w:p>
        </w:tc>
        <w:tc>
          <w:tcPr>
            <w:tcW w:w="1132" w:type="dxa"/>
          </w:tcPr>
          <w:p w14:paraId="512DC8FA" w14:textId="77777777" w:rsidR="00DD13BF" w:rsidRDefault="00DD13BF" w:rsidP="00355A56">
            <w:pPr>
              <w:pStyle w:val="TableParagraph"/>
              <w:rPr>
                <w:sz w:val="20"/>
              </w:rPr>
            </w:pPr>
            <w:r>
              <w:rPr>
                <w:sz w:val="20"/>
              </w:rPr>
              <w:t>ESF+</w:t>
            </w:r>
          </w:p>
        </w:tc>
        <w:tc>
          <w:tcPr>
            <w:tcW w:w="3248" w:type="dxa"/>
          </w:tcPr>
          <w:p w14:paraId="6483F8CF" w14:textId="77777777" w:rsidR="00DD13BF" w:rsidRDefault="00DD13BF" w:rsidP="00355A56">
            <w:pPr>
              <w:pStyle w:val="TableParagraph"/>
              <w:rPr>
                <w:sz w:val="20"/>
              </w:rPr>
            </w:pPr>
            <w:r>
              <w:rPr>
                <w:sz w:val="20"/>
              </w:rPr>
              <w:t>Less developed</w:t>
            </w:r>
          </w:p>
        </w:tc>
        <w:tc>
          <w:tcPr>
            <w:tcW w:w="3098" w:type="dxa"/>
          </w:tcPr>
          <w:p w14:paraId="35ED13D0" w14:textId="77777777" w:rsidR="00DD13BF" w:rsidRDefault="00DD13BF" w:rsidP="00355A56">
            <w:pPr>
              <w:pStyle w:val="TableParagraph"/>
              <w:rPr>
                <w:sz w:val="20"/>
              </w:rPr>
            </w:pPr>
            <w:r>
              <w:rPr>
                <w:color w:val="000000"/>
                <w:sz w:val="20"/>
              </w:rPr>
              <w:t>ESO4.1</w:t>
            </w:r>
          </w:p>
        </w:tc>
        <w:tc>
          <w:tcPr>
            <w:tcW w:w="1160" w:type="dxa"/>
          </w:tcPr>
          <w:p w14:paraId="631DDAA4" w14:textId="77777777" w:rsidR="00DD13BF" w:rsidRDefault="00DD13BF" w:rsidP="00355A56">
            <w:pPr>
              <w:pStyle w:val="TableParagraph"/>
              <w:rPr>
                <w:sz w:val="20"/>
              </w:rPr>
            </w:pPr>
            <w:r>
              <w:rPr>
                <w:sz w:val="20"/>
              </w:rPr>
              <w:t>01</w:t>
            </w:r>
          </w:p>
        </w:tc>
        <w:tc>
          <w:tcPr>
            <w:tcW w:w="2730" w:type="dxa"/>
          </w:tcPr>
          <w:p w14:paraId="0B59BBBE" w14:textId="77777777" w:rsidR="00DD13BF" w:rsidRDefault="00DD13BF" w:rsidP="00355A56">
            <w:pPr>
              <w:pStyle w:val="TableParagraph"/>
              <w:rPr>
                <w:sz w:val="20"/>
              </w:rPr>
            </w:pPr>
            <w:r>
              <w:rPr>
                <w:sz w:val="20"/>
              </w:rPr>
              <w:t>6,800,000</w:t>
            </w:r>
          </w:p>
        </w:tc>
      </w:tr>
      <w:tr w:rsidR="00DD13BF" w14:paraId="0A489E73" w14:textId="77777777" w:rsidTr="00355A56">
        <w:trPr>
          <w:trHeight w:val="353"/>
        </w:trPr>
        <w:tc>
          <w:tcPr>
            <w:tcW w:w="2088" w:type="dxa"/>
          </w:tcPr>
          <w:p w14:paraId="45B2118E" w14:textId="77777777" w:rsidR="00DD13BF" w:rsidRDefault="00DD13BF" w:rsidP="00355A56">
            <w:pPr>
              <w:pStyle w:val="TableParagraph"/>
              <w:rPr>
                <w:sz w:val="20"/>
              </w:rPr>
            </w:pPr>
            <w:r>
              <w:rPr>
                <w:sz w:val="20"/>
              </w:rPr>
              <w:t>6</w:t>
            </w:r>
          </w:p>
        </w:tc>
        <w:tc>
          <w:tcPr>
            <w:tcW w:w="1132" w:type="dxa"/>
          </w:tcPr>
          <w:p w14:paraId="5B585D56" w14:textId="77777777" w:rsidR="00DD13BF" w:rsidRDefault="00DD13BF" w:rsidP="00355A56">
            <w:pPr>
              <w:pStyle w:val="TableParagraph"/>
              <w:rPr>
                <w:sz w:val="20"/>
              </w:rPr>
            </w:pPr>
            <w:r>
              <w:rPr>
                <w:sz w:val="20"/>
              </w:rPr>
              <w:t>ESF+</w:t>
            </w:r>
          </w:p>
        </w:tc>
        <w:tc>
          <w:tcPr>
            <w:tcW w:w="3248" w:type="dxa"/>
          </w:tcPr>
          <w:p w14:paraId="68018388" w14:textId="77777777" w:rsidR="00DD13BF" w:rsidRDefault="00DD13BF" w:rsidP="00355A56">
            <w:pPr>
              <w:pStyle w:val="TableParagraph"/>
              <w:rPr>
                <w:sz w:val="20"/>
              </w:rPr>
            </w:pPr>
            <w:r>
              <w:rPr>
                <w:sz w:val="20"/>
              </w:rPr>
              <w:t>More developed</w:t>
            </w:r>
          </w:p>
        </w:tc>
        <w:tc>
          <w:tcPr>
            <w:tcW w:w="3098" w:type="dxa"/>
          </w:tcPr>
          <w:p w14:paraId="1D1FE9B3" w14:textId="77777777" w:rsidR="00DD13BF" w:rsidRDefault="00DD13BF" w:rsidP="00355A56">
            <w:pPr>
              <w:pStyle w:val="TableParagraph"/>
              <w:rPr>
                <w:sz w:val="20"/>
              </w:rPr>
            </w:pPr>
            <w:r>
              <w:rPr>
                <w:color w:val="000000"/>
                <w:sz w:val="20"/>
              </w:rPr>
              <w:t>ESO4.1</w:t>
            </w:r>
          </w:p>
        </w:tc>
        <w:tc>
          <w:tcPr>
            <w:tcW w:w="1160" w:type="dxa"/>
          </w:tcPr>
          <w:p w14:paraId="6C554414" w14:textId="77777777" w:rsidR="00DD13BF" w:rsidRDefault="00DD13BF" w:rsidP="00355A56">
            <w:pPr>
              <w:pStyle w:val="TableParagraph"/>
              <w:rPr>
                <w:sz w:val="20"/>
              </w:rPr>
            </w:pPr>
            <w:r>
              <w:rPr>
                <w:sz w:val="20"/>
              </w:rPr>
              <w:t>01</w:t>
            </w:r>
          </w:p>
        </w:tc>
        <w:tc>
          <w:tcPr>
            <w:tcW w:w="2730" w:type="dxa"/>
          </w:tcPr>
          <w:p w14:paraId="1E219B1E" w14:textId="77777777" w:rsidR="00DD13BF" w:rsidRDefault="00DD13BF" w:rsidP="00355A56">
            <w:pPr>
              <w:pStyle w:val="TableParagraph"/>
              <w:rPr>
                <w:sz w:val="20"/>
              </w:rPr>
            </w:pPr>
            <w:r>
              <w:rPr>
                <w:sz w:val="20"/>
              </w:rPr>
              <w:t>800,000</w:t>
            </w:r>
          </w:p>
        </w:tc>
      </w:tr>
    </w:tbl>
    <w:p w14:paraId="1EF35F5F" w14:textId="77777777" w:rsidR="00DD13BF" w:rsidRPr="00673ADB" w:rsidRDefault="00DD13BF" w:rsidP="00DD13BF"/>
    <w:p w14:paraId="799E7ED3" w14:textId="77777777" w:rsidR="00DD13BF" w:rsidRDefault="00DD13BF" w:rsidP="00DD13BF">
      <w:pPr>
        <w:ind w:left="339"/>
      </w:pPr>
      <w:r>
        <w:t>Table 8: Dimension 7 – ESF+*, ERDF, Cohesion Fund and JTF gender equality dimension</w:t>
      </w:r>
    </w:p>
    <w:p w14:paraId="50745126"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2016198" w14:textId="77777777" w:rsidTr="00355A56">
        <w:trPr>
          <w:trHeight w:val="353"/>
        </w:trPr>
        <w:tc>
          <w:tcPr>
            <w:tcW w:w="2088" w:type="dxa"/>
          </w:tcPr>
          <w:p w14:paraId="1959F93F" w14:textId="77777777" w:rsidR="00DD13BF" w:rsidRDefault="00DD13BF" w:rsidP="00355A56">
            <w:pPr>
              <w:pStyle w:val="TableParagraph"/>
              <w:ind w:left="115"/>
            </w:pPr>
            <w:r>
              <w:lastRenderedPageBreak/>
              <w:t>Priority no.</w:t>
            </w:r>
          </w:p>
        </w:tc>
        <w:tc>
          <w:tcPr>
            <w:tcW w:w="1132" w:type="dxa"/>
          </w:tcPr>
          <w:p w14:paraId="2BBBA295" w14:textId="77777777" w:rsidR="00DD13BF" w:rsidRDefault="00DD13BF" w:rsidP="00355A56">
            <w:pPr>
              <w:pStyle w:val="TableParagraph"/>
              <w:ind w:left="320"/>
            </w:pPr>
            <w:r>
              <w:t>Fund</w:t>
            </w:r>
          </w:p>
        </w:tc>
        <w:tc>
          <w:tcPr>
            <w:tcW w:w="3248" w:type="dxa"/>
          </w:tcPr>
          <w:p w14:paraId="5858E68C" w14:textId="77777777" w:rsidR="00DD13BF" w:rsidRDefault="00DD13BF" w:rsidP="00355A56">
            <w:pPr>
              <w:pStyle w:val="TableParagraph"/>
              <w:ind w:left="908"/>
            </w:pPr>
            <w:r>
              <w:t>Category of region</w:t>
            </w:r>
          </w:p>
        </w:tc>
        <w:tc>
          <w:tcPr>
            <w:tcW w:w="3098" w:type="dxa"/>
          </w:tcPr>
          <w:p w14:paraId="65918071" w14:textId="77777777" w:rsidR="00DD13BF" w:rsidRDefault="00DD13BF" w:rsidP="00355A56">
            <w:pPr>
              <w:pStyle w:val="TableParagraph"/>
              <w:ind w:left="950"/>
            </w:pPr>
            <w:r>
              <w:t>Specific objective</w:t>
            </w:r>
          </w:p>
        </w:tc>
        <w:tc>
          <w:tcPr>
            <w:tcW w:w="1160" w:type="dxa"/>
          </w:tcPr>
          <w:p w14:paraId="19F96B5C" w14:textId="77777777" w:rsidR="00DD13BF" w:rsidRDefault="00DD13BF" w:rsidP="00355A56">
            <w:pPr>
              <w:pStyle w:val="TableParagraph"/>
              <w:ind w:left="336"/>
            </w:pPr>
            <w:r>
              <w:t>Code</w:t>
            </w:r>
          </w:p>
        </w:tc>
        <w:tc>
          <w:tcPr>
            <w:tcW w:w="2730" w:type="dxa"/>
          </w:tcPr>
          <w:p w14:paraId="10986903" w14:textId="77777777" w:rsidR="00DD13BF" w:rsidRDefault="00DD13BF" w:rsidP="00355A56">
            <w:pPr>
              <w:pStyle w:val="TableParagraph"/>
              <w:ind w:left="664"/>
            </w:pPr>
            <w:r>
              <w:t>Amount (in EUR)</w:t>
            </w:r>
          </w:p>
        </w:tc>
      </w:tr>
      <w:tr w:rsidR="00DD13BF" w14:paraId="6831032E" w14:textId="77777777" w:rsidTr="00355A56">
        <w:trPr>
          <w:trHeight w:val="353"/>
        </w:trPr>
        <w:tc>
          <w:tcPr>
            <w:tcW w:w="2088" w:type="dxa"/>
          </w:tcPr>
          <w:p w14:paraId="4A09E553" w14:textId="77777777" w:rsidR="00DD13BF" w:rsidRDefault="00DD13BF" w:rsidP="00355A56">
            <w:pPr>
              <w:pStyle w:val="TableParagraph"/>
              <w:rPr>
                <w:sz w:val="20"/>
              </w:rPr>
            </w:pPr>
            <w:r>
              <w:rPr>
                <w:sz w:val="20"/>
              </w:rPr>
              <w:t>6</w:t>
            </w:r>
          </w:p>
        </w:tc>
        <w:tc>
          <w:tcPr>
            <w:tcW w:w="1132" w:type="dxa"/>
          </w:tcPr>
          <w:p w14:paraId="78AF8A93" w14:textId="77777777" w:rsidR="00DD13BF" w:rsidRDefault="00DD13BF" w:rsidP="00355A56">
            <w:pPr>
              <w:pStyle w:val="TableParagraph"/>
              <w:rPr>
                <w:sz w:val="20"/>
              </w:rPr>
            </w:pPr>
            <w:r>
              <w:rPr>
                <w:sz w:val="20"/>
              </w:rPr>
              <w:t>ESF+</w:t>
            </w:r>
          </w:p>
        </w:tc>
        <w:tc>
          <w:tcPr>
            <w:tcW w:w="3248" w:type="dxa"/>
          </w:tcPr>
          <w:p w14:paraId="0164190D" w14:textId="77777777" w:rsidR="00DD13BF" w:rsidRDefault="00DD13BF" w:rsidP="00355A56">
            <w:pPr>
              <w:pStyle w:val="TableParagraph"/>
              <w:rPr>
                <w:sz w:val="20"/>
              </w:rPr>
            </w:pPr>
            <w:r>
              <w:rPr>
                <w:sz w:val="20"/>
              </w:rPr>
              <w:t>Less developed</w:t>
            </w:r>
          </w:p>
        </w:tc>
        <w:tc>
          <w:tcPr>
            <w:tcW w:w="3098" w:type="dxa"/>
          </w:tcPr>
          <w:p w14:paraId="7821ADB5" w14:textId="77777777" w:rsidR="00DD13BF" w:rsidRDefault="00DD13BF" w:rsidP="00355A56">
            <w:pPr>
              <w:pStyle w:val="TableParagraph"/>
              <w:rPr>
                <w:sz w:val="20"/>
              </w:rPr>
            </w:pPr>
            <w:r>
              <w:rPr>
                <w:color w:val="000000"/>
                <w:sz w:val="20"/>
              </w:rPr>
              <w:t>ESO4.1</w:t>
            </w:r>
          </w:p>
        </w:tc>
        <w:tc>
          <w:tcPr>
            <w:tcW w:w="1160" w:type="dxa"/>
          </w:tcPr>
          <w:p w14:paraId="3F11FC7B" w14:textId="77777777" w:rsidR="00DD13BF" w:rsidRDefault="00DD13BF" w:rsidP="00355A56">
            <w:pPr>
              <w:pStyle w:val="TableParagraph"/>
              <w:rPr>
                <w:sz w:val="20"/>
              </w:rPr>
            </w:pPr>
            <w:r>
              <w:rPr>
                <w:sz w:val="20"/>
              </w:rPr>
              <w:t>01</w:t>
            </w:r>
          </w:p>
        </w:tc>
        <w:tc>
          <w:tcPr>
            <w:tcW w:w="2730" w:type="dxa"/>
          </w:tcPr>
          <w:p w14:paraId="300FC623" w14:textId="77777777" w:rsidR="00DD13BF" w:rsidRDefault="00DD13BF" w:rsidP="00355A56">
            <w:pPr>
              <w:pStyle w:val="TableParagraph"/>
              <w:rPr>
                <w:sz w:val="20"/>
              </w:rPr>
            </w:pPr>
            <w:r>
              <w:rPr>
                <w:sz w:val="20"/>
              </w:rPr>
              <w:t>1,770,000</w:t>
            </w:r>
          </w:p>
        </w:tc>
      </w:tr>
      <w:tr w:rsidR="00DD13BF" w14:paraId="5A3A2383" w14:textId="77777777" w:rsidTr="00355A56">
        <w:trPr>
          <w:trHeight w:val="353"/>
        </w:trPr>
        <w:tc>
          <w:tcPr>
            <w:tcW w:w="2088" w:type="dxa"/>
          </w:tcPr>
          <w:p w14:paraId="3B53ED14" w14:textId="77777777" w:rsidR="00DD13BF" w:rsidRDefault="00DD13BF" w:rsidP="00355A56">
            <w:pPr>
              <w:pStyle w:val="TableParagraph"/>
              <w:rPr>
                <w:sz w:val="20"/>
              </w:rPr>
            </w:pPr>
            <w:r>
              <w:rPr>
                <w:sz w:val="20"/>
              </w:rPr>
              <w:t>6</w:t>
            </w:r>
          </w:p>
        </w:tc>
        <w:tc>
          <w:tcPr>
            <w:tcW w:w="1132" w:type="dxa"/>
          </w:tcPr>
          <w:p w14:paraId="1DBAEB4A" w14:textId="77777777" w:rsidR="00DD13BF" w:rsidRDefault="00DD13BF" w:rsidP="00355A56">
            <w:pPr>
              <w:pStyle w:val="TableParagraph"/>
              <w:rPr>
                <w:sz w:val="20"/>
              </w:rPr>
            </w:pPr>
            <w:r>
              <w:rPr>
                <w:sz w:val="20"/>
              </w:rPr>
              <w:t>ESF+</w:t>
            </w:r>
          </w:p>
        </w:tc>
        <w:tc>
          <w:tcPr>
            <w:tcW w:w="3248" w:type="dxa"/>
          </w:tcPr>
          <w:p w14:paraId="26E13340" w14:textId="77777777" w:rsidR="00DD13BF" w:rsidRDefault="00DD13BF" w:rsidP="00355A56">
            <w:pPr>
              <w:pStyle w:val="TableParagraph"/>
              <w:rPr>
                <w:sz w:val="20"/>
              </w:rPr>
            </w:pPr>
            <w:r>
              <w:rPr>
                <w:sz w:val="20"/>
              </w:rPr>
              <w:t>More developed</w:t>
            </w:r>
          </w:p>
        </w:tc>
        <w:tc>
          <w:tcPr>
            <w:tcW w:w="3098" w:type="dxa"/>
          </w:tcPr>
          <w:p w14:paraId="2877EF06" w14:textId="77777777" w:rsidR="00DD13BF" w:rsidRDefault="00DD13BF" w:rsidP="00355A56">
            <w:pPr>
              <w:pStyle w:val="TableParagraph"/>
              <w:rPr>
                <w:sz w:val="20"/>
              </w:rPr>
            </w:pPr>
            <w:r>
              <w:rPr>
                <w:color w:val="000000"/>
                <w:sz w:val="20"/>
              </w:rPr>
              <w:t>ESO4.1</w:t>
            </w:r>
          </w:p>
        </w:tc>
        <w:tc>
          <w:tcPr>
            <w:tcW w:w="1160" w:type="dxa"/>
          </w:tcPr>
          <w:p w14:paraId="1C198BAE" w14:textId="77777777" w:rsidR="00DD13BF" w:rsidRDefault="00DD13BF" w:rsidP="00355A56">
            <w:pPr>
              <w:pStyle w:val="TableParagraph"/>
              <w:rPr>
                <w:sz w:val="20"/>
              </w:rPr>
            </w:pPr>
            <w:r>
              <w:rPr>
                <w:sz w:val="20"/>
              </w:rPr>
              <w:t>01</w:t>
            </w:r>
          </w:p>
        </w:tc>
        <w:tc>
          <w:tcPr>
            <w:tcW w:w="2730" w:type="dxa"/>
          </w:tcPr>
          <w:p w14:paraId="1B10452A" w14:textId="77777777" w:rsidR="00DD13BF" w:rsidRDefault="00DD13BF" w:rsidP="00355A56">
            <w:pPr>
              <w:pStyle w:val="TableParagraph"/>
              <w:rPr>
                <w:sz w:val="20"/>
              </w:rPr>
            </w:pPr>
            <w:r>
              <w:rPr>
                <w:sz w:val="20"/>
              </w:rPr>
              <w:t>430,000</w:t>
            </w:r>
          </w:p>
        </w:tc>
      </w:tr>
      <w:tr w:rsidR="00DD13BF" w14:paraId="0DBE8F46" w14:textId="77777777" w:rsidTr="00355A56">
        <w:trPr>
          <w:trHeight w:val="353"/>
        </w:trPr>
        <w:tc>
          <w:tcPr>
            <w:tcW w:w="2088" w:type="dxa"/>
          </w:tcPr>
          <w:p w14:paraId="03714ED5" w14:textId="77777777" w:rsidR="00DD13BF" w:rsidRDefault="00DD13BF" w:rsidP="00355A56">
            <w:pPr>
              <w:pStyle w:val="TableParagraph"/>
              <w:rPr>
                <w:sz w:val="20"/>
              </w:rPr>
            </w:pPr>
            <w:r>
              <w:rPr>
                <w:sz w:val="20"/>
              </w:rPr>
              <w:t>6</w:t>
            </w:r>
          </w:p>
        </w:tc>
        <w:tc>
          <w:tcPr>
            <w:tcW w:w="1132" w:type="dxa"/>
          </w:tcPr>
          <w:p w14:paraId="2CE9E69F" w14:textId="77777777" w:rsidR="00DD13BF" w:rsidRDefault="00DD13BF" w:rsidP="00355A56">
            <w:pPr>
              <w:pStyle w:val="TableParagraph"/>
              <w:rPr>
                <w:sz w:val="20"/>
              </w:rPr>
            </w:pPr>
            <w:r>
              <w:rPr>
                <w:sz w:val="20"/>
              </w:rPr>
              <w:t>ESF+</w:t>
            </w:r>
          </w:p>
        </w:tc>
        <w:tc>
          <w:tcPr>
            <w:tcW w:w="3248" w:type="dxa"/>
          </w:tcPr>
          <w:p w14:paraId="24411FCE" w14:textId="77777777" w:rsidR="00DD13BF" w:rsidRDefault="00DD13BF" w:rsidP="00355A56">
            <w:pPr>
              <w:pStyle w:val="TableParagraph"/>
              <w:rPr>
                <w:sz w:val="20"/>
              </w:rPr>
            </w:pPr>
            <w:r>
              <w:rPr>
                <w:sz w:val="20"/>
              </w:rPr>
              <w:t>Less developed</w:t>
            </w:r>
          </w:p>
        </w:tc>
        <w:tc>
          <w:tcPr>
            <w:tcW w:w="3098" w:type="dxa"/>
          </w:tcPr>
          <w:p w14:paraId="716DE498" w14:textId="77777777" w:rsidR="00DD13BF" w:rsidRDefault="00DD13BF" w:rsidP="00355A56">
            <w:pPr>
              <w:pStyle w:val="TableParagraph"/>
              <w:rPr>
                <w:sz w:val="20"/>
              </w:rPr>
            </w:pPr>
            <w:r>
              <w:rPr>
                <w:color w:val="000000"/>
                <w:sz w:val="20"/>
              </w:rPr>
              <w:t>ESO4.1</w:t>
            </w:r>
          </w:p>
        </w:tc>
        <w:tc>
          <w:tcPr>
            <w:tcW w:w="1160" w:type="dxa"/>
          </w:tcPr>
          <w:p w14:paraId="1FE7955B" w14:textId="77777777" w:rsidR="00DD13BF" w:rsidRDefault="00DD13BF" w:rsidP="00355A56">
            <w:pPr>
              <w:pStyle w:val="TableParagraph"/>
              <w:rPr>
                <w:sz w:val="20"/>
              </w:rPr>
            </w:pPr>
            <w:r>
              <w:rPr>
                <w:sz w:val="20"/>
              </w:rPr>
              <w:t>02</w:t>
            </w:r>
          </w:p>
        </w:tc>
        <w:tc>
          <w:tcPr>
            <w:tcW w:w="2730" w:type="dxa"/>
          </w:tcPr>
          <w:p w14:paraId="12597A89" w14:textId="77777777" w:rsidR="00DD13BF" w:rsidRDefault="00DD13BF" w:rsidP="00355A56">
            <w:pPr>
              <w:pStyle w:val="TableParagraph"/>
              <w:rPr>
                <w:sz w:val="20"/>
              </w:rPr>
            </w:pPr>
            <w:r>
              <w:rPr>
                <w:sz w:val="20"/>
              </w:rPr>
              <w:t>124,319,721</w:t>
            </w:r>
          </w:p>
        </w:tc>
      </w:tr>
      <w:tr w:rsidR="00DD13BF" w14:paraId="694F717F" w14:textId="77777777" w:rsidTr="00355A56">
        <w:trPr>
          <w:trHeight w:val="353"/>
        </w:trPr>
        <w:tc>
          <w:tcPr>
            <w:tcW w:w="2088" w:type="dxa"/>
          </w:tcPr>
          <w:p w14:paraId="628B1811" w14:textId="77777777" w:rsidR="00DD13BF" w:rsidRDefault="00DD13BF" w:rsidP="00355A56">
            <w:pPr>
              <w:pStyle w:val="TableParagraph"/>
              <w:rPr>
                <w:sz w:val="20"/>
              </w:rPr>
            </w:pPr>
            <w:r>
              <w:rPr>
                <w:sz w:val="20"/>
              </w:rPr>
              <w:t>6</w:t>
            </w:r>
          </w:p>
        </w:tc>
        <w:tc>
          <w:tcPr>
            <w:tcW w:w="1132" w:type="dxa"/>
          </w:tcPr>
          <w:p w14:paraId="0D272164" w14:textId="77777777" w:rsidR="00DD13BF" w:rsidRDefault="00DD13BF" w:rsidP="00355A56">
            <w:pPr>
              <w:pStyle w:val="TableParagraph"/>
              <w:rPr>
                <w:sz w:val="20"/>
              </w:rPr>
            </w:pPr>
            <w:r>
              <w:rPr>
                <w:sz w:val="20"/>
              </w:rPr>
              <w:t>ESF+</w:t>
            </w:r>
          </w:p>
        </w:tc>
        <w:tc>
          <w:tcPr>
            <w:tcW w:w="3248" w:type="dxa"/>
          </w:tcPr>
          <w:p w14:paraId="3138AB4E" w14:textId="77777777" w:rsidR="00DD13BF" w:rsidRDefault="00DD13BF" w:rsidP="00355A56">
            <w:pPr>
              <w:pStyle w:val="TableParagraph"/>
              <w:rPr>
                <w:sz w:val="20"/>
              </w:rPr>
            </w:pPr>
            <w:r>
              <w:rPr>
                <w:sz w:val="20"/>
              </w:rPr>
              <w:t>More developed</w:t>
            </w:r>
          </w:p>
        </w:tc>
        <w:tc>
          <w:tcPr>
            <w:tcW w:w="3098" w:type="dxa"/>
          </w:tcPr>
          <w:p w14:paraId="6610AF18" w14:textId="77777777" w:rsidR="00DD13BF" w:rsidRDefault="00DD13BF" w:rsidP="00355A56">
            <w:pPr>
              <w:pStyle w:val="TableParagraph"/>
              <w:rPr>
                <w:sz w:val="20"/>
              </w:rPr>
            </w:pPr>
            <w:r>
              <w:rPr>
                <w:color w:val="000000"/>
                <w:sz w:val="20"/>
              </w:rPr>
              <w:t>ESO4.1</w:t>
            </w:r>
          </w:p>
        </w:tc>
        <w:tc>
          <w:tcPr>
            <w:tcW w:w="1160" w:type="dxa"/>
          </w:tcPr>
          <w:p w14:paraId="291A0ACE" w14:textId="77777777" w:rsidR="00DD13BF" w:rsidRDefault="00DD13BF" w:rsidP="00355A56">
            <w:pPr>
              <w:pStyle w:val="TableParagraph"/>
              <w:rPr>
                <w:sz w:val="20"/>
              </w:rPr>
            </w:pPr>
            <w:r>
              <w:rPr>
                <w:sz w:val="20"/>
              </w:rPr>
              <w:t>02</w:t>
            </w:r>
          </w:p>
        </w:tc>
        <w:tc>
          <w:tcPr>
            <w:tcW w:w="2730" w:type="dxa"/>
          </w:tcPr>
          <w:p w14:paraId="671D4791" w14:textId="77777777" w:rsidR="00DD13BF" w:rsidRDefault="00DD13BF" w:rsidP="00355A56">
            <w:pPr>
              <w:pStyle w:val="TableParagraph"/>
              <w:rPr>
                <w:sz w:val="20"/>
              </w:rPr>
            </w:pPr>
            <w:r>
              <w:rPr>
                <w:sz w:val="20"/>
              </w:rPr>
              <w:t>17,449,783</w:t>
            </w:r>
          </w:p>
        </w:tc>
      </w:tr>
    </w:tbl>
    <w:p w14:paraId="27C1FD97" w14:textId="77777777" w:rsidR="00DD13BF" w:rsidRDefault="00DD13BF" w:rsidP="00DD13BF">
      <w:pPr>
        <w:tabs>
          <w:tab w:val="left" w:pos="426"/>
        </w:tabs>
        <w:ind w:left="284"/>
        <w:rPr>
          <w:spacing w:val="-2"/>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582A4546" w14:textId="77777777" w:rsidR="00DD13BF" w:rsidRDefault="00DD13BF" w:rsidP="00DD13BF">
      <w:r>
        <w:br w:type="page"/>
      </w:r>
    </w:p>
    <w:p w14:paraId="68B069D7" w14:textId="77777777" w:rsidR="00DD13BF" w:rsidRPr="00BD3536" w:rsidRDefault="00DD13BF" w:rsidP="00DD13BF">
      <w:pPr>
        <w:pStyle w:val="Naslov4"/>
        <w:ind w:left="1134"/>
      </w:pPr>
      <w:bookmarkStart w:id="42" w:name="_Toc131161718"/>
      <w:r>
        <w:lastRenderedPageBreak/>
        <w:t>Specific objective ESO4.2. Modernising labour market institutions and services to assess and anticipate skills needs and ensure timely and tailormade assistance and support for labour market matching, transitions and mobility (ESF+)</w:t>
      </w:r>
      <w:bookmarkEnd w:id="42"/>
    </w:p>
    <w:p w14:paraId="52D94E06" w14:textId="77777777" w:rsidR="00DD13BF" w:rsidRDefault="00DD13BF" w:rsidP="00DD13BF">
      <w:pPr>
        <w:rPr>
          <w:sz w:val="30"/>
        </w:rPr>
      </w:pPr>
    </w:p>
    <w:p w14:paraId="75930BC0" w14:textId="77777777" w:rsidR="00DD13BF" w:rsidRPr="00C10464" w:rsidRDefault="00DD13BF" w:rsidP="00DD13BF">
      <w:pPr>
        <w:pStyle w:val="Naslov5"/>
        <w:spacing w:before="0"/>
      </w:pPr>
      <w:r>
        <w:t>Interventions of the Funds</w:t>
      </w:r>
    </w:p>
    <w:p w14:paraId="2536C135" w14:textId="77777777" w:rsidR="00DD13BF" w:rsidRDefault="00DD13BF" w:rsidP="00DD13BF">
      <w:pPr>
        <w:rPr>
          <w:sz w:val="30"/>
        </w:rPr>
      </w:pPr>
    </w:p>
    <w:p w14:paraId="409EDCDB" w14:textId="77777777" w:rsidR="00DD13BF" w:rsidRPr="00331DDB" w:rsidRDefault="00DD13BF" w:rsidP="00DD13BF">
      <w:pPr>
        <w:ind w:left="1349"/>
      </w:pPr>
      <w:r>
        <w:t>Related types of actions:</w:t>
      </w:r>
    </w:p>
    <w:p w14:paraId="298B85CB"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51EC65DE" w14:textId="77777777" w:rsidTr="00355A56">
        <w:trPr>
          <w:trHeight w:val="316"/>
        </w:trPr>
        <w:tc>
          <w:tcPr>
            <w:tcW w:w="12758" w:type="dxa"/>
          </w:tcPr>
          <w:p w14:paraId="6898741E" w14:textId="77777777" w:rsidR="00DD13BF" w:rsidRPr="00C4473B" w:rsidRDefault="00DD13BF" w:rsidP="00355A56">
            <w:pPr>
              <w:jc w:val="both"/>
              <w:rPr>
                <w:rFonts w:cstheme="minorBidi"/>
              </w:rPr>
            </w:pPr>
            <w:r>
              <w:t>The modernisation of labour market institutions and services and the modernisation of their services will facilitate better coordination of supply and demand, anticipation of skill needs, transitions and mobility in the labour market and, above all, adequate training of employees in labour market institutions. Additional digitisation and rationalisation of work processes, development of new services, strengthening of the integration of all stakeholders in the labour market are planned, as also highlighted in the Proposal for a Joint Employment Report from the Commission and the Council accompanying the Communication from the Commission on the Annual Sustainable Growth Strategy 2020</w:t>
            </w:r>
            <w:r w:rsidRPr="0848C57F">
              <w:rPr>
                <w:rStyle w:val="Sprotnaopomba-sklic"/>
                <w:rFonts w:cstheme="minorBidi"/>
              </w:rPr>
              <w:footnoteReference w:id="159"/>
            </w:r>
            <w:r>
              <w:t xml:space="preserve">. </w:t>
            </w:r>
          </w:p>
          <w:p w14:paraId="3BAB85A8" w14:textId="77777777" w:rsidR="00DD13BF" w:rsidRDefault="00DD13BF" w:rsidP="00355A56">
            <w:pPr>
              <w:jc w:val="both"/>
            </w:pPr>
          </w:p>
          <w:p w14:paraId="3E3340F1" w14:textId="77777777" w:rsidR="00DD13BF" w:rsidRDefault="00DD13BF" w:rsidP="00355A56">
            <w:pPr>
              <w:jc w:val="both"/>
              <w:rPr>
                <w:rFonts w:cstheme="minorHAnsi"/>
              </w:rPr>
            </w:pPr>
            <w:r>
              <w:t>About half of inactive young people who are not registered as unemployed are NEET. This is a particularly vulnerable target group of young people who have neither education or professional qualifications nor suitable work experience and competences; therefore, this group needs adapted measures to be successfully integrated into the labour market and society, avoiding more permanent long-term consequences for individuals and society</w:t>
            </w:r>
          </w:p>
          <w:p w14:paraId="4F4F3F42" w14:textId="77777777" w:rsidR="00DD13BF" w:rsidRDefault="00DD13BF" w:rsidP="00355A56">
            <w:pPr>
              <w:jc w:val="both"/>
              <w:rPr>
                <w:rFonts w:cstheme="minorHAnsi"/>
              </w:rPr>
            </w:pPr>
          </w:p>
          <w:p w14:paraId="2E3A9B6C" w14:textId="77777777" w:rsidR="00DD13BF" w:rsidRDefault="00DD13BF" w:rsidP="00355A56">
            <w:pPr>
              <w:jc w:val="both"/>
              <w:rPr>
                <w:rFonts w:cstheme="minorHAnsi"/>
              </w:rPr>
            </w:pPr>
            <w:r>
              <w:t>Under the specific objective ESO4.2, most measures will address the fields stated below, which will comply with the objective of climate neutrality and digital transition:</w:t>
            </w:r>
          </w:p>
          <w:p w14:paraId="19694CE9" w14:textId="77777777" w:rsidR="00DD13BF" w:rsidRPr="00C4473B" w:rsidRDefault="00DD13BF" w:rsidP="00355A56">
            <w:pPr>
              <w:jc w:val="both"/>
              <w:rPr>
                <w:rFonts w:cstheme="minorHAnsi"/>
              </w:rPr>
            </w:pPr>
          </w:p>
          <w:p w14:paraId="77B855D7" w14:textId="77777777" w:rsidR="00DD13BF" w:rsidRDefault="00DD13BF" w:rsidP="00DD13BF">
            <w:pPr>
              <w:widowControl/>
              <w:numPr>
                <w:ilvl w:val="0"/>
                <w:numId w:val="32"/>
              </w:numPr>
              <w:autoSpaceDE/>
              <w:autoSpaceDN/>
              <w:jc w:val="both"/>
              <w:rPr>
                <w:rFonts w:cstheme="minorBidi"/>
              </w:rPr>
            </w:pPr>
            <w:r>
              <w:rPr>
                <w:i/>
                <w:iCs/>
              </w:rPr>
              <w:t>Developing and upgrading the labour market platform for long-term forecasting of knowledge and skills</w:t>
            </w:r>
            <w:r>
              <w:t xml:space="preserve"> required in the labour market: the measure is intended to establish a comprehensive and systematic tool for skills forecasting for individual occupations; therefore, instruments will be developed and upgraded as part of the measure, such as the labour market platform for skills forecasting, which will be a tool supported by advanced technology and methodology for three key fields of personnel development: (i) mid- to long-term forecasting of needs for occupations and competences; (ii) identification of gaps in occupations and competences in accordance with forecasts and discrepancies in real time; and (iii) proposal for placement of relevant competences in existing and potential new education/training programmes in accordance with the needs of the labour market/gaps identified in occupations and competences.</w:t>
            </w:r>
          </w:p>
          <w:p w14:paraId="75C21914" w14:textId="77777777" w:rsidR="00DD13BF" w:rsidRDefault="00DD13BF" w:rsidP="00355A56">
            <w:pPr>
              <w:ind w:left="720"/>
              <w:jc w:val="both"/>
              <w:rPr>
                <w:rFonts w:cstheme="minorBidi"/>
              </w:rPr>
            </w:pPr>
          </w:p>
          <w:p w14:paraId="32491DC3" w14:textId="77777777" w:rsidR="00DD13BF" w:rsidRPr="00C7179E" w:rsidRDefault="00DD13BF" w:rsidP="00DD13BF">
            <w:pPr>
              <w:widowControl/>
              <w:numPr>
                <w:ilvl w:val="0"/>
                <w:numId w:val="32"/>
              </w:numPr>
              <w:autoSpaceDE/>
              <w:autoSpaceDN/>
              <w:jc w:val="both"/>
              <w:rPr>
                <w:rFonts w:asciiTheme="minorHAnsi" w:eastAsiaTheme="minorEastAsia" w:hAnsiTheme="minorHAnsi" w:cstheme="minorBidi"/>
                <w:i/>
                <w:iCs/>
              </w:rPr>
            </w:pPr>
            <w:r>
              <w:rPr>
                <w:i/>
                <w:iCs/>
              </w:rPr>
              <w:t>Modernising services and integrating labour market institutions</w:t>
            </w:r>
            <w:r>
              <w:t xml:space="preserve"> for faster, more efficient and targeted implementation of measures in the field of active employment policy to reduce discrepancies in the labour market more effectively. The following measures are planned to be implemented in the said field: </w:t>
            </w:r>
          </w:p>
          <w:p w14:paraId="3A07814E" w14:textId="77777777" w:rsidR="00DD13BF" w:rsidRPr="00C7179E" w:rsidRDefault="00DD13BF" w:rsidP="00DD13BF">
            <w:pPr>
              <w:widowControl/>
              <w:numPr>
                <w:ilvl w:val="1"/>
                <w:numId w:val="32"/>
              </w:numPr>
              <w:autoSpaceDE/>
              <w:autoSpaceDN/>
              <w:jc w:val="both"/>
              <w:rPr>
                <w:iCs/>
              </w:rPr>
            </w:pPr>
            <w:r>
              <w:lastRenderedPageBreak/>
              <w:t xml:space="preserve">Strengthening the network of offices for employers at the ZRSZ, which provide employers with services in accordance with the “one-stop shop” principle. The needs point to the necessity of introducing new advisory services for employers, which will exploit the possibilities of digitisation, and promote inclusivity and diversity in the workplace, social responsibility and permanent employment, and connecting with employers’ associations at national and regional levels. This will support the needs of employers in finding suitable personnel. </w:t>
            </w:r>
          </w:p>
          <w:p w14:paraId="4CF86168" w14:textId="77777777" w:rsidR="00DD13BF" w:rsidRPr="00C7179E" w:rsidRDefault="00DD13BF" w:rsidP="00DD13BF">
            <w:pPr>
              <w:widowControl/>
              <w:numPr>
                <w:ilvl w:val="1"/>
                <w:numId w:val="32"/>
              </w:numPr>
              <w:autoSpaceDE/>
              <w:autoSpaceDN/>
              <w:jc w:val="both"/>
              <w:rPr>
                <w:iCs/>
              </w:rPr>
            </w:pPr>
            <w:r>
              <w:t>Modernisation of services in labour market institutions: the key objective is to establish an “advanced employment platform” that effectively connects employers and jobseekers and the institution’s advisers. The measure ensures coordinated, directed and connected work of key institutions in the labour market (such as ZRSZ, JŠRIPS, social work centres and others that can contribute to improving the situation in the labour market), which will enable the problem of long-term unemployment to be effectively addressed and new labour market challenges to be managed. The aforementioned requires networking and cooperation between institutions in the labour market, and consideration of individual needs at the ZRSZ including in cooperation with other institutions. According to the results of the OECD analysis in the framework of the project “Active employment policy aiming to reduce long-term unemployment in Slovenia”, it is crucial for the ZRSZ to enhance the provision of remote services (such as online services, telephone, e-mail), improve the training/ability of the ZRSZ to provide advice, strengthen profiling services for unemployed persons, and further adapt programmes and services.</w:t>
            </w:r>
          </w:p>
          <w:p w14:paraId="6FBDA4FA" w14:textId="77777777" w:rsidR="00DD13BF" w:rsidRPr="00C4473B" w:rsidRDefault="00DD13BF" w:rsidP="00355A56">
            <w:pPr>
              <w:ind w:left="720"/>
              <w:jc w:val="both"/>
              <w:rPr>
                <w:rFonts w:cstheme="minorHAnsi"/>
              </w:rPr>
            </w:pPr>
          </w:p>
          <w:p w14:paraId="596EEEA0" w14:textId="77777777" w:rsidR="00DD13BF" w:rsidRPr="005B43C2" w:rsidRDefault="00DD13BF" w:rsidP="00DD13BF">
            <w:pPr>
              <w:widowControl/>
              <w:numPr>
                <w:ilvl w:val="0"/>
                <w:numId w:val="32"/>
              </w:numPr>
              <w:autoSpaceDE/>
              <w:autoSpaceDN/>
              <w:jc w:val="both"/>
              <w:rPr>
                <w:rFonts w:cstheme="minorBidi"/>
              </w:rPr>
            </w:pPr>
            <w:r>
              <w:rPr>
                <w:i/>
                <w:iCs/>
              </w:rPr>
              <w:t>Continued operation of the EURES network of national coordination offices</w:t>
            </w:r>
            <w:r>
              <w:t>, which works to support worker mobility when entering the EU labour market. By providing services, the EURES network will contribute to informing and raising awareness of mobile workers of their rights and provide support in career decisions in the event of a desire for mobility and in dealing with the situation in the EU labour market. The foreseen measure provides “active support in employment”. This will in turn support the needs of employers in finding suitable personnel. The Slovenian EURES will participate in the activities of the European Labour Authority in promoting and providing fair mobility for workers in the EU and the ALMA initiative (in this context, the National Mobility Scheme for NEET will be implemented; considering the characteristics of the NEET target group and the issue of employment of young people between 18 and 35 years of age, which is related to long-term unemployment, this problem is detected in all statistical regions of Slovenia), which will contribute to the realisation of the European Pillar of Social Rights, Chapter II “Fair working conditions”.</w:t>
            </w:r>
          </w:p>
          <w:p w14:paraId="0FC547DF" w14:textId="77777777" w:rsidR="00DD13BF" w:rsidRDefault="00DD13BF" w:rsidP="00355A56">
            <w:pPr>
              <w:ind w:left="720"/>
              <w:jc w:val="both"/>
              <w:rPr>
                <w:i/>
                <w:iCs/>
              </w:rPr>
            </w:pPr>
          </w:p>
          <w:p w14:paraId="1E62DE07" w14:textId="77777777" w:rsidR="00DD13BF" w:rsidRPr="007D7F83" w:rsidRDefault="00DD13BF" w:rsidP="00355A56">
            <w:pPr>
              <w:ind w:left="38"/>
              <w:jc w:val="both"/>
              <w:rPr>
                <w:rFonts w:cstheme="minorBidi"/>
              </w:rPr>
            </w:pPr>
            <w:r>
              <w:t xml:space="preserve">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 </w:t>
            </w:r>
          </w:p>
        </w:tc>
      </w:tr>
    </w:tbl>
    <w:p w14:paraId="750CDFBE" w14:textId="77777777" w:rsidR="00DD13BF" w:rsidRDefault="00DD13BF" w:rsidP="00DD13BF">
      <w:pPr>
        <w:ind w:left="1349"/>
        <w:rPr>
          <w:spacing w:val="-6"/>
        </w:rPr>
      </w:pPr>
    </w:p>
    <w:p w14:paraId="09F08406" w14:textId="77777777" w:rsidR="00DD13BF" w:rsidRDefault="00DD13BF" w:rsidP="00DD13BF">
      <w:pPr>
        <w:ind w:left="1349"/>
      </w:pPr>
      <w:r>
        <w:t>Main target groups:</w:t>
      </w:r>
    </w:p>
    <w:p w14:paraId="6B05815D"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25E681F" w14:textId="77777777" w:rsidTr="00355A56">
        <w:tc>
          <w:tcPr>
            <w:tcW w:w="12763" w:type="dxa"/>
          </w:tcPr>
          <w:p w14:paraId="4D40CCE9" w14:textId="77777777" w:rsidR="00DD13BF" w:rsidRDefault="00DD13BF" w:rsidP="00355A56">
            <w:pPr>
              <w:jc w:val="both"/>
              <w:rPr>
                <w:rFonts w:cstheme="minorBidi"/>
              </w:rPr>
            </w:pPr>
            <w:r>
              <w:t>Target groups: ZRSZ, institutions operating in the labour market (e.g. SURS, CPI, UMAR, JŠRIPS, social work centres, Labour Inspectorate, etc.), jobseekers, including NEET, employers, social partners, NGOs, employers’ associations.</w:t>
            </w:r>
          </w:p>
          <w:p w14:paraId="4A01F7DC" w14:textId="77777777" w:rsidR="00DD13BF" w:rsidRDefault="00DD13BF" w:rsidP="00355A56">
            <w:pPr>
              <w:jc w:val="both"/>
              <w:rPr>
                <w:rFonts w:cstheme="minorBidi"/>
              </w:rPr>
            </w:pPr>
          </w:p>
          <w:p w14:paraId="488E9E5E" w14:textId="77777777" w:rsidR="00DD13BF" w:rsidRPr="00B3569A" w:rsidRDefault="00DD13BF" w:rsidP="00355A56">
            <w:pPr>
              <w:jc w:val="both"/>
              <w:rPr>
                <w:rFonts w:cstheme="minorBidi"/>
              </w:rPr>
            </w:pPr>
            <w:r>
              <w:lastRenderedPageBreak/>
              <w:t>Beneficiaries: ZRSZ, JŠRIPS and social work centres.</w:t>
            </w:r>
          </w:p>
        </w:tc>
      </w:tr>
    </w:tbl>
    <w:p w14:paraId="1ACD3D4A" w14:textId="77777777" w:rsidR="00DD13BF" w:rsidRPr="006B7178" w:rsidRDefault="00DD13BF" w:rsidP="00DD13BF">
      <w:pPr>
        <w:ind w:left="1349"/>
      </w:pPr>
    </w:p>
    <w:p w14:paraId="4EB4F30F" w14:textId="77777777" w:rsidR="00DD13BF" w:rsidRDefault="00DD13BF" w:rsidP="00DD13BF">
      <w:pPr>
        <w:ind w:left="1349"/>
        <w:rPr>
          <w:spacing w:val="-2"/>
        </w:rPr>
      </w:pPr>
      <w:r>
        <w:t>Measures to protect equality, inclusion and non-discrimination:</w:t>
      </w:r>
    </w:p>
    <w:p w14:paraId="0EDD629D"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63A2D442" w14:textId="77777777" w:rsidTr="00355A56">
        <w:tc>
          <w:tcPr>
            <w:tcW w:w="12715" w:type="dxa"/>
          </w:tcPr>
          <w:p w14:paraId="5E1CE48B" w14:textId="77777777" w:rsidR="00DD13BF" w:rsidRDefault="00DD13BF" w:rsidP="00355A56">
            <w:pPr>
              <w:jc w:val="both"/>
              <w:rPr>
                <w:rFonts w:cstheme="minorHAnsi"/>
              </w:rPr>
            </w:pPr>
            <w:r>
              <w:t>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p w14:paraId="15789B97" w14:textId="77777777" w:rsidR="00DD13BF" w:rsidRDefault="00DD13BF" w:rsidP="00355A56">
            <w:pPr>
              <w:jc w:val="both"/>
              <w:rPr>
                <w:rFonts w:cstheme="minorHAnsi"/>
              </w:rPr>
            </w:pPr>
          </w:p>
          <w:p w14:paraId="4EF5A355" w14:textId="77777777" w:rsidR="00DD13BF" w:rsidRDefault="00DD13BF" w:rsidP="00355A56">
            <w:pPr>
              <w:jc w:val="both"/>
              <w:rPr>
                <w:rFonts w:cstheme="minorHAnsi"/>
              </w:rPr>
            </w:pPr>
            <w:r>
              <w:t>The EURES services will be open to all EU/EEA and Swiss Confederation citizens, regardless of gender and status, and support the implementation of the European Pillar of Social Rights - Chapter I: Equal opportunities and access to the labour market. It will promote the equality of inclusion in the national mobility scheme or non-discriminatory access to services.</w:t>
            </w:r>
          </w:p>
          <w:p w14:paraId="4087C58D" w14:textId="77777777" w:rsidR="00DD13BF" w:rsidRDefault="00DD13BF" w:rsidP="00355A56">
            <w:pPr>
              <w:jc w:val="both"/>
              <w:rPr>
                <w:rFonts w:cstheme="minorHAnsi"/>
              </w:rPr>
            </w:pPr>
          </w:p>
          <w:p w14:paraId="33B28B9D" w14:textId="77777777" w:rsidR="00DD13BF" w:rsidRPr="00B3569A" w:rsidRDefault="00DD13BF" w:rsidP="00355A56">
            <w:pPr>
              <w:jc w:val="both"/>
              <w:rPr>
                <w:rFonts w:cstheme="minorHAnsi"/>
              </w:rPr>
            </w:pPr>
            <w:r>
              <w:t>When implementing the measures, the principle of gender equality will be taken into account. The measures will also address the most vulnerable groups of women and men.</w:t>
            </w:r>
          </w:p>
        </w:tc>
      </w:tr>
    </w:tbl>
    <w:p w14:paraId="78B5DA17" w14:textId="77777777" w:rsidR="00DD13BF" w:rsidRDefault="00DD13BF" w:rsidP="00DD13BF">
      <w:pPr>
        <w:rPr>
          <w:sz w:val="20"/>
        </w:rPr>
      </w:pPr>
    </w:p>
    <w:p w14:paraId="737C96B1" w14:textId="77777777" w:rsidR="00DD13BF" w:rsidRDefault="00DD13BF" w:rsidP="00DD13BF">
      <w:pPr>
        <w:ind w:left="1415"/>
        <w:rPr>
          <w:spacing w:val="-4"/>
        </w:rPr>
      </w:pPr>
      <w:r>
        <w:t>Indication of the specific territories targeted, including the planned use of territorial tools:</w:t>
      </w:r>
    </w:p>
    <w:p w14:paraId="0DAE0BB3"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4872E888" w14:textId="77777777" w:rsidTr="00355A56">
        <w:tc>
          <w:tcPr>
            <w:tcW w:w="12763" w:type="dxa"/>
          </w:tcPr>
          <w:p w14:paraId="69038E31" w14:textId="77777777" w:rsidR="00DD13BF" w:rsidRPr="00B3569A" w:rsidRDefault="00DD13BF" w:rsidP="00355A56">
            <w:pPr>
              <w:rPr>
                <w:rFonts w:cstheme="minorHAnsi"/>
              </w:rPr>
            </w:pPr>
            <w:r>
              <w:t>Under this specific objective, the use of territorial tools is not foreseen.</w:t>
            </w:r>
          </w:p>
        </w:tc>
      </w:tr>
    </w:tbl>
    <w:p w14:paraId="7B4F9779" w14:textId="77777777" w:rsidR="00DD13BF" w:rsidRDefault="00DD13BF" w:rsidP="00DD13BF">
      <w:pPr>
        <w:rPr>
          <w:sz w:val="18"/>
        </w:rPr>
      </w:pPr>
    </w:p>
    <w:p w14:paraId="3772F6A4" w14:textId="77777777" w:rsidR="00DD13BF" w:rsidRDefault="00DD13BF" w:rsidP="00DD13BF">
      <w:pPr>
        <w:ind w:left="1415"/>
      </w:pPr>
      <w:r>
        <w:t>The interregional, cross-border and transnational actions:</w:t>
      </w:r>
    </w:p>
    <w:p w14:paraId="506CCAD1"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70FF3C3" w14:textId="77777777" w:rsidTr="00355A56">
        <w:tc>
          <w:tcPr>
            <w:tcW w:w="12763" w:type="dxa"/>
          </w:tcPr>
          <w:p w14:paraId="78AD9A93" w14:textId="77777777" w:rsidR="00DD13BF" w:rsidRPr="00B3569A" w:rsidRDefault="00DD13BF" w:rsidP="00355A56">
            <w:pPr>
              <w:jc w:val="both"/>
              <w:rPr>
                <w:rFonts w:cstheme="minorHAnsi"/>
              </w:rPr>
            </w:pPr>
            <w:r>
              <w:t xml:space="preserve">EURES (EURopean Employment Services) is a network of employment services, and their national members and partners in the 27 EU Member States and Switzerland, Iceland, Liechtenstein and Norway. Participating in the EURES network means being part of a network of more than 1,000 EURES advisers from the stated 31 countries, through which advice and job placement in the European labour market, and information on life and work in the EU/EGP Member States and Switzerland are provided. The EURES services go beyond the boundaries of the programme area, as they are open to all EU/EEA and Swiss Confederation citizens. Participation in the network of EURES coordination offices covers various forms of connection, such as regular meetings, participation in workshops, etc. </w:t>
            </w:r>
          </w:p>
        </w:tc>
      </w:tr>
    </w:tbl>
    <w:p w14:paraId="7A074B24" w14:textId="77777777" w:rsidR="00DD13BF" w:rsidRDefault="00DD13BF" w:rsidP="00DD13BF">
      <w:pPr>
        <w:rPr>
          <w:sz w:val="17"/>
        </w:rPr>
      </w:pPr>
    </w:p>
    <w:p w14:paraId="04DA92FA" w14:textId="77777777" w:rsidR="00DD13BF" w:rsidRDefault="00DD13BF" w:rsidP="00DD13BF">
      <w:pPr>
        <w:ind w:left="1415"/>
        <w:rPr>
          <w:spacing w:val="-3"/>
        </w:rPr>
      </w:pPr>
      <w:r>
        <w:t>Planned use of financial instruments:</w:t>
      </w:r>
    </w:p>
    <w:p w14:paraId="50452DB4"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0C46522C" w14:textId="77777777" w:rsidTr="00355A56">
        <w:tc>
          <w:tcPr>
            <w:tcW w:w="12758" w:type="dxa"/>
          </w:tcPr>
          <w:p w14:paraId="08F724AA" w14:textId="77777777" w:rsidR="00DD13BF" w:rsidRPr="00B3569A" w:rsidRDefault="00DD13BF" w:rsidP="00355A56">
            <w:pPr>
              <w:jc w:val="both"/>
              <w:rPr>
                <w:rFonts w:cstheme="minorHAnsi"/>
              </w:rPr>
            </w:pPr>
            <w:r>
              <w:t xml:space="preserve">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use of financial instruments is not sensible or appropriate, since the proposed measures do not generate revenues or savings. The use of grants is foreseen, as the beneficiaries are public institutes that implement measures at the national level, for which they obtain national funds or other dedicated funds, such as project funds, and do not have market activities that could be used to cover loans from financial instruments. </w:t>
            </w:r>
          </w:p>
        </w:tc>
      </w:tr>
    </w:tbl>
    <w:p w14:paraId="00CB0F3F" w14:textId="77777777" w:rsidR="00DD13BF" w:rsidRDefault="00DD13BF" w:rsidP="00DD13BF">
      <w:pPr>
        <w:rPr>
          <w:sz w:val="20"/>
        </w:rPr>
      </w:pPr>
    </w:p>
    <w:p w14:paraId="09148C47" w14:textId="77777777" w:rsidR="00DD13BF" w:rsidRDefault="00DD13BF" w:rsidP="00DD13BF">
      <w:pPr>
        <w:rPr>
          <w:sz w:val="20"/>
        </w:rPr>
      </w:pPr>
    </w:p>
    <w:p w14:paraId="74562F98" w14:textId="77777777" w:rsidR="00DD13BF" w:rsidRDefault="00DD13BF" w:rsidP="00DD13BF">
      <w:pPr>
        <w:pStyle w:val="Naslov5"/>
        <w:spacing w:before="0"/>
      </w:pPr>
      <w:r>
        <w:t>Indicators</w:t>
      </w:r>
    </w:p>
    <w:p w14:paraId="296CE194" w14:textId="77777777" w:rsidR="00DD13BF" w:rsidRDefault="00DD13BF" w:rsidP="00DD13BF"/>
    <w:p w14:paraId="5116B6AB" w14:textId="77777777" w:rsidR="00DD13BF" w:rsidRDefault="00DD13BF" w:rsidP="00DD13BF">
      <w:pPr>
        <w:ind w:left="379"/>
      </w:pPr>
      <w:r>
        <w:t>Table 2: Impact indicators</w:t>
      </w:r>
    </w:p>
    <w:p w14:paraId="6F6A9808" w14:textId="77777777" w:rsidR="00DD13BF" w:rsidRDefault="00DD13BF" w:rsidP="00DD13BF">
      <w:pPr>
        <w:rPr>
          <w:sz w:val="21"/>
        </w:rPr>
      </w:pPr>
    </w:p>
    <w:tbl>
      <w:tblPr>
        <w:tblStyle w:val="NormalTable0"/>
        <w:tblW w:w="13883"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276"/>
        <w:gridCol w:w="708"/>
        <w:gridCol w:w="1701"/>
        <w:gridCol w:w="778"/>
        <w:gridCol w:w="4467"/>
        <w:gridCol w:w="1276"/>
        <w:gridCol w:w="1418"/>
        <w:gridCol w:w="1134"/>
      </w:tblGrid>
      <w:tr w:rsidR="00DD13BF" w14:paraId="113A5F8B" w14:textId="77777777" w:rsidTr="00355A56">
        <w:trPr>
          <w:trHeight w:val="254"/>
        </w:trPr>
        <w:tc>
          <w:tcPr>
            <w:tcW w:w="1125" w:type="dxa"/>
            <w:vAlign w:val="center"/>
          </w:tcPr>
          <w:p w14:paraId="675769E8" w14:textId="77777777" w:rsidR="00DD13BF" w:rsidRDefault="00DD13BF" w:rsidP="00355A56">
            <w:pPr>
              <w:pStyle w:val="TableParagraph"/>
              <w:ind w:right="82"/>
            </w:pPr>
            <w:r>
              <w:t>Priority</w:t>
            </w:r>
          </w:p>
        </w:tc>
        <w:tc>
          <w:tcPr>
            <w:tcW w:w="1276" w:type="dxa"/>
            <w:vAlign w:val="center"/>
          </w:tcPr>
          <w:p w14:paraId="1F86E4FD" w14:textId="77777777" w:rsidR="00DD13BF" w:rsidRDefault="00DD13BF" w:rsidP="00355A56">
            <w:pPr>
              <w:pStyle w:val="TableParagraph"/>
            </w:pPr>
            <w:r>
              <w:t>Specific objective</w:t>
            </w:r>
          </w:p>
        </w:tc>
        <w:tc>
          <w:tcPr>
            <w:tcW w:w="708" w:type="dxa"/>
            <w:vAlign w:val="center"/>
          </w:tcPr>
          <w:p w14:paraId="150B937B" w14:textId="77777777" w:rsidR="00DD13BF" w:rsidRDefault="00DD13BF" w:rsidP="00355A56">
            <w:pPr>
              <w:pStyle w:val="TableParagraph"/>
            </w:pPr>
            <w:r>
              <w:t>Fund</w:t>
            </w:r>
          </w:p>
        </w:tc>
        <w:tc>
          <w:tcPr>
            <w:tcW w:w="1701" w:type="dxa"/>
            <w:vAlign w:val="center"/>
          </w:tcPr>
          <w:p w14:paraId="782599CA" w14:textId="77777777" w:rsidR="00DD13BF" w:rsidRDefault="00DD13BF" w:rsidP="00355A56">
            <w:pPr>
              <w:pStyle w:val="TableParagraph"/>
            </w:pPr>
            <w:r>
              <w:t>Category of region</w:t>
            </w:r>
          </w:p>
        </w:tc>
        <w:tc>
          <w:tcPr>
            <w:tcW w:w="778" w:type="dxa"/>
            <w:vAlign w:val="center"/>
          </w:tcPr>
          <w:p w14:paraId="5589DEDB" w14:textId="77777777" w:rsidR="00DD13BF" w:rsidRPr="00347461" w:rsidRDefault="00DD13BF" w:rsidP="00355A56">
            <w:pPr>
              <w:pStyle w:val="TableParagraph"/>
              <w:rPr>
                <w:sz w:val="20"/>
              </w:rPr>
            </w:pPr>
            <w:r>
              <w:t>ID</w:t>
            </w:r>
          </w:p>
        </w:tc>
        <w:tc>
          <w:tcPr>
            <w:tcW w:w="4467" w:type="dxa"/>
            <w:vAlign w:val="center"/>
          </w:tcPr>
          <w:p w14:paraId="253756CB" w14:textId="77777777" w:rsidR="00DD13BF" w:rsidRPr="00347461" w:rsidRDefault="00DD13BF" w:rsidP="00355A56">
            <w:pPr>
              <w:pStyle w:val="TableParagraph"/>
              <w:rPr>
                <w:sz w:val="20"/>
              </w:rPr>
            </w:pPr>
            <w:r>
              <w:t>Indicators</w:t>
            </w:r>
          </w:p>
        </w:tc>
        <w:tc>
          <w:tcPr>
            <w:tcW w:w="1276" w:type="dxa"/>
            <w:vAlign w:val="center"/>
          </w:tcPr>
          <w:p w14:paraId="57097E6A" w14:textId="77777777" w:rsidR="00DD13BF" w:rsidRPr="00347461" w:rsidRDefault="00DD13BF" w:rsidP="00355A56">
            <w:pPr>
              <w:pStyle w:val="TableParagraph"/>
              <w:rPr>
                <w:sz w:val="20"/>
              </w:rPr>
            </w:pPr>
            <w:r>
              <w:t>Measurement unit</w:t>
            </w:r>
          </w:p>
        </w:tc>
        <w:tc>
          <w:tcPr>
            <w:tcW w:w="1418" w:type="dxa"/>
            <w:vAlign w:val="center"/>
          </w:tcPr>
          <w:p w14:paraId="22438C17" w14:textId="77777777" w:rsidR="00DD13BF" w:rsidRPr="00347461" w:rsidRDefault="00DD13BF" w:rsidP="00355A56">
            <w:pPr>
              <w:pStyle w:val="TableParagraph"/>
              <w:rPr>
                <w:sz w:val="20"/>
              </w:rPr>
            </w:pPr>
            <w:r>
              <w:t>Milestone (2014)</w:t>
            </w:r>
          </w:p>
        </w:tc>
        <w:tc>
          <w:tcPr>
            <w:tcW w:w="1134" w:type="dxa"/>
            <w:vAlign w:val="center"/>
          </w:tcPr>
          <w:p w14:paraId="14621132" w14:textId="77777777" w:rsidR="00DD13BF" w:rsidRDefault="00DD13BF" w:rsidP="00355A56">
            <w:pPr>
              <w:pStyle w:val="TableParagraph"/>
            </w:pPr>
            <w:r>
              <w:t>Target (2029)</w:t>
            </w:r>
          </w:p>
        </w:tc>
      </w:tr>
      <w:tr w:rsidR="00DD13BF" w:rsidRPr="00040011" w14:paraId="13F230C5" w14:textId="77777777" w:rsidTr="00355A56">
        <w:trPr>
          <w:trHeight w:val="367"/>
        </w:trPr>
        <w:tc>
          <w:tcPr>
            <w:tcW w:w="1125" w:type="dxa"/>
          </w:tcPr>
          <w:p w14:paraId="077009B4" w14:textId="77777777" w:rsidR="00DD13BF" w:rsidRPr="00040011" w:rsidRDefault="00DD13BF" w:rsidP="00355A56">
            <w:pPr>
              <w:pStyle w:val="TableParagraph"/>
              <w:rPr>
                <w:sz w:val="20"/>
              </w:rPr>
            </w:pPr>
            <w:r>
              <w:rPr>
                <w:sz w:val="20"/>
              </w:rPr>
              <w:t>6</w:t>
            </w:r>
          </w:p>
        </w:tc>
        <w:tc>
          <w:tcPr>
            <w:tcW w:w="1276" w:type="dxa"/>
          </w:tcPr>
          <w:p w14:paraId="7030E653" w14:textId="77777777" w:rsidR="00DD13BF" w:rsidRPr="00040011" w:rsidRDefault="00DD13BF" w:rsidP="00355A56">
            <w:pPr>
              <w:pStyle w:val="TableParagraph"/>
              <w:rPr>
                <w:sz w:val="20"/>
              </w:rPr>
            </w:pPr>
            <w:r>
              <w:rPr>
                <w:color w:val="000000"/>
                <w:sz w:val="20"/>
              </w:rPr>
              <w:t>ESO4.2</w:t>
            </w:r>
          </w:p>
        </w:tc>
        <w:tc>
          <w:tcPr>
            <w:tcW w:w="708" w:type="dxa"/>
          </w:tcPr>
          <w:p w14:paraId="1F00F73D" w14:textId="77777777" w:rsidR="00DD13BF" w:rsidRPr="0018506D" w:rsidRDefault="00DD13BF" w:rsidP="00355A56">
            <w:pPr>
              <w:pStyle w:val="TableParagraph"/>
              <w:rPr>
                <w:sz w:val="20"/>
              </w:rPr>
            </w:pPr>
            <w:r>
              <w:rPr>
                <w:sz w:val="20"/>
              </w:rPr>
              <w:t>ESF+</w:t>
            </w:r>
          </w:p>
        </w:tc>
        <w:tc>
          <w:tcPr>
            <w:tcW w:w="1701" w:type="dxa"/>
          </w:tcPr>
          <w:p w14:paraId="0319A705" w14:textId="77777777" w:rsidR="00DD13BF" w:rsidRPr="0018506D" w:rsidRDefault="00DD13BF" w:rsidP="00355A56">
            <w:pPr>
              <w:pStyle w:val="TableParagraph"/>
              <w:rPr>
                <w:sz w:val="20"/>
              </w:rPr>
            </w:pPr>
            <w:r>
              <w:rPr>
                <w:sz w:val="20"/>
              </w:rPr>
              <w:t>Less developed</w:t>
            </w:r>
          </w:p>
        </w:tc>
        <w:tc>
          <w:tcPr>
            <w:tcW w:w="778" w:type="dxa"/>
          </w:tcPr>
          <w:p w14:paraId="0A2925B7" w14:textId="77777777" w:rsidR="00DD13BF" w:rsidRPr="00040011" w:rsidRDefault="00DD13BF" w:rsidP="00355A56">
            <w:pPr>
              <w:pStyle w:val="TableParagraph"/>
              <w:rPr>
                <w:sz w:val="20"/>
              </w:rPr>
            </w:pPr>
            <w:r>
              <w:rPr>
                <w:sz w:val="20"/>
              </w:rPr>
              <w:t>EECO18</w:t>
            </w:r>
          </w:p>
        </w:tc>
        <w:tc>
          <w:tcPr>
            <w:tcW w:w="4467" w:type="dxa"/>
          </w:tcPr>
          <w:p w14:paraId="6798881D" w14:textId="77777777" w:rsidR="00DD13BF" w:rsidRPr="00040011" w:rsidRDefault="00DD13BF" w:rsidP="00355A56">
            <w:pPr>
              <w:pStyle w:val="TableParagraph"/>
              <w:rPr>
                <w:sz w:val="20"/>
              </w:rPr>
            </w:pPr>
            <w:r>
              <w:rPr>
                <w:color w:val="000000"/>
                <w:sz w:val="20"/>
              </w:rPr>
              <w:t>Number of public administrations or public services supported</w:t>
            </w:r>
          </w:p>
        </w:tc>
        <w:tc>
          <w:tcPr>
            <w:tcW w:w="1276" w:type="dxa"/>
          </w:tcPr>
          <w:p w14:paraId="61AABEEE" w14:textId="77777777" w:rsidR="00DD13BF" w:rsidRPr="00040011" w:rsidRDefault="00DD13BF" w:rsidP="00355A56">
            <w:pPr>
              <w:pStyle w:val="TableParagraph"/>
              <w:rPr>
                <w:sz w:val="20"/>
              </w:rPr>
            </w:pPr>
            <w:r>
              <w:rPr>
                <w:color w:val="000000"/>
                <w:sz w:val="20"/>
              </w:rPr>
              <w:t>Entities</w:t>
            </w:r>
          </w:p>
        </w:tc>
        <w:tc>
          <w:tcPr>
            <w:tcW w:w="1418" w:type="dxa"/>
          </w:tcPr>
          <w:p w14:paraId="6E6B8B6C" w14:textId="77777777" w:rsidR="00DD13BF" w:rsidRPr="00782F89" w:rsidRDefault="00DD13BF" w:rsidP="00355A56">
            <w:pPr>
              <w:pStyle w:val="TableParagraph"/>
              <w:rPr>
                <w:sz w:val="20"/>
              </w:rPr>
            </w:pPr>
            <w:r>
              <w:rPr>
                <w:sz w:val="20"/>
              </w:rPr>
              <w:t>11</w:t>
            </w:r>
          </w:p>
        </w:tc>
        <w:tc>
          <w:tcPr>
            <w:tcW w:w="1134" w:type="dxa"/>
          </w:tcPr>
          <w:p w14:paraId="2ED09BB5" w14:textId="77777777" w:rsidR="00DD13BF" w:rsidRPr="007B5283" w:rsidRDefault="00DD13BF" w:rsidP="00355A56">
            <w:pPr>
              <w:pStyle w:val="TableParagraph"/>
              <w:rPr>
                <w:sz w:val="20"/>
              </w:rPr>
            </w:pPr>
            <w:r>
              <w:rPr>
                <w:sz w:val="20"/>
              </w:rPr>
              <w:t>11</w:t>
            </w:r>
          </w:p>
        </w:tc>
      </w:tr>
      <w:tr w:rsidR="00DD13BF" w:rsidRPr="00040011" w14:paraId="72EF9D01" w14:textId="77777777" w:rsidTr="00355A56">
        <w:trPr>
          <w:trHeight w:val="367"/>
        </w:trPr>
        <w:tc>
          <w:tcPr>
            <w:tcW w:w="1125" w:type="dxa"/>
          </w:tcPr>
          <w:p w14:paraId="4D45AA04" w14:textId="77777777" w:rsidR="00DD13BF" w:rsidRPr="00040011" w:rsidRDefault="00DD13BF" w:rsidP="00355A56">
            <w:pPr>
              <w:pStyle w:val="TableParagraph"/>
              <w:rPr>
                <w:sz w:val="20"/>
              </w:rPr>
            </w:pPr>
            <w:r>
              <w:rPr>
                <w:sz w:val="20"/>
              </w:rPr>
              <w:t>6</w:t>
            </w:r>
          </w:p>
        </w:tc>
        <w:tc>
          <w:tcPr>
            <w:tcW w:w="1276" w:type="dxa"/>
          </w:tcPr>
          <w:p w14:paraId="04983AFE" w14:textId="77777777" w:rsidR="00DD13BF" w:rsidRPr="00040011" w:rsidRDefault="00DD13BF" w:rsidP="00355A56">
            <w:pPr>
              <w:pStyle w:val="TableParagraph"/>
              <w:rPr>
                <w:sz w:val="20"/>
              </w:rPr>
            </w:pPr>
            <w:r>
              <w:rPr>
                <w:color w:val="000000"/>
                <w:sz w:val="20"/>
              </w:rPr>
              <w:t>ESO4.2</w:t>
            </w:r>
          </w:p>
        </w:tc>
        <w:tc>
          <w:tcPr>
            <w:tcW w:w="708" w:type="dxa"/>
          </w:tcPr>
          <w:p w14:paraId="5F1BC616" w14:textId="77777777" w:rsidR="00DD13BF" w:rsidRPr="0018506D" w:rsidRDefault="00DD13BF" w:rsidP="00355A56">
            <w:pPr>
              <w:pStyle w:val="TableParagraph"/>
              <w:rPr>
                <w:sz w:val="20"/>
              </w:rPr>
            </w:pPr>
            <w:r>
              <w:rPr>
                <w:sz w:val="20"/>
              </w:rPr>
              <w:t>ESF+</w:t>
            </w:r>
          </w:p>
        </w:tc>
        <w:tc>
          <w:tcPr>
            <w:tcW w:w="1701" w:type="dxa"/>
          </w:tcPr>
          <w:p w14:paraId="478B3373" w14:textId="77777777" w:rsidR="00DD13BF" w:rsidRPr="0018506D" w:rsidRDefault="00DD13BF" w:rsidP="00355A56">
            <w:pPr>
              <w:pStyle w:val="TableParagraph"/>
              <w:rPr>
                <w:sz w:val="20"/>
              </w:rPr>
            </w:pPr>
            <w:r>
              <w:rPr>
                <w:sz w:val="20"/>
              </w:rPr>
              <w:t>More developed</w:t>
            </w:r>
          </w:p>
        </w:tc>
        <w:tc>
          <w:tcPr>
            <w:tcW w:w="778" w:type="dxa"/>
          </w:tcPr>
          <w:p w14:paraId="4241AD7A" w14:textId="77777777" w:rsidR="00DD13BF" w:rsidRPr="00040011" w:rsidRDefault="00DD13BF" w:rsidP="00355A56">
            <w:pPr>
              <w:pStyle w:val="TableParagraph"/>
              <w:rPr>
                <w:rFonts w:cstheme="minorHAnsi"/>
                <w:sz w:val="20"/>
              </w:rPr>
            </w:pPr>
            <w:r>
              <w:rPr>
                <w:sz w:val="20"/>
              </w:rPr>
              <w:t>EECO18</w:t>
            </w:r>
          </w:p>
        </w:tc>
        <w:tc>
          <w:tcPr>
            <w:tcW w:w="4467" w:type="dxa"/>
          </w:tcPr>
          <w:p w14:paraId="6CA8EDF8" w14:textId="77777777" w:rsidR="00DD13BF" w:rsidRPr="00040011" w:rsidRDefault="00DD13BF" w:rsidP="00355A56">
            <w:pPr>
              <w:pStyle w:val="TableParagraph"/>
              <w:rPr>
                <w:rFonts w:cstheme="minorHAnsi"/>
                <w:sz w:val="20"/>
              </w:rPr>
            </w:pPr>
            <w:r>
              <w:rPr>
                <w:color w:val="000000"/>
                <w:sz w:val="20"/>
              </w:rPr>
              <w:t>Number of public administrations or public services supported</w:t>
            </w:r>
          </w:p>
        </w:tc>
        <w:tc>
          <w:tcPr>
            <w:tcW w:w="1276" w:type="dxa"/>
          </w:tcPr>
          <w:p w14:paraId="27BE3C54" w14:textId="77777777" w:rsidR="00DD13BF" w:rsidRPr="00040011" w:rsidRDefault="00DD13BF" w:rsidP="00355A56">
            <w:pPr>
              <w:pStyle w:val="TableParagraph"/>
              <w:rPr>
                <w:rFonts w:cstheme="minorHAnsi"/>
                <w:sz w:val="20"/>
              </w:rPr>
            </w:pPr>
            <w:r>
              <w:rPr>
                <w:color w:val="000000"/>
                <w:sz w:val="20"/>
              </w:rPr>
              <w:t>Entities</w:t>
            </w:r>
          </w:p>
        </w:tc>
        <w:tc>
          <w:tcPr>
            <w:tcW w:w="1418" w:type="dxa"/>
          </w:tcPr>
          <w:p w14:paraId="481D3875" w14:textId="77777777" w:rsidR="00DD13BF" w:rsidRPr="007B5283" w:rsidRDefault="00DD13BF" w:rsidP="00355A56">
            <w:pPr>
              <w:pStyle w:val="TableParagraph"/>
              <w:rPr>
                <w:sz w:val="20"/>
              </w:rPr>
            </w:pPr>
            <w:r>
              <w:rPr>
                <w:sz w:val="20"/>
              </w:rPr>
              <w:t>7</w:t>
            </w:r>
          </w:p>
        </w:tc>
        <w:tc>
          <w:tcPr>
            <w:tcW w:w="1134" w:type="dxa"/>
          </w:tcPr>
          <w:p w14:paraId="240BC775" w14:textId="77777777" w:rsidR="00DD13BF" w:rsidRPr="007B5283" w:rsidRDefault="00DD13BF" w:rsidP="00355A56">
            <w:pPr>
              <w:pStyle w:val="TableParagraph"/>
              <w:rPr>
                <w:sz w:val="20"/>
              </w:rPr>
            </w:pPr>
            <w:r>
              <w:rPr>
                <w:sz w:val="20"/>
              </w:rPr>
              <w:t>7</w:t>
            </w:r>
          </w:p>
        </w:tc>
      </w:tr>
    </w:tbl>
    <w:p w14:paraId="6D6736D5" w14:textId="77777777" w:rsidR="00DD13BF" w:rsidRPr="00040011" w:rsidRDefault="00DD13BF" w:rsidP="00DD13BF">
      <w:pPr>
        <w:rPr>
          <w:sz w:val="24"/>
        </w:rPr>
      </w:pPr>
    </w:p>
    <w:p w14:paraId="2BAF72CE" w14:textId="77777777" w:rsidR="00DD13BF" w:rsidRPr="00040011" w:rsidRDefault="00DD13BF" w:rsidP="00DD13BF">
      <w:pPr>
        <w:ind w:left="379"/>
      </w:pPr>
      <w:r>
        <w:t>Table 3: Result indicators</w:t>
      </w:r>
    </w:p>
    <w:p w14:paraId="04D41232" w14:textId="77777777" w:rsidR="00DD13BF" w:rsidRPr="00040011" w:rsidRDefault="00DD13BF" w:rsidP="00DD13BF">
      <w:pPr>
        <w:rPr>
          <w:sz w:val="21"/>
        </w:rPr>
      </w:pPr>
    </w:p>
    <w:tbl>
      <w:tblPr>
        <w:tblStyle w:val="NormalTable0"/>
        <w:tblW w:w="1388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992"/>
        <w:gridCol w:w="696"/>
        <w:gridCol w:w="1572"/>
        <w:gridCol w:w="850"/>
        <w:gridCol w:w="3261"/>
        <w:gridCol w:w="708"/>
        <w:gridCol w:w="1134"/>
        <w:gridCol w:w="993"/>
        <w:gridCol w:w="709"/>
        <w:gridCol w:w="1133"/>
        <w:gridCol w:w="850"/>
      </w:tblGrid>
      <w:tr w:rsidR="00DD13BF" w:rsidRPr="00040011" w14:paraId="528B28C9" w14:textId="77777777" w:rsidTr="00355A56">
        <w:trPr>
          <w:trHeight w:val="353"/>
        </w:trPr>
        <w:tc>
          <w:tcPr>
            <w:tcW w:w="983" w:type="dxa"/>
          </w:tcPr>
          <w:p w14:paraId="56CAB4F8" w14:textId="77777777" w:rsidR="00DD13BF" w:rsidRPr="00040011" w:rsidRDefault="00DD13BF" w:rsidP="00355A56">
            <w:pPr>
              <w:pStyle w:val="TableParagraph"/>
              <w:rPr>
                <w:sz w:val="20"/>
              </w:rPr>
            </w:pPr>
            <w:r>
              <w:rPr>
                <w:sz w:val="20"/>
              </w:rPr>
              <w:t>Priority</w:t>
            </w:r>
          </w:p>
        </w:tc>
        <w:tc>
          <w:tcPr>
            <w:tcW w:w="992" w:type="dxa"/>
          </w:tcPr>
          <w:p w14:paraId="398D7FC3" w14:textId="77777777" w:rsidR="00DD13BF" w:rsidRPr="00040011" w:rsidRDefault="00DD13BF" w:rsidP="00355A56">
            <w:pPr>
              <w:pStyle w:val="TableParagraph"/>
              <w:rPr>
                <w:sz w:val="20"/>
              </w:rPr>
            </w:pPr>
            <w:r>
              <w:rPr>
                <w:sz w:val="20"/>
              </w:rPr>
              <w:t>Specific objective</w:t>
            </w:r>
          </w:p>
        </w:tc>
        <w:tc>
          <w:tcPr>
            <w:tcW w:w="696" w:type="dxa"/>
          </w:tcPr>
          <w:p w14:paraId="046B2460" w14:textId="77777777" w:rsidR="00DD13BF" w:rsidRPr="00040011" w:rsidRDefault="00DD13BF" w:rsidP="00355A56">
            <w:pPr>
              <w:pStyle w:val="TableParagraph"/>
              <w:rPr>
                <w:sz w:val="20"/>
              </w:rPr>
            </w:pPr>
            <w:r>
              <w:rPr>
                <w:sz w:val="20"/>
              </w:rPr>
              <w:t>Fund</w:t>
            </w:r>
          </w:p>
        </w:tc>
        <w:tc>
          <w:tcPr>
            <w:tcW w:w="1572" w:type="dxa"/>
          </w:tcPr>
          <w:p w14:paraId="1D5F23C2" w14:textId="77777777" w:rsidR="00DD13BF" w:rsidRPr="00040011" w:rsidRDefault="00DD13BF" w:rsidP="00355A56">
            <w:pPr>
              <w:pStyle w:val="TableParagraph"/>
              <w:rPr>
                <w:sz w:val="20"/>
              </w:rPr>
            </w:pPr>
            <w:r>
              <w:rPr>
                <w:sz w:val="20"/>
              </w:rPr>
              <w:t>Category of region</w:t>
            </w:r>
          </w:p>
        </w:tc>
        <w:tc>
          <w:tcPr>
            <w:tcW w:w="850" w:type="dxa"/>
          </w:tcPr>
          <w:p w14:paraId="65EB9BBF" w14:textId="77777777" w:rsidR="00DD13BF" w:rsidRPr="00040011" w:rsidRDefault="00DD13BF" w:rsidP="00355A56">
            <w:pPr>
              <w:pStyle w:val="TableParagraph"/>
              <w:rPr>
                <w:sz w:val="20"/>
              </w:rPr>
            </w:pPr>
            <w:r>
              <w:rPr>
                <w:sz w:val="20"/>
              </w:rPr>
              <w:t>ID</w:t>
            </w:r>
          </w:p>
        </w:tc>
        <w:tc>
          <w:tcPr>
            <w:tcW w:w="3261" w:type="dxa"/>
          </w:tcPr>
          <w:p w14:paraId="1AC2D92A" w14:textId="77777777" w:rsidR="00DD13BF" w:rsidRPr="00040011" w:rsidRDefault="00DD13BF" w:rsidP="00355A56">
            <w:pPr>
              <w:pStyle w:val="TableParagraph"/>
              <w:rPr>
                <w:sz w:val="20"/>
              </w:rPr>
            </w:pPr>
            <w:r>
              <w:rPr>
                <w:sz w:val="20"/>
              </w:rPr>
              <w:t>Indicator</w:t>
            </w:r>
          </w:p>
        </w:tc>
        <w:tc>
          <w:tcPr>
            <w:tcW w:w="708" w:type="dxa"/>
          </w:tcPr>
          <w:p w14:paraId="4011CD84" w14:textId="77777777" w:rsidR="00DD13BF" w:rsidRPr="00040011" w:rsidRDefault="00DD13BF" w:rsidP="00355A56">
            <w:pPr>
              <w:pStyle w:val="TableParagraph"/>
              <w:rPr>
                <w:sz w:val="20"/>
              </w:rPr>
            </w:pPr>
            <w:r>
              <w:rPr>
                <w:sz w:val="20"/>
              </w:rPr>
              <w:t>Measurement unit</w:t>
            </w:r>
          </w:p>
        </w:tc>
        <w:tc>
          <w:tcPr>
            <w:tcW w:w="1134" w:type="dxa"/>
          </w:tcPr>
          <w:p w14:paraId="06060FB5" w14:textId="77777777" w:rsidR="00DD13BF" w:rsidRPr="00040011" w:rsidRDefault="00DD13BF" w:rsidP="00355A56">
            <w:pPr>
              <w:pStyle w:val="TableParagraph"/>
              <w:rPr>
                <w:sz w:val="20"/>
              </w:rPr>
            </w:pPr>
            <w:r>
              <w:rPr>
                <w:sz w:val="20"/>
              </w:rPr>
              <w:t>Baseline or reference value</w:t>
            </w:r>
          </w:p>
        </w:tc>
        <w:tc>
          <w:tcPr>
            <w:tcW w:w="993" w:type="dxa"/>
          </w:tcPr>
          <w:p w14:paraId="3195428F" w14:textId="77777777" w:rsidR="00DD13BF" w:rsidRPr="00040011" w:rsidRDefault="00DD13BF" w:rsidP="00355A56">
            <w:pPr>
              <w:pStyle w:val="TableParagraph"/>
              <w:rPr>
                <w:sz w:val="20"/>
              </w:rPr>
            </w:pPr>
            <w:r>
              <w:rPr>
                <w:sz w:val="20"/>
              </w:rPr>
              <w:t>Reference year</w:t>
            </w:r>
          </w:p>
        </w:tc>
        <w:tc>
          <w:tcPr>
            <w:tcW w:w="709" w:type="dxa"/>
          </w:tcPr>
          <w:p w14:paraId="46273D71" w14:textId="77777777" w:rsidR="00DD13BF" w:rsidRPr="00040011" w:rsidRDefault="00DD13BF" w:rsidP="00355A56">
            <w:pPr>
              <w:pStyle w:val="TableParagraph"/>
              <w:rPr>
                <w:sz w:val="20"/>
              </w:rPr>
            </w:pPr>
            <w:r>
              <w:rPr>
                <w:sz w:val="20"/>
              </w:rPr>
              <w:t>Target (2029)</w:t>
            </w:r>
          </w:p>
        </w:tc>
        <w:tc>
          <w:tcPr>
            <w:tcW w:w="1133" w:type="dxa"/>
          </w:tcPr>
          <w:p w14:paraId="6A6CFB8E" w14:textId="77777777" w:rsidR="00DD13BF" w:rsidRPr="00040011" w:rsidRDefault="00DD13BF" w:rsidP="00355A56">
            <w:pPr>
              <w:pStyle w:val="TableParagraph"/>
              <w:rPr>
                <w:sz w:val="20"/>
              </w:rPr>
            </w:pPr>
            <w:r>
              <w:rPr>
                <w:sz w:val="20"/>
              </w:rPr>
              <w:t>Source of data</w:t>
            </w:r>
          </w:p>
        </w:tc>
        <w:tc>
          <w:tcPr>
            <w:tcW w:w="850" w:type="dxa"/>
          </w:tcPr>
          <w:p w14:paraId="71FB58D0" w14:textId="77777777" w:rsidR="00DD13BF" w:rsidRPr="00040011" w:rsidRDefault="00DD13BF" w:rsidP="00355A56">
            <w:pPr>
              <w:pStyle w:val="TableParagraph"/>
              <w:rPr>
                <w:sz w:val="20"/>
              </w:rPr>
            </w:pPr>
            <w:r>
              <w:rPr>
                <w:sz w:val="20"/>
              </w:rPr>
              <w:t>Notes</w:t>
            </w:r>
          </w:p>
        </w:tc>
      </w:tr>
      <w:tr w:rsidR="00DD13BF" w:rsidRPr="00C9375C" w14:paraId="02A2A065" w14:textId="77777777" w:rsidTr="00355A56">
        <w:trPr>
          <w:trHeight w:val="353"/>
        </w:trPr>
        <w:tc>
          <w:tcPr>
            <w:tcW w:w="983" w:type="dxa"/>
          </w:tcPr>
          <w:p w14:paraId="3FA87F5C" w14:textId="77777777" w:rsidR="00DD13BF" w:rsidRPr="00C9375C" w:rsidRDefault="00DD13BF" w:rsidP="00355A56">
            <w:pPr>
              <w:pStyle w:val="TableParagraph"/>
              <w:rPr>
                <w:sz w:val="20"/>
              </w:rPr>
            </w:pPr>
            <w:r>
              <w:rPr>
                <w:sz w:val="20"/>
              </w:rPr>
              <w:t>6</w:t>
            </w:r>
          </w:p>
        </w:tc>
        <w:tc>
          <w:tcPr>
            <w:tcW w:w="992" w:type="dxa"/>
          </w:tcPr>
          <w:p w14:paraId="3E2ACC2E" w14:textId="77777777" w:rsidR="00DD13BF" w:rsidRPr="00C9375C" w:rsidRDefault="00DD13BF" w:rsidP="00355A56">
            <w:pPr>
              <w:pStyle w:val="TableParagraph"/>
              <w:rPr>
                <w:sz w:val="20"/>
              </w:rPr>
            </w:pPr>
            <w:r>
              <w:rPr>
                <w:color w:val="000000"/>
                <w:sz w:val="20"/>
              </w:rPr>
              <w:t>ESO4.2</w:t>
            </w:r>
          </w:p>
        </w:tc>
        <w:tc>
          <w:tcPr>
            <w:tcW w:w="696" w:type="dxa"/>
          </w:tcPr>
          <w:p w14:paraId="0AE7DFCC" w14:textId="77777777" w:rsidR="00DD13BF" w:rsidRPr="00C9375C" w:rsidRDefault="00DD13BF" w:rsidP="00355A56">
            <w:pPr>
              <w:pStyle w:val="TableParagraph"/>
              <w:rPr>
                <w:sz w:val="20"/>
              </w:rPr>
            </w:pPr>
            <w:r>
              <w:rPr>
                <w:sz w:val="20"/>
              </w:rPr>
              <w:t>ESF+</w:t>
            </w:r>
          </w:p>
        </w:tc>
        <w:tc>
          <w:tcPr>
            <w:tcW w:w="1572" w:type="dxa"/>
          </w:tcPr>
          <w:p w14:paraId="7C815BD7" w14:textId="77777777" w:rsidR="00DD13BF" w:rsidRPr="00C9375C" w:rsidRDefault="00DD13BF" w:rsidP="00355A56">
            <w:pPr>
              <w:pStyle w:val="TableParagraph"/>
              <w:rPr>
                <w:sz w:val="20"/>
              </w:rPr>
            </w:pPr>
            <w:r>
              <w:rPr>
                <w:sz w:val="20"/>
              </w:rPr>
              <w:t>Less developed</w:t>
            </w:r>
          </w:p>
        </w:tc>
        <w:tc>
          <w:tcPr>
            <w:tcW w:w="850" w:type="dxa"/>
          </w:tcPr>
          <w:p w14:paraId="09AD32EE" w14:textId="77777777" w:rsidR="00DD13BF" w:rsidRPr="00C9375C" w:rsidRDefault="00DD13BF" w:rsidP="00355A56">
            <w:pPr>
              <w:pStyle w:val="TableParagraph"/>
              <w:rPr>
                <w:sz w:val="20"/>
              </w:rPr>
            </w:pPr>
            <w:r>
              <w:rPr>
                <w:sz w:val="20"/>
              </w:rPr>
              <w:t>5</w:t>
            </w:r>
          </w:p>
        </w:tc>
        <w:tc>
          <w:tcPr>
            <w:tcW w:w="3261" w:type="dxa"/>
          </w:tcPr>
          <w:p w14:paraId="5487969F" w14:textId="77777777" w:rsidR="00DD13BF" w:rsidRPr="00C9375C" w:rsidRDefault="00DD13BF" w:rsidP="00355A56">
            <w:pPr>
              <w:pStyle w:val="TableParagraph"/>
              <w:rPr>
                <w:sz w:val="20"/>
              </w:rPr>
            </w:pPr>
            <w:r>
              <w:rPr>
                <w:sz w:val="20"/>
              </w:rPr>
              <w:t xml:space="preserve">Annual number of registered users of the portal </w:t>
            </w:r>
          </w:p>
        </w:tc>
        <w:tc>
          <w:tcPr>
            <w:tcW w:w="708" w:type="dxa"/>
          </w:tcPr>
          <w:p w14:paraId="70AA3A82" w14:textId="77777777" w:rsidR="00DD13BF" w:rsidRPr="00C9375C" w:rsidRDefault="00DD13BF" w:rsidP="00355A56">
            <w:pPr>
              <w:pStyle w:val="TableParagraph"/>
              <w:rPr>
                <w:sz w:val="20"/>
              </w:rPr>
            </w:pPr>
            <w:r>
              <w:rPr>
                <w:sz w:val="20"/>
              </w:rPr>
              <w:t>Number</w:t>
            </w:r>
          </w:p>
        </w:tc>
        <w:tc>
          <w:tcPr>
            <w:tcW w:w="1134" w:type="dxa"/>
          </w:tcPr>
          <w:p w14:paraId="4D938AE1" w14:textId="77777777" w:rsidR="00DD13BF" w:rsidRPr="00C9375C" w:rsidRDefault="00DD13BF" w:rsidP="00355A56">
            <w:pPr>
              <w:pStyle w:val="TableParagraph"/>
              <w:rPr>
                <w:sz w:val="20"/>
              </w:rPr>
            </w:pPr>
            <w:r>
              <w:rPr>
                <w:sz w:val="20"/>
              </w:rPr>
              <w:t>0</w:t>
            </w:r>
          </w:p>
        </w:tc>
        <w:tc>
          <w:tcPr>
            <w:tcW w:w="993" w:type="dxa"/>
          </w:tcPr>
          <w:p w14:paraId="3043CB1B" w14:textId="77777777" w:rsidR="00DD13BF" w:rsidRPr="00C9375C" w:rsidRDefault="00DD13BF" w:rsidP="00355A56">
            <w:pPr>
              <w:pStyle w:val="TableParagraph"/>
              <w:rPr>
                <w:sz w:val="20"/>
              </w:rPr>
            </w:pPr>
            <w:r>
              <w:rPr>
                <w:sz w:val="20"/>
              </w:rPr>
              <w:t>2021</w:t>
            </w:r>
          </w:p>
        </w:tc>
        <w:tc>
          <w:tcPr>
            <w:tcW w:w="709" w:type="dxa"/>
          </w:tcPr>
          <w:p w14:paraId="33D39DD5" w14:textId="77777777" w:rsidR="00DD13BF" w:rsidRPr="00C9375C" w:rsidRDefault="00DD13BF" w:rsidP="00355A56">
            <w:pPr>
              <w:pStyle w:val="TableParagraph"/>
              <w:rPr>
                <w:sz w:val="20"/>
              </w:rPr>
            </w:pPr>
            <w:r>
              <w:rPr>
                <w:sz w:val="20"/>
              </w:rPr>
              <w:t>97,500</w:t>
            </w:r>
          </w:p>
        </w:tc>
        <w:tc>
          <w:tcPr>
            <w:tcW w:w="1133" w:type="dxa"/>
          </w:tcPr>
          <w:p w14:paraId="585AB1BE" w14:textId="77777777" w:rsidR="00DD13BF" w:rsidRPr="00C9375C" w:rsidRDefault="00DD13BF" w:rsidP="00355A56">
            <w:pPr>
              <w:pStyle w:val="TableParagraph"/>
              <w:rPr>
                <w:sz w:val="20"/>
              </w:rPr>
            </w:pPr>
            <w:r>
              <w:rPr>
                <w:sz w:val="20"/>
              </w:rPr>
              <w:t>Beneficiary and eMA2</w:t>
            </w:r>
          </w:p>
        </w:tc>
        <w:tc>
          <w:tcPr>
            <w:tcW w:w="850" w:type="dxa"/>
          </w:tcPr>
          <w:p w14:paraId="2A61BD29" w14:textId="77777777" w:rsidR="00DD13BF" w:rsidRPr="00C9375C" w:rsidRDefault="00DD13BF" w:rsidP="00355A56">
            <w:pPr>
              <w:pStyle w:val="TableParagraph"/>
              <w:rPr>
                <w:sz w:val="20"/>
              </w:rPr>
            </w:pPr>
          </w:p>
        </w:tc>
      </w:tr>
      <w:tr w:rsidR="00DD13BF" w:rsidRPr="00C9375C" w14:paraId="2998A276" w14:textId="77777777" w:rsidTr="00355A56">
        <w:trPr>
          <w:trHeight w:val="353"/>
        </w:trPr>
        <w:tc>
          <w:tcPr>
            <w:tcW w:w="983" w:type="dxa"/>
          </w:tcPr>
          <w:p w14:paraId="33EFF5A5" w14:textId="77777777" w:rsidR="00DD13BF" w:rsidRPr="00C9375C" w:rsidRDefault="00DD13BF" w:rsidP="00355A56">
            <w:pPr>
              <w:pStyle w:val="TableParagraph"/>
              <w:rPr>
                <w:sz w:val="20"/>
              </w:rPr>
            </w:pPr>
            <w:r>
              <w:rPr>
                <w:sz w:val="20"/>
              </w:rPr>
              <w:t>6</w:t>
            </w:r>
          </w:p>
        </w:tc>
        <w:tc>
          <w:tcPr>
            <w:tcW w:w="992" w:type="dxa"/>
          </w:tcPr>
          <w:p w14:paraId="17AF8234" w14:textId="77777777" w:rsidR="00DD13BF" w:rsidRPr="00C9375C" w:rsidRDefault="00DD13BF" w:rsidP="00355A56">
            <w:pPr>
              <w:pStyle w:val="TableParagraph"/>
              <w:rPr>
                <w:sz w:val="20"/>
              </w:rPr>
            </w:pPr>
            <w:r>
              <w:rPr>
                <w:color w:val="000000"/>
                <w:sz w:val="20"/>
              </w:rPr>
              <w:t>ESO4.2</w:t>
            </w:r>
          </w:p>
        </w:tc>
        <w:tc>
          <w:tcPr>
            <w:tcW w:w="696" w:type="dxa"/>
          </w:tcPr>
          <w:p w14:paraId="4322C567" w14:textId="77777777" w:rsidR="00DD13BF" w:rsidRPr="00C9375C" w:rsidRDefault="00DD13BF" w:rsidP="00355A56">
            <w:pPr>
              <w:pStyle w:val="TableParagraph"/>
              <w:rPr>
                <w:sz w:val="20"/>
              </w:rPr>
            </w:pPr>
            <w:r>
              <w:rPr>
                <w:sz w:val="20"/>
              </w:rPr>
              <w:t>ESF+</w:t>
            </w:r>
          </w:p>
        </w:tc>
        <w:tc>
          <w:tcPr>
            <w:tcW w:w="1572" w:type="dxa"/>
          </w:tcPr>
          <w:p w14:paraId="27FBE952" w14:textId="77777777" w:rsidR="00DD13BF" w:rsidRPr="00C9375C" w:rsidRDefault="00DD13BF" w:rsidP="00355A56">
            <w:pPr>
              <w:pStyle w:val="TableParagraph"/>
              <w:rPr>
                <w:sz w:val="20"/>
              </w:rPr>
            </w:pPr>
            <w:r>
              <w:rPr>
                <w:sz w:val="20"/>
              </w:rPr>
              <w:t>More developed</w:t>
            </w:r>
          </w:p>
        </w:tc>
        <w:tc>
          <w:tcPr>
            <w:tcW w:w="850" w:type="dxa"/>
          </w:tcPr>
          <w:p w14:paraId="0632ADA8" w14:textId="77777777" w:rsidR="00DD13BF" w:rsidRPr="00C9375C" w:rsidRDefault="00DD13BF" w:rsidP="00355A56">
            <w:pPr>
              <w:pStyle w:val="TableParagraph"/>
              <w:rPr>
                <w:sz w:val="20"/>
              </w:rPr>
            </w:pPr>
            <w:r>
              <w:rPr>
                <w:sz w:val="20"/>
              </w:rPr>
              <w:t>5</w:t>
            </w:r>
          </w:p>
        </w:tc>
        <w:tc>
          <w:tcPr>
            <w:tcW w:w="3261" w:type="dxa"/>
          </w:tcPr>
          <w:p w14:paraId="613CC8B7" w14:textId="77777777" w:rsidR="00DD13BF" w:rsidRPr="00C9375C" w:rsidRDefault="00DD13BF" w:rsidP="00355A56">
            <w:pPr>
              <w:pStyle w:val="TableParagraph"/>
              <w:rPr>
                <w:iCs/>
                <w:sz w:val="20"/>
              </w:rPr>
            </w:pPr>
            <w:r>
              <w:rPr>
                <w:sz w:val="20"/>
              </w:rPr>
              <w:t xml:space="preserve">Annual number of registered users of the portal </w:t>
            </w:r>
          </w:p>
        </w:tc>
        <w:tc>
          <w:tcPr>
            <w:tcW w:w="708" w:type="dxa"/>
          </w:tcPr>
          <w:p w14:paraId="73ED07A4" w14:textId="77777777" w:rsidR="00DD13BF" w:rsidRPr="00C9375C" w:rsidRDefault="00DD13BF" w:rsidP="00355A56">
            <w:pPr>
              <w:pStyle w:val="TableParagraph"/>
              <w:rPr>
                <w:sz w:val="20"/>
              </w:rPr>
            </w:pPr>
            <w:r>
              <w:rPr>
                <w:sz w:val="20"/>
              </w:rPr>
              <w:t>Number</w:t>
            </w:r>
          </w:p>
        </w:tc>
        <w:tc>
          <w:tcPr>
            <w:tcW w:w="1134" w:type="dxa"/>
          </w:tcPr>
          <w:p w14:paraId="674B25BF" w14:textId="77777777" w:rsidR="00DD13BF" w:rsidRPr="00C9375C" w:rsidRDefault="00DD13BF" w:rsidP="00355A56">
            <w:pPr>
              <w:pStyle w:val="TableParagraph"/>
              <w:rPr>
                <w:sz w:val="20"/>
              </w:rPr>
            </w:pPr>
            <w:r>
              <w:rPr>
                <w:sz w:val="20"/>
              </w:rPr>
              <w:t>0</w:t>
            </w:r>
          </w:p>
        </w:tc>
        <w:tc>
          <w:tcPr>
            <w:tcW w:w="993" w:type="dxa"/>
          </w:tcPr>
          <w:p w14:paraId="48F4044D" w14:textId="77777777" w:rsidR="00DD13BF" w:rsidRPr="00C9375C" w:rsidRDefault="00DD13BF" w:rsidP="00355A56">
            <w:pPr>
              <w:pStyle w:val="TableParagraph"/>
              <w:rPr>
                <w:sz w:val="20"/>
              </w:rPr>
            </w:pPr>
            <w:r>
              <w:rPr>
                <w:sz w:val="20"/>
              </w:rPr>
              <w:t>2021</w:t>
            </w:r>
          </w:p>
        </w:tc>
        <w:tc>
          <w:tcPr>
            <w:tcW w:w="709" w:type="dxa"/>
          </w:tcPr>
          <w:p w14:paraId="5455D7BC" w14:textId="77777777" w:rsidR="00DD13BF" w:rsidRPr="00C9375C" w:rsidRDefault="00DD13BF" w:rsidP="00355A56">
            <w:pPr>
              <w:pStyle w:val="TableParagraph"/>
              <w:rPr>
                <w:sz w:val="20"/>
              </w:rPr>
            </w:pPr>
            <w:r>
              <w:rPr>
                <w:sz w:val="20"/>
              </w:rPr>
              <w:t>97,500</w:t>
            </w:r>
          </w:p>
        </w:tc>
        <w:tc>
          <w:tcPr>
            <w:tcW w:w="1133" w:type="dxa"/>
          </w:tcPr>
          <w:p w14:paraId="7C42385C" w14:textId="77777777" w:rsidR="00DD13BF" w:rsidRPr="00C9375C" w:rsidRDefault="00DD13BF" w:rsidP="00355A56">
            <w:pPr>
              <w:pStyle w:val="TableParagraph"/>
              <w:rPr>
                <w:sz w:val="20"/>
              </w:rPr>
            </w:pPr>
            <w:r>
              <w:rPr>
                <w:sz w:val="20"/>
              </w:rPr>
              <w:t>Beneficiary and eMA2</w:t>
            </w:r>
          </w:p>
        </w:tc>
        <w:tc>
          <w:tcPr>
            <w:tcW w:w="850" w:type="dxa"/>
          </w:tcPr>
          <w:p w14:paraId="1379254C" w14:textId="77777777" w:rsidR="00DD13BF" w:rsidRPr="00C9375C" w:rsidRDefault="00DD13BF" w:rsidP="00355A56">
            <w:pPr>
              <w:pStyle w:val="TableParagraph"/>
              <w:rPr>
                <w:sz w:val="20"/>
              </w:rPr>
            </w:pPr>
          </w:p>
        </w:tc>
      </w:tr>
    </w:tbl>
    <w:p w14:paraId="5F9D5824" w14:textId="77777777" w:rsidR="00DD13BF" w:rsidRPr="00F81084" w:rsidRDefault="00DD13BF" w:rsidP="00DD13BF">
      <w:pPr>
        <w:pStyle w:val="Telobesedila"/>
      </w:pPr>
    </w:p>
    <w:p w14:paraId="324B3DA9" w14:textId="77777777" w:rsidR="00DD13BF" w:rsidRPr="00F81084" w:rsidRDefault="00DD13BF" w:rsidP="00DD13BF">
      <w:pPr>
        <w:pStyle w:val="Telobesedila"/>
      </w:pPr>
    </w:p>
    <w:p w14:paraId="0B895B68" w14:textId="77777777" w:rsidR="00DD13BF" w:rsidRDefault="00DD13BF" w:rsidP="00DD13BF">
      <w:pPr>
        <w:pStyle w:val="Naslov5"/>
        <w:numPr>
          <w:ilvl w:val="4"/>
          <w:numId w:val="16"/>
        </w:numPr>
        <w:spacing w:before="0"/>
      </w:pPr>
      <w:r>
        <w:t>Indicative breakdown of the programme resources (EU) by type of intervention</w:t>
      </w:r>
    </w:p>
    <w:p w14:paraId="2F84648C" w14:textId="77777777" w:rsidR="00DD13BF" w:rsidRDefault="00DD13BF" w:rsidP="00DD13BF">
      <w:pPr>
        <w:ind w:left="640"/>
        <w:rPr>
          <w:spacing w:val="-5"/>
        </w:rPr>
      </w:pPr>
    </w:p>
    <w:p w14:paraId="05121871" w14:textId="77777777" w:rsidR="00DD13BF" w:rsidRPr="00673ADB" w:rsidRDefault="00DD13BF" w:rsidP="00DD13BF">
      <w:pPr>
        <w:ind w:left="339"/>
        <w:rPr>
          <w:spacing w:val="-7"/>
        </w:rPr>
      </w:pPr>
      <w:r>
        <w:t>Table 4: Dimension 1 – intervention field</w:t>
      </w:r>
    </w:p>
    <w:p w14:paraId="224068C4"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D499ADF" w14:textId="77777777" w:rsidTr="00355A56">
        <w:trPr>
          <w:trHeight w:val="353"/>
        </w:trPr>
        <w:tc>
          <w:tcPr>
            <w:tcW w:w="2088" w:type="dxa"/>
          </w:tcPr>
          <w:p w14:paraId="1BFFE625" w14:textId="77777777" w:rsidR="00DD13BF" w:rsidRDefault="00DD13BF" w:rsidP="00355A56">
            <w:pPr>
              <w:pStyle w:val="TableParagraph"/>
              <w:ind w:left="115"/>
            </w:pPr>
            <w:r>
              <w:t>Priority no.</w:t>
            </w:r>
          </w:p>
        </w:tc>
        <w:tc>
          <w:tcPr>
            <w:tcW w:w="1133" w:type="dxa"/>
          </w:tcPr>
          <w:p w14:paraId="432CE319" w14:textId="77777777" w:rsidR="00DD13BF" w:rsidRDefault="00DD13BF" w:rsidP="00355A56">
            <w:pPr>
              <w:pStyle w:val="TableParagraph"/>
              <w:ind w:left="320"/>
            </w:pPr>
            <w:r>
              <w:t>Fund</w:t>
            </w:r>
          </w:p>
        </w:tc>
        <w:tc>
          <w:tcPr>
            <w:tcW w:w="3249" w:type="dxa"/>
          </w:tcPr>
          <w:p w14:paraId="2C10FEC4" w14:textId="77777777" w:rsidR="00DD13BF" w:rsidRDefault="00DD13BF" w:rsidP="00355A56">
            <w:pPr>
              <w:pStyle w:val="TableParagraph"/>
              <w:ind w:left="907"/>
            </w:pPr>
            <w:r>
              <w:t>Category of region</w:t>
            </w:r>
          </w:p>
        </w:tc>
        <w:tc>
          <w:tcPr>
            <w:tcW w:w="3099" w:type="dxa"/>
          </w:tcPr>
          <w:p w14:paraId="230A6006" w14:textId="77777777" w:rsidR="00DD13BF" w:rsidRDefault="00DD13BF" w:rsidP="00355A56">
            <w:pPr>
              <w:pStyle w:val="TableParagraph"/>
              <w:ind w:left="948"/>
            </w:pPr>
            <w:r>
              <w:t>Specific objective</w:t>
            </w:r>
          </w:p>
        </w:tc>
        <w:tc>
          <w:tcPr>
            <w:tcW w:w="1161" w:type="dxa"/>
          </w:tcPr>
          <w:p w14:paraId="60129035" w14:textId="77777777" w:rsidR="00DD13BF" w:rsidRDefault="00DD13BF" w:rsidP="00355A56">
            <w:pPr>
              <w:pStyle w:val="TableParagraph"/>
              <w:ind w:left="333"/>
            </w:pPr>
            <w:r>
              <w:t>Code</w:t>
            </w:r>
          </w:p>
        </w:tc>
        <w:tc>
          <w:tcPr>
            <w:tcW w:w="2731" w:type="dxa"/>
          </w:tcPr>
          <w:p w14:paraId="43332CC7" w14:textId="77777777" w:rsidR="00DD13BF" w:rsidRDefault="00DD13BF" w:rsidP="00355A56">
            <w:pPr>
              <w:pStyle w:val="TableParagraph"/>
              <w:ind w:left="660"/>
            </w:pPr>
            <w:r>
              <w:t>Amount (in EUR)</w:t>
            </w:r>
          </w:p>
        </w:tc>
      </w:tr>
      <w:tr w:rsidR="00DD13BF" w14:paraId="1906E6CF" w14:textId="77777777" w:rsidTr="00355A56">
        <w:trPr>
          <w:trHeight w:val="353"/>
        </w:trPr>
        <w:tc>
          <w:tcPr>
            <w:tcW w:w="2088" w:type="dxa"/>
          </w:tcPr>
          <w:p w14:paraId="2BC728EA" w14:textId="77777777" w:rsidR="00DD13BF" w:rsidRDefault="00DD13BF" w:rsidP="00355A56">
            <w:pPr>
              <w:pStyle w:val="TableParagraph"/>
              <w:rPr>
                <w:sz w:val="20"/>
              </w:rPr>
            </w:pPr>
            <w:r>
              <w:rPr>
                <w:sz w:val="20"/>
              </w:rPr>
              <w:t>6</w:t>
            </w:r>
          </w:p>
        </w:tc>
        <w:tc>
          <w:tcPr>
            <w:tcW w:w="1133" w:type="dxa"/>
          </w:tcPr>
          <w:p w14:paraId="127972ED" w14:textId="77777777" w:rsidR="00DD13BF" w:rsidRDefault="00DD13BF" w:rsidP="00355A56">
            <w:pPr>
              <w:pStyle w:val="TableParagraph"/>
              <w:rPr>
                <w:sz w:val="20"/>
              </w:rPr>
            </w:pPr>
            <w:r>
              <w:rPr>
                <w:sz w:val="20"/>
              </w:rPr>
              <w:t>ESF+</w:t>
            </w:r>
          </w:p>
        </w:tc>
        <w:tc>
          <w:tcPr>
            <w:tcW w:w="3249" w:type="dxa"/>
          </w:tcPr>
          <w:p w14:paraId="583AA060" w14:textId="77777777" w:rsidR="00DD13BF" w:rsidRDefault="00DD13BF" w:rsidP="00355A56">
            <w:pPr>
              <w:pStyle w:val="TableParagraph"/>
              <w:rPr>
                <w:sz w:val="20"/>
              </w:rPr>
            </w:pPr>
            <w:r>
              <w:rPr>
                <w:sz w:val="20"/>
              </w:rPr>
              <w:t>Less developed</w:t>
            </w:r>
          </w:p>
        </w:tc>
        <w:tc>
          <w:tcPr>
            <w:tcW w:w="3099" w:type="dxa"/>
          </w:tcPr>
          <w:p w14:paraId="5C275824" w14:textId="77777777" w:rsidR="00DD13BF" w:rsidRDefault="00DD13BF" w:rsidP="00355A56">
            <w:pPr>
              <w:pStyle w:val="TableParagraph"/>
              <w:rPr>
                <w:sz w:val="20"/>
              </w:rPr>
            </w:pPr>
            <w:r>
              <w:rPr>
                <w:color w:val="000000"/>
                <w:sz w:val="20"/>
              </w:rPr>
              <w:t>ESO4.2</w:t>
            </w:r>
          </w:p>
        </w:tc>
        <w:tc>
          <w:tcPr>
            <w:tcW w:w="1161" w:type="dxa"/>
          </w:tcPr>
          <w:p w14:paraId="6C6D520A" w14:textId="77777777" w:rsidR="00DD13BF" w:rsidRDefault="00DD13BF" w:rsidP="00355A56">
            <w:pPr>
              <w:pStyle w:val="TableParagraph"/>
              <w:rPr>
                <w:sz w:val="20"/>
              </w:rPr>
            </w:pPr>
            <w:r>
              <w:rPr>
                <w:sz w:val="20"/>
              </w:rPr>
              <w:t>139</w:t>
            </w:r>
          </w:p>
        </w:tc>
        <w:tc>
          <w:tcPr>
            <w:tcW w:w="2731" w:type="dxa"/>
          </w:tcPr>
          <w:p w14:paraId="38F1383A" w14:textId="77777777" w:rsidR="00DD13BF" w:rsidRPr="00606FAD" w:rsidRDefault="00DD13BF" w:rsidP="00355A56">
            <w:pPr>
              <w:pStyle w:val="TableParagraph"/>
              <w:rPr>
                <w:sz w:val="20"/>
              </w:rPr>
            </w:pPr>
            <w:r>
              <w:rPr>
                <w:sz w:val="20"/>
              </w:rPr>
              <w:t>17,640,000</w:t>
            </w:r>
          </w:p>
        </w:tc>
      </w:tr>
      <w:tr w:rsidR="00DD13BF" w14:paraId="0C35D186" w14:textId="77777777" w:rsidTr="00355A56">
        <w:trPr>
          <w:trHeight w:val="353"/>
        </w:trPr>
        <w:tc>
          <w:tcPr>
            <w:tcW w:w="2088" w:type="dxa"/>
          </w:tcPr>
          <w:p w14:paraId="38D14F98" w14:textId="77777777" w:rsidR="00DD13BF" w:rsidRDefault="00DD13BF" w:rsidP="00355A56">
            <w:pPr>
              <w:pStyle w:val="TableParagraph"/>
              <w:rPr>
                <w:sz w:val="20"/>
              </w:rPr>
            </w:pPr>
            <w:r>
              <w:rPr>
                <w:sz w:val="20"/>
              </w:rPr>
              <w:t>6</w:t>
            </w:r>
          </w:p>
        </w:tc>
        <w:tc>
          <w:tcPr>
            <w:tcW w:w="1133" w:type="dxa"/>
          </w:tcPr>
          <w:p w14:paraId="50E73D21" w14:textId="77777777" w:rsidR="00DD13BF" w:rsidRDefault="00DD13BF" w:rsidP="00355A56">
            <w:pPr>
              <w:pStyle w:val="TableParagraph"/>
              <w:rPr>
                <w:sz w:val="20"/>
              </w:rPr>
            </w:pPr>
            <w:r>
              <w:rPr>
                <w:sz w:val="20"/>
              </w:rPr>
              <w:t>ESF+</w:t>
            </w:r>
          </w:p>
        </w:tc>
        <w:tc>
          <w:tcPr>
            <w:tcW w:w="3249" w:type="dxa"/>
          </w:tcPr>
          <w:p w14:paraId="5220FCB2" w14:textId="77777777" w:rsidR="00DD13BF" w:rsidDel="00C01DD5" w:rsidRDefault="00DD13BF" w:rsidP="00355A56">
            <w:pPr>
              <w:pStyle w:val="TableParagraph"/>
              <w:rPr>
                <w:sz w:val="20"/>
              </w:rPr>
            </w:pPr>
            <w:r>
              <w:rPr>
                <w:sz w:val="20"/>
              </w:rPr>
              <w:t>More developed</w:t>
            </w:r>
          </w:p>
        </w:tc>
        <w:tc>
          <w:tcPr>
            <w:tcW w:w="3099" w:type="dxa"/>
          </w:tcPr>
          <w:p w14:paraId="568B0D1B" w14:textId="77777777" w:rsidR="00DD13BF" w:rsidRDefault="00DD13BF" w:rsidP="00355A56">
            <w:pPr>
              <w:pStyle w:val="TableParagraph"/>
              <w:rPr>
                <w:sz w:val="20"/>
              </w:rPr>
            </w:pPr>
            <w:r>
              <w:rPr>
                <w:color w:val="000000"/>
                <w:sz w:val="20"/>
              </w:rPr>
              <w:t>ESO4.2</w:t>
            </w:r>
          </w:p>
        </w:tc>
        <w:tc>
          <w:tcPr>
            <w:tcW w:w="1161" w:type="dxa"/>
          </w:tcPr>
          <w:p w14:paraId="2F82B9D9" w14:textId="77777777" w:rsidR="00DD13BF" w:rsidRDefault="00DD13BF" w:rsidP="00355A56">
            <w:pPr>
              <w:pStyle w:val="TableParagraph"/>
              <w:rPr>
                <w:sz w:val="20"/>
              </w:rPr>
            </w:pPr>
            <w:r>
              <w:rPr>
                <w:sz w:val="20"/>
              </w:rPr>
              <w:t>139</w:t>
            </w:r>
          </w:p>
        </w:tc>
        <w:tc>
          <w:tcPr>
            <w:tcW w:w="2731" w:type="dxa"/>
          </w:tcPr>
          <w:p w14:paraId="45208908" w14:textId="77777777" w:rsidR="00DD13BF" w:rsidRPr="00606FAD" w:rsidRDefault="00DD13BF" w:rsidP="00355A56">
            <w:pPr>
              <w:pStyle w:val="TableParagraph"/>
              <w:rPr>
                <w:sz w:val="20"/>
              </w:rPr>
            </w:pPr>
            <w:r>
              <w:rPr>
                <w:sz w:val="20"/>
              </w:rPr>
              <w:t>6,370,000</w:t>
            </w:r>
          </w:p>
        </w:tc>
      </w:tr>
    </w:tbl>
    <w:p w14:paraId="07B3BE73" w14:textId="77777777" w:rsidR="00DD13BF" w:rsidRDefault="00DD13BF" w:rsidP="00DD13BF"/>
    <w:p w14:paraId="159E012B" w14:textId="77777777" w:rsidR="00DD13BF" w:rsidRPr="00673ADB" w:rsidRDefault="00DD13BF" w:rsidP="00DD13BF">
      <w:pPr>
        <w:ind w:left="339"/>
        <w:rPr>
          <w:spacing w:val="-7"/>
        </w:rPr>
      </w:pPr>
      <w:r>
        <w:t>Table 5: Dimension 2 – form of financing</w:t>
      </w:r>
    </w:p>
    <w:p w14:paraId="699F9BB8"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19C9429" w14:textId="77777777" w:rsidTr="00355A56">
        <w:trPr>
          <w:trHeight w:val="353"/>
        </w:trPr>
        <w:tc>
          <w:tcPr>
            <w:tcW w:w="2088" w:type="dxa"/>
          </w:tcPr>
          <w:p w14:paraId="2B25DE87" w14:textId="77777777" w:rsidR="00DD13BF" w:rsidRDefault="00DD13BF" w:rsidP="00355A56">
            <w:pPr>
              <w:pStyle w:val="TableParagraph"/>
              <w:ind w:left="115"/>
            </w:pPr>
            <w:r>
              <w:t>Priority no.</w:t>
            </w:r>
          </w:p>
        </w:tc>
        <w:tc>
          <w:tcPr>
            <w:tcW w:w="1133" w:type="dxa"/>
          </w:tcPr>
          <w:p w14:paraId="66D69E1C" w14:textId="77777777" w:rsidR="00DD13BF" w:rsidRDefault="00DD13BF" w:rsidP="00355A56">
            <w:pPr>
              <w:pStyle w:val="TableParagraph"/>
              <w:ind w:left="320"/>
            </w:pPr>
            <w:r>
              <w:t>Fund</w:t>
            </w:r>
          </w:p>
        </w:tc>
        <w:tc>
          <w:tcPr>
            <w:tcW w:w="3249" w:type="dxa"/>
          </w:tcPr>
          <w:p w14:paraId="527C736F" w14:textId="77777777" w:rsidR="00DD13BF" w:rsidRDefault="00DD13BF" w:rsidP="00355A56">
            <w:pPr>
              <w:pStyle w:val="TableParagraph"/>
              <w:ind w:left="907"/>
            </w:pPr>
            <w:r>
              <w:t>Category of region</w:t>
            </w:r>
          </w:p>
        </w:tc>
        <w:tc>
          <w:tcPr>
            <w:tcW w:w="3099" w:type="dxa"/>
          </w:tcPr>
          <w:p w14:paraId="0B654C4F" w14:textId="77777777" w:rsidR="00DD13BF" w:rsidRDefault="00DD13BF" w:rsidP="00355A56">
            <w:pPr>
              <w:pStyle w:val="TableParagraph"/>
              <w:ind w:left="948"/>
            </w:pPr>
            <w:r>
              <w:t>Specific objective</w:t>
            </w:r>
          </w:p>
        </w:tc>
        <w:tc>
          <w:tcPr>
            <w:tcW w:w="1161" w:type="dxa"/>
          </w:tcPr>
          <w:p w14:paraId="482D2427" w14:textId="77777777" w:rsidR="00DD13BF" w:rsidRDefault="00DD13BF" w:rsidP="00355A56">
            <w:pPr>
              <w:pStyle w:val="TableParagraph"/>
              <w:ind w:left="334"/>
            </w:pPr>
            <w:r>
              <w:t>Code</w:t>
            </w:r>
          </w:p>
        </w:tc>
        <w:tc>
          <w:tcPr>
            <w:tcW w:w="2731" w:type="dxa"/>
          </w:tcPr>
          <w:p w14:paraId="06D0C184" w14:textId="77777777" w:rsidR="00DD13BF" w:rsidRDefault="00DD13BF" w:rsidP="00355A56">
            <w:pPr>
              <w:pStyle w:val="TableParagraph"/>
              <w:ind w:left="661"/>
            </w:pPr>
            <w:r>
              <w:t>Amount (in EUR)</w:t>
            </w:r>
          </w:p>
        </w:tc>
      </w:tr>
      <w:tr w:rsidR="00DD13BF" w14:paraId="3D551FD0" w14:textId="77777777" w:rsidTr="00355A56">
        <w:trPr>
          <w:trHeight w:val="353"/>
        </w:trPr>
        <w:tc>
          <w:tcPr>
            <w:tcW w:w="2088" w:type="dxa"/>
          </w:tcPr>
          <w:p w14:paraId="3EECAD01" w14:textId="77777777" w:rsidR="00DD13BF" w:rsidRPr="00606FAD" w:rsidRDefault="00DD13BF" w:rsidP="00355A56">
            <w:pPr>
              <w:pStyle w:val="TableParagraph"/>
              <w:rPr>
                <w:sz w:val="20"/>
              </w:rPr>
            </w:pPr>
            <w:r>
              <w:rPr>
                <w:sz w:val="20"/>
              </w:rPr>
              <w:t>6</w:t>
            </w:r>
          </w:p>
        </w:tc>
        <w:tc>
          <w:tcPr>
            <w:tcW w:w="1133" w:type="dxa"/>
          </w:tcPr>
          <w:p w14:paraId="18B5DD7A" w14:textId="77777777" w:rsidR="00DD13BF" w:rsidRPr="00606FAD" w:rsidRDefault="00DD13BF" w:rsidP="00355A56">
            <w:pPr>
              <w:pStyle w:val="TableParagraph"/>
              <w:rPr>
                <w:sz w:val="20"/>
              </w:rPr>
            </w:pPr>
            <w:r>
              <w:rPr>
                <w:sz w:val="20"/>
              </w:rPr>
              <w:t>ESF+</w:t>
            </w:r>
          </w:p>
        </w:tc>
        <w:tc>
          <w:tcPr>
            <w:tcW w:w="3249" w:type="dxa"/>
          </w:tcPr>
          <w:p w14:paraId="13FE4A32" w14:textId="77777777" w:rsidR="00DD13BF" w:rsidRPr="00606FAD" w:rsidRDefault="00DD13BF" w:rsidP="00355A56">
            <w:pPr>
              <w:pStyle w:val="TableParagraph"/>
              <w:rPr>
                <w:sz w:val="20"/>
              </w:rPr>
            </w:pPr>
            <w:r>
              <w:rPr>
                <w:sz w:val="20"/>
              </w:rPr>
              <w:t>Less developed</w:t>
            </w:r>
          </w:p>
        </w:tc>
        <w:tc>
          <w:tcPr>
            <w:tcW w:w="3099" w:type="dxa"/>
          </w:tcPr>
          <w:p w14:paraId="1D710E79" w14:textId="77777777" w:rsidR="00DD13BF" w:rsidRPr="00606FAD" w:rsidRDefault="00DD13BF" w:rsidP="00355A56">
            <w:pPr>
              <w:pStyle w:val="TableParagraph"/>
              <w:rPr>
                <w:sz w:val="20"/>
              </w:rPr>
            </w:pPr>
            <w:r>
              <w:rPr>
                <w:color w:val="000000"/>
                <w:sz w:val="20"/>
              </w:rPr>
              <w:t>ESO4.2</w:t>
            </w:r>
          </w:p>
        </w:tc>
        <w:tc>
          <w:tcPr>
            <w:tcW w:w="1161" w:type="dxa"/>
          </w:tcPr>
          <w:p w14:paraId="1544F52D" w14:textId="77777777" w:rsidR="00DD13BF" w:rsidRDefault="00DD13BF" w:rsidP="00355A56">
            <w:pPr>
              <w:pStyle w:val="TableParagraph"/>
              <w:rPr>
                <w:sz w:val="20"/>
              </w:rPr>
            </w:pPr>
            <w:r>
              <w:rPr>
                <w:sz w:val="20"/>
              </w:rPr>
              <w:t>01</w:t>
            </w:r>
          </w:p>
        </w:tc>
        <w:tc>
          <w:tcPr>
            <w:tcW w:w="2731" w:type="dxa"/>
          </w:tcPr>
          <w:p w14:paraId="117E8230" w14:textId="77777777" w:rsidR="00DD13BF" w:rsidRDefault="00DD13BF" w:rsidP="00355A56">
            <w:pPr>
              <w:pStyle w:val="TableParagraph"/>
              <w:rPr>
                <w:sz w:val="20"/>
              </w:rPr>
            </w:pPr>
            <w:r>
              <w:rPr>
                <w:sz w:val="20"/>
              </w:rPr>
              <w:t>17,640,000</w:t>
            </w:r>
          </w:p>
        </w:tc>
      </w:tr>
      <w:tr w:rsidR="00DD13BF" w14:paraId="1A3207C2" w14:textId="77777777" w:rsidTr="00355A56">
        <w:trPr>
          <w:trHeight w:val="353"/>
        </w:trPr>
        <w:tc>
          <w:tcPr>
            <w:tcW w:w="2088" w:type="dxa"/>
          </w:tcPr>
          <w:p w14:paraId="05B24722" w14:textId="77777777" w:rsidR="00DD13BF" w:rsidRPr="00606FAD" w:rsidRDefault="00DD13BF" w:rsidP="00355A56">
            <w:pPr>
              <w:pStyle w:val="TableParagraph"/>
              <w:rPr>
                <w:sz w:val="20"/>
              </w:rPr>
            </w:pPr>
            <w:r>
              <w:rPr>
                <w:sz w:val="20"/>
              </w:rPr>
              <w:t>6</w:t>
            </w:r>
          </w:p>
        </w:tc>
        <w:tc>
          <w:tcPr>
            <w:tcW w:w="1133" w:type="dxa"/>
          </w:tcPr>
          <w:p w14:paraId="235F8B4A" w14:textId="77777777" w:rsidR="00DD13BF" w:rsidRPr="00606FAD" w:rsidRDefault="00DD13BF" w:rsidP="00355A56">
            <w:pPr>
              <w:pStyle w:val="TableParagraph"/>
              <w:rPr>
                <w:sz w:val="20"/>
              </w:rPr>
            </w:pPr>
            <w:r>
              <w:rPr>
                <w:sz w:val="20"/>
              </w:rPr>
              <w:t>ESF+</w:t>
            </w:r>
          </w:p>
        </w:tc>
        <w:tc>
          <w:tcPr>
            <w:tcW w:w="3249" w:type="dxa"/>
          </w:tcPr>
          <w:p w14:paraId="236F689B" w14:textId="77777777" w:rsidR="00DD13BF" w:rsidRPr="00606FAD" w:rsidRDefault="00DD13BF" w:rsidP="00355A56">
            <w:pPr>
              <w:pStyle w:val="TableParagraph"/>
              <w:rPr>
                <w:sz w:val="20"/>
              </w:rPr>
            </w:pPr>
            <w:r>
              <w:rPr>
                <w:sz w:val="20"/>
              </w:rPr>
              <w:t>More developed</w:t>
            </w:r>
          </w:p>
        </w:tc>
        <w:tc>
          <w:tcPr>
            <w:tcW w:w="3099" w:type="dxa"/>
          </w:tcPr>
          <w:p w14:paraId="040CCA2B" w14:textId="77777777" w:rsidR="00DD13BF" w:rsidRPr="00606FAD" w:rsidRDefault="00DD13BF" w:rsidP="00355A56">
            <w:pPr>
              <w:pStyle w:val="TableParagraph"/>
              <w:rPr>
                <w:sz w:val="20"/>
              </w:rPr>
            </w:pPr>
            <w:r>
              <w:rPr>
                <w:color w:val="000000"/>
                <w:sz w:val="20"/>
              </w:rPr>
              <w:t>ESO4.2</w:t>
            </w:r>
          </w:p>
        </w:tc>
        <w:tc>
          <w:tcPr>
            <w:tcW w:w="1161" w:type="dxa"/>
          </w:tcPr>
          <w:p w14:paraId="79B48E83" w14:textId="77777777" w:rsidR="00DD13BF" w:rsidRDefault="00DD13BF" w:rsidP="00355A56">
            <w:pPr>
              <w:pStyle w:val="TableParagraph"/>
              <w:rPr>
                <w:sz w:val="20"/>
              </w:rPr>
            </w:pPr>
            <w:r>
              <w:rPr>
                <w:sz w:val="20"/>
              </w:rPr>
              <w:t>01</w:t>
            </w:r>
          </w:p>
        </w:tc>
        <w:tc>
          <w:tcPr>
            <w:tcW w:w="2731" w:type="dxa"/>
          </w:tcPr>
          <w:p w14:paraId="1ECC2EF4" w14:textId="77777777" w:rsidR="00DD13BF" w:rsidRDefault="00DD13BF" w:rsidP="00355A56">
            <w:pPr>
              <w:pStyle w:val="TableParagraph"/>
              <w:rPr>
                <w:sz w:val="20"/>
              </w:rPr>
            </w:pPr>
            <w:r>
              <w:rPr>
                <w:sz w:val="20"/>
              </w:rPr>
              <w:t>6,370,000</w:t>
            </w:r>
          </w:p>
        </w:tc>
      </w:tr>
    </w:tbl>
    <w:p w14:paraId="0C604B09" w14:textId="77777777" w:rsidR="00DD13BF" w:rsidRDefault="00DD13BF" w:rsidP="00DD13BF">
      <w:pPr>
        <w:rPr>
          <w:sz w:val="20"/>
        </w:rPr>
        <w:sectPr w:rsidR="00DD13BF" w:rsidSect="00BD3536">
          <w:headerReference w:type="default" r:id="rId73"/>
          <w:footerReference w:type="first" r:id="rId74"/>
          <w:type w:val="continuous"/>
          <w:pgSz w:w="16840" w:h="11910" w:orient="landscape"/>
          <w:pgMar w:top="1417" w:right="1417" w:bottom="1417" w:left="1417" w:header="708" w:footer="708" w:gutter="0"/>
          <w:cols w:space="708"/>
          <w:titlePg/>
          <w:docGrid w:linePitch="299"/>
        </w:sectPr>
      </w:pPr>
    </w:p>
    <w:p w14:paraId="652B5C87" w14:textId="77777777" w:rsidR="00DD13BF" w:rsidRDefault="00DD13BF" w:rsidP="00DD13BF">
      <w:pPr>
        <w:ind w:left="339"/>
      </w:pPr>
      <w:r>
        <w:t>Table 6: Dimension 3 – territorial delivery mechanism and territorial focus</w:t>
      </w:r>
    </w:p>
    <w:p w14:paraId="4B899317"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DDEA242" w14:textId="77777777" w:rsidTr="00355A56">
        <w:trPr>
          <w:trHeight w:val="353"/>
        </w:trPr>
        <w:tc>
          <w:tcPr>
            <w:tcW w:w="2088" w:type="dxa"/>
          </w:tcPr>
          <w:p w14:paraId="77DCB058" w14:textId="77777777" w:rsidR="00DD13BF" w:rsidRDefault="00DD13BF" w:rsidP="00355A56">
            <w:pPr>
              <w:pStyle w:val="TableParagraph"/>
              <w:ind w:left="115"/>
            </w:pPr>
            <w:r>
              <w:t>Priority no.</w:t>
            </w:r>
          </w:p>
        </w:tc>
        <w:tc>
          <w:tcPr>
            <w:tcW w:w="1132" w:type="dxa"/>
          </w:tcPr>
          <w:p w14:paraId="68661BC0" w14:textId="77777777" w:rsidR="00DD13BF" w:rsidRDefault="00DD13BF" w:rsidP="00355A56">
            <w:pPr>
              <w:pStyle w:val="TableParagraph"/>
              <w:ind w:left="320"/>
            </w:pPr>
            <w:r>
              <w:t>Fund</w:t>
            </w:r>
          </w:p>
        </w:tc>
        <w:tc>
          <w:tcPr>
            <w:tcW w:w="3248" w:type="dxa"/>
          </w:tcPr>
          <w:p w14:paraId="3043714A" w14:textId="77777777" w:rsidR="00DD13BF" w:rsidRDefault="00DD13BF" w:rsidP="00355A56">
            <w:pPr>
              <w:pStyle w:val="TableParagraph"/>
              <w:ind w:left="908"/>
            </w:pPr>
            <w:r>
              <w:t>Category of region</w:t>
            </w:r>
          </w:p>
        </w:tc>
        <w:tc>
          <w:tcPr>
            <w:tcW w:w="3098" w:type="dxa"/>
          </w:tcPr>
          <w:p w14:paraId="265DE3E0" w14:textId="77777777" w:rsidR="00DD13BF" w:rsidRDefault="00DD13BF" w:rsidP="00355A56">
            <w:pPr>
              <w:pStyle w:val="TableParagraph"/>
              <w:ind w:left="950"/>
            </w:pPr>
            <w:r>
              <w:t>Specific objective</w:t>
            </w:r>
          </w:p>
        </w:tc>
        <w:tc>
          <w:tcPr>
            <w:tcW w:w="1160" w:type="dxa"/>
          </w:tcPr>
          <w:p w14:paraId="7AFBC07E" w14:textId="77777777" w:rsidR="00DD13BF" w:rsidRDefault="00DD13BF" w:rsidP="00355A56">
            <w:pPr>
              <w:pStyle w:val="TableParagraph"/>
              <w:ind w:left="336"/>
            </w:pPr>
            <w:r>
              <w:t>Code</w:t>
            </w:r>
          </w:p>
        </w:tc>
        <w:tc>
          <w:tcPr>
            <w:tcW w:w="2730" w:type="dxa"/>
          </w:tcPr>
          <w:p w14:paraId="2714A3DA" w14:textId="77777777" w:rsidR="00DD13BF" w:rsidRDefault="00DD13BF" w:rsidP="00355A56">
            <w:pPr>
              <w:pStyle w:val="TableParagraph"/>
              <w:ind w:left="664"/>
            </w:pPr>
            <w:r>
              <w:t>Amount (in EUR)</w:t>
            </w:r>
          </w:p>
        </w:tc>
      </w:tr>
      <w:tr w:rsidR="00DD13BF" w14:paraId="61AC0398" w14:textId="77777777" w:rsidTr="00355A56">
        <w:trPr>
          <w:trHeight w:val="353"/>
        </w:trPr>
        <w:tc>
          <w:tcPr>
            <w:tcW w:w="2088" w:type="dxa"/>
          </w:tcPr>
          <w:p w14:paraId="4103A36E" w14:textId="77777777" w:rsidR="00DD13BF" w:rsidRDefault="00DD13BF" w:rsidP="00355A56">
            <w:pPr>
              <w:pStyle w:val="TableParagraph"/>
              <w:rPr>
                <w:sz w:val="20"/>
              </w:rPr>
            </w:pPr>
            <w:r>
              <w:rPr>
                <w:sz w:val="20"/>
              </w:rPr>
              <w:t>6</w:t>
            </w:r>
          </w:p>
        </w:tc>
        <w:tc>
          <w:tcPr>
            <w:tcW w:w="1132" w:type="dxa"/>
          </w:tcPr>
          <w:p w14:paraId="43A18A8D" w14:textId="77777777" w:rsidR="00DD13BF" w:rsidRDefault="00DD13BF" w:rsidP="00355A56">
            <w:pPr>
              <w:pStyle w:val="TableParagraph"/>
              <w:rPr>
                <w:sz w:val="20"/>
              </w:rPr>
            </w:pPr>
            <w:r>
              <w:rPr>
                <w:sz w:val="20"/>
              </w:rPr>
              <w:t>ESF+</w:t>
            </w:r>
          </w:p>
        </w:tc>
        <w:tc>
          <w:tcPr>
            <w:tcW w:w="3248" w:type="dxa"/>
          </w:tcPr>
          <w:p w14:paraId="274D2A07" w14:textId="77777777" w:rsidR="00DD13BF" w:rsidRDefault="00DD13BF" w:rsidP="00355A56">
            <w:pPr>
              <w:pStyle w:val="TableParagraph"/>
              <w:rPr>
                <w:sz w:val="20"/>
              </w:rPr>
            </w:pPr>
            <w:r>
              <w:rPr>
                <w:sz w:val="20"/>
              </w:rPr>
              <w:t>Less developed</w:t>
            </w:r>
          </w:p>
        </w:tc>
        <w:tc>
          <w:tcPr>
            <w:tcW w:w="3098" w:type="dxa"/>
          </w:tcPr>
          <w:p w14:paraId="56520A1C" w14:textId="77777777" w:rsidR="00DD13BF" w:rsidRDefault="00DD13BF" w:rsidP="00355A56">
            <w:pPr>
              <w:pStyle w:val="TableParagraph"/>
              <w:rPr>
                <w:sz w:val="20"/>
              </w:rPr>
            </w:pPr>
            <w:r>
              <w:rPr>
                <w:color w:val="000000"/>
                <w:sz w:val="20"/>
              </w:rPr>
              <w:t>ESO4.2</w:t>
            </w:r>
          </w:p>
        </w:tc>
        <w:tc>
          <w:tcPr>
            <w:tcW w:w="1160" w:type="dxa"/>
          </w:tcPr>
          <w:p w14:paraId="245ABD86" w14:textId="77777777" w:rsidR="00DD13BF" w:rsidRDefault="00DD13BF" w:rsidP="00355A56">
            <w:pPr>
              <w:pStyle w:val="TableParagraph"/>
              <w:rPr>
                <w:sz w:val="20"/>
              </w:rPr>
            </w:pPr>
            <w:r>
              <w:rPr>
                <w:sz w:val="20"/>
              </w:rPr>
              <w:t>33</w:t>
            </w:r>
          </w:p>
        </w:tc>
        <w:tc>
          <w:tcPr>
            <w:tcW w:w="2730" w:type="dxa"/>
          </w:tcPr>
          <w:p w14:paraId="48257FFE" w14:textId="77777777" w:rsidR="00DD13BF" w:rsidRDefault="00DD13BF" w:rsidP="00355A56">
            <w:pPr>
              <w:pStyle w:val="TableParagraph"/>
              <w:rPr>
                <w:sz w:val="20"/>
              </w:rPr>
            </w:pPr>
            <w:r>
              <w:rPr>
                <w:sz w:val="20"/>
              </w:rPr>
              <w:t>17,640,000</w:t>
            </w:r>
          </w:p>
        </w:tc>
      </w:tr>
      <w:tr w:rsidR="00DD13BF" w14:paraId="6BD26AB3" w14:textId="77777777" w:rsidTr="00355A56">
        <w:trPr>
          <w:trHeight w:val="353"/>
        </w:trPr>
        <w:tc>
          <w:tcPr>
            <w:tcW w:w="2088" w:type="dxa"/>
          </w:tcPr>
          <w:p w14:paraId="1F12D3A2" w14:textId="77777777" w:rsidR="00DD13BF" w:rsidRDefault="00DD13BF" w:rsidP="00355A56">
            <w:pPr>
              <w:pStyle w:val="TableParagraph"/>
              <w:rPr>
                <w:sz w:val="20"/>
              </w:rPr>
            </w:pPr>
            <w:r>
              <w:rPr>
                <w:sz w:val="20"/>
              </w:rPr>
              <w:t>6</w:t>
            </w:r>
          </w:p>
        </w:tc>
        <w:tc>
          <w:tcPr>
            <w:tcW w:w="1132" w:type="dxa"/>
          </w:tcPr>
          <w:p w14:paraId="304DB988" w14:textId="77777777" w:rsidR="00DD13BF" w:rsidRDefault="00DD13BF" w:rsidP="00355A56">
            <w:pPr>
              <w:pStyle w:val="TableParagraph"/>
              <w:rPr>
                <w:sz w:val="20"/>
              </w:rPr>
            </w:pPr>
            <w:r>
              <w:rPr>
                <w:sz w:val="20"/>
              </w:rPr>
              <w:t>ESF+</w:t>
            </w:r>
          </w:p>
        </w:tc>
        <w:tc>
          <w:tcPr>
            <w:tcW w:w="3248" w:type="dxa"/>
          </w:tcPr>
          <w:p w14:paraId="30D35B6B" w14:textId="77777777" w:rsidR="00DD13BF" w:rsidRPr="00FA4535" w:rsidRDefault="00DD13BF" w:rsidP="00355A56">
            <w:pPr>
              <w:pStyle w:val="TableParagraph"/>
              <w:rPr>
                <w:sz w:val="20"/>
                <w:highlight w:val="yellow"/>
              </w:rPr>
            </w:pPr>
            <w:r>
              <w:rPr>
                <w:sz w:val="20"/>
              </w:rPr>
              <w:t>More developed</w:t>
            </w:r>
          </w:p>
        </w:tc>
        <w:tc>
          <w:tcPr>
            <w:tcW w:w="3098" w:type="dxa"/>
          </w:tcPr>
          <w:p w14:paraId="3766D683" w14:textId="77777777" w:rsidR="00DD13BF" w:rsidRDefault="00DD13BF" w:rsidP="00355A56">
            <w:pPr>
              <w:pStyle w:val="TableParagraph"/>
              <w:rPr>
                <w:sz w:val="20"/>
              </w:rPr>
            </w:pPr>
            <w:r>
              <w:rPr>
                <w:color w:val="000000"/>
                <w:sz w:val="20"/>
              </w:rPr>
              <w:t>ESO4.2</w:t>
            </w:r>
          </w:p>
        </w:tc>
        <w:tc>
          <w:tcPr>
            <w:tcW w:w="1160" w:type="dxa"/>
          </w:tcPr>
          <w:p w14:paraId="7F4033BB" w14:textId="77777777" w:rsidR="00DD13BF" w:rsidRDefault="00DD13BF" w:rsidP="00355A56">
            <w:pPr>
              <w:pStyle w:val="TableParagraph"/>
              <w:rPr>
                <w:sz w:val="20"/>
              </w:rPr>
            </w:pPr>
            <w:r>
              <w:rPr>
                <w:sz w:val="20"/>
              </w:rPr>
              <w:t>33</w:t>
            </w:r>
          </w:p>
        </w:tc>
        <w:tc>
          <w:tcPr>
            <w:tcW w:w="2730" w:type="dxa"/>
          </w:tcPr>
          <w:p w14:paraId="5D0D8C76" w14:textId="77777777" w:rsidR="00DD13BF" w:rsidRPr="00606FAD" w:rsidRDefault="00DD13BF" w:rsidP="00355A56">
            <w:pPr>
              <w:pStyle w:val="TableParagraph"/>
              <w:rPr>
                <w:sz w:val="20"/>
              </w:rPr>
            </w:pPr>
            <w:r>
              <w:rPr>
                <w:sz w:val="20"/>
              </w:rPr>
              <w:t>6,370,000</w:t>
            </w:r>
          </w:p>
        </w:tc>
      </w:tr>
    </w:tbl>
    <w:p w14:paraId="02543B15" w14:textId="77777777" w:rsidR="00DD13BF" w:rsidRDefault="00DD13BF" w:rsidP="00DD13BF"/>
    <w:p w14:paraId="746B5763" w14:textId="77777777" w:rsidR="00DD13BF" w:rsidRDefault="00DD13BF" w:rsidP="00DD13BF">
      <w:pPr>
        <w:ind w:left="339"/>
      </w:pPr>
      <w:r>
        <w:t>Table 7: Dimension 6 – ESF+ secondary themes</w:t>
      </w:r>
    </w:p>
    <w:p w14:paraId="55046B19"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FBE139A" w14:textId="77777777" w:rsidTr="00355A56">
        <w:trPr>
          <w:trHeight w:val="353"/>
        </w:trPr>
        <w:tc>
          <w:tcPr>
            <w:tcW w:w="2088" w:type="dxa"/>
          </w:tcPr>
          <w:p w14:paraId="258D91D9" w14:textId="77777777" w:rsidR="00DD13BF" w:rsidRDefault="00DD13BF" w:rsidP="00355A56">
            <w:pPr>
              <w:pStyle w:val="TableParagraph"/>
              <w:ind w:left="115"/>
            </w:pPr>
            <w:r>
              <w:t>Priority no.</w:t>
            </w:r>
          </w:p>
        </w:tc>
        <w:tc>
          <w:tcPr>
            <w:tcW w:w="1132" w:type="dxa"/>
          </w:tcPr>
          <w:p w14:paraId="4320FDA9" w14:textId="77777777" w:rsidR="00DD13BF" w:rsidRDefault="00DD13BF" w:rsidP="00355A56">
            <w:pPr>
              <w:pStyle w:val="TableParagraph"/>
              <w:ind w:left="321"/>
            </w:pPr>
            <w:r>
              <w:t>Fund</w:t>
            </w:r>
          </w:p>
        </w:tc>
        <w:tc>
          <w:tcPr>
            <w:tcW w:w="3248" w:type="dxa"/>
          </w:tcPr>
          <w:p w14:paraId="63B00F57" w14:textId="77777777" w:rsidR="00DD13BF" w:rsidRDefault="00DD13BF" w:rsidP="00355A56">
            <w:pPr>
              <w:pStyle w:val="TableParagraph"/>
              <w:ind w:left="909"/>
            </w:pPr>
            <w:r>
              <w:t>Category of region</w:t>
            </w:r>
          </w:p>
        </w:tc>
        <w:tc>
          <w:tcPr>
            <w:tcW w:w="3098" w:type="dxa"/>
          </w:tcPr>
          <w:p w14:paraId="7449595D" w14:textId="77777777" w:rsidR="00DD13BF" w:rsidRDefault="00DD13BF" w:rsidP="00355A56">
            <w:pPr>
              <w:pStyle w:val="TableParagraph"/>
              <w:ind w:left="950"/>
            </w:pPr>
            <w:r>
              <w:t>Specific objective</w:t>
            </w:r>
          </w:p>
        </w:tc>
        <w:tc>
          <w:tcPr>
            <w:tcW w:w="1160" w:type="dxa"/>
          </w:tcPr>
          <w:p w14:paraId="3CF6400B" w14:textId="77777777" w:rsidR="00DD13BF" w:rsidRDefault="00DD13BF" w:rsidP="00355A56">
            <w:pPr>
              <w:pStyle w:val="TableParagraph"/>
              <w:ind w:left="337"/>
            </w:pPr>
            <w:r>
              <w:t>Code</w:t>
            </w:r>
          </w:p>
        </w:tc>
        <w:tc>
          <w:tcPr>
            <w:tcW w:w="2730" w:type="dxa"/>
          </w:tcPr>
          <w:p w14:paraId="4E03B831" w14:textId="77777777" w:rsidR="00DD13BF" w:rsidRDefault="00DD13BF" w:rsidP="00355A56">
            <w:pPr>
              <w:pStyle w:val="TableParagraph"/>
              <w:ind w:left="665"/>
            </w:pPr>
            <w:r>
              <w:t>Amount (in EUR)</w:t>
            </w:r>
          </w:p>
        </w:tc>
      </w:tr>
      <w:tr w:rsidR="00DD13BF" w14:paraId="570BAD8A" w14:textId="77777777" w:rsidTr="00355A56">
        <w:trPr>
          <w:trHeight w:val="353"/>
        </w:trPr>
        <w:tc>
          <w:tcPr>
            <w:tcW w:w="2088" w:type="dxa"/>
          </w:tcPr>
          <w:p w14:paraId="3A02F90D" w14:textId="77777777" w:rsidR="00DD13BF" w:rsidRDefault="00DD13BF" w:rsidP="00355A56">
            <w:pPr>
              <w:pStyle w:val="TableParagraph"/>
              <w:rPr>
                <w:sz w:val="20"/>
              </w:rPr>
            </w:pPr>
            <w:r>
              <w:rPr>
                <w:sz w:val="20"/>
              </w:rPr>
              <w:t>6</w:t>
            </w:r>
          </w:p>
        </w:tc>
        <w:tc>
          <w:tcPr>
            <w:tcW w:w="1132" w:type="dxa"/>
          </w:tcPr>
          <w:p w14:paraId="1F19362D" w14:textId="77777777" w:rsidR="00DD13BF" w:rsidRDefault="00DD13BF" w:rsidP="00355A56">
            <w:pPr>
              <w:pStyle w:val="TableParagraph"/>
              <w:rPr>
                <w:sz w:val="20"/>
              </w:rPr>
            </w:pPr>
            <w:r>
              <w:rPr>
                <w:sz w:val="20"/>
              </w:rPr>
              <w:t>ESF+</w:t>
            </w:r>
          </w:p>
        </w:tc>
        <w:tc>
          <w:tcPr>
            <w:tcW w:w="3248" w:type="dxa"/>
          </w:tcPr>
          <w:p w14:paraId="254016A5" w14:textId="77777777" w:rsidR="00DD13BF" w:rsidRDefault="00DD13BF" w:rsidP="00355A56">
            <w:pPr>
              <w:pStyle w:val="TableParagraph"/>
              <w:rPr>
                <w:sz w:val="20"/>
              </w:rPr>
            </w:pPr>
            <w:r>
              <w:rPr>
                <w:sz w:val="20"/>
              </w:rPr>
              <w:t>Less developed</w:t>
            </w:r>
          </w:p>
        </w:tc>
        <w:tc>
          <w:tcPr>
            <w:tcW w:w="3098" w:type="dxa"/>
          </w:tcPr>
          <w:p w14:paraId="26B1778F" w14:textId="77777777" w:rsidR="00DD13BF" w:rsidRDefault="00DD13BF" w:rsidP="00355A56">
            <w:pPr>
              <w:pStyle w:val="TableParagraph"/>
              <w:rPr>
                <w:sz w:val="20"/>
              </w:rPr>
            </w:pPr>
            <w:r>
              <w:rPr>
                <w:color w:val="000000"/>
                <w:sz w:val="20"/>
              </w:rPr>
              <w:t>ESO4.2</w:t>
            </w:r>
          </w:p>
        </w:tc>
        <w:tc>
          <w:tcPr>
            <w:tcW w:w="1160" w:type="dxa"/>
          </w:tcPr>
          <w:p w14:paraId="01446499" w14:textId="77777777" w:rsidR="00DD13BF" w:rsidRDefault="00DD13BF" w:rsidP="00355A56">
            <w:pPr>
              <w:pStyle w:val="TableParagraph"/>
              <w:rPr>
                <w:sz w:val="20"/>
              </w:rPr>
            </w:pPr>
            <w:r>
              <w:rPr>
                <w:sz w:val="20"/>
              </w:rPr>
              <w:t>02</w:t>
            </w:r>
          </w:p>
        </w:tc>
        <w:tc>
          <w:tcPr>
            <w:tcW w:w="2730" w:type="dxa"/>
          </w:tcPr>
          <w:p w14:paraId="37D3E52C" w14:textId="77777777" w:rsidR="00DD13BF" w:rsidRDefault="00DD13BF" w:rsidP="00355A56">
            <w:pPr>
              <w:pStyle w:val="TableParagraph"/>
              <w:rPr>
                <w:sz w:val="20"/>
              </w:rPr>
            </w:pPr>
            <w:r>
              <w:rPr>
                <w:sz w:val="20"/>
              </w:rPr>
              <w:t>17,640,000</w:t>
            </w:r>
          </w:p>
        </w:tc>
      </w:tr>
      <w:tr w:rsidR="00DD13BF" w14:paraId="3EFFA6D0" w14:textId="77777777" w:rsidTr="00355A56">
        <w:trPr>
          <w:trHeight w:val="353"/>
        </w:trPr>
        <w:tc>
          <w:tcPr>
            <w:tcW w:w="2088" w:type="dxa"/>
          </w:tcPr>
          <w:p w14:paraId="760D634B" w14:textId="77777777" w:rsidR="00DD13BF" w:rsidRDefault="00DD13BF" w:rsidP="00355A56">
            <w:pPr>
              <w:pStyle w:val="TableParagraph"/>
              <w:rPr>
                <w:sz w:val="20"/>
              </w:rPr>
            </w:pPr>
            <w:r>
              <w:rPr>
                <w:sz w:val="20"/>
              </w:rPr>
              <w:t>6</w:t>
            </w:r>
          </w:p>
        </w:tc>
        <w:tc>
          <w:tcPr>
            <w:tcW w:w="1132" w:type="dxa"/>
          </w:tcPr>
          <w:p w14:paraId="7AA71E1E" w14:textId="77777777" w:rsidR="00DD13BF" w:rsidRDefault="00DD13BF" w:rsidP="00355A56">
            <w:pPr>
              <w:pStyle w:val="TableParagraph"/>
              <w:rPr>
                <w:sz w:val="20"/>
              </w:rPr>
            </w:pPr>
            <w:r>
              <w:rPr>
                <w:sz w:val="20"/>
              </w:rPr>
              <w:t>ESF+</w:t>
            </w:r>
          </w:p>
        </w:tc>
        <w:tc>
          <w:tcPr>
            <w:tcW w:w="3248" w:type="dxa"/>
          </w:tcPr>
          <w:p w14:paraId="783B580F" w14:textId="77777777" w:rsidR="00DD13BF" w:rsidRDefault="00DD13BF" w:rsidP="00355A56">
            <w:pPr>
              <w:pStyle w:val="TableParagraph"/>
              <w:rPr>
                <w:sz w:val="20"/>
              </w:rPr>
            </w:pPr>
            <w:r>
              <w:rPr>
                <w:sz w:val="20"/>
              </w:rPr>
              <w:t>More developed</w:t>
            </w:r>
          </w:p>
        </w:tc>
        <w:tc>
          <w:tcPr>
            <w:tcW w:w="3098" w:type="dxa"/>
          </w:tcPr>
          <w:p w14:paraId="17AE3EB3" w14:textId="77777777" w:rsidR="00DD13BF" w:rsidRDefault="00DD13BF" w:rsidP="00355A56">
            <w:pPr>
              <w:pStyle w:val="TableParagraph"/>
              <w:rPr>
                <w:sz w:val="20"/>
              </w:rPr>
            </w:pPr>
            <w:r>
              <w:rPr>
                <w:color w:val="000000"/>
                <w:sz w:val="20"/>
              </w:rPr>
              <w:t>ESO4.2</w:t>
            </w:r>
          </w:p>
        </w:tc>
        <w:tc>
          <w:tcPr>
            <w:tcW w:w="1160" w:type="dxa"/>
          </w:tcPr>
          <w:p w14:paraId="12A80743" w14:textId="77777777" w:rsidR="00DD13BF" w:rsidRDefault="00DD13BF" w:rsidP="00355A56">
            <w:pPr>
              <w:pStyle w:val="TableParagraph"/>
              <w:rPr>
                <w:sz w:val="20"/>
              </w:rPr>
            </w:pPr>
            <w:r>
              <w:rPr>
                <w:sz w:val="20"/>
              </w:rPr>
              <w:t>02</w:t>
            </w:r>
          </w:p>
        </w:tc>
        <w:tc>
          <w:tcPr>
            <w:tcW w:w="2730" w:type="dxa"/>
          </w:tcPr>
          <w:p w14:paraId="532B4B96" w14:textId="77777777" w:rsidR="00DD13BF" w:rsidRDefault="00DD13BF" w:rsidP="00355A56">
            <w:pPr>
              <w:pStyle w:val="TableParagraph"/>
              <w:rPr>
                <w:sz w:val="20"/>
              </w:rPr>
            </w:pPr>
            <w:r>
              <w:rPr>
                <w:sz w:val="20"/>
              </w:rPr>
              <w:t>6,370,000</w:t>
            </w:r>
          </w:p>
        </w:tc>
      </w:tr>
    </w:tbl>
    <w:p w14:paraId="70AF53EC" w14:textId="77777777" w:rsidR="00DD13BF" w:rsidRPr="00673ADB" w:rsidRDefault="00DD13BF" w:rsidP="00DD13BF"/>
    <w:p w14:paraId="11338730" w14:textId="77777777" w:rsidR="00DD13BF" w:rsidRDefault="00DD13BF" w:rsidP="00DD13BF">
      <w:pPr>
        <w:ind w:left="339"/>
      </w:pPr>
      <w:r>
        <w:t>Table 8: Dimension 7 – ESF+*, ERDF, Cohesion Fund and JTF gender equality dimension</w:t>
      </w:r>
    </w:p>
    <w:p w14:paraId="00D5F90F"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598920C" w14:textId="77777777" w:rsidTr="00355A56">
        <w:trPr>
          <w:trHeight w:val="353"/>
        </w:trPr>
        <w:tc>
          <w:tcPr>
            <w:tcW w:w="2088" w:type="dxa"/>
          </w:tcPr>
          <w:p w14:paraId="2BC065E7" w14:textId="77777777" w:rsidR="00DD13BF" w:rsidRDefault="00DD13BF" w:rsidP="00355A56">
            <w:pPr>
              <w:pStyle w:val="TableParagraph"/>
              <w:ind w:left="115"/>
            </w:pPr>
            <w:r>
              <w:t>Priority no.</w:t>
            </w:r>
          </w:p>
        </w:tc>
        <w:tc>
          <w:tcPr>
            <w:tcW w:w="1132" w:type="dxa"/>
          </w:tcPr>
          <w:p w14:paraId="0F122444" w14:textId="77777777" w:rsidR="00DD13BF" w:rsidRDefault="00DD13BF" w:rsidP="00355A56">
            <w:pPr>
              <w:pStyle w:val="TableParagraph"/>
              <w:ind w:left="320"/>
            </w:pPr>
            <w:r>
              <w:t>Fund</w:t>
            </w:r>
          </w:p>
        </w:tc>
        <w:tc>
          <w:tcPr>
            <w:tcW w:w="3248" w:type="dxa"/>
          </w:tcPr>
          <w:p w14:paraId="4605FF69" w14:textId="77777777" w:rsidR="00DD13BF" w:rsidRDefault="00DD13BF" w:rsidP="00355A56">
            <w:pPr>
              <w:pStyle w:val="TableParagraph"/>
              <w:ind w:left="908"/>
            </w:pPr>
            <w:r>
              <w:t>Category of region</w:t>
            </w:r>
          </w:p>
        </w:tc>
        <w:tc>
          <w:tcPr>
            <w:tcW w:w="3098" w:type="dxa"/>
          </w:tcPr>
          <w:p w14:paraId="6F2431E6" w14:textId="77777777" w:rsidR="00DD13BF" w:rsidRDefault="00DD13BF" w:rsidP="00355A56">
            <w:pPr>
              <w:pStyle w:val="TableParagraph"/>
              <w:ind w:left="950"/>
            </w:pPr>
            <w:r>
              <w:t>Specific objective</w:t>
            </w:r>
          </w:p>
        </w:tc>
        <w:tc>
          <w:tcPr>
            <w:tcW w:w="1160" w:type="dxa"/>
          </w:tcPr>
          <w:p w14:paraId="5A9B497A" w14:textId="77777777" w:rsidR="00DD13BF" w:rsidRDefault="00DD13BF" w:rsidP="00355A56">
            <w:pPr>
              <w:pStyle w:val="TableParagraph"/>
              <w:ind w:left="336"/>
            </w:pPr>
            <w:r>
              <w:t>Code</w:t>
            </w:r>
          </w:p>
        </w:tc>
        <w:tc>
          <w:tcPr>
            <w:tcW w:w="2730" w:type="dxa"/>
          </w:tcPr>
          <w:p w14:paraId="125EB027" w14:textId="77777777" w:rsidR="00DD13BF" w:rsidRDefault="00DD13BF" w:rsidP="00355A56">
            <w:pPr>
              <w:pStyle w:val="TableParagraph"/>
              <w:ind w:left="664"/>
            </w:pPr>
            <w:r>
              <w:t>Amount (in EUR)</w:t>
            </w:r>
          </w:p>
        </w:tc>
      </w:tr>
      <w:tr w:rsidR="00DD13BF" w14:paraId="586934F3" w14:textId="77777777" w:rsidTr="00355A56">
        <w:trPr>
          <w:trHeight w:val="353"/>
        </w:trPr>
        <w:tc>
          <w:tcPr>
            <w:tcW w:w="2088" w:type="dxa"/>
          </w:tcPr>
          <w:p w14:paraId="5927B3F2" w14:textId="77777777" w:rsidR="00DD13BF" w:rsidRDefault="00DD13BF" w:rsidP="00355A56">
            <w:pPr>
              <w:pStyle w:val="TableParagraph"/>
              <w:rPr>
                <w:sz w:val="20"/>
              </w:rPr>
            </w:pPr>
            <w:r>
              <w:rPr>
                <w:sz w:val="20"/>
              </w:rPr>
              <w:t>6</w:t>
            </w:r>
          </w:p>
        </w:tc>
        <w:tc>
          <w:tcPr>
            <w:tcW w:w="1132" w:type="dxa"/>
          </w:tcPr>
          <w:p w14:paraId="632F1FBB" w14:textId="77777777" w:rsidR="00DD13BF" w:rsidRDefault="00DD13BF" w:rsidP="00355A56">
            <w:pPr>
              <w:pStyle w:val="TableParagraph"/>
              <w:rPr>
                <w:sz w:val="20"/>
              </w:rPr>
            </w:pPr>
            <w:r>
              <w:rPr>
                <w:sz w:val="20"/>
              </w:rPr>
              <w:t>ESF+</w:t>
            </w:r>
          </w:p>
        </w:tc>
        <w:tc>
          <w:tcPr>
            <w:tcW w:w="3248" w:type="dxa"/>
          </w:tcPr>
          <w:p w14:paraId="21E13A74" w14:textId="77777777" w:rsidR="00DD13BF" w:rsidRDefault="00DD13BF" w:rsidP="00355A56">
            <w:pPr>
              <w:pStyle w:val="TableParagraph"/>
              <w:rPr>
                <w:sz w:val="20"/>
              </w:rPr>
            </w:pPr>
            <w:r>
              <w:rPr>
                <w:sz w:val="20"/>
              </w:rPr>
              <w:t>Less developed</w:t>
            </w:r>
          </w:p>
        </w:tc>
        <w:tc>
          <w:tcPr>
            <w:tcW w:w="3098" w:type="dxa"/>
          </w:tcPr>
          <w:p w14:paraId="588C2EBC" w14:textId="77777777" w:rsidR="00DD13BF" w:rsidRDefault="00DD13BF" w:rsidP="00355A56">
            <w:pPr>
              <w:pStyle w:val="TableParagraph"/>
              <w:rPr>
                <w:sz w:val="20"/>
              </w:rPr>
            </w:pPr>
            <w:r>
              <w:rPr>
                <w:color w:val="000000"/>
                <w:sz w:val="20"/>
              </w:rPr>
              <w:t>ESO4.2</w:t>
            </w:r>
          </w:p>
        </w:tc>
        <w:tc>
          <w:tcPr>
            <w:tcW w:w="1160" w:type="dxa"/>
          </w:tcPr>
          <w:p w14:paraId="14E9BDCA" w14:textId="77777777" w:rsidR="00DD13BF" w:rsidRDefault="00DD13BF" w:rsidP="00355A56">
            <w:pPr>
              <w:pStyle w:val="TableParagraph"/>
              <w:rPr>
                <w:sz w:val="20"/>
              </w:rPr>
            </w:pPr>
            <w:r>
              <w:rPr>
                <w:sz w:val="20"/>
              </w:rPr>
              <w:t>02</w:t>
            </w:r>
          </w:p>
        </w:tc>
        <w:tc>
          <w:tcPr>
            <w:tcW w:w="2730" w:type="dxa"/>
          </w:tcPr>
          <w:p w14:paraId="6622998A" w14:textId="77777777" w:rsidR="00DD13BF" w:rsidRDefault="00DD13BF" w:rsidP="00355A56">
            <w:pPr>
              <w:pStyle w:val="TableParagraph"/>
              <w:rPr>
                <w:sz w:val="20"/>
              </w:rPr>
            </w:pPr>
            <w:r>
              <w:rPr>
                <w:sz w:val="20"/>
              </w:rPr>
              <w:t>17,640,000</w:t>
            </w:r>
          </w:p>
        </w:tc>
      </w:tr>
      <w:tr w:rsidR="00DD13BF" w14:paraId="3B988C3A" w14:textId="77777777" w:rsidTr="00355A56">
        <w:trPr>
          <w:trHeight w:val="353"/>
        </w:trPr>
        <w:tc>
          <w:tcPr>
            <w:tcW w:w="2088" w:type="dxa"/>
          </w:tcPr>
          <w:p w14:paraId="572124BE" w14:textId="77777777" w:rsidR="00DD13BF" w:rsidRDefault="00DD13BF" w:rsidP="00355A56">
            <w:pPr>
              <w:pStyle w:val="TableParagraph"/>
              <w:rPr>
                <w:sz w:val="20"/>
              </w:rPr>
            </w:pPr>
            <w:r>
              <w:rPr>
                <w:sz w:val="20"/>
              </w:rPr>
              <w:t>6</w:t>
            </w:r>
          </w:p>
        </w:tc>
        <w:tc>
          <w:tcPr>
            <w:tcW w:w="1132" w:type="dxa"/>
          </w:tcPr>
          <w:p w14:paraId="2D8B7E64" w14:textId="77777777" w:rsidR="00DD13BF" w:rsidRDefault="00DD13BF" w:rsidP="00355A56">
            <w:pPr>
              <w:pStyle w:val="TableParagraph"/>
              <w:rPr>
                <w:sz w:val="20"/>
              </w:rPr>
            </w:pPr>
            <w:r>
              <w:rPr>
                <w:sz w:val="20"/>
              </w:rPr>
              <w:t>ESF+</w:t>
            </w:r>
          </w:p>
        </w:tc>
        <w:tc>
          <w:tcPr>
            <w:tcW w:w="3248" w:type="dxa"/>
          </w:tcPr>
          <w:p w14:paraId="5B7C9559" w14:textId="77777777" w:rsidR="00DD13BF" w:rsidRDefault="00DD13BF" w:rsidP="00355A56">
            <w:pPr>
              <w:pStyle w:val="TableParagraph"/>
              <w:rPr>
                <w:sz w:val="20"/>
              </w:rPr>
            </w:pPr>
            <w:r>
              <w:rPr>
                <w:sz w:val="20"/>
              </w:rPr>
              <w:t>More developed</w:t>
            </w:r>
          </w:p>
        </w:tc>
        <w:tc>
          <w:tcPr>
            <w:tcW w:w="3098" w:type="dxa"/>
          </w:tcPr>
          <w:p w14:paraId="557A5B10" w14:textId="77777777" w:rsidR="00DD13BF" w:rsidRDefault="00DD13BF" w:rsidP="00355A56">
            <w:pPr>
              <w:pStyle w:val="TableParagraph"/>
              <w:rPr>
                <w:sz w:val="20"/>
              </w:rPr>
            </w:pPr>
            <w:r>
              <w:rPr>
                <w:color w:val="000000"/>
                <w:sz w:val="20"/>
              </w:rPr>
              <w:t>ESO4.2</w:t>
            </w:r>
          </w:p>
        </w:tc>
        <w:tc>
          <w:tcPr>
            <w:tcW w:w="1160" w:type="dxa"/>
          </w:tcPr>
          <w:p w14:paraId="52044596" w14:textId="77777777" w:rsidR="00DD13BF" w:rsidRDefault="00DD13BF" w:rsidP="00355A56">
            <w:pPr>
              <w:pStyle w:val="TableParagraph"/>
              <w:rPr>
                <w:sz w:val="20"/>
              </w:rPr>
            </w:pPr>
            <w:r>
              <w:rPr>
                <w:sz w:val="20"/>
              </w:rPr>
              <w:t>02</w:t>
            </w:r>
          </w:p>
        </w:tc>
        <w:tc>
          <w:tcPr>
            <w:tcW w:w="2730" w:type="dxa"/>
          </w:tcPr>
          <w:p w14:paraId="08EE5DFE" w14:textId="77777777" w:rsidR="00DD13BF" w:rsidRDefault="00DD13BF" w:rsidP="00355A56">
            <w:pPr>
              <w:pStyle w:val="TableParagraph"/>
              <w:rPr>
                <w:sz w:val="20"/>
              </w:rPr>
            </w:pPr>
            <w:r>
              <w:rPr>
                <w:sz w:val="20"/>
              </w:rPr>
              <w:t>6,370,000</w:t>
            </w:r>
          </w:p>
        </w:tc>
      </w:tr>
    </w:tbl>
    <w:p w14:paraId="66485453"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7FD7EA63" w14:textId="77777777" w:rsidR="00DD13BF" w:rsidRDefault="00DD13BF" w:rsidP="00DD13BF">
      <w:r>
        <w:lastRenderedPageBreak/>
        <w:br w:type="page"/>
      </w:r>
    </w:p>
    <w:p w14:paraId="1947C9EF" w14:textId="77777777" w:rsidR="00DD13BF" w:rsidRPr="00BD3536" w:rsidRDefault="00DD13BF" w:rsidP="00DD13BF">
      <w:pPr>
        <w:pStyle w:val="Naslov4"/>
        <w:ind w:left="1134"/>
      </w:pPr>
      <w:bookmarkStart w:id="43" w:name="_Toc131161719"/>
      <w:r>
        <w:lastRenderedPageBreak/>
        <w:t>Specific objective ESO4.4. Promoting the adaptation of workers, enterprises and entrepreneurs to change, active and healthy ageing and a healthy and well-adapted working environment that addresses health risks (ESF+)</w:t>
      </w:r>
      <w:bookmarkEnd w:id="43"/>
    </w:p>
    <w:p w14:paraId="721A93F0" w14:textId="77777777" w:rsidR="00DD13BF" w:rsidRDefault="00DD13BF" w:rsidP="00DD13BF">
      <w:pPr>
        <w:rPr>
          <w:sz w:val="30"/>
        </w:rPr>
      </w:pPr>
    </w:p>
    <w:p w14:paraId="00AA4E49" w14:textId="77777777" w:rsidR="00DD13BF" w:rsidRPr="00C10464" w:rsidRDefault="00DD13BF" w:rsidP="00DD13BF">
      <w:pPr>
        <w:pStyle w:val="Naslov5"/>
        <w:spacing w:before="0"/>
      </w:pPr>
      <w:r>
        <w:t>Interventions of the Funds</w:t>
      </w:r>
    </w:p>
    <w:p w14:paraId="2089EFCF" w14:textId="77777777" w:rsidR="00DD13BF" w:rsidRDefault="00DD13BF" w:rsidP="00DD13BF">
      <w:pPr>
        <w:rPr>
          <w:sz w:val="30"/>
        </w:rPr>
      </w:pPr>
    </w:p>
    <w:p w14:paraId="66C18EE5" w14:textId="77777777" w:rsidR="00DD13BF" w:rsidRPr="00393CA1" w:rsidRDefault="00DD13BF" w:rsidP="00DD13BF">
      <w:pPr>
        <w:ind w:left="1349"/>
      </w:pPr>
      <w:r>
        <w:t>Related types of actions:</w:t>
      </w:r>
    </w:p>
    <w:p w14:paraId="2A93E376" w14:textId="77777777" w:rsidR="00DD13BF" w:rsidRDefault="00DD13BF" w:rsidP="00DD13BF">
      <w:pPr>
        <w:ind w:left="1349"/>
      </w:pPr>
    </w:p>
    <w:tbl>
      <w:tblPr>
        <w:tblStyle w:val="Tabelamrea"/>
        <w:tblW w:w="11985" w:type="dxa"/>
        <w:tblInd w:w="1271" w:type="dxa"/>
        <w:tblLook w:val="04A0" w:firstRow="1" w:lastRow="0" w:firstColumn="1" w:lastColumn="0" w:noHBand="0" w:noVBand="1"/>
      </w:tblPr>
      <w:tblGrid>
        <w:gridCol w:w="11985"/>
      </w:tblGrid>
      <w:tr w:rsidR="00DD13BF" w:rsidRPr="00B3569A" w14:paraId="05C20365" w14:textId="77777777" w:rsidTr="00355A56">
        <w:trPr>
          <w:trHeight w:val="316"/>
        </w:trPr>
        <w:tc>
          <w:tcPr>
            <w:tcW w:w="11985" w:type="dxa"/>
          </w:tcPr>
          <w:p w14:paraId="0689F632" w14:textId="77777777" w:rsidR="00DD13BF" w:rsidRPr="00F96617" w:rsidRDefault="00DD13BF" w:rsidP="00355A56">
            <w:pPr>
              <w:jc w:val="both"/>
              <w:rPr>
                <w:rFonts w:cstheme="minorBidi"/>
              </w:rPr>
            </w:pPr>
            <w:r>
              <w:t>Social and demographic changes and the low level of employment between the ages of 55 and 64 dictate a comprehensive approach to adapting jobs, particularly for older employees to provide a high-quality, safe and healthy work environment in enterprises and the public sector, and promote worker involvement in management. The key to attaining these objectives is the cooperation of social partners and other institutions operating in the field of the labour market, and the advocacy of labour rights. Measures to improve the quality of the work environment and working conditions and to promote LLL, particularly flexible options for upgrading and reskilling for everyone, taking into account entrepreneurial and digital skills, better anticipation of changes and demands for new skills based on the needs of the labour market, facilitate career transitions, and promote professional mobility and intergenerational cooperation, with an emphasis on the transfer of knowledge and skills between generations will contribute to extending the employment period, particularly for elderly persons. The contents of training or training courses will be adapted to the needs of various sectors and industries. The contents of general competence upgrades will also be included, which will enable the development of the knowledge and skills of employees in various industries, and will be linked to the promotion of employee involvement in management.</w:t>
            </w:r>
          </w:p>
          <w:p w14:paraId="75B684D9" w14:textId="77777777" w:rsidR="00DD13BF" w:rsidRDefault="00DD13BF" w:rsidP="00355A56">
            <w:pPr>
              <w:jc w:val="both"/>
              <w:rPr>
                <w:rFonts w:cstheme="minorHAnsi"/>
              </w:rPr>
            </w:pPr>
          </w:p>
          <w:p w14:paraId="76136ADF" w14:textId="77777777" w:rsidR="00DD13BF" w:rsidRDefault="00DD13BF" w:rsidP="00355A56">
            <w:pPr>
              <w:jc w:val="both"/>
              <w:rPr>
                <w:rFonts w:cstheme="minorHAnsi"/>
              </w:rPr>
            </w:pPr>
            <w:r>
              <w:t>Specific objective ESO4.4 will provide support for measures focused on the following fields:</w:t>
            </w:r>
          </w:p>
          <w:p w14:paraId="61F7D888" w14:textId="77777777" w:rsidR="00DD13BF" w:rsidRPr="00E907BC" w:rsidRDefault="00DD13BF" w:rsidP="00DD13BF">
            <w:pPr>
              <w:pStyle w:val="Odstavekseznama"/>
              <w:widowControl/>
              <w:numPr>
                <w:ilvl w:val="0"/>
                <w:numId w:val="33"/>
              </w:numPr>
              <w:autoSpaceDE/>
              <w:autoSpaceDN/>
              <w:jc w:val="both"/>
              <w:rPr>
                <w:rFonts w:ascii="Times New Roman" w:hAnsi="Times New Roman" w:cs="Times New Roman"/>
              </w:rPr>
            </w:pPr>
            <w:r>
              <w:rPr>
                <w:rFonts w:ascii="Times New Roman" w:hAnsi="Times New Roman"/>
                <w:i/>
                <w:iCs/>
              </w:rPr>
              <w:t>Raising the quality of the work environment and working conditions to also extend the employment period, particularly for elderly people, including in the public sector</w:t>
            </w:r>
            <w:r>
              <w:rPr>
                <w:rFonts w:ascii="Times New Roman" w:hAnsi="Times New Roman"/>
              </w:rPr>
              <w:t>. Measures in this field will be focused on:</w:t>
            </w:r>
          </w:p>
          <w:p w14:paraId="7C3ACC6B" w14:textId="77777777" w:rsidR="00DD13BF" w:rsidRPr="00E907BC" w:rsidRDefault="00DD13BF" w:rsidP="00DD13BF">
            <w:pPr>
              <w:pStyle w:val="Odstavekseznama"/>
              <w:widowControl/>
              <w:numPr>
                <w:ilvl w:val="1"/>
                <w:numId w:val="33"/>
              </w:numPr>
              <w:autoSpaceDE/>
              <w:autoSpaceDN/>
              <w:jc w:val="both"/>
              <w:rPr>
                <w:rFonts w:ascii="Times New Roman" w:hAnsi="Times New Roman" w:cs="Times New Roman"/>
              </w:rPr>
            </w:pPr>
            <w:r>
              <w:rPr>
                <w:rFonts w:ascii="Times New Roman" w:hAnsi="Times New Roman"/>
              </w:rPr>
              <w:t>Providing decent work to prevent conflicts, advocating and promoting more stable forms of employment or work to reduce precariousness: information, advice and training of stakeholders in the labour market will raise awareness of the existing legal bases on which the performance of work is based and promote worker involvement in management through the indirect promotion of works councils through campaigns, training and education. A place will be established for the cooperation of social partners and the provision of substantive support in the implementation of their activities (meaningful integration with the work of the Economic and Social Council). Also foreseen is the direct strengthening of the competences and capacities of social partners in the field of collective bargaining and for their effective cooperation in the drafting of public policies important for the labour market or the identification and addressing of current and future challenges in the labour market. At the same time, the objective is to improve the competences of social partners in strengthening the rule of law and the legal profession, such as the amicable resolution of disputes, and their competence for conducting effective social dialogue at all levels.</w:t>
            </w:r>
          </w:p>
          <w:p w14:paraId="76C11E1A" w14:textId="77777777" w:rsidR="00DD13BF" w:rsidRPr="00113009" w:rsidRDefault="00DD13BF" w:rsidP="00DD13BF">
            <w:pPr>
              <w:pStyle w:val="Odstavekseznama"/>
              <w:widowControl/>
              <w:numPr>
                <w:ilvl w:val="1"/>
                <w:numId w:val="33"/>
              </w:numPr>
              <w:autoSpaceDE/>
              <w:autoSpaceDN/>
              <w:jc w:val="both"/>
              <w:rPr>
                <w:rFonts w:ascii="Times New Roman" w:hAnsi="Times New Roman" w:cs="Times New Roman"/>
              </w:rPr>
            </w:pPr>
            <w:r>
              <w:rPr>
                <w:rFonts w:ascii="Times New Roman" w:hAnsi="Times New Roman"/>
              </w:rPr>
              <w:lastRenderedPageBreak/>
              <w:t>An integrated approach to health and safety at work by training employers to promote health and safety at work and adapt workplaces and processes, particularly for elderly people and persons with disabilities. Investments in safer and healthier workplaces are planned, as one of the key challenges in this field is to take more decisive action in the field of health and safety at work towards reducing psychosocial risks and other illnesses due to high work intensity by also taking into account the changed conditions (e.g. the right to digital disconnection).</w:t>
            </w:r>
            <w:r>
              <w:t xml:space="preserve"> </w:t>
            </w:r>
          </w:p>
          <w:p w14:paraId="69ACC7C0" w14:textId="77777777" w:rsidR="00DD13BF" w:rsidRPr="004566C7" w:rsidRDefault="00DD13BF" w:rsidP="00355A56">
            <w:pPr>
              <w:pStyle w:val="Odstavekseznama"/>
              <w:ind w:left="1440"/>
              <w:jc w:val="both"/>
              <w:rPr>
                <w:rFonts w:ascii="Times New Roman" w:hAnsi="Times New Roman" w:cs="Times New Roman"/>
              </w:rPr>
            </w:pPr>
            <w:r>
              <w:rPr>
                <w:rFonts w:ascii="Times New Roman" w:hAnsi="Times New Roman"/>
              </w:rPr>
              <w:t>In the implementation of measures to ensure decent work and health and safety at work, the participation of social partners is foreseen to work as partners and also, in certain parts, as providers of measures. Within the framework of the project, social partners would also have the opportunity to receive training and exchange good practices in the field of health and safety at work to develop their competences in the said field and their role in informing, training and raising awareness among employees of various aspects of health and safety at work.</w:t>
            </w:r>
          </w:p>
          <w:p w14:paraId="2477F7C7" w14:textId="77777777" w:rsidR="00DD13BF" w:rsidRPr="00EA67F2" w:rsidRDefault="00DD13BF" w:rsidP="00DD13BF">
            <w:pPr>
              <w:pStyle w:val="Odstavekseznama"/>
              <w:widowControl/>
              <w:numPr>
                <w:ilvl w:val="1"/>
                <w:numId w:val="33"/>
              </w:numPr>
              <w:autoSpaceDE/>
              <w:autoSpaceDN/>
              <w:jc w:val="both"/>
              <w:rPr>
                <w:rFonts w:ascii="Times New Roman" w:hAnsi="Times New Roman" w:cs="Times New Roman"/>
              </w:rPr>
            </w:pPr>
            <w:r>
              <w:rPr>
                <w:rFonts w:ascii="Times New Roman" w:hAnsi="Times New Roman"/>
              </w:rPr>
              <w:t>A comprehensive advisory and support service prior to and after retirement with an emphasis on prolonging employment and reactivating elderly people (providing comprehensive information, education and upgrading of existing communication channels (ZPIZ) and adaptation of internal processes).</w:t>
            </w:r>
          </w:p>
          <w:p w14:paraId="29695DC5" w14:textId="77777777" w:rsidR="00DD13BF" w:rsidRPr="00EA67F2" w:rsidRDefault="00DD13BF" w:rsidP="00DD13BF">
            <w:pPr>
              <w:pStyle w:val="Odstavekseznama"/>
              <w:widowControl/>
              <w:numPr>
                <w:ilvl w:val="1"/>
                <w:numId w:val="33"/>
              </w:numPr>
              <w:autoSpaceDE/>
              <w:autoSpaceDN/>
              <w:jc w:val="both"/>
              <w:rPr>
                <w:rFonts w:ascii="Times New Roman" w:hAnsi="Times New Roman" w:cs="Times New Roman"/>
              </w:rPr>
            </w:pPr>
            <w:r>
              <w:rPr>
                <w:rFonts w:ascii="Times New Roman" w:hAnsi="Times New Roman"/>
              </w:rPr>
              <w:t>Improving working conditions and prolonging the employment of employees in the prison system: for employees who encounter unpredictable, stressful situations in their work on a daily basis to be able to maintain integrity and respect human rights in their work, and at the same time, provide the reintegration, health and safety of prisoners, a competence model for all employees in the prison system must be established (developed) and implemented, which will provide specific knowledge, skills and motivation for work in demanding conditions. The aforementioned will be provided by the implementation of suitable education or training for this target group.</w:t>
            </w:r>
          </w:p>
          <w:p w14:paraId="4A3F0530" w14:textId="77777777" w:rsidR="00DD13BF" w:rsidRPr="00E907BC" w:rsidRDefault="00DD13BF" w:rsidP="00355A56">
            <w:pPr>
              <w:jc w:val="both"/>
            </w:pPr>
          </w:p>
          <w:p w14:paraId="6EB6EC3C" w14:textId="77777777" w:rsidR="00DD13BF" w:rsidRPr="00E907BC" w:rsidRDefault="00DD13BF" w:rsidP="00DD13BF">
            <w:pPr>
              <w:pStyle w:val="Odstavekseznama"/>
              <w:widowControl/>
              <w:numPr>
                <w:ilvl w:val="0"/>
                <w:numId w:val="33"/>
              </w:numPr>
              <w:autoSpaceDE/>
              <w:autoSpaceDN/>
              <w:jc w:val="both"/>
              <w:rPr>
                <w:rFonts w:ascii="Times New Roman" w:hAnsi="Times New Roman" w:cs="Times New Roman"/>
                <w:i/>
              </w:rPr>
            </w:pPr>
            <w:r>
              <w:rPr>
                <w:rFonts w:ascii="Times New Roman" w:hAnsi="Times New Roman"/>
                <w:i/>
              </w:rPr>
              <w:t xml:space="preserve">Promoting intergenerational cooperation with an emphasis on the transfer of knowledge and skills between generations: </w:t>
            </w:r>
          </w:p>
          <w:p w14:paraId="7A91A5EA" w14:textId="77777777" w:rsidR="00DD13BF" w:rsidRPr="0041738D" w:rsidRDefault="00DD13BF" w:rsidP="00DD13BF">
            <w:pPr>
              <w:pStyle w:val="Odstavekseznama"/>
              <w:widowControl/>
              <w:numPr>
                <w:ilvl w:val="1"/>
                <w:numId w:val="33"/>
              </w:numPr>
              <w:autoSpaceDE/>
              <w:autoSpaceDN/>
              <w:jc w:val="both"/>
              <w:rPr>
                <w:rFonts w:ascii="Times New Roman" w:hAnsi="Times New Roman" w:cs="Times New Roman"/>
              </w:rPr>
            </w:pPr>
            <w:r>
              <w:rPr>
                <w:rFonts w:ascii="Times New Roman" w:hAnsi="Times New Roman"/>
              </w:rPr>
              <w:t>Support for enterprises for prolonging employment by managing and adapting workplaces (investments in safer and healthier workplaces) and processes for older employees: activities will be implemented through the promotion of prolonging the employment of older employees by strengthening their competences, eliminating stereotypes about them and empowering employers to manage an ageing workforce (continuation of the programme Comprehensive Support for Companies for Active Aging of Employees – ASI), strengthening the competences of workers for the intergenerational transfer of knowledge, and including young people in professional work.</w:t>
            </w:r>
            <w:r>
              <w:t xml:space="preserve"> </w:t>
            </w:r>
          </w:p>
          <w:p w14:paraId="40970668" w14:textId="77777777" w:rsidR="00DD13BF" w:rsidRPr="00E907BC" w:rsidRDefault="00DD13BF" w:rsidP="00355A56">
            <w:pPr>
              <w:pStyle w:val="Odstavekseznama"/>
              <w:ind w:left="1440"/>
              <w:jc w:val="both"/>
              <w:rPr>
                <w:rFonts w:ascii="Times New Roman" w:hAnsi="Times New Roman" w:cs="Times New Roman"/>
              </w:rPr>
            </w:pPr>
            <w:r>
              <w:rPr>
                <w:rFonts w:ascii="Times New Roman" w:hAnsi="Times New Roman"/>
              </w:rPr>
              <w:t>The measures will be aimed at increasing the level of employment, particularly among elderly people between 55 and 64 years of age, particularly less educated persons. A greater contribution to the rate increase, favouring a particular target group of employees, should not be a guiding principle; instead, the guiding principle should be the principle of an inclusive labour market for everyone, which is important for the recovery after the COVID-19 epidemic.</w:t>
            </w:r>
          </w:p>
          <w:p w14:paraId="7CDD9C1E" w14:textId="77777777" w:rsidR="00DD13BF" w:rsidRPr="000A7EBC" w:rsidRDefault="00DD13BF" w:rsidP="00DD13BF">
            <w:pPr>
              <w:pStyle w:val="Odstavekseznama"/>
              <w:widowControl/>
              <w:numPr>
                <w:ilvl w:val="1"/>
                <w:numId w:val="33"/>
              </w:numPr>
              <w:autoSpaceDE/>
              <w:autoSpaceDN/>
              <w:jc w:val="both"/>
              <w:rPr>
                <w:rFonts w:cstheme="minorHAnsi"/>
              </w:rPr>
            </w:pPr>
            <w:r>
              <w:rPr>
                <w:rFonts w:ascii="Times New Roman" w:hAnsi="Times New Roman"/>
              </w:rPr>
              <w:t xml:space="preserve">Introducing new approaches in dealing with people at work and developing specific activities related to changing demographic trends and, consequently, the ageing of employees in the state administration (transformation of the function of employee management in the state administration, the elements of which sensibly include dealing with intergenerational relations (changing organisational culture, motivation, flexibility, mobility and diversity within the </w:t>
            </w:r>
            <w:r>
              <w:rPr>
                <w:rFonts w:ascii="Times New Roman" w:hAnsi="Times New Roman"/>
              </w:rPr>
              <w:lastRenderedPageBreak/>
              <w:t xml:space="preserve">state administration, which will favour older employees); eliminating stereotypes about older employees (viewing older employees as a valuable workforce with useful and important skills), intergenerational transfer of knowledge and other competences for more effective inclusion of young people in professional work; empowering state administration bodies to manage an ageing workforce (strengthening competences/training leaders and people responsible for personnel development to manage a generationally diverse workforce); analysing and balancing the employee age profile (preparation of a model for attracting young people to the state administration)). </w:t>
            </w:r>
          </w:p>
          <w:p w14:paraId="5CBB3105" w14:textId="77777777" w:rsidR="00DD13BF" w:rsidRPr="000A7EBC" w:rsidRDefault="00DD13BF" w:rsidP="00355A56">
            <w:pPr>
              <w:pStyle w:val="Odstavekseznama"/>
              <w:ind w:left="1440"/>
              <w:jc w:val="both"/>
              <w:rPr>
                <w:rFonts w:ascii="Times New Roman" w:hAnsi="Times New Roman" w:cs="Times New Roman"/>
              </w:rPr>
            </w:pPr>
          </w:p>
          <w:p w14:paraId="14546C0E" w14:textId="77777777" w:rsidR="00DD13BF" w:rsidRPr="0078488F" w:rsidRDefault="00DD13BF" w:rsidP="00355A56">
            <w:pPr>
              <w:pStyle w:val="Odstavekseznama"/>
              <w:ind w:left="38"/>
              <w:jc w:val="both"/>
              <w:rPr>
                <w:rFonts w:cstheme="minorHAnsi"/>
              </w:rPr>
            </w:pPr>
            <w:r>
              <w:rPr>
                <w:rFonts w:ascii="Times New Roman" w:hAnsi="Times New Roman"/>
              </w:rP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7F08F6E8" w14:textId="77777777" w:rsidR="00DD13BF" w:rsidRDefault="00DD13BF" w:rsidP="00DD13BF">
      <w:pPr>
        <w:ind w:left="1349"/>
        <w:rPr>
          <w:spacing w:val="-6"/>
        </w:rPr>
      </w:pPr>
    </w:p>
    <w:p w14:paraId="15F50B7C" w14:textId="77777777" w:rsidR="00DD13BF" w:rsidRDefault="00DD13BF" w:rsidP="00DD13BF">
      <w:pPr>
        <w:ind w:left="1349"/>
      </w:pPr>
      <w:r>
        <w:t>Main target groups:</w:t>
      </w:r>
    </w:p>
    <w:p w14:paraId="74C6486B"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CD5692D" w14:textId="77777777" w:rsidTr="00355A56">
        <w:tc>
          <w:tcPr>
            <w:tcW w:w="12763" w:type="dxa"/>
          </w:tcPr>
          <w:p w14:paraId="75D52FCC" w14:textId="77777777" w:rsidR="00DD13BF" w:rsidRDefault="00DD13BF" w:rsidP="00355A56">
            <w:pPr>
              <w:jc w:val="both"/>
              <w:rPr>
                <w:rFonts w:cstheme="minorHAnsi"/>
              </w:rPr>
            </w:pPr>
            <w:r>
              <w:t>Target groups: institutions in the labour market, public and private sectors, social partners, NGOs, employers (public and private sectors), employees (mainly above 50 years of age and less educated), public institutions involved in the preparation and implementation of policies in the field of active ageing, employees in the prison system and others who can contribute to the attainment of the objectives of this specific objective with their activities.</w:t>
            </w:r>
          </w:p>
          <w:p w14:paraId="0E9799ED" w14:textId="77777777" w:rsidR="00DD13BF" w:rsidRDefault="00DD13BF" w:rsidP="00355A56">
            <w:pPr>
              <w:jc w:val="both"/>
              <w:rPr>
                <w:rFonts w:cstheme="minorHAnsi"/>
              </w:rPr>
            </w:pPr>
          </w:p>
          <w:p w14:paraId="68F8D377" w14:textId="77777777" w:rsidR="00DD13BF" w:rsidRDefault="00DD13BF" w:rsidP="00355A56">
            <w:pPr>
              <w:tabs>
                <w:tab w:val="left" w:pos="1860"/>
              </w:tabs>
              <w:jc w:val="both"/>
              <w:rPr>
                <w:rFonts w:cstheme="minorHAnsi"/>
              </w:rPr>
            </w:pPr>
            <w:r>
              <w:t>Beneficiaries: foundations, social partners, NGOs, ZPIZ, JŠRIPS, Labour Inspectorate, URSIKS, ministries responsible for public administration and labour.</w:t>
            </w:r>
          </w:p>
        </w:tc>
      </w:tr>
    </w:tbl>
    <w:p w14:paraId="1230C13C" w14:textId="77777777" w:rsidR="00DD13BF" w:rsidRPr="006B7178" w:rsidRDefault="00DD13BF" w:rsidP="00DD13BF">
      <w:pPr>
        <w:ind w:left="1349"/>
      </w:pPr>
    </w:p>
    <w:p w14:paraId="7371E51F" w14:textId="77777777" w:rsidR="00DD13BF" w:rsidRDefault="00DD13BF" w:rsidP="00DD13BF">
      <w:pPr>
        <w:ind w:left="1349"/>
        <w:rPr>
          <w:spacing w:val="-2"/>
        </w:rPr>
      </w:pPr>
      <w:r>
        <w:t>Measures to protect equality, inclusion and non-discrimination:</w:t>
      </w:r>
    </w:p>
    <w:p w14:paraId="736FDDA8"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7E2FC45D" w14:textId="77777777" w:rsidTr="00355A56">
        <w:tc>
          <w:tcPr>
            <w:tcW w:w="12715" w:type="dxa"/>
          </w:tcPr>
          <w:p w14:paraId="25975890" w14:textId="77777777" w:rsidR="00DD13BF" w:rsidRDefault="00DD13BF" w:rsidP="00355A56">
            <w:pPr>
              <w:jc w:val="both"/>
              <w:rPr>
                <w:rFonts w:cstheme="minorHAnsi"/>
              </w:rPr>
            </w:pPr>
            <w:r>
              <w:t xml:space="preserve">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This principle will also be taken into account within the framework of the management and control system. </w:t>
            </w:r>
          </w:p>
          <w:p w14:paraId="3A2D60C2" w14:textId="77777777" w:rsidR="00DD13BF" w:rsidRDefault="00DD13BF" w:rsidP="00355A56">
            <w:pPr>
              <w:jc w:val="both"/>
              <w:rPr>
                <w:rFonts w:cstheme="minorHAnsi"/>
              </w:rPr>
            </w:pPr>
          </w:p>
          <w:p w14:paraId="79E5C126" w14:textId="77777777" w:rsidR="00DD13BF" w:rsidRPr="00B3569A" w:rsidRDefault="00DD13BF" w:rsidP="00355A56">
            <w:pPr>
              <w:jc w:val="both"/>
              <w:rPr>
                <w:rFonts w:cstheme="minorHAnsi"/>
              </w:rPr>
            </w:pPr>
            <w:r>
              <w:lastRenderedPageBreak/>
              <w:t xml:space="preserve">Measures to promote the adaptation of workers, enterprises and entrepreneurs to changes, active and healthy ageing, and a working environment that addresses health risks comply with the principles of the European Pillar of Social Rights, i.e. Principle 5 Secure and adaptable employment, Principle 8 Social dialogue and involvement of workers, and Principle 10 Healthy, safe and well-adapted work environment and data protection. Individual projects will promote permanent employment, the amicable resolution of disputes between workers and employers, and provide information, raise awareness and provide direct support to key stakeholders in the labour market. The activities of the measures will take into account the principle of gender equality and equal opportunities in the treatment and inclusion of workers regardless of gender, race or nationality, </w:t>
            </w:r>
            <w:r>
              <w:rPr>
                <w:shd w:val="clear" w:color="auto" w:fill="FFFFFF"/>
              </w:rPr>
              <w:t>religion or belief, disability, age or sexual orientation</w:t>
            </w:r>
            <w:r>
              <w:t>. All workers must be guaranteed a safe and healthy and flexible working environment, and the right to fair and equal treatment with special attention to gender-specific needs.</w:t>
            </w:r>
          </w:p>
        </w:tc>
      </w:tr>
    </w:tbl>
    <w:p w14:paraId="098D23D7" w14:textId="77777777" w:rsidR="00DD13BF" w:rsidRDefault="00DD13BF" w:rsidP="00DD13BF">
      <w:pPr>
        <w:rPr>
          <w:sz w:val="20"/>
        </w:rPr>
      </w:pPr>
    </w:p>
    <w:p w14:paraId="06A4B2EB" w14:textId="77777777" w:rsidR="00DD13BF" w:rsidRDefault="00DD13BF" w:rsidP="00DD13BF">
      <w:pPr>
        <w:ind w:left="1415"/>
        <w:rPr>
          <w:spacing w:val="-4"/>
        </w:rPr>
      </w:pPr>
      <w:r>
        <w:t>Indication of the specific territories targeted, including the planned use of territorial tools:</w:t>
      </w:r>
    </w:p>
    <w:p w14:paraId="7770A39B"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62341CC9" w14:textId="77777777" w:rsidTr="00355A56">
        <w:trPr>
          <w:trHeight w:val="58"/>
        </w:trPr>
        <w:tc>
          <w:tcPr>
            <w:tcW w:w="12763" w:type="dxa"/>
          </w:tcPr>
          <w:p w14:paraId="37416107" w14:textId="77777777" w:rsidR="00DD13BF" w:rsidRPr="00B3569A" w:rsidRDefault="00DD13BF" w:rsidP="00355A56">
            <w:pPr>
              <w:rPr>
                <w:rFonts w:cstheme="minorHAnsi"/>
              </w:rPr>
            </w:pPr>
            <w:r>
              <w:t>Under this specific objective, the use of territorial tools is not foreseen</w:t>
            </w:r>
          </w:p>
        </w:tc>
      </w:tr>
    </w:tbl>
    <w:p w14:paraId="044143A8" w14:textId="77777777" w:rsidR="00DD13BF" w:rsidRDefault="00DD13BF" w:rsidP="00DD13BF">
      <w:pPr>
        <w:rPr>
          <w:sz w:val="18"/>
        </w:rPr>
      </w:pPr>
    </w:p>
    <w:p w14:paraId="56CD4871" w14:textId="77777777" w:rsidR="00DD13BF" w:rsidRDefault="00DD13BF" w:rsidP="00DD13BF">
      <w:pPr>
        <w:ind w:left="1415"/>
      </w:pPr>
      <w:r>
        <w:t>The interregional, cross-border and transnational actions:</w:t>
      </w:r>
    </w:p>
    <w:p w14:paraId="1C60EAAC"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1D11AEF8" w14:textId="77777777" w:rsidTr="00355A56">
        <w:tc>
          <w:tcPr>
            <w:tcW w:w="12763" w:type="dxa"/>
          </w:tcPr>
          <w:p w14:paraId="4D17973C" w14:textId="77777777" w:rsidR="00DD13BF" w:rsidRPr="00B3569A" w:rsidRDefault="00DD13BF" w:rsidP="00355A56">
            <w:pPr>
              <w:jc w:val="both"/>
              <w:rPr>
                <w:rFonts w:cstheme="minorHAnsi"/>
              </w:rPr>
            </w:pPr>
            <w:r>
              <w:t>The interregional, cross-border and transnational actions are not foreseen under this specific objective, as these are measures intended for employees and to provide a healthy and safe work environment in Slovenia.</w:t>
            </w:r>
          </w:p>
        </w:tc>
      </w:tr>
    </w:tbl>
    <w:p w14:paraId="4A720F39" w14:textId="77777777" w:rsidR="00DD13BF" w:rsidRDefault="00DD13BF" w:rsidP="00DD13BF">
      <w:pPr>
        <w:rPr>
          <w:sz w:val="17"/>
        </w:rPr>
      </w:pPr>
    </w:p>
    <w:p w14:paraId="14BEE137" w14:textId="77777777" w:rsidR="00DD13BF" w:rsidRDefault="00DD13BF" w:rsidP="00DD13BF">
      <w:pPr>
        <w:ind w:left="1415"/>
        <w:rPr>
          <w:spacing w:val="-3"/>
        </w:rPr>
      </w:pPr>
      <w:r>
        <w:t>Planned use of financial instruments:</w:t>
      </w:r>
    </w:p>
    <w:p w14:paraId="79D2B6D8"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38253BA4" w14:textId="77777777" w:rsidTr="00355A56">
        <w:tc>
          <w:tcPr>
            <w:tcW w:w="12758" w:type="dxa"/>
          </w:tcPr>
          <w:p w14:paraId="23BD81B1" w14:textId="77777777" w:rsidR="00DD13BF" w:rsidRPr="00B3569A" w:rsidRDefault="00DD13BF" w:rsidP="00355A56">
            <w:pPr>
              <w:jc w:val="both"/>
              <w:rPr>
                <w:rFonts w:cstheme="minorHAnsi"/>
              </w:rPr>
            </w:pPr>
            <w:r>
              <w:t xml:space="preserve">In accordance with the results of the analysis of the preliminary assessment of market needs and financing gaps in the market for the implementation of financial instruments in the 2021–2027 programming period (July 2022), the use of financial instruments under the stated specific objective is not foreseen. The use of grants is foreseen, since these are proposed measures implemented by public or non-governmental institutions or non-profit organisations that do not have market activities and do not generate revenues or savings, as a result of which the use of financial instruments is not possible, and the only appropriate form of financing is grants. </w:t>
            </w:r>
          </w:p>
        </w:tc>
      </w:tr>
    </w:tbl>
    <w:p w14:paraId="076DE257" w14:textId="77777777" w:rsidR="00DD13BF" w:rsidRDefault="00DD13BF" w:rsidP="00DD13BF">
      <w:pPr>
        <w:rPr>
          <w:sz w:val="20"/>
        </w:rPr>
      </w:pPr>
    </w:p>
    <w:p w14:paraId="1D90DC54" w14:textId="77777777" w:rsidR="00DD13BF" w:rsidRDefault="00DD13BF" w:rsidP="00DD13BF">
      <w:pPr>
        <w:rPr>
          <w:sz w:val="20"/>
        </w:rPr>
      </w:pPr>
    </w:p>
    <w:p w14:paraId="5961493F" w14:textId="77777777" w:rsidR="00DD13BF" w:rsidRDefault="00DD13BF" w:rsidP="00DD13BF">
      <w:pPr>
        <w:pStyle w:val="Naslov5"/>
        <w:spacing w:before="0"/>
      </w:pPr>
      <w:r>
        <w:t>Indicators</w:t>
      </w:r>
    </w:p>
    <w:p w14:paraId="0443E1B6" w14:textId="77777777" w:rsidR="00DD13BF" w:rsidRDefault="00DD13BF" w:rsidP="00DD13BF"/>
    <w:p w14:paraId="3B36C534" w14:textId="77777777" w:rsidR="00DD13BF" w:rsidRDefault="00DD13BF" w:rsidP="00DD13BF">
      <w:pPr>
        <w:ind w:left="379"/>
      </w:pPr>
      <w:r>
        <w:t>Table 2: Impact indicators</w:t>
      </w:r>
    </w:p>
    <w:p w14:paraId="3F383DAC" w14:textId="77777777" w:rsidR="00DD13BF" w:rsidRDefault="00DD13BF" w:rsidP="00DD13BF">
      <w:pPr>
        <w:rPr>
          <w:sz w:val="21"/>
        </w:rPr>
      </w:pPr>
    </w:p>
    <w:tbl>
      <w:tblPr>
        <w:tblStyle w:val="NormalTable0"/>
        <w:tblW w:w="1360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76"/>
        <w:gridCol w:w="707"/>
        <w:gridCol w:w="1699"/>
        <w:gridCol w:w="777"/>
        <w:gridCol w:w="4188"/>
        <w:gridCol w:w="1275"/>
        <w:gridCol w:w="1416"/>
        <w:gridCol w:w="1133"/>
      </w:tblGrid>
      <w:tr w:rsidR="00DD13BF" w14:paraId="2E52C700" w14:textId="77777777" w:rsidTr="00355A56">
        <w:trPr>
          <w:trHeight w:val="254"/>
        </w:trPr>
        <w:tc>
          <w:tcPr>
            <w:tcW w:w="1134" w:type="dxa"/>
            <w:vAlign w:val="center"/>
          </w:tcPr>
          <w:p w14:paraId="6BA2CAE5" w14:textId="77777777" w:rsidR="00DD13BF" w:rsidRDefault="00DD13BF" w:rsidP="00355A56">
            <w:pPr>
              <w:pStyle w:val="TableParagraph"/>
              <w:ind w:right="82"/>
            </w:pPr>
            <w:r>
              <w:t>Priority</w:t>
            </w:r>
          </w:p>
        </w:tc>
        <w:tc>
          <w:tcPr>
            <w:tcW w:w="1276" w:type="dxa"/>
            <w:vAlign w:val="center"/>
          </w:tcPr>
          <w:p w14:paraId="5F4EA41B" w14:textId="77777777" w:rsidR="00DD13BF" w:rsidRDefault="00DD13BF" w:rsidP="00355A56">
            <w:pPr>
              <w:pStyle w:val="TableParagraph"/>
            </w:pPr>
            <w:r>
              <w:t>Specific objective</w:t>
            </w:r>
          </w:p>
        </w:tc>
        <w:tc>
          <w:tcPr>
            <w:tcW w:w="707" w:type="dxa"/>
            <w:vAlign w:val="center"/>
          </w:tcPr>
          <w:p w14:paraId="66FA95D2" w14:textId="77777777" w:rsidR="00DD13BF" w:rsidRDefault="00DD13BF" w:rsidP="00355A56">
            <w:pPr>
              <w:pStyle w:val="TableParagraph"/>
            </w:pPr>
            <w:r>
              <w:t>Fund</w:t>
            </w:r>
          </w:p>
        </w:tc>
        <w:tc>
          <w:tcPr>
            <w:tcW w:w="1699" w:type="dxa"/>
            <w:vAlign w:val="center"/>
          </w:tcPr>
          <w:p w14:paraId="3652765A" w14:textId="77777777" w:rsidR="00DD13BF" w:rsidRDefault="00DD13BF" w:rsidP="00355A56">
            <w:pPr>
              <w:pStyle w:val="TableParagraph"/>
            </w:pPr>
            <w:r>
              <w:t>Category of region</w:t>
            </w:r>
          </w:p>
        </w:tc>
        <w:tc>
          <w:tcPr>
            <w:tcW w:w="777" w:type="dxa"/>
            <w:vAlign w:val="center"/>
          </w:tcPr>
          <w:p w14:paraId="1493251A" w14:textId="77777777" w:rsidR="00DD13BF" w:rsidRPr="00347461" w:rsidRDefault="00DD13BF" w:rsidP="00355A56">
            <w:pPr>
              <w:pStyle w:val="TableParagraph"/>
              <w:rPr>
                <w:sz w:val="20"/>
              </w:rPr>
            </w:pPr>
            <w:r>
              <w:t>ID</w:t>
            </w:r>
          </w:p>
        </w:tc>
        <w:tc>
          <w:tcPr>
            <w:tcW w:w="4188" w:type="dxa"/>
            <w:vAlign w:val="center"/>
          </w:tcPr>
          <w:p w14:paraId="6C031815" w14:textId="77777777" w:rsidR="00DD13BF" w:rsidRPr="00347461" w:rsidRDefault="00DD13BF" w:rsidP="00355A56">
            <w:pPr>
              <w:pStyle w:val="TableParagraph"/>
              <w:rPr>
                <w:sz w:val="20"/>
              </w:rPr>
            </w:pPr>
            <w:r>
              <w:t>Indicators</w:t>
            </w:r>
          </w:p>
        </w:tc>
        <w:tc>
          <w:tcPr>
            <w:tcW w:w="1275" w:type="dxa"/>
            <w:vAlign w:val="center"/>
          </w:tcPr>
          <w:p w14:paraId="4DBFBBF7" w14:textId="77777777" w:rsidR="00DD13BF" w:rsidRPr="00347461" w:rsidRDefault="00DD13BF" w:rsidP="00355A56">
            <w:pPr>
              <w:pStyle w:val="TableParagraph"/>
              <w:rPr>
                <w:sz w:val="20"/>
              </w:rPr>
            </w:pPr>
            <w:r>
              <w:t>Measurement unit</w:t>
            </w:r>
          </w:p>
        </w:tc>
        <w:tc>
          <w:tcPr>
            <w:tcW w:w="1416" w:type="dxa"/>
            <w:vAlign w:val="center"/>
          </w:tcPr>
          <w:p w14:paraId="4F9AC095" w14:textId="77777777" w:rsidR="00DD13BF" w:rsidRPr="00347461" w:rsidRDefault="00DD13BF" w:rsidP="00355A56">
            <w:pPr>
              <w:pStyle w:val="TableParagraph"/>
              <w:rPr>
                <w:sz w:val="20"/>
              </w:rPr>
            </w:pPr>
            <w:r>
              <w:t>Milestone (2014)</w:t>
            </w:r>
          </w:p>
        </w:tc>
        <w:tc>
          <w:tcPr>
            <w:tcW w:w="1133" w:type="dxa"/>
            <w:vAlign w:val="center"/>
          </w:tcPr>
          <w:p w14:paraId="7EDAE366" w14:textId="77777777" w:rsidR="00DD13BF" w:rsidRDefault="00DD13BF" w:rsidP="00355A56">
            <w:pPr>
              <w:pStyle w:val="TableParagraph"/>
            </w:pPr>
            <w:r>
              <w:t>Target (2029)</w:t>
            </w:r>
          </w:p>
        </w:tc>
      </w:tr>
      <w:tr w:rsidR="00DD13BF" w14:paraId="225F7467" w14:textId="77777777" w:rsidTr="00355A56">
        <w:trPr>
          <w:trHeight w:val="367"/>
        </w:trPr>
        <w:tc>
          <w:tcPr>
            <w:tcW w:w="1134" w:type="dxa"/>
          </w:tcPr>
          <w:p w14:paraId="38A92A16" w14:textId="77777777" w:rsidR="00DD13BF" w:rsidRDefault="00DD13BF" w:rsidP="00355A56">
            <w:pPr>
              <w:pStyle w:val="TableParagraph"/>
              <w:rPr>
                <w:sz w:val="20"/>
              </w:rPr>
            </w:pPr>
            <w:r>
              <w:rPr>
                <w:sz w:val="20"/>
              </w:rPr>
              <w:t>6</w:t>
            </w:r>
          </w:p>
        </w:tc>
        <w:tc>
          <w:tcPr>
            <w:tcW w:w="1276" w:type="dxa"/>
          </w:tcPr>
          <w:p w14:paraId="4CC054B9" w14:textId="77777777" w:rsidR="00DD13BF" w:rsidRPr="00317DC3" w:rsidRDefault="00DD13BF" w:rsidP="00355A56">
            <w:pPr>
              <w:pStyle w:val="TableParagraph"/>
              <w:rPr>
                <w:sz w:val="20"/>
              </w:rPr>
            </w:pPr>
            <w:r>
              <w:rPr>
                <w:color w:val="000000"/>
                <w:sz w:val="20"/>
              </w:rPr>
              <w:t>ESO4.4</w:t>
            </w:r>
          </w:p>
        </w:tc>
        <w:tc>
          <w:tcPr>
            <w:tcW w:w="707" w:type="dxa"/>
          </w:tcPr>
          <w:p w14:paraId="097F2908" w14:textId="77777777" w:rsidR="00DD13BF" w:rsidRDefault="00DD13BF" w:rsidP="00355A56">
            <w:pPr>
              <w:pStyle w:val="TableParagraph"/>
              <w:rPr>
                <w:sz w:val="20"/>
              </w:rPr>
            </w:pPr>
            <w:r>
              <w:rPr>
                <w:sz w:val="20"/>
              </w:rPr>
              <w:t>ESF+</w:t>
            </w:r>
          </w:p>
        </w:tc>
        <w:tc>
          <w:tcPr>
            <w:tcW w:w="1699" w:type="dxa"/>
          </w:tcPr>
          <w:p w14:paraId="6E55D9FE" w14:textId="77777777" w:rsidR="00DD13BF" w:rsidRPr="00F63433" w:rsidRDefault="00DD13BF" w:rsidP="00355A56">
            <w:pPr>
              <w:pStyle w:val="TableParagraph"/>
              <w:rPr>
                <w:sz w:val="20"/>
              </w:rPr>
            </w:pPr>
            <w:r>
              <w:rPr>
                <w:sz w:val="20"/>
              </w:rPr>
              <w:t>Less developed</w:t>
            </w:r>
          </w:p>
        </w:tc>
        <w:tc>
          <w:tcPr>
            <w:tcW w:w="777" w:type="dxa"/>
          </w:tcPr>
          <w:p w14:paraId="6E98C70D" w14:textId="77777777" w:rsidR="00DD13BF" w:rsidRPr="00F63433" w:rsidRDefault="00DD13BF" w:rsidP="00355A56">
            <w:pPr>
              <w:pStyle w:val="TableParagraph"/>
              <w:rPr>
                <w:sz w:val="20"/>
              </w:rPr>
            </w:pPr>
            <w:commentRangeStart w:id="44"/>
            <w:r>
              <w:rPr>
                <w:sz w:val="20"/>
              </w:rPr>
              <w:t>EECO05</w:t>
            </w:r>
            <w:commentRangeEnd w:id="44"/>
            <w:r>
              <w:rPr>
                <w:rStyle w:val="Pripombasklic"/>
                <w:rFonts w:asciiTheme="minorHAnsi" w:eastAsiaTheme="minorHAnsi" w:hAnsiTheme="minorHAnsi" w:cstheme="minorBidi"/>
              </w:rPr>
              <w:commentReference w:id="44"/>
            </w:r>
          </w:p>
        </w:tc>
        <w:tc>
          <w:tcPr>
            <w:tcW w:w="4188" w:type="dxa"/>
          </w:tcPr>
          <w:p w14:paraId="76193F92" w14:textId="77777777" w:rsidR="00DD13BF" w:rsidRPr="00F63433" w:rsidRDefault="00DD13BF" w:rsidP="00355A56">
            <w:pPr>
              <w:pStyle w:val="TableParagraph"/>
              <w:rPr>
                <w:sz w:val="20"/>
              </w:rPr>
            </w:pPr>
            <w:r>
              <w:rPr>
                <w:sz w:val="20"/>
              </w:rPr>
              <w:t>Employed, including self-employed</w:t>
            </w:r>
          </w:p>
        </w:tc>
        <w:tc>
          <w:tcPr>
            <w:tcW w:w="1275" w:type="dxa"/>
          </w:tcPr>
          <w:p w14:paraId="41A8BC00" w14:textId="77777777" w:rsidR="00DD13BF" w:rsidRPr="00F63433" w:rsidRDefault="00DD13BF" w:rsidP="00355A56">
            <w:pPr>
              <w:pStyle w:val="TableParagraph"/>
              <w:rPr>
                <w:sz w:val="20"/>
              </w:rPr>
            </w:pPr>
            <w:r>
              <w:rPr>
                <w:color w:val="000000"/>
                <w:sz w:val="20"/>
              </w:rPr>
              <w:t>Persons</w:t>
            </w:r>
          </w:p>
        </w:tc>
        <w:tc>
          <w:tcPr>
            <w:tcW w:w="1416" w:type="dxa"/>
          </w:tcPr>
          <w:p w14:paraId="01411E80" w14:textId="77777777" w:rsidR="00DD13BF" w:rsidRPr="006236EC" w:rsidRDefault="00DD13BF" w:rsidP="00355A56">
            <w:pPr>
              <w:pStyle w:val="TableParagraph"/>
              <w:rPr>
                <w:sz w:val="20"/>
              </w:rPr>
            </w:pPr>
            <w:r>
              <w:rPr>
                <w:sz w:val="20"/>
              </w:rPr>
              <w:t>2,173</w:t>
            </w:r>
          </w:p>
        </w:tc>
        <w:tc>
          <w:tcPr>
            <w:tcW w:w="1133" w:type="dxa"/>
          </w:tcPr>
          <w:p w14:paraId="3A3BC774" w14:textId="77777777" w:rsidR="00DD13BF" w:rsidRPr="006236EC" w:rsidRDefault="00DD13BF" w:rsidP="00355A56">
            <w:pPr>
              <w:pStyle w:val="TableParagraph"/>
              <w:rPr>
                <w:sz w:val="20"/>
              </w:rPr>
            </w:pPr>
            <w:r>
              <w:rPr>
                <w:sz w:val="20"/>
              </w:rPr>
              <w:t>10,895</w:t>
            </w:r>
          </w:p>
        </w:tc>
      </w:tr>
      <w:tr w:rsidR="00DD13BF" w14:paraId="2998E401" w14:textId="77777777" w:rsidTr="00355A56">
        <w:trPr>
          <w:trHeight w:val="367"/>
        </w:trPr>
        <w:tc>
          <w:tcPr>
            <w:tcW w:w="1134" w:type="dxa"/>
          </w:tcPr>
          <w:p w14:paraId="43014864" w14:textId="77777777" w:rsidR="00DD13BF" w:rsidRDefault="00DD13BF" w:rsidP="00355A56">
            <w:pPr>
              <w:pStyle w:val="TableParagraph"/>
              <w:rPr>
                <w:sz w:val="20"/>
              </w:rPr>
            </w:pPr>
            <w:r>
              <w:rPr>
                <w:sz w:val="20"/>
              </w:rPr>
              <w:t>6</w:t>
            </w:r>
          </w:p>
        </w:tc>
        <w:tc>
          <w:tcPr>
            <w:tcW w:w="1276" w:type="dxa"/>
          </w:tcPr>
          <w:p w14:paraId="23430E47" w14:textId="77777777" w:rsidR="00DD13BF" w:rsidRPr="00317DC3" w:rsidRDefault="00DD13BF" w:rsidP="00355A56">
            <w:pPr>
              <w:pStyle w:val="TableParagraph"/>
              <w:rPr>
                <w:sz w:val="20"/>
              </w:rPr>
            </w:pPr>
            <w:r>
              <w:rPr>
                <w:color w:val="000000"/>
                <w:sz w:val="20"/>
              </w:rPr>
              <w:t>ESO4.4</w:t>
            </w:r>
          </w:p>
        </w:tc>
        <w:tc>
          <w:tcPr>
            <w:tcW w:w="707" w:type="dxa"/>
          </w:tcPr>
          <w:p w14:paraId="5E878D7D" w14:textId="77777777" w:rsidR="00DD13BF" w:rsidRDefault="00DD13BF" w:rsidP="00355A56">
            <w:pPr>
              <w:pStyle w:val="TableParagraph"/>
              <w:rPr>
                <w:sz w:val="20"/>
              </w:rPr>
            </w:pPr>
            <w:r>
              <w:rPr>
                <w:sz w:val="20"/>
              </w:rPr>
              <w:t>ESF+</w:t>
            </w:r>
          </w:p>
        </w:tc>
        <w:tc>
          <w:tcPr>
            <w:tcW w:w="1699" w:type="dxa"/>
          </w:tcPr>
          <w:p w14:paraId="114BCA22" w14:textId="77777777" w:rsidR="00DD13BF" w:rsidRPr="00F63433" w:rsidRDefault="00DD13BF" w:rsidP="00355A56">
            <w:pPr>
              <w:pStyle w:val="TableParagraph"/>
              <w:rPr>
                <w:sz w:val="20"/>
              </w:rPr>
            </w:pPr>
            <w:r>
              <w:rPr>
                <w:sz w:val="20"/>
              </w:rPr>
              <w:t>More developed</w:t>
            </w:r>
          </w:p>
        </w:tc>
        <w:tc>
          <w:tcPr>
            <w:tcW w:w="777" w:type="dxa"/>
          </w:tcPr>
          <w:p w14:paraId="23962609" w14:textId="77777777" w:rsidR="00DD13BF" w:rsidRPr="00F63433" w:rsidRDefault="00DD13BF" w:rsidP="00355A56">
            <w:pPr>
              <w:pStyle w:val="TableParagraph"/>
              <w:rPr>
                <w:sz w:val="20"/>
              </w:rPr>
            </w:pPr>
            <w:r w:rsidRPr="00F46D55">
              <w:rPr>
                <w:sz w:val="20"/>
                <w:highlight w:val="yellow"/>
              </w:rPr>
              <w:t>EECO05</w:t>
            </w:r>
          </w:p>
        </w:tc>
        <w:tc>
          <w:tcPr>
            <w:tcW w:w="4188" w:type="dxa"/>
          </w:tcPr>
          <w:p w14:paraId="523DFD23" w14:textId="77777777" w:rsidR="00DD13BF" w:rsidRPr="00F63433" w:rsidRDefault="00DD13BF" w:rsidP="00355A56">
            <w:pPr>
              <w:pStyle w:val="TableParagraph"/>
              <w:rPr>
                <w:sz w:val="20"/>
              </w:rPr>
            </w:pPr>
            <w:r>
              <w:rPr>
                <w:sz w:val="20"/>
              </w:rPr>
              <w:t>Employed, including self-employed</w:t>
            </w:r>
          </w:p>
        </w:tc>
        <w:tc>
          <w:tcPr>
            <w:tcW w:w="1275" w:type="dxa"/>
          </w:tcPr>
          <w:p w14:paraId="2F2507B3" w14:textId="77777777" w:rsidR="00DD13BF" w:rsidRPr="00F63433" w:rsidRDefault="00DD13BF" w:rsidP="00355A56">
            <w:pPr>
              <w:pStyle w:val="TableParagraph"/>
              <w:rPr>
                <w:sz w:val="20"/>
              </w:rPr>
            </w:pPr>
            <w:r>
              <w:rPr>
                <w:color w:val="000000"/>
                <w:sz w:val="20"/>
              </w:rPr>
              <w:t>Persons</w:t>
            </w:r>
          </w:p>
        </w:tc>
        <w:tc>
          <w:tcPr>
            <w:tcW w:w="1416" w:type="dxa"/>
          </w:tcPr>
          <w:p w14:paraId="3AA52BA7" w14:textId="77777777" w:rsidR="00DD13BF" w:rsidRPr="006236EC" w:rsidRDefault="00DD13BF" w:rsidP="00355A56">
            <w:pPr>
              <w:pStyle w:val="TableParagraph"/>
              <w:rPr>
                <w:sz w:val="20"/>
              </w:rPr>
            </w:pPr>
            <w:r>
              <w:rPr>
                <w:sz w:val="20"/>
              </w:rPr>
              <w:t>1,136</w:t>
            </w:r>
          </w:p>
        </w:tc>
        <w:tc>
          <w:tcPr>
            <w:tcW w:w="1133" w:type="dxa"/>
          </w:tcPr>
          <w:p w14:paraId="6D888666" w14:textId="77777777" w:rsidR="00DD13BF" w:rsidRPr="006236EC" w:rsidRDefault="00DD13BF" w:rsidP="00355A56">
            <w:pPr>
              <w:pStyle w:val="TableParagraph"/>
              <w:rPr>
                <w:sz w:val="20"/>
              </w:rPr>
            </w:pPr>
            <w:r>
              <w:rPr>
                <w:sz w:val="20"/>
              </w:rPr>
              <w:t>5,705</w:t>
            </w:r>
          </w:p>
        </w:tc>
      </w:tr>
      <w:tr w:rsidR="00DD13BF" w:rsidRPr="005D3E3B" w14:paraId="063C25A7" w14:textId="77777777" w:rsidTr="00355A56">
        <w:trPr>
          <w:trHeight w:val="367"/>
        </w:trPr>
        <w:tc>
          <w:tcPr>
            <w:tcW w:w="1134" w:type="dxa"/>
          </w:tcPr>
          <w:p w14:paraId="696FB208" w14:textId="77777777" w:rsidR="00DD13BF" w:rsidRPr="005D3E3B" w:rsidRDefault="00DD13BF" w:rsidP="00355A56">
            <w:pPr>
              <w:pStyle w:val="TableParagraph"/>
              <w:rPr>
                <w:sz w:val="20"/>
              </w:rPr>
            </w:pPr>
            <w:r>
              <w:rPr>
                <w:sz w:val="20"/>
              </w:rPr>
              <w:lastRenderedPageBreak/>
              <w:t>6</w:t>
            </w:r>
          </w:p>
        </w:tc>
        <w:tc>
          <w:tcPr>
            <w:tcW w:w="1276" w:type="dxa"/>
          </w:tcPr>
          <w:p w14:paraId="7D0DDB88" w14:textId="77777777" w:rsidR="00DD13BF" w:rsidRPr="005D3E3B" w:rsidRDefault="00DD13BF" w:rsidP="00355A56">
            <w:pPr>
              <w:pStyle w:val="TableParagraph"/>
              <w:rPr>
                <w:sz w:val="20"/>
              </w:rPr>
            </w:pPr>
            <w:r>
              <w:rPr>
                <w:color w:val="000000"/>
                <w:sz w:val="20"/>
              </w:rPr>
              <w:t>ESO4.4</w:t>
            </w:r>
          </w:p>
        </w:tc>
        <w:tc>
          <w:tcPr>
            <w:tcW w:w="707" w:type="dxa"/>
          </w:tcPr>
          <w:p w14:paraId="17ABEF90" w14:textId="77777777" w:rsidR="00DD13BF" w:rsidRPr="005D3E3B" w:rsidRDefault="00DD13BF" w:rsidP="00355A56">
            <w:pPr>
              <w:pStyle w:val="TableParagraph"/>
              <w:rPr>
                <w:sz w:val="20"/>
              </w:rPr>
            </w:pPr>
            <w:r>
              <w:rPr>
                <w:sz w:val="20"/>
              </w:rPr>
              <w:t>ESF+</w:t>
            </w:r>
          </w:p>
        </w:tc>
        <w:tc>
          <w:tcPr>
            <w:tcW w:w="1699" w:type="dxa"/>
          </w:tcPr>
          <w:p w14:paraId="3A12243B" w14:textId="77777777" w:rsidR="00DD13BF" w:rsidRPr="005D3E3B" w:rsidRDefault="00DD13BF" w:rsidP="00355A56">
            <w:pPr>
              <w:pStyle w:val="TableParagraph"/>
              <w:rPr>
                <w:sz w:val="20"/>
              </w:rPr>
            </w:pPr>
            <w:r>
              <w:rPr>
                <w:sz w:val="20"/>
              </w:rPr>
              <w:t>Less developed</w:t>
            </w:r>
          </w:p>
        </w:tc>
        <w:tc>
          <w:tcPr>
            <w:tcW w:w="777" w:type="dxa"/>
          </w:tcPr>
          <w:p w14:paraId="6504B8C2" w14:textId="77777777" w:rsidR="00DD13BF" w:rsidRPr="005D3E3B" w:rsidRDefault="00DD13BF" w:rsidP="00355A56">
            <w:pPr>
              <w:pStyle w:val="TableParagraph"/>
              <w:rPr>
                <w:sz w:val="20"/>
              </w:rPr>
            </w:pPr>
            <w:r>
              <w:rPr>
                <w:sz w:val="20"/>
              </w:rPr>
              <w:t>7</w:t>
            </w:r>
          </w:p>
        </w:tc>
        <w:tc>
          <w:tcPr>
            <w:tcW w:w="4188" w:type="dxa"/>
          </w:tcPr>
          <w:p w14:paraId="0130D5B4" w14:textId="77777777" w:rsidR="00DD13BF" w:rsidRPr="005D3E3B" w:rsidRDefault="00DD13BF" w:rsidP="00355A56">
            <w:pPr>
              <w:pStyle w:val="TableParagraph"/>
              <w:rPr>
                <w:sz w:val="20"/>
              </w:rPr>
            </w:pPr>
            <w:r>
              <w:rPr>
                <w:sz w:val="20"/>
              </w:rPr>
              <w:t xml:space="preserve">Number of projects in the field of health and safety at work (in cooperation with social partners) </w:t>
            </w:r>
          </w:p>
        </w:tc>
        <w:tc>
          <w:tcPr>
            <w:tcW w:w="1275" w:type="dxa"/>
          </w:tcPr>
          <w:p w14:paraId="49830B18" w14:textId="77777777" w:rsidR="00DD13BF" w:rsidRPr="005D3E3B" w:rsidRDefault="00DD13BF" w:rsidP="00355A56">
            <w:pPr>
              <w:pStyle w:val="TableParagraph"/>
              <w:rPr>
                <w:sz w:val="20"/>
              </w:rPr>
            </w:pPr>
            <w:r>
              <w:rPr>
                <w:sz w:val="20"/>
              </w:rPr>
              <w:t>Number</w:t>
            </w:r>
          </w:p>
        </w:tc>
        <w:tc>
          <w:tcPr>
            <w:tcW w:w="1416" w:type="dxa"/>
          </w:tcPr>
          <w:p w14:paraId="434D741B" w14:textId="77777777" w:rsidR="00DD13BF" w:rsidRPr="005D3E3B" w:rsidRDefault="00DD13BF" w:rsidP="00355A56">
            <w:pPr>
              <w:pStyle w:val="TableParagraph"/>
              <w:rPr>
                <w:sz w:val="20"/>
              </w:rPr>
            </w:pPr>
            <w:r>
              <w:rPr>
                <w:sz w:val="20"/>
              </w:rPr>
              <w:t>1</w:t>
            </w:r>
          </w:p>
        </w:tc>
        <w:tc>
          <w:tcPr>
            <w:tcW w:w="1133" w:type="dxa"/>
          </w:tcPr>
          <w:p w14:paraId="0D6C13B1" w14:textId="77777777" w:rsidR="00DD13BF" w:rsidRPr="005D3E3B" w:rsidRDefault="00DD13BF" w:rsidP="00355A56">
            <w:pPr>
              <w:pStyle w:val="TableParagraph"/>
              <w:rPr>
                <w:sz w:val="20"/>
              </w:rPr>
            </w:pPr>
            <w:r>
              <w:rPr>
                <w:sz w:val="20"/>
              </w:rPr>
              <w:t>1</w:t>
            </w:r>
          </w:p>
        </w:tc>
      </w:tr>
      <w:tr w:rsidR="00DD13BF" w:rsidRPr="005D3E3B" w14:paraId="1642B51C" w14:textId="77777777" w:rsidTr="00355A56">
        <w:trPr>
          <w:trHeight w:val="367"/>
        </w:trPr>
        <w:tc>
          <w:tcPr>
            <w:tcW w:w="1134" w:type="dxa"/>
          </w:tcPr>
          <w:p w14:paraId="4C7D1B8F" w14:textId="77777777" w:rsidR="00DD13BF" w:rsidRPr="005D3E3B" w:rsidRDefault="00DD13BF" w:rsidP="00355A56">
            <w:pPr>
              <w:pStyle w:val="TableParagraph"/>
              <w:rPr>
                <w:sz w:val="20"/>
              </w:rPr>
            </w:pPr>
            <w:r>
              <w:rPr>
                <w:sz w:val="20"/>
              </w:rPr>
              <w:t>6</w:t>
            </w:r>
          </w:p>
        </w:tc>
        <w:tc>
          <w:tcPr>
            <w:tcW w:w="1276" w:type="dxa"/>
          </w:tcPr>
          <w:p w14:paraId="76971703" w14:textId="77777777" w:rsidR="00DD13BF" w:rsidRPr="005D3E3B" w:rsidRDefault="00DD13BF" w:rsidP="00355A56">
            <w:pPr>
              <w:pStyle w:val="TableParagraph"/>
              <w:rPr>
                <w:sz w:val="20"/>
              </w:rPr>
            </w:pPr>
            <w:r>
              <w:rPr>
                <w:color w:val="000000"/>
                <w:sz w:val="20"/>
              </w:rPr>
              <w:t>ESO4.4</w:t>
            </w:r>
          </w:p>
        </w:tc>
        <w:tc>
          <w:tcPr>
            <w:tcW w:w="707" w:type="dxa"/>
          </w:tcPr>
          <w:p w14:paraId="1D5AB4AB" w14:textId="77777777" w:rsidR="00DD13BF" w:rsidRPr="005D3E3B" w:rsidRDefault="00DD13BF" w:rsidP="00355A56">
            <w:pPr>
              <w:pStyle w:val="TableParagraph"/>
              <w:rPr>
                <w:sz w:val="20"/>
              </w:rPr>
            </w:pPr>
            <w:r>
              <w:rPr>
                <w:sz w:val="20"/>
              </w:rPr>
              <w:t>ESF+</w:t>
            </w:r>
          </w:p>
        </w:tc>
        <w:tc>
          <w:tcPr>
            <w:tcW w:w="1699" w:type="dxa"/>
          </w:tcPr>
          <w:p w14:paraId="3BD1D139" w14:textId="77777777" w:rsidR="00DD13BF" w:rsidRPr="005D3E3B" w:rsidRDefault="00DD13BF" w:rsidP="00355A56">
            <w:pPr>
              <w:pStyle w:val="TableParagraph"/>
              <w:rPr>
                <w:sz w:val="20"/>
              </w:rPr>
            </w:pPr>
            <w:r>
              <w:rPr>
                <w:sz w:val="20"/>
              </w:rPr>
              <w:t>More developed</w:t>
            </w:r>
          </w:p>
        </w:tc>
        <w:tc>
          <w:tcPr>
            <w:tcW w:w="777" w:type="dxa"/>
          </w:tcPr>
          <w:p w14:paraId="7B544E05" w14:textId="77777777" w:rsidR="00DD13BF" w:rsidRPr="005D3E3B" w:rsidRDefault="00DD13BF" w:rsidP="00355A56">
            <w:pPr>
              <w:pStyle w:val="TableParagraph"/>
              <w:rPr>
                <w:sz w:val="20"/>
              </w:rPr>
            </w:pPr>
            <w:r>
              <w:rPr>
                <w:sz w:val="20"/>
              </w:rPr>
              <w:t>7</w:t>
            </w:r>
          </w:p>
        </w:tc>
        <w:tc>
          <w:tcPr>
            <w:tcW w:w="4188" w:type="dxa"/>
          </w:tcPr>
          <w:p w14:paraId="6C421F9B" w14:textId="77777777" w:rsidR="00DD13BF" w:rsidRPr="005D3E3B" w:rsidRDefault="00DD13BF" w:rsidP="00355A56">
            <w:pPr>
              <w:pStyle w:val="TableParagraph"/>
              <w:rPr>
                <w:rFonts w:cs="Calibri"/>
                <w:sz w:val="20"/>
              </w:rPr>
            </w:pPr>
            <w:r>
              <w:rPr>
                <w:sz w:val="20"/>
              </w:rPr>
              <w:t xml:space="preserve">Number of projects in the field of health and safety at work (in cooperation with social partners) </w:t>
            </w:r>
          </w:p>
        </w:tc>
        <w:tc>
          <w:tcPr>
            <w:tcW w:w="1275" w:type="dxa"/>
          </w:tcPr>
          <w:p w14:paraId="3FC37F03" w14:textId="77777777" w:rsidR="00DD13BF" w:rsidRPr="005D3E3B" w:rsidRDefault="00DD13BF" w:rsidP="00355A56">
            <w:pPr>
              <w:pStyle w:val="TableParagraph"/>
              <w:rPr>
                <w:sz w:val="20"/>
              </w:rPr>
            </w:pPr>
            <w:r>
              <w:rPr>
                <w:sz w:val="20"/>
              </w:rPr>
              <w:t>Number</w:t>
            </w:r>
          </w:p>
        </w:tc>
        <w:tc>
          <w:tcPr>
            <w:tcW w:w="1416" w:type="dxa"/>
          </w:tcPr>
          <w:p w14:paraId="49EC59C0" w14:textId="77777777" w:rsidR="00DD13BF" w:rsidRPr="005D3E3B" w:rsidRDefault="00DD13BF" w:rsidP="00355A56">
            <w:pPr>
              <w:pStyle w:val="TableParagraph"/>
              <w:rPr>
                <w:sz w:val="20"/>
              </w:rPr>
            </w:pPr>
            <w:r>
              <w:rPr>
                <w:sz w:val="20"/>
              </w:rPr>
              <w:t>1</w:t>
            </w:r>
          </w:p>
        </w:tc>
        <w:tc>
          <w:tcPr>
            <w:tcW w:w="1133" w:type="dxa"/>
          </w:tcPr>
          <w:p w14:paraId="0B3BF56B" w14:textId="77777777" w:rsidR="00DD13BF" w:rsidRPr="005D3E3B" w:rsidRDefault="00DD13BF" w:rsidP="00355A56">
            <w:pPr>
              <w:pStyle w:val="TableParagraph"/>
              <w:rPr>
                <w:sz w:val="20"/>
              </w:rPr>
            </w:pPr>
            <w:r>
              <w:rPr>
                <w:sz w:val="20"/>
              </w:rPr>
              <w:t>1</w:t>
            </w:r>
          </w:p>
        </w:tc>
      </w:tr>
    </w:tbl>
    <w:p w14:paraId="182A9F3C" w14:textId="77777777" w:rsidR="00DD13BF" w:rsidRDefault="00DD13BF" w:rsidP="00DD13BF">
      <w:pPr>
        <w:rPr>
          <w:sz w:val="24"/>
        </w:rPr>
      </w:pPr>
    </w:p>
    <w:p w14:paraId="362B6CC8" w14:textId="77777777" w:rsidR="00DD13BF" w:rsidRDefault="00DD13BF" w:rsidP="00DD13BF">
      <w:pPr>
        <w:ind w:left="379"/>
      </w:pPr>
      <w:r>
        <w:t>Table 3: Result indicators</w:t>
      </w:r>
    </w:p>
    <w:p w14:paraId="3AF90009" w14:textId="77777777" w:rsidR="00DD13BF" w:rsidRDefault="00DD13BF" w:rsidP="00DD13BF">
      <w:pPr>
        <w:rPr>
          <w:sz w:val="21"/>
        </w:rPr>
      </w:pPr>
    </w:p>
    <w:tbl>
      <w:tblPr>
        <w:tblStyle w:val="NormalTable0"/>
        <w:tblW w:w="1360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992"/>
        <w:gridCol w:w="695"/>
        <w:gridCol w:w="1570"/>
        <w:gridCol w:w="708"/>
        <w:gridCol w:w="3264"/>
        <w:gridCol w:w="707"/>
        <w:gridCol w:w="1133"/>
        <w:gridCol w:w="992"/>
        <w:gridCol w:w="707"/>
        <w:gridCol w:w="997"/>
        <w:gridCol w:w="849"/>
      </w:tblGrid>
      <w:tr w:rsidR="00DD13BF" w14:paraId="0442C989" w14:textId="77777777" w:rsidTr="00355A56">
        <w:trPr>
          <w:trHeight w:val="353"/>
        </w:trPr>
        <w:tc>
          <w:tcPr>
            <w:tcW w:w="992" w:type="dxa"/>
          </w:tcPr>
          <w:p w14:paraId="7D8328C4" w14:textId="77777777" w:rsidR="00DD13BF" w:rsidRPr="00347461" w:rsidRDefault="00DD13BF" w:rsidP="00355A56">
            <w:pPr>
              <w:pStyle w:val="TableParagraph"/>
              <w:rPr>
                <w:sz w:val="20"/>
              </w:rPr>
            </w:pPr>
            <w:r>
              <w:rPr>
                <w:sz w:val="20"/>
              </w:rPr>
              <w:t>Priority</w:t>
            </w:r>
          </w:p>
        </w:tc>
        <w:tc>
          <w:tcPr>
            <w:tcW w:w="992" w:type="dxa"/>
          </w:tcPr>
          <w:p w14:paraId="2BBFDCB1" w14:textId="77777777" w:rsidR="00DD13BF" w:rsidRPr="00347461" w:rsidRDefault="00DD13BF" w:rsidP="00355A56">
            <w:pPr>
              <w:pStyle w:val="TableParagraph"/>
              <w:rPr>
                <w:sz w:val="20"/>
              </w:rPr>
            </w:pPr>
            <w:r>
              <w:rPr>
                <w:sz w:val="20"/>
              </w:rPr>
              <w:t>Specific objective</w:t>
            </w:r>
          </w:p>
        </w:tc>
        <w:tc>
          <w:tcPr>
            <w:tcW w:w="695" w:type="dxa"/>
          </w:tcPr>
          <w:p w14:paraId="7A8244F2" w14:textId="77777777" w:rsidR="00DD13BF" w:rsidRPr="00347461" w:rsidRDefault="00DD13BF" w:rsidP="00355A56">
            <w:pPr>
              <w:pStyle w:val="TableParagraph"/>
              <w:rPr>
                <w:sz w:val="20"/>
              </w:rPr>
            </w:pPr>
            <w:r>
              <w:rPr>
                <w:sz w:val="20"/>
              </w:rPr>
              <w:t>Fund</w:t>
            </w:r>
          </w:p>
        </w:tc>
        <w:tc>
          <w:tcPr>
            <w:tcW w:w="1570" w:type="dxa"/>
          </w:tcPr>
          <w:p w14:paraId="729BDF2A" w14:textId="77777777" w:rsidR="00DD13BF" w:rsidRPr="00347461" w:rsidRDefault="00DD13BF" w:rsidP="00355A56">
            <w:pPr>
              <w:pStyle w:val="TableParagraph"/>
              <w:rPr>
                <w:sz w:val="20"/>
              </w:rPr>
            </w:pPr>
            <w:r>
              <w:rPr>
                <w:sz w:val="20"/>
              </w:rPr>
              <w:t>Category of region</w:t>
            </w:r>
          </w:p>
        </w:tc>
        <w:tc>
          <w:tcPr>
            <w:tcW w:w="708" w:type="dxa"/>
          </w:tcPr>
          <w:p w14:paraId="60CD33C9" w14:textId="77777777" w:rsidR="00DD13BF" w:rsidRPr="00347461" w:rsidRDefault="00DD13BF" w:rsidP="00355A56">
            <w:pPr>
              <w:pStyle w:val="TableParagraph"/>
              <w:rPr>
                <w:sz w:val="20"/>
              </w:rPr>
            </w:pPr>
            <w:r>
              <w:rPr>
                <w:sz w:val="20"/>
              </w:rPr>
              <w:t>ID</w:t>
            </w:r>
          </w:p>
        </w:tc>
        <w:tc>
          <w:tcPr>
            <w:tcW w:w="3264" w:type="dxa"/>
          </w:tcPr>
          <w:p w14:paraId="3B4884A8" w14:textId="77777777" w:rsidR="00DD13BF" w:rsidRPr="00347461" w:rsidRDefault="00DD13BF" w:rsidP="00355A56">
            <w:pPr>
              <w:pStyle w:val="TableParagraph"/>
              <w:rPr>
                <w:sz w:val="20"/>
              </w:rPr>
            </w:pPr>
            <w:r>
              <w:rPr>
                <w:sz w:val="20"/>
              </w:rPr>
              <w:t>Indicator</w:t>
            </w:r>
          </w:p>
        </w:tc>
        <w:tc>
          <w:tcPr>
            <w:tcW w:w="707" w:type="dxa"/>
          </w:tcPr>
          <w:p w14:paraId="6815E451" w14:textId="77777777" w:rsidR="00DD13BF" w:rsidRPr="00347461" w:rsidRDefault="00DD13BF" w:rsidP="00355A56">
            <w:pPr>
              <w:pStyle w:val="TableParagraph"/>
              <w:rPr>
                <w:sz w:val="20"/>
              </w:rPr>
            </w:pPr>
            <w:r>
              <w:rPr>
                <w:sz w:val="20"/>
              </w:rPr>
              <w:t>Measurement unit</w:t>
            </w:r>
          </w:p>
        </w:tc>
        <w:tc>
          <w:tcPr>
            <w:tcW w:w="1133" w:type="dxa"/>
          </w:tcPr>
          <w:p w14:paraId="2AE4D59D" w14:textId="77777777" w:rsidR="00DD13BF" w:rsidRPr="00347461" w:rsidRDefault="00DD13BF" w:rsidP="00355A56">
            <w:pPr>
              <w:pStyle w:val="TableParagraph"/>
              <w:rPr>
                <w:sz w:val="20"/>
              </w:rPr>
            </w:pPr>
            <w:r>
              <w:rPr>
                <w:sz w:val="20"/>
              </w:rPr>
              <w:t>Baseline or reference value</w:t>
            </w:r>
          </w:p>
        </w:tc>
        <w:tc>
          <w:tcPr>
            <w:tcW w:w="992" w:type="dxa"/>
          </w:tcPr>
          <w:p w14:paraId="27E3A7E0" w14:textId="77777777" w:rsidR="00DD13BF" w:rsidRPr="00347461" w:rsidRDefault="00DD13BF" w:rsidP="00355A56">
            <w:pPr>
              <w:pStyle w:val="TableParagraph"/>
              <w:rPr>
                <w:sz w:val="20"/>
              </w:rPr>
            </w:pPr>
            <w:r>
              <w:rPr>
                <w:sz w:val="20"/>
              </w:rPr>
              <w:t>Reference year</w:t>
            </w:r>
          </w:p>
        </w:tc>
        <w:tc>
          <w:tcPr>
            <w:tcW w:w="707" w:type="dxa"/>
          </w:tcPr>
          <w:p w14:paraId="63AC0CEC" w14:textId="77777777" w:rsidR="00DD13BF" w:rsidRPr="00347461" w:rsidRDefault="00DD13BF" w:rsidP="00355A56">
            <w:pPr>
              <w:pStyle w:val="TableParagraph"/>
              <w:rPr>
                <w:sz w:val="20"/>
              </w:rPr>
            </w:pPr>
            <w:r>
              <w:rPr>
                <w:sz w:val="20"/>
              </w:rPr>
              <w:t>Target (2029)</w:t>
            </w:r>
          </w:p>
        </w:tc>
        <w:tc>
          <w:tcPr>
            <w:tcW w:w="997" w:type="dxa"/>
          </w:tcPr>
          <w:p w14:paraId="5A789DB0" w14:textId="77777777" w:rsidR="00DD13BF" w:rsidRPr="00347461" w:rsidRDefault="00DD13BF" w:rsidP="00355A56">
            <w:pPr>
              <w:pStyle w:val="TableParagraph"/>
              <w:rPr>
                <w:sz w:val="20"/>
              </w:rPr>
            </w:pPr>
            <w:r>
              <w:rPr>
                <w:sz w:val="20"/>
              </w:rPr>
              <w:t>Source of data</w:t>
            </w:r>
          </w:p>
        </w:tc>
        <w:tc>
          <w:tcPr>
            <w:tcW w:w="849" w:type="dxa"/>
          </w:tcPr>
          <w:p w14:paraId="60464E9D" w14:textId="77777777" w:rsidR="00DD13BF" w:rsidRPr="00347461" w:rsidRDefault="00DD13BF" w:rsidP="00355A56">
            <w:pPr>
              <w:pStyle w:val="TableParagraph"/>
              <w:rPr>
                <w:sz w:val="20"/>
              </w:rPr>
            </w:pPr>
            <w:r>
              <w:rPr>
                <w:sz w:val="20"/>
              </w:rPr>
              <w:t>Notes</w:t>
            </w:r>
          </w:p>
        </w:tc>
      </w:tr>
      <w:tr w:rsidR="00DD13BF" w14:paraId="7B0A6F85" w14:textId="77777777" w:rsidTr="00355A56">
        <w:trPr>
          <w:trHeight w:val="353"/>
        </w:trPr>
        <w:tc>
          <w:tcPr>
            <w:tcW w:w="992" w:type="dxa"/>
          </w:tcPr>
          <w:p w14:paraId="113A40D9" w14:textId="77777777" w:rsidR="00DD13BF" w:rsidRPr="00347461" w:rsidRDefault="00DD13BF" w:rsidP="00355A56">
            <w:pPr>
              <w:pStyle w:val="TableParagraph"/>
              <w:rPr>
                <w:sz w:val="20"/>
              </w:rPr>
            </w:pPr>
            <w:r>
              <w:rPr>
                <w:sz w:val="20"/>
              </w:rPr>
              <w:t>6</w:t>
            </w:r>
          </w:p>
        </w:tc>
        <w:tc>
          <w:tcPr>
            <w:tcW w:w="992" w:type="dxa"/>
          </w:tcPr>
          <w:p w14:paraId="02D68187" w14:textId="77777777" w:rsidR="00DD13BF" w:rsidRPr="00347461" w:rsidRDefault="00DD13BF" w:rsidP="00355A56">
            <w:pPr>
              <w:pStyle w:val="TableParagraph"/>
              <w:rPr>
                <w:sz w:val="20"/>
              </w:rPr>
            </w:pPr>
            <w:r>
              <w:rPr>
                <w:color w:val="000000"/>
                <w:sz w:val="20"/>
              </w:rPr>
              <w:t>ESO4.4</w:t>
            </w:r>
          </w:p>
        </w:tc>
        <w:tc>
          <w:tcPr>
            <w:tcW w:w="695" w:type="dxa"/>
          </w:tcPr>
          <w:p w14:paraId="7A33D076" w14:textId="77777777" w:rsidR="00DD13BF" w:rsidRPr="00347461" w:rsidRDefault="00DD13BF" w:rsidP="00355A56">
            <w:pPr>
              <w:pStyle w:val="TableParagraph"/>
              <w:rPr>
                <w:sz w:val="20"/>
              </w:rPr>
            </w:pPr>
            <w:r>
              <w:rPr>
                <w:sz w:val="20"/>
              </w:rPr>
              <w:t>ESF+</w:t>
            </w:r>
          </w:p>
        </w:tc>
        <w:tc>
          <w:tcPr>
            <w:tcW w:w="1570" w:type="dxa"/>
          </w:tcPr>
          <w:p w14:paraId="30D13675" w14:textId="77777777" w:rsidR="00DD13BF" w:rsidRPr="00347461" w:rsidRDefault="00DD13BF" w:rsidP="00355A56">
            <w:pPr>
              <w:pStyle w:val="TableParagraph"/>
              <w:rPr>
                <w:sz w:val="20"/>
              </w:rPr>
            </w:pPr>
            <w:r>
              <w:rPr>
                <w:sz w:val="20"/>
              </w:rPr>
              <w:t>Less developed</w:t>
            </w:r>
          </w:p>
        </w:tc>
        <w:tc>
          <w:tcPr>
            <w:tcW w:w="708" w:type="dxa"/>
          </w:tcPr>
          <w:p w14:paraId="6522ED29" w14:textId="77777777" w:rsidR="00DD13BF" w:rsidRPr="00347461" w:rsidRDefault="00DD13BF" w:rsidP="00355A56">
            <w:pPr>
              <w:pStyle w:val="TableParagraph"/>
              <w:rPr>
                <w:sz w:val="20"/>
              </w:rPr>
            </w:pPr>
            <w:r>
              <w:rPr>
                <w:sz w:val="20"/>
              </w:rPr>
              <w:t>6</w:t>
            </w:r>
          </w:p>
        </w:tc>
        <w:tc>
          <w:tcPr>
            <w:tcW w:w="3264" w:type="dxa"/>
          </w:tcPr>
          <w:p w14:paraId="07F122C0" w14:textId="77777777" w:rsidR="00DD13BF" w:rsidRPr="00BC0E4A" w:rsidRDefault="00DD13BF" w:rsidP="00355A56">
            <w:pPr>
              <w:pStyle w:val="TableParagraph"/>
              <w:rPr>
                <w:sz w:val="20"/>
              </w:rPr>
            </w:pPr>
            <w:r>
              <w:rPr>
                <w:sz w:val="20"/>
              </w:rPr>
              <w:t>Participants who obtain a certificate of completed training upon leaving</w:t>
            </w:r>
          </w:p>
        </w:tc>
        <w:tc>
          <w:tcPr>
            <w:tcW w:w="707" w:type="dxa"/>
          </w:tcPr>
          <w:p w14:paraId="48CEE5F5" w14:textId="77777777" w:rsidR="00DD13BF" w:rsidRPr="00347461" w:rsidRDefault="00DD13BF" w:rsidP="00355A56">
            <w:pPr>
              <w:pStyle w:val="TableParagraph"/>
              <w:rPr>
                <w:sz w:val="20"/>
              </w:rPr>
            </w:pPr>
            <w:r>
              <w:rPr>
                <w:sz w:val="20"/>
              </w:rPr>
              <w:t>Number</w:t>
            </w:r>
          </w:p>
        </w:tc>
        <w:tc>
          <w:tcPr>
            <w:tcW w:w="1133" w:type="dxa"/>
          </w:tcPr>
          <w:p w14:paraId="4458C969" w14:textId="77777777" w:rsidR="00DD13BF" w:rsidRPr="00602F8F" w:rsidRDefault="00DD13BF" w:rsidP="00355A56">
            <w:pPr>
              <w:pStyle w:val="TableParagraph"/>
              <w:rPr>
                <w:sz w:val="20"/>
              </w:rPr>
            </w:pPr>
            <w:r>
              <w:rPr>
                <w:sz w:val="20"/>
              </w:rPr>
              <w:t xml:space="preserve">10,011 </w:t>
            </w:r>
          </w:p>
        </w:tc>
        <w:tc>
          <w:tcPr>
            <w:tcW w:w="992" w:type="dxa"/>
          </w:tcPr>
          <w:p w14:paraId="1D33A015" w14:textId="77777777" w:rsidR="00DD13BF" w:rsidRPr="00944DAF" w:rsidRDefault="00DD13BF" w:rsidP="00355A56">
            <w:pPr>
              <w:pStyle w:val="TableParagraph"/>
              <w:rPr>
                <w:sz w:val="20"/>
              </w:rPr>
            </w:pPr>
            <w:r>
              <w:rPr>
                <w:sz w:val="20"/>
              </w:rPr>
              <w:t>2020</w:t>
            </w:r>
          </w:p>
        </w:tc>
        <w:tc>
          <w:tcPr>
            <w:tcW w:w="707" w:type="dxa"/>
          </w:tcPr>
          <w:p w14:paraId="6090FE6C" w14:textId="77777777" w:rsidR="00DD13BF" w:rsidRPr="00944DAF" w:rsidRDefault="00DD13BF" w:rsidP="00355A56">
            <w:pPr>
              <w:pStyle w:val="TableParagraph"/>
              <w:rPr>
                <w:sz w:val="20"/>
              </w:rPr>
            </w:pPr>
            <w:r>
              <w:rPr>
                <w:sz w:val="20"/>
              </w:rPr>
              <w:t>15,642</w:t>
            </w:r>
          </w:p>
        </w:tc>
        <w:tc>
          <w:tcPr>
            <w:tcW w:w="997" w:type="dxa"/>
          </w:tcPr>
          <w:p w14:paraId="357D694D" w14:textId="77777777" w:rsidR="00DD13BF" w:rsidRPr="00944DAF" w:rsidRDefault="00DD13BF" w:rsidP="00355A56">
            <w:pPr>
              <w:pStyle w:val="TableParagraph"/>
              <w:rPr>
                <w:sz w:val="20"/>
              </w:rPr>
            </w:pPr>
            <w:r>
              <w:rPr>
                <w:sz w:val="20"/>
              </w:rPr>
              <w:t>Beneficiary and eMA2</w:t>
            </w:r>
          </w:p>
        </w:tc>
        <w:tc>
          <w:tcPr>
            <w:tcW w:w="849" w:type="dxa"/>
          </w:tcPr>
          <w:p w14:paraId="273D7050" w14:textId="77777777" w:rsidR="00DD13BF" w:rsidRPr="00347461" w:rsidRDefault="00DD13BF" w:rsidP="00355A56">
            <w:pPr>
              <w:pStyle w:val="TableParagraph"/>
              <w:rPr>
                <w:sz w:val="20"/>
              </w:rPr>
            </w:pPr>
          </w:p>
        </w:tc>
      </w:tr>
      <w:tr w:rsidR="00DD13BF" w14:paraId="7853A899" w14:textId="77777777" w:rsidTr="00355A56">
        <w:trPr>
          <w:trHeight w:val="353"/>
        </w:trPr>
        <w:tc>
          <w:tcPr>
            <w:tcW w:w="992" w:type="dxa"/>
          </w:tcPr>
          <w:p w14:paraId="5A6545F0" w14:textId="77777777" w:rsidR="00DD13BF" w:rsidRPr="00347461" w:rsidRDefault="00DD13BF" w:rsidP="00355A56">
            <w:pPr>
              <w:pStyle w:val="TableParagraph"/>
              <w:rPr>
                <w:sz w:val="20"/>
              </w:rPr>
            </w:pPr>
            <w:r>
              <w:rPr>
                <w:sz w:val="20"/>
              </w:rPr>
              <w:t>6</w:t>
            </w:r>
          </w:p>
        </w:tc>
        <w:tc>
          <w:tcPr>
            <w:tcW w:w="992" w:type="dxa"/>
          </w:tcPr>
          <w:p w14:paraId="7A38F581" w14:textId="77777777" w:rsidR="00DD13BF" w:rsidRPr="00347461" w:rsidRDefault="00DD13BF" w:rsidP="00355A56">
            <w:pPr>
              <w:pStyle w:val="TableParagraph"/>
              <w:rPr>
                <w:sz w:val="20"/>
              </w:rPr>
            </w:pPr>
            <w:r>
              <w:rPr>
                <w:color w:val="000000"/>
                <w:sz w:val="20"/>
              </w:rPr>
              <w:t>ESO4.4</w:t>
            </w:r>
          </w:p>
        </w:tc>
        <w:tc>
          <w:tcPr>
            <w:tcW w:w="695" w:type="dxa"/>
          </w:tcPr>
          <w:p w14:paraId="762F5696" w14:textId="77777777" w:rsidR="00DD13BF" w:rsidRPr="00347461" w:rsidRDefault="00DD13BF" w:rsidP="00355A56">
            <w:pPr>
              <w:pStyle w:val="TableParagraph"/>
              <w:rPr>
                <w:sz w:val="20"/>
              </w:rPr>
            </w:pPr>
            <w:r>
              <w:rPr>
                <w:sz w:val="20"/>
              </w:rPr>
              <w:t>ESF+</w:t>
            </w:r>
          </w:p>
        </w:tc>
        <w:tc>
          <w:tcPr>
            <w:tcW w:w="1570" w:type="dxa"/>
          </w:tcPr>
          <w:p w14:paraId="1119BB18" w14:textId="77777777" w:rsidR="00DD13BF" w:rsidRPr="00944DAF" w:rsidRDefault="00DD13BF" w:rsidP="00355A56">
            <w:pPr>
              <w:pStyle w:val="TableParagraph"/>
              <w:rPr>
                <w:sz w:val="20"/>
              </w:rPr>
            </w:pPr>
            <w:r>
              <w:rPr>
                <w:sz w:val="20"/>
              </w:rPr>
              <w:t>More developed</w:t>
            </w:r>
          </w:p>
        </w:tc>
        <w:tc>
          <w:tcPr>
            <w:tcW w:w="708" w:type="dxa"/>
          </w:tcPr>
          <w:p w14:paraId="232B5246" w14:textId="77777777" w:rsidR="00DD13BF" w:rsidRPr="00347461" w:rsidRDefault="00DD13BF" w:rsidP="00355A56">
            <w:pPr>
              <w:pStyle w:val="TableParagraph"/>
              <w:rPr>
                <w:sz w:val="20"/>
              </w:rPr>
            </w:pPr>
            <w:r>
              <w:rPr>
                <w:sz w:val="20"/>
              </w:rPr>
              <w:t>6</w:t>
            </w:r>
          </w:p>
        </w:tc>
        <w:tc>
          <w:tcPr>
            <w:tcW w:w="3264" w:type="dxa"/>
          </w:tcPr>
          <w:p w14:paraId="50001701" w14:textId="77777777" w:rsidR="00DD13BF" w:rsidRPr="00BC0E4A" w:rsidRDefault="00DD13BF" w:rsidP="00355A56">
            <w:pPr>
              <w:pStyle w:val="TableParagraph"/>
              <w:rPr>
                <w:sz w:val="20"/>
              </w:rPr>
            </w:pPr>
            <w:r>
              <w:rPr>
                <w:sz w:val="20"/>
              </w:rPr>
              <w:t>Participants who obtain a certificate of completed training upon leaving</w:t>
            </w:r>
          </w:p>
        </w:tc>
        <w:tc>
          <w:tcPr>
            <w:tcW w:w="707" w:type="dxa"/>
          </w:tcPr>
          <w:p w14:paraId="2E7F5775" w14:textId="77777777" w:rsidR="00DD13BF" w:rsidRPr="00347461" w:rsidRDefault="00DD13BF" w:rsidP="00355A56">
            <w:pPr>
              <w:pStyle w:val="TableParagraph"/>
              <w:rPr>
                <w:sz w:val="20"/>
              </w:rPr>
            </w:pPr>
            <w:r>
              <w:rPr>
                <w:sz w:val="20"/>
              </w:rPr>
              <w:t>Number</w:t>
            </w:r>
          </w:p>
        </w:tc>
        <w:tc>
          <w:tcPr>
            <w:tcW w:w="1133" w:type="dxa"/>
          </w:tcPr>
          <w:p w14:paraId="664AF207" w14:textId="77777777" w:rsidR="00DD13BF" w:rsidRPr="00602F8F" w:rsidRDefault="00DD13BF" w:rsidP="00355A56">
            <w:pPr>
              <w:pStyle w:val="TableParagraph"/>
              <w:rPr>
                <w:sz w:val="20"/>
              </w:rPr>
            </w:pPr>
            <w:r>
              <w:rPr>
                <w:sz w:val="20"/>
              </w:rPr>
              <w:t xml:space="preserve">6,937 </w:t>
            </w:r>
          </w:p>
        </w:tc>
        <w:tc>
          <w:tcPr>
            <w:tcW w:w="992" w:type="dxa"/>
          </w:tcPr>
          <w:p w14:paraId="6433DE2B" w14:textId="77777777" w:rsidR="00DD13BF" w:rsidRPr="00944DAF" w:rsidRDefault="00DD13BF" w:rsidP="00355A56">
            <w:pPr>
              <w:pStyle w:val="TableParagraph"/>
              <w:rPr>
                <w:sz w:val="20"/>
              </w:rPr>
            </w:pPr>
            <w:r>
              <w:rPr>
                <w:sz w:val="20"/>
              </w:rPr>
              <w:t>2020</w:t>
            </w:r>
          </w:p>
        </w:tc>
        <w:tc>
          <w:tcPr>
            <w:tcW w:w="707" w:type="dxa"/>
          </w:tcPr>
          <w:p w14:paraId="34DEF97A" w14:textId="77777777" w:rsidR="00DD13BF" w:rsidRPr="00944DAF" w:rsidRDefault="00DD13BF" w:rsidP="00355A56">
            <w:pPr>
              <w:pStyle w:val="TableParagraph"/>
              <w:rPr>
                <w:sz w:val="20"/>
              </w:rPr>
            </w:pPr>
            <w:r>
              <w:rPr>
                <w:sz w:val="20"/>
              </w:rPr>
              <w:t>8,058</w:t>
            </w:r>
          </w:p>
        </w:tc>
        <w:tc>
          <w:tcPr>
            <w:tcW w:w="997" w:type="dxa"/>
          </w:tcPr>
          <w:p w14:paraId="69159FB3" w14:textId="77777777" w:rsidR="00DD13BF" w:rsidRPr="00944DAF" w:rsidRDefault="00DD13BF" w:rsidP="00355A56">
            <w:pPr>
              <w:pStyle w:val="TableParagraph"/>
              <w:rPr>
                <w:sz w:val="20"/>
              </w:rPr>
            </w:pPr>
            <w:r>
              <w:rPr>
                <w:sz w:val="20"/>
              </w:rPr>
              <w:t>Beneficiary and eMA2</w:t>
            </w:r>
          </w:p>
        </w:tc>
        <w:tc>
          <w:tcPr>
            <w:tcW w:w="849" w:type="dxa"/>
          </w:tcPr>
          <w:p w14:paraId="7D9C82D2" w14:textId="77777777" w:rsidR="00DD13BF" w:rsidRPr="00347461" w:rsidRDefault="00DD13BF" w:rsidP="00355A56">
            <w:pPr>
              <w:pStyle w:val="TableParagraph"/>
              <w:rPr>
                <w:sz w:val="20"/>
              </w:rPr>
            </w:pPr>
          </w:p>
        </w:tc>
      </w:tr>
      <w:tr w:rsidR="00DD13BF" w14:paraId="0F25E030" w14:textId="77777777" w:rsidTr="00355A56">
        <w:trPr>
          <w:trHeight w:val="353"/>
        </w:trPr>
        <w:tc>
          <w:tcPr>
            <w:tcW w:w="992" w:type="dxa"/>
            <w:shd w:val="clear" w:color="auto" w:fill="auto"/>
          </w:tcPr>
          <w:p w14:paraId="3C77EE97" w14:textId="77777777" w:rsidR="00DD13BF" w:rsidRPr="00237B05" w:rsidRDefault="00DD13BF" w:rsidP="00355A56">
            <w:pPr>
              <w:pStyle w:val="TableParagraph"/>
              <w:rPr>
                <w:sz w:val="20"/>
              </w:rPr>
            </w:pPr>
            <w:r>
              <w:rPr>
                <w:sz w:val="20"/>
              </w:rPr>
              <w:t>6</w:t>
            </w:r>
          </w:p>
        </w:tc>
        <w:tc>
          <w:tcPr>
            <w:tcW w:w="992" w:type="dxa"/>
            <w:shd w:val="clear" w:color="auto" w:fill="auto"/>
          </w:tcPr>
          <w:p w14:paraId="6008FE2E" w14:textId="77777777" w:rsidR="00DD13BF" w:rsidRPr="00237B05" w:rsidRDefault="00DD13BF" w:rsidP="00355A56">
            <w:pPr>
              <w:pStyle w:val="TableParagraph"/>
              <w:rPr>
                <w:sz w:val="20"/>
              </w:rPr>
            </w:pPr>
            <w:r>
              <w:rPr>
                <w:color w:val="000000"/>
                <w:sz w:val="20"/>
              </w:rPr>
              <w:t>ESO4.4</w:t>
            </w:r>
          </w:p>
        </w:tc>
        <w:tc>
          <w:tcPr>
            <w:tcW w:w="695" w:type="dxa"/>
            <w:shd w:val="clear" w:color="auto" w:fill="auto"/>
          </w:tcPr>
          <w:p w14:paraId="540C170E" w14:textId="77777777" w:rsidR="00DD13BF" w:rsidRPr="00237B05" w:rsidRDefault="00DD13BF" w:rsidP="00355A56">
            <w:pPr>
              <w:pStyle w:val="TableParagraph"/>
              <w:rPr>
                <w:sz w:val="20"/>
              </w:rPr>
            </w:pPr>
            <w:r>
              <w:rPr>
                <w:sz w:val="20"/>
              </w:rPr>
              <w:t>ESF+</w:t>
            </w:r>
          </w:p>
        </w:tc>
        <w:tc>
          <w:tcPr>
            <w:tcW w:w="1570" w:type="dxa"/>
            <w:shd w:val="clear" w:color="auto" w:fill="auto"/>
          </w:tcPr>
          <w:p w14:paraId="6EDD66F3" w14:textId="77777777" w:rsidR="00DD13BF" w:rsidRPr="00237B05" w:rsidRDefault="00DD13BF" w:rsidP="00355A56">
            <w:pPr>
              <w:pStyle w:val="TableParagraph"/>
              <w:rPr>
                <w:sz w:val="20"/>
              </w:rPr>
            </w:pPr>
            <w:r>
              <w:rPr>
                <w:sz w:val="20"/>
              </w:rPr>
              <w:t xml:space="preserve">Less developed </w:t>
            </w:r>
          </w:p>
        </w:tc>
        <w:tc>
          <w:tcPr>
            <w:tcW w:w="708" w:type="dxa"/>
            <w:shd w:val="clear" w:color="auto" w:fill="auto"/>
          </w:tcPr>
          <w:p w14:paraId="3EC36393" w14:textId="77777777" w:rsidR="00DD13BF" w:rsidRPr="00237B05" w:rsidRDefault="00DD13BF" w:rsidP="00355A56">
            <w:pPr>
              <w:pStyle w:val="TableParagraph"/>
              <w:rPr>
                <w:sz w:val="20"/>
              </w:rPr>
            </w:pPr>
            <w:r>
              <w:rPr>
                <w:sz w:val="20"/>
              </w:rPr>
              <w:t>7</w:t>
            </w:r>
          </w:p>
        </w:tc>
        <w:tc>
          <w:tcPr>
            <w:tcW w:w="3264" w:type="dxa"/>
            <w:shd w:val="clear" w:color="auto" w:fill="auto"/>
          </w:tcPr>
          <w:p w14:paraId="68CFDC6F" w14:textId="77777777" w:rsidR="00DD13BF" w:rsidRPr="00237B05" w:rsidRDefault="00DD13BF" w:rsidP="00355A56">
            <w:pPr>
              <w:pStyle w:val="TableParagraph"/>
              <w:rPr>
                <w:rFonts w:cstheme="minorHAnsi"/>
                <w:sz w:val="20"/>
              </w:rPr>
            </w:pPr>
            <w:r>
              <w:rPr>
                <w:sz w:val="20"/>
              </w:rPr>
              <w:t>Number of enterprises involved in interventions referred to in the risk assessment</w:t>
            </w:r>
          </w:p>
        </w:tc>
        <w:tc>
          <w:tcPr>
            <w:tcW w:w="707" w:type="dxa"/>
            <w:shd w:val="clear" w:color="auto" w:fill="auto"/>
          </w:tcPr>
          <w:p w14:paraId="09488CF5" w14:textId="77777777" w:rsidR="00DD13BF" w:rsidRPr="00237B05" w:rsidRDefault="00DD13BF" w:rsidP="00355A56">
            <w:pPr>
              <w:pStyle w:val="TableParagraph"/>
              <w:rPr>
                <w:sz w:val="20"/>
              </w:rPr>
            </w:pPr>
            <w:r>
              <w:rPr>
                <w:sz w:val="20"/>
              </w:rPr>
              <w:t>Number</w:t>
            </w:r>
          </w:p>
        </w:tc>
        <w:tc>
          <w:tcPr>
            <w:tcW w:w="1133" w:type="dxa"/>
            <w:shd w:val="clear" w:color="auto" w:fill="auto"/>
          </w:tcPr>
          <w:p w14:paraId="3F54456E" w14:textId="77777777" w:rsidR="00DD13BF" w:rsidRPr="00602F8F" w:rsidRDefault="00DD13BF" w:rsidP="00355A56">
            <w:pPr>
              <w:pStyle w:val="TableParagraph"/>
              <w:rPr>
                <w:sz w:val="20"/>
              </w:rPr>
            </w:pPr>
            <w:r>
              <w:rPr>
                <w:sz w:val="20"/>
              </w:rPr>
              <w:t>0</w:t>
            </w:r>
          </w:p>
        </w:tc>
        <w:tc>
          <w:tcPr>
            <w:tcW w:w="992" w:type="dxa"/>
            <w:shd w:val="clear" w:color="auto" w:fill="auto"/>
          </w:tcPr>
          <w:p w14:paraId="1EF8702B" w14:textId="77777777" w:rsidR="00DD13BF" w:rsidRPr="00237B05" w:rsidRDefault="00DD13BF" w:rsidP="00355A56">
            <w:pPr>
              <w:pStyle w:val="TableParagraph"/>
              <w:rPr>
                <w:sz w:val="20"/>
              </w:rPr>
            </w:pPr>
            <w:r>
              <w:rPr>
                <w:sz w:val="20"/>
              </w:rPr>
              <w:t>2020</w:t>
            </w:r>
          </w:p>
        </w:tc>
        <w:tc>
          <w:tcPr>
            <w:tcW w:w="707" w:type="dxa"/>
            <w:shd w:val="clear" w:color="auto" w:fill="auto"/>
          </w:tcPr>
          <w:p w14:paraId="3BF3E7FB" w14:textId="77777777" w:rsidR="00DD13BF" w:rsidRPr="00347461" w:rsidRDefault="00DD13BF" w:rsidP="00355A56">
            <w:pPr>
              <w:pStyle w:val="TableParagraph"/>
              <w:rPr>
                <w:sz w:val="20"/>
              </w:rPr>
            </w:pPr>
            <w:r>
              <w:rPr>
                <w:sz w:val="20"/>
              </w:rPr>
              <w:t>153</w:t>
            </w:r>
          </w:p>
        </w:tc>
        <w:tc>
          <w:tcPr>
            <w:tcW w:w="997" w:type="dxa"/>
            <w:shd w:val="clear" w:color="auto" w:fill="auto"/>
          </w:tcPr>
          <w:p w14:paraId="1717512B" w14:textId="77777777" w:rsidR="00DD13BF" w:rsidRPr="00347461" w:rsidRDefault="00DD13BF" w:rsidP="00355A56">
            <w:pPr>
              <w:pStyle w:val="TableParagraph"/>
              <w:rPr>
                <w:sz w:val="20"/>
              </w:rPr>
            </w:pPr>
            <w:r>
              <w:rPr>
                <w:sz w:val="20"/>
              </w:rPr>
              <w:t>Beneficiary and eMA2</w:t>
            </w:r>
          </w:p>
        </w:tc>
        <w:tc>
          <w:tcPr>
            <w:tcW w:w="849" w:type="dxa"/>
            <w:shd w:val="clear" w:color="auto" w:fill="auto"/>
          </w:tcPr>
          <w:p w14:paraId="74918EF2" w14:textId="77777777" w:rsidR="00DD13BF" w:rsidRPr="00347461" w:rsidRDefault="00DD13BF" w:rsidP="00355A56">
            <w:pPr>
              <w:pStyle w:val="TableParagraph"/>
              <w:rPr>
                <w:sz w:val="20"/>
              </w:rPr>
            </w:pPr>
          </w:p>
        </w:tc>
      </w:tr>
      <w:tr w:rsidR="00DD13BF" w14:paraId="2F1F7FD4" w14:textId="77777777" w:rsidTr="00355A56">
        <w:trPr>
          <w:trHeight w:val="353"/>
        </w:trPr>
        <w:tc>
          <w:tcPr>
            <w:tcW w:w="992" w:type="dxa"/>
            <w:shd w:val="clear" w:color="auto" w:fill="auto"/>
          </w:tcPr>
          <w:p w14:paraId="3B165818" w14:textId="77777777" w:rsidR="00DD13BF" w:rsidRPr="00237B05" w:rsidRDefault="00DD13BF" w:rsidP="00355A56">
            <w:pPr>
              <w:pStyle w:val="TableParagraph"/>
              <w:rPr>
                <w:sz w:val="20"/>
              </w:rPr>
            </w:pPr>
            <w:r>
              <w:rPr>
                <w:sz w:val="20"/>
              </w:rPr>
              <w:t>6</w:t>
            </w:r>
          </w:p>
        </w:tc>
        <w:tc>
          <w:tcPr>
            <w:tcW w:w="992" w:type="dxa"/>
            <w:shd w:val="clear" w:color="auto" w:fill="auto"/>
          </w:tcPr>
          <w:p w14:paraId="633E7592" w14:textId="77777777" w:rsidR="00DD13BF" w:rsidRPr="00237B05" w:rsidRDefault="00DD13BF" w:rsidP="00355A56">
            <w:pPr>
              <w:pStyle w:val="TableParagraph"/>
              <w:rPr>
                <w:sz w:val="20"/>
              </w:rPr>
            </w:pPr>
            <w:r>
              <w:rPr>
                <w:color w:val="000000"/>
                <w:sz w:val="20"/>
              </w:rPr>
              <w:t>ESO4.4</w:t>
            </w:r>
          </w:p>
        </w:tc>
        <w:tc>
          <w:tcPr>
            <w:tcW w:w="695" w:type="dxa"/>
            <w:shd w:val="clear" w:color="auto" w:fill="auto"/>
          </w:tcPr>
          <w:p w14:paraId="6E314E9C" w14:textId="77777777" w:rsidR="00DD13BF" w:rsidRPr="00237B05" w:rsidRDefault="00DD13BF" w:rsidP="00355A56">
            <w:pPr>
              <w:pStyle w:val="TableParagraph"/>
              <w:rPr>
                <w:sz w:val="20"/>
              </w:rPr>
            </w:pPr>
            <w:r>
              <w:rPr>
                <w:sz w:val="20"/>
              </w:rPr>
              <w:t>ESF+</w:t>
            </w:r>
          </w:p>
        </w:tc>
        <w:tc>
          <w:tcPr>
            <w:tcW w:w="1570" w:type="dxa"/>
            <w:shd w:val="clear" w:color="auto" w:fill="auto"/>
          </w:tcPr>
          <w:p w14:paraId="74A19813" w14:textId="77777777" w:rsidR="00DD13BF" w:rsidRPr="00237B05" w:rsidRDefault="00DD13BF" w:rsidP="00355A56">
            <w:pPr>
              <w:pStyle w:val="TableParagraph"/>
              <w:rPr>
                <w:sz w:val="20"/>
              </w:rPr>
            </w:pPr>
            <w:r>
              <w:rPr>
                <w:sz w:val="20"/>
              </w:rPr>
              <w:t>More developed</w:t>
            </w:r>
          </w:p>
        </w:tc>
        <w:tc>
          <w:tcPr>
            <w:tcW w:w="708" w:type="dxa"/>
            <w:shd w:val="clear" w:color="auto" w:fill="auto"/>
          </w:tcPr>
          <w:p w14:paraId="76541632" w14:textId="77777777" w:rsidR="00DD13BF" w:rsidRPr="00237B05" w:rsidRDefault="00DD13BF" w:rsidP="00355A56">
            <w:pPr>
              <w:pStyle w:val="TableParagraph"/>
              <w:rPr>
                <w:sz w:val="20"/>
              </w:rPr>
            </w:pPr>
            <w:r>
              <w:rPr>
                <w:sz w:val="20"/>
              </w:rPr>
              <w:t>7</w:t>
            </w:r>
          </w:p>
        </w:tc>
        <w:tc>
          <w:tcPr>
            <w:tcW w:w="3264" w:type="dxa"/>
            <w:shd w:val="clear" w:color="auto" w:fill="auto"/>
          </w:tcPr>
          <w:p w14:paraId="12E481C4" w14:textId="77777777" w:rsidR="00DD13BF" w:rsidRPr="00232046" w:rsidRDefault="00DD13BF" w:rsidP="00355A56">
            <w:pPr>
              <w:pStyle w:val="TableParagraph"/>
              <w:rPr>
                <w:rFonts w:cs="Calibri"/>
                <w:sz w:val="18"/>
                <w:szCs w:val="18"/>
              </w:rPr>
            </w:pPr>
            <w:r>
              <w:rPr>
                <w:sz w:val="20"/>
              </w:rPr>
              <w:t>Number of enterprises involved in interventions referred to in the risk assessment</w:t>
            </w:r>
          </w:p>
        </w:tc>
        <w:tc>
          <w:tcPr>
            <w:tcW w:w="707" w:type="dxa"/>
            <w:shd w:val="clear" w:color="auto" w:fill="auto"/>
          </w:tcPr>
          <w:p w14:paraId="6352EA95" w14:textId="77777777" w:rsidR="00DD13BF" w:rsidRPr="00237B05" w:rsidRDefault="00DD13BF" w:rsidP="00355A56">
            <w:pPr>
              <w:pStyle w:val="TableParagraph"/>
              <w:rPr>
                <w:sz w:val="20"/>
              </w:rPr>
            </w:pPr>
            <w:r>
              <w:rPr>
                <w:sz w:val="20"/>
              </w:rPr>
              <w:t>Number</w:t>
            </w:r>
          </w:p>
        </w:tc>
        <w:tc>
          <w:tcPr>
            <w:tcW w:w="1133" w:type="dxa"/>
            <w:shd w:val="clear" w:color="auto" w:fill="auto"/>
          </w:tcPr>
          <w:p w14:paraId="7EFE40AC" w14:textId="77777777" w:rsidR="00DD13BF" w:rsidRPr="00602F8F" w:rsidRDefault="00DD13BF" w:rsidP="00355A56">
            <w:pPr>
              <w:pStyle w:val="TableParagraph"/>
              <w:rPr>
                <w:sz w:val="20"/>
              </w:rPr>
            </w:pPr>
            <w:r>
              <w:rPr>
                <w:sz w:val="20"/>
              </w:rPr>
              <w:t>0</w:t>
            </w:r>
          </w:p>
        </w:tc>
        <w:tc>
          <w:tcPr>
            <w:tcW w:w="992" w:type="dxa"/>
            <w:shd w:val="clear" w:color="auto" w:fill="auto"/>
          </w:tcPr>
          <w:p w14:paraId="7B0411EC" w14:textId="77777777" w:rsidR="00DD13BF" w:rsidRPr="00237B05" w:rsidRDefault="00DD13BF" w:rsidP="00355A56">
            <w:pPr>
              <w:pStyle w:val="TableParagraph"/>
              <w:rPr>
                <w:sz w:val="20"/>
              </w:rPr>
            </w:pPr>
            <w:r>
              <w:rPr>
                <w:sz w:val="20"/>
              </w:rPr>
              <w:t>2020</w:t>
            </w:r>
          </w:p>
        </w:tc>
        <w:tc>
          <w:tcPr>
            <w:tcW w:w="707" w:type="dxa"/>
            <w:shd w:val="clear" w:color="auto" w:fill="auto"/>
          </w:tcPr>
          <w:p w14:paraId="66308C49" w14:textId="77777777" w:rsidR="00DD13BF" w:rsidRPr="00237B05" w:rsidDel="00E750AE" w:rsidRDefault="00DD13BF" w:rsidP="00355A56">
            <w:pPr>
              <w:pStyle w:val="TableParagraph"/>
              <w:rPr>
                <w:sz w:val="20"/>
              </w:rPr>
            </w:pPr>
            <w:r>
              <w:rPr>
                <w:sz w:val="20"/>
              </w:rPr>
              <w:t>147</w:t>
            </w:r>
          </w:p>
        </w:tc>
        <w:tc>
          <w:tcPr>
            <w:tcW w:w="997" w:type="dxa"/>
            <w:shd w:val="clear" w:color="auto" w:fill="auto"/>
          </w:tcPr>
          <w:p w14:paraId="6F82A89B" w14:textId="77777777" w:rsidR="00DD13BF" w:rsidRPr="00347461" w:rsidRDefault="00DD13BF" w:rsidP="00355A56">
            <w:pPr>
              <w:pStyle w:val="TableParagraph"/>
              <w:rPr>
                <w:sz w:val="20"/>
              </w:rPr>
            </w:pPr>
            <w:r>
              <w:rPr>
                <w:sz w:val="20"/>
              </w:rPr>
              <w:t>Beneficiary and eMA2</w:t>
            </w:r>
          </w:p>
        </w:tc>
        <w:tc>
          <w:tcPr>
            <w:tcW w:w="849" w:type="dxa"/>
            <w:shd w:val="clear" w:color="auto" w:fill="auto"/>
          </w:tcPr>
          <w:p w14:paraId="028B2538" w14:textId="77777777" w:rsidR="00DD13BF" w:rsidRPr="00347461" w:rsidRDefault="00DD13BF" w:rsidP="00355A56">
            <w:pPr>
              <w:pStyle w:val="TableParagraph"/>
              <w:rPr>
                <w:sz w:val="20"/>
              </w:rPr>
            </w:pPr>
          </w:p>
        </w:tc>
      </w:tr>
    </w:tbl>
    <w:p w14:paraId="6677C17B" w14:textId="77777777" w:rsidR="00DD13BF" w:rsidRPr="00F81084" w:rsidRDefault="00DD13BF" w:rsidP="00DD13BF">
      <w:pPr>
        <w:pStyle w:val="Telobesedila"/>
      </w:pPr>
    </w:p>
    <w:p w14:paraId="1B4677E2" w14:textId="77777777" w:rsidR="00DD13BF" w:rsidRPr="00F81084" w:rsidRDefault="00DD13BF" w:rsidP="00DD13BF">
      <w:pPr>
        <w:pStyle w:val="Telobesedila"/>
      </w:pPr>
    </w:p>
    <w:p w14:paraId="7971D7AA" w14:textId="77777777" w:rsidR="00DD13BF" w:rsidRDefault="00DD13BF" w:rsidP="00DD13BF">
      <w:pPr>
        <w:pStyle w:val="Naslov5"/>
        <w:numPr>
          <w:ilvl w:val="4"/>
          <w:numId w:val="16"/>
        </w:numPr>
        <w:spacing w:before="0"/>
      </w:pPr>
      <w:r>
        <w:t>Indicative breakdown of the programme resources (EU) by type of intervention</w:t>
      </w:r>
    </w:p>
    <w:p w14:paraId="1F6B884D" w14:textId="77777777" w:rsidR="00DD13BF" w:rsidRDefault="00DD13BF" w:rsidP="00DD13BF">
      <w:pPr>
        <w:ind w:left="640"/>
        <w:rPr>
          <w:spacing w:val="-5"/>
        </w:rPr>
      </w:pPr>
    </w:p>
    <w:p w14:paraId="7B58A90B" w14:textId="77777777" w:rsidR="00DD13BF" w:rsidRPr="00673ADB" w:rsidRDefault="00DD13BF" w:rsidP="00DD13BF">
      <w:pPr>
        <w:ind w:left="339"/>
        <w:rPr>
          <w:spacing w:val="-7"/>
        </w:rPr>
      </w:pPr>
      <w:r>
        <w:t>Table 4: Dimension 1 – intervention field</w:t>
      </w:r>
    </w:p>
    <w:p w14:paraId="1359F83F"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3351F17" w14:textId="77777777" w:rsidTr="00355A56">
        <w:trPr>
          <w:trHeight w:val="353"/>
        </w:trPr>
        <w:tc>
          <w:tcPr>
            <w:tcW w:w="2088" w:type="dxa"/>
          </w:tcPr>
          <w:p w14:paraId="7D953611" w14:textId="77777777" w:rsidR="00DD13BF" w:rsidRDefault="00DD13BF" w:rsidP="00355A56">
            <w:pPr>
              <w:pStyle w:val="TableParagraph"/>
              <w:ind w:left="115"/>
            </w:pPr>
            <w:r>
              <w:t>Priority no.</w:t>
            </w:r>
          </w:p>
        </w:tc>
        <w:tc>
          <w:tcPr>
            <w:tcW w:w="1133" w:type="dxa"/>
          </w:tcPr>
          <w:p w14:paraId="60481852" w14:textId="77777777" w:rsidR="00DD13BF" w:rsidRDefault="00DD13BF" w:rsidP="00355A56">
            <w:pPr>
              <w:pStyle w:val="TableParagraph"/>
              <w:ind w:left="320"/>
            </w:pPr>
            <w:r>
              <w:t>Fund</w:t>
            </w:r>
          </w:p>
        </w:tc>
        <w:tc>
          <w:tcPr>
            <w:tcW w:w="3249" w:type="dxa"/>
          </w:tcPr>
          <w:p w14:paraId="48D9DC3A" w14:textId="77777777" w:rsidR="00DD13BF" w:rsidRDefault="00DD13BF" w:rsidP="00355A56">
            <w:pPr>
              <w:pStyle w:val="TableParagraph"/>
              <w:ind w:left="907"/>
            </w:pPr>
            <w:r>
              <w:t>Category of region</w:t>
            </w:r>
          </w:p>
        </w:tc>
        <w:tc>
          <w:tcPr>
            <w:tcW w:w="3099" w:type="dxa"/>
          </w:tcPr>
          <w:p w14:paraId="68E28020" w14:textId="77777777" w:rsidR="00DD13BF" w:rsidRDefault="00DD13BF" w:rsidP="00355A56">
            <w:pPr>
              <w:pStyle w:val="TableParagraph"/>
              <w:ind w:left="948"/>
            </w:pPr>
            <w:r>
              <w:t>Specific objective</w:t>
            </w:r>
          </w:p>
        </w:tc>
        <w:tc>
          <w:tcPr>
            <w:tcW w:w="1161" w:type="dxa"/>
          </w:tcPr>
          <w:p w14:paraId="545A2A69" w14:textId="77777777" w:rsidR="00DD13BF" w:rsidRDefault="00DD13BF" w:rsidP="00355A56">
            <w:pPr>
              <w:pStyle w:val="TableParagraph"/>
              <w:ind w:left="333"/>
            </w:pPr>
            <w:r>
              <w:t>Code</w:t>
            </w:r>
          </w:p>
        </w:tc>
        <w:tc>
          <w:tcPr>
            <w:tcW w:w="2731" w:type="dxa"/>
          </w:tcPr>
          <w:p w14:paraId="2219CF5E" w14:textId="77777777" w:rsidR="00DD13BF" w:rsidRDefault="00DD13BF" w:rsidP="00355A56">
            <w:pPr>
              <w:pStyle w:val="TableParagraph"/>
              <w:ind w:left="660"/>
            </w:pPr>
            <w:r>
              <w:t>Amount (in EUR)</w:t>
            </w:r>
          </w:p>
        </w:tc>
      </w:tr>
      <w:tr w:rsidR="00DD13BF" w14:paraId="59223B58" w14:textId="77777777" w:rsidTr="00355A56">
        <w:trPr>
          <w:trHeight w:val="353"/>
        </w:trPr>
        <w:tc>
          <w:tcPr>
            <w:tcW w:w="2088" w:type="dxa"/>
          </w:tcPr>
          <w:p w14:paraId="37F69C4F" w14:textId="77777777" w:rsidR="00DD13BF" w:rsidRDefault="00DD13BF" w:rsidP="00355A56">
            <w:pPr>
              <w:pStyle w:val="TableParagraph"/>
              <w:rPr>
                <w:sz w:val="20"/>
              </w:rPr>
            </w:pPr>
            <w:r>
              <w:rPr>
                <w:sz w:val="20"/>
              </w:rPr>
              <w:t>6</w:t>
            </w:r>
          </w:p>
        </w:tc>
        <w:tc>
          <w:tcPr>
            <w:tcW w:w="1133" w:type="dxa"/>
          </w:tcPr>
          <w:p w14:paraId="0AD74C35" w14:textId="77777777" w:rsidR="00DD13BF" w:rsidRDefault="00DD13BF" w:rsidP="00355A56">
            <w:pPr>
              <w:pStyle w:val="TableParagraph"/>
              <w:rPr>
                <w:sz w:val="20"/>
              </w:rPr>
            </w:pPr>
            <w:r>
              <w:rPr>
                <w:sz w:val="20"/>
              </w:rPr>
              <w:t>ESF+</w:t>
            </w:r>
          </w:p>
        </w:tc>
        <w:tc>
          <w:tcPr>
            <w:tcW w:w="3249" w:type="dxa"/>
          </w:tcPr>
          <w:p w14:paraId="00934800" w14:textId="77777777" w:rsidR="00DD13BF" w:rsidRDefault="00DD13BF" w:rsidP="00355A56">
            <w:pPr>
              <w:pStyle w:val="TableParagraph"/>
              <w:rPr>
                <w:sz w:val="20"/>
              </w:rPr>
            </w:pPr>
            <w:r>
              <w:rPr>
                <w:sz w:val="20"/>
              </w:rPr>
              <w:t>Less developed</w:t>
            </w:r>
          </w:p>
        </w:tc>
        <w:tc>
          <w:tcPr>
            <w:tcW w:w="3099" w:type="dxa"/>
          </w:tcPr>
          <w:p w14:paraId="2D3DEB10" w14:textId="77777777" w:rsidR="00DD13BF" w:rsidRDefault="00DD13BF" w:rsidP="00355A56">
            <w:pPr>
              <w:pStyle w:val="TableParagraph"/>
              <w:rPr>
                <w:sz w:val="20"/>
              </w:rPr>
            </w:pPr>
            <w:r>
              <w:rPr>
                <w:color w:val="000000"/>
                <w:sz w:val="20"/>
              </w:rPr>
              <w:t>ESO4.4</w:t>
            </w:r>
          </w:p>
        </w:tc>
        <w:tc>
          <w:tcPr>
            <w:tcW w:w="1161" w:type="dxa"/>
          </w:tcPr>
          <w:p w14:paraId="3B6F8E18" w14:textId="77777777" w:rsidR="00DD13BF" w:rsidRDefault="00DD13BF" w:rsidP="00355A56">
            <w:pPr>
              <w:pStyle w:val="TableParagraph"/>
              <w:rPr>
                <w:sz w:val="20"/>
              </w:rPr>
            </w:pPr>
            <w:r>
              <w:rPr>
                <w:sz w:val="20"/>
              </w:rPr>
              <w:t>144</w:t>
            </w:r>
          </w:p>
        </w:tc>
        <w:tc>
          <w:tcPr>
            <w:tcW w:w="2731" w:type="dxa"/>
          </w:tcPr>
          <w:p w14:paraId="41AB066C" w14:textId="77777777" w:rsidR="00DD13BF" w:rsidRDefault="00DD13BF" w:rsidP="00355A56">
            <w:pPr>
              <w:pStyle w:val="TableParagraph"/>
              <w:rPr>
                <w:sz w:val="20"/>
              </w:rPr>
            </w:pPr>
            <w:r>
              <w:rPr>
                <w:sz w:val="20"/>
              </w:rPr>
              <w:t>1,950,000</w:t>
            </w:r>
          </w:p>
        </w:tc>
      </w:tr>
      <w:tr w:rsidR="00DD13BF" w14:paraId="03BB0F96" w14:textId="77777777" w:rsidTr="00355A56">
        <w:trPr>
          <w:trHeight w:val="353"/>
        </w:trPr>
        <w:tc>
          <w:tcPr>
            <w:tcW w:w="2088" w:type="dxa"/>
          </w:tcPr>
          <w:p w14:paraId="114B7E35" w14:textId="77777777" w:rsidR="00DD13BF" w:rsidRDefault="00DD13BF" w:rsidP="00355A56">
            <w:pPr>
              <w:pStyle w:val="TableParagraph"/>
              <w:rPr>
                <w:sz w:val="20"/>
              </w:rPr>
            </w:pPr>
            <w:r>
              <w:rPr>
                <w:sz w:val="20"/>
              </w:rPr>
              <w:t>6</w:t>
            </w:r>
          </w:p>
        </w:tc>
        <w:tc>
          <w:tcPr>
            <w:tcW w:w="1133" w:type="dxa"/>
          </w:tcPr>
          <w:p w14:paraId="18356590" w14:textId="77777777" w:rsidR="00DD13BF" w:rsidRDefault="00DD13BF" w:rsidP="00355A56">
            <w:pPr>
              <w:pStyle w:val="TableParagraph"/>
              <w:rPr>
                <w:sz w:val="20"/>
              </w:rPr>
            </w:pPr>
            <w:r>
              <w:rPr>
                <w:sz w:val="20"/>
              </w:rPr>
              <w:t>ESF+</w:t>
            </w:r>
          </w:p>
        </w:tc>
        <w:tc>
          <w:tcPr>
            <w:tcW w:w="3249" w:type="dxa"/>
          </w:tcPr>
          <w:p w14:paraId="53860287" w14:textId="77777777" w:rsidR="00DD13BF" w:rsidRDefault="00DD13BF" w:rsidP="00355A56">
            <w:pPr>
              <w:pStyle w:val="TableParagraph"/>
              <w:rPr>
                <w:sz w:val="20"/>
              </w:rPr>
            </w:pPr>
            <w:r>
              <w:rPr>
                <w:sz w:val="20"/>
              </w:rPr>
              <w:t>More developed</w:t>
            </w:r>
          </w:p>
        </w:tc>
        <w:tc>
          <w:tcPr>
            <w:tcW w:w="3099" w:type="dxa"/>
          </w:tcPr>
          <w:p w14:paraId="571BDE3E" w14:textId="77777777" w:rsidR="00DD13BF" w:rsidRDefault="00DD13BF" w:rsidP="00355A56">
            <w:pPr>
              <w:pStyle w:val="TableParagraph"/>
              <w:rPr>
                <w:sz w:val="20"/>
              </w:rPr>
            </w:pPr>
            <w:r>
              <w:rPr>
                <w:color w:val="000000"/>
                <w:sz w:val="20"/>
              </w:rPr>
              <w:t>ESO4.4</w:t>
            </w:r>
          </w:p>
        </w:tc>
        <w:tc>
          <w:tcPr>
            <w:tcW w:w="1161" w:type="dxa"/>
          </w:tcPr>
          <w:p w14:paraId="6329CB43" w14:textId="77777777" w:rsidR="00DD13BF" w:rsidRDefault="00DD13BF" w:rsidP="00355A56">
            <w:pPr>
              <w:pStyle w:val="TableParagraph"/>
              <w:rPr>
                <w:sz w:val="20"/>
              </w:rPr>
            </w:pPr>
            <w:r>
              <w:rPr>
                <w:sz w:val="20"/>
              </w:rPr>
              <w:t>144</w:t>
            </w:r>
          </w:p>
        </w:tc>
        <w:tc>
          <w:tcPr>
            <w:tcW w:w="2731" w:type="dxa"/>
          </w:tcPr>
          <w:p w14:paraId="5567A1E7" w14:textId="77777777" w:rsidR="00DD13BF" w:rsidRDefault="00DD13BF" w:rsidP="00355A56">
            <w:pPr>
              <w:pStyle w:val="TableParagraph"/>
              <w:rPr>
                <w:sz w:val="20"/>
              </w:rPr>
            </w:pPr>
            <w:r>
              <w:rPr>
                <w:sz w:val="20"/>
              </w:rPr>
              <w:t>250,000</w:t>
            </w:r>
          </w:p>
        </w:tc>
      </w:tr>
      <w:tr w:rsidR="00DD13BF" w14:paraId="44B9F1DE" w14:textId="77777777" w:rsidTr="00355A56">
        <w:trPr>
          <w:trHeight w:val="353"/>
        </w:trPr>
        <w:tc>
          <w:tcPr>
            <w:tcW w:w="2088" w:type="dxa"/>
          </w:tcPr>
          <w:p w14:paraId="3A5199DA" w14:textId="77777777" w:rsidR="00DD13BF" w:rsidRDefault="00DD13BF" w:rsidP="00355A56">
            <w:pPr>
              <w:pStyle w:val="TableParagraph"/>
              <w:rPr>
                <w:sz w:val="20"/>
              </w:rPr>
            </w:pPr>
            <w:r>
              <w:rPr>
                <w:sz w:val="20"/>
              </w:rPr>
              <w:t>6</w:t>
            </w:r>
          </w:p>
        </w:tc>
        <w:tc>
          <w:tcPr>
            <w:tcW w:w="1133" w:type="dxa"/>
          </w:tcPr>
          <w:p w14:paraId="6788080D" w14:textId="77777777" w:rsidR="00DD13BF" w:rsidRDefault="00DD13BF" w:rsidP="00355A56">
            <w:pPr>
              <w:pStyle w:val="TableParagraph"/>
              <w:rPr>
                <w:sz w:val="20"/>
              </w:rPr>
            </w:pPr>
            <w:r>
              <w:rPr>
                <w:sz w:val="20"/>
              </w:rPr>
              <w:t>ESF+</w:t>
            </w:r>
          </w:p>
        </w:tc>
        <w:tc>
          <w:tcPr>
            <w:tcW w:w="3249" w:type="dxa"/>
          </w:tcPr>
          <w:p w14:paraId="68A9BBFA" w14:textId="77777777" w:rsidR="00DD13BF" w:rsidRDefault="00DD13BF" w:rsidP="00355A56">
            <w:pPr>
              <w:pStyle w:val="TableParagraph"/>
              <w:rPr>
                <w:sz w:val="20"/>
              </w:rPr>
            </w:pPr>
            <w:r>
              <w:rPr>
                <w:sz w:val="20"/>
              </w:rPr>
              <w:t>Less developed</w:t>
            </w:r>
          </w:p>
        </w:tc>
        <w:tc>
          <w:tcPr>
            <w:tcW w:w="3099" w:type="dxa"/>
          </w:tcPr>
          <w:p w14:paraId="529D5D2E" w14:textId="77777777" w:rsidR="00DD13BF" w:rsidRDefault="00DD13BF" w:rsidP="00355A56">
            <w:pPr>
              <w:pStyle w:val="TableParagraph"/>
              <w:rPr>
                <w:sz w:val="20"/>
              </w:rPr>
            </w:pPr>
            <w:r>
              <w:rPr>
                <w:color w:val="000000"/>
                <w:sz w:val="20"/>
              </w:rPr>
              <w:t>ESO4.4</w:t>
            </w:r>
          </w:p>
        </w:tc>
        <w:tc>
          <w:tcPr>
            <w:tcW w:w="1161" w:type="dxa"/>
          </w:tcPr>
          <w:p w14:paraId="7A0C951C" w14:textId="77777777" w:rsidR="00DD13BF" w:rsidRDefault="00DD13BF" w:rsidP="00355A56">
            <w:pPr>
              <w:pStyle w:val="TableParagraph"/>
              <w:rPr>
                <w:sz w:val="20"/>
              </w:rPr>
            </w:pPr>
            <w:r>
              <w:rPr>
                <w:sz w:val="20"/>
              </w:rPr>
              <w:t>147</w:t>
            </w:r>
          </w:p>
        </w:tc>
        <w:tc>
          <w:tcPr>
            <w:tcW w:w="2731" w:type="dxa"/>
          </w:tcPr>
          <w:p w14:paraId="4FC1467C" w14:textId="77777777" w:rsidR="00DD13BF" w:rsidRDefault="00DD13BF" w:rsidP="00355A56">
            <w:pPr>
              <w:pStyle w:val="TableParagraph"/>
              <w:rPr>
                <w:sz w:val="20"/>
              </w:rPr>
            </w:pPr>
            <w:r>
              <w:rPr>
                <w:sz w:val="20"/>
              </w:rPr>
              <w:t>21,742,000</w:t>
            </w:r>
          </w:p>
        </w:tc>
      </w:tr>
      <w:tr w:rsidR="00DD13BF" w14:paraId="3DFE7B92" w14:textId="77777777" w:rsidTr="00355A56">
        <w:trPr>
          <w:trHeight w:val="353"/>
        </w:trPr>
        <w:tc>
          <w:tcPr>
            <w:tcW w:w="2088" w:type="dxa"/>
          </w:tcPr>
          <w:p w14:paraId="2C809DED" w14:textId="77777777" w:rsidR="00DD13BF" w:rsidRDefault="00DD13BF" w:rsidP="00355A56">
            <w:pPr>
              <w:pStyle w:val="TableParagraph"/>
              <w:rPr>
                <w:sz w:val="20"/>
              </w:rPr>
            </w:pPr>
            <w:r>
              <w:rPr>
                <w:sz w:val="20"/>
              </w:rPr>
              <w:t>6</w:t>
            </w:r>
          </w:p>
        </w:tc>
        <w:tc>
          <w:tcPr>
            <w:tcW w:w="1133" w:type="dxa"/>
          </w:tcPr>
          <w:p w14:paraId="5D37637D" w14:textId="77777777" w:rsidR="00DD13BF" w:rsidRDefault="00DD13BF" w:rsidP="00355A56">
            <w:pPr>
              <w:pStyle w:val="TableParagraph"/>
              <w:rPr>
                <w:sz w:val="20"/>
              </w:rPr>
            </w:pPr>
            <w:r>
              <w:rPr>
                <w:sz w:val="20"/>
              </w:rPr>
              <w:t>ESF+</w:t>
            </w:r>
          </w:p>
        </w:tc>
        <w:tc>
          <w:tcPr>
            <w:tcW w:w="3249" w:type="dxa"/>
          </w:tcPr>
          <w:p w14:paraId="30F09CCF" w14:textId="77777777" w:rsidR="00DD13BF" w:rsidDel="00C01DD5" w:rsidRDefault="00DD13BF" w:rsidP="00355A56">
            <w:pPr>
              <w:pStyle w:val="TableParagraph"/>
              <w:rPr>
                <w:sz w:val="20"/>
              </w:rPr>
            </w:pPr>
            <w:r>
              <w:rPr>
                <w:sz w:val="20"/>
              </w:rPr>
              <w:t>More developed</w:t>
            </w:r>
          </w:p>
        </w:tc>
        <w:tc>
          <w:tcPr>
            <w:tcW w:w="3099" w:type="dxa"/>
          </w:tcPr>
          <w:p w14:paraId="19BC8858" w14:textId="77777777" w:rsidR="00DD13BF" w:rsidRDefault="00DD13BF" w:rsidP="00355A56">
            <w:pPr>
              <w:pStyle w:val="TableParagraph"/>
              <w:rPr>
                <w:sz w:val="20"/>
              </w:rPr>
            </w:pPr>
            <w:r>
              <w:rPr>
                <w:color w:val="000000"/>
                <w:sz w:val="20"/>
              </w:rPr>
              <w:t>ESO4.4</w:t>
            </w:r>
          </w:p>
        </w:tc>
        <w:tc>
          <w:tcPr>
            <w:tcW w:w="1161" w:type="dxa"/>
          </w:tcPr>
          <w:p w14:paraId="70C754F5" w14:textId="77777777" w:rsidR="00DD13BF" w:rsidRDefault="00DD13BF" w:rsidP="00355A56">
            <w:pPr>
              <w:pStyle w:val="TableParagraph"/>
              <w:rPr>
                <w:sz w:val="20"/>
              </w:rPr>
            </w:pPr>
            <w:r>
              <w:rPr>
                <w:sz w:val="20"/>
              </w:rPr>
              <w:t>147</w:t>
            </w:r>
          </w:p>
        </w:tc>
        <w:tc>
          <w:tcPr>
            <w:tcW w:w="2731" w:type="dxa"/>
          </w:tcPr>
          <w:p w14:paraId="2A1335AA" w14:textId="77777777" w:rsidR="00DD13BF" w:rsidRDefault="00DD13BF" w:rsidP="00355A56">
            <w:pPr>
              <w:pStyle w:val="TableParagraph"/>
              <w:rPr>
                <w:sz w:val="20"/>
              </w:rPr>
            </w:pPr>
            <w:r>
              <w:rPr>
                <w:sz w:val="20"/>
              </w:rPr>
              <w:t>7,300,000</w:t>
            </w:r>
          </w:p>
        </w:tc>
      </w:tr>
    </w:tbl>
    <w:p w14:paraId="66D76E72" w14:textId="77777777" w:rsidR="00DD13BF" w:rsidRDefault="00DD13BF" w:rsidP="00DD13BF"/>
    <w:p w14:paraId="71B50685" w14:textId="77777777" w:rsidR="00DD13BF" w:rsidRPr="00673ADB" w:rsidRDefault="00DD13BF" w:rsidP="00DD13BF">
      <w:pPr>
        <w:ind w:left="339"/>
        <w:rPr>
          <w:spacing w:val="-7"/>
        </w:rPr>
      </w:pPr>
      <w:r>
        <w:t>Table 5: Dimension 2 – form of financing</w:t>
      </w:r>
    </w:p>
    <w:p w14:paraId="48C806DD"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C1ED8D9" w14:textId="77777777" w:rsidTr="00355A56">
        <w:trPr>
          <w:trHeight w:val="353"/>
        </w:trPr>
        <w:tc>
          <w:tcPr>
            <w:tcW w:w="2088" w:type="dxa"/>
          </w:tcPr>
          <w:p w14:paraId="3CBC3184" w14:textId="77777777" w:rsidR="00DD13BF" w:rsidRDefault="00DD13BF" w:rsidP="00355A56">
            <w:pPr>
              <w:pStyle w:val="TableParagraph"/>
              <w:ind w:left="115"/>
            </w:pPr>
            <w:r>
              <w:lastRenderedPageBreak/>
              <w:t>Priority no.</w:t>
            </w:r>
          </w:p>
        </w:tc>
        <w:tc>
          <w:tcPr>
            <w:tcW w:w="1133" w:type="dxa"/>
          </w:tcPr>
          <w:p w14:paraId="1AC457A4" w14:textId="77777777" w:rsidR="00DD13BF" w:rsidRDefault="00DD13BF" w:rsidP="00355A56">
            <w:pPr>
              <w:pStyle w:val="TableParagraph"/>
              <w:ind w:left="320"/>
            </w:pPr>
            <w:r>
              <w:t>Fund</w:t>
            </w:r>
          </w:p>
        </w:tc>
        <w:tc>
          <w:tcPr>
            <w:tcW w:w="3249" w:type="dxa"/>
          </w:tcPr>
          <w:p w14:paraId="7962FB60" w14:textId="77777777" w:rsidR="00DD13BF" w:rsidRDefault="00DD13BF" w:rsidP="00355A56">
            <w:pPr>
              <w:pStyle w:val="TableParagraph"/>
              <w:ind w:left="907"/>
            </w:pPr>
            <w:r>
              <w:t>Category of region</w:t>
            </w:r>
          </w:p>
        </w:tc>
        <w:tc>
          <w:tcPr>
            <w:tcW w:w="3099" w:type="dxa"/>
          </w:tcPr>
          <w:p w14:paraId="6552990B" w14:textId="77777777" w:rsidR="00DD13BF" w:rsidRDefault="00DD13BF" w:rsidP="00355A56">
            <w:pPr>
              <w:pStyle w:val="TableParagraph"/>
              <w:ind w:left="948"/>
            </w:pPr>
            <w:r>
              <w:t>Specific objective</w:t>
            </w:r>
          </w:p>
        </w:tc>
        <w:tc>
          <w:tcPr>
            <w:tcW w:w="1161" w:type="dxa"/>
          </w:tcPr>
          <w:p w14:paraId="2CC62EE9" w14:textId="77777777" w:rsidR="00DD13BF" w:rsidRDefault="00DD13BF" w:rsidP="00355A56">
            <w:pPr>
              <w:pStyle w:val="TableParagraph"/>
              <w:ind w:left="334"/>
            </w:pPr>
            <w:r>
              <w:t>Code</w:t>
            </w:r>
          </w:p>
        </w:tc>
        <w:tc>
          <w:tcPr>
            <w:tcW w:w="2731" w:type="dxa"/>
          </w:tcPr>
          <w:p w14:paraId="4A027A69" w14:textId="77777777" w:rsidR="00DD13BF" w:rsidRDefault="00DD13BF" w:rsidP="00355A56">
            <w:pPr>
              <w:pStyle w:val="TableParagraph"/>
              <w:ind w:left="661"/>
            </w:pPr>
            <w:r>
              <w:t>Amount (in EUR)</w:t>
            </w:r>
          </w:p>
        </w:tc>
      </w:tr>
      <w:tr w:rsidR="00DD13BF" w14:paraId="6FC7A57C" w14:textId="77777777" w:rsidTr="00355A56">
        <w:trPr>
          <w:trHeight w:val="353"/>
        </w:trPr>
        <w:tc>
          <w:tcPr>
            <w:tcW w:w="2088" w:type="dxa"/>
          </w:tcPr>
          <w:p w14:paraId="2671DA58" w14:textId="77777777" w:rsidR="00DD13BF" w:rsidRDefault="00DD13BF" w:rsidP="00355A56">
            <w:pPr>
              <w:pStyle w:val="TableParagraph"/>
              <w:rPr>
                <w:sz w:val="20"/>
              </w:rPr>
            </w:pPr>
            <w:r>
              <w:rPr>
                <w:sz w:val="20"/>
              </w:rPr>
              <w:t>6</w:t>
            </w:r>
          </w:p>
        </w:tc>
        <w:tc>
          <w:tcPr>
            <w:tcW w:w="1133" w:type="dxa"/>
          </w:tcPr>
          <w:p w14:paraId="78D22FD1" w14:textId="77777777" w:rsidR="00DD13BF" w:rsidRDefault="00DD13BF" w:rsidP="00355A56">
            <w:pPr>
              <w:pStyle w:val="TableParagraph"/>
              <w:rPr>
                <w:sz w:val="20"/>
              </w:rPr>
            </w:pPr>
            <w:r>
              <w:rPr>
                <w:sz w:val="20"/>
              </w:rPr>
              <w:t>ESF+</w:t>
            </w:r>
          </w:p>
        </w:tc>
        <w:tc>
          <w:tcPr>
            <w:tcW w:w="3249" w:type="dxa"/>
          </w:tcPr>
          <w:p w14:paraId="32815A90" w14:textId="77777777" w:rsidR="00DD13BF" w:rsidRDefault="00DD13BF" w:rsidP="00355A56">
            <w:pPr>
              <w:pStyle w:val="TableParagraph"/>
              <w:rPr>
                <w:sz w:val="20"/>
              </w:rPr>
            </w:pPr>
            <w:r>
              <w:rPr>
                <w:sz w:val="20"/>
              </w:rPr>
              <w:t>Less developed</w:t>
            </w:r>
          </w:p>
          <w:p w14:paraId="277C270C" w14:textId="77777777" w:rsidR="00DD13BF" w:rsidRDefault="00DD13BF" w:rsidP="00355A56">
            <w:pPr>
              <w:pStyle w:val="TableParagraph"/>
              <w:rPr>
                <w:sz w:val="20"/>
              </w:rPr>
            </w:pPr>
          </w:p>
        </w:tc>
        <w:tc>
          <w:tcPr>
            <w:tcW w:w="3099" w:type="dxa"/>
          </w:tcPr>
          <w:p w14:paraId="60F2BDF1" w14:textId="77777777" w:rsidR="00DD13BF" w:rsidRDefault="00DD13BF" w:rsidP="00355A56">
            <w:pPr>
              <w:pStyle w:val="TableParagraph"/>
              <w:rPr>
                <w:sz w:val="20"/>
              </w:rPr>
            </w:pPr>
            <w:r>
              <w:rPr>
                <w:color w:val="000000"/>
                <w:sz w:val="20"/>
              </w:rPr>
              <w:t>ESO4.4</w:t>
            </w:r>
          </w:p>
        </w:tc>
        <w:tc>
          <w:tcPr>
            <w:tcW w:w="1161" w:type="dxa"/>
          </w:tcPr>
          <w:p w14:paraId="5B6DA46F" w14:textId="77777777" w:rsidR="00DD13BF" w:rsidRDefault="00DD13BF" w:rsidP="00355A56">
            <w:pPr>
              <w:pStyle w:val="TableParagraph"/>
              <w:rPr>
                <w:sz w:val="20"/>
              </w:rPr>
            </w:pPr>
            <w:r>
              <w:rPr>
                <w:sz w:val="20"/>
              </w:rPr>
              <w:t>01</w:t>
            </w:r>
          </w:p>
        </w:tc>
        <w:tc>
          <w:tcPr>
            <w:tcW w:w="2731" w:type="dxa"/>
          </w:tcPr>
          <w:p w14:paraId="184A2705" w14:textId="77777777" w:rsidR="00DD13BF" w:rsidRDefault="00DD13BF" w:rsidP="00355A56">
            <w:pPr>
              <w:pStyle w:val="TableParagraph"/>
              <w:rPr>
                <w:sz w:val="20"/>
              </w:rPr>
            </w:pPr>
            <w:r>
              <w:rPr>
                <w:sz w:val="20"/>
              </w:rPr>
              <w:t>23,692,000</w:t>
            </w:r>
          </w:p>
        </w:tc>
      </w:tr>
      <w:tr w:rsidR="00DD13BF" w14:paraId="7E56C3FD" w14:textId="77777777" w:rsidTr="00355A56">
        <w:trPr>
          <w:trHeight w:val="353"/>
        </w:trPr>
        <w:tc>
          <w:tcPr>
            <w:tcW w:w="2088" w:type="dxa"/>
          </w:tcPr>
          <w:p w14:paraId="59246880" w14:textId="77777777" w:rsidR="00DD13BF" w:rsidRDefault="00DD13BF" w:rsidP="00355A56">
            <w:pPr>
              <w:pStyle w:val="TableParagraph"/>
              <w:rPr>
                <w:sz w:val="20"/>
              </w:rPr>
            </w:pPr>
            <w:r>
              <w:rPr>
                <w:sz w:val="20"/>
              </w:rPr>
              <w:t>6</w:t>
            </w:r>
          </w:p>
        </w:tc>
        <w:tc>
          <w:tcPr>
            <w:tcW w:w="1133" w:type="dxa"/>
          </w:tcPr>
          <w:p w14:paraId="64C9EA6A" w14:textId="77777777" w:rsidR="00DD13BF" w:rsidRDefault="00DD13BF" w:rsidP="00355A56">
            <w:pPr>
              <w:pStyle w:val="TableParagraph"/>
              <w:rPr>
                <w:sz w:val="20"/>
              </w:rPr>
            </w:pPr>
            <w:r>
              <w:rPr>
                <w:sz w:val="20"/>
              </w:rPr>
              <w:t>ESF+</w:t>
            </w:r>
          </w:p>
        </w:tc>
        <w:tc>
          <w:tcPr>
            <w:tcW w:w="3249" w:type="dxa"/>
          </w:tcPr>
          <w:p w14:paraId="3132BE46" w14:textId="77777777" w:rsidR="00DD13BF" w:rsidRDefault="00DD13BF" w:rsidP="00355A56">
            <w:pPr>
              <w:pStyle w:val="TableParagraph"/>
              <w:rPr>
                <w:sz w:val="20"/>
              </w:rPr>
            </w:pPr>
            <w:r>
              <w:rPr>
                <w:sz w:val="20"/>
              </w:rPr>
              <w:t>More developed</w:t>
            </w:r>
          </w:p>
        </w:tc>
        <w:tc>
          <w:tcPr>
            <w:tcW w:w="3099" w:type="dxa"/>
          </w:tcPr>
          <w:p w14:paraId="02BA4E23" w14:textId="77777777" w:rsidR="00DD13BF" w:rsidRDefault="00DD13BF" w:rsidP="00355A56">
            <w:pPr>
              <w:pStyle w:val="TableParagraph"/>
              <w:rPr>
                <w:sz w:val="20"/>
              </w:rPr>
            </w:pPr>
            <w:r>
              <w:rPr>
                <w:color w:val="000000"/>
                <w:sz w:val="20"/>
              </w:rPr>
              <w:t>ESO4.4</w:t>
            </w:r>
          </w:p>
        </w:tc>
        <w:tc>
          <w:tcPr>
            <w:tcW w:w="1161" w:type="dxa"/>
          </w:tcPr>
          <w:p w14:paraId="40544BDD" w14:textId="77777777" w:rsidR="00DD13BF" w:rsidRDefault="00DD13BF" w:rsidP="00355A56">
            <w:pPr>
              <w:pStyle w:val="TableParagraph"/>
              <w:rPr>
                <w:sz w:val="20"/>
              </w:rPr>
            </w:pPr>
            <w:r>
              <w:rPr>
                <w:sz w:val="20"/>
              </w:rPr>
              <w:t>01</w:t>
            </w:r>
          </w:p>
        </w:tc>
        <w:tc>
          <w:tcPr>
            <w:tcW w:w="2731" w:type="dxa"/>
          </w:tcPr>
          <w:p w14:paraId="7CEF2B22" w14:textId="77777777" w:rsidR="00DD13BF" w:rsidRDefault="00DD13BF" w:rsidP="00355A56">
            <w:pPr>
              <w:pStyle w:val="TableParagraph"/>
              <w:rPr>
                <w:sz w:val="20"/>
              </w:rPr>
            </w:pPr>
            <w:r>
              <w:rPr>
                <w:sz w:val="20"/>
              </w:rPr>
              <w:t>7,550,000</w:t>
            </w:r>
          </w:p>
        </w:tc>
      </w:tr>
    </w:tbl>
    <w:p w14:paraId="61A9BEDD" w14:textId="77777777" w:rsidR="00DD13BF" w:rsidRDefault="00DD13BF" w:rsidP="00DD13BF">
      <w:pPr>
        <w:rPr>
          <w:sz w:val="20"/>
        </w:rPr>
        <w:sectPr w:rsidR="00DD13BF" w:rsidSect="00BD3536">
          <w:headerReference w:type="default" r:id="rId75"/>
          <w:footerReference w:type="first" r:id="rId76"/>
          <w:type w:val="continuous"/>
          <w:pgSz w:w="16840" w:h="11910" w:orient="landscape"/>
          <w:pgMar w:top="1417" w:right="1417" w:bottom="1417" w:left="1417" w:header="708" w:footer="708" w:gutter="0"/>
          <w:cols w:space="708"/>
          <w:titlePg/>
          <w:docGrid w:linePitch="299"/>
        </w:sectPr>
      </w:pPr>
    </w:p>
    <w:p w14:paraId="480C0B29" w14:textId="77777777" w:rsidR="00DD13BF" w:rsidRDefault="00DD13BF" w:rsidP="00DD13BF">
      <w:pPr>
        <w:ind w:left="339"/>
      </w:pPr>
      <w:r>
        <w:t>Table 6: Dimension 3 – territorial delivery mechanism and territorial focus</w:t>
      </w:r>
    </w:p>
    <w:p w14:paraId="11150CCC"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189560E" w14:textId="77777777" w:rsidTr="00355A56">
        <w:trPr>
          <w:trHeight w:val="353"/>
        </w:trPr>
        <w:tc>
          <w:tcPr>
            <w:tcW w:w="2088" w:type="dxa"/>
          </w:tcPr>
          <w:p w14:paraId="6F98ACF9" w14:textId="77777777" w:rsidR="00DD13BF" w:rsidRDefault="00DD13BF" w:rsidP="00355A56">
            <w:pPr>
              <w:pStyle w:val="TableParagraph"/>
              <w:ind w:left="115"/>
            </w:pPr>
            <w:r>
              <w:t>Priority no.</w:t>
            </w:r>
          </w:p>
        </w:tc>
        <w:tc>
          <w:tcPr>
            <w:tcW w:w="1132" w:type="dxa"/>
          </w:tcPr>
          <w:p w14:paraId="4F30B582" w14:textId="77777777" w:rsidR="00DD13BF" w:rsidRDefault="00DD13BF" w:rsidP="00355A56">
            <w:pPr>
              <w:pStyle w:val="TableParagraph"/>
              <w:ind w:left="320"/>
            </w:pPr>
            <w:r>
              <w:t>Fund</w:t>
            </w:r>
          </w:p>
        </w:tc>
        <w:tc>
          <w:tcPr>
            <w:tcW w:w="3248" w:type="dxa"/>
          </w:tcPr>
          <w:p w14:paraId="1AB0092E" w14:textId="77777777" w:rsidR="00DD13BF" w:rsidRDefault="00DD13BF" w:rsidP="00355A56">
            <w:pPr>
              <w:pStyle w:val="TableParagraph"/>
              <w:ind w:left="908"/>
            </w:pPr>
            <w:r>
              <w:t>Category of region</w:t>
            </w:r>
          </w:p>
        </w:tc>
        <w:tc>
          <w:tcPr>
            <w:tcW w:w="3098" w:type="dxa"/>
          </w:tcPr>
          <w:p w14:paraId="6E5CF217" w14:textId="77777777" w:rsidR="00DD13BF" w:rsidRDefault="00DD13BF" w:rsidP="00355A56">
            <w:pPr>
              <w:pStyle w:val="TableParagraph"/>
              <w:ind w:left="950"/>
            </w:pPr>
            <w:r>
              <w:t>Specific objective</w:t>
            </w:r>
          </w:p>
        </w:tc>
        <w:tc>
          <w:tcPr>
            <w:tcW w:w="1160" w:type="dxa"/>
          </w:tcPr>
          <w:p w14:paraId="7EC04806" w14:textId="77777777" w:rsidR="00DD13BF" w:rsidRDefault="00DD13BF" w:rsidP="00355A56">
            <w:pPr>
              <w:pStyle w:val="TableParagraph"/>
              <w:ind w:left="336"/>
            </w:pPr>
            <w:r>
              <w:t>Code</w:t>
            </w:r>
          </w:p>
        </w:tc>
        <w:tc>
          <w:tcPr>
            <w:tcW w:w="2730" w:type="dxa"/>
          </w:tcPr>
          <w:p w14:paraId="31980F22" w14:textId="77777777" w:rsidR="00DD13BF" w:rsidRDefault="00DD13BF" w:rsidP="00355A56">
            <w:pPr>
              <w:pStyle w:val="TableParagraph"/>
              <w:ind w:left="664"/>
            </w:pPr>
            <w:r>
              <w:t>Amount (in EUR)</w:t>
            </w:r>
          </w:p>
        </w:tc>
      </w:tr>
      <w:tr w:rsidR="00DD13BF" w14:paraId="1D3D19E1" w14:textId="77777777" w:rsidTr="00355A56">
        <w:trPr>
          <w:trHeight w:val="353"/>
        </w:trPr>
        <w:tc>
          <w:tcPr>
            <w:tcW w:w="2088" w:type="dxa"/>
          </w:tcPr>
          <w:p w14:paraId="7CB73498" w14:textId="77777777" w:rsidR="00DD13BF" w:rsidRDefault="00DD13BF" w:rsidP="00355A56">
            <w:pPr>
              <w:pStyle w:val="TableParagraph"/>
              <w:rPr>
                <w:sz w:val="20"/>
              </w:rPr>
            </w:pPr>
            <w:r>
              <w:rPr>
                <w:sz w:val="20"/>
              </w:rPr>
              <w:t>6</w:t>
            </w:r>
          </w:p>
        </w:tc>
        <w:tc>
          <w:tcPr>
            <w:tcW w:w="1132" w:type="dxa"/>
          </w:tcPr>
          <w:p w14:paraId="1B699F6F" w14:textId="77777777" w:rsidR="00DD13BF" w:rsidRDefault="00DD13BF" w:rsidP="00355A56">
            <w:pPr>
              <w:pStyle w:val="TableParagraph"/>
              <w:rPr>
                <w:sz w:val="20"/>
              </w:rPr>
            </w:pPr>
            <w:r>
              <w:rPr>
                <w:sz w:val="20"/>
              </w:rPr>
              <w:t>ESF+</w:t>
            </w:r>
          </w:p>
        </w:tc>
        <w:tc>
          <w:tcPr>
            <w:tcW w:w="3248" w:type="dxa"/>
          </w:tcPr>
          <w:p w14:paraId="3E1634AC" w14:textId="77777777" w:rsidR="00DD13BF" w:rsidRDefault="00DD13BF" w:rsidP="00355A56">
            <w:pPr>
              <w:pStyle w:val="TableParagraph"/>
              <w:rPr>
                <w:sz w:val="20"/>
              </w:rPr>
            </w:pPr>
            <w:r>
              <w:rPr>
                <w:sz w:val="20"/>
              </w:rPr>
              <w:t>Less developed</w:t>
            </w:r>
          </w:p>
          <w:p w14:paraId="74EF9208" w14:textId="77777777" w:rsidR="00DD13BF" w:rsidRDefault="00DD13BF" w:rsidP="00355A56">
            <w:pPr>
              <w:pStyle w:val="TableParagraph"/>
              <w:rPr>
                <w:sz w:val="20"/>
              </w:rPr>
            </w:pPr>
          </w:p>
        </w:tc>
        <w:tc>
          <w:tcPr>
            <w:tcW w:w="3098" w:type="dxa"/>
          </w:tcPr>
          <w:p w14:paraId="25C23E29" w14:textId="77777777" w:rsidR="00DD13BF" w:rsidRDefault="00DD13BF" w:rsidP="00355A56">
            <w:pPr>
              <w:pStyle w:val="TableParagraph"/>
              <w:rPr>
                <w:sz w:val="20"/>
              </w:rPr>
            </w:pPr>
            <w:r>
              <w:rPr>
                <w:color w:val="000000"/>
                <w:sz w:val="20"/>
              </w:rPr>
              <w:t>ESO4.4</w:t>
            </w:r>
          </w:p>
        </w:tc>
        <w:tc>
          <w:tcPr>
            <w:tcW w:w="1160" w:type="dxa"/>
          </w:tcPr>
          <w:p w14:paraId="27D76B1C" w14:textId="77777777" w:rsidR="00DD13BF" w:rsidRDefault="00DD13BF" w:rsidP="00355A56">
            <w:pPr>
              <w:pStyle w:val="TableParagraph"/>
              <w:rPr>
                <w:sz w:val="20"/>
              </w:rPr>
            </w:pPr>
            <w:r>
              <w:rPr>
                <w:sz w:val="20"/>
              </w:rPr>
              <w:t>33</w:t>
            </w:r>
          </w:p>
        </w:tc>
        <w:tc>
          <w:tcPr>
            <w:tcW w:w="2730" w:type="dxa"/>
          </w:tcPr>
          <w:p w14:paraId="0E34DE34" w14:textId="77777777" w:rsidR="00DD13BF" w:rsidRDefault="00DD13BF" w:rsidP="00355A56">
            <w:pPr>
              <w:pStyle w:val="TableParagraph"/>
              <w:rPr>
                <w:sz w:val="20"/>
              </w:rPr>
            </w:pPr>
            <w:r>
              <w:rPr>
                <w:sz w:val="20"/>
              </w:rPr>
              <w:t>23,692,000</w:t>
            </w:r>
          </w:p>
        </w:tc>
      </w:tr>
      <w:tr w:rsidR="00DD13BF" w14:paraId="4E9A99E2" w14:textId="77777777" w:rsidTr="00355A56">
        <w:trPr>
          <w:trHeight w:val="353"/>
        </w:trPr>
        <w:tc>
          <w:tcPr>
            <w:tcW w:w="2088" w:type="dxa"/>
          </w:tcPr>
          <w:p w14:paraId="4C168DED" w14:textId="77777777" w:rsidR="00DD13BF" w:rsidRDefault="00DD13BF" w:rsidP="00355A56">
            <w:pPr>
              <w:pStyle w:val="TableParagraph"/>
              <w:rPr>
                <w:sz w:val="20"/>
              </w:rPr>
            </w:pPr>
            <w:r>
              <w:rPr>
                <w:sz w:val="20"/>
              </w:rPr>
              <w:t>6</w:t>
            </w:r>
          </w:p>
        </w:tc>
        <w:tc>
          <w:tcPr>
            <w:tcW w:w="1132" w:type="dxa"/>
          </w:tcPr>
          <w:p w14:paraId="184F97FD" w14:textId="77777777" w:rsidR="00DD13BF" w:rsidRDefault="00DD13BF" w:rsidP="00355A56">
            <w:pPr>
              <w:pStyle w:val="TableParagraph"/>
              <w:rPr>
                <w:sz w:val="20"/>
              </w:rPr>
            </w:pPr>
            <w:r>
              <w:rPr>
                <w:sz w:val="20"/>
              </w:rPr>
              <w:t>ESF+</w:t>
            </w:r>
          </w:p>
        </w:tc>
        <w:tc>
          <w:tcPr>
            <w:tcW w:w="3248" w:type="dxa"/>
          </w:tcPr>
          <w:p w14:paraId="4086850D" w14:textId="77777777" w:rsidR="00DD13BF" w:rsidRDefault="00DD13BF" w:rsidP="00355A56">
            <w:pPr>
              <w:pStyle w:val="TableParagraph"/>
              <w:rPr>
                <w:sz w:val="20"/>
              </w:rPr>
            </w:pPr>
            <w:r>
              <w:rPr>
                <w:sz w:val="20"/>
              </w:rPr>
              <w:t>More developed</w:t>
            </w:r>
          </w:p>
        </w:tc>
        <w:tc>
          <w:tcPr>
            <w:tcW w:w="3098" w:type="dxa"/>
          </w:tcPr>
          <w:p w14:paraId="03AB09C9" w14:textId="77777777" w:rsidR="00DD13BF" w:rsidRDefault="00DD13BF" w:rsidP="00355A56">
            <w:pPr>
              <w:pStyle w:val="TableParagraph"/>
              <w:rPr>
                <w:sz w:val="20"/>
              </w:rPr>
            </w:pPr>
            <w:r>
              <w:rPr>
                <w:color w:val="000000"/>
                <w:sz w:val="20"/>
              </w:rPr>
              <w:t>ESO4.4</w:t>
            </w:r>
          </w:p>
        </w:tc>
        <w:tc>
          <w:tcPr>
            <w:tcW w:w="1160" w:type="dxa"/>
          </w:tcPr>
          <w:p w14:paraId="53A31120" w14:textId="77777777" w:rsidR="00DD13BF" w:rsidRDefault="00DD13BF" w:rsidP="00355A56">
            <w:pPr>
              <w:pStyle w:val="TableParagraph"/>
              <w:rPr>
                <w:sz w:val="20"/>
              </w:rPr>
            </w:pPr>
            <w:r>
              <w:rPr>
                <w:sz w:val="20"/>
              </w:rPr>
              <w:t>33</w:t>
            </w:r>
          </w:p>
        </w:tc>
        <w:tc>
          <w:tcPr>
            <w:tcW w:w="2730" w:type="dxa"/>
          </w:tcPr>
          <w:p w14:paraId="31D4DFCD" w14:textId="77777777" w:rsidR="00DD13BF" w:rsidRDefault="00DD13BF" w:rsidP="00355A56">
            <w:pPr>
              <w:pStyle w:val="TableParagraph"/>
              <w:rPr>
                <w:sz w:val="20"/>
              </w:rPr>
            </w:pPr>
            <w:r>
              <w:rPr>
                <w:sz w:val="20"/>
              </w:rPr>
              <w:t>7,550,000</w:t>
            </w:r>
          </w:p>
        </w:tc>
      </w:tr>
    </w:tbl>
    <w:p w14:paraId="1C0E47D9" w14:textId="77777777" w:rsidR="00DD13BF" w:rsidRDefault="00DD13BF" w:rsidP="00DD13BF"/>
    <w:p w14:paraId="6AE71404" w14:textId="77777777" w:rsidR="00DD13BF" w:rsidRDefault="00DD13BF" w:rsidP="00DD13BF">
      <w:pPr>
        <w:ind w:left="339"/>
      </w:pPr>
      <w:r>
        <w:t>Table 7: Dimension 6 – ESF+ secondary themes</w:t>
      </w:r>
    </w:p>
    <w:p w14:paraId="3DF7C288"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F966E2D" w14:textId="77777777" w:rsidTr="00355A56">
        <w:trPr>
          <w:trHeight w:val="353"/>
        </w:trPr>
        <w:tc>
          <w:tcPr>
            <w:tcW w:w="2088" w:type="dxa"/>
          </w:tcPr>
          <w:p w14:paraId="64EEB698" w14:textId="77777777" w:rsidR="00DD13BF" w:rsidRDefault="00DD13BF" w:rsidP="00355A56">
            <w:pPr>
              <w:pStyle w:val="TableParagraph"/>
              <w:ind w:left="115"/>
            </w:pPr>
            <w:r>
              <w:t>Priority no.</w:t>
            </w:r>
          </w:p>
        </w:tc>
        <w:tc>
          <w:tcPr>
            <w:tcW w:w="1132" w:type="dxa"/>
          </w:tcPr>
          <w:p w14:paraId="34DFC13B" w14:textId="77777777" w:rsidR="00DD13BF" w:rsidRDefault="00DD13BF" w:rsidP="00355A56">
            <w:pPr>
              <w:pStyle w:val="TableParagraph"/>
              <w:ind w:left="321"/>
            </w:pPr>
            <w:r>
              <w:t>Fund</w:t>
            </w:r>
          </w:p>
        </w:tc>
        <w:tc>
          <w:tcPr>
            <w:tcW w:w="3248" w:type="dxa"/>
          </w:tcPr>
          <w:p w14:paraId="0704D060" w14:textId="77777777" w:rsidR="00DD13BF" w:rsidRDefault="00DD13BF" w:rsidP="00355A56">
            <w:pPr>
              <w:pStyle w:val="TableParagraph"/>
              <w:ind w:left="909"/>
            </w:pPr>
            <w:r>
              <w:t>Category of region</w:t>
            </w:r>
          </w:p>
        </w:tc>
        <w:tc>
          <w:tcPr>
            <w:tcW w:w="3098" w:type="dxa"/>
          </w:tcPr>
          <w:p w14:paraId="5EBAA17B" w14:textId="77777777" w:rsidR="00DD13BF" w:rsidRDefault="00DD13BF" w:rsidP="00355A56">
            <w:pPr>
              <w:pStyle w:val="TableParagraph"/>
              <w:ind w:left="950"/>
            </w:pPr>
            <w:r>
              <w:t>Specific objective</w:t>
            </w:r>
          </w:p>
        </w:tc>
        <w:tc>
          <w:tcPr>
            <w:tcW w:w="1160" w:type="dxa"/>
          </w:tcPr>
          <w:p w14:paraId="38D1C4C6" w14:textId="77777777" w:rsidR="00DD13BF" w:rsidRDefault="00DD13BF" w:rsidP="00355A56">
            <w:pPr>
              <w:pStyle w:val="TableParagraph"/>
              <w:ind w:left="337"/>
            </w:pPr>
            <w:r>
              <w:t>Code</w:t>
            </w:r>
          </w:p>
        </w:tc>
        <w:tc>
          <w:tcPr>
            <w:tcW w:w="2730" w:type="dxa"/>
          </w:tcPr>
          <w:p w14:paraId="6276B8A5" w14:textId="77777777" w:rsidR="00DD13BF" w:rsidRDefault="00DD13BF" w:rsidP="00355A56">
            <w:pPr>
              <w:pStyle w:val="TableParagraph"/>
              <w:ind w:left="665"/>
            </w:pPr>
            <w:r>
              <w:t>Amount (in EUR)</w:t>
            </w:r>
          </w:p>
        </w:tc>
      </w:tr>
      <w:tr w:rsidR="00DD13BF" w14:paraId="4C2FD73F" w14:textId="77777777" w:rsidTr="00355A56">
        <w:trPr>
          <w:trHeight w:val="353"/>
        </w:trPr>
        <w:tc>
          <w:tcPr>
            <w:tcW w:w="2088" w:type="dxa"/>
          </w:tcPr>
          <w:p w14:paraId="490DA530" w14:textId="77777777" w:rsidR="00DD13BF" w:rsidRDefault="00DD13BF" w:rsidP="00355A56">
            <w:pPr>
              <w:pStyle w:val="TableParagraph"/>
              <w:rPr>
                <w:sz w:val="20"/>
              </w:rPr>
            </w:pPr>
            <w:r>
              <w:rPr>
                <w:sz w:val="20"/>
              </w:rPr>
              <w:t>6</w:t>
            </w:r>
          </w:p>
        </w:tc>
        <w:tc>
          <w:tcPr>
            <w:tcW w:w="1132" w:type="dxa"/>
          </w:tcPr>
          <w:p w14:paraId="2B87118F" w14:textId="77777777" w:rsidR="00DD13BF" w:rsidRDefault="00DD13BF" w:rsidP="00355A56">
            <w:pPr>
              <w:pStyle w:val="TableParagraph"/>
              <w:rPr>
                <w:sz w:val="20"/>
              </w:rPr>
            </w:pPr>
            <w:r>
              <w:rPr>
                <w:sz w:val="20"/>
              </w:rPr>
              <w:t>ESF+</w:t>
            </w:r>
          </w:p>
        </w:tc>
        <w:tc>
          <w:tcPr>
            <w:tcW w:w="3248" w:type="dxa"/>
          </w:tcPr>
          <w:p w14:paraId="77B95CBC" w14:textId="77777777" w:rsidR="00DD13BF" w:rsidRDefault="00DD13BF" w:rsidP="00355A56">
            <w:pPr>
              <w:pStyle w:val="TableParagraph"/>
              <w:rPr>
                <w:sz w:val="20"/>
              </w:rPr>
            </w:pPr>
            <w:r>
              <w:rPr>
                <w:sz w:val="20"/>
              </w:rPr>
              <w:t>Less developed</w:t>
            </w:r>
          </w:p>
          <w:p w14:paraId="1D278492" w14:textId="77777777" w:rsidR="00DD13BF" w:rsidRDefault="00DD13BF" w:rsidP="00355A56">
            <w:pPr>
              <w:pStyle w:val="TableParagraph"/>
              <w:rPr>
                <w:sz w:val="20"/>
              </w:rPr>
            </w:pPr>
          </w:p>
        </w:tc>
        <w:tc>
          <w:tcPr>
            <w:tcW w:w="3098" w:type="dxa"/>
          </w:tcPr>
          <w:p w14:paraId="10159AA7" w14:textId="77777777" w:rsidR="00DD13BF" w:rsidRDefault="00DD13BF" w:rsidP="00355A56">
            <w:pPr>
              <w:pStyle w:val="TableParagraph"/>
              <w:rPr>
                <w:sz w:val="20"/>
              </w:rPr>
            </w:pPr>
            <w:r>
              <w:rPr>
                <w:color w:val="000000"/>
                <w:sz w:val="20"/>
              </w:rPr>
              <w:t>ESO4.4</w:t>
            </w:r>
          </w:p>
        </w:tc>
        <w:tc>
          <w:tcPr>
            <w:tcW w:w="1160" w:type="dxa"/>
          </w:tcPr>
          <w:p w14:paraId="27DAA254" w14:textId="77777777" w:rsidR="00DD13BF" w:rsidRDefault="00DD13BF" w:rsidP="00355A56">
            <w:pPr>
              <w:pStyle w:val="TableParagraph"/>
              <w:rPr>
                <w:sz w:val="20"/>
              </w:rPr>
            </w:pPr>
            <w:r>
              <w:rPr>
                <w:sz w:val="20"/>
              </w:rPr>
              <w:t>09</w:t>
            </w:r>
          </w:p>
        </w:tc>
        <w:tc>
          <w:tcPr>
            <w:tcW w:w="2730" w:type="dxa"/>
          </w:tcPr>
          <w:p w14:paraId="09924A0F" w14:textId="77777777" w:rsidR="00DD13BF" w:rsidRDefault="00DD13BF" w:rsidP="00355A56">
            <w:pPr>
              <w:pStyle w:val="TableParagraph"/>
              <w:rPr>
                <w:sz w:val="20"/>
              </w:rPr>
            </w:pPr>
            <w:r>
              <w:rPr>
                <w:sz w:val="20"/>
              </w:rPr>
              <w:t>21,247,000</w:t>
            </w:r>
          </w:p>
        </w:tc>
      </w:tr>
      <w:tr w:rsidR="00DD13BF" w14:paraId="5EF7B876" w14:textId="77777777" w:rsidTr="00355A56">
        <w:trPr>
          <w:trHeight w:val="353"/>
        </w:trPr>
        <w:tc>
          <w:tcPr>
            <w:tcW w:w="2088" w:type="dxa"/>
          </w:tcPr>
          <w:p w14:paraId="626175C2" w14:textId="77777777" w:rsidR="00DD13BF" w:rsidRDefault="00DD13BF" w:rsidP="00355A56">
            <w:pPr>
              <w:pStyle w:val="TableParagraph"/>
              <w:rPr>
                <w:sz w:val="20"/>
              </w:rPr>
            </w:pPr>
            <w:r>
              <w:rPr>
                <w:sz w:val="20"/>
              </w:rPr>
              <w:t>6</w:t>
            </w:r>
          </w:p>
        </w:tc>
        <w:tc>
          <w:tcPr>
            <w:tcW w:w="1132" w:type="dxa"/>
          </w:tcPr>
          <w:p w14:paraId="4FEF8691" w14:textId="77777777" w:rsidR="00DD13BF" w:rsidRDefault="00DD13BF" w:rsidP="00355A56">
            <w:pPr>
              <w:pStyle w:val="TableParagraph"/>
              <w:rPr>
                <w:sz w:val="20"/>
              </w:rPr>
            </w:pPr>
            <w:r>
              <w:rPr>
                <w:sz w:val="20"/>
              </w:rPr>
              <w:t>ESF+</w:t>
            </w:r>
          </w:p>
        </w:tc>
        <w:tc>
          <w:tcPr>
            <w:tcW w:w="3248" w:type="dxa"/>
          </w:tcPr>
          <w:p w14:paraId="330A4284" w14:textId="77777777" w:rsidR="00DD13BF" w:rsidRDefault="00DD13BF" w:rsidP="00355A56">
            <w:pPr>
              <w:pStyle w:val="TableParagraph"/>
              <w:rPr>
                <w:sz w:val="20"/>
              </w:rPr>
            </w:pPr>
            <w:r>
              <w:rPr>
                <w:sz w:val="20"/>
              </w:rPr>
              <w:t>More developed</w:t>
            </w:r>
          </w:p>
        </w:tc>
        <w:tc>
          <w:tcPr>
            <w:tcW w:w="3098" w:type="dxa"/>
          </w:tcPr>
          <w:p w14:paraId="2BA693A0" w14:textId="77777777" w:rsidR="00DD13BF" w:rsidRDefault="00DD13BF" w:rsidP="00355A56">
            <w:pPr>
              <w:pStyle w:val="TableParagraph"/>
              <w:rPr>
                <w:sz w:val="20"/>
              </w:rPr>
            </w:pPr>
            <w:r>
              <w:rPr>
                <w:color w:val="000000"/>
                <w:sz w:val="20"/>
              </w:rPr>
              <w:t>ESO4.4</w:t>
            </w:r>
          </w:p>
        </w:tc>
        <w:tc>
          <w:tcPr>
            <w:tcW w:w="1160" w:type="dxa"/>
          </w:tcPr>
          <w:p w14:paraId="307A3A84" w14:textId="77777777" w:rsidR="00DD13BF" w:rsidRDefault="00DD13BF" w:rsidP="00355A56">
            <w:pPr>
              <w:pStyle w:val="TableParagraph"/>
              <w:rPr>
                <w:sz w:val="20"/>
              </w:rPr>
            </w:pPr>
            <w:r>
              <w:rPr>
                <w:sz w:val="20"/>
              </w:rPr>
              <w:t>09</w:t>
            </w:r>
          </w:p>
        </w:tc>
        <w:tc>
          <w:tcPr>
            <w:tcW w:w="2730" w:type="dxa"/>
          </w:tcPr>
          <w:p w14:paraId="5C23A82D" w14:textId="77777777" w:rsidR="00DD13BF" w:rsidRDefault="00DD13BF" w:rsidP="00355A56">
            <w:pPr>
              <w:pStyle w:val="TableParagraph"/>
              <w:rPr>
                <w:sz w:val="20"/>
              </w:rPr>
            </w:pPr>
            <w:r>
              <w:rPr>
                <w:sz w:val="20"/>
              </w:rPr>
              <w:t>6,584,000</w:t>
            </w:r>
          </w:p>
        </w:tc>
      </w:tr>
      <w:tr w:rsidR="00DD13BF" w14:paraId="6D31D91B" w14:textId="77777777" w:rsidTr="00355A56">
        <w:trPr>
          <w:trHeight w:val="353"/>
        </w:trPr>
        <w:tc>
          <w:tcPr>
            <w:tcW w:w="2088" w:type="dxa"/>
          </w:tcPr>
          <w:p w14:paraId="606C7935" w14:textId="77777777" w:rsidR="00DD13BF" w:rsidRDefault="00DD13BF" w:rsidP="00355A56">
            <w:pPr>
              <w:pStyle w:val="TableParagraph"/>
              <w:rPr>
                <w:sz w:val="20"/>
              </w:rPr>
            </w:pPr>
            <w:r>
              <w:rPr>
                <w:sz w:val="20"/>
              </w:rPr>
              <w:t>6</w:t>
            </w:r>
          </w:p>
        </w:tc>
        <w:tc>
          <w:tcPr>
            <w:tcW w:w="1132" w:type="dxa"/>
          </w:tcPr>
          <w:p w14:paraId="3C72C723" w14:textId="77777777" w:rsidR="00DD13BF" w:rsidRDefault="00DD13BF" w:rsidP="00355A56">
            <w:pPr>
              <w:pStyle w:val="TableParagraph"/>
              <w:rPr>
                <w:sz w:val="20"/>
              </w:rPr>
            </w:pPr>
            <w:r>
              <w:rPr>
                <w:sz w:val="20"/>
              </w:rPr>
              <w:t>ESF+</w:t>
            </w:r>
          </w:p>
        </w:tc>
        <w:tc>
          <w:tcPr>
            <w:tcW w:w="3248" w:type="dxa"/>
          </w:tcPr>
          <w:p w14:paraId="1A4E5E3D" w14:textId="77777777" w:rsidR="00DD13BF" w:rsidRDefault="00DD13BF" w:rsidP="00355A56">
            <w:pPr>
              <w:pStyle w:val="TableParagraph"/>
              <w:rPr>
                <w:sz w:val="20"/>
              </w:rPr>
            </w:pPr>
            <w:r>
              <w:rPr>
                <w:sz w:val="20"/>
              </w:rPr>
              <w:t>Less developed</w:t>
            </w:r>
          </w:p>
          <w:p w14:paraId="4B81F971" w14:textId="77777777" w:rsidR="00DD13BF" w:rsidRDefault="00DD13BF" w:rsidP="00355A56">
            <w:pPr>
              <w:pStyle w:val="TableParagraph"/>
              <w:rPr>
                <w:sz w:val="20"/>
              </w:rPr>
            </w:pPr>
          </w:p>
        </w:tc>
        <w:tc>
          <w:tcPr>
            <w:tcW w:w="3098" w:type="dxa"/>
          </w:tcPr>
          <w:p w14:paraId="544B2F21" w14:textId="77777777" w:rsidR="00DD13BF" w:rsidRDefault="00DD13BF" w:rsidP="00355A56">
            <w:pPr>
              <w:pStyle w:val="TableParagraph"/>
              <w:rPr>
                <w:sz w:val="20"/>
              </w:rPr>
            </w:pPr>
            <w:r>
              <w:rPr>
                <w:color w:val="000000"/>
                <w:sz w:val="20"/>
              </w:rPr>
              <w:t>ESO4.4</w:t>
            </w:r>
          </w:p>
        </w:tc>
        <w:tc>
          <w:tcPr>
            <w:tcW w:w="1160" w:type="dxa"/>
          </w:tcPr>
          <w:p w14:paraId="635BDEFA" w14:textId="77777777" w:rsidR="00DD13BF" w:rsidRDefault="00DD13BF" w:rsidP="00355A56">
            <w:pPr>
              <w:pStyle w:val="TableParagraph"/>
              <w:rPr>
                <w:sz w:val="20"/>
              </w:rPr>
            </w:pPr>
            <w:r>
              <w:rPr>
                <w:sz w:val="20"/>
              </w:rPr>
              <w:t>07</w:t>
            </w:r>
          </w:p>
        </w:tc>
        <w:tc>
          <w:tcPr>
            <w:tcW w:w="2730" w:type="dxa"/>
          </w:tcPr>
          <w:p w14:paraId="5685FC6E" w14:textId="77777777" w:rsidR="00DD13BF" w:rsidRDefault="00DD13BF" w:rsidP="00355A56">
            <w:pPr>
              <w:pStyle w:val="TableParagraph"/>
              <w:rPr>
                <w:sz w:val="20"/>
              </w:rPr>
            </w:pPr>
            <w:r>
              <w:rPr>
                <w:sz w:val="20"/>
              </w:rPr>
              <w:t>2,445,000</w:t>
            </w:r>
          </w:p>
        </w:tc>
      </w:tr>
      <w:tr w:rsidR="00DD13BF" w14:paraId="7CE820F4" w14:textId="77777777" w:rsidTr="00355A56">
        <w:trPr>
          <w:trHeight w:val="353"/>
        </w:trPr>
        <w:tc>
          <w:tcPr>
            <w:tcW w:w="2088" w:type="dxa"/>
          </w:tcPr>
          <w:p w14:paraId="2C62D626" w14:textId="77777777" w:rsidR="00DD13BF" w:rsidRDefault="00DD13BF" w:rsidP="00355A56">
            <w:pPr>
              <w:pStyle w:val="TableParagraph"/>
              <w:rPr>
                <w:sz w:val="20"/>
              </w:rPr>
            </w:pPr>
            <w:r>
              <w:rPr>
                <w:sz w:val="20"/>
              </w:rPr>
              <w:t>6</w:t>
            </w:r>
          </w:p>
        </w:tc>
        <w:tc>
          <w:tcPr>
            <w:tcW w:w="1132" w:type="dxa"/>
          </w:tcPr>
          <w:p w14:paraId="66BE34A9" w14:textId="77777777" w:rsidR="00DD13BF" w:rsidRDefault="00DD13BF" w:rsidP="00355A56">
            <w:pPr>
              <w:pStyle w:val="TableParagraph"/>
              <w:rPr>
                <w:sz w:val="20"/>
              </w:rPr>
            </w:pPr>
            <w:r>
              <w:rPr>
                <w:sz w:val="20"/>
              </w:rPr>
              <w:t>ESF+</w:t>
            </w:r>
          </w:p>
        </w:tc>
        <w:tc>
          <w:tcPr>
            <w:tcW w:w="3248" w:type="dxa"/>
          </w:tcPr>
          <w:p w14:paraId="29F734D3" w14:textId="77777777" w:rsidR="00DD13BF" w:rsidRDefault="00DD13BF" w:rsidP="00355A56">
            <w:pPr>
              <w:pStyle w:val="TableParagraph"/>
              <w:rPr>
                <w:sz w:val="20"/>
              </w:rPr>
            </w:pPr>
            <w:r>
              <w:rPr>
                <w:sz w:val="20"/>
              </w:rPr>
              <w:t>More developed</w:t>
            </w:r>
          </w:p>
        </w:tc>
        <w:tc>
          <w:tcPr>
            <w:tcW w:w="3098" w:type="dxa"/>
          </w:tcPr>
          <w:p w14:paraId="0BB25F0B" w14:textId="77777777" w:rsidR="00DD13BF" w:rsidRDefault="00DD13BF" w:rsidP="00355A56">
            <w:pPr>
              <w:pStyle w:val="TableParagraph"/>
              <w:rPr>
                <w:sz w:val="20"/>
              </w:rPr>
            </w:pPr>
            <w:r>
              <w:rPr>
                <w:color w:val="000000"/>
                <w:sz w:val="20"/>
              </w:rPr>
              <w:t>ESO4.4</w:t>
            </w:r>
          </w:p>
        </w:tc>
        <w:tc>
          <w:tcPr>
            <w:tcW w:w="1160" w:type="dxa"/>
          </w:tcPr>
          <w:p w14:paraId="54F4DB0C" w14:textId="77777777" w:rsidR="00DD13BF" w:rsidRDefault="00DD13BF" w:rsidP="00355A56">
            <w:pPr>
              <w:pStyle w:val="TableParagraph"/>
              <w:rPr>
                <w:sz w:val="20"/>
              </w:rPr>
            </w:pPr>
            <w:r>
              <w:rPr>
                <w:sz w:val="20"/>
              </w:rPr>
              <w:t>07</w:t>
            </w:r>
          </w:p>
        </w:tc>
        <w:tc>
          <w:tcPr>
            <w:tcW w:w="2730" w:type="dxa"/>
          </w:tcPr>
          <w:p w14:paraId="50844216" w14:textId="77777777" w:rsidR="00DD13BF" w:rsidRDefault="00DD13BF" w:rsidP="00355A56">
            <w:pPr>
              <w:pStyle w:val="TableParagraph"/>
              <w:rPr>
                <w:sz w:val="20"/>
              </w:rPr>
            </w:pPr>
            <w:r>
              <w:rPr>
                <w:sz w:val="20"/>
              </w:rPr>
              <w:t>966,000</w:t>
            </w:r>
          </w:p>
        </w:tc>
      </w:tr>
    </w:tbl>
    <w:p w14:paraId="70451E1C" w14:textId="77777777" w:rsidR="00DD13BF" w:rsidRPr="00673ADB" w:rsidRDefault="00DD13BF" w:rsidP="00DD13BF"/>
    <w:p w14:paraId="26A1008D" w14:textId="77777777" w:rsidR="00DD13BF" w:rsidRDefault="00DD13BF" w:rsidP="00DD13BF">
      <w:pPr>
        <w:ind w:left="339"/>
      </w:pPr>
      <w:r>
        <w:t>Table 8: Dimension 7 – ESF+*, ERDF, Cohesion Fund and JTF gender equality dimension</w:t>
      </w:r>
    </w:p>
    <w:p w14:paraId="099ED5C0"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53F9BC6" w14:textId="77777777" w:rsidTr="00355A56">
        <w:trPr>
          <w:trHeight w:val="353"/>
        </w:trPr>
        <w:tc>
          <w:tcPr>
            <w:tcW w:w="2088" w:type="dxa"/>
          </w:tcPr>
          <w:p w14:paraId="2D7AE6E4" w14:textId="77777777" w:rsidR="00DD13BF" w:rsidRDefault="00DD13BF" w:rsidP="00355A56">
            <w:pPr>
              <w:pStyle w:val="TableParagraph"/>
              <w:ind w:left="115"/>
            </w:pPr>
            <w:r>
              <w:t>Priority no.</w:t>
            </w:r>
          </w:p>
        </w:tc>
        <w:tc>
          <w:tcPr>
            <w:tcW w:w="1132" w:type="dxa"/>
          </w:tcPr>
          <w:p w14:paraId="5EF87EE2" w14:textId="77777777" w:rsidR="00DD13BF" w:rsidRDefault="00DD13BF" w:rsidP="00355A56">
            <w:pPr>
              <w:pStyle w:val="TableParagraph"/>
              <w:ind w:left="320"/>
            </w:pPr>
            <w:r>
              <w:t>Fund</w:t>
            </w:r>
          </w:p>
        </w:tc>
        <w:tc>
          <w:tcPr>
            <w:tcW w:w="3248" w:type="dxa"/>
          </w:tcPr>
          <w:p w14:paraId="7E289DEE" w14:textId="77777777" w:rsidR="00DD13BF" w:rsidRDefault="00DD13BF" w:rsidP="00355A56">
            <w:pPr>
              <w:pStyle w:val="TableParagraph"/>
              <w:ind w:left="908"/>
            </w:pPr>
            <w:r>
              <w:t>Category of region</w:t>
            </w:r>
          </w:p>
        </w:tc>
        <w:tc>
          <w:tcPr>
            <w:tcW w:w="3098" w:type="dxa"/>
          </w:tcPr>
          <w:p w14:paraId="773FC0FF" w14:textId="77777777" w:rsidR="00DD13BF" w:rsidRDefault="00DD13BF" w:rsidP="00355A56">
            <w:pPr>
              <w:pStyle w:val="TableParagraph"/>
              <w:ind w:left="950"/>
            </w:pPr>
            <w:r>
              <w:t>Specific objective</w:t>
            </w:r>
          </w:p>
        </w:tc>
        <w:tc>
          <w:tcPr>
            <w:tcW w:w="1160" w:type="dxa"/>
          </w:tcPr>
          <w:p w14:paraId="63DBFB7C" w14:textId="77777777" w:rsidR="00DD13BF" w:rsidRDefault="00DD13BF" w:rsidP="00355A56">
            <w:pPr>
              <w:pStyle w:val="TableParagraph"/>
              <w:ind w:left="336"/>
            </w:pPr>
            <w:r>
              <w:t>Code</w:t>
            </w:r>
          </w:p>
        </w:tc>
        <w:tc>
          <w:tcPr>
            <w:tcW w:w="2730" w:type="dxa"/>
          </w:tcPr>
          <w:p w14:paraId="094B9FD6" w14:textId="77777777" w:rsidR="00DD13BF" w:rsidRDefault="00DD13BF" w:rsidP="00355A56">
            <w:pPr>
              <w:pStyle w:val="TableParagraph"/>
              <w:ind w:left="664"/>
            </w:pPr>
            <w:r>
              <w:t>Amount (in EUR)</w:t>
            </w:r>
          </w:p>
        </w:tc>
      </w:tr>
      <w:tr w:rsidR="00DD13BF" w14:paraId="0022B89F" w14:textId="77777777" w:rsidTr="00355A56">
        <w:trPr>
          <w:trHeight w:val="353"/>
        </w:trPr>
        <w:tc>
          <w:tcPr>
            <w:tcW w:w="2088" w:type="dxa"/>
          </w:tcPr>
          <w:p w14:paraId="6447DC42" w14:textId="77777777" w:rsidR="00DD13BF" w:rsidRDefault="00DD13BF" w:rsidP="00355A56">
            <w:pPr>
              <w:pStyle w:val="TableParagraph"/>
              <w:rPr>
                <w:sz w:val="20"/>
              </w:rPr>
            </w:pPr>
            <w:r>
              <w:rPr>
                <w:sz w:val="20"/>
              </w:rPr>
              <w:t>6</w:t>
            </w:r>
          </w:p>
        </w:tc>
        <w:tc>
          <w:tcPr>
            <w:tcW w:w="1132" w:type="dxa"/>
          </w:tcPr>
          <w:p w14:paraId="33D9CE4F" w14:textId="77777777" w:rsidR="00DD13BF" w:rsidRDefault="00DD13BF" w:rsidP="00355A56">
            <w:pPr>
              <w:pStyle w:val="TableParagraph"/>
              <w:rPr>
                <w:sz w:val="20"/>
              </w:rPr>
            </w:pPr>
            <w:r>
              <w:rPr>
                <w:sz w:val="20"/>
              </w:rPr>
              <w:t>ESF+</w:t>
            </w:r>
          </w:p>
        </w:tc>
        <w:tc>
          <w:tcPr>
            <w:tcW w:w="3248" w:type="dxa"/>
          </w:tcPr>
          <w:p w14:paraId="45CC699E" w14:textId="77777777" w:rsidR="00DD13BF" w:rsidRDefault="00DD13BF" w:rsidP="00355A56">
            <w:pPr>
              <w:pStyle w:val="TableParagraph"/>
              <w:rPr>
                <w:sz w:val="20"/>
              </w:rPr>
            </w:pPr>
            <w:r>
              <w:rPr>
                <w:sz w:val="20"/>
              </w:rPr>
              <w:t>Less developed</w:t>
            </w:r>
          </w:p>
          <w:p w14:paraId="4DFC9FB9" w14:textId="77777777" w:rsidR="00DD13BF" w:rsidRDefault="00DD13BF" w:rsidP="00355A56">
            <w:pPr>
              <w:pStyle w:val="TableParagraph"/>
              <w:rPr>
                <w:sz w:val="20"/>
              </w:rPr>
            </w:pPr>
          </w:p>
        </w:tc>
        <w:tc>
          <w:tcPr>
            <w:tcW w:w="3098" w:type="dxa"/>
          </w:tcPr>
          <w:p w14:paraId="6F88676D" w14:textId="77777777" w:rsidR="00DD13BF" w:rsidRDefault="00DD13BF" w:rsidP="00355A56">
            <w:pPr>
              <w:pStyle w:val="TableParagraph"/>
              <w:rPr>
                <w:sz w:val="20"/>
              </w:rPr>
            </w:pPr>
            <w:r>
              <w:rPr>
                <w:color w:val="000000"/>
                <w:sz w:val="20"/>
              </w:rPr>
              <w:t>ESO4.4</w:t>
            </w:r>
          </w:p>
        </w:tc>
        <w:tc>
          <w:tcPr>
            <w:tcW w:w="1160" w:type="dxa"/>
          </w:tcPr>
          <w:p w14:paraId="5EF4BE07" w14:textId="77777777" w:rsidR="00DD13BF" w:rsidRDefault="00DD13BF" w:rsidP="00355A56">
            <w:pPr>
              <w:pStyle w:val="TableParagraph"/>
              <w:rPr>
                <w:sz w:val="20"/>
              </w:rPr>
            </w:pPr>
            <w:r>
              <w:rPr>
                <w:sz w:val="20"/>
              </w:rPr>
              <w:t>02</w:t>
            </w:r>
          </w:p>
        </w:tc>
        <w:tc>
          <w:tcPr>
            <w:tcW w:w="2730" w:type="dxa"/>
          </w:tcPr>
          <w:p w14:paraId="6E2AEF14" w14:textId="77777777" w:rsidR="00DD13BF" w:rsidRDefault="00DD13BF" w:rsidP="00355A56">
            <w:pPr>
              <w:pStyle w:val="TableParagraph"/>
              <w:rPr>
                <w:sz w:val="20"/>
              </w:rPr>
            </w:pPr>
            <w:r>
              <w:rPr>
                <w:sz w:val="20"/>
              </w:rPr>
              <w:t>23,692,000</w:t>
            </w:r>
          </w:p>
        </w:tc>
      </w:tr>
      <w:tr w:rsidR="00DD13BF" w14:paraId="566975EF" w14:textId="77777777" w:rsidTr="00355A56">
        <w:trPr>
          <w:trHeight w:val="353"/>
        </w:trPr>
        <w:tc>
          <w:tcPr>
            <w:tcW w:w="2088" w:type="dxa"/>
          </w:tcPr>
          <w:p w14:paraId="4F116408" w14:textId="77777777" w:rsidR="00DD13BF" w:rsidRDefault="00DD13BF" w:rsidP="00355A56">
            <w:pPr>
              <w:pStyle w:val="TableParagraph"/>
              <w:rPr>
                <w:sz w:val="20"/>
              </w:rPr>
            </w:pPr>
            <w:r>
              <w:rPr>
                <w:sz w:val="20"/>
              </w:rPr>
              <w:t>6</w:t>
            </w:r>
          </w:p>
        </w:tc>
        <w:tc>
          <w:tcPr>
            <w:tcW w:w="1132" w:type="dxa"/>
          </w:tcPr>
          <w:p w14:paraId="6937708E" w14:textId="77777777" w:rsidR="00DD13BF" w:rsidRDefault="00DD13BF" w:rsidP="00355A56">
            <w:pPr>
              <w:pStyle w:val="TableParagraph"/>
              <w:rPr>
                <w:sz w:val="20"/>
              </w:rPr>
            </w:pPr>
            <w:r>
              <w:rPr>
                <w:sz w:val="20"/>
              </w:rPr>
              <w:t>ESF+</w:t>
            </w:r>
          </w:p>
        </w:tc>
        <w:tc>
          <w:tcPr>
            <w:tcW w:w="3248" w:type="dxa"/>
          </w:tcPr>
          <w:p w14:paraId="0EE5E429" w14:textId="77777777" w:rsidR="00DD13BF" w:rsidRDefault="00DD13BF" w:rsidP="00355A56">
            <w:pPr>
              <w:pStyle w:val="TableParagraph"/>
              <w:rPr>
                <w:sz w:val="20"/>
              </w:rPr>
            </w:pPr>
            <w:r>
              <w:rPr>
                <w:sz w:val="20"/>
              </w:rPr>
              <w:t>More developed</w:t>
            </w:r>
          </w:p>
        </w:tc>
        <w:tc>
          <w:tcPr>
            <w:tcW w:w="3098" w:type="dxa"/>
          </w:tcPr>
          <w:p w14:paraId="246EB3F1" w14:textId="77777777" w:rsidR="00DD13BF" w:rsidRDefault="00DD13BF" w:rsidP="00355A56">
            <w:pPr>
              <w:pStyle w:val="TableParagraph"/>
              <w:rPr>
                <w:sz w:val="20"/>
              </w:rPr>
            </w:pPr>
            <w:r>
              <w:rPr>
                <w:color w:val="000000"/>
                <w:sz w:val="20"/>
              </w:rPr>
              <w:t>ESO4.4</w:t>
            </w:r>
          </w:p>
        </w:tc>
        <w:tc>
          <w:tcPr>
            <w:tcW w:w="1160" w:type="dxa"/>
          </w:tcPr>
          <w:p w14:paraId="45F9DD1F" w14:textId="77777777" w:rsidR="00DD13BF" w:rsidRDefault="00DD13BF" w:rsidP="00355A56">
            <w:pPr>
              <w:pStyle w:val="TableParagraph"/>
              <w:rPr>
                <w:sz w:val="20"/>
              </w:rPr>
            </w:pPr>
            <w:r>
              <w:rPr>
                <w:sz w:val="20"/>
              </w:rPr>
              <w:t>02</w:t>
            </w:r>
          </w:p>
        </w:tc>
        <w:tc>
          <w:tcPr>
            <w:tcW w:w="2730" w:type="dxa"/>
          </w:tcPr>
          <w:p w14:paraId="1DA4CD6C" w14:textId="77777777" w:rsidR="00DD13BF" w:rsidRDefault="00DD13BF" w:rsidP="00355A56">
            <w:pPr>
              <w:pStyle w:val="TableParagraph"/>
              <w:rPr>
                <w:sz w:val="20"/>
              </w:rPr>
            </w:pPr>
            <w:r>
              <w:rPr>
                <w:sz w:val="20"/>
              </w:rPr>
              <w:t>7,550,000</w:t>
            </w:r>
          </w:p>
        </w:tc>
      </w:tr>
    </w:tbl>
    <w:p w14:paraId="26DE3987"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651B281" w14:textId="77777777" w:rsidR="00DD13BF" w:rsidRDefault="00DD13BF" w:rsidP="00DD13BF">
      <w:pPr>
        <w:ind w:left="339"/>
        <w:rPr>
          <w:spacing w:val="-7"/>
        </w:rPr>
      </w:pPr>
    </w:p>
    <w:p w14:paraId="7739DD1F" w14:textId="77777777" w:rsidR="00DD13BF" w:rsidRDefault="00DD13BF" w:rsidP="00DD13BF"/>
    <w:p w14:paraId="01E4DB70" w14:textId="77777777" w:rsidR="00DD13BF" w:rsidRDefault="00DD13BF" w:rsidP="00DD13BF"/>
    <w:p w14:paraId="43C2FDD3" w14:textId="77777777" w:rsidR="00DD13BF" w:rsidRDefault="00DD13BF" w:rsidP="00DD13BF">
      <w:r>
        <w:lastRenderedPageBreak/>
        <w:br w:type="page"/>
      </w:r>
    </w:p>
    <w:p w14:paraId="2A9072F4" w14:textId="77777777" w:rsidR="00DD13BF" w:rsidRDefault="00DD13BF" w:rsidP="00DD13BF"/>
    <w:p w14:paraId="0296C952" w14:textId="77777777" w:rsidR="00DD13BF" w:rsidRPr="00BD3536" w:rsidRDefault="00DD13BF" w:rsidP="00DD13BF">
      <w:pPr>
        <w:pStyle w:val="Naslov4"/>
        <w:ind w:left="1134"/>
      </w:pPr>
      <w:bookmarkStart w:id="45" w:name="_Toc131161720"/>
      <w:r>
        <w:t>Specific objective ESO4.5. Improving the quality, inclusiveness, effectiveness and labour market relevance of education and training systems including through validation of non-formal and informal learning, to support acquisition of key competences including entrepreneurial and digital skills, and by promoting the introduction of dual-training systems and apprenticeships (ESF+)</w:t>
      </w:r>
      <w:bookmarkEnd w:id="45"/>
    </w:p>
    <w:p w14:paraId="6DB5F79F" w14:textId="77777777" w:rsidR="00DD13BF" w:rsidRDefault="00DD13BF" w:rsidP="00DD13BF">
      <w:pPr>
        <w:rPr>
          <w:sz w:val="30"/>
        </w:rPr>
      </w:pPr>
    </w:p>
    <w:p w14:paraId="78E98EBD" w14:textId="77777777" w:rsidR="00DD13BF" w:rsidRPr="00C10464" w:rsidRDefault="00DD13BF" w:rsidP="00DD13BF">
      <w:pPr>
        <w:pStyle w:val="Naslov5"/>
        <w:spacing w:before="0"/>
      </w:pPr>
      <w:r>
        <w:t>Interventions of the Funds</w:t>
      </w:r>
    </w:p>
    <w:p w14:paraId="3315E2DF" w14:textId="77777777" w:rsidR="00DD13BF" w:rsidRDefault="00DD13BF" w:rsidP="00DD13BF">
      <w:pPr>
        <w:rPr>
          <w:sz w:val="30"/>
        </w:rPr>
      </w:pPr>
    </w:p>
    <w:p w14:paraId="69AD4260" w14:textId="77777777" w:rsidR="00DD13BF" w:rsidRDefault="00DD13BF" w:rsidP="00DD13BF">
      <w:pPr>
        <w:ind w:left="1349"/>
        <w:rPr>
          <w:spacing w:val="-2"/>
        </w:rPr>
      </w:pPr>
      <w:r>
        <w:t>Related types of actions:</w:t>
      </w:r>
    </w:p>
    <w:p w14:paraId="36D85403"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3F2D0E4A" w14:textId="77777777" w:rsidTr="00355A56">
        <w:trPr>
          <w:trHeight w:val="316"/>
        </w:trPr>
        <w:tc>
          <w:tcPr>
            <w:tcW w:w="12758" w:type="dxa"/>
          </w:tcPr>
          <w:p w14:paraId="241BC997" w14:textId="77777777" w:rsidR="00DD13BF" w:rsidRDefault="00DD13BF" w:rsidP="00355A56">
            <w:pPr>
              <w:jc w:val="both"/>
              <w:rPr>
                <w:rFonts w:cstheme="minorHAnsi"/>
              </w:rPr>
            </w:pPr>
            <w:r>
              <w:t>In line with the Country Report – Slovenia 2019, Annex D and the SDS 2030, the measures will be intended to improve the quality and effectiveness of education and training, and their suitability for the labour market, and also to support the acquisition of the key competences by upgrading the model of working with talented people and career orientation. Also crucial are strengthening the competences of professionals in various fields and cooperation between schools, employers and other social partners, and establishing a comprehensive support environment for students. A connection to the S5 will also be logical.</w:t>
            </w:r>
          </w:p>
          <w:p w14:paraId="591158CE" w14:textId="77777777" w:rsidR="00DD13BF" w:rsidRDefault="00DD13BF" w:rsidP="00355A56">
            <w:pPr>
              <w:jc w:val="both"/>
              <w:rPr>
                <w:rFonts w:cstheme="minorHAnsi"/>
              </w:rPr>
            </w:pPr>
          </w:p>
          <w:p w14:paraId="0988C476" w14:textId="77777777" w:rsidR="00DD13BF" w:rsidRDefault="00DD13BF" w:rsidP="00355A56">
            <w:pPr>
              <w:jc w:val="both"/>
              <w:rPr>
                <w:rFonts w:cstheme="minorHAnsi"/>
              </w:rPr>
            </w:pPr>
            <w:r>
              <w:t>In line with the aforementioned, the following fields will be supported:</w:t>
            </w:r>
          </w:p>
          <w:p w14:paraId="5EE58C60" w14:textId="77777777" w:rsidR="00DD13BF" w:rsidRPr="00F32B15" w:rsidRDefault="00DD13BF" w:rsidP="00DD13BF">
            <w:pPr>
              <w:widowControl/>
              <w:numPr>
                <w:ilvl w:val="0"/>
                <w:numId w:val="34"/>
              </w:numPr>
              <w:autoSpaceDE/>
              <w:autoSpaceDN/>
              <w:jc w:val="both"/>
              <w:rPr>
                <w:rFonts w:asciiTheme="minorHAnsi" w:hAnsiTheme="minorHAnsi"/>
              </w:rPr>
            </w:pPr>
            <w:r>
              <w:t>Enhancing key competences such as digital, language, entrepreneurial, intercultural, citizenship, mathematical and natural science, and personal and social competences, multilingualism, reading and media literacy, cultural awareness and expression, creativity, computational thinking, critical thinking, a healthy attitude towards oneself, preventing violence and addiction, and global learning and education for sustainable development (ESD) to maintain the ranking of Slovenian students in the top quarter of countries in the PISA study. To systematically introduce interdisciplinary and (cross)curricular links with an emphasis on the active role of students, flexible forms of learning and partnerships with stakeholders from the environment (also in the field of cultural and artistic education) will be promoted. The problem of inequality in the achievements of boys and girls, which is pronounced in reading literacy, will be addressed. The role of school libraries, which support the educational process and persons involved, will also be enhanced. Transversal competences, which facilitate a better social and emotional aspect of comprehensive personal development, will be strengthened, and the issue of space to ensure the individuals’ work-life balance will be addressed.</w:t>
            </w:r>
          </w:p>
          <w:p w14:paraId="274730D8" w14:textId="77777777" w:rsidR="00DD13BF" w:rsidRDefault="00DD13BF" w:rsidP="00355A56">
            <w:pPr>
              <w:ind w:left="720"/>
              <w:jc w:val="both"/>
              <w:rPr>
                <w:rFonts w:cstheme="minorHAnsi"/>
              </w:rPr>
            </w:pPr>
          </w:p>
          <w:p w14:paraId="71298C82" w14:textId="77777777" w:rsidR="00DD13BF" w:rsidRPr="001E5AD4" w:rsidRDefault="00DD13BF" w:rsidP="00DD13BF">
            <w:pPr>
              <w:widowControl/>
              <w:numPr>
                <w:ilvl w:val="0"/>
                <w:numId w:val="34"/>
              </w:numPr>
              <w:autoSpaceDE/>
              <w:autoSpaceDN/>
              <w:jc w:val="both"/>
              <w:rPr>
                <w:rFonts w:cstheme="minorHAnsi"/>
              </w:rPr>
            </w:pPr>
            <w:r>
              <w:rPr>
                <w:i/>
                <w:iCs/>
              </w:rPr>
              <w:t>Improving the quality and effectiveness of education and training</w:t>
            </w:r>
            <w:r>
              <w:t>, i.e.:</w:t>
            </w:r>
          </w:p>
          <w:p w14:paraId="62004059" w14:textId="77777777" w:rsidR="00DD13BF" w:rsidRDefault="00DD13BF" w:rsidP="00DD13BF">
            <w:pPr>
              <w:widowControl/>
              <w:numPr>
                <w:ilvl w:val="1"/>
                <w:numId w:val="34"/>
              </w:numPr>
              <w:autoSpaceDE/>
              <w:autoSpaceDN/>
              <w:jc w:val="both"/>
              <w:rPr>
                <w:rFonts w:cstheme="minorBidi"/>
              </w:rPr>
            </w:pPr>
            <w:r>
              <w:t xml:space="preserve">Digitally transforming education, which includes schools’ digital strategy, strengthening pedagogical digital competences and expanding their communities to exchange and evaluate good practice, introducing new subjects pertaining to the basics of computing and informatics, creatively using technologies, developing and establishing new pedagogical models using e-contents, improving knowledge in the field of cyber security and AI in accordance with the EC’s Digital Education Action </w:t>
            </w:r>
            <w:r>
              <w:lastRenderedPageBreak/>
              <w:t>Plan</w:t>
            </w:r>
            <w:r w:rsidRPr="0848C57F">
              <w:rPr>
                <w:rStyle w:val="Sprotnaopomba-sklic"/>
                <w:rFonts w:cstheme="minorBidi"/>
              </w:rPr>
              <w:footnoteReference w:id="160"/>
            </w:r>
            <w:r>
              <w:t>. The measures will complement the contents of the RRP, which are intended for systemic changes in the development of digital competences and the basics of computing and informatics with an emphasis on lessons.</w:t>
            </w:r>
          </w:p>
          <w:p w14:paraId="3EB1908A" w14:textId="77777777" w:rsidR="00DD13BF" w:rsidRPr="00AF1057" w:rsidRDefault="00DD13BF" w:rsidP="00DD13BF">
            <w:pPr>
              <w:numPr>
                <w:ilvl w:val="1"/>
                <w:numId w:val="34"/>
              </w:numPr>
              <w:jc w:val="both"/>
              <w:rPr>
                <w:rFonts w:cstheme="minorBidi"/>
              </w:rPr>
            </w:pPr>
            <w:r>
              <w:t xml:space="preserve">The system of professional and </w:t>
            </w:r>
            <w:r>
              <w:rPr>
                <w:i/>
                <w:iCs/>
              </w:rPr>
              <w:t>career development of professionals and managers in education</w:t>
            </w:r>
            <w:r>
              <w:t xml:space="preserve"> will be upgraded: initial and further education, mentorship, introduction to the occupation and work, career path planning and management, promotion of, and support for, principals. To strengthen the reputation of this occupation and to co-create a learning community, promotional activities will be carried out, and support will be established for the digitisation of procedures related to the career path. Training will also be updated and implemented. Professionals and managers will be trained to transfer knowledge using modern methods/approaches with an emphasis on experiential learning, competences that must be developed in the participants of the training (e.g. creativity, solving problem tasks, responsible citizenship, sustainable development, cooperation, etc.) and connecting with the local environment. They will also be empowered to work with children with special needs by developing alternative paths (based on experience from the 2014–2020 period), and to provide a safe and stimulating learning environment (preventing and dealing with violence, intercultural coexistence, a healthy and creative way of life, addiction prevention, etc.). </w:t>
            </w:r>
          </w:p>
          <w:p w14:paraId="3D02E1CA" w14:textId="77777777" w:rsidR="00DD13BF" w:rsidRDefault="00DD13BF" w:rsidP="00355A56">
            <w:pPr>
              <w:ind w:left="1440"/>
              <w:jc w:val="both"/>
              <w:rPr>
                <w:rFonts w:cstheme="minorBidi"/>
              </w:rPr>
            </w:pPr>
            <w:r>
              <w:t xml:space="preserve">The results from past projects, e.g. concepts and experiences in the field of introduction to the occupation (Learning to be a teacher, First job), quality (quality standards of professional learning and performance of professionals, and management of kindergartens and schools) and support to principals (Management of innovative learning environments) will be taken into account. Based on the experience from targeted professional training for professionals in education and training for direct work with specific students with special needs, the concept will also be used in other content areas in the 2021–2027 period. In this way, educational institutions will be supported in responding to their current needs, thereby strengthening the learning community, providing a safe and stimulating learning environment for each individual, and improving the quality and efficiency of the education system. </w:t>
            </w:r>
          </w:p>
          <w:p w14:paraId="329CCC30" w14:textId="77777777" w:rsidR="00DD13BF" w:rsidRPr="00E27FBA" w:rsidRDefault="00DD13BF" w:rsidP="00355A56">
            <w:pPr>
              <w:jc w:val="both"/>
              <w:rPr>
                <w:rFonts w:cstheme="minorHAnsi"/>
              </w:rPr>
            </w:pPr>
            <w:r>
              <w:tab/>
            </w:r>
          </w:p>
          <w:p w14:paraId="4452240E" w14:textId="77777777" w:rsidR="00DD13BF" w:rsidRPr="001E5AD4" w:rsidRDefault="00DD13BF" w:rsidP="00DD13BF">
            <w:pPr>
              <w:widowControl/>
              <w:numPr>
                <w:ilvl w:val="0"/>
                <w:numId w:val="34"/>
              </w:numPr>
              <w:autoSpaceDE/>
              <w:autoSpaceDN/>
              <w:jc w:val="both"/>
              <w:rPr>
                <w:rFonts w:cstheme="minorBidi"/>
              </w:rPr>
            </w:pPr>
            <w:r>
              <w:rPr>
                <w:i/>
                <w:iCs/>
              </w:rPr>
              <w:t>Enhancing the suitability of the education system for the labour market</w:t>
            </w:r>
            <w:r>
              <w:t xml:space="preserve"> in two key intervention fields:</w:t>
            </w:r>
            <w:r>
              <w:rPr>
                <w:i/>
              </w:rPr>
              <w:t xml:space="preserve"> </w:t>
            </w:r>
          </w:p>
          <w:p w14:paraId="1E3E0607" w14:textId="77777777" w:rsidR="00DD13BF" w:rsidRPr="00B32726" w:rsidRDefault="00DD13BF" w:rsidP="00DD13BF">
            <w:pPr>
              <w:widowControl/>
              <w:numPr>
                <w:ilvl w:val="1"/>
                <w:numId w:val="34"/>
              </w:numPr>
              <w:autoSpaceDE/>
              <w:autoSpaceDN/>
              <w:jc w:val="both"/>
            </w:pPr>
            <w:r>
              <w:t xml:space="preserve">Improving the responsiveness of vocational and professional education to the needs of the labour market, the cooperation of educational institutions with employers or social partners will be enhanced. Vocational and professional education programmes and short programmes in the field of professional training will be developed and implemented. The activities will be aimed at preparing professionals for high-quality curriculum planning and implementation. By enhancing the cooperation between employers and social partners in the educational process, young people will enter the labour market with more practical skills. Adequately trained personnel will provide effective practical training. Vocational and professional education will be promoted. </w:t>
            </w:r>
          </w:p>
          <w:p w14:paraId="4C7A0552" w14:textId="77777777" w:rsidR="00DD13BF" w:rsidRPr="00B32726" w:rsidRDefault="00DD13BF" w:rsidP="00DD13BF">
            <w:pPr>
              <w:widowControl/>
              <w:numPr>
                <w:ilvl w:val="1"/>
                <w:numId w:val="34"/>
              </w:numPr>
              <w:autoSpaceDE/>
              <w:autoSpaceDN/>
              <w:jc w:val="both"/>
            </w:pPr>
            <w:r>
              <w:t xml:space="preserve">Establishing a comprehensive support environment at higher education institutions focused on the student and activities for the successful and prompt completion of studies (following students from enrolment to graduation and employment, career counselling, tutoring system, assistance with international mobility, support for students with special needs or special status, organisation of practical training for students, development of student competences through extracurricular activities, monitoring the satisfaction of students and graduates, etc.). Higher education teachers and professionals will be trained to develop innovative learning environments based on new ICT and introduce new teaching practices. To obtain horizontal skills, </w:t>
            </w:r>
            <w:r>
              <w:lastRenderedPageBreak/>
              <w:t>and social, emotional, digital and other competences, various forms of practical training of students in a real work environment will be promoted during their studies: problem-based learning in the form of project work with the (non-)economy, non-profit, non-governmental sector within the framework of pilot projects, checking the possibility of organising long-term practical training, etc.).</w:t>
            </w:r>
          </w:p>
          <w:p w14:paraId="002AFF46" w14:textId="77777777" w:rsidR="00DD13BF" w:rsidRPr="0010282C" w:rsidRDefault="00DD13BF" w:rsidP="00355A56">
            <w:pPr>
              <w:ind w:left="720"/>
              <w:jc w:val="both"/>
              <w:rPr>
                <w:rFonts w:cstheme="minorHAnsi"/>
                <w:highlight w:val="yellow"/>
              </w:rPr>
            </w:pPr>
          </w:p>
          <w:p w14:paraId="0C8FC3CD" w14:textId="77777777" w:rsidR="00DD13BF" w:rsidRPr="00DF2970" w:rsidRDefault="00DD13BF" w:rsidP="00DD13BF">
            <w:pPr>
              <w:pStyle w:val="Odstavekseznama"/>
              <w:widowControl/>
              <w:numPr>
                <w:ilvl w:val="0"/>
                <w:numId w:val="34"/>
              </w:numPr>
              <w:autoSpaceDE/>
              <w:autoSpaceDN/>
              <w:jc w:val="both"/>
              <w:rPr>
                <w:rFonts w:ascii="Times New Roman" w:hAnsi="Times New Roman" w:cs="Times New Roman"/>
              </w:rPr>
            </w:pPr>
            <w:r>
              <w:rPr>
                <w:rFonts w:ascii="Times New Roman" w:hAnsi="Times New Roman"/>
                <w:i/>
              </w:rPr>
              <w:t>Measures in the field of lifelong career guidance (LCG):</w:t>
            </w:r>
          </w:p>
          <w:p w14:paraId="025738C4" w14:textId="77777777" w:rsidR="00DD13BF" w:rsidRPr="00F2321A" w:rsidRDefault="00DD13BF" w:rsidP="00DD13BF">
            <w:pPr>
              <w:pStyle w:val="Odstavekseznama"/>
              <w:widowControl/>
              <w:numPr>
                <w:ilvl w:val="1"/>
                <w:numId w:val="34"/>
              </w:numPr>
              <w:autoSpaceDE/>
              <w:autoSpaceDN/>
              <w:jc w:val="both"/>
              <w:rPr>
                <w:rFonts w:ascii="Times New Roman" w:hAnsi="Times New Roman" w:cs="Times New Roman"/>
              </w:rPr>
            </w:pPr>
            <w:r>
              <w:rPr>
                <w:rFonts w:ascii="Times New Roman" w:hAnsi="Times New Roman"/>
              </w:rPr>
              <w:t xml:space="preserve">Strengthening career centres for young people will enable them to receive appropriate professional and career counselling during and after schooling. From the aspect of ensuring quality career paths, young people must be informed about and encouraged into occupations that have personnel shortages, and be provided with information on occupations of the future and possible career paths, and their chances of entering the labour market must be enhanced. In career centres for young people, the emphasis will be on providing professional help to young people so that they can seek and choose a career path, and on identifying the needs and specifics of the local environment and regions, particularly by connecting with local schools and employers. Special attention will be paid to NEET. </w:t>
            </w:r>
          </w:p>
          <w:p w14:paraId="672955EA" w14:textId="77777777" w:rsidR="00DD13BF" w:rsidRPr="00F2321A" w:rsidRDefault="00DD13BF" w:rsidP="00DD13BF">
            <w:pPr>
              <w:pStyle w:val="Odstavekseznama"/>
              <w:widowControl/>
              <w:numPr>
                <w:ilvl w:val="1"/>
                <w:numId w:val="34"/>
              </w:numPr>
              <w:autoSpaceDE/>
              <w:autoSpaceDN/>
              <w:jc w:val="both"/>
              <w:rPr>
                <w:rFonts w:ascii="Times New Roman" w:hAnsi="Times New Roman" w:cs="Times New Roman"/>
              </w:rPr>
            </w:pPr>
            <w:r>
              <w:rPr>
                <w:rFonts w:ascii="Times New Roman" w:hAnsi="Times New Roman"/>
              </w:rPr>
              <w:t>Promoting the development of new content in educating talented students and improving existing approaches for more flexible forms of learning: by improving or by expanding the network of institutions that provide activities for talented people, better quality and diverse work with them will be provided. As a result, more talented people will receive tailored support.</w:t>
            </w:r>
          </w:p>
          <w:p w14:paraId="37D1CEBA" w14:textId="77777777" w:rsidR="00DD13BF" w:rsidRPr="000A7EBC" w:rsidRDefault="00DD13BF" w:rsidP="00DD13BF">
            <w:pPr>
              <w:widowControl/>
              <w:numPr>
                <w:ilvl w:val="1"/>
                <w:numId w:val="34"/>
              </w:numPr>
              <w:autoSpaceDE/>
              <w:autoSpaceDN/>
              <w:jc w:val="both"/>
              <w:rPr>
                <w:rFonts w:cstheme="minorBidi"/>
              </w:rPr>
            </w:pPr>
            <w:r>
              <w:t>Measures in the field of scholarships for specialised occupations in culture: they upgrade the policy of regular scholarships and are intended for (in)formal education abroad. They support international mobility, making contacts, and support a more efficient entry to the labour market. Beneficiaries are students who are unemployed, or whose income is not sufficient to cover the costs of studying abroad (including the socially disadvantaged, as their monthly income does not exceed the statutory minimum wage in the Republic of Slovenia). Educational institutions in the field of culture in the Republic of Slovenia are specialised, so certain programmes cannot be studied, and study programmes are not implemented/organised in all the required fields of cultural arts. Scholarships will enable suitable education, the acquisition of suitable knowledge, and the development of talents, thus filling the gaps with knowledge that individuals cannot acquire during their education in Slovenia, or are upgraded. This would prevent the exclusion of talented socially disadvantaged Slovenian artists and contribute to the international recognition of Slovenian culture.</w:t>
            </w:r>
          </w:p>
          <w:p w14:paraId="06F47B8F" w14:textId="77777777" w:rsidR="00DD13BF" w:rsidRDefault="00DD13BF" w:rsidP="00355A56">
            <w:pPr>
              <w:ind w:left="1440"/>
              <w:jc w:val="both"/>
            </w:pPr>
          </w:p>
          <w:p w14:paraId="6C34C316" w14:textId="77777777" w:rsidR="00DD13BF" w:rsidRPr="001E5AD4" w:rsidRDefault="00DD13BF" w:rsidP="00355A56">
            <w:pPr>
              <w:jc w:val="both"/>
              <w:rPr>
                <w:rFonts w:cstheme="minorBidi"/>
              </w:rPr>
            </w:pPr>
            <w:r>
              <w:t>By their nature, these are measures that do not have a predictable negative impact on environmental objectives, making them consistent with the DNSH principle.</w:t>
            </w:r>
          </w:p>
        </w:tc>
      </w:tr>
    </w:tbl>
    <w:p w14:paraId="3E8A0AEB" w14:textId="77777777" w:rsidR="00DD13BF" w:rsidRDefault="00DD13BF" w:rsidP="00DD13BF">
      <w:pPr>
        <w:ind w:left="1349"/>
        <w:rPr>
          <w:spacing w:val="-6"/>
        </w:rPr>
      </w:pPr>
    </w:p>
    <w:p w14:paraId="50D1B1A3" w14:textId="77777777" w:rsidR="00DD13BF" w:rsidRDefault="00DD13BF" w:rsidP="00DD13BF">
      <w:pPr>
        <w:ind w:left="1349"/>
      </w:pPr>
      <w:r>
        <w:t>Main target groups:</w:t>
      </w:r>
    </w:p>
    <w:p w14:paraId="17989302"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36B08F6" w14:textId="77777777" w:rsidTr="00355A56">
        <w:tc>
          <w:tcPr>
            <w:tcW w:w="12763" w:type="dxa"/>
          </w:tcPr>
          <w:p w14:paraId="534C7091" w14:textId="77777777" w:rsidR="00DD13BF" w:rsidRDefault="00DD13BF" w:rsidP="00355A56">
            <w:pPr>
              <w:jc w:val="both"/>
            </w:pPr>
            <w:r>
              <w:t xml:space="preserve">Target groups: children, pupils, secondary school and university students, graduates, educational institutions, organisations providing higher professional education, higher educational institutions, public organisations for adult education, private organisations providing education programmes, professionals and managers in education, mentors of on-the-job training, associations and communities in education, employers, </w:t>
            </w:r>
            <w:r>
              <w:lastRenderedPageBreak/>
              <w:t>employers’ associations, chambers, professionals in cultural institutions, and artists.</w:t>
            </w:r>
          </w:p>
          <w:p w14:paraId="36875766" w14:textId="77777777" w:rsidR="00DD13BF" w:rsidRDefault="00DD13BF" w:rsidP="00355A56">
            <w:pPr>
              <w:jc w:val="both"/>
            </w:pPr>
          </w:p>
          <w:p w14:paraId="0130AD0A" w14:textId="77777777" w:rsidR="00DD13BF" w:rsidRPr="00B3569A" w:rsidRDefault="00DD13BF" w:rsidP="00355A56">
            <w:pPr>
              <w:jc w:val="both"/>
              <w:rPr>
                <w:rFonts w:cstheme="minorHAnsi"/>
              </w:rPr>
            </w:pPr>
            <w:r>
              <w:t>Beneficiaries: ministry, educational institutions, organisations providing higher professional education, higher educational institutions, public organisations for adult education, private organisations providing education programmes, public institutes, public agencies, public funds, public research institutes, employers, employers’ associations, chambers, providers and mentors of on-the-job training, associations and communities in education, non-governmental organisations, and other institutions recognised as beneficiaries in accordance with the legislation or relevant selection procedures.</w:t>
            </w:r>
          </w:p>
        </w:tc>
      </w:tr>
    </w:tbl>
    <w:p w14:paraId="7C43A546" w14:textId="77777777" w:rsidR="00DD13BF" w:rsidRDefault="00DD13BF" w:rsidP="00DD13BF">
      <w:pPr>
        <w:ind w:left="1349"/>
      </w:pPr>
    </w:p>
    <w:p w14:paraId="4A2866EA" w14:textId="77777777" w:rsidR="00DD13BF" w:rsidRDefault="00DD13BF" w:rsidP="00DD13BF">
      <w:pPr>
        <w:ind w:left="1349"/>
        <w:rPr>
          <w:spacing w:val="-2"/>
        </w:rPr>
      </w:pPr>
      <w:r>
        <w:t>Measures to protect equality, inclusion and non-discrimination:</w:t>
      </w:r>
    </w:p>
    <w:p w14:paraId="0B00FBD9"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7916AB9D" w14:textId="77777777" w:rsidTr="00355A56">
        <w:tc>
          <w:tcPr>
            <w:tcW w:w="12715" w:type="dxa"/>
          </w:tcPr>
          <w:p w14:paraId="3FCA6955" w14:textId="77777777" w:rsidR="00DD13BF" w:rsidRDefault="00DD13BF" w:rsidP="00355A56">
            <w:pPr>
              <w:jc w:val="both"/>
              <w:rPr>
                <w:rFonts w:cstheme="minorHAnsi"/>
              </w:rPr>
            </w:pPr>
            <w:r>
              <w:t>Pursuant to Article 2 of the Organisation and Financing of Education Act</w:t>
            </w:r>
            <w:r w:rsidRPr="0848C57F">
              <w:rPr>
                <w:rStyle w:val="Sprotnaopomba-sklic"/>
                <w:rFonts w:cstheme="minorBidi"/>
              </w:rPr>
              <w:footnoteReference w:id="161"/>
            </w:r>
            <w:r>
              <w:t xml:space="preserve">, the fundamental objectives of the education system in Slovenia will be taken into account when implementing measures in the field of the education system, above all ensuring the optimal development of individuals regardless of personal circumstances (gender, social and cultural origin, religion, race, ethnic origin, nationality, and physical and mental constitution or disability). In the planning, implementation and monitoring of measures, transparent and non-discriminatory inclusion or equal opportunity for participation or access will be ensured. The measures will contribute to the objectives of the European Pillar of Social Rights. Equal opportunities will be guaranteed for all stakeholders in education (learners, educators, researchers in measures to reduce the digital divide, etc.), and other (didactic) aspects of equality and equal opportunities (different motivations of stakeholders, effective forms of positive discrimination, particularly in the field of reading literacy, to reduce the gender gap, providing a safe and stimulating learning environment) will be actively taken into account. </w:t>
            </w:r>
          </w:p>
          <w:p w14:paraId="5337AFE1" w14:textId="77777777" w:rsidR="00DD13BF" w:rsidRDefault="00DD13BF" w:rsidP="00355A56">
            <w:pPr>
              <w:jc w:val="both"/>
              <w:rPr>
                <w:rFonts w:cstheme="minorHAnsi"/>
              </w:rPr>
            </w:pPr>
          </w:p>
          <w:p w14:paraId="1A6327F4" w14:textId="77777777" w:rsidR="00DD13BF" w:rsidRDefault="00DD13BF" w:rsidP="00355A56">
            <w:pPr>
              <w:jc w:val="both"/>
              <w:rPr>
                <w:rFonts w:cstheme="minorHAnsi"/>
              </w:rPr>
            </w:pPr>
            <w:r>
              <w:t>All young people can participate in the measures – the inclusion of women in occupations that are still considered more “masculine” in society today will be promoted, and special attention will be paid to young people with special needs in school. We will also focus specifically on young dropouts (NEET). In the long term, the measures will contribute to competences for the future, a lower unemployment rate and, consequently, to a lower number of people being at risk of poverty and social exclusion, and to the promotion of equality by reducing the gender gap in knowledge.</w:t>
            </w:r>
          </w:p>
          <w:p w14:paraId="69006D9E" w14:textId="77777777" w:rsidR="00DD13BF" w:rsidRDefault="00DD13BF" w:rsidP="00355A56">
            <w:pPr>
              <w:jc w:val="both"/>
              <w:rPr>
                <w:rFonts w:cstheme="minorHAnsi"/>
              </w:rPr>
            </w:pPr>
          </w:p>
          <w:p w14:paraId="507A2628" w14:textId="77777777" w:rsidR="00DD13BF" w:rsidRPr="00B3569A" w:rsidRDefault="00DD13BF" w:rsidP="00355A56">
            <w:pPr>
              <w:jc w:val="both"/>
              <w:rPr>
                <w:rFonts w:cstheme="minorHAnsi"/>
              </w:rPr>
            </w:pPr>
            <w:r>
              <w:t>Career orientation measures, including the enhancement of career centres for young people, comply with the objective of the Sustainable Development Strategy, as they promote the development of a democratic, socially inclusive, cohesive, and just society that respects fundamental rights and cultural diversity, creates equal opportunities, and combats all forms of discrimination.</w:t>
            </w:r>
          </w:p>
        </w:tc>
      </w:tr>
    </w:tbl>
    <w:p w14:paraId="75C29321" w14:textId="77777777" w:rsidR="00DD13BF" w:rsidRDefault="00DD13BF" w:rsidP="00DD13BF">
      <w:pPr>
        <w:rPr>
          <w:sz w:val="20"/>
        </w:rPr>
      </w:pPr>
    </w:p>
    <w:p w14:paraId="449344CF" w14:textId="77777777" w:rsidR="00DD13BF" w:rsidRDefault="00DD13BF" w:rsidP="00DD13BF">
      <w:pPr>
        <w:ind w:left="1415"/>
        <w:rPr>
          <w:spacing w:val="-4"/>
        </w:rPr>
      </w:pPr>
      <w:r>
        <w:t>Indication of the specific territories targeted, including the planned use of territorial tools:</w:t>
      </w:r>
    </w:p>
    <w:p w14:paraId="60C3A1B9"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0750744D" w14:textId="77777777" w:rsidTr="00355A56">
        <w:tc>
          <w:tcPr>
            <w:tcW w:w="12763" w:type="dxa"/>
          </w:tcPr>
          <w:p w14:paraId="4C201EF5" w14:textId="77777777" w:rsidR="00DD13BF" w:rsidRPr="00B3569A" w:rsidRDefault="00DD13BF" w:rsidP="00355A56">
            <w:pPr>
              <w:jc w:val="both"/>
              <w:rPr>
                <w:rFonts w:cstheme="minorHAnsi"/>
              </w:rPr>
            </w:pPr>
            <w:r>
              <w:t>Under this specific objective, the use of territorial tools is not foreseen.</w:t>
            </w:r>
          </w:p>
        </w:tc>
      </w:tr>
    </w:tbl>
    <w:p w14:paraId="348A528A" w14:textId="77777777" w:rsidR="00DD13BF" w:rsidRDefault="00DD13BF" w:rsidP="00DD13BF">
      <w:pPr>
        <w:rPr>
          <w:sz w:val="18"/>
        </w:rPr>
      </w:pPr>
    </w:p>
    <w:p w14:paraId="398D4430" w14:textId="77777777" w:rsidR="00DD13BF" w:rsidRDefault="00DD13BF" w:rsidP="00DD13BF">
      <w:pPr>
        <w:ind w:left="1415"/>
      </w:pPr>
      <w:r>
        <w:t>The interregional, cross-border and transnational actions:</w:t>
      </w:r>
    </w:p>
    <w:p w14:paraId="7B7DA6EC"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26807A1" w14:textId="77777777" w:rsidTr="00355A56">
        <w:tc>
          <w:tcPr>
            <w:tcW w:w="12763" w:type="dxa"/>
          </w:tcPr>
          <w:p w14:paraId="1E79A280" w14:textId="77777777" w:rsidR="00DD13BF" w:rsidRDefault="00DD13BF" w:rsidP="00355A56">
            <w:pPr>
              <w:jc w:val="both"/>
              <w:rPr>
                <w:rFonts w:cstheme="minorHAnsi"/>
              </w:rPr>
            </w:pPr>
            <w:r>
              <w:t>Investments in measures in the field of ​​the education system will also contribute to measures within macro-regions. The activities will be logically combined with activities in various cross-border programmes (particularly ISO build up mutual trust by promoting measures related to people-to-people projects). The measures will be implemented in the field of ​​the quality of ethnic education for the Italian and Hungarian national communities in Slovenia, and the Slovenian national communities in Italy and Hungary, and will be aimed at connecting the national communities on both sides of the border to strengthen integration, and the transfer of knowledge and good practices. The activities complement the planned Interreg programmes Italy–Slovenia and Slovenia–Hungary.</w:t>
            </w:r>
          </w:p>
          <w:p w14:paraId="3B5BB83B" w14:textId="77777777" w:rsidR="00DD13BF" w:rsidRDefault="00DD13BF" w:rsidP="00355A56">
            <w:pPr>
              <w:jc w:val="both"/>
              <w:rPr>
                <w:rFonts w:cstheme="minorHAnsi"/>
              </w:rPr>
            </w:pPr>
          </w:p>
          <w:p w14:paraId="48B77DF5" w14:textId="77777777" w:rsidR="00DD13BF" w:rsidRPr="00B3569A" w:rsidRDefault="00DD13BF" w:rsidP="00355A56">
            <w:pPr>
              <w:jc w:val="both"/>
              <w:rPr>
                <w:rFonts w:cstheme="minorHAnsi"/>
              </w:rPr>
            </w:pPr>
            <w:r>
              <w:t xml:space="preserve">The measures will also contribute to the flagship project of the EU Strategy for the Danube Region (EUSDR) “European Quality Assurance in Vocational Education and Training National Reference Points”, the objectives of which are to contribute to better educational outcomes and competences, enhance the involvement of vocational education and training students in reviewing and improving vocational education and training programmes, improve the capacity of vocational education and training schools to use the quality assurance mechanism and its instruments, focus on additional elements of the new EQAVET, and develop international cooperation in quality assurance in vocational education and training by providing support for peer collaboration in the EU. </w:t>
            </w:r>
          </w:p>
        </w:tc>
      </w:tr>
    </w:tbl>
    <w:p w14:paraId="2BF98D59" w14:textId="77777777" w:rsidR="00DD13BF" w:rsidRDefault="00DD13BF" w:rsidP="00DD13BF">
      <w:pPr>
        <w:tabs>
          <w:tab w:val="left" w:pos="8910"/>
        </w:tabs>
        <w:rPr>
          <w:sz w:val="17"/>
        </w:rPr>
      </w:pPr>
      <w:r>
        <w:rPr>
          <w:sz w:val="17"/>
        </w:rPr>
        <w:tab/>
      </w:r>
    </w:p>
    <w:p w14:paraId="1FB04B5A" w14:textId="77777777" w:rsidR="00DD13BF" w:rsidRDefault="00DD13BF" w:rsidP="00DD13BF">
      <w:pPr>
        <w:ind w:left="1415"/>
        <w:rPr>
          <w:spacing w:val="-3"/>
        </w:rPr>
      </w:pPr>
      <w:r>
        <w:t>Planned use of financial instruments:</w:t>
      </w:r>
    </w:p>
    <w:p w14:paraId="49478221"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6568F8C2" w14:textId="77777777" w:rsidTr="00355A56">
        <w:tc>
          <w:tcPr>
            <w:tcW w:w="12758" w:type="dxa"/>
          </w:tcPr>
          <w:p w14:paraId="5757FBF0"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These are measures related to the public education system, the operation of which is funded from the state budget. As a rule, educational institutions do not have market activity or it is very limited and dedicated, therefore, they cannot borrow money on the market.</w:t>
            </w:r>
          </w:p>
        </w:tc>
      </w:tr>
    </w:tbl>
    <w:p w14:paraId="071C0AC3" w14:textId="77777777" w:rsidR="00DD13BF" w:rsidRDefault="00DD13BF" w:rsidP="00DD13BF">
      <w:pPr>
        <w:rPr>
          <w:sz w:val="20"/>
        </w:rPr>
      </w:pPr>
    </w:p>
    <w:p w14:paraId="59D59DF9" w14:textId="77777777" w:rsidR="00DD13BF" w:rsidRDefault="00DD13BF" w:rsidP="00DD13BF">
      <w:pPr>
        <w:rPr>
          <w:sz w:val="20"/>
        </w:rPr>
      </w:pPr>
    </w:p>
    <w:p w14:paraId="731A5011" w14:textId="77777777" w:rsidR="00DD13BF" w:rsidRDefault="00DD13BF" w:rsidP="00DD13BF">
      <w:pPr>
        <w:pStyle w:val="Naslov5"/>
        <w:spacing w:before="0"/>
      </w:pPr>
      <w:r>
        <w:t>Indicators</w:t>
      </w:r>
    </w:p>
    <w:p w14:paraId="537E8A9F" w14:textId="77777777" w:rsidR="00DD13BF" w:rsidRDefault="00DD13BF" w:rsidP="00DD13BF"/>
    <w:p w14:paraId="3898C5B6" w14:textId="77777777" w:rsidR="00DD13BF" w:rsidRDefault="00DD13BF" w:rsidP="00DD13BF">
      <w:pPr>
        <w:ind w:left="379"/>
        <w:rPr>
          <w:spacing w:val="-6"/>
        </w:rPr>
      </w:pPr>
      <w:r>
        <w:t>Table 2: Impact indicators</w:t>
      </w:r>
    </w:p>
    <w:p w14:paraId="57E5A9B0" w14:textId="77777777" w:rsidR="00DD13BF" w:rsidRDefault="00DD13BF" w:rsidP="00DD13BF">
      <w:pPr>
        <w:ind w:left="379"/>
        <w:rPr>
          <w:spacing w:val="-6"/>
        </w:rPr>
      </w:pPr>
    </w:p>
    <w:tbl>
      <w:tblPr>
        <w:tblStyle w:val="NormalTable0"/>
        <w:tblW w:w="1374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74"/>
        <w:gridCol w:w="707"/>
        <w:gridCol w:w="1699"/>
        <w:gridCol w:w="777"/>
        <w:gridCol w:w="4331"/>
        <w:gridCol w:w="1275"/>
        <w:gridCol w:w="1416"/>
        <w:gridCol w:w="1133"/>
      </w:tblGrid>
      <w:tr w:rsidR="00DD13BF" w14:paraId="4935C529" w14:textId="77777777" w:rsidTr="00355A56">
        <w:trPr>
          <w:trHeight w:val="254"/>
        </w:trPr>
        <w:tc>
          <w:tcPr>
            <w:tcW w:w="1134" w:type="dxa"/>
            <w:vAlign w:val="center"/>
          </w:tcPr>
          <w:p w14:paraId="20ABA539" w14:textId="77777777" w:rsidR="00DD13BF" w:rsidRDefault="00DD13BF" w:rsidP="00355A56">
            <w:pPr>
              <w:pStyle w:val="TableParagraph"/>
              <w:ind w:right="82"/>
            </w:pPr>
            <w:r>
              <w:t>Priority</w:t>
            </w:r>
          </w:p>
        </w:tc>
        <w:tc>
          <w:tcPr>
            <w:tcW w:w="1274" w:type="dxa"/>
            <w:vAlign w:val="center"/>
          </w:tcPr>
          <w:p w14:paraId="73EE3ED7" w14:textId="77777777" w:rsidR="00DD13BF" w:rsidRDefault="00DD13BF" w:rsidP="00355A56">
            <w:pPr>
              <w:pStyle w:val="TableParagraph"/>
            </w:pPr>
            <w:r>
              <w:t>Specific objective</w:t>
            </w:r>
          </w:p>
        </w:tc>
        <w:tc>
          <w:tcPr>
            <w:tcW w:w="707" w:type="dxa"/>
            <w:vAlign w:val="center"/>
          </w:tcPr>
          <w:p w14:paraId="15EDB4B8" w14:textId="77777777" w:rsidR="00DD13BF" w:rsidRDefault="00DD13BF" w:rsidP="00355A56">
            <w:pPr>
              <w:pStyle w:val="TableParagraph"/>
            </w:pPr>
            <w:r>
              <w:t>Fund</w:t>
            </w:r>
          </w:p>
        </w:tc>
        <w:tc>
          <w:tcPr>
            <w:tcW w:w="1699" w:type="dxa"/>
            <w:vAlign w:val="center"/>
          </w:tcPr>
          <w:p w14:paraId="5B3ABF00" w14:textId="77777777" w:rsidR="00DD13BF" w:rsidRDefault="00DD13BF" w:rsidP="00355A56">
            <w:pPr>
              <w:pStyle w:val="TableParagraph"/>
            </w:pPr>
            <w:r>
              <w:t>Category of region</w:t>
            </w:r>
          </w:p>
        </w:tc>
        <w:tc>
          <w:tcPr>
            <w:tcW w:w="777" w:type="dxa"/>
            <w:vAlign w:val="center"/>
          </w:tcPr>
          <w:p w14:paraId="77BE39C4" w14:textId="77777777" w:rsidR="00DD13BF" w:rsidRPr="00347461" w:rsidRDefault="00DD13BF" w:rsidP="00355A56">
            <w:pPr>
              <w:pStyle w:val="TableParagraph"/>
              <w:rPr>
                <w:sz w:val="20"/>
              </w:rPr>
            </w:pPr>
            <w:r>
              <w:t>ID</w:t>
            </w:r>
          </w:p>
        </w:tc>
        <w:tc>
          <w:tcPr>
            <w:tcW w:w="4331" w:type="dxa"/>
            <w:vAlign w:val="center"/>
          </w:tcPr>
          <w:p w14:paraId="57BAFB14" w14:textId="77777777" w:rsidR="00DD13BF" w:rsidRPr="00347461" w:rsidRDefault="00DD13BF" w:rsidP="00355A56">
            <w:pPr>
              <w:pStyle w:val="TableParagraph"/>
              <w:rPr>
                <w:sz w:val="20"/>
              </w:rPr>
            </w:pPr>
            <w:r>
              <w:t>Indicators</w:t>
            </w:r>
          </w:p>
        </w:tc>
        <w:tc>
          <w:tcPr>
            <w:tcW w:w="1275" w:type="dxa"/>
            <w:vAlign w:val="center"/>
          </w:tcPr>
          <w:p w14:paraId="3B3F173E" w14:textId="77777777" w:rsidR="00DD13BF" w:rsidRPr="00347461" w:rsidRDefault="00DD13BF" w:rsidP="00355A56">
            <w:pPr>
              <w:pStyle w:val="TableParagraph"/>
              <w:rPr>
                <w:sz w:val="20"/>
              </w:rPr>
            </w:pPr>
            <w:r>
              <w:t>Measurement unit</w:t>
            </w:r>
          </w:p>
        </w:tc>
        <w:tc>
          <w:tcPr>
            <w:tcW w:w="1416" w:type="dxa"/>
            <w:vAlign w:val="center"/>
          </w:tcPr>
          <w:p w14:paraId="7E6B6B5A" w14:textId="77777777" w:rsidR="00DD13BF" w:rsidRPr="00347461" w:rsidRDefault="00DD13BF" w:rsidP="00355A56">
            <w:pPr>
              <w:pStyle w:val="TableParagraph"/>
              <w:rPr>
                <w:sz w:val="20"/>
              </w:rPr>
            </w:pPr>
            <w:r>
              <w:t>Milestone (2014)</w:t>
            </w:r>
          </w:p>
        </w:tc>
        <w:tc>
          <w:tcPr>
            <w:tcW w:w="1133" w:type="dxa"/>
            <w:vAlign w:val="center"/>
          </w:tcPr>
          <w:p w14:paraId="7A0266FC" w14:textId="77777777" w:rsidR="00DD13BF" w:rsidRDefault="00DD13BF" w:rsidP="00355A56">
            <w:pPr>
              <w:pStyle w:val="TableParagraph"/>
            </w:pPr>
            <w:r>
              <w:t>Target (2029)</w:t>
            </w:r>
          </w:p>
        </w:tc>
      </w:tr>
      <w:tr w:rsidR="00DD13BF" w14:paraId="5FBA62FB" w14:textId="77777777" w:rsidTr="00355A56">
        <w:trPr>
          <w:trHeight w:val="367"/>
        </w:trPr>
        <w:tc>
          <w:tcPr>
            <w:tcW w:w="1134" w:type="dxa"/>
          </w:tcPr>
          <w:p w14:paraId="2ED99A3A" w14:textId="77777777" w:rsidR="00DD13BF" w:rsidRDefault="00DD13BF" w:rsidP="00355A56">
            <w:pPr>
              <w:pStyle w:val="TableParagraph"/>
              <w:rPr>
                <w:sz w:val="20"/>
              </w:rPr>
            </w:pPr>
            <w:r>
              <w:rPr>
                <w:sz w:val="20"/>
              </w:rPr>
              <w:t xml:space="preserve">6 </w:t>
            </w:r>
          </w:p>
        </w:tc>
        <w:tc>
          <w:tcPr>
            <w:tcW w:w="1274" w:type="dxa"/>
          </w:tcPr>
          <w:p w14:paraId="6CFE5EDC" w14:textId="77777777" w:rsidR="00DD13BF" w:rsidRPr="00317DC3" w:rsidRDefault="00DD13BF" w:rsidP="00355A56">
            <w:pPr>
              <w:pStyle w:val="TableParagraph"/>
              <w:rPr>
                <w:sz w:val="20"/>
              </w:rPr>
            </w:pPr>
            <w:r>
              <w:rPr>
                <w:color w:val="000000"/>
                <w:sz w:val="20"/>
              </w:rPr>
              <w:t>ESO4.5</w:t>
            </w:r>
          </w:p>
        </w:tc>
        <w:tc>
          <w:tcPr>
            <w:tcW w:w="707" w:type="dxa"/>
          </w:tcPr>
          <w:p w14:paraId="758A1C2C" w14:textId="77777777" w:rsidR="00DD13BF" w:rsidRDefault="00DD13BF" w:rsidP="00355A56">
            <w:pPr>
              <w:pStyle w:val="TableParagraph"/>
              <w:rPr>
                <w:sz w:val="20"/>
              </w:rPr>
            </w:pPr>
            <w:r>
              <w:rPr>
                <w:sz w:val="20"/>
              </w:rPr>
              <w:t xml:space="preserve">ESF+ </w:t>
            </w:r>
          </w:p>
        </w:tc>
        <w:tc>
          <w:tcPr>
            <w:tcW w:w="1699" w:type="dxa"/>
          </w:tcPr>
          <w:p w14:paraId="4E67C6BC" w14:textId="77777777" w:rsidR="00DD13BF" w:rsidRPr="00F63433" w:rsidRDefault="00DD13BF" w:rsidP="00355A56">
            <w:pPr>
              <w:pStyle w:val="TableParagraph"/>
              <w:rPr>
                <w:sz w:val="20"/>
              </w:rPr>
            </w:pPr>
            <w:r>
              <w:rPr>
                <w:sz w:val="20"/>
              </w:rPr>
              <w:t xml:space="preserve">Less developed </w:t>
            </w:r>
          </w:p>
        </w:tc>
        <w:tc>
          <w:tcPr>
            <w:tcW w:w="777" w:type="dxa"/>
          </w:tcPr>
          <w:p w14:paraId="7E3FF2C9" w14:textId="77777777" w:rsidR="00DD13BF" w:rsidRPr="00F63433" w:rsidRDefault="00DD13BF" w:rsidP="00355A56">
            <w:pPr>
              <w:pStyle w:val="TableParagraph"/>
              <w:rPr>
                <w:sz w:val="20"/>
              </w:rPr>
            </w:pPr>
            <w:r>
              <w:rPr>
                <w:sz w:val="20"/>
              </w:rPr>
              <w:t xml:space="preserve">EECO05 </w:t>
            </w:r>
          </w:p>
        </w:tc>
        <w:tc>
          <w:tcPr>
            <w:tcW w:w="4331" w:type="dxa"/>
          </w:tcPr>
          <w:p w14:paraId="7651F6B6" w14:textId="77777777" w:rsidR="00DD13BF" w:rsidRPr="00F63433" w:rsidRDefault="00DD13BF" w:rsidP="00355A56">
            <w:pPr>
              <w:pStyle w:val="TableParagraph"/>
              <w:rPr>
                <w:sz w:val="20"/>
              </w:rPr>
            </w:pPr>
            <w:r>
              <w:rPr>
                <w:sz w:val="20"/>
              </w:rPr>
              <w:t xml:space="preserve">Employed, including self-employed  </w:t>
            </w:r>
          </w:p>
        </w:tc>
        <w:tc>
          <w:tcPr>
            <w:tcW w:w="1275" w:type="dxa"/>
          </w:tcPr>
          <w:p w14:paraId="4172A153" w14:textId="77777777" w:rsidR="00DD13BF" w:rsidRPr="00F63433" w:rsidRDefault="00DD13BF" w:rsidP="00355A56">
            <w:pPr>
              <w:pStyle w:val="TableParagraph"/>
              <w:rPr>
                <w:sz w:val="20"/>
              </w:rPr>
            </w:pPr>
            <w:r>
              <w:rPr>
                <w:color w:val="000000"/>
                <w:sz w:val="20"/>
              </w:rPr>
              <w:t>Persons</w:t>
            </w:r>
          </w:p>
        </w:tc>
        <w:tc>
          <w:tcPr>
            <w:tcW w:w="1416" w:type="dxa"/>
          </w:tcPr>
          <w:p w14:paraId="65A3B4B5" w14:textId="77777777" w:rsidR="00DD13BF" w:rsidRPr="00F63433" w:rsidRDefault="00DD13BF" w:rsidP="00355A56">
            <w:pPr>
              <w:pStyle w:val="TableParagraph"/>
              <w:rPr>
                <w:sz w:val="20"/>
              </w:rPr>
            </w:pPr>
            <w:r>
              <w:rPr>
                <w:sz w:val="20"/>
              </w:rPr>
              <w:t xml:space="preserve">1,378 </w:t>
            </w:r>
          </w:p>
        </w:tc>
        <w:tc>
          <w:tcPr>
            <w:tcW w:w="1133" w:type="dxa"/>
          </w:tcPr>
          <w:p w14:paraId="54586F80" w14:textId="77777777" w:rsidR="00DD13BF" w:rsidRPr="00F63433" w:rsidRDefault="00DD13BF" w:rsidP="00355A56">
            <w:pPr>
              <w:pStyle w:val="TableParagraph"/>
              <w:rPr>
                <w:sz w:val="20"/>
              </w:rPr>
            </w:pPr>
            <w:r>
              <w:rPr>
                <w:sz w:val="20"/>
              </w:rPr>
              <w:t xml:space="preserve">12,768 </w:t>
            </w:r>
          </w:p>
        </w:tc>
      </w:tr>
      <w:tr w:rsidR="00DD13BF" w14:paraId="584A100D" w14:textId="77777777" w:rsidTr="00355A56">
        <w:trPr>
          <w:trHeight w:val="367"/>
        </w:trPr>
        <w:tc>
          <w:tcPr>
            <w:tcW w:w="1134" w:type="dxa"/>
          </w:tcPr>
          <w:p w14:paraId="0C741D17" w14:textId="77777777" w:rsidR="00DD13BF" w:rsidRDefault="00DD13BF" w:rsidP="00355A56">
            <w:pPr>
              <w:pStyle w:val="TableParagraph"/>
              <w:rPr>
                <w:sz w:val="20"/>
              </w:rPr>
            </w:pPr>
            <w:r>
              <w:rPr>
                <w:sz w:val="20"/>
              </w:rPr>
              <w:t xml:space="preserve">6 </w:t>
            </w:r>
          </w:p>
        </w:tc>
        <w:tc>
          <w:tcPr>
            <w:tcW w:w="1274" w:type="dxa"/>
          </w:tcPr>
          <w:p w14:paraId="5D8CB007" w14:textId="77777777" w:rsidR="00DD13BF" w:rsidRPr="00317DC3" w:rsidRDefault="00DD13BF" w:rsidP="00355A56">
            <w:pPr>
              <w:pStyle w:val="TableParagraph"/>
              <w:rPr>
                <w:sz w:val="20"/>
              </w:rPr>
            </w:pPr>
            <w:r>
              <w:rPr>
                <w:color w:val="000000"/>
                <w:sz w:val="20"/>
              </w:rPr>
              <w:t>ESO4.5</w:t>
            </w:r>
          </w:p>
        </w:tc>
        <w:tc>
          <w:tcPr>
            <w:tcW w:w="707" w:type="dxa"/>
          </w:tcPr>
          <w:p w14:paraId="7949F0FA" w14:textId="77777777" w:rsidR="00DD13BF" w:rsidRDefault="00DD13BF" w:rsidP="00355A56">
            <w:pPr>
              <w:pStyle w:val="TableParagraph"/>
              <w:rPr>
                <w:sz w:val="20"/>
              </w:rPr>
            </w:pPr>
            <w:r>
              <w:rPr>
                <w:sz w:val="20"/>
              </w:rPr>
              <w:t xml:space="preserve">ESF+ </w:t>
            </w:r>
          </w:p>
        </w:tc>
        <w:tc>
          <w:tcPr>
            <w:tcW w:w="1699" w:type="dxa"/>
          </w:tcPr>
          <w:p w14:paraId="24AEB15D" w14:textId="77777777" w:rsidR="00DD13BF" w:rsidRPr="00F63433" w:rsidRDefault="00DD13BF" w:rsidP="00355A56">
            <w:pPr>
              <w:pStyle w:val="TableParagraph"/>
              <w:rPr>
                <w:sz w:val="20"/>
              </w:rPr>
            </w:pPr>
            <w:r>
              <w:rPr>
                <w:sz w:val="20"/>
              </w:rPr>
              <w:t xml:space="preserve">More developed </w:t>
            </w:r>
          </w:p>
        </w:tc>
        <w:tc>
          <w:tcPr>
            <w:tcW w:w="777" w:type="dxa"/>
          </w:tcPr>
          <w:p w14:paraId="5CD71114" w14:textId="77777777" w:rsidR="00DD13BF" w:rsidRPr="00F63433" w:rsidRDefault="00DD13BF" w:rsidP="00355A56">
            <w:pPr>
              <w:pStyle w:val="TableParagraph"/>
              <w:rPr>
                <w:sz w:val="20"/>
              </w:rPr>
            </w:pPr>
            <w:r w:rsidRPr="00F46D55">
              <w:rPr>
                <w:sz w:val="20"/>
                <w:highlight w:val="yellow"/>
              </w:rPr>
              <w:t>EECO05</w:t>
            </w:r>
            <w:r>
              <w:rPr>
                <w:sz w:val="20"/>
              </w:rPr>
              <w:t xml:space="preserve"> </w:t>
            </w:r>
          </w:p>
        </w:tc>
        <w:tc>
          <w:tcPr>
            <w:tcW w:w="4331" w:type="dxa"/>
          </w:tcPr>
          <w:p w14:paraId="41B7135E" w14:textId="77777777" w:rsidR="00DD13BF" w:rsidRPr="00F63433" w:rsidRDefault="00DD13BF" w:rsidP="00355A56">
            <w:pPr>
              <w:pStyle w:val="TableParagraph"/>
              <w:rPr>
                <w:sz w:val="20"/>
              </w:rPr>
            </w:pPr>
            <w:r>
              <w:rPr>
                <w:sz w:val="20"/>
              </w:rPr>
              <w:t xml:space="preserve">Employed, including self-employed  </w:t>
            </w:r>
          </w:p>
        </w:tc>
        <w:tc>
          <w:tcPr>
            <w:tcW w:w="1275" w:type="dxa"/>
          </w:tcPr>
          <w:p w14:paraId="276ED497" w14:textId="77777777" w:rsidR="00DD13BF" w:rsidRPr="00F63433" w:rsidRDefault="00DD13BF" w:rsidP="00355A56">
            <w:pPr>
              <w:pStyle w:val="TableParagraph"/>
              <w:rPr>
                <w:sz w:val="20"/>
              </w:rPr>
            </w:pPr>
            <w:r>
              <w:rPr>
                <w:color w:val="000000"/>
                <w:sz w:val="20"/>
              </w:rPr>
              <w:t>Persons</w:t>
            </w:r>
          </w:p>
        </w:tc>
        <w:tc>
          <w:tcPr>
            <w:tcW w:w="1416" w:type="dxa"/>
          </w:tcPr>
          <w:p w14:paraId="61DE7DB8" w14:textId="77777777" w:rsidR="00DD13BF" w:rsidRPr="00F63433" w:rsidRDefault="00DD13BF" w:rsidP="00355A56">
            <w:pPr>
              <w:pStyle w:val="TableParagraph"/>
              <w:rPr>
                <w:sz w:val="20"/>
              </w:rPr>
            </w:pPr>
            <w:r>
              <w:rPr>
                <w:sz w:val="20"/>
              </w:rPr>
              <w:t xml:space="preserve">1,222 </w:t>
            </w:r>
          </w:p>
        </w:tc>
        <w:tc>
          <w:tcPr>
            <w:tcW w:w="1133" w:type="dxa"/>
          </w:tcPr>
          <w:p w14:paraId="2F89E605" w14:textId="77777777" w:rsidR="00DD13BF" w:rsidRPr="00F63433" w:rsidRDefault="00DD13BF" w:rsidP="00355A56">
            <w:pPr>
              <w:pStyle w:val="TableParagraph"/>
              <w:rPr>
                <w:sz w:val="20"/>
              </w:rPr>
            </w:pPr>
            <w:r>
              <w:rPr>
                <w:sz w:val="20"/>
              </w:rPr>
              <w:t xml:space="preserve">11,983 </w:t>
            </w:r>
          </w:p>
        </w:tc>
      </w:tr>
      <w:tr w:rsidR="00DD13BF" w:rsidRPr="005D3E3B" w14:paraId="64E4592D" w14:textId="77777777" w:rsidTr="00355A56">
        <w:trPr>
          <w:trHeight w:val="367"/>
        </w:trPr>
        <w:tc>
          <w:tcPr>
            <w:tcW w:w="1134" w:type="dxa"/>
          </w:tcPr>
          <w:p w14:paraId="2C56B271" w14:textId="77777777" w:rsidR="00DD13BF" w:rsidRPr="005D3E3B" w:rsidRDefault="00DD13BF" w:rsidP="00355A56">
            <w:pPr>
              <w:pStyle w:val="TableParagraph"/>
              <w:rPr>
                <w:sz w:val="20"/>
              </w:rPr>
            </w:pPr>
            <w:r>
              <w:rPr>
                <w:sz w:val="20"/>
              </w:rPr>
              <w:lastRenderedPageBreak/>
              <w:t xml:space="preserve">6 </w:t>
            </w:r>
          </w:p>
        </w:tc>
        <w:tc>
          <w:tcPr>
            <w:tcW w:w="1274" w:type="dxa"/>
          </w:tcPr>
          <w:p w14:paraId="15086C39" w14:textId="77777777" w:rsidR="00DD13BF" w:rsidRPr="005D3E3B" w:rsidRDefault="00DD13BF" w:rsidP="00355A56">
            <w:pPr>
              <w:pStyle w:val="TableParagraph"/>
              <w:rPr>
                <w:sz w:val="20"/>
              </w:rPr>
            </w:pPr>
            <w:r>
              <w:rPr>
                <w:color w:val="000000"/>
                <w:sz w:val="20"/>
              </w:rPr>
              <w:t>ESO4.5</w:t>
            </w:r>
          </w:p>
        </w:tc>
        <w:tc>
          <w:tcPr>
            <w:tcW w:w="707" w:type="dxa"/>
          </w:tcPr>
          <w:p w14:paraId="7F2C9202" w14:textId="77777777" w:rsidR="00DD13BF" w:rsidRPr="005D3E3B" w:rsidRDefault="00DD13BF" w:rsidP="00355A56">
            <w:pPr>
              <w:pStyle w:val="TableParagraph"/>
              <w:rPr>
                <w:sz w:val="20"/>
              </w:rPr>
            </w:pPr>
            <w:r>
              <w:rPr>
                <w:sz w:val="20"/>
              </w:rPr>
              <w:t xml:space="preserve">ESF+ </w:t>
            </w:r>
          </w:p>
        </w:tc>
        <w:tc>
          <w:tcPr>
            <w:tcW w:w="1699" w:type="dxa"/>
          </w:tcPr>
          <w:p w14:paraId="6BEA459E" w14:textId="77777777" w:rsidR="00DD13BF" w:rsidRPr="005D3E3B" w:rsidRDefault="00DD13BF" w:rsidP="00355A56">
            <w:pPr>
              <w:pStyle w:val="TableParagraph"/>
              <w:rPr>
                <w:sz w:val="20"/>
              </w:rPr>
            </w:pPr>
            <w:r>
              <w:rPr>
                <w:sz w:val="20"/>
              </w:rPr>
              <w:t xml:space="preserve">Less developed </w:t>
            </w:r>
          </w:p>
        </w:tc>
        <w:tc>
          <w:tcPr>
            <w:tcW w:w="777" w:type="dxa"/>
          </w:tcPr>
          <w:p w14:paraId="157DB803" w14:textId="77777777" w:rsidR="00DD13BF" w:rsidRPr="005D3E3B" w:rsidRDefault="00DD13BF" w:rsidP="00355A56">
            <w:pPr>
              <w:pStyle w:val="TableParagraph"/>
              <w:rPr>
                <w:sz w:val="20"/>
              </w:rPr>
            </w:pPr>
            <w:commentRangeStart w:id="46"/>
            <w:r>
              <w:rPr>
                <w:sz w:val="20"/>
              </w:rPr>
              <w:t>EECO07</w:t>
            </w:r>
            <w:commentRangeEnd w:id="46"/>
            <w:r>
              <w:rPr>
                <w:rStyle w:val="Pripombasklic"/>
                <w:rFonts w:asciiTheme="minorHAnsi" w:eastAsiaTheme="minorHAnsi" w:hAnsiTheme="minorHAnsi" w:cstheme="minorBidi"/>
              </w:rPr>
              <w:commentReference w:id="46"/>
            </w:r>
            <w:r>
              <w:rPr>
                <w:sz w:val="20"/>
              </w:rPr>
              <w:t xml:space="preserve">  </w:t>
            </w:r>
          </w:p>
        </w:tc>
        <w:tc>
          <w:tcPr>
            <w:tcW w:w="4331" w:type="dxa"/>
          </w:tcPr>
          <w:p w14:paraId="1308F713" w14:textId="77777777" w:rsidR="00DD13BF" w:rsidRPr="005D3E3B" w:rsidRDefault="00DD13BF" w:rsidP="00355A56">
            <w:pPr>
              <w:pStyle w:val="TableParagraph"/>
              <w:rPr>
                <w:sz w:val="20"/>
              </w:rPr>
            </w:pPr>
            <w:r>
              <w:rPr>
                <w:sz w:val="20"/>
              </w:rPr>
              <w:t xml:space="preserve">Young people between 18 and 29 years of age </w:t>
            </w:r>
          </w:p>
        </w:tc>
        <w:tc>
          <w:tcPr>
            <w:tcW w:w="1275" w:type="dxa"/>
          </w:tcPr>
          <w:p w14:paraId="59FB5F47" w14:textId="77777777" w:rsidR="00DD13BF" w:rsidRPr="005D3E3B" w:rsidRDefault="00DD13BF" w:rsidP="00355A56">
            <w:pPr>
              <w:pStyle w:val="TableParagraph"/>
              <w:rPr>
                <w:sz w:val="20"/>
              </w:rPr>
            </w:pPr>
            <w:r>
              <w:rPr>
                <w:color w:val="000000"/>
                <w:sz w:val="20"/>
              </w:rPr>
              <w:t>Persons</w:t>
            </w:r>
          </w:p>
        </w:tc>
        <w:tc>
          <w:tcPr>
            <w:tcW w:w="1416" w:type="dxa"/>
          </w:tcPr>
          <w:p w14:paraId="1B831CA8" w14:textId="77777777" w:rsidR="00DD13BF" w:rsidRPr="005D3E3B" w:rsidRDefault="00DD13BF" w:rsidP="00355A56">
            <w:pPr>
              <w:pStyle w:val="TableParagraph"/>
              <w:rPr>
                <w:sz w:val="20"/>
              </w:rPr>
            </w:pPr>
            <w:r>
              <w:rPr>
                <w:sz w:val="20"/>
              </w:rPr>
              <w:t>28</w:t>
            </w:r>
          </w:p>
        </w:tc>
        <w:tc>
          <w:tcPr>
            <w:tcW w:w="1133" w:type="dxa"/>
          </w:tcPr>
          <w:p w14:paraId="0FEF2829" w14:textId="77777777" w:rsidR="00DD13BF" w:rsidRPr="005D3E3B" w:rsidRDefault="00DD13BF" w:rsidP="00355A56">
            <w:pPr>
              <w:pStyle w:val="TableParagraph"/>
              <w:rPr>
                <w:sz w:val="20"/>
              </w:rPr>
            </w:pPr>
            <w:r>
              <w:rPr>
                <w:sz w:val="20"/>
              </w:rPr>
              <w:t xml:space="preserve">20,679 </w:t>
            </w:r>
          </w:p>
        </w:tc>
      </w:tr>
      <w:tr w:rsidR="00DD13BF" w:rsidRPr="005D3E3B" w14:paraId="773BEE7D" w14:textId="77777777" w:rsidTr="00355A56">
        <w:trPr>
          <w:trHeight w:val="367"/>
        </w:trPr>
        <w:tc>
          <w:tcPr>
            <w:tcW w:w="1134" w:type="dxa"/>
          </w:tcPr>
          <w:p w14:paraId="273DFA9A" w14:textId="77777777" w:rsidR="00DD13BF" w:rsidRPr="005D3E3B" w:rsidRDefault="00DD13BF" w:rsidP="00355A56">
            <w:pPr>
              <w:pStyle w:val="TableParagraph"/>
              <w:rPr>
                <w:sz w:val="20"/>
              </w:rPr>
            </w:pPr>
            <w:r>
              <w:rPr>
                <w:sz w:val="20"/>
              </w:rPr>
              <w:t xml:space="preserve">6 </w:t>
            </w:r>
          </w:p>
        </w:tc>
        <w:tc>
          <w:tcPr>
            <w:tcW w:w="1274" w:type="dxa"/>
          </w:tcPr>
          <w:p w14:paraId="0FC3A4F7" w14:textId="77777777" w:rsidR="00DD13BF" w:rsidRPr="005D3E3B" w:rsidRDefault="00DD13BF" w:rsidP="00355A56">
            <w:pPr>
              <w:pStyle w:val="TableParagraph"/>
              <w:rPr>
                <w:sz w:val="20"/>
              </w:rPr>
            </w:pPr>
            <w:r>
              <w:rPr>
                <w:color w:val="000000"/>
                <w:sz w:val="20"/>
              </w:rPr>
              <w:t>ESO4.5</w:t>
            </w:r>
          </w:p>
        </w:tc>
        <w:tc>
          <w:tcPr>
            <w:tcW w:w="707" w:type="dxa"/>
          </w:tcPr>
          <w:p w14:paraId="5F9C41FD" w14:textId="77777777" w:rsidR="00DD13BF" w:rsidRPr="005D3E3B" w:rsidRDefault="00DD13BF" w:rsidP="00355A56">
            <w:pPr>
              <w:pStyle w:val="TableParagraph"/>
              <w:rPr>
                <w:sz w:val="20"/>
              </w:rPr>
            </w:pPr>
            <w:r>
              <w:rPr>
                <w:sz w:val="20"/>
              </w:rPr>
              <w:t xml:space="preserve">ESF+ </w:t>
            </w:r>
          </w:p>
        </w:tc>
        <w:tc>
          <w:tcPr>
            <w:tcW w:w="1699" w:type="dxa"/>
          </w:tcPr>
          <w:p w14:paraId="089C71D6" w14:textId="77777777" w:rsidR="00DD13BF" w:rsidRPr="005D3E3B" w:rsidRDefault="00DD13BF" w:rsidP="00355A56">
            <w:pPr>
              <w:pStyle w:val="TableParagraph"/>
              <w:rPr>
                <w:sz w:val="20"/>
              </w:rPr>
            </w:pPr>
            <w:r>
              <w:rPr>
                <w:sz w:val="20"/>
              </w:rPr>
              <w:t xml:space="preserve">More developed </w:t>
            </w:r>
          </w:p>
        </w:tc>
        <w:tc>
          <w:tcPr>
            <w:tcW w:w="777" w:type="dxa"/>
          </w:tcPr>
          <w:p w14:paraId="74C7D9EF" w14:textId="77777777" w:rsidR="00DD13BF" w:rsidRPr="005D3E3B" w:rsidRDefault="00DD13BF" w:rsidP="00355A56">
            <w:pPr>
              <w:pStyle w:val="TableParagraph"/>
              <w:rPr>
                <w:sz w:val="20"/>
              </w:rPr>
            </w:pPr>
            <w:r w:rsidRPr="00F46D55">
              <w:rPr>
                <w:sz w:val="20"/>
                <w:highlight w:val="yellow"/>
              </w:rPr>
              <w:t>EECO07</w:t>
            </w:r>
            <w:r>
              <w:rPr>
                <w:sz w:val="20"/>
              </w:rPr>
              <w:t xml:space="preserve">  </w:t>
            </w:r>
          </w:p>
        </w:tc>
        <w:tc>
          <w:tcPr>
            <w:tcW w:w="4331" w:type="dxa"/>
          </w:tcPr>
          <w:p w14:paraId="320092B2" w14:textId="77777777" w:rsidR="00DD13BF" w:rsidRPr="005D3E3B" w:rsidRDefault="00DD13BF" w:rsidP="00355A56">
            <w:pPr>
              <w:pStyle w:val="TableParagraph"/>
              <w:rPr>
                <w:rFonts w:cs="Calibri"/>
                <w:sz w:val="20"/>
              </w:rPr>
            </w:pPr>
            <w:r>
              <w:rPr>
                <w:sz w:val="20"/>
              </w:rPr>
              <w:t xml:space="preserve">Young people between 18 and 29 years of age </w:t>
            </w:r>
          </w:p>
        </w:tc>
        <w:tc>
          <w:tcPr>
            <w:tcW w:w="1275" w:type="dxa"/>
          </w:tcPr>
          <w:p w14:paraId="5B088DA8" w14:textId="77777777" w:rsidR="00DD13BF" w:rsidRPr="005D3E3B" w:rsidRDefault="00DD13BF" w:rsidP="00355A56">
            <w:pPr>
              <w:pStyle w:val="TableParagraph"/>
              <w:rPr>
                <w:sz w:val="20"/>
              </w:rPr>
            </w:pPr>
            <w:r>
              <w:rPr>
                <w:color w:val="000000"/>
                <w:sz w:val="20"/>
              </w:rPr>
              <w:t>Persons</w:t>
            </w:r>
          </w:p>
        </w:tc>
        <w:tc>
          <w:tcPr>
            <w:tcW w:w="1416" w:type="dxa"/>
          </w:tcPr>
          <w:p w14:paraId="722F3B72" w14:textId="77777777" w:rsidR="00DD13BF" w:rsidRPr="005D3E3B" w:rsidRDefault="00DD13BF" w:rsidP="00355A56">
            <w:pPr>
              <w:pStyle w:val="TableParagraph"/>
              <w:rPr>
                <w:sz w:val="20"/>
              </w:rPr>
            </w:pPr>
            <w:r>
              <w:rPr>
                <w:sz w:val="20"/>
              </w:rPr>
              <w:t>12</w:t>
            </w:r>
          </w:p>
        </w:tc>
        <w:tc>
          <w:tcPr>
            <w:tcW w:w="1133" w:type="dxa"/>
          </w:tcPr>
          <w:p w14:paraId="19088751" w14:textId="77777777" w:rsidR="00DD13BF" w:rsidRPr="005D3E3B" w:rsidRDefault="00DD13BF" w:rsidP="00355A56">
            <w:pPr>
              <w:pStyle w:val="TableParagraph"/>
              <w:rPr>
                <w:sz w:val="20"/>
              </w:rPr>
            </w:pPr>
            <w:r>
              <w:rPr>
                <w:sz w:val="20"/>
              </w:rPr>
              <w:t>41,681</w:t>
            </w:r>
          </w:p>
        </w:tc>
      </w:tr>
      <w:tr w:rsidR="00DD13BF" w:rsidRPr="005D3E3B" w14:paraId="4B81BC6A" w14:textId="77777777" w:rsidTr="00355A56">
        <w:trPr>
          <w:trHeight w:val="367"/>
        </w:trPr>
        <w:tc>
          <w:tcPr>
            <w:tcW w:w="1134" w:type="dxa"/>
          </w:tcPr>
          <w:p w14:paraId="513916DD" w14:textId="77777777" w:rsidR="00DD13BF" w:rsidRPr="005D3E3B" w:rsidRDefault="00DD13BF" w:rsidP="00355A56">
            <w:pPr>
              <w:pStyle w:val="TableParagraph"/>
              <w:rPr>
                <w:sz w:val="20"/>
              </w:rPr>
            </w:pPr>
            <w:r>
              <w:rPr>
                <w:sz w:val="20"/>
              </w:rPr>
              <w:t xml:space="preserve">6 </w:t>
            </w:r>
          </w:p>
        </w:tc>
        <w:tc>
          <w:tcPr>
            <w:tcW w:w="1274" w:type="dxa"/>
          </w:tcPr>
          <w:p w14:paraId="162EF407" w14:textId="77777777" w:rsidR="00DD13BF" w:rsidRPr="005D3E3B" w:rsidRDefault="00DD13BF" w:rsidP="00355A56">
            <w:pPr>
              <w:pStyle w:val="TableParagraph"/>
              <w:rPr>
                <w:sz w:val="20"/>
              </w:rPr>
            </w:pPr>
            <w:r>
              <w:rPr>
                <w:color w:val="000000"/>
                <w:sz w:val="20"/>
              </w:rPr>
              <w:t>ESO4.5</w:t>
            </w:r>
          </w:p>
        </w:tc>
        <w:tc>
          <w:tcPr>
            <w:tcW w:w="707" w:type="dxa"/>
          </w:tcPr>
          <w:p w14:paraId="22547EEC" w14:textId="77777777" w:rsidR="00DD13BF" w:rsidRPr="005D3E3B" w:rsidRDefault="00DD13BF" w:rsidP="00355A56">
            <w:pPr>
              <w:pStyle w:val="TableParagraph"/>
              <w:rPr>
                <w:sz w:val="20"/>
              </w:rPr>
            </w:pPr>
            <w:r>
              <w:rPr>
                <w:sz w:val="20"/>
              </w:rPr>
              <w:t xml:space="preserve">ESF+ </w:t>
            </w:r>
          </w:p>
        </w:tc>
        <w:tc>
          <w:tcPr>
            <w:tcW w:w="1699" w:type="dxa"/>
          </w:tcPr>
          <w:p w14:paraId="1E95D710" w14:textId="77777777" w:rsidR="00DD13BF" w:rsidRPr="005D3E3B" w:rsidRDefault="00DD13BF" w:rsidP="00355A56">
            <w:pPr>
              <w:pStyle w:val="TableParagraph"/>
              <w:rPr>
                <w:sz w:val="20"/>
              </w:rPr>
            </w:pPr>
            <w:r>
              <w:rPr>
                <w:sz w:val="20"/>
              </w:rPr>
              <w:t xml:space="preserve">Less developed </w:t>
            </w:r>
          </w:p>
        </w:tc>
        <w:tc>
          <w:tcPr>
            <w:tcW w:w="777" w:type="dxa"/>
          </w:tcPr>
          <w:p w14:paraId="7568448B" w14:textId="77777777" w:rsidR="00DD13BF" w:rsidRPr="005D3E3B" w:rsidRDefault="00DD13BF" w:rsidP="00355A56">
            <w:pPr>
              <w:pStyle w:val="TableParagraph"/>
              <w:rPr>
                <w:sz w:val="20"/>
              </w:rPr>
            </w:pPr>
            <w:r>
              <w:rPr>
                <w:sz w:val="20"/>
              </w:rPr>
              <w:t xml:space="preserve">EECO18 </w:t>
            </w:r>
          </w:p>
        </w:tc>
        <w:tc>
          <w:tcPr>
            <w:tcW w:w="4331" w:type="dxa"/>
          </w:tcPr>
          <w:p w14:paraId="3C1A907E" w14:textId="77777777" w:rsidR="00DD13BF" w:rsidRPr="005D3E3B" w:rsidRDefault="00DD13BF" w:rsidP="00355A56">
            <w:pPr>
              <w:pStyle w:val="TableParagraph"/>
              <w:rPr>
                <w:rFonts w:cs="Calibri"/>
                <w:sz w:val="20"/>
              </w:rPr>
            </w:pPr>
            <w:r>
              <w:rPr>
                <w:color w:val="000000"/>
                <w:sz w:val="20"/>
              </w:rPr>
              <w:t>Number of public administrations or public services supported</w:t>
            </w:r>
          </w:p>
        </w:tc>
        <w:tc>
          <w:tcPr>
            <w:tcW w:w="1275" w:type="dxa"/>
          </w:tcPr>
          <w:p w14:paraId="6225FF53" w14:textId="77777777" w:rsidR="00DD13BF" w:rsidRPr="005D3E3B" w:rsidRDefault="00DD13BF" w:rsidP="00355A56">
            <w:pPr>
              <w:pStyle w:val="TableParagraph"/>
              <w:rPr>
                <w:sz w:val="20"/>
              </w:rPr>
            </w:pPr>
            <w:r>
              <w:rPr>
                <w:color w:val="000000"/>
                <w:sz w:val="20"/>
              </w:rPr>
              <w:t>Entities</w:t>
            </w:r>
          </w:p>
        </w:tc>
        <w:tc>
          <w:tcPr>
            <w:tcW w:w="1416" w:type="dxa"/>
          </w:tcPr>
          <w:p w14:paraId="66C0ECEA" w14:textId="77777777" w:rsidR="00DD13BF" w:rsidRPr="005D3E3B" w:rsidRDefault="00DD13BF" w:rsidP="00355A56">
            <w:pPr>
              <w:pStyle w:val="TableParagraph"/>
              <w:rPr>
                <w:sz w:val="20"/>
              </w:rPr>
            </w:pPr>
            <w:r>
              <w:rPr>
                <w:sz w:val="20"/>
              </w:rPr>
              <w:t>247</w:t>
            </w:r>
          </w:p>
        </w:tc>
        <w:tc>
          <w:tcPr>
            <w:tcW w:w="1133" w:type="dxa"/>
          </w:tcPr>
          <w:p w14:paraId="124DBE14" w14:textId="77777777" w:rsidR="00DD13BF" w:rsidRPr="005D3E3B" w:rsidRDefault="00DD13BF" w:rsidP="00355A56">
            <w:pPr>
              <w:pStyle w:val="TableParagraph"/>
              <w:rPr>
                <w:sz w:val="20"/>
              </w:rPr>
            </w:pPr>
            <w:r>
              <w:rPr>
                <w:sz w:val="20"/>
              </w:rPr>
              <w:t>1,053</w:t>
            </w:r>
          </w:p>
        </w:tc>
      </w:tr>
      <w:tr w:rsidR="00DD13BF" w:rsidRPr="005D3E3B" w14:paraId="6F5CA250" w14:textId="77777777" w:rsidTr="00355A56">
        <w:trPr>
          <w:trHeight w:val="367"/>
        </w:trPr>
        <w:tc>
          <w:tcPr>
            <w:tcW w:w="1134" w:type="dxa"/>
          </w:tcPr>
          <w:p w14:paraId="4B25FC5C" w14:textId="77777777" w:rsidR="00DD13BF" w:rsidRPr="005D3E3B" w:rsidRDefault="00DD13BF" w:rsidP="00355A56">
            <w:pPr>
              <w:pStyle w:val="TableParagraph"/>
              <w:rPr>
                <w:sz w:val="20"/>
              </w:rPr>
            </w:pPr>
            <w:r>
              <w:rPr>
                <w:sz w:val="20"/>
              </w:rPr>
              <w:t xml:space="preserve">6 </w:t>
            </w:r>
          </w:p>
        </w:tc>
        <w:tc>
          <w:tcPr>
            <w:tcW w:w="1274" w:type="dxa"/>
          </w:tcPr>
          <w:p w14:paraId="0B4F24B3" w14:textId="77777777" w:rsidR="00DD13BF" w:rsidRPr="005D3E3B" w:rsidRDefault="00DD13BF" w:rsidP="00355A56">
            <w:pPr>
              <w:pStyle w:val="TableParagraph"/>
              <w:rPr>
                <w:sz w:val="20"/>
              </w:rPr>
            </w:pPr>
            <w:r>
              <w:rPr>
                <w:color w:val="000000"/>
                <w:sz w:val="20"/>
              </w:rPr>
              <w:t>ESO4.5</w:t>
            </w:r>
          </w:p>
        </w:tc>
        <w:tc>
          <w:tcPr>
            <w:tcW w:w="707" w:type="dxa"/>
          </w:tcPr>
          <w:p w14:paraId="763FA13E" w14:textId="77777777" w:rsidR="00DD13BF" w:rsidRPr="005D3E3B" w:rsidRDefault="00DD13BF" w:rsidP="00355A56">
            <w:pPr>
              <w:pStyle w:val="TableParagraph"/>
              <w:rPr>
                <w:sz w:val="20"/>
              </w:rPr>
            </w:pPr>
            <w:r>
              <w:rPr>
                <w:sz w:val="20"/>
              </w:rPr>
              <w:t xml:space="preserve">ESF+ </w:t>
            </w:r>
          </w:p>
        </w:tc>
        <w:tc>
          <w:tcPr>
            <w:tcW w:w="1699" w:type="dxa"/>
          </w:tcPr>
          <w:p w14:paraId="0219CCE6" w14:textId="77777777" w:rsidR="00DD13BF" w:rsidRPr="005D3E3B" w:rsidRDefault="00DD13BF" w:rsidP="00355A56">
            <w:pPr>
              <w:pStyle w:val="TableParagraph"/>
              <w:rPr>
                <w:sz w:val="20"/>
              </w:rPr>
            </w:pPr>
            <w:r>
              <w:rPr>
                <w:sz w:val="20"/>
              </w:rPr>
              <w:t xml:space="preserve">More developed </w:t>
            </w:r>
          </w:p>
        </w:tc>
        <w:tc>
          <w:tcPr>
            <w:tcW w:w="777" w:type="dxa"/>
          </w:tcPr>
          <w:p w14:paraId="32D65352" w14:textId="77777777" w:rsidR="00DD13BF" w:rsidRPr="005D3E3B" w:rsidRDefault="00DD13BF" w:rsidP="00355A56">
            <w:pPr>
              <w:pStyle w:val="TableParagraph"/>
              <w:rPr>
                <w:sz w:val="20"/>
              </w:rPr>
            </w:pPr>
            <w:r>
              <w:rPr>
                <w:sz w:val="20"/>
              </w:rPr>
              <w:t xml:space="preserve">EECO18 </w:t>
            </w:r>
          </w:p>
        </w:tc>
        <w:tc>
          <w:tcPr>
            <w:tcW w:w="4331" w:type="dxa"/>
          </w:tcPr>
          <w:p w14:paraId="63473A5F" w14:textId="77777777" w:rsidR="00DD13BF" w:rsidRPr="005D3E3B" w:rsidRDefault="00DD13BF" w:rsidP="00355A56">
            <w:pPr>
              <w:pStyle w:val="TableParagraph"/>
              <w:rPr>
                <w:rFonts w:cs="Calibri"/>
                <w:sz w:val="20"/>
              </w:rPr>
            </w:pPr>
            <w:r>
              <w:rPr>
                <w:color w:val="000000"/>
                <w:sz w:val="20"/>
              </w:rPr>
              <w:t>Number of public administrations or public services supported</w:t>
            </w:r>
          </w:p>
        </w:tc>
        <w:tc>
          <w:tcPr>
            <w:tcW w:w="1275" w:type="dxa"/>
          </w:tcPr>
          <w:p w14:paraId="3E97273A" w14:textId="77777777" w:rsidR="00DD13BF" w:rsidRPr="005D3E3B" w:rsidRDefault="00DD13BF" w:rsidP="00355A56">
            <w:pPr>
              <w:pStyle w:val="TableParagraph"/>
              <w:rPr>
                <w:sz w:val="20"/>
              </w:rPr>
            </w:pPr>
            <w:r>
              <w:rPr>
                <w:color w:val="000000"/>
                <w:sz w:val="20"/>
              </w:rPr>
              <w:t>Entities</w:t>
            </w:r>
          </w:p>
        </w:tc>
        <w:tc>
          <w:tcPr>
            <w:tcW w:w="1416" w:type="dxa"/>
          </w:tcPr>
          <w:p w14:paraId="47C8B84F" w14:textId="77777777" w:rsidR="00DD13BF" w:rsidRPr="005D3E3B" w:rsidRDefault="00DD13BF" w:rsidP="00355A56">
            <w:pPr>
              <w:pStyle w:val="TableParagraph"/>
              <w:rPr>
                <w:sz w:val="20"/>
              </w:rPr>
            </w:pPr>
            <w:r>
              <w:rPr>
                <w:sz w:val="20"/>
              </w:rPr>
              <w:t>216</w:t>
            </w:r>
          </w:p>
        </w:tc>
        <w:tc>
          <w:tcPr>
            <w:tcW w:w="1133" w:type="dxa"/>
          </w:tcPr>
          <w:p w14:paraId="7A53792D" w14:textId="77777777" w:rsidR="00DD13BF" w:rsidRPr="005D3E3B" w:rsidRDefault="00DD13BF" w:rsidP="00355A56">
            <w:pPr>
              <w:pStyle w:val="TableParagraph"/>
              <w:rPr>
                <w:sz w:val="20"/>
              </w:rPr>
            </w:pPr>
            <w:r>
              <w:rPr>
                <w:sz w:val="20"/>
              </w:rPr>
              <w:t>925</w:t>
            </w:r>
          </w:p>
        </w:tc>
      </w:tr>
    </w:tbl>
    <w:p w14:paraId="4FCBD7B7" w14:textId="77777777" w:rsidR="00DD13BF" w:rsidRPr="005645C8" w:rsidRDefault="00DD13BF" w:rsidP="00DD13BF">
      <w:pPr>
        <w:rPr>
          <w:sz w:val="24"/>
        </w:rPr>
      </w:pPr>
    </w:p>
    <w:p w14:paraId="5A1F5CAC" w14:textId="77777777" w:rsidR="00DD13BF" w:rsidRPr="00B32726" w:rsidRDefault="00DD13BF" w:rsidP="00DD13BF">
      <w:pPr>
        <w:ind w:left="379"/>
      </w:pPr>
      <w:r>
        <w:t>Table 3: Result indicators</w:t>
      </w:r>
    </w:p>
    <w:p w14:paraId="0033207C" w14:textId="77777777" w:rsidR="00DD13BF" w:rsidRDefault="00DD13BF" w:rsidP="00DD13BF">
      <w:pPr>
        <w:rPr>
          <w:sz w:val="21"/>
        </w:rPr>
      </w:pPr>
    </w:p>
    <w:tbl>
      <w:tblPr>
        <w:tblStyle w:val="NormalTable0"/>
        <w:tblW w:w="1360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851"/>
        <w:gridCol w:w="566"/>
        <w:gridCol w:w="1570"/>
        <w:gridCol w:w="849"/>
        <w:gridCol w:w="3677"/>
        <w:gridCol w:w="707"/>
        <w:gridCol w:w="1133"/>
        <w:gridCol w:w="992"/>
        <w:gridCol w:w="707"/>
        <w:gridCol w:w="855"/>
        <w:gridCol w:w="708"/>
      </w:tblGrid>
      <w:tr w:rsidR="00DD13BF" w14:paraId="10A1A47E" w14:textId="77777777" w:rsidTr="00355A56">
        <w:trPr>
          <w:trHeight w:val="353"/>
        </w:trPr>
        <w:tc>
          <w:tcPr>
            <w:tcW w:w="992" w:type="dxa"/>
          </w:tcPr>
          <w:p w14:paraId="4471DB09" w14:textId="77777777" w:rsidR="00DD13BF" w:rsidRPr="00347461" w:rsidRDefault="00DD13BF" w:rsidP="00355A56">
            <w:pPr>
              <w:pStyle w:val="TableParagraph"/>
              <w:rPr>
                <w:sz w:val="20"/>
              </w:rPr>
            </w:pPr>
            <w:r>
              <w:rPr>
                <w:sz w:val="20"/>
              </w:rPr>
              <w:t>Priority</w:t>
            </w:r>
          </w:p>
        </w:tc>
        <w:tc>
          <w:tcPr>
            <w:tcW w:w="851" w:type="dxa"/>
          </w:tcPr>
          <w:p w14:paraId="5EECC5A1" w14:textId="77777777" w:rsidR="00DD13BF" w:rsidRPr="00347461" w:rsidRDefault="00DD13BF" w:rsidP="00355A56">
            <w:pPr>
              <w:pStyle w:val="TableParagraph"/>
              <w:rPr>
                <w:sz w:val="20"/>
              </w:rPr>
            </w:pPr>
            <w:r>
              <w:rPr>
                <w:sz w:val="20"/>
              </w:rPr>
              <w:t>Specific objective</w:t>
            </w:r>
          </w:p>
        </w:tc>
        <w:tc>
          <w:tcPr>
            <w:tcW w:w="566" w:type="dxa"/>
          </w:tcPr>
          <w:p w14:paraId="3C66A627" w14:textId="77777777" w:rsidR="00DD13BF" w:rsidRPr="00347461" w:rsidRDefault="00DD13BF" w:rsidP="00355A56">
            <w:pPr>
              <w:pStyle w:val="TableParagraph"/>
              <w:rPr>
                <w:sz w:val="20"/>
              </w:rPr>
            </w:pPr>
            <w:r>
              <w:rPr>
                <w:sz w:val="20"/>
              </w:rPr>
              <w:t>Fund</w:t>
            </w:r>
          </w:p>
        </w:tc>
        <w:tc>
          <w:tcPr>
            <w:tcW w:w="1570" w:type="dxa"/>
          </w:tcPr>
          <w:p w14:paraId="4900F8E3" w14:textId="77777777" w:rsidR="00DD13BF" w:rsidRPr="00347461" w:rsidRDefault="00DD13BF" w:rsidP="00355A56">
            <w:pPr>
              <w:pStyle w:val="TableParagraph"/>
              <w:rPr>
                <w:sz w:val="20"/>
              </w:rPr>
            </w:pPr>
            <w:r>
              <w:rPr>
                <w:sz w:val="20"/>
              </w:rPr>
              <w:t>Category of region</w:t>
            </w:r>
          </w:p>
        </w:tc>
        <w:tc>
          <w:tcPr>
            <w:tcW w:w="849" w:type="dxa"/>
          </w:tcPr>
          <w:p w14:paraId="45590AAF" w14:textId="77777777" w:rsidR="00DD13BF" w:rsidRPr="00347461" w:rsidRDefault="00DD13BF" w:rsidP="00355A56">
            <w:pPr>
              <w:pStyle w:val="TableParagraph"/>
              <w:rPr>
                <w:sz w:val="20"/>
              </w:rPr>
            </w:pPr>
            <w:r>
              <w:rPr>
                <w:sz w:val="20"/>
              </w:rPr>
              <w:t>ID</w:t>
            </w:r>
          </w:p>
        </w:tc>
        <w:tc>
          <w:tcPr>
            <w:tcW w:w="3677" w:type="dxa"/>
          </w:tcPr>
          <w:p w14:paraId="03FBBCD6" w14:textId="77777777" w:rsidR="00DD13BF" w:rsidRPr="00347461" w:rsidRDefault="00DD13BF" w:rsidP="00355A56">
            <w:pPr>
              <w:pStyle w:val="TableParagraph"/>
              <w:rPr>
                <w:sz w:val="20"/>
              </w:rPr>
            </w:pPr>
            <w:r>
              <w:rPr>
                <w:sz w:val="20"/>
              </w:rPr>
              <w:t>Indicator</w:t>
            </w:r>
          </w:p>
        </w:tc>
        <w:tc>
          <w:tcPr>
            <w:tcW w:w="707" w:type="dxa"/>
          </w:tcPr>
          <w:p w14:paraId="6B880860" w14:textId="77777777" w:rsidR="00DD13BF" w:rsidRPr="00347461" w:rsidRDefault="00DD13BF" w:rsidP="00355A56">
            <w:pPr>
              <w:pStyle w:val="TableParagraph"/>
              <w:rPr>
                <w:sz w:val="20"/>
              </w:rPr>
            </w:pPr>
            <w:r>
              <w:rPr>
                <w:sz w:val="20"/>
              </w:rPr>
              <w:t>Measurement unit</w:t>
            </w:r>
          </w:p>
        </w:tc>
        <w:tc>
          <w:tcPr>
            <w:tcW w:w="1133" w:type="dxa"/>
          </w:tcPr>
          <w:p w14:paraId="5CB63246" w14:textId="77777777" w:rsidR="00DD13BF" w:rsidRPr="00347461" w:rsidRDefault="00DD13BF" w:rsidP="00355A56">
            <w:pPr>
              <w:pStyle w:val="TableParagraph"/>
              <w:rPr>
                <w:sz w:val="20"/>
              </w:rPr>
            </w:pPr>
            <w:r>
              <w:rPr>
                <w:sz w:val="20"/>
              </w:rPr>
              <w:t>Baseline or reference value</w:t>
            </w:r>
          </w:p>
        </w:tc>
        <w:tc>
          <w:tcPr>
            <w:tcW w:w="992" w:type="dxa"/>
          </w:tcPr>
          <w:p w14:paraId="54B39ABE" w14:textId="77777777" w:rsidR="00DD13BF" w:rsidRPr="00347461" w:rsidRDefault="00DD13BF" w:rsidP="00355A56">
            <w:pPr>
              <w:pStyle w:val="TableParagraph"/>
              <w:rPr>
                <w:sz w:val="20"/>
              </w:rPr>
            </w:pPr>
            <w:r>
              <w:rPr>
                <w:sz w:val="20"/>
              </w:rPr>
              <w:t>Reference year</w:t>
            </w:r>
          </w:p>
        </w:tc>
        <w:tc>
          <w:tcPr>
            <w:tcW w:w="707" w:type="dxa"/>
          </w:tcPr>
          <w:p w14:paraId="094459C5" w14:textId="77777777" w:rsidR="00DD13BF" w:rsidRPr="00347461" w:rsidRDefault="00DD13BF" w:rsidP="00355A56">
            <w:pPr>
              <w:pStyle w:val="TableParagraph"/>
              <w:rPr>
                <w:sz w:val="20"/>
              </w:rPr>
            </w:pPr>
            <w:r>
              <w:rPr>
                <w:sz w:val="20"/>
              </w:rPr>
              <w:t>Target (2029)</w:t>
            </w:r>
          </w:p>
        </w:tc>
        <w:tc>
          <w:tcPr>
            <w:tcW w:w="855" w:type="dxa"/>
          </w:tcPr>
          <w:p w14:paraId="1E349FE1" w14:textId="77777777" w:rsidR="00DD13BF" w:rsidRPr="00347461" w:rsidRDefault="00DD13BF" w:rsidP="00355A56">
            <w:pPr>
              <w:pStyle w:val="TableParagraph"/>
              <w:rPr>
                <w:sz w:val="20"/>
              </w:rPr>
            </w:pPr>
            <w:r>
              <w:rPr>
                <w:sz w:val="20"/>
              </w:rPr>
              <w:t>Source of data</w:t>
            </w:r>
          </w:p>
        </w:tc>
        <w:tc>
          <w:tcPr>
            <w:tcW w:w="708" w:type="dxa"/>
          </w:tcPr>
          <w:p w14:paraId="63E62EE3" w14:textId="77777777" w:rsidR="00DD13BF" w:rsidRPr="00347461" w:rsidRDefault="00DD13BF" w:rsidP="00355A56">
            <w:pPr>
              <w:pStyle w:val="TableParagraph"/>
              <w:rPr>
                <w:sz w:val="20"/>
              </w:rPr>
            </w:pPr>
            <w:r>
              <w:rPr>
                <w:sz w:val="20"/>
              </w:rPr>
              <w:t>Notes</w:t>
            </w:r>
          </w:p>
        </w:tc>
      </w:tr>
      <w:tr w:rsidR="00DD13BF" w14:paraId="22DF45AD" w14:textId="77777777" w:rsidTr="00355A56">
        <w:trPr>
          <w:trHeight w:val="353"/>
        </w:trPr>
        <w:tc>
          <w:tcPr>
            <w:tcW w:w="992" w:type="dxa"/>
          </w:tcPr>
          <w:p w14:paraId="24302A13" w14:textId="77777777" w:rsidR="00DD13BF" w:rsidRPr="00347461" w:rsidRDefault="00DD13BF" w:rsidP="00355A56">
            <w:pPr>
              <w:pStyle w:val="TableParagraph"/>
              <w:rPr>
                <w:sz w:val="20"/>
              </w:rPr>
            </w:pPr>
            <w:r>
              <w:rPr>
                <w:sz w:val="20"/>
              </w:rPr>
              <w:t>6</w:t>
            </w:r>
          </w:p>
        </w:tc>
        <w:tc>
          <w:tcPr>
            <w:tcW w:w="851" w:type="dxa"/>
          </w:tcPr>
          <w:p w14:paraId="66CAEC7F" w14:textId="77777777" w:rsidR="00DD13BF" w:rsidRPr="00347461" w:rsidRDefault="00DD13BF" w:rsidP="00355A56">
            <w:pPr>
              <w:pStyle w:val="TableParagraph"/>
              <w:rPr>
                <w:sz w:val="20"/>
              </w:rPr>
            </w:pPr>
            <w:r>
              <w:rPr>
                <w:color w:val="000000"/>
                <w:sz w:val="20"/>
              </w:rPr>
              <w:t>ESO4.5</w:t>
            </w:r>
          </w:p>
        </w:tc>
        <w:tc>
          <w:tcPr>
            <w:tcW w:w="566" w:type="dxa"/>
          </w:tcPr>
          <w:p w14:paraId="11DFBCED" w14:textId="77777777" w:rsidR="00DD13BF" w:rsidRPr="00347461" w:rsidRDefault="00DD13BF" w:rsidP="00355A56">
            <w:pPr>
              <w:pStyle w:val="TableParagraph"/>
              <w:rPr>
                <w:sz w:val="20"/>
              </w:rPr>
            </w:pPr>
            <w:r>
              <w:rPr>
                <w:sz w:val="20"/>
              </w:rPr>
              <w:t>ESF+</w:t>
            </w:r>
          </w:p>
        </w:tc>
        <w:tc>
          <w:tcPr>
            <w:tcW w:w="1570" w:type="dxa"/>
          </w:tcPr>
          <w:p w14:paraId="4F5F7C14" w14:textId="77777777" w:rsidR="00DD13BF" w:rsidRPr="00347461" w:rsidRDefault="00DD13BF" w:rsidP="00355A56">
            <w:pPr>
              <w:pStyle w:val="TableParagraph"/>
              <w:rPr>
                <w:sz w:val="20"/>
              </w:rPr>
            </w:pPr>
            <w:r>
              <w:rPr>
                <w:sz w:val="20"/>
              </w:rPr>
              <w:t>Less developed</w:t>
            </w:r>
          </w:p>
        </w:tc>
        <w:tc>
          <w:tcPr>
            <w:tcW w:w="849" w:type="dxa"/>
          </w:tcPr>
          <w:p w14:paraId="1D27FD02" w14:textId="77777777" w:rsidR="00DD13BF" w:rsidRPr="00347461" w:rsidRDefault="00DD13BF" w:rsidP="00355A56">
            <w:pPr>
              <w:pStyle w:val="TableParagraph"/>
              <w:rPr>
                <w:sz w:val="20"/>
              </w:rPr>
            </w:pPr>
            <w:r>
              <w:rPr>
                <w:sz w:val="20"/>
              </w:rPr>
              <w:t>8</w:t>
            </w:r>
          </w:p>
        </w:tc>
        <w:tc>
          <w:tcPr>
            <w:tcW w:w="3677" w:type="dxa"/>
          </w:tcPr>
          <w:p w14:paraId="2222053A" w14:textId="77777777" w:rsidR="00DD13BF" w:rsidRPr="0067472B" w:rsidRDefault="00DD13BF" w:rsidP="00355A56">
            <w:pPr>
              <w:pStyle w:val="TableParagraph"/>
              <w:rPr>
                <w:sz w:val="20"/>
              </w:rPr>
            </w:pPr>
            <w:r>
              <w:rPr>
                <w:sz w:val="20"/>
              </w:rPr>
              <w:t>Share of supported organisations that have successfully integrated project results to improve knowledge, skills and competences into their development plans within four weeks of the end of the operation</w:t>
            </w:r>
          </w:p>
        </w:tc>
        <w:tc>
          <w:tcPr>
            <w:tcW w:w="707" w:type="dxa"/>
          </w:tcPr>
          <w:p w14:paraId="0E2F5133" w14:textId="77777777" w:rsidR="00DD13BF" w:rsidRPr="0067472B" w:rsidRDefault="00DD13BF" w:rsidP="00355A56">
            <w:pPr>
              <w:pStyle w:val="TableParagraph"/>
              <w:rPr>
                <w:sz w:val="20"/>
              </w:rPr>
            </w:pPr>
            <w:r>
              <w:rPr>
                <w:sz w:val="20"/>
              </w:rPr>
              <w:t>Percentage</w:t>
            </w:r>
          </w:p>
        </w:tc>
        <w:tc>
          <w:tcPr>
            <w:tcW w:w="1133" w:type="dxa"/>
          </w:tcPr>
          <w:p w14:paraId="484ABDCF" w14:textId="77777777" w:rsidR="00DD13BF" w:rsidRPr="001A2493" w:rsidRDefault="00DD13BF" w:rsidP="00355A56">
            <w:pPr>
              <w:pStyle w:val="TableParagraph"/>
              <w:rPr>
                <w:sz w:val="20"/>
              </w:rPr>
            </w:pPr>
            <w:r>
              <w:rPr>
                <w:sz w:val="20"/>
              </w:rPr>
              <w:t>85</w:t>
            </w:r>
          </w:p>
        </w:tc>
        <w:tc>
          <w:tcPr>
            <w:tcW w:w="992" w:type="dxa"/>
          </w:tcPr>
          <w:p w14:paraId="76609573" w14:textId="77777777" w:rsidR="00DD13BF" w:rsidRPr="001A2493" w:rsidRDefault="00DD13BF" w:rsidP="00355A56">
            <w:pPr>
              <w:pStyle w:val="TableParagraph"/>
              <w:rPr>
                <w:sz w:val="20"/>
              </w:rPr>
            </w:pPr>
            <w:r>
              <w:rPr>
                <w:sz w:val="20"/>
              </w:rPr>
              <w:t>2020</w:t>
            </w:r>
          </w:p>
        </w:tc>
        <w:tc>
          <w:tcPr>
            <w:tcW w:w="707" w:type="dxa"/>
          </w:tcPr>
          <w:p w14:paraId="72524227" w14:textId="77777777" w:rsidR="00DD13BF" w:rsidRPr="001A2493" w:rsidRDefault="00DD13BF" w:rsidP="00355A56">
            <w:pPr>
              <w:pStyle w:val="TableParagraph"/>
              <w:rPr>
                <w:sz w:val="20"/>
              </w:rPr>
            </w:pPr>
            <w:r>
              <w:rPr>
                <w:sz w:val="20"/>
              </w:rPr>
              <w:t>80</w:t>
            </w:r>
          </w:p>
        </w:tc>
        <w:tc>
          <w:tcPr>
            <w:tcW w:w="855" w:type="dxa"/>
          </w:tcPr>
          <w:p w14:paraId="58C0C93A" w14:textId="77777777" w:rsidR="00DD13BF" w:rsidRPr="001A2493" w:rsidRDefault="00DD13BF" w:rsidP="00355A56">
            <w:pPr>
              <w:pStyle w:val="TableParagraph"/>
              <w:rPr>
                <w:sz w:val="20"/>
              </w:rPr>
            </w:pPr>
            <w:r>
              <w:rPr>
                <w:sz w:val="20"/>
              </w:rPr>
              <w:t>Beneficiary, MIZŠ, MK</w:t>
            </w:r>
          </w:p>
        </w:tc>
        <w:tc>
          <w:tcPr>
            <w:tcW w:w="708" w:type="dxa"/>
          </w:tcPr>
          <w:p w14:paraId="76F4A809" w14:textId="77777777" w:rsidR="00DD13BF" w:rsidRPr="00347461" w:rsidRDefault="00DD13BF" w:rsidP="00355A56">
            <w:pPr>
              <w:pStyle w:val="TableParagraph"/>
              <w:rPr>
                <w:sz w:val="20"/>
              </w:rPr>
            </w:pPr>
          </w:p>
        </w:tc>
      </w:tr>
      <w:tr w:rsidR="00DD13BF" w14:paraId="53B69696" w14:textId="77777777" w:rsidTr="00355A56">
        <w:trPr>
          <w:trHeight w:val="353"/>
        </w:trPr>
        <w:tc>
          <w:tcPr>
            <w:tcW w:w="992" w:type="dxa"/>
          </w:tcPr>
          <w:p w14:paraId="6A80C09B" w14:textId="77777777" w:rsidR="00DD13BF" w:rsidRPr="00347461" w:rsidRDefault="00DD13BF" w:rsidP="00355A56">
            <w:pPr>
              <w:pStyle w:val="TableParagraph"/>
              <w:rPr>
                <w:sz w:val="20"/>
              </w:rPr>
            </w:pPr>
            <w:r>
              <w:rPr>
                <w:sz w:val="20"/>
              </w:rPr>
              <w:t>6</w:t>
            </w:r>
          </w:p>
        </w:tc>
        <w:tc>
          <w:tcPr>
            <w:tcW w:w="851" w:type="dxa"/>
          </w:tcPr>
          <w:p w14:paraId="6869F471" w14:textId="77777777" w:rsidR="00DD13BF" w:rsidRPr="00347461" w:rsidRDefault="00DD13BF" w:rsidP="00355A56">
            <w:pPr>
              <w:pStyle w:val="TableParagraph"/>
              <w:rPr>
                <w:sz w:val="20"/>
              </w:rPr>
            </w:pPr>
            <w:r>
              <w:rPr>
                <w:color w:val="000000"/>
                <w:sz w:val="20"/>
              </w:rPr>
              <w:t>ESO4.5</w:t>
            </w:r>
          </w:p>
        </w:tc>
        <w:tc>
          <w:tcPr>
            <w:tcW w:w="566" w:type="dxa"/>
          </w:tcPr>
          <w:p w14:paraId="43D36FBD" w14:textId="77777777" w:rsidR="00DD13BF" w:rsidRPr="00347461" w:rsidRDefault="00DD13BF" w:rsidP="00355A56">
            <w:pPr>
              <w:pStyle w:val="TableParagraph"/>
              <w:rPr>
                <w:sz w:val="20"/>
              </w:rPr>
            </w:pPr>
            <w:r>
              <w:rPr>
                <w:sz w:val="20"/>
              </w:rPr>
              <w:t>ESF+</w:t>
            </w:r>
          </w:p>
        </w:tc>
        <w:tc>
          <w:tcPr>
            <w:tcW w:w="1570" w:type="dxa"/>
          </w:tcPr>
          <w:p w14:paraId="21727396" w14:textId="77777777" w:rsidR="00DD13BF" w:rsidRPr="00347461" w:rsidRDefault="00DD13BF" w:rsidP="00355A56">
            <w:pPr>
              <w:pStyle w:val="TableParagraph"/>
              <w:rPr>
                <w:sz w:val="20"/>
              </w:rPr>
            </w:pPr>
            <w:r>
              <w:rPr>
                <w:sz w:val="20"/>
              </w:rPr>
              <w:t>More developed</w:t>
            </w:r>
          </w:p>
        </w:tc>
        <w:tc>
          <w:tcPr>
            <w:tcW w:w="849" w:type="dxa"/>
          </w:tcPr>
          <w:p w14:paraId="3EC917BC" w14:textId="77777777" w:rsidR="00DD13BF" w:rsidRPr="00347461" w:rsidRDefault="00DD13BF" w:rsidP="00355A56">
            <w:pPr>
              <w:pStyle w:val="TableParagraph"/>
              <w:rPr>
                <w:sz w:val="20"/>
              </w:rPr>
            </w:pPr>
            <w:r>
              <w:rPr>
                <w:sz w:val="20"/>
              </w:rPr>
              <w:t>8</w:t>
            </w:r>
          </w:p>
        </w:tc>
        <w:tc>
          <w:tcPr>
            <w:tcW w:w="3677" w:type="dxa"/>
          </w:tcPr>
          <w:p w14:paraId="43A063C2" w14:textId="77777777" w:rsidR="00DD13BF" w:rsidRPr="0067472B" w:rsidRDefault="00DD13BF" w:rsidP="00355A56">
            <w:pPr>
              <w:pStyle w:val="TableParagraph"/>
              <w:rPr>
                <w:sz w:val="20"/>
              </w:rPr>
            </w:pPr>
            <w:r>
              <w:rPr>
                <w:sz w:val="20"/>
              </w:rPr>
              <w:t>Share of supported organisations that have successfully integrated project results to improve knowledge, skills and competences into their development plans within four weeks of the end of the operation</w:t>
            </w:r>
          </w:p>
        </w:tc>
        <w:tc>
          <w:tcPr>
            <w:tcW w:w="707" w:type="dxa"/>
          </w:tcPr>
          <w:p w14:paraId="7B1FE8DB" w14:textId="77777777" w:rsidR="00DD13BF" w:rsidRPr="0067472B" w:rsidRDefault="00DD13BF" w:rsidP="00355A56">
            <w:pPr>
              <w:pStyle w:val="TableParagraph"/>
              <w:rPr>
                <w:sz w:val="20"/>
              </w:rPr>
            </w:pPr>
            <w:r>
              <w:rPr>
                <w:sz w:val="20"/>
              </w:rPr>
              <w:t>Percentage</w:t>
            </w:r>
          </w:p>
        </w:tc>
        <w:tc>
          <w:tcPr>
            <w:tcW w:w="1133" w:type="dxa"/>
          </w:tcPr>
          <w:p w14:paraId="12352288" w14:textId="77777777" w:rsidR="00DD13BF" w:rsidRPr="001A2493" w:rsidRDefault="00DD13BF" w:rsidP="00355A56">
            <w:pPr>
              <w:pStyle w:val="TableParagraph"/>
              <w:rPr>
                <w:sz w:val="20"/>
              </w:rPr>
            </w:pPr>
            <w:r>
              <w:rPr>
                <w:sz w:val="20"/>
              </w:rPr>
              <w:t>85</w:t>
            </w:r>
          </w:p>
        </w:tc>
        <w:tc>
          <w:tcPr>
            <w:tcW w:w="992" w:type="dxa"/>
          </w:tcPr>
          <w:p w14:paraId="1B7A7062" w14:textId="77777777" w:rsidR="00DD13BF" w:rsidRPr="001A2493" w:rsidRDefault="00DD13BF" w:rsidP="00355A56">
            <w:pPr>
              <w:pStyle w:val="TableParagraph"/>
              <w:rPr>
                <w:sz w:val="20"/>
              </w:rPr>
            </w:pPr>
            <w:r>
              <w:rPr>
                <w:sz w:val="20"/>
              </w:rPr>
              <w:t>2020</w:t>
            </w:r>
          </w:p>
        </w:tc>
        <w:tc>
          <w:tcPr>
            <w:tcW w:w="707" w:type="dxa"/>
          </w:tcPr>
          <w:p w14:paraId="43362330" w14:textId="77777777" w:rsidR="00DD13BF" w:rsidRPr="001A2493" w:rsidRDefault="00DD13BF" w:rsidP="00355A56">
            <w:pPr>
              <w:pStyle w:val="TableParagraph"/>
              <w:rPr>
                <w:sz w:val="20"/>
              </w:rPr>
            </w:pPr>
            <w:r>
              <w:rPr>
                <w:sz w:val="20"/>
              </w:rPr>
              <w:t>80</w:t>
            </w:r>
          </w:p>
        </w:tc>
        <w:tc>
          <w:tcPr>
            <w:tcW w:w="855" w:type="dxa"/>
          </w:tcPr>
          <w:p w14:paraId="0EF0BC23" w14:textId="77777777" w:rsidR="00DD13BF" w:rsidRPr="001A2493" w:rsidRDefault="00DD13BF" w:rsidP="00355A56">
            <w:pPr>
              <w:pStyle w:val="TableParagraph"/>
              <w:rPr>
                <w:sz w:val="20"/>
              </w:rPr>
            </w:pPr>
            <w:r>
              <w:rPr>
                <w:sz w:val="20"/>
              </w:rPr>
              <w:t>Beneficiary, MIZŠ, MK</w:t>
            </w:r>
          </w:p>
        </w:tc>
        <w:tc>
          <w:tcPr>
            <w:tcW w:w="708" w:type="dxa"/>
          </w:tcPr>
          <w:p w14:paraId="446E3A12" w14:textId="77777777" w:rsidR="00DD13BF" w:rsidRPr="00347461" w:rsidRDefault="00DD13BF" w:rsidP="00355A56">
            <w:pPr>
              <w:pStyle w:val="TableParagraph"/>
              <w:rPr>
                <w:sz w:val="20"/>
              </w:rPr>
            </w:pPr>
          </w:p>
        </w:tc>
      </w:tr>
      <w:tr w:rsidR="00DD13BF" w14:paraId="750EAF0C" w14:textId="77777777" w:rsidTr="00355A56">
        <w:trPr>
          <w:trHeight w:val="353"/>
        </w:trPr>
        <w:tc>
          <w:tcPr>
            <w:tcW w:w="992" w:type="dxa"/>
          </w:tcPr>
          <w:p w14:paraId="1EBBCE5D" w14:textId="77777777" w:rsidR="00DD13BF" w:rsidRPr="00347461" w:rsidRDefault="00DD13BF" w:rsidP="00355A56">
            <w:pPr>
              <w:pStyle w:val="TableParagraph"/>
              <w:rPr>
                <w:sz w:val="20"/>
              </w:rPr>
            </w:pPr>
            <w:r>
              <w:rPr>
                <w:sz w:val="20"/>
              </w:rPr>
              <w:t>6</w:t>
            </w:r>
          </w:p>
        </w:tc>
        <w:tc>
          <w:tcPr>
            <w:tcW w:w="851" w:type="dxa"/>
          </w:tcPr>
          <w:p w14:paraId="25E87F68" w14:textId="77777777" w:rsidR="00DD13BF" w:rsidRPr="00347461" w:rsidRDefault="00DD13BF" w:rsidP="00355A56">
            <w:pPr>
              <w:pStyle w:val="TableParagraph"/>
              <w:rPr>
                <w:sz w:val="20"/>
              </w:rPr>
            </w:pPr>
            <w:r>
              <w:rPr>
                <w:color w:val="000000"/>
                <w:sz w:val="20"/>
              </w:rPr>
              <w:t>ESO4.5</w:t>
            </w:r>
          </w:p>
        </w:tc>
        <w:tc>
          <w:tcPr>
            <w:tcW w:w="566" w:type="dxa"/>
          </w:tcPr>
          <w:p w14:paraId="636C8668" w14:textId="77777777" w:rsidR="00DD13BF" w:rsidRPr="00347461" w:rsidRDefault="00DD13BF" w:rsidP="00355A56">
            <w:pPr>
              <w:pStyle w:val="TableParagraph"/>
              <w:rPr>
                <w:sz w:val="20"/>
              </w:rPr>
            </w:pPr>
            <w:r>
              <w:rPr>
                <w:sz w:val="20"/>
              </w:rPr>
              <w:t>ESF+</w:t>
            </w:r>
          </w:p>
        </w:tc>
        <w:tc>
          <w:tcPr>
            <w:tcW w:w="1570" w:type="dxa"/>
          </w:tcPr>
          <w:p w14:paraId="556D2483" w14:textId="77777777" w:rsidR="00DD13BF" w:rsidRPr="0067472B" w:rsidRDefault="00DD13BF" w:rsidP="00355A56">
            <w:pPr>
              <w:pStyle w:val="TableParagraph"/>
              <w:rPr>
                <w:sz w:val="20"/>
              </w:rPr>
            </w:pPr>
            <w:r>
              <w:rPr>
                <w:sz w:val="20"/>
              </w:rPr>
              <w:t>Less developed</w:t>
            </w:r>
          </w:p>
        </w:tc>
        <w:tc>
          <w:tcPr>
            <w:tcW w:w="849" w:type="dxa"/>
          </w:tcPr>
          <w:p w14:paraId="571EA289" w14:textId="77777777" w:rsidR="00DD13BF" w:rsidRPr="00347461" w:rsidRDefault="00DD13BF" w:rsidP="00355A56">
            <w:pPr>
              <w:pStyle w:val="TableParagraph"/>
              <w:rPr>
                <w:sz w:val="20"/>
              </w:rPr>
            </w:pPr>
            <w:r>
              <w:rPr>
                <w:sz w:val="20"/>
              </w:rPr>
              <w:t>9</w:t>
            </w:r>
          </w:p>
        </w:tc>
        <w:tc>
          <w:tcPr>
            <w:tcW w:w="3677" w:type="dxa"/>
          </w:tcPr>
          <w:p w14:paraId="4D4E3FA7" w14:textId="77777777" w:rsidR="00DD13BF" w:rsidRPr="0067472B" w:rsidRDefault="00DD13BF" w:rsidP="00355A56">
            <w:pPr>
              <w:pStyle w:val="TableParagraph"/>
              <w:rPr>
                <w:sz w:val="20"/>
              </w:rPr>
            </w:pPr>
            <w:r>
              <w:rPr>
                <w:sz w:val="20"/>
              </w:rPr>
              <w:t>Share of young people between 18 and 29 years of age who received a certificate of successfully completed activities upon leaving</w:t>
            </w:r>
          </w:p>
        </w:tc>
        <w:tc>
          <w:tcPr>
            <w:tcW w:w="707" w:type="dxa"/>
          </w:tcPr>
          <w:p w14:paraId="4DECDA5C" w14:textId="77777777" w:rsidR="00DD13BF" w:rsidRPr="0067472B" w:rsidRDefault="00DD13BF" w:rsidP="00355A56">
            <w:pPr>
              <w:pStyle w:val="TableParagraph"/>
              <w:rPr>
                <w:sz w:val="20"/>
              </w:rPr>
            </w:pPr>
            <w:r>
              <w:rPr>
                <w:sz w:val="20"/>
              </w:rPr>
              <w:t>Percentage</w:t>
            </w:r>
          </w:p>
        </w:tc>
        <w:tc>
          <w:tcPr>
            <w:tcW w:w="1133" w:type="dxa"/>
          </w:tcPr>
          <w:p w14:paraId="1281DC75" w14:textId="77777777" w:rsidR="00DD13BF" w:rsidRPr="00347461" w:rsidRDefault="00DD13BF" w:rsidP="00355A56">
            <w:pPr>
              <w:pStyle w:val="TableParagraph"/>
              <w:rPr>
                <w:sz w:val="20"/>
              </w:rPr>
            </w:pPr>
            <w:r>
              <w:rPr>
                <w:sz w:val="20"/>
              </w:rPr>
              <w:t>95</w:t>
            </w:r>
          </w:p>
        </w:tc>
        <w:tc>
          <w:tcPr>
            <w:tcW w:w="992" w:type="dxa"/>
          </w:tcPr>
          <w:p w14:paraId="1AF33099" w14:textId="77777777" w:rsidR="00DD13BF" w:rsidRPr="00347461" w:rsidRDefault="00DD13BF" w:rsidP="00355A56">
            <w:pPr>
              <w:pStyle w:val="TableParagraph"/>
              <w:rPr>
                <w:sz w:val="20"/>
              </w:rPr>
            </w:pPr>
            <w:r>
              <w:rPr>
                <w:sz w:val="20"/>
              </w:rPr>
              <w:t>2020</w:t>
            </w:r>
          </w:p>
        </w:tc>
        <w:tc>
          <w:tcPr>
            <w:tcW w:w="707" w:type="dxa"/>
          </w:tcPr>
          <w:p w14:paraId="7E9C2AFB" w14:textId="77777777" w:rsidR="00DD13BF" w:rsidRPr="00347461" w:rsidRDefault="00DD13BF" w:rsidP="00355A56">
            <w:pPr>
              <w:pStyle w:val="TableParagraph"/>
              <w:rPr>
                <w:sz w:val="20"/>
              </w:rPr>
            </w:pPr>
            <w:r>
              <w:rPr>
                <w:sz w:val="20"/>
              </w:rPr>
              <w:t>57</w:t>
            </w:r>
          </w:p>
        </w:tc>
        <w:tc>
          <w:tcPr>
            <w:tcW w:w="855" w:type="dxa"/>
          </w:tcPr>
          <w:p w14:paraId="4829D160" w14:textId="77777777" w:rsidR="00DD13BF" w:rsidRPr="00347461" w:rsidRDefault="00DD13BF" w:rsidP="00355A56">
            <w:pPr>
              <w:pStyle w:val="TableParagraph"/>
              <w:rPr>
                <w:sz w:val="20"/>
              </w:rPr>
            </w:pPr>
            <w:r>
              <w:rPr>
                <w:sz w:val="20"/>
              </w:rPr>
              <w:t>Beneficiary, MIZŠ</w:t>
            </w:r>
          </w:p>
        </w:tc>
        <w:tc>
          <w:tcPr>
            <w:tcW w:w="708" w:type="dxa"/>
          </w:tcPr>
          <w:p w14:paraId="075222D3" w14:textId="77777777" w:rsidR="00DD13BF" w:rsidRPr="00347461" w:rsidRDefault="00DD13BF" w:rsidP="00355A56">
            <w:pPr>
              <w:pStyle w:val="TableParagraph"/>
              <w:rPr>
                <w:sz w:val="20"/>
              </w:rPr>
            </w:pPr>
          </w:p>
        </w:tc>
      </w:tr>
      <w:tr w:rsidR="00DD13BF" w14:paraId="64E04932" w14:textId="77777777" w:rsidTr="00355A56">
        <w:trPr>
          <w:trHeight w:val="353"/>
        </w:trPr>
        <w:tc>
          <w:tcPr>
            <w:tcW w:w="992" w:type="dxa"/>
          </w:tcPr>
          <w:p w14:paraId="4F5E5A9E" w14:textId="77777777" w:rsidR="00DD13BF" w:rsidRPr="00347461" w:rsidRDefault="00DD13BF" w:rsidP="00355A56">
            <w:pPr>
              <w:pStyle w:val="TableParagraph"/>
              <w:rPr>
                <w:sz w:val="20"/>
              </w:rPr>
            </w:pPr>
            <w:r>
              <w:rPr>
                <w:sz w:val="20"/>
              </w:rPr>
              <w:t>6</w:t>
            </w:r>
          </w:p>
        </w:tc>
        <w:tc>
          <w:tcPr>
            <w:tcW w:w="851" w:type="dxa"/>
          </w:tcPr>
          <w:p w14:paraId="71C73198" w14:textId="77777777" w:rsidR="00DD13BF" w:rsidRPr="00347461" w:rsidRDefault="00DD13BF" w:rsidP="00355A56">
            <w:pPr>
              <w:pStyle w:val="TableParagraph"/>
              <w:rPr>
                <w:sz w:val="20"/>
              </w:rPr>
            </w:pPr>
            <w:r>
              <w:rPr>
                <w:color w:val="000000"/>
                <w:sz w:val="20"/>
              </w:rPr>
              <w:t>ESO4.5</w:t>
            </w:r>
          </w:p>
        </w:tc>
        <w:tc>
          <w:tcPr>
            <w:tcW w:w="566" w:type="dxa"/>
          </w:tcPr>
          <w:p w14:paraId="01C67807" w14:textId="77777777" w:rsidR="00DD13BF" w:rsidRPr="00347461" w:rsidRDefault="00DD13BF" w:rsidP="00355A56">
            <w:pPr>
              <w:pStyle w:val="TableParagraph"/>
              <w:rPr>
                <w:sz w:val="20"/>
              </w:rPr>
            </w:pPr>
            <w:r>
              <w:rPr>
                <w:sz w:val="20"/>
              </w:rPr>
              <w:t>ESF+</w:t>
            </w:r>
          </w:p>
        </w:tc>
        <w:tc>
          <w:tcPr>
            <w:tcW w:w="1570" w:type="dxa"/>
          </w:tcPr>
          <w:p w14:paraId="35F755EC" w14:textId="77777777" w:rsidR="00DD13BF" w:rsidRPr="0067472B" w:rsidRDefault="00DD13BF" w:rsidP="00355A56">
            <w:pPr>
              <w:pStyle w:val="TableParagraph"/>
              <w:rPr>
                <w:sz w:val="20"/>
              </w:rPr>
            </w:pPr>
            <w:r>
              <w:rPr>
                <w:sz w:val="20"/>
              </w:rPr>
              <w:t>More developed</w:t>
            </w:r>
          </w:p>
        </w:tc>
        <w:tc>
          <w:tcPr>
            <w:tcW w:w="849" w:type="dxa"/>
          </w:tcPr>
          <w:p w14:paraId="6CA80D1C" w14:textId="77777777" w:rsidR="00DD13BF" w:rsidRPr="00347461" w:rsidRDefault="00DD13BF" w:rsidP="00355A56">
            <w:pPr>
              <w:pStyle w:val="TableParagraph"/>
              <w:rPr>
                <w:sz w:val="20"/>
              </w:rPr>
            </w:pPr>
            <w:r>
              <w:rPr>
                <w:sz w:val="20"/>
              </w:rPr>
              <w:t>9</w:t>
            </w:r>
          </w:p>
        </w:tc>
        <w:tc>
          <w:tcPr>
            <w:tcW w:w="3677" w:type="dxa"/>
          </w:tcPr>
          <w:p w14:paraId="060BDBDE" w14:textId="77777777" w:rsidR="00DD13BF" w:rsidRPr="0067472B" w:rsidRDefault="00DD13BF" w:rsidP="00355A56">
            <w:pPr>
              <w:pStyle w:val="TableParagraph"/>
              <w:rPr>
                <w:sz w:val="20"/>
              </w:rPr>
            </w:pPr>
            <w:r>
              <w:rPr>
                <w:sz w:val="20"/>
              </w:rPr>
              <w:t>Share of young people between 18 and 29 years of age who received a certificate of successfully completed activities after participating</w:t>
            </w:r>
          </w:p>
        </w:tc>
        <w:tc>
          <w:tcPr>
            <w:tcW w:w="707" w:type="dxa"/>
          </w:tcPr>
          <w:p w14:paraId="0FFE8E52" w14:textId="77777777" w:rsidR="00DD13BF" w:rsidRPr="0067472B" w:rsidRDefault="00DD13BF" w:rsidP="00355A56">
            <w:pPr>
              <w:pStyle w:val="TableParagraph"/>
              <w:rPr>
                <w:sz w:val="20"/>
              </w:rPr>
            </w:pPr>
            <w:r>
              <w:rPr>
                <w:sz w:val="20"/>
              </w:rPr>
              <w:t>Percentage</w:t>
            </w:r>
          </w:p>
        </w:tc>
        <w:tc>
          <w:tcPr>
            <w:tcW w:w="1133" w:type="dxa"/>
          </w:tcPr>
          <w:p w14:paraId="33A69BE2" w14:textId="77777777" w:rsidR="00DD13BF" w:rsidRPr="00347461" w:rsidRDefault="00DD13BF" w:rsidP="00355A56">
            <w:pPr>
              <w:pStyle w:val="TableParagraph"/>
              <w:rPr>
                <w:sz w:val="20"/>
              </w:rPr>
            </w:pPr>
            <w:r>
              <w:rPr>
                <w:sz w:val="20"/>
              </w:rPr>
              <w:t>95</w:t>
            </w:r>
          </w:p>
        </w:tc>
        <w:tc>
          <w:tcPr>
            <w:tcW w:w="992" w:type="dxa"/>
          </w:tcPr>
          <w:p w14:paraId="19B6FA81" w14:textId="77777777" w:rsidR="00DD13BF" w:rsidRPr="00347461" w:rsidRDefault="00DD13BF" w:rsidP="00355A56">
            <w:pPr>
              <w:pStyle w:val="TableParagraph"/>
              <w:rPr>
                <w:sz w:val="20"/>
              </w:rPr>
            </w:pPr>
            <w:r>
              <w:rPr>
                <w:sz w:val="20"/>
              </w:rPr>
              <w:t>2020</w:t>
            </w:r>
          </w:p>
        </w:tc>
        <w:tc>
          <w:tcPr>
            <w:tcW w:w="707" w:type="dxa"/>
          </w:tcPr>
          <w:p w14:paraId="1BB4F2B1" w14:textId="77777777" w:rsidR="00DD13BF" w:rsidRPr="00347461" w:rsidRDefault="00DD13BF" w:rsidP="00355A56">
            <w:pPr>
              <w:pStyle w:val="TableParagraph"/>
              <w:rPr>
                <w:sz w:val="20"/>
              </w:rPr>
            </w:pPr>
            <w:r>
              <w:rPr>
                <w:sz w:val="20"/>
              </w:rPr>
              <w:t>57</w:t>
            </w:r>
          </w:p>
        </w:tc>
        <w:tc>
          <w:tcPr>
            <w:tcW w:w="855" w:type="dxa"/>
          </w:tcPr>
          <w:p w14:paraId="07CF4340" w14:textId="77777777" w:rsidR="00DD13BF" w:rsidRPr="00347461" w:rsidRDefault="00DD13BF" w:rsidP="00355A56">
            <w:pPr>
              <w:pStyle w:val="TableParagraph"/>
              <w:rPr>
                <w:sz w:val="20"/>
              </w:rPr>
            </w:pPr>
            <w:r>
              <w:rPr>
                <w:sz w:val="20"/>
              </w:rPr>
              <w:t>Beneficiary, MIZŠ</w:t>
            </w:r>
          </w:p>
        </w:tc>
        <w:tc>
          <w:tcPr>
            <w:tcW w:w="708" w:type="dxa"/>
          </w:tcPr>
          <w:p w14:paraId="3553A4A6" w14:textId="77777777" w:rsidR="00DD13BF" w:rsidRPr="00347461" w:rsidRDefault="00DD13BF" w:rsidP="00355A56">
            <w:pPr>
              <w:pStyle w:val="TableParagraph"/>
              <w:rPr>
                <w:sz w:val="20"/>
              </w:rPr>
            </w:pPr>
          </w:p>
        </w:tc>
      </w:tr>
      <w:tr w:rsidR="00DD13BF" w:rsidRPr="00347461" w14:paraId="59CBD0F6" w14:textId="77777777" w:rsidTr="00355A56">
        <w:trPr>
          <w:trHeight w:val="353"/>
        </w:trPr>
        <w:tc>
          <w:tcPr>
            <w:tcW w:w="992" w:type="dxa"/>
          </w:tcPr>
          <w:p w14:paraId="0B64FBA7" w14:textId="77777777" w:rsidR="00DD13BF" w:rsidRPr="00347461" w:rsidRDefault="00DD13BF" w:rsidP="00355A56">
            <w:pPr>
              <w:pStyle w:val="TableParagraph"/>
              <w:rPr>
                <w:sz w:val="20"/>
              </w:rPr>
            </w:pPr>
            <w:r>
              <w:rPr>
                <w:sz w:val="20"/>
              </w:rPr>
              <w:t>6</w:t>
            </w:r>
          </w:p>
        </w:tc>
        <w:tc>
          <w:tcPr>
            <w:tcW w:w="851" w:type="dxa"/>
          </w:tcPr>
          <w:p w14:paraId="3C16EC24" w14:textId="77777777" w:rsidR="00DD13BF" w:rsidRPr="00347461" w:rsidRDefault="00DD13BF" w:rsidP="00355A56">
            <w:pPr>
              <w:pStyle w:val="TableParagraph"/>
              <w:rPr>
                <w:sz w:val="20"/>
              </w:rPr>
            </w:pPr>
            <w:r>
              <w:rPr>
                <w:color w:val="000000"/>
                <w:sz w:val="20"/>
              </w:rPr>
              <w:t>ESO4.5</w:t>
            </w:r>
          </w:p>
        </w:tc>
        <w:tc>
          <w:tcPr>
            <w:tcW w:w="566" w:type="dxa"/>
          </w:tcPr>
          <w:p w14:paraId="566DFCF0" w14:textId="77777777" w:rsidR="00DD13BF" w:rsidRPr="00347461" w:rsidRDefault="00DD13BF" w:rsidP="00355A56">
            <w:pPr>
              <w:pStyle w:val="TableParagraph"/>
              <w:rPr>
                <w:sz w:val="20"/>
              </w:rPr>
            </w:pPr>
            <w:r>
              <w:rPr>
                <w:sz w:val="20"/>
              </w:rPr>
              <w:t>ESF+</w:t>
            </w:r>
          </w:p>
        </w:tc>
        <w:tc>
          <w:tcPr>
            <w:tcW w:w="1570" w:type="dxa"/>
          </w:tcPr>
          <w:p w14:paraId="548D778D" w14:textId="77777777" w:rsidR="00DD13BF" w:rsidRPr="0067472B" w:rsidRDefault="00DD13BF" w:rsidP="00355A56">
            <w:pPr>
              <w:pStyle w:val="TableParagraph"/>
              <w:rPr>
                <w:sz w:val="20"/>
              </w:rPr>
            </w:pPr>
            <w:r>
              <w:rPr>
                <w:sz w:val="20"/>
              </w:rPr>
              <w:t>Less developed</w:t>
            </w:r>
          </w:p>
        </w:tc>
        <w:tc>
          <w:tcPr>
            <w:tcW w:w="849" w:type="dxa"/>
          </w:tcPr>
          <w:p w14:paraId="5230396F" w14:textId="77777777" w:rsidR="00DD13BF" w:rsidRPr="00347461" w:rsidRDefault="00DD13BF" w:rsidP="00355A56">
            <w:pPr>
              <w:pStyle w:val="TableParagraph"/>
              <w:rPr>
                <w:sz w:val="20"/>
              </w:rPr>
            </w:pPr>
            <w:r>
              <w:rPr>
                <w:sz w:val="20"/>
              </w:rPr>
              <w:t>10</w:t>
            </w:r>
          </w:p>
        </w:tc>
        <w:tc>
          <w:tcPr>
            <w:tcW w:w="3677" w:type="dxa"/>
          </w:tcPr>
          <w:p w14:paraId="1F182FAB" w14:textId="77777777" w:rsidR="00DD13BF" w:rsidRPr="00BD1D81" w:rsidRDefault="00DD13BF" w:rsidP="00355A56">
            <w:pPr>
              <w:pStyle w:val="TableParagraph"/>
              <w:rPr>
                <w:sz w:val="20"/>
              </w:rPr>
            </w:pPr>
            <w:r>
              <w:rPr>
                <w:sz w:val="20"/>
              </w:rPr>
              <w:t>Share of participants who received a certificate upon leaving</w:t>
            </w:r>
          </w:p>
        </w:tc>
        <w:tc>
          <w:tcPr>
            <w:tcW w:w="707" w:type="dxa"/>
          </w:tcPr>
          <w:p w14:paraId="7DE96C83" w14:textId="77777777" w:rsidR="00DD13BF" w:rsidRPr="00BD1D81" w:rsidRDefault="00DD13BF" w:rsidP="00355A56">
            <w:pPr>
              <w:pStyle w:val="TableParagraph"/>
              <w:rPr>
                <w:sz w:val="20"/>
              </w:rPr>
            </w:pPr>
            <w:r>
              <w:rPr>
                <w:sz w:val="20"/>
              </w:rPr>
              <w:t>Percentage</w:t>
            </w:r>
          </w:p>
        </w:tc>
        <w:tc>
          <w:tcPr>
            <w:tcW w:w="1133" w:type="dxa"/>
          </w:tcPr>
          <w:p w14:paraId="7EF4E309" w14:textId="77777777" w:rsidR="00DD13BF" w:rsidRPr="00BD1D81" w:rsidRDefault="00DD13BF" w:rsidP="00355A56">
            <w:pPr>
              <w:pStyle w:val="TableParagraph"/>
              <w:rPr>
                <w:sz w:val="20"/>
              </w:rPr>
            </w:pPr>
            <w:r>
              <w:rPr>
                <w:sz w:val="20"/>
              </w:rPr>
              <w:t>95</w:t>
            </w:r>
          </w:p>
        </w:tc>
        <w:tc>
          <w:tcPr>
            <w:tcW w:w="992" w:type="dxa"/>
          </w:tcPr>
          <w:p w14:paraId="13B6BD71" w14:textId="77777777" w:rsidR="00DD13BF" w:rsidRPr="00BD1D81" w:rsidRDefault="00DD13BF" w:rsidP="00355A56">
            <w:pPr>
              <w:pStyle w:val="TableParagraph"/>
              <w:rPr>
                <w:sz w:val="20"/>
              </w:rPr>
            </w:pPr>
            <w:r>
              <w:rPr>
                <w:sz w:val="20"/>
              </w:rPr>
              <w:t>2020</w:t>
            </w:r>
          </w:p>
        </w:tc>
        <w:tc>
          <w:tcPr>
            <w:tcW w:w="707" w:type="dxa"/>
          </w:tcPr>
          <w:p w14:paraId="648E648D" w14:textId="77777777" w:rsidR="00DD13BF" w:rsidRPr="00BD1D81" w:rsidRDefault="00DD13BF" w:rsidP="00355A56">
            <w:pPr>
              <w:pStyle w:val="TableParagraph"/>
              <w:rPr>
                <w:sz w:val="20"/>
              </w:rPr>
            </w:pPr>
            <w:r>
              <w:rPr>
                <w:sz w:val="20"/>
              </w:rPr>
              <w:t>95</w:t>
            </w:r>
          </w:p>
        </w:tc>
        <w:tc>
          <w:tcPr>
            <w:tcW w:w="855" w:type="dxa"/>
          </w:tcPr>
          <w:p w14:paraId="45B46085" w14:textId="77777777" w:rsidR="00DD13BF" w:rsidRPr="00347461" w:rsidRDefault="00DD13BF" w:rsidP="00355A56">
            <w:pPr>
              <w:pStyle w:val="TableParagraph"/>
              <w:rPr>
                <w:sz w:val="20"/>
              </w:rPr>
            </w:pPr>
            <w:r>
              <w:rPr>
                <w:sz w:val="20"/>
              </w:rPr>
              <w:t>Beneficiary, MIZŠ, MK</w:t>
            </w:r>
          </w:p>
        </w:tc>
        <w:tc>
          <w:tcPr>
            <w:tcW w:w="708" w:type="dxa"/>
          </w:tcPr>
          <w:p w14:paraId="33E7AC5A" w14:textId="77777777" w:rsidR="00DD13BF" w:rsidRPr="00347461" w:rsidRDefault="00DD13BF" w:rsidP="00355A56">
            <w:pPr>
              <w:pStyle w:val="TableParagraph"/>
              <w:rPr>
                <w:sz w:val="20"/>
              </w:rPr>
            </w:pPr>
          </w:p>
        </w:tc>
      </w:tr>
      <w:tr w:rsidR="00DD13BF" w:rsidRPr="00347461" w14:paraId="22C1F0D3" w14:textId="77777777" w:rsidTr="00355A56">
        <w:trPr>
          <w:trHeight w:val="353"/>
        </w:trPr>
        <w:tc>
          <w:tcPr>
            <w:tcW w:w="992" w:type="dxa"/>
          </w:tcPr>
          <w:p w14:paraId="7B1C4627" w14:textId="77777777" w:rsidR="00DD13BF" w:rsidRPr="00347461" w:rsidRDefault="00DD13BF" w:rsidP="00355A56">
            <w:pPr>
              <w:pStyle w:val="TableParagraph"/>
              <w:rPr>
                <w:sz w:val="20"/>
              </w:rPr>
            </w:pPr>
            <w:r>
              <w:rPr>
                <w:sz w:val="20"/>
              </w:rPr>
              <w:t>6</w:t>
            </w:r>
          </w:p>
        </w:tc>
        <w:tc>
          <w:tcPr>
            <w:tcW w:w="851" w:type="dxa"/>
          </w:tcPr>
          <w:p w14:paraId="06BC4FBD" w14:textId="77777777" w:rsidR="00DD13BF" w:rsidRPr="00347461" w:rsidRDefault="00DD13BF" w:rsidP="00355A56">
            <w:pPr>
              <w:pStyle w:val="TableParagraph"/>
              <w:rPr>
                <w:sz w:val="20"/>
              </w:rPr>
            </w:pPr>
            <w:r>
              <w:rPr>
                <w:color w:val="000000"/>
                <w:sz w:val="20"/>
              </w:rPr>
              <w:t>ESO4.5</w:t>
            </w:r>
          </w:p>
        </w:tc>
        <w:tc>
          <w:tcPr>
            <w:tcW w:w="566" w:type="dxa"/>
          </w:tcPr>
          <w:p w14:paraId="014BCC06" w14:textId="77777777" w:rsidR="00DD13BF" w:rsidRPr="00347461" w:rsidRDefault="00DD13BF" w:rsidP="00355A56">
            <w:pPr>
              <w:pStyle w:val="TableParagraph"/>
              <w:rPr>
                <w:sz w:val="20"/>
              </w:rPr>
            </w:pPr>
            <w:r>
              <w:rPr>
                <w:sz w:val="20"/>
              </w:rPr>
              <w:t>ESF+</w:t>
            </w:r>
          </w:p>
        </w:tc>
        <w:tc>
          <w:tcPr>
            <w:tcW w:w="1570" w:type="dxa"/>
          </w:tcPr>
          <w:p w14:paraId="53DEA4CC" w14:textId="77777777" w:rsidR="00DD13BF" w:rsidRPr="0067472B" w:rsidRDefault="00DD13BF" w:rsidP="00355A56">
            <w:pPr>
              <w:pStyle w:val="TableParagraph"/>
              <w:rPr>
                <w:sz w:val="20"/>
              </w:rPr>
            </w:pPr>
            <w:r>
              <w:rPr>
                <w:sz w:val="20"/>
              </w:rPr>
              <w:t>More developed</w:t>
            </w:r>
          </w:p>
        </w:tc>
        <w:tc>
          <w:tcPr>
            <w:tcW w:w="849" w:type="dxa"/>
          </w:tcPr>
          <w:p w14:paraId="1F64FCCE" w14:textId="77777777" w:rsidR="00DD13BF" w:rsidRPr="00347461" w:rsidRDefault="00DD13BF" w:rsidP="00355A56">
            <w:pPr>
              <w:pStyle w:val="TableParagraph"/>
              <w:rPr>
                <w:sz w:val="20"/>
              </w:rPr>
            </w:pPr>
            <w:r>
              <w:rPr>
                <w:sz w:val="20"/>
              </w:rPr>
              <w:t>10</w:t>
            </w:r>
          </w:p>
        </w:tc>
        <w:tc>
          <w:tcPr>
            <w:tcW w:w="3677" w:type="dxa"/>
          </w:tcPr>
          <w:p w14:paraId="00432FD9" w14:textId="77777777" w:rsidR="00DD13BF" w:rsidRPr="00BD1D81" w:rsidRDefault="00DD13BF" w:rsidP="00355A56">
            <w:pPr>
              <w:pStyle w:val="TableParagraph"/>
              <w:rPr>
                <w:sz w:val="20"/>
              </w:rPr>
            </w:pPr>
            <w:r>
              <w:rPr>
                <w:sz w:val="20"/>
              </w:rPr>
              <w:t>Share of participants who received a certificate upon leaving</w:t>
            </w:r>
          </w:p>
        </w:tc>
        <w:tc>
          <w:tcPr>
            <w:tcW w:w="707" w:type="dxa"/>
          </w:tcPr>
          <w:p w14:paraId="2C8F5679" w14:textId="77777777" w:rsidR="00DD13BF" w:rsidRPr="00BD1D81" w:rsidRDefault="00DD13BF" w:rsidP="00355A56">
            <w:pPr>
              <w:pStyle w:val="TableParagraph"/>
              <w:rPr>
                <w:sz w:val="20"/>
              </w:rPr>
            </w:pPr>
            <w:r>
              <w:rPr>
                <w:sz w:val="20"/>
              </w:rPr>
              <w:t>Percentage</w:t>
            </w:r>
          </w:p>
        </w:tc>
        <w:tc>
          <w:tcPr>
            <w:tcW w:w="1133" w:type="dxa"/>
          </w:tcPr>
          <w:p w14:paraId="11F5341B" w14:textId="77777777" w:rsidR="00DD13BF" w:rsidRPr="00BD1D81" w:rsidRDefault="00DD13BF" w:rsidP="00355A56">
            <w:pPr>
              <w:pStyle w:val="TableParagraph"/>
              <w:rPr>
                <w:sz w:val="20"/>
              </w:rPr>
            </w:pPr>
            <w:r>
              <w:rPr>
                <w:sz w:val="20"/>
              </w:rPr>
              <w:t>95</w:t>
            </w:r>
          </w:p>
        </w:tc>
        <w:tc>
          <w:tcPr>
            <w:tcW w:w="992" w:type="dxa"/>
          </w:tcPr>
          <w:p w14:paraId="06DCB100" w14:textId="77777777" w:rsidR="00DD13BF" w:rsidRPr="00BD1D81" w:rsidRDefault="00DD13BF" w:rsidP="00355A56">
            <w:pPr>
              <w:pStyle w:val="TableParagraph"/>
              <w:rPr>
                <w:sz w:val="20"/>
              </w:rPr>
            </w:pPr>
            <w:r>
              <w:rPr>
                <w:sz w:val="20"/>
              </w:rPr>
              <w:t>2020</w:t>
            </w:r>
          </w:p>
        </w:tc>
        <w:tc>
          <w:tcPr>
            <w:tcW w:w="707" w:type="dxa"/>
          </w:tcPr>
          <w:p w14:paraId="5B7F0186" w14:textId="77777777" w:rsidR="00DD13BF" w:rsidRPr="00BD1D81" w:rsidRDefault="00DD13BF" w:rsidP="00355A56">
            <w:pPr>
              <w:pStyle w:val="TableParagraph"/>
              <w:rPr>
                <w:sz w:val="20"/>
              </w:rPr>
            </w:pPr>
            <w:r>
              <w:rPr>
                <w:sz w:val="20"/>
              </w:rPr>
              <w:t>95</w:t>
            </w:r>
          </w:p>
        </w:tc>
        <w:tc>
          <w:tcPr>
            <w:tcW w:w="855" w:type="dxa"/>
          </w:tcPr>
          <w:p w14:paraId="326A582F" w14:textId="77777777" w:rsidR="00DD13BF" w:rsidRPr="00347461" w:rsidRDefault="00DD13BF" w:rsidP="00355A56">
            <w:pPr>
              <w:pStyle w:val="TableParagraph"/>
              <w:rPr>
                <w:sz w:val="20"/>
              </w:rPr>
            </w:pPr>
            <w:r>
              <w:rPr>
                <w:sz w:val="20"/>
              </w:rPr>
              <w:t>Beneficiary, MIZŠ, MK</w:t>
            </w:r>
          </w:p>
        </w:tc>
        <w:tc>
          <w:tcPr>
            <w:tcW w:w="708" w:type="dxa"/>
          </w:tcPr>
          <w:p w14:paraId="34C5C922" w14:textId="77777777" w:rsidR="00DD13BF" w:rsidRPr="00347461" w:rsidRDefault="00DD13BF" w:rsidP="00355A56">
            <w:pPr>
              <w:pStyle w:val="TableParagraph"/>
              <w:rPr>
                <w:sz w:val="20"/>
              </w:rPr>
            </w:pPr>
          </w:p>
        </w:tc>
      </w:tr>
      <w:tr w:rsidR="00DD13BF" w:rsidRPr="00347461" w14:paraId="7AAE6631" w14:textId="77777777" w:rsidTr="00355A56">
        <w:trPr>
          <w:trHeight w:val="353"/>
        </w:trPr>
        <w:tc>
          <w:tcPr>
            <w:tcW w:w="992" w:type="dxa"/>
          </w:tcPr>
          <w:p w14:paraId="05408F78" w14:textId="77777777" w:rsidR="00DD13BF" w:rsidRPr="00347461" w:rsidRDefault="00DD13BF" w:rsidP="00355A56">
            <w:pPr>
              <w:pStyle w:val="TableParagraph"/>
              <w:rPr>
                <w:sz w:val="20"/>
              </w:rPr>
            </w:pPr>
            <w:r>
              <w:rPr>
                <w:sz w:val="20"/>
              </w:rPr>
              <w:lastRenderedPageBreak/>
              <w:t>6</w:t>
            </w:r>
          </w:p>
        </w:tc>
        <w:tc>
          <w:tcPr>
            <w:tcW w:w="851" w:type="dxa"/>
          </w:tcPr>
          <w:p w14:paraId="18CCA6A5" w14:textId="77777777" w:rsidR="00DD13BF" w:rsidRPr="00347461" w:rsidRDefault="00DD13BF" w:rsidP="00355A56">
            <w:pPr>
              <w:pStyle w:val="TableParagraph"/>
              <w:rPr>
                <w:sz w:val="20"/>
              </w:rPr>
            </w:pPr>
            <w:r>
              <w:rPr>
                <w:color w:val="000000"/>
                <w:sz w:val="20"/>
              </w:rPr>
              <w:t>ESO4.5</w:t>
            </w:r>
          </w:p>
        </w:tc>
        <w:tc>
          <w:tcPr>
            <w:tcW w:w="566" w:type="dxa"/>
          </w:tcPr>
          <w:p w14:paraId="7E21B652" w14:textId="77777777" w:rsidR="00DD13BF" w:rsidRPr="00347461" w:rsidRDefault="00DD13BF" w:rsidP="00355A56">
            <w:pPr>
              <w:pStyle w:val="TableParagraph"/>
              <w:rPr>
                <w:sz w:val="20"/>
              </w:rPr>
            </w:pPr>
            <w:r>
              <w:rPr>
                <w:sz w:val="20"/>
              </w:rPr>
              <w:t>ESF+</w:t>
            </w:r>
          </w:p>
        </w:tc>
        <w:tc>
          <w:tcPr>
            <w:tcW w:w="1570" w:type="dxa"/>
          </w:tcPr>
          <w:p w14:paraId="6E5C5256" w14:textId="77777777" w:rsidR="00DD13BF" w:rsidRPr="0067472B" w:rsidRDefault="00DD13BF" w:rsidP="00355A56">
            <w:pPr>
              <w:pStyle w:val="TableParagraph"/>
              <w:rPr>
                <w:sz w:val="20"/>
              </w:rPr>
            </w:pPr>
            <w:r>
              <w:rPr>
                <w:sz w:val="20"/>
              </w:rPr>
              <w:t>Less developed</w:t>
            </w:r>
          </w:p>
        </w:tc>
        <w:tc>
          <w:tcPr>
            <w:tcW w:w="849" w:type="dxa"/>
          </w:tcPr>
          <w:p w14:paraId="66CF9278" w14:textId="77777777" w:rsidR="00DD13BF" w:rsidRPr="00347461" w:rsidRDefault="00DD13BF" w:rsidP="00355A56">
            <w:pPr>
              <w:pStyle w:val="TableParagraph"/>
              <w:rPr>
                <w:sz w:val="20"/>
              </w:rPr>
            </w:pPr>
            <w:r>
              <w:rPr>
                <w:sz w:val="20"/>
              </w:rPr>
              <w:t>20</w:t>
            </w:r>
          </w:p>
        </w:tc>
        <w:tc>
          <w:tcPr>
            <w:tcW w:w="3677" w:type="dxa"/>
          </w:tcPr>
          <w:p w14:paraId="4432EEB8" w14:textId="77777777" w:rsidR="00DD13BF" w:rsidRPr="00BD1D81" w:rsidRDefault="00DD13BF" w:rsidP="00355A56">
            <w:pPr>
              <w:pStyle w:val="TableParagraph"/>
              <w:rPr>
                <w:sz w:val="20"/>
              </w:rPr>
            </w:pPr>
            <w:r>
              <w:rPr>
                <w:sz w:val="20"/>
              </w:rPr>
              <w:t>Share of secondary school and university students involved in vocational and professional education four weeks after the end of the operation</w:t>
            </w:r>
          </w:p>
        </w:tc>
        <w:tc>
          <w:tcPr>
            <w:tcW w:w="707" w:type="dxa"/>
          </w:tcPr>
          <w:p w14:paraId="70FCDC9C" w14:textId="77777777" w:rsidR="00DD13BF" w:rsidRPr="00BD1D81" w:rsidRDefault="00DD13BF" w:rsidP="00355A56">
            <w:pPr>
              <w:pStyle w:val="TableParagraph"/>
              <w:rPr>
                <w:sz w:val="20"/>
              </w:rPr>
            </w:pPr>
            <w:r>
              <w:rPr>
                <w:sz w:val="20"/>
              </w:rPr>
              <w:t>Percentage</w:t>
            </w:r>
          </w:p>
        </w:tc>
        <w:tc>
          <w:tcPr>
            <w:tcW w:w="1133" w:type="dxa"/>
          </w:tcPr>
          <w:p w14:paraId="2FA84FB9" w14:textId="77777777" w:rsidR="00DD13BF" w:rsidRPr="00BD1D81" w:rsidRDefault="00DD13BF" w:rsidP="00355A56">
            <w:pPr>
              <w:pStyle w:val="TableParagraph"/>
              <w:rPr>
                <w:sz w:val="20"/>
              </w:rPr>
            </w:pPr>
            <w:r>
              <w:rPr>
                <w:sz w:val="20"/>
              </w:rPr>
              <w:t>67</w:t>
            </w:r>
          </w:p>
        </w:tc>
        <w:tc>
          <w:tcPr>
            <w:tcW w:w="992" w:type="dxa"/>
          </w:tcPr>
          <w:p w14:paraId="67073A35" w14:textId="77777777" w:rsidR="00DD13BF" w:rsidRPr="00BD1D81" w:rsidRDefault="00DD13BF" w:rsidP="00355A56">
            <w:pPr>
              <w:pStyle w:val="TableParagraph"/>
              <w:rPr>
                <w:sz w:val="20"/>
              </w:rPr>
            </w:pPr>
            <w:r>
              <w:rPr>
                <w:sz w:val="20"/>
              </w:rPr>
              <w:t>2020</w:t>
            </w:r>
          </w:p>
        </w:tc>
        <w:tc>
          <w:tcPr>
            <w:tcW w:w="707" w:type="dxa"/>
          </w:tcPr>
          <w:p w14:paraId="1B50E078" w14:textId="77777777" w:rsidR="00DD13BF" w:rsidRPr="00BD1D81" w:rsidRDefault="00DD13BF" w:rsidP="00355A56">
            <w:pPr>
              <w:pStyle w:val="TableParagraph"/>
              <w:rPr>
                <w:sz w:val="20"/>
              </w:rPr>
            </w:pPr>
            <w:r>
              <w:rPr>
                <w:sz w:val="20"/>
              </w:rPr>
              <w:t>69</w:t>
            </w:r>
          </w:p>
        </w:tc>
        <w:tc>
          <w:tcPr>
            <w:tcW w:w="855" w:type="dxa"/>
          </w:tcPr>
          <w:p w14:paraId="08C00D93" w14:textId="77777777" w:rsidR="00DD13BF" w:rsidRPr="00347461" w:rsidRDefault="00DD13BF" w:rsidP="00355A56">
            <w:pPr>
              <w:pStyle w:val="TableParagraph"/>
              <w:rPr>
                <w:sz w:val="20"/>
              </w:rPr>
            </w:pPr>
            <w:r>
              <w:rPr>
                <w:sz w:val="20"/>
              </w:rPr>
              <w:t>Beneficiary, MIZŠ</w:t>
            </w:r>
          </w:p>
        </w:tc>
        <w:tc>
          <w:tcPr>
            <w:tcW w:w="708" w:type="dxa"/>
          </w:tcPr>
          <w:p w14:paraId="4AD579CC" w14:textId="77777777" w:rsidR="00DD13BF" w:rsidRPr="00347461" w:rsidRDefault="00DD13BF" w:rsidP="00355A56">
            <w:pPr>
              <w:pStyle w:val="TableParagraph"/>
              <w:rPr>
                <w:sz w:val="20"/>
              </w:rPr>
            </w:pPr>
          </w:p>
        </w:tc>
      </w:tr>
      <w:tr w:rsidR="00DD13BF" w:rsidRPr="00347461" w14:paraId="733E140B" w14:textId="77777777" w:rsidTr="00355A56">
        <w:trPr>
          <w:trHeight w:val="353"/>
        </w:trPr>
        <w:tc>
          <w:tcPr>
            <w:tcW w:w="992" w:type="dxa"/>
          </w:tcPr>
          <w:p w14:paraId="0F9352E6" w14:textId="77777777" w:rsidR="00DD13BF" w:rsidRPr="00347461" w:rsidRDefault="00DD13BF" w:rsidP="00355A56">
            <w:pPr>
              <w:pStyle w:val="TableParagraph"/>
              <w:rPr>
                <w:sz w:val="20"/>
              </w:rPr>
            </w:pPr>
            <w:r>
              <w:rPr>
                <w:sz w:val="20"/>
              </w:rPr>
              <w:t>6</w:t>
            </w:r>
          </w:p>
        </w:tc>
        <w:tc>
          <w:tcPr>
            <w:tcW w:w="851" w:type="dxa"/>
          </w:tcPr>
          <w:p w14:paraId="21E00704" w14:textId="77777777" w:rsidR="00DD13BF" w:rsidRPr="00347461" w:rsidRDefault="00DD13BF" w:rsidP="00355A56">
            <w:pPr>
              <w:pStyle w:val="TableParagraph"/>
              <w:rPr>
                <w:sz w:val="20"/>
              </w:rPr>
            </w:pPr>
            <w:r>
              <w:rPr>
                <w:color w:val="000000"/>
                <w:sz w:val="20"/>
              </w:rPr>
              <w:t>ESO4.5</w:t>
            </w:r>
          </w:p>
        </w:tc>
        <w:tc>
          <w:tcPr>
            <w:tcW w:w="566" w:type="dxa"/>
          </w:tcPr>
          <w:p w14:paraId="2A79E68B" w14:textId="77777777" w:rsidR="00DD13BF" w:rsidRPr="00347461" w:rsidRDefault="00DD13BF" w:rsidP="00355A56">
            <w:pPr>
              <w:pStyle w:val="TableParagraph"/>
              <w:rPr>
                <w:sz w:val="20"/>
              </w:rPr>
            </w:pPr>
            <w:r>
              <w:rPr>
                <w:sz w:val="20"/>
              </w:rPr>
              <w:t>ESF+</w:t>
            </w:r>
          </w:p>
        </w:tc>
        <w:tc>
          <w:tcPr>
            <w:tcW w:w="1570" w:type="dxa"/>
          </w:tcPr>
          <w:p w14:paraId="218E1DEB" w14:textId="77777777" w:rsidR="00DD13BF" w:rsidRPr="0067472B" w:rsidRDefault="00DD13BF" w:rsidP="00355A56">
            <w:pPr>
              <w:pStyle w:val="TableParagraph"/>
              <w:rPr>
                <w:sz w:val="20"/>
              </w:rPr>
            </w:pPr>
            <w:r>
              <w:rPr>
                <w:sz w:val="20"/>
              </w:rPr>
              <w:t>More developed</w:t>
            </w:r>
          </w:p>
        </w:tc>
        <w:tc>
          <w:tcPr>
            <w:tcW w:w="849" w:type="dxa"/>
          </w:tcPr>
          <w:p w14:paraId="641E756B" w14:textId="77777777" w:rsidR="00DD13BF" w:rsidRPr="00347461" w:rsidRDefault="00DD13BF" w:rsidP="00355A56">
            <w:pPr>
              <w:pStyle w:val="TableParagraph"/>
              <w:rPr>
                <w:sz w:val="20"/>
              </w:rPr>
            </w:pPr>
            <w:r>
              <w:rPr>
                <w:sz w:val="20"/>
              </w:rPr>
              <w:t>20</w:t>
            </w:r>
          </w:p>
        </w:tc>
        <w:tc>
          <w:tcPr>
            <w:tcW w:w="3677" w:type="dxa"/>
          </w:tcPr>
          <w:p w14:paraId="7F8B7AC9" w14:textId="77777777" w:rsidR="00DD13BF" w:rsidRPr="00BD1D81" w:rsidRDefault="00DD13BF" w:rsidP="00355A56">
            <w:pPr>
              <w:pStyle w:val="TableParagraph"/>
              <w:rPr>
                <w:sz w:val="20"/>
              </w:rPr>
            </w:pPr>
            <w:r>
              <w:rPr>
                <w:sz w:val="20"/>
              </w:rPr>
              <w:t>Share of secondary school and university students involved in vocational and professional education four weeks after the end of the operation</w:t>
            </w:r>
          </w:p>
        </w:tc>
        <w:tc>
          <w:tcPr>
            <w:tcW w:w="707" w:type="dxa"/>
          </w:tcPr>
          <w:p w14:paraId="24F266F5" w14:textId="77777777" w:rsidR="00DD13BF" w:rsidRPr="00BD1D81" w:rsidRDefault="00DD13BF" w:rsidP="00355A56">
            <w:pPr>
              <w:pStyle w:val="TableParagraph"/>
              <w:rPr>
                <w:sz w:val="20"/>
              </w:rPr>
            </w:pPr>
            <w:r>
              <w:rPr>
                <w:sz w:val="20"/>
              </w:rPr>
              <w:t>Percentage</w:t>
            </w:r>
          </w:p>
        </w:tc>
        <w:tc>
          <w:tcPr>
            <w:tcW w:w="1133" w:type="dxa"/>
          </w:tcPr>
          <w:p w14:paraId="02649B40" w14:textId="77777777" w:rsidR="00DD13BF" w:rsidRPr="00BD1D81" w:rsidRDefault="00DD13BF" w:rsidP="00355A56">
            <w:pPr>
              <w:pStyle w:val="TableParagraph"/>
              <w:rPr>
                <w:sz w:val="20"/>
              </w:rPr>
            </w:pPr>
            <w:r>
              <w:rPr>
                <w:sz w:val="20"/>
              </w:rPr>
              <w:t>67</w:t>
            </w:r>
          </w:p>
        </w:tc>
        <w:tc>
          <w:tcPr>
            <w:tcW w:w="992" w:type="dxa"/>
          </w:tcPr>
          <w:p w14:paraId="68A49C59" w14:textId="77777777" w:rsidR="00DD13BF" w:rsidRPr="00BD1D81" w:rsidRDefault="00DD13BF" w:rsidP="00355A56">
            <w:pPr>
              <w:pStyle w:val="TableParagraph"/>
              <w:rPr>
                <w:sz w:val="20"/>
              </w:rPr>
            </w:pPr>
            <w:r>
              <w:rPr>
                <w:sz w:val="20"/>
              </w:rPr>
              <w:t>2022</w:t>
            </w:r>
          </w:p>
        </w:tc>
        <w:tc>
          <w:tcPr>
            <w:tcW w:w="707" w:type="dxa"/>
          </w:tcPr>
          <w:p w14:paraId="0E0EE1B9" w14:textId="77777777" w:rsidR="00DD13BF" w:rsidRPr="00BD1D81" w:rsidRDefault="00DD13BF" w:rsidP="00355A56">
            <w:pPr>
              <w:pStyle w:val="TableParagraph"/>
              <w:rPr>
                <w:sz w:val="20"/>
              </w:rPr>
            </w:pPr>
            <w:r>
              <w:rPr>
                <w:sz w:val="20"/>
              </w:rPr>
              <w:t>69</w:t>
            </w:r>
          </w:p>
        </w:tc>
        <w:tc>
          <w:tcPr>
            <w:tcW w:w="855" w:type="dxa"/>
          </w:tcPr>
          <w:p w14:paraId="6BF62316" w14:textId="77777777" w:rsidR="00DD13BF" w:rsidRPr="00347461" w:rsidRDefault="00DD13BF" w:rsidP="00355A56">
            <w:pPr>
              <w:pStyle w:val="TableParagraph"/>
              <w:rPr>
                <w:sz w:val="20"/>
              </w:rPr>
            </w:pPr>
            <w:r>
              <w:rPr>
                <w:sz w:val="20"/>
              </w:rPr>
              <w:t>Beneficiary, MIZŠ</w:t>
            </w:r>
          </w:p>
        </w:tc>
        <w:tc>
          <w:tcPr>
            <w:tcW w:w="708" w:type="dxa"/>
          </w:tcPr>
          <w:p w14:paraId="5CACFBA0" w14:textId="77777777" w:rsidR="00DD13BF" w:rsidRPr="00347461" w:rsidRDefault="00DD13BF" w:rsidP="00355A56">
            <w:pPr>
              <w:pStyle w:val="TableParagraph"/>
              <w:rPr>
                <w:sz w:val="20"/>
              </w:rPr>
            </w:pPr>
          </w:p>
        </w:tc>
      </w:tr>
    </w:tbl>
    <w:p w14:paraId="2F93F1EB" w14:textId="77777777" w:rsidR="00DD13BF" w:rsidRPr="00F81084" w:rsidRDefault="00DD13BF" w:rsidP="00DD13BF">
      <w:pPr>
        <w:pStyle w:val="Telobesedila"/>
      </w:pPr>
    </w:p>
    <w:p w14:paraId="59B48B07" w14:textId="77777777" w:rsidR="00DD13BF" w:rsidRPr="00F81084" w:rsidRDefault="00DD13BF" w:rsidP="00DD13BF">
      <w:pPr>
        <w:pStyle w:val="Telobesedila"/>
      </w:pPr>
    </w:p>
    <w:p w14:paraId="7E467065" w14:textId="77777777" w:rsidR="00DD13BF" w:rsidRDefault="00DD13BF" w:rsidP="00DD13BF">
      <w:pPr>
        <w:pStyle w:val="Naslov5"/>
        <w:numPr>
          <w:ilvl w:val="4"/>
          <w:numId w:val="16"/>
        </w:numPr>
        <w:spacing w:before="0"/>
      </w:pPr>
      <w:r>
        <w:t>Indicative breakdown of the programme resources (EU) by type of intervention</w:t>
      </w:r>
    </w:p>
    <w:p w14:paraId="6F52BF43" w14:textId="77777777" w:rsidR="00DD13BF" w:rsidRDefault="00DD13BF" w:rsidP="00DD13BF">
      <w:pPr>
        <w:ind w:left="640"/>
        <w:rPr>
          <w:spacing w:val="-5"/>
        </w:rPr>
      </w:pPr>
    </w:p>
    <w:p w14:paraId="54804ED2" w14:textId="77777777" w:rsidR="00DD13BF" w:rsidRPr="002A0CDE" w:rsidRDefault="00DD13BF" w:rsidP="00DD13BF">
      <w:pPr>
        <w:ind w:left="339"/>
        <w:rPr>
          <w:spacing w:val="-7"/>
        </w:rPr>
      </w:pPr>
      <w:r>
        <w:t>Table 4: Dimension 1 – intervention field</w:t>
      </w:r>
    </w:p>
    <w:p w14:paraId="595CB444" w14:textId="77777777" w:rsidR="00DD13BF" w:rsidRPr="002A0CDE" w:rsidRDefault="00DD13BF" w:rsidP="00DD13BF">
      <w:pPr>
        <w:rPr>
          <w:sz w:val="20"/>
        </w:rPr>
      </w:pPr>
    </w:p>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2A0CDE" w14:paraId="1FD794A8" w14:textId="77777777" w:rsidTr="00355A56">
        <w:trPr>
          <w:trHeight w:val="353"/>
        </w:trPr>
        <w:tc>
          <w:tcPr>
            <w:tcW w:w="2088" w:type="dxa"/>
          </w:tcPr>
          <w:p w14:paraId="547C76B5" w14:textId="77777777" w:rsidR="00DD13BF" w:rsidRPr="002A0CDE" w:rsidRDefault="00DD13BF" w:rsidP="00355A56">
            <w:pPr>
              <w:ind w:left="115"/>
            </w:pPr>
            <w:r>
              <w:t>Priority no.</w:t>
            </w:r>
          </w:p>
        </w:tc>
        <w:tc>
          <w:tcPr>
            <w:tcW w:w="1133" w:type="dxa"/>
          </w:tcPr>
          <w:p w14:paraId="45E2EE12" w14:textId="77777777" w:rsidR="00DD13BF" w:rsidRPr="002A0CDE" w:rsidRDefault="00DD13BF" w:rsidP="00355A56">
            <w:pPr>
              <w:ind w:left="320"/>
            </w:pPr>
            <w:r>
              <w:t>Fund</w:t>
            </w:r>
          </w:p>
        </w:tc>
        <w:tc>
          <w:tcPr>
            <w:tcW w:w="3249" w:type="dxa"/>
          </w:tcPr>
          <w:p w14:paraId="2DD40D18" w14:textId="77777777" w:rsidR="00DD13BF" w:rsidRPr="002A0CDE" w:rsidRDefault="00DD13BF" w:rsidP="00355A56">
            <w:pPr>
              <w:ind w:left="907"/>
            </w:pPr>
            <w:r>
              <w:t>Category of region</w:t>
            </w:r>
          </w:p>
        </w:tc>
        <w:tc>
          <w:tcPr>
            <w:tcW w:w="3099" w:type="dxa"/>
          </w:tcPr>
          <w:p w14:paraId="3B07226B" w14:textId="77777777" w:rsidR="00DD13BF" w:rsidRPr="002A0CDE" w:rsidRDefault="00DD13BF" w:rsidP="00355A56">
            <w:pPr>
              <w:ind w:left="948"/>
            </w:pPr>
            <w:r>
              <w:t>Specific objective</w:t>
            </w:r>
          </w:p>
        </w:tc>
        <w:tc>
          <w:tcPr>
            <w:tcW w:w="1161" w:type="dxa"/>
          </w:tcPr>
          <w:p w14:paraId="1BC02E67" w14:textId="77777777" w:rsidR="00DD13BF" w:rsidRPr="002A0CDE" w:rsidRDefault="00DD13BF" w:rsidP="00355A56">
            <w:pPr>
              <w:ind w:left="333"/>
            </w:pPr>
            <w:r>
              <w:t>Code</w:t>
            </w:r>
          </w:p>
        </w:tc>
        <w:tc>
          <w:tcPr>
            <w:tcW w:w="2731" w:type="dxa"/>
          </w:tcPr>
          <w:p w14:paraId="36C0DC7E" w14:textId="77777777" w:rsidR="00DD13BF" w:rsidRPr="002A0CDE" w:rsidRDefault="00DD13BF" w:rsidP="00355A56">
            <w:pPr>
              <w:ind w:left="660"/>
            </w:pPr>
            <w:r>
              <w:t>Amount (in EUR)</w:t>
            </w:r>
          </w:p>
        </w:tc>
      </w:tr>
      <w:tr w:rsidR="00DD13BF" w:rsidRPr="002A0CDE" w14:paraId="485C7ABD" w14:textId="77777777" w:rsidTr="00355A56">
        <w:trPr>
          <w:trHeight w:val="353"/>
        </w:trPr>
        <w:tc>
          <w:tcPr>
            <w:tcW w:w="2088" w:type="dxa"/>
          </w:tcPr>
          <w:p w14:paraId="2C6EC46E" w14:textId="77777777" w:rsidR="00DD13BF" w:rsidRPr="002A0CDE" w:rsidRDefault="00DD13BF" w:rsidP="00355A56">
            <w:pPr>
              <w:rPr>
                <w:sz w:val="20"/>
              </w:rPr>
            </w:pPr>
            <w:r>
              <w:rPr>
                <w:sz w:val="20"/>
              </w:rPr>
              <w:t>6</w:t>
            </w:r>
          </w:p>
        </w:tc>
        <w:tc>
          <w:tcPr>
            <w:tcW w:w="1133" w:type="dxa"/>
          </w:tcPr>
          <w:p w14:paraId="307269CF" w14:textId="77777777" w:rsidR="00DD13BF" w:rsidRPr="002A0CDE" w:rsidRDefault="00DD13BF" w:rsidP="00355A56">
            <w:pPr>
              <w:rPr>
                <w:sz w:val="20"/>
              </w:rPr>
            </w:pPr>
            <w:r>
              <w:rPr>
                <w:sz w:val="20"/>
              </w:rPr>
              <w:t>ESF+</w:t>
            </w:r>
          </w:p>
        </w:tc>
        <w:tc>
          <w:tcPr>
            <w:tcW w:w="3249" w:type="dxa"/>
          </w:tcPr>
          <w:p w14:paraId="3051E65E" w14:textId="77777777" w:rsidR="00DD13BF" w:rsidRPr="002A0CDE" w:rsidDel="00C01DD5" w:rsidRDefault="00DD13BF" w:rsidP="00355A56">
            <w:pPr>
              <w:rPr>
                <w:sz w:val="20"/>
              </w:rPr>
            </w:pPr>
            <w:r>
              <w:rPr>
                <w:sz w:val="20"/>
              </w:rPr>
              <w:t>Less developed</w:t>
            </w:r>
          </w:p>
        </w:tc>
        <w:tc>
          <w:tcPr>
            <w:tcW w:w="3099" w:type="dxa"/>
          </w:tcPr>
          <w:p w14:paraId="50FF7884" w14:textId="77777777" w:rsidR="00DD13BF" w:rsidRPr="002A0CDE" w:rsidRDefault="00DD13BF" w:rsidP="00355A56">
            <w:pPr>
              <w:rPr>
                <w:sz w:val="20"/>
              </w:rPr>
            </w:pPr>
            <w:r>
              <w:rPr>
                <w:color w:val="000000"/>
                <w:sz w:val="20"/>
              </w:rPr>
              <w:t>ESO4.5</w:t>
            </w:r>
          </w:p>
        </w:tc>
        <w:tc>
          <w:tcPr>
            <w:tcW w:w="1161" w:type="dxa"/>
          </w:tcPr>
          <w:p w14:paraId="73BF4E05" w14:textId="77777777" w:rsidR="00DD13BF" w:rsidRPr="002A0CDE" w:rsidRDefault="00DD13BF" w:rsidP="00355A56">
            <w:pPr>
              <w:rPr>
                <w:sz w:val="20"/>
              </w:rPr>
            </w:pPr>
            <w:r>
              <w:rPr>
                <w:sz w:val="20"/>
              </w:rPr>
              <w:t>145</w:t>
            </w:r>
          </w:p>
        </w:tc>
        <w:tc>
          <w:tcPr>
            <w:tcW w:w="2731" w:type="dxa"/>
          </w:tcPr>
          <w:p w14:paraId="0D210F81" w14:textId="77777777" w:rsidR="00DD13BF" w:rsidRPr="002A0CDE" w:rsidRDefault="00DD13BF" w:rsidP="00355A56">
            <w:pPr>
              <w:rPr>
                <w:sz w:val="20"/>
              </w:rPr>
            </w:pPr>
            <w:r>
              <w:rPr>
                <w:sz w:val="20"/>
              </w:rPr>
              <w:t>13,515,000</w:t>
            </w:r>
          </w:p>
        </w:tc>
      </w:tr>
      <w:tr w:rsidR="00DD13BF" w:rsidRPr="002A0CDE" w14:paraId="159E7CFA" w14:textId="77777777" w:rsidTr="00355A56">
        <w:trPr>
          <w:trHeight w:val="353"/>
        </w:trPr>
        <w:tc>
          <w:tcPr>
            <w:tcW w:w="2088" w:type="dxa"/>
          </w:tcPr>
          <w:p w14:paraId="1EDD8B50" w14:textId="77777777" w:rsidR="00DD13BF" w:rsidRPr="002A0CDE" w:rsidRDefault="00DD13BF" w:rsidP="00355A56">
            <w:pPr>
              <w:rPr>
                <w:sz w:val="20"/>
              </w:rPr>
            </w:pPr>
            <w:r>
              <w:rPr>
                <w:sz w:val="20"/>
              </w:rPr>
              <w:t>6</w:t>
            </w:r>
          </w:p>
        </w:tc>
        <w:tc>
          <w:tcPr>
            <w:tcW w:w="1133" w:type="dxa"/>
          </w:tcPr>
          <w:p w14:paraId="3436500F" w14:textId="77777777" w:rsidR="00DD13BF" w:rsidRPr="002A0CDE" w:rsidRDefault="00DD13BF" w:rsidP="00355A56">
            <w:pPr>
              <w:rPr>
                <w:sz w:val="20"/>
              </w:rPr>
            </w:pPr>
            <w:r>
              <w:rPr>
                <w:sz w:val="20"/>
              </w:rPr>
              <w:t>ESF+</w:t>
            </w:r>
          </w:p>
        </w:tc>
        <w:tc>
          <w:tcPr>
            <w:tcW w:w="3249" w:type="dxa"/>
          </w:tcPr>
          <w:p w14:paraId="22AA1AAE" w14:textId="77777777" w:rsidR="00DD13BF" w:rsidRPr="002A0CDE" w:rsidDel="00C01DD5" w:rsidRDefault="00DD13BF" w:rsidP="00355A56">
            <w:pPr>
              <w:rPr>
                <w:sz w:val="20"/>
              </w:rPr>
            </w:pPr>
            <w:r>
              <w:rPr>
                <w:sz w:val="20"/>
              </w:rPr>
              <w:t>More developed</w:t>
            </w:r>
          </w:p>
        </w:tc>
        <w:tc>
          <w:tcPr>
            <w:tcW w:w="3099" w:type="dxa"/>
          </w:tcPr>
          <w:p w14:paraId="72CE46C5" w14:textId="77777777" w:rsidR="00DD13BF" w:rsidRPr="002A0CDE" w:rsidRDefault="00DD13BF" w:rsidP="00355A56">
            <w:pPr>
              <w:rPr>
                <w:sz w:val="20"/>
              </w:rPr>
            </w:pPr>
            <w:r>
              <w:rPr>
                <w:color w:val="000000"/>
                <w:sz w:val="20"/>
              </w:rPr>
              <w:t>ESO4.5</w:t>
            </w:r>
          </w:p>
        </w:tc>
        <w:tc>
          <w:tcPr>
            <w:tcW w:w="1161" w:type="dxa"/>
          </w:tcPr>
          <w:p w14:paraId="6E7DF14B" w14:textId="77777777" w:rsidR="00DD13BF" w:rsidRPr="002A0CDE" w:rsidRDefault="00DD13BF" w:rsidP="00355A56">
            <w:pPr>
              <w:rPr>
                <w:sz w:val="20"/>
              </w:rPr>
            </w:pPr>
            <w:r>
              <w:rPr>
                <w:sz w:val="20"/>
              </w:rPr>
              <w:t>145</w:t>
            </w:r>
          </w:p>
        </w:tc>
        <w:tc>
          <w:tcPr>
            <w:tcW w:w="2731" w:type="dxa"/>
          </w:tcPr>
          <w:p w14:paraId="709EC2A7" w14:textId="77777777" w:rsidR="00DD13BF" w:rsidRPr="002A0CDE" w:rsidRDefault="00DD13BF" w:rsidP="00355A56">
            <w:pPr>
              <w:rPr>
                <w:sz w:val="20"/>
              </w:rPr>
            </w:pPr>
            <w:r>
              <w:rPr>
                <w:sz w:val="20"/>
              </w:rPr>
              <w:t>5,640,000</w:t>
            </w:r>
          </w:p>
        </w:tc>
      </w:tr>
      <w:tr w:rsidR="00DD13BF" w:rsidRPr="002A0CDE" w14:paraId="7CA92FCA" w14:textId="77777777" w:rsidTr="00355A56">
        <w:trPr>
          <w:trHeight w:val="353"/>
        </w:trPr>
        <w:tc>
          <w:tcPr>
            <w:tcW w:w="2088" w:type="dxa"/>
          </w:tcPr>
          <w:p w14:paraId="7C2D437B" w14:textId="77777777" w:rsidR="00DD13BF" w:rsidRPr="002A0CDE" w:rsidRDefault="00DD13BF" w:rsidP="00355A56">
            <w:pPr>
              <w:rPr>
                <w:sz w:val="20"/>
              </w:rPr>
            </w:pPr>
            <w:r>
              <w:rPr>
                <w:sz w:val="20"/>
              </w:rPr>
              <w:t>6</w:t>
            </w:r>
          </w:p>
        </w:tc>
        <w:tc>
          <w:tcPr>
            <w:tcW w:w="1133" w:type="dxa"/>
          </w:tcPr>
          <w:p w14:paraId="6F82BC84" w14:textId="77777777" w:rsidR="00DD13BF" w:rsidRPr="002A0CDE" w:rsidRDefault="00DD13BF" w:rsidP="00355A56">
            <w:pPr>
              <w:rPr>
                <w:sz w:val="20"/>
              </w:rPr>
            </w:pPr>
            <w:r>
              <w:rPr>
                <w:sz w:val="20"/>
              </w:rPr>
              <w:t>ESF+</w:t>
            </w:r>
          </w:p>
        </w:tc>
        <w:tc>
          <w:tcPr>
            <w:tcW w:w="3249" w:type="dxa"/>
          </w:tcPr>
          <w:p w14:paraId="05871775" w14:textId="77777777" w:rsidR="00DD13BF" w:rsidRPr="002A0CDE" w:rsidDel="00C01DD5" w:rsidRDefault="00DD13BF" w:rsidP="00355A56">
            <w:pPr>
              <w:rPr>
                <w:sz w:val="20"/>
              </w:rPr>
            </w:pPr>
            <w:r>
              <w:rPr>
                <w:sz w:val="20"/>
              </w:rPr>
              <w:t>Less developed</w:t>
            </w:r>
          </w:p>
        </w:tc>
        <w:tc>
          <w:tcPr>
            <w:tcW w:w="3099" w:type="dxa"/>
          </w:tcPr>
          <w:p w14:paraId="2A9B8E97" w14:textId="77777777" w:rsidR="00DD13BF" w:rsidRPr="002A0CDE" w:rsidRDefault="00DD13BF" w:rsidP="00355A56">
            <w:pPr>
              <w:rPr>
                <w:sz w:val="20"/>
              </w:rPr>
            </w:pPr>
            <w:r>
              <w:rPr>
                <w:color w:val="000000"/>
                <w:sz w:val="20"/>
              </w:rPr>
              <w:t>ESO4.5</w:t>
            </w:r>
          </w:p>
        </w:tc>
        <w:tc>
          <w:tcPr>
            <w:tcW w:w="1161" w:type="dxa"/>
          </w:tcPr>
          <w:p w14:paraId="2CB9FB57" w14:textId="77777777" w:rsidR="00DD13BF" w:rsidRPr="002A0CDE" w:rsidRDefault="00DD13BF" w:rsidP="00355A56">
            <w:pPr>
              <w:rPr>
                <w:sz w:val="20"/>
              </w:rPr>
            </w:pPr>
            <w:r>
              <w:rPr>
                <w:sz w:val="20"/>
              </w:rPr>
              <w:t>148</w:t>
            </w:r>
          </w:p>
        </w:tc>
        <w:tc>
          <w:tcPr>
            <w:tcW w:w="2731" w:type="dxa"/>
          </w:tcPr>
          <w:p w14:paraId="75EC1331" w14:textId="77777777" w:rsidR="00DD13BF" w:rsidRPr="002A0CDE" w:rsidRDefault="00DD13BF" w:rsidP="00355A56">
            <w:pPr>
              <w:rPr>
                <w:sz w:val="20"/>
              </w:rPr>
            </w:pPr>
            <w:r>
              <w:rPr>
                <w:sz w:val="20"/>
              </w:rPr>
              <w:t>11,364,700</w:t>
            </w:r>
          </w:p>
        </w:tc>
      </w:tr>
      <w:tr w:rsidR="00DD13BF" w:rsidRPr="002A0CDE" w14:paraId="3357BA07" w14:textId="77777777" w:rsidTr="00355A56">
        <w:trPr>
          <w:trHeight w:val="353"/>
        </w:trPr>
        <w:tc>
          <w:tcPr>
            <w:tcW w:w="2088" w:type="dxa"/>
          </w:tcPr>
          <w:p w14:paraId="019B554B" w14:textId="77777777" w:rsidR="00DD13BF" w:rsidRPr="002A0CDE" w:rsidRDefault="00DD13BF" w:rsidP="00355A56">
            <w:pPr>
              <w:rPr>
                <w:sz w:val="20"/>
              </w:rPr>
            </w:pPr>
            <w:r>
              <w:rPr>
                <w:sz w:val="20"/>
              </w:rPr>
              <w:t>6</w:t>
            </w:r>
          </w:p>
        </w:tc>
        <w:tc>
          <w:tcPr>
            <w:tcW w:w="1133" w:type="dxa"/>
          </w:tcPr>
          <w:p w14:paraId="3F23C9EE" w14:textId="77777777" w:rsidR="00DD13BF" w:rsidRPr="002A0CDE" w:rsidRDefault="00DD13BF" w:rsidP="00355A56">
            <w:pPr>
              <w:rPr>
                <w:sz w:val="20"/>
              </w:rPr>
            </w:pPr>
            <w:r>
              <w:rPr>
                <w:sz w:val="20"/>
              </w:rPr>
              <w:t>ESF+</w:t>
            </w:r>
          </w:p>
        </w:tc>
        <w:tc>
          <w:tcPr>
            <w:tcW w:w="3249" w:type="dxa"/>
          </w:tcPr>
          <w:p w14:paraId="5B068554" w14:textId="77777777" w:rsidR="00DD13BF" w:rsidRPr="002A0CDE" w:rsidDel="00C01DD5" w:rsidRDefault="00DD13BF" w:rsidP="00355A56">
            <w:pPr>
              <w:rPr>
                <w:sz w:val="20"/>
              </w:rPr>
            </w:pPr>
            <w:r>
              <w:rPr>
                <w:sz w:val="20"/>
              </w:rPr>
              <w:t>More developed</w:t>
            </w:r>
          </w:p>
        </w:tc>
        <w:tc>
          <w:tcPr>
            <w:tcW w:w="3099" w:type="dxa"/>
          </w:tcPr>
          <w:p w14:paraId="2435D2F7" w14:textId="77777777" w:rsidR="00DD13BF" w:rsidRPr="002A0CDE" w:rsidRDefault="00DD13BF" w:rsidP="00355A56">
            <w:pPr>
              <w:rPr>
                <w:sz w:val="20"/>
              </w:rPr>
            </w:pPr>
            <w:r>
              <w:rPr>
                <w:color w:val="000000"/>
                <w:sz w:val="20"/>
              </w:rPr>
              <w:t>ESO4.5</w:t>
            </w:r>
          </w:p>
        </w:tc>
        <w:tc>
          <w:tcPr>
            <w:tcW w:w="1161" w:type="dxa"/>
          </w:tcPr>
          <w:p w14:paraId="3FEB1357" w14:textId="77777777" w:rsidR="00DD13BF" w:rsidRPr="002A0CDE" w:rsidRDefault="00DD13BF" w:rsidP="00355A56">
            <w:pPr>
              <w:rPr>
                <w:sz w:val="20"/>
              </w:rPr>
            </w:pPr>
            <w:r>
              <w:rPr>
                <w:sz w:val="20"/>
              </w:rPr>
              <w:t>148</w:t>
            </w:r>
          </w:p>
        </w:tc>
        <w:tc>
          <w:tcPr>
            <w:tcW w:w="2731" w:type="dxa"/>
          </w:tcPr>
          <w:p w14:paraId="3851C0A1" w14:textId="77777777" w:rsidR="00DD13BF" w:rsidRPr="002A0CDE" w:rsidRDefault="00DD13BF" w:rsidP="00355A56">
            <w:pPr>
              <w:rPr>
                <w:sz w:val="20"/>
              </w:rPr>
            </w:pPr>
            <w:r>
              <w:rPr>
                <w:sz w:val="20"/>
              </w:rPr>
              <w:t>4,562,200</w:t>
            </w:r>
          </w:p>
        </w:tc>
      </w:tr>
      <w:tr w:rsidR="00DD13BF" w:rsidRPr="002A0CDE" w14:paraId="1463AE9B" w14:textId="77777777" w:rsidTr="00355A56">
        <w:trPr>
          <w:trHeight w:val="353"/>
        </w:trPr>
        <w:tc>
          <w:tcPr>
            <w:tcW w:w="2088" w:type="dxa"/>
          </w:tcPr>
          <w:p w14:paraId="47887AB4" w14:textId="77777777" w:rsidR="00DD13BF" w:rsidRPr="002A0CDE" w:rsidRDefault="00DD13BF" w:rsidP="00355A56">
            <w:pPr>
              <w:rPr>
                <w:sz w:val="20"/>
              </w:rPr>
            </w:pPr>
            <w:r>
              <w:rPr>
                <w:sz w:val="20"/>
              </w:rPr>
              <w:t>6</w:t>
            </w:r>
          </w:p>
        </w:tc>
        <w:tc>
          <w:tcPr>
            <w:tcW w:w="1133" w:type="dxa"/>
          </w:tcPr>
          <w:p w14:paraId="59D83543" w14:textId="77777777" w:rsidR="00DD13BF" w:rsidRPr="002A0CDE" w:rsidRDefault="00DD13BF" w:rsidP="00355A56">
            <w:pPr>
              <w:rPr>
                <w:sz w:val="20"/>
              </w:rPr>
            </w:pPr>
            <w:r>
              <w:rPr>
                <w:sz w:val="20"/>
              </w:rPr>
              <w:t>ESF+</w:t>
            </w:r>
          </w:p>
        </w:tc>
        <w:tc>
          <w:tcPr>
            <w:tcW w:w="3249" w:type="dxa"/>
          </w:tcPr>
          <w:p w14:paraId="56803E6E" w14:textId="77777777" w:rsidR="00DD13BF" w:rsidRPr="002A0CDE" w:rsidRDefault="00DD13BF" w:rsidP="00355A56">
            <w:pPr>
              <w:rPr>
                <w:sz w:val="20"/>
              </w:rPr>
            </w:pPr>
            <w:r>
              <w:rPr>
                <w:sz w:val="20"/>
              </w:rPr>
              <w:t>Less developed</w:t>
            </w:r>
          </w:p>
        </w:tc>
        <w:tc>
          <w:tcPr>
            <w:tcW w:w="3099" w:type="dxa"/>
          </w:tcPr>
          <w:p w14:paraId="10E7DBCE" w14:textId="77777777" w:rsidR="00DD13BF" w:rsidRPr="002A0CDE" w:rsidRDefault="00DD13BF" w:rsidP="00355A56">
            <w:pPr>
              <w:rPr>
                <w:sz w:val="20"/>
              </w:rPr>
            </w:pPr>
            <w:r>
              <w:rPr>
                <w:color w:val="000000"/>
                <w:sz w:val="20"/>
              </w:rPr>
              <w:t>ESO4.5</w:t>
            </w:r>
          </w:p>
        </w:tc>
        <w:tc>
          <w:tcPr>
            <w:tcW w:w="1161" w:type="dxa"/>
          </w:tcPr>
          <w:p w14:paraId="29E81925" w14:textId="77777777" w:rsidR="00DD13BF" w:rsidRPr="002A0CDE" w:rsidRDefault="00DD13BF" w:rsidP="00355A56">
            <w:pPr>
              <w:rPr>
                <w:sz w:val="20"/>
              </w:rPr>
            </w:pPr>
            <w:r>
              <w:rPr>
                <w:sz w:val="20"/>
              </w:rPr>
              <w:t>149</w:t>
            </w:r>
          </w:p>
        </w:tc>
        <w:tc>
          <w:tcPr>
            <w:tcW w:w="2731" w:type="dxa"/>
          </w:tcPr>
          <w:p w14:paraId="481979D5" w14:textId="77777777" w:rsidR="00DD13BF" w:rsidRPr="002A0CDE" w:rsidRDefault="00DD13BF" w:rsidP="00355A56">
            <w:pPr>
              <w:rPr>
                <w:sz w:val="20"/>
              </w:rPr>
            </w:pPr>
            <w:r>
              <w:rPr>
                <w:sz w:val="20"/>
              </w:rPr>
              <w:t>55,135,200</w:t>
            </w:r>
          </w:p>
        </w:tc>
      </w:tr>
      <w:tr w:rsidR="00DD13BF" w:rsidRPr="002A0CDE" w14:paraId="6E180911" w14:textId="77777777" w:rsidTr="00355A56">
        <w:trPr>
          <w:trHeight w:val="353"/>
        </w:trPr>
        <w:tc>
          <w:tcPr>
            <w:tcW w:w="2088" w:type="dxa"/>
          </w:tcPr>
          <w:p w14:paraId="4F2E3C0F" w14:textId="77777777" w:rsidR="00DD13BF" w:rsidRPr="002A0CDE" w:rsidRDefault="00DD13BF" w:rsidP="00355A56">
            <w:pPr>
              <w:rPr>
                <w:sz w:val="20"/>
              </w:rPr>
            </w:pPr>
            <w:r>
              <w:rPr>
                <w:sz w:val="20"/>
              </w:rPr>
              <w:t>6</w:t>
            </w:r>
          </w:p>
        </w:tc>
        <w:tc>
          <w:tcPr>
            <w:tcW w:w="1133" w:type="dxa"/>
          </w:tcPr>
          <w:p w14:paraId="3BC2FDCA" w14:textId="77777777" w:rsidR="00DD13BF" w:rsidRPr="002A0CDE" w:rsidRDefault="00DD13BF" w:rsidP="00355A56">
            <w:pPr>
              <w:rPr>
                <w:sz w:val="20"/>
              </w:rPr>
            </w:pPr>
            <w:r>
              <w:rPr>
                <w:sz w:val="20"/>
              </w:rPr>
              <w:t>ESF+</w:t>
            </w:r>
          </w:p>
        </w:tc>
        <w:tc>
          <w:tcPr>
            <w:tcW w:w="3249" w:type="dxa"/>
          </w:tcPr>
          <w:p w14:paraId="428F0F44" w14:textId="77777777" w:rsidR="00DD13BF" w:rsidRPr="002A0CDE" w:rsidDel="00C01DD5" w:rsidRDefault="00DD13BF" w:rsidP="00355A56">
            <w:pPr>
              <w:rPr>
                <w:sz w:val="20"/>
              </w:rPr>
            </w:pPr>
            <w:r>
              <w:rPr>
                <w:sz w:val="20"/>
              </w:rPr>
              <w:t>More developed</w:t>
            </w:r>
          </w:p>
        </w:tc>
        <w:tc>
          <w:tcPr>
            <w:tcW w:w="3099" w:type="dxa"/>
          </w:tcPr>
          <w:p w14:paraId="0549783A" w14:textId="77777777" w:rsidR="00DD13BF" w:rsidRPr="002A0CDE" w:rsidRDefault="00DD13BF" w:rsidP="00355A56">
            <w:pPr>
              <w:rPr>
                <w:sz w:val="20"/>
              </w:rPr>
            </w:pPr>
            <w:r>
              <w:rPr>
                <w:color w:val="000000"/>
                <w:sz w:val="20"/>
              </w:rPr>
              <w:t>ESO4.5</w:t>
            </w:r>
          </w:p>
        </w:tc>
        <w:tc>
          <w:tcPr>
            <w:tcW w:w="1161" w:type="dxa"/>
          </w:tcPr>
          <w:p w14:paraId="6E95F859" w14:textId="77777777" w:rsidR="00DD13BF" w:rsidRPr="002A0CDE" w:rsidRDefault="00DD13BF" w:rsidP="00355A56">
            <w:pPr>
              <w:rPr>
                <w:sz w:val="20"/>
              </w:rPr>
            </w:pPr>
            <w:r>
              <w:rPr>
                <w:sz w:val="20"/>
              </w:rPr>
              <w:t>149</w:t>
            </w:r>
          </w:p>
        </w:tc>
        <w:tc>
          <w:tcPr>
            <w:tcW w:w="2731" w:type="dxa"/>
          </w:tcPr>
          <w:p w14:paraId="0A655FC7" w14:textId="77777777" w:rsidR="00DD13BF" w:rsidRPr="002A0CDE" w:rsidRDefault="00DD13BF" w:rsidP="00355A56">
            <w:pPr>
              <w:rPr>
                <w:sz w:val="20"/>
              </w:rPr>
            </w:pPr>
            <w:r>
              <w:rPr>
                <w:sz w:val="20"/>
              </w:rPr>
              <w:t>19,112,700</w:t>
            </w:r>
          </w:p>
        </w:tc>
      </w:tr>
      <w:tr w:rsidR="00DD13BF" w:rsidRPr="002A0CDE" w14:paraId="7928EA11" w14:textId="77777777" w:rsidTr="00355A56">
        <w:trPr>
          <w:trHeight w:val="353"/>
        </w:trPr>
        <w:tc>
          <w:tcPr>
            <w:tcW w:w="2088" w:type="dxa"/>
          </w:tcPr>
          <w:p w14:paraId="2B20BEB9" w14:textId="77777777" w:rsidR="00DD13BF" w:rsidRPr="002A0CDE" w:rsidRDefault="00DD13BF" w:rsidP="00355A56">
            <w:pPr>
              <w:rPr>
                <w:sz w:val="20"/>
              </w:rPr>
            </w:pPr>
            <w:r>
              <w:rPr>
                <w:sz w:val="20"/>
              </w:rPr>
              <w:t>6</w:t>
            </w:r>
          </w:p>
        </w:tc>
        <w:tc>
          <w:tcPr>
            <w:tcW w:w="1133" w:type="dxa"/>
          </w:tcPr>
          <w:p w14:paraId="22418844" w14:textId="77777777" w:rsidR="00DD13BF" w:rsidRPr="002A0CDE" w:rsidRDefault="00DD13BF" w:rsidP="00355A56">
            <w:pPr>
              <w:rPr>
                <w:sz w:val="20"/>
              </w:rPr>
            </w:pPr>
            <w:r>
              <w:rPr>
                <w:sz w:val="20"/>
              </w:rPr>
              <w:t>ESF+</w:t>
            </w:r>
          </w:p>
        </w:tc>
        <w:tc>
          <w:tcPr>
            <w:tcW w:w="3249" w:type="dxa"/>
          </w:tcPr>
          <w:p w14:paraId="47155000" w14:textId="77777777" w:rsidR="00DD13BF" w:rsidRPr="002A0CDE" w:rsidDel="00C01DD5" w:rsidRDefault="00DD13BF" w:rsidP="00355A56">
            <w:pPr>
              <w:rPr>
                <w:sz w:val="20"/>
              </w:rPr>
            </w:pPr>
            <w:r>
              <w:rPr>
                <w:sz w:val="20"/>
              </w:rPr>
              <w:t>Less developed</w:t>
            </w:r>
          </w:p>
        </w:tc>
        <w:tc>
          <w:tcPr>
            <w:tcW w:w="3099" w:type="dxa"/>
          </w:tcPr>
          <w:p w14:paraId="17AAEBCA" w14:textId="77777777" w:rsidR="00DD13BF" w:rsidRPr="002A0CDE" w:rsidRDefault="00DD13BF" w:rsidP="00355A56">
            <w:pPr>
              <w:rPr>
                <w:sz w:val="20"/>
              </w:rPr>
            </w:pPr>
            <w:r>
              <w:rPr>
                <w:color w:val="000000"/>
                <w:sz w:val="20"/>
              </w:rPr>
              <w:t>ESO4.5</w:t>
            </w:r>
          </w:p>
        </w:tc>
        <w:tc>
          <w:tcPr>
            <w:tcW w:w="1161" w:type="dxa"/>
          </w:tcPr>
          <w:p w14:paraId="13246B6B" w14:textId="77777777" w:rsidR="00DD13BF" w:rsidRPr="002A0CDE" w:rsidRDefault="00DD13BF" w:rsidP="00355A56">
            <w:pPr>
              <w:rPr>
                <w:sz w:val="20"/>
              </w:rPr>
            </w:pPr>
            <w:r>
              <w:rPr>
                <w:sz w:val="20"/>
              </w:rPr>
              <w:t>150</w:t>
            </w:r>
          </w:p>
        </w:tc>
        <w:tc>
          <w:tcPr>
            <w:tcW w:w="2731" w:type="dxa"/>
          </w:tcPr>
          <w:p w14:paraId="7739A2D6" w14:textId="77777777" w:rsidR="00DD13BF" w:rsidRPr="002A0CDE" w:rsidRDefault="00DD13BF" w:rsidP="00355A56">
            <w:pPr>
              <w:rPr>
                <w:sz w:val="20"/>
              </w:rPr>
            </w:pPr>
            <w:r>
              <w:rPr>
                <w:sz w:val="20"/>
              </w:rPr>
              <w:t>14,152,000</w:t>
            </w:r>
          </w:p>
        </w:tc>
      </w:tr>
      <w:tr w:rsidR="00DD13BF" w:rsidRPr="002A0CDE" w14:paraId="10231666" w14:textId="77777777" w:rsidTr="00355A56">
        <w:trPr>
          <w:trHeight w:val="353"/>
        </w:trPr>
        <w:tc>
          <w:tcPr>
            <w:tcW w:w="2088" w:type="dxa"/>
          </w:tcPr>
          <w:p w14:paraId="31A897F8" w14:textId="77777777" w:rsidR="00DD13BF" w:rsidRPr="002A0CDE" w:rsidRDefault="00DD13BF" w:rsidP="00355A56">
            <w:pPr>
              <w:rPr>
                <w:sz w:val="20"/>
              </w:rPr>
            </w:pPr>
            <w:r>
              <w:rPr>
                <w:sz w:val="20"/>
              </w:rPr>
              <w:t>6</w:t>
            </w:r>
          </w:p>
        </w:tc>
        <w:tc>
          <w:tcPr>
            <w:tcW w:w="1133" w:type="dxa"/>
          </w:tcPr>
          <w:p w14:paraId="2BDAE06F" w14:textId="77777777" w:rsidR="00DD13BF" w:rsidRPr="002A0CDE" w:rsidRDefault="00DD13BF" w:rsidP="00355A56">
            <w:pPr>
              <w:rPr>
                <w:sz w:val="20"/>
              </w:rPr>
            </w:pPr>
            <w:r>
              <w:rPr>
                <w:sz w:val="20"/>
              </w:rPr>
              <w:t>ESF+</w:t>
            </w:r>
          </w:p>
        </w:tc>
        <w:tc>
          <w:tcPr>
            <w:tcW w:w="3249" w:type="dxa"/>
          </w:tcPr>
          <w:p w14:paraId="06E0C5EA" w14:textId="77777777" w:rsidR="00DD13BF" w:rsidRPr="002A0CDE" w:rsidDel="00C01DD5" w:rsidRDefault="00DD13BF" w:rsidP="00355A56">
            <w:pPr>
              <w:rPr>
                <w:sz w:val="20"/>
              </w:rPr>
            </w:pPr>
            <w:r>
              <w:rPr>
                <w:sz w:val="20"/>
              </w:rPr>
              <w:t>More developed</w:t>
            </w:r>
          </w:p>
        </w:tc>
        <w:tc>
          <w:tcPr>
            <w:tcW w:w="3099" w:type="dxa"/>
          </w:tcPr>
          <w:p w14:paraId="78154F56" w14:textId="77777777" w:rsidR="00DD13BF" w:rsidRPr="002A0CDE" w:rsidRDefault="00DD13BF" w:rsidP="00355A56">
            <w:pPr>
              <w:rPr>
                <w:sz w:val="20"/>
              </w:rPr>
            </w:pPr>
            <w:r>
              <w:rPr>
                <w:color w:val="000000"/>
                <w:sz w:val="20"/>
              </w:rPr>
              <w:t>ESO4.5</w:t>
            </w:r>
          </w:p>
        </w:tc>
        <w:tc>
          <w:tcPr>
            <w:tcW w:w="1161" w:type="dxa"/>
          </w:tcPr>
          <w:p w14:paraId="64919252" w14:textId="77777777" w:rsidR="00DD13BF" w:rsidRPr="002A0CDE" w:rsidRDefault="00DD13BF" w:rsidP="00355A56">
            <w:pPr>
              <w:rPr>
                <w:sz w:val="20"/>
              </w:rPr>
            </w:pPr>
            <w:r>
              <w:rPr>
                <w:sz w:val="20"/>
              </w:rPr>
              <w:t>150</w:t>
            </w:r>
          </w:p>
        </w:tc>
        <w:tc>
          <w:tcPr>
            <w:tcW w:w="2731" w:type="dxa"/>
          </w:tcPr>
          <w:p w14:paraId="3FA74C33" w14:textId="77777777" w:rsidR="00DD13BF" w:rsidRPr="002A0CDE" w:rsidRDefault="00DD13BF" w:rsidP="00355A56">
            <w:pPr>
              <w:rPr>
                <w:sz w:val="20"/>
              </w:rPr>
            </w:pPr>
            <w:r>
              <w:rPr>
                <w:sz w:val="20"/>
              </w:rPr>
              <w:t>12,532,000</w:t>
            </w:r>
          </w:p>
        </w:tc>
      </w:tr>
      <w:tr w:rsidR="00DD13BF" w:rsidRPr="002A0CDE" w14:paraId="34B58C31" w14:textId="77777777" w:rsidTr="00355A56">
        <w:trPr>
          <w:trHeight w:val="353"/>
        </w:trPr>
        <w:tc>
          <w:tcPr>
            <w:tcW w:w="2088" w:type="dxa"/>
          </w:tcPr>
          <w:p w14:paraId="2D1F00AD" w14:textId="77777777" w:rsidR="00DD13BF" w:rsidRPr="002A0CDE" w:rsidRDefault="00DD13BF" w:rsidP="00355A56">
            <w:pPr>
              <w:rPr>
                <w:sz w:val="20"/>
              </w:rPr>
            </w:pPr>
            <w:r>
              <w:rPr>
                <w:sz w:val="20"/>
              </w:rPr>
              <w:t>6</w:t>
            </w:r>
          </w:p>
        </w:tc>
        <w:tc>
          <w:tcPr>
            <w:tcW w:w="1133" w:type="dxa"/>
          </w:tcPr>
          <w:p w14:paraId="1969BA7A" w14:textId="77777777" w:rsidR="00DD13BF" w:rsidRPr="002A0CDE" w:rsidRDefault="00DD13BF" w:rsidP="00355A56">
            <w:pPr>
              <w:rPr>
                <w:sz w:val="20"/>
              </w:rPr>
            </w:pPr>
            <w:r>
              <w:rPr>
                <w:sz w:val="20"/>
              </w:rPr>
              <w:t>ESF+</w:t>
            </w:r>
          </w:p>
        </w:tc>
        <w:tc>
          <w:tcPr>
            <w:tcW w:w="3249" w:type="dxa"/>
          </w:tcPr>
          <w:p w14:paraId="082394B1" w14:textId="77777777" w:rsidR="00DD13BF" w:rsidRDefault="00DD13BF" w:rsidP="00355A56">
            <w:pPr>
              <w:rPr>
                <w:sz w:val="20"/>
              </w:rPr>
            </w:pPr>
            <w:r>
              <w:rPr>
                <w:sz w:val="20"/>
              </w:rPr>
              <w:t>Less developed</w:t>
            </w:r>
          </w:p>
        </w:tc>
        <w:tc>
          <w:tcPr>
            <w:tcW w:w="3099" w:type="dxa"/>
          </w:tcPr>
          <w:p w14:paraId="580C10E2" w14:textId="77777777" w:rsidR="00DD13BF" w:rsidRPr="002A0CDE" w:rsidRDefault="00DD13BF" w:rsidP="00355A56">
            <w:pPr>
              <w:rPr>
                <w:sz w:val="20"/>
              </w:rPr>
            </w:pPr>
            <w:r>
              <w:rPr>
                <w:color w:val="000000"/>
                <w:sz w:val="20"/>
              </w:rPr>
              <w:t>ESO4.5</w:t>
            </w:r>
          </w:p>
        </w:tc>
        <w:tc>
          <w:tcPr>
            <w:tcW w:w="1161" w:type="dxa"/>
          </w:tcPr>
          <w:p w14:paraId="61F08BFC" w14:textId="77777777" w:rsidR="00DD13BF" w:rsidRDefault="00DD13BF" w:rsidP="00355A56">
            <w:pPr>
              <w:rPr>
                <w:sz w:val="20"/>
              </w:rPr>
            </w:pPr>
            <w:r>
              <w:rPr>
                <w:sz w:val="20"/>
              </w:rPr>
              <w:t>151</w:t>
            </w:r>
          </w:p>
        </w:tc>
        <w:tc>
          <w:tcPr>
            <w:tcW w:w="2731" w:type="dxa"/>
          </w:tcPr>
          <w:p w14:paraId="6437333D" w14:textId="77777777" w:rsidR="00DD13BF" w:rsidRDefault="00DD13BF" w:rsidP="00355A56">
            <w:pPr>
              <w:rPr>
                <w:sz w:val="20"/>
              </w:rPr>
            </w:pPr>
            <w:r>
              <w:rPr>
                <w:sz w:val="20"/>
              </w:rPr>
              <w:t>1,001,900</w:t>
            </w:r>
          </w:p>
        </w:tc>
      </w:tr>
      <w:tr w:rsidR="00DD13BF" w:rsidRPr="002A0CDE" w14:paraId="56BFEF06" w14:textId="77777777" w:rsidTr="00355A56">
        <w:trPr>
          <w:trHeight w:val="353"/>
        </w:trPr>
        <w:tc>
          <w:tcPr>
            <w:tcW w:w="2088" w:type="dxa"/>
          </w:tcPr>
          <w:p w14:paraId="33D01642" w14:textId="77777777" w:rsidR="00DD13BF" w:rsidRPr="002A0CDE" w:rsidRDefault="00DD13BF" w:rsidP="00355A56">
            <w:pPr>
              <w:rPr>
                <w:sz w:val="20"/>
              </w:rPr>
            </w:pPr>
            <w:r>
              <w:rPr>
                <w:sz w:val="20"/>
              </w:rPr>
              <w:t>6</w:t>
            </w:r>
          </w:p>
        </w:tc>
        <w:tc>
          <w:tcPr>
            <w:tcW w:w="1133" w:type="dxa"/>
          </w:tcPr>
          <w:p w14:paraId="50F2AF60" w14:textId="77777777" w:rsidR="00DD13BF" w:rsidRPr="002A0CDE" w:rsidRDefault="00DD13BF" w:rsidP="00355A56">
            <w:pPr>
              <w:rPr>
                <w:sz w:val="20"/>
              </w:rPr>
            </w:pPr>
            <w:r>
              <w:rPr>
                <w:sz w:val="20"/>
              </w:rPr>
              <w:t>ESF+</w:t>
            </w:r>
          </w:p>
        </w:tc>
        <w:tc>
          <w:tcPr>
            <w:tcW w:w="3249" w:type="dxa"/>
          </w:tcPr>
          <w:p w14:paraId="093EE812" w14:textId="77777777" w:rsidR="00DD13BF" w:rsidRDefault="00DD13BF" w:rsidP="00355A56">
            <w:pPr>
              <w:rPr>
                <w:sz w:val="20"/>
              </w:rPr>
            </w:pPr>
            <w:r>
              <w:rPr>
                <w:sz w:val="20"/>
              </w:rPr>
              <w:t>More developed</w:t>
            </w:r>
          </w:p>
        </w:tc>
        <w:tc>
          <w:tcPr>
            <w:tcW w:w="3099" w:type="dxa"/>
          </w:tcPr>
          <w:p w14:paraId="4D59A71F" w14:textId="77777777" w:rsidR="00DD13BF" w:rsidRPr="002A0CDE" w:rsidRDefault="00DD13BF" w:rsidP="00355A56">
            <w:pPr>
              <w:rPr>
                <w:sz w:val="20"/>
              </w:rPr>
            </w:pPr>
            <w:r>
              <w:rPr>
                <w:color w:val="000000"/>
                <w:sz w:val="20"/>
              </w:rPr>
              <w:t>ESO4.5</w:t>
            </w:r>
          </w:p>
        </w:tc>
        <w:tc>
          <w:tcPr>
            <w:tcW w:w="1161" w:type="dxa"/>
          </w:tcPr>
          <w:p w14:paraId="036D2D07" w14:textId="77777777" w:rsidR="00DD13BF" w:rsidRDefault="00DD13BF" w:rsidP="00355A56">
            <w:pPr>
              <w:rPr>
                <w:sz w:val="20"/>
              </w:rPr>
            </w:pPr>
            <w:r>
              <w:rPr>
                <w:sz w:val="20"/>
              </w:rPr>
              <w:t>151</w:t>
            </w:r>
          </w:p>
        </w:tc>
        <w:tc>
          <w:tcPr>
            <w:tcW w:w="2731" w:type="dxa"/>
          </w:tcPr>
          <w:p w14:paraId="0E651414" w14:textId="77777777" w:rsidR="00DD13BF" w:rsidRDefault="00DD13BF" w:rsidP="00355A56">
            <w:pPr>
              <w:rPr>
                <w:sz w:val="20"/>
              </w:rPr>
            </w:pPr>
            <w:r>
              <w:rPr>
                <w:sz w:val="20"/>
              </w:rPr>
              <w:t>418,100</w:t>
            </w:r>
          </w:p>
        </w:tc>
      </w:tr>
    </w:tbl>
    <w:p w14:paraId="1C419605" w14:textId="77777777" w:rsidR="00DD13BF" w:rsidRPr="002A0CDE" w:rsidRDefault="00DD13BF" w:rsidP="00DD13BF"/>
    <w:p w14:paraId="1B24F351" w14:textId="77777777" w:rsidR="00DD13BF" w:rsidRPr="002A0CDE" w:rsidRDefault="00DD13BF" w:rsidP="00DD13BF">
      <w:pPr>
        <w:ind w:left="339"/>
        <w:rPr>
          <w:spacing w:val="-7"/>
        </w:rPr>
      </w:pPr>
      <w:r>
        <w:t>Table 5: Dimension 2 – form of financing</w:t>
      </w:r>
    </w:p>
    <w:p w14:paraId="7397386C" w14:textId="77777777" w:rsidR="00DD13BF" w:rsidRPr="002A0CDE" w:rsidRDefault="00DD13BF" w:rsidP="00DD13BF">
      <w:pPr>
        <w:rPr>
          <w:sz w:val="20"/>
        </w:rPr>
      </w:pPr>
    </w:p>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2A0CDE" w14:paraId="3C55A99D" w14:textId="77777777" w:rsidTr="00355A56">
        <w:trPr>
          <w:trHeight w:val="353"/>
        </w:trPr>
        <w:tc>
          <w:tcPr>
            <w:tcW w:w="2088" w:type="dxa"/>
          </w:tcPr>
          <w:p w14:paraId="0B5C8AD0" w14:textId="77777777" w:rsidR="00DD13BF" w:rsidRPr="002A0CDE" w:rsidRDefault="00DD13BF" w:rsidP="00355A56">
            <w:pPr>
              <w:ind w:left="115"/>
            </w:pPr>
            <w:r>
              <w:t>Priority no.</w:t>
            </w:r>
          </w:p>
        </w:tc>
        <w:tc>
          <w:tcPr>
            <w:tcW w:w="1133" w:type="dxa"/>
          </w:tcPr>
          <w:p w14:paraId="7845FF89" w14:textId="77777777" w:rsidR="00DD13BF" w:rsidRPr="002A0CDE" w:rsidRDefault="00DD13BF" w:rsidP="00355A56">
            <w:pPr>
              <w:ind w:left="320"/>
            </w:pPr>
            <w:r>
              <w:t>Fund</w:t>
            </w:r>
          </w:p>
        </w:tc>
        <w:tc>
          <w:tcPr>
            <w:tcW w:w="3249" w:type="dxa"/>
          </w:tcPr>
          <w:p w14:paraId="306930E4" w14:textId="77777777" w:rsidR="00DD13BF" w:rsidRPr="002A0CDE" w:rsidRDefault="00DD13BF" w:rsidP="00355A56">
            <w:pPr>
              <w:ind w:left="907"/>
            </w:pPr>
            <w:r>
              <w:t>Category of region</w:t>
            </w:r>
          </w:p>
        </w:tc>
        <w:tc>
          <w:tcPr>
            <w:tcW w:w="3099" w:type="dxa"/>
          </w:tcPr>
          <w:p w14:paraId="4E857A10" w14:textId="77777777" w:rsidR="00DD13BF" w:rsidRPr="002A0CDE" w:rsidRDefault="00DD13BF" w:rsidP="00355A56">
            <w:pPr>
              <w:ind w:left="948"/>
            </w:pPr>
            <w:r>
              <w:t>Specific objective</w:t>
            </w:r>
          </w:p>
        </w:tc>
        <w:tc>
          <w:tcPr>
            <w:tcW w:w="1161" w:type="dxa"/>
          </w:tcPr>
          <w:p w14:paraId="71A88C7B" w14:textId="77777777" w:rsidR="00DD13BF" w:rsidRPr="002A0CDE" w:rsidRDefault="00DD13BF" w:rsidP="00355A56">
            <w:pPr>
              <w:ind w:left="334"/>
            </w:pPr>
            <w:r>
              <w:t>Code</w:t>
            </w:r>
          </w:p>
        </w:tc>
        <w:tc>
          <w:tcPr>
            <w:tcW w:w="2731" w:type="dxa"/>
          </w:tcPr>
          <w:p w14:paraId="6A222E43" w14:textId="77777777" w:rsidR="00DD13BF" w:rsidRPr="002A0CDE" w:rsidRDefault="00DD13BF" w:rsidP="00355A56">
            <w:pPr>
              <w:ind w:left="661"/>
            </w:pPr>
            <w:r>
              <w:t>Amount (in EUR)</w:t>
            </w:r>
          </w:p>
        </w:tc>
      </w:tr>
      <w:tr w:rsidR="00DD13BF" w:rsidRPr="002A0CDE" w14:paraId="13272B57" w14:textId="77777777" w:rsidTr="00355A56">
        <w:trPr>
          <w:trHeight w:val="353"/>
        </w:trPr>
        <w:tc>
          <w:tcPr>
            <w:tcW w:w="2088" w:type="dxa"/>
          </w:tcPr>
          <w:p w14:paraId="3D58CDBE" w14:textId="77777777" w:rsidR="00DD13BF" w:rsidRPr="002A0CDE" w:rsidRDefault="00DD13BF" w:rsidP="00355A56">
            <w:pPr>
              <w:rPr>
                <w:sz w:val="20"/>
              </w:rPr>
            </w:pPr>
            <w:r>
              <w:rPr>
                <w:sz w:val="20"/>
              </w:rPr>
              <w:t>6</w:t>
            </w:r>
          </w:p>
        </w:tc>
        <w:tc>
          <w:tcPr>
            <w:tcW w:w="1133" w:type="dxa"/>
          </w:tcPr>
          <w:p w14:paraId="12D9C679" w14:textId="77777777" w:rsidR="00DD13BF" w:rsidRPr="002A0CDE" w:rsidRDefault="00DD13BF" w:rsidP="00355A56">
            <w:pPr>
              <w:rPr>
                <w:sz w:val="20"/>
              </w:rPr>
            </w:pPr>
            <w:r>
              <w:rPr>
                <w:sz w:val="20"/>
              </w:rPr>
              <w:t>ESF+</w:t>
            </w:r>
          </w:p>
        </w:tc>
        <w:tc>
          <w:tcPr>
            <w:tcW w:w="3249" w:type="dxa"/>
          </w:tcPr>
          <w:p w14:paraId="479FB845" w14:textId="77777777" w:rsidR="00DD13BF" w:rsidRPr="002A0CDE" w:rsidRDefault="00DD13BF" w:rsidP="00355A56">
            <w:pPr>
              <w:rPr>
                <w:sz w:val="20"/>
              </w:rPr>
            </w:pPr>
            <w:r>
              <w:rPr>
                <w:sz w:val="20"/>
              </w:rPr>
              <w:t>Less developed</w:t>
            </w:r>
          </w:p>
        </w:tc>
        <w:tc>
          <w:tcPr>
            <w:tcW w:w="3099" w:type="dxa"/>
          </w:tcPr>
          <w:p w14:paraId="556CFE44" w14:textId="77777777" w:rsidR="00DD13BF" w:rsidRPr="002A0CDE" w:rsidRDefault="00DD13BF" w:rsidP="00355A56">
            <w:pPr>
              <w:rPr>
                <w:sz w:val="20"/>
              </w:rPr>
            </w:pPr>
            <w:r>
              <w:rPr>
                <w:color w:val="000000"/>
                <w:sz w:val="20"/>
              </w:rPr>
              <w:t>ESO4.5</w:t>
            </w:r>
          </w:p>
        </w:tc>
        <w:tc>
          <w:tcPr>
            <w:tcW w:w="1161" w:type="dxa"/>
          </w:tcPr>
          <w:p w14:paraId="51635051" w14:textId="77777777" w:rsidR="00DD13BF" w:rsidRPr="002A0CDE" w:rsidRDefault="00DD13BF" w:rsidP="00355A56">
            <w:pPr>
              <w:rPr>
                <w:sz w:val="20"/>
              </w:rPr>
            </w:pPr>
            <w:r>
              <w:rPr>
                <w:sz w:val="20"/>
              </w:rPr>
              <w:t>01</w:t>
            </w:r>
          </w:p>
        </w:tc>
        <w:tc>
          <w:tcPr>
            <w:tcW w:w="2731" w:type="dxa"/>
          </w:tcPr>
          <w:p w14:paraId="6A0D168E" w14:textId="77777777" w:rsidR="00DD13BF" w:rsidRPr="002A0CDE" w:rsidRDefault="00DD13BF" w:rsidP="00355A56">
            <w:pPr>
              <w:rPr>
                <w:sz w:val="20"/>
              </w:rPr>
            </w:pPr>
            <w:r>
              <w:rPr>
                <w:sz w:val="20"/>
              </w:rPr>
              <w:t>95,168,800</w:t>
            </w:r>
          </w:p>
        </w:tc>
      </w:tr>
      <w:tr w:rsidR="00DD13BF" w:rsidRPr="002A0CDE" w14:paraId="4917AAFE" w14:textId="77777777" w:rsidTr="00355A56">
        <w:trPr>
          <w:trHeight w:val="353"/>
        </w:trPr>
        <w:tc>
          <w:tcPr>
            <w:tcW w:w="2088" w:type="dxa"/>
          </w:tcPr>
          <w:p w14:paraId="60B675B4" w14:textId="77777777" w:rsidR="00DD13BF" w:rsidRPr="002A0CDE" w:rsidRDefault="00DD13BF" w:rsidP="00355A56">
            <w:pPr>
              <w:rPr>
                <w:sz w:val="20"/>
              </w:rPr>
            </w:pPr>
            <w:r>
              <w:rPr>
                <w:sz w:val="20"/>
              </w:rPr>
              <w:lastRenderedPageBreak/>
              <w:t>6</w:t>
            </w:r>
          </w:p>
        </w:tc>
        <w:tc>
          <w:tcPr>
            <w:tcW w:w="1133" w:type="dxa"/>
          </w:tcPr>
          <w:p w14:paraId="52CE7712" w14:textId="77777777" w:rsidR="00DD13BF" w:rsidRPr="002A0CDE" w:rsidRDefault="00DD13BF" w:rsidP="00355A56">
            <w:pPr>
              <w:rPr>
                <w:sz w:val="20"/>
              </w:rPr>
            </w:pPr>
            <w:r>
              <w:rPr>
                <w:sz w:val="20"/>
              </w:rPr>
              <w:t>ESF+</w:t>
            </w:r>
          </w:p>
        </w:tc>
        <w:tc>
          <w:tcPr>
            <w:tcW w:w="3249" w:type="dxa"/>
          </w:tcPr>
          <w:p w14:paraId="55BAD0F8" w14:textId="77777777" w:rsidR="00DD13BF" w:rsidRDefault="00DD13BF" w:rsidP="00355A56">
            <w:pPr>
              <w:rPr>
                <w:sz w:val="20"/>
              </w:rPr>
            </w:pPr>
            <w:r>
              <w:rPr>
                <w:sz w:val="20"/>
              </w:rPr>
              <w:t>More developed</w:t>
            </w:r>
          </w:p>
        </w:tc>
        <w:tc>
          <w:tcPr>
            <w:tcW w:w="3099" w:type="dxa"/>
          </w:tcPr>
          <w:p w14:paraId="7AEF955A" w14:textId="77777777" w:rsidR="00DD13BF" w:rsidRPr="002A0CDE" w:rsidRDefault="00DD13BF" w:rsidP="00355A56">
            <w:pPr>
              <w:rPr>
                <w:sz w:val="20"/>
              </w:rPr>
            </w:pPr>
            <w:r>
              <w:rPr>
                <w:color w:val="000000"/>
                <w:sz w:val="20"/>
              </w:rPr>
              <w:t>ESO4.5</w:t>
            </w:r>
          </w:p>
        </w:tc>
        <w:tc>
          <w:tcPr>
            <w:tcW w:w="1161" w:type="dxa"/>
          </w:tcPr>
          <w:p w14:paraId="5441A70A" w14:textId="77777777" w:rsidR="00DD13BF" w:rsidRPr="002A0CDE" w:rsidRDefault="00DD13BF" w:rsidP="00355A56">
            <w:pPr>
              <w:rPr>
                <w:sz w:val="20"/>
              </w:rPr>
            </w:pPr>
            <w:r>
              <w:rPr>
                <w:sz w:val="20"/>
              </w:rPr>
              <w:t>01</w:t>
            </w:r>
          </w:p>
        </w:tc>
        <w:tc>
          <w:tcPr>
            <w:tcW w:w="2731" w:type="dxa"/>
          </w:tcPr>
          <w:p w14:paraId="75B20285" w14:textId="77777777" w:rsidR="00DD13BF" w:rsidRDefault="00DD13BF" w:rsidP="00355A56">
            <w:pPr>
              <w:rPr>
                <w:sz w:val="20"/>
              </w:rPr>
            </w:pPr>
            <w:r>
              <w:rPr>
                <w:sz w:val="20"/>
              </w:rPr>
              <w:t>42,265,000</w:t>
            </w:r>
          </w:p>
        </w:tc>
      </w:tr>
    </w:tbl>
    <w:p w14:paraId="2C07A3B9" w14:textId="77777777" w:rsidR="00DD13BF" w:rsidRPr="002A0CDE" w:rsidRDefault="00DD13BF" w:rsidP="00DD13BF">
      <w:pPr>
        <w:rPr>
          <w:sz w:val="20"/>
        </w:rPr>
        <w:sectPr w:rsidR="00DD13BF" w:rsidRPr="002A0CDE" w:rsidSect="00BD3536">
          <w:headerReference w:type="default" r:id="rId77"/>
          <w:footerReference w:type="first" r:id="rId78"/>
          <w:type w:val="continuous"/>
          <w:pgSz w:w="16840" w:h="11910" w:orient="landscape"/>
          <w:pgMar w:top="1417" w:right="1417" w:bottom="1417" w:left="1417" w:header="708" w:footer="708" w:gutter="0"/>
          <w:cols w:space="708"/>
          <w:titlePg/>
          <w:docGrid w:linePitch="299"/>
        </w:sectPr>
      </w:pPr>
    </w:p>
    <w:p w14:paraId="3C20B4B1" w14:textId="77777777" w:rsidR="00DD13BF" w:rsidRDefault="00DD13BF" w:rsidP="00DD13BF">
      <w:pPr>
        <w:ind w:left="339"/>
        <w:rPr>
          <w:spacing w:val="-7"/>
        </w:rPr>
      </w:pPr>
    </w:p>
    <w:p w14:paraId="4DC0C4E3" w14:textId="77777777" w:rsidR="00DD13BF" w:rsidRPr="002A0CDE" w:rsidRDefault="00DD13BF" w:rsidP="00DD13BF">
      <w:pPr>
        <w:ind w:left="339"/>
      </w:pPr>
      <w:r>
        <w:t>Table 6: Dimension 3 – territorial delivery mechanism and territorial focus</w:t>
      </w:r>
    </w:p>
    <w:p w14:paraId="774E2974" w14:textId="77777777" w:rsidR="00DD13BF" w:rsidRPr="002A0CDE" w:rsidRDefault="00DD13BF" w:rsidP="00DD13BF"/>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2A0CDE" w14:paraId="48E85C5B" w14:textId="77777777" w:rsidTr="00355A56">
        <w:trPr>
          <w:trHeight w:val="353"/>
        </w:trPr>
        <w:tc>
          <w:tcPr>
            <w:tcW w:w="2088" w:type="dxa"/>
          </w:tcPr>
          <w:p w14:paraId="0C99440D" w14:textId="77777777" w:rsidR="00DD13BF" w:rsidRPr="002A0CDE" w:rsidRDefault="00DD13BF" w:rsidP="00355A56">
            <w:pPr>
              <w:ind w:left="115"/>
            </w:pPr>
            <w:r>
              <w:t>Priority no.</w:t>
            </w:r>
          </w:p>
        </w:tc>
        <w:tc>
          <w:tcPr>
            <w:tcW w:w="1132" w:type="dxa"/>
          </w:tcPr>
          <w:p w14:paraId="6ED45267" w14:textId="77777777" w:rsidR="00DD13BF" w:rsidRPr="002A0CDE" w:rsidRDefault="00DD13BF" w:rsidP="00355A56">
            <w:pPr>
              <w:ind w:left="320"/>
            </w:pPr>
            <w:r>
              <w:t>Fund</w:t>
            </w:r>
          </w:p>
        </w:tc>
        <w:tc>
          <w:tcPr>
            <w:tcW w:w="3248" w:type="dxa"/>
          </w:tcPr>
          <w:p w14:paraId="626A35A6" w14:textId="77777777" w:rsidR="00DD13BF" w:rsidRPr="002A0CDE" w:rsidRDefault="00DD13BF" w:rsidP="00355A56">
            <w:pPr>
              <w:ind w:left="908"/>
            </w:pPr>
            <w:r>
              <w:t>Category of region</w:t>
            </w:r>
          </w:p>
        </w:tc>
        <w:tc>
          <w:tcPr>
            <w:tcW w:w="3098" w:type="dxa"/>
          </w:tcPr>
          <w:p w14:paraId="1F990171" w14:textId="77777777" w:rsidR="00DD13BF" w:rsidRPr="002A0CDE" w:rsidRDefault="00DD13BF" w:rsidP="00355A56">
            <w:pPr>
              <w:ind w:left="950"/>
            </w:pPr>
            <w:r>
              <w:t>Specific objective</w:t>
            </w:r>
          </w:p>
        </w:tc>
        <w:tc>
          <w:tcPr>
            <w:tcW w:w="1160" w:type="dxa"/>
          </w:tcPr>
          <w:p w14:paraId="4BD90140" w14:textId="77777777" w:rsidR="00DD13BF" w:rsidRPr="002A0CDE" w:rsidRDefault="00DD13BF" w:rsidP="00355A56">
            <w:pPr>
              <w:ind w:left="336"/>
            </w:pPr>
            <w:r>
              <w:t>Code</w:t>
            </w:r>
          </w:p>
        </w:tc>
        <w:tc>
          <w:tcPr>
            <w:tcW w:w="2730" w:type="dxa"/>
          </w:tcPr>
          <w:p w14:paraId="5F11CCBD" w14:textId="77777777" w:rsidR="00DD13BF" w:rsidRPr="002A0CDE" w:rsidRDefault="00DD13BF" w:rsidP="00355A56">
            <w:pPr>
              <w:ind w:left="664"/>
            </w:pPr>
            <w:r>
              <w:t>Amount (in EUR)</w:t>
            </w:r>
          </w:p>
        </w:tc>
      </w:tr>
      <w:tr w:rsidR="00DD13BF" w:rsidRPr="002A0CDE" w14:paraId="7697A086" w14:textId="77777777" w:rsidTr="00355A56">
        <w:trPr>
          <w:trHeight w:val="353"/>
        </w:trPr>
        <w:tc>
          <w:tcPr>
            <w:tcW w:w="2088" w:type="dxa"/>
          </w:tcPr>
          <w:p w14:paraId="152BE5E7" w14:textId="77777777" w:rsidR="00DD13BF" w:rsidRPr="002A0CDE" w:rsidRDefault="00DD13BF" w:rsidP="00355A56">
            <w:pPr>
              <w:rPr>
                <w:sz w:val="20"/>
              </w:rPr>
            </w:pPr>
            <w:r>
              <w:rPr>
                <w:sz w:val="20"/>
              </w:rPr>
              <w:t>6</w:t>
            </w:r>
          </w:p>
        </w:tc>
        <w:tc>
          <w:tcPr>
            <w:tcW w:w="1132" w:type="dxa"/>
          </w:tcPr>
          <w:p w14:paraId="501F9666" w14:textId="77777777" w:rsidR="00DD13BF" w:rsidRPr="002A0CDE" w:rsidRDefault="00DD13BF" w:rsidP="00355A56">
            <w:pPr>
              <w:rPr>
                <w:sz w:val="20"/>
              </w:rPr>
            </w:pPr>
            <w:r>
              <w:rPr>
                <w:sz w:val="20"/>
              </w:rPr>
              <w:t>ESF+</w:t>
            </w:r>
          </w:p>
        </w:tc>
        <w:tc>
          <w:tcPr>
            <w:tcW w:w="3248" w:type="dxa"/>
          </w:tcPr>
          <w:p w14:paraId="66D9ABD5" w14:textId="77777777" w:rsidR="00DD13BF" w:rsidRPr="002A0CDE" w:rsidRDefault="00DD13BF" w:rsidP="00355A56">
            <w:pPr>
              <w:rPr>
                <w:sz w:val="20"/>
              </w:rPr>
            </w:pPr>
            <w:r>
              <w:rPr>
                <w:sz w:val="20"/>
              </w:rPr>
              <w:t>Less developed</w:t>
            </w:r>
          </w:p>
        </w:tc>
        <w:tc>
          <w:tcPr>
            <w:tcW w:w="3098" w:type="dxa"/>
          </w:tcPr>
          <w:p w14:paraId="47A1EFFB" w14:textId="77777777" w:rsidR="00DD13BF" w:rsidRPr="002A0CDE" w:rsidRDefault="00DD13BF" w:rsidP="00355A56">
            <w:pPr>
              <w:rPr>
                <w:sz w:val="20"/>
              </w:rPr>
            </w:pPr>
            <w:r>
              <w:rPr>
                <w:color w:val="000000"/>
                <w:sz w:val="20"/>
              </w:rPr>
              <w:t>ESO4.5</w:t>
            </w:r>
          </w:p>
        </w:tc>
        <w:tc>
          <w:tcPr>
            <w:tcW w:w="1160" w:type="dxa"/>
          </w:tcPr>
          <w:p w14:paraId="2A8055B7" w14:textId="77777777" w:rsidR="00DD13BF" w:rsidRPr="00FC1DDF" w:rsidRDefault="00DD13BF" w:rsidP="00355A56">
            <w:pPr>
              <w:rPr>
                <w:sz w:val="20"/>
              </w:rPr>
            </w:pPr>
            <w:r>
              <w:rPr>
                <w:sz w:val="20"/>
              </w:rPr>
              <w:t>33</w:t>
            </w:r>
          </w:p>
        </w:tc>
        <w:tc>
          <w:tcPr>
            <w:tcW w:w="2730" w:type="dxa"/>
          </w:tcPr>
          <w:p w14:paraId="186505AE" w14:textId="77777777" w:rsidR="00DD13BF" w:rsidRPr="002A0CDE" w:rsidRDefault="00DD13BF" w:rsidP="00355A56">
            <w:pPr>
              <w:rPr>
                <w:sz w:val="20"/>
              </w:rPr>
            </w:pPr>
            <w:r>
              <w:rPr>
                <w:sz w:val="20"/>
              </w:rPr>
              <w:t>95,168,800</w:t>
            </w:r>
          </w:p>
        </w:tc>
      </w:tr>
      <w:tr w:rsidR="00DD13BF" w:rsidRPr="002A0CDE" w14:paraId="7D68A3C4" w14:textId="77777777" w:rsidTr="00355A56">
        <w:trPr>
          <w:trHeight w:val="353"/>
        </w:trPr>
        <w:tc>
          <w:tcPr>
            <w:tcW w:w="2088" w:type="dxa"/>
          </w:tcPr>
          <w:p w14:paraId="31F63D5A" w14:textId="77777777" w:rsidR="00DD13BF" w:rsidRPr="002A0CDE" w:rsidRDefault="00DD13BF" w:rsidP="00355A56">
            <w:pPr>
              <w:rPr>
                <w:sz w:val="20"/>
              </w:rPr>
            </w:pPr>
            <w:r>
              <w:rPr>
                <w:sz w:val="20"/>
              </w:rPr>
              <w:t>6</w:t>
            </w:r>
          </w:p>
        </w:tc>
        <w:tc>
          <w:tcPr>
            <w:tcW w:w="1132" w:type="dxa"/>
          </w:tcPr>
          <w:p w14:paraId="4E9C6529" w14:textId="77777777" w:rsidR="00DD13BF" w:rsidRPr="002A0CDE" w:rsidRDefault="00DD13BF" w:rsidP="00355A56">
            <w:pPr>
              <w:rPr>
                <w:sz w:val="20"/>
              </w:rPr>
            </w:pPr>
            <w:r>
              <w:rPr>
                <w:sz w:val="20"/>
              </w:rPr>
              <w:t>ESF+</w:t>
            </w:r>
          </w:p>
        </w:tc>
        <w:tc>
          <w:tcPr>
            <w:tcW w:w="3248" w:type="dxa"/>
          </w:tcPr>
          <w:p w14:paraId="60E1A9F6" w14:textId="77777777" w:rsidR="00DD13BF" w:rsidRDefault="00DD13BF" w:rsidP="00355A56">
            <w:pPr>
              <w:rPr>
                <w:sz w:val="20"/>
              </w:rPr>
            </w:pPr>
            <w:r>
              <w:rPr>
                <w:sz w:val="20"/>
              </w:rPr>
              <w:t>More developed</w:t>
            </w:r>
          </w:p>
        </w:tc>
        <w:tc>
          <w:tcPr>
            <w:tcW w:w="3098" w:type="dxa"/>
          </w:tcPr>
          <w:p w14:paraId="4C423AED" w14:textId="77777777" w:rsidR="00DD13BF" w:rsidRPr="002A0CDE" w:rsidRDefault="00DD13BF" w:rsidP="00355A56">
            <w:pPr>
              <w:rPr>
                <w:sz w:val="20"/>
              </w:rPr>
            </w:pPr>
            <w:r>
              <w:rPr>
                <w:color w:val="000000"/>
                <w:sz w:val="20"/>
              </w:rPr>
              <w:t>ESO4.5</w:t>
            </w:r>
          </w:p>
        </w:tc>
        <w:tc>
          <w:tcPr>
            <w:tcW w:w="1160" w:type="dxa"/>
          </w:tcPr>
          <w:p w14:paraId="23DB79E7" w14:textId="77777777" w:rsidR="00DD13BF" w:rsidRPr="00FC1DDF" w:rsidRDefault="00DD13BF" w:rsidP="00355A56">
            <w:pPr>
              <w:rPr>
                <w:sz w:val="20"/>
              </w:rPr>
            </w:pPr>
            <w:r>
              <w:rPr>
                <w:sz w:val="20"/>
              </w:rPr>
              <w:t>33</w:t>
            </w:r>
          </w:p>
        </w:tc>
        <w:tc>
          <w:tcPr>
            <w:tcW w:w="2730" w:type="dxa"/>
          </w:tcPr>
          <w:p w14:paraId="35E06AA9" w14:textId="77777777" w:rsidR="00DD13BF" w:rsidRDefault="00DD13BF" w:rsidP="00355A56">
            <w:pPr>
              <w:rPr>
                <w:sz w:val="20"/>
              </w:rPr>
            </w:pPr>
            <w:r>
              <w:rPr>
                <w:sz w:val="20"/>
              </w:rPr>
              <w:t>42,265,000</w:t>
            </w:r>
          </w:p>
        </w:tc>
      </w:tr>
    </w:tbl>
    <w:p w14:paraId="325F9642" w14:textId="77777777" w:rsidR="00DD13BF" w:rsidRPr="002A0CDE" w:rsidRDefault="00DD13BF" w:rsidP="00DD13BF"/>
    <w:p w14:paraId="181425CA" w14:textId="77777777" w:rsidR="00DD13BF" w:rsidRPr="002A0CDE" w:rsidRDefault="00DD13BF" w:rsidP="00DD13BF">
      <w:pPr>
        <w:ind w:left="339"/>
      </w:pPr>
      <w:r>
        <w:t>Table 7: Dimension 6 – ESF+ secondary themes</w:t>
      </w:r>
    </w:p>
    <w:p w14:paraId="57FA789E" w14:textId="77777777" w:rsidR="00DD13BF" w:rsidRPr="002A0CDE" w:rsidRDefault="00DD13BF" w:rsidP="00DD13BF"/>
    <w:tbl>
      <w:tblPr>
        <w:tblStyle w:val="TableNormal1"/>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2A0CDE" w14:paraId="48822282" w14:textId="77777777" w:rsidTr="00355A56">
        <w:trPr>
          <w:trHeight w:val="353"/>
        </w:trPr>
        <w:tc>
          <w:tcPr>
            <w:tcW w:w="2088" w:type="dxa"/>
          </w:tcPr>
          <w:p w14:paraId="3EF2351E" w14:textId="77777777" w:rsidR="00DD13BF" w:rsidRPr="002A0CDE" w:rsidRDefault="00DD13BF" w:rsidP="00355A56">
            <w:pPr>
              <w:ind w:left="115"/>
            </w:pPr>
            <w:r>
              <w:t>Priority no.</w:t>
            </w:r>
          </w:p>
        </w:tc>
        <w:tc>
          <w:tcPr>
            <w:tcW w:w="1132" w:type="dxa"/>
          </w:tcPr>
          <w:p w14:paraId="6CEC9311" w14:textId="77777777" w:rsidR="00DD13BF" w:rsidRPr="002A0CDE" w:rsidRDefault="00DD13BF" w:rsidP="00355A56">
            <w:pPr>
              <w:ind w:left="321"/>
            </w:pPr>
            <w:r>
              <w:t>Fund</w:t>
            </w:r>
          </w:p>
        </w:tc>
        <w:tc>
          <w:tcPr>
            <w:tcW w:w="3248" w:type="dxa"/>
          </w:tcPr>
          <w:p w14:paraId="4AD2E4D7" w14:textId="77777777" w:rsidR="00DD13BF" w:rsidRPr="002A0CDE" w:rsidRDefault="00DD13BF" w:rsidP="00355A56">
            <w:pPr>
              <w:ind w:left="909"/>
            </w:pPr>
            <w:r>
              <w:t>Category of region</w:t>
            </w:r>
          </w:p>
        </w:tc>
        <w:tc>
          <w:tcPr>
            <w:tcW w:w="3098" w:type="dxa"/>
          </w:tcPr>
          <w:p w14:paraId="17A1FB14" w14:textId="77777777" w:rsidR="00DD13BF" w:rsidRPr="002A0CDE" w:rsidRDefault="00DD13BF" w:rsidP="00355A56">
            <w:pPr>
              <w:ind w:left="950"/>
            </w:pPr>
            <w:r>
              <w:t>Specific objective</w:t>
            </w:r>
          </w:p>
        </w:tc>
        <w:tc>
          <w:tcPr>
            <w:tcW w:w="1160" w:type="dxa"/>
          </w:tcPr>
          <w:p w14:paraId="3C29E21E" w14:textId="77777777" w:rsidR="00DD13BF" w:rsidRPr="002A0CDE" w:rsidRDefault="00DD13BF" w:rsidP="00355A56">
            <w:pPr>
              <w:ind w:left="337"/>
            </w:pPr>
            <w:r>
              <w:t>Code</w:t>
            </w:r>
          </w:p>
        </w:tc>
        <w:tc>
          <w:tcPr>
            <w:tcW w:w="2730" w:type="dxa"/>
          </w:tcPr>
          <w:p w14:paraId="2DD4670D" w14:textId="77777777" w:rsidR="00DD13BF" w:rsidRPr="002A0CDE" w:rsidRDefault="00DD13BF" w:rsidP="00355A56">
            <w:pPr>
              <w:ind w:left="665"/>
            </w:pPr>
            <w:r>
              <w:t>Amount (in EUR)</w:t>
            </w:r>
          </w:p>
        </w:tc>
      </w:tr>
      <w:tr w:rsidR="00DD13BF" w:rsidRPr="002A0CDE" w14:paraId="6F8F5CD3" w14:textId="77777777" w:rsidTr="00355A56">
        <w:trPr>
          <w:trHeight w:val="353"/>
        </w:trPr>
        <w:tc>
          <w:tcPr>
            <w:tcW w:w="2088" w:type="dxa"/>
          </w:tcPr>
          <w:p w14:paraId="4372A553" w14:textId="77777777" w:rsidR="00DD13BF" w:rsidRPr="002A0CDE" w:rsidRDefault="00DD13BF" w:rsidP="00355A56">
            <w:pPr>
              <w:rPr>
                <w:sz w:val="20"/>
              </w:rPr>
            </w:pPr>
            <w:r>
              <w:rPr>
                <w:sz w:val="20"/>
              </w:rPr>
              <w:t>6</w:t>
            </w:r>
          </w:p>
        </w:tc>
        <w:tc>
          <w:tcPr>
            <w:tcW w:w="1132" w:type="dxa"/>
          </w:tcPr>
          <w:p w14:paraId="203D41AA" w14:textId="77777777" w:rsidR="00DD13BF" w:rsidRPr="002A0CDE" w:rsidRDefault="00DD13BF" w:rsidP="00355A56">
            <w:pPr>
              <w:rPr>
                <w:sz w:val="20"/>
              </w:rPr>
            </w:pPr>
            <w:r>
              <w:rPr>
                <w:sz w:val="20"/>
              </w:rPr>
              <w:t>ESF+</w:t>
            </w:r>
          </w:p>
        </w:tc>
        <w:tc>
          <w:tcPr>
            <w:tcW w:w="3248" w:type="dxa"/>
          </w:tcPr>
          <w:p w14:paraId="690CC86F" w14:textId="77777777" w:rsidR="00DD13BF" w:rsidRPr="002A0CDE" w:rsidRDefault="00DD13BF" w:rsidP="00355A56">
            <w:pPr>
              <w:rPr>
                <w:sz w:val="20"/>
              </w:rPr>
            </w:pPr>
            <w:r>
              <w:rPr>
                <w:sz w:val="20"/>
              </w:rPr>
              <w:t>Less developed</w:t>
            </w:r>
          </w:p>
        </w:tc>
        <w:tc>
          <w:tcPr>
            <w:tcW w:w="3098" w:type="dxa"/>
          </w:tcPr>
          <w:p w14:paraId="2A723493" w14:textId="77777777" w:rsidR="00DD13BF" w:rsidRPr="002A0CDE" w:rsidRDefault="00DD13BF" w:rsidP="00355A56">
            <w:pPr>
              <w:rPr>
                <w:sz w:val="20"/>
              </w:rPr>
            </w:pPr>
            <w:r>
              <w:rPr>
                <w:color w:val="000000"/>
                <w:sz w:val="20"/>
              </w:rPr>
              <w:t>ESO4.5</w:t>
            </w:r>
          </w:p>
        </w:tc>
        <w:tc>
          <w:tcPr>
            <w:tcW w:w="1160" w:type="dxa"/>
          </w:tcPr>
          <w:p w14:paraId="7A57B49B" w14:textId="77777777" w:rsidR="00DD13BF" w:rsidRPr="002A0CDE" w:rsidRDefault="00DD13BF" w:rsidP="00355A56">
            <w:pPr>
              <w:rPr>
                <w:sz w:val="20"/>
              </w:rPr>
            </w:pPr>
            <w:r>
              <w:rPr>
                <w:sz w:val="20"/>
              </w:rPr>
              <w:t>01</w:t>
            </w:r>
          </w:p>
        </w:tc>
        <w:tc>
          <w:tcPr>
            <w:tcW w:w="2730" w:type="dxa"/>
          </w:tcPr>
          <w:p w14:paraId="11B889E9" w14:textId="77777777" w:rsidR="00DD13BF" w:rsidRPr="002A0CDE" w:rsidRDefault="00DD13BF" w:rsidP="00355A56">
            <w:pPr>
              <w:rPr>
                <w:sz w:val="20"/>
              </w:rPr>
            </w:pPr>
            <w:r>
              <w:rPr>
                <w:sz w:val="20"/>
              </w:rPr>
              <w:t>5,355,000</w:t>
            </w:r>
          </w:p>
        </w:tc>
      </w:tr>
      <w:tr w:rsidR="00DD13BF" w:rsidRPr="002A0CDE" w14:paraId="3671A84C" w14:textId="77777777" w:rsidTr="00355A56">
        <w:trPr>
          <w:trHeight w:val="353"/>
        </w:trPr>
        <w:tc>
          <w:tcPr>
            <w:tcW w:w="2088" w:type="dxa"/>
          </w:tcPr>
          <w:p w14:paraId="69E8F8CB" w14:textId="77777777" w:rsidR="00DD13BF" w:rsidRPr="002A0CDE" w:rsidRDefault="00DD13BF" w:rsidP="00355A56">
            <w:pPr>
              <w:rPr>
                <w:sz w:val="20"/>
              </w:rPr>
            </w:pPr>
            <w:r>
              <w:rPr>
                <w:sz w:val="20"/>
              </w:rPr>
              <w:t>6</w:t>
            </w:r>
          </w:p>
        </w:tc>
        <w:tc>
          <w:tcPr>
            <w:tcW w:w="1132" w:type="dxa"/>
          </w:tcPr>
          <w:p w14:paraId="299D848D" w14:textId="77777777" w:rsidR="00DD13BF" w:rsidRPr="002A0CDE" w:rsidRDefault="00DD13BF" w:rsidP="00355A56">
            <w:pPr>
              <w:rPr>
                <w:sz w:val="20"/>
              </w:rPr>
            </w:pPr>
            <w:r>
              <w:rPr>
                <w:sz w:val="20"/>
              </w:rPr>
              <w:t>ESF+</w:t>
            </w:r>
          </w:p>
        </w:tc>
        <w:tc>
          <w:tcPr>
            <w:tcW w:w="3248" w:type="dxa"/>
          </w:tcPr>
          <w:p w14:paraId="1AF2D1EB" w14:textId="77777777" w:rsidR="00DD13BF" w:rsidRDefault="00DD13BF" w:rsidP="00355A56">
            <w:pPr>
              <w:rPr>
                <w:sz w:val="20"/>
              </w:rPr>
            </w:pPr>
            <w:r>
              <w:rPr>
                <w:sz w:val="20"/>
              </w:rPr>
              <w:t>More developed</w:t>
            </w:r>
          </w:p>
        </w:tc>
        <w:tc>
          <w:tcPr>
            <w:tcW w:w="3098" w:type="dxa"/>
          </w:tcPr>
          <w:p w14:paraId="706BDCCA" w14:textId="77777777" w:rsidR="00DD13BF" w:rsidRPr="00EE363D" w:rsidRDefault="00DD13BF" w:rsidP="00355A56">
            <w:pPr>
              <w:rPr>
                <w:color w:val="000000"/>
                <w:sz w:val="20"/>
              </w:rPr>
            </w:pPr>
            <w:r>
              <w:rPr>
                <w:color w:val="000000"/>
                <w:sz w:val="20"/>
              </w:rPr>
              <w:t>ESO4.5</w:t>
            </w:r>
          </w:p>
        </w:tc>
        <w:tc>
          <w:tcPr>
            <w:tcW w:w="1160" w:type="dxa"/>
          </w:tcPr>
          <w:p w14:paraId="750228F7" w14:textId="77777777" w:rsidR="00DD13BF" w:rsidRPr="002A0CDE" w:rsidRDefault="00DD13BF" w:rsidP="00355A56">
            <w:pPr>
              <w:rPr>
                <w:sz w:val="20"/>
              </w:rPr>
            </w:pPr>
            <w:r>
              <w:rPr>
                <w:sz w:val="20"/>
              </w:rPr>
              <w:t>01</w:t>
            </w:r>
          </w:p>
        </w:tc>
        <w:tc>
          <w:tcPr>
            <w:tcW w:w="2730" w:type="dxa"/>
          </w:tcPr>
          <w:p w14:paraId="6EEA8809" w14:textId="77777777" w:rsidR="00DD13BF" w:rsidRDefault="00DD13BF" w:rsidP="00355A56">
            <w:pPr>
              <w:rPr>
                <w:sz w:val="20"/>
              </w:rPr>
            </w:pPr>
            <w:r>
              <w:rPr>
                <w:sz w:val="20"/>
              </w:rPr>
              <w:t>1,680,000</w:t>
            </w:r>
          </w:p>
        </w:tc>
      </w:tr>
      <w:tr w:rsidR="00DD13BF" w:rsidRPr="002A0CDE" w14:paraId="036DA5A0" w14:textId="77777777" w:rsidTr="00355A56">
        <w:trPr>
          <w:trHeight w:val="353"/>
        </w:trPr>
        <w:tc>
          <w:tcPr>
            <w:tcW w:w="2088" w:type="dxa"/>
          </w:tcPr>
          <w:p w14:paraId="41523C28" w14:textId="77777777" w:rsidR="00DD13BF" w:rsidRPr="002A0CDE" w:rsidRDefault="00DD13BF" w:rsidP="00355A56">
            <w:pPr>
              <w:rPr>
                <w:sz w:val="20"/>
              </w:rPr>
            </w:pPr>
            <w:r>
              <w:rPr>
                <w:sz w:val="20"/>
              </w:rPr>
              <w:t>6</w:t>
            </w:r>
          </w:p>
        </w:tc>
        <w:tc>
          <w:tcPr>
            <w:tcW w:w="1132" w:type="dxa"/>
          </w:tcPr>
          <w:p w14:paraId="0ADAAE7D" w14:textId="77777777" w:rsidR="00DD13BF" w:rsidRPr="002A0CDE" w:rsidRDefault="00DD13BF" w:rsidP="00355A56">
            <w:pPr>
              <w:rPr>
                <w:sz w:val="20"/>
              </w:rPr>
            </w:pPr>
            <w:r>
              <w:rPr>
                <w:sz w:val="20"/>
              </w:rPr>
              <w:t>ESF+</w:t>
            </w:r>
          </w:p>
        </w:tc>
        <w:tc>
          <w:tcPr>
            <w:tcW w:w="3248" w:type="dxa"/>
          </w:tcPr>
          <w:p w14:paraId="0264B0BB" w14:textId="77777777" w:rsidR="00DD13BF" w:rsidRDefault="00DD13BF" w:rsidP="00355A56">
            <w:pPr>
              <w:rPr>
                <w:sz w:val="20"/>
              </w:rPr>
            </w:pPr>
            <w:r>
              <w:rPr>
                <w:sz w:val="20"/>
              </w:rPr>
              <w:t>Less developed</w:t>
            </w:r>
          </w:p>
        </w:tc>
        <w:tc>
          <w:tcPr>
            <w:tcW w:w="3098" w:type="dxa"/>
          </w:tcPr>
          <w:p w14:paraId="6BDC95B3" w14:textId="77777777" w:rsidR="00DD13BF" w:rsidRPr="00EE363D" w:rsidRDefault="00DD13BF" w:rsidP="00355A56">
            <w:pPr>
              <w:rPr>
                <w:color w:val="000000"/>
                <w:sz w:val="20"/>
              </w:rPr>
            </w:pPr>
            <w:r>
              <w:rPr>
                <w:color w:val="000000"/>
                <w:sz w:val="20"/>
              </w:rPr>
              <w:t>ESO4.5</w:t>
            </w:r>
          </w:p>
        </w:tc>
        <w:tc>
          <w:tcPr>
            <w:tcW w:w="1160" w:type="dxa"/>
          </w:tcPr>
          <w:p w14:paraId="0867F4D6" w14:textId="77777777" w:rsidR="00DD13BF" w:rsidRPr="002A0CDE" w:rsidRDefault="00DD13BF" w:rsidP="00355A56">
            <w:pPr>
              <w:rPr>
                <w:sz w:val="20"/>
              </w:rPr>
            </w:pPr>
            <w:r>
              <w:rPr>
                <w:sz w:val="20"/>
              </w:rPr>
              <w:t>02</w:t>
            </w:r>
          </w:p>
        </w:tc>
        <w:tc>
          <w:tcPr>
            <w:tcW w:w="2730" w:type="dxa"/>
          </w:tcPr>
          <w:p w14:paraId="17286314" w14:textId="77777777" w:rsidR="00DD13BF" w:rsidRDefault="00DD13BF" w:rsidP="00355A56">
            <w:pPr>
              <w:rPr>
                <w:sz w:val="20"/>
              </w:rPr>
            </w:pPr>
            <w:r>
              <w:rPr>
                <w:sz w:val="20"/>
              </w:rPr>
              <w:t>23,381,500</w:t>
            </w:r>
          </w:p>
        </w:tc>
      </w:tr>
      <w:tr w:rsidR="00DD13BF" w:rsidRPr="002A0CDE" w14:paraId="25F29539" w14:textId="77777777" w:rsidTr="00355A56">
        <w:trPr>
          <w:trHeight w:val="353"/>
        </w:trPr>
        <w:tc>
          <w:tcPr>
            <w:tcW w:w="2088" w:type="dxa"/>
          </w:tcPr>
          <w:p w14:paraId="207796CF" w14:textId="77777777" w:rsidR="00DD13BF" w:rsidRPr="002A0CDE" w:rsidRDefault="00DD13BF" w:rsidP="00355A56">
            <w:pPr>
              <w:rPr>
                <w:sz w:val="20"/>
              </w:rPr>
            </w:pPr>
            <w:r>
              <w:rPr>
                <w:sz w:val="20"/>
              </w:rPr>
              <w:t>6</w:t>
            </w:r>
          </w:p>
        </w:tc>
        <w:tc>
          <w:tcPr>
            <w:tcW w:w="1132" w:type="dxa"/>
          </w:tcPr>
          <w:p w14:paraId="26E15912" w14:textId="77777777" w:rsidR="00DD13BF" w:rsidRPr="002A0CDE" w:rsidRDefault="00DD13BF" w:rsidP="00355A56">
            <w:pPr>
              <w:rPr>
                <w:sz w:val="20"/>
              </w:rPr>
            </w:pPr>
            <w:r>
              <w:rPr>
                <w:sz w:val="20"/>
              </w:rPr>
              <w:t>ESF+</w:t>
            </w:r>
          </w:p>
        </w:tc>
        <w:tc>
          <w:tcPr>
            <w:tcW w:w="3248" w:type="dxa"/>
          </w:tcPr>
          <w:p w14:paraId="2E22C129" w14:textId="77777777" w:rsidR="00DD13BF" w:rsidRDefault="00DD13BF" w:rsidP="00355A56">
            <w:pPr>
              <w:rPr>
                <w:sz w:val="20"/>
              </w:rPr>
            </w:pPr>
            <w:r>
              <w:rPr>
                <w:sz w:val="20"/>
              </w:rPr>
              <w:t>More developed</w:t>
            </w:r>
          </w:p>
        </w:tc>
        <w:tc>
          <w:tcPr>
            <w:tcW w:w="3098" w:type="dxa"/>
          </w:tcPr>
          <w:p w14:paraId="06590F86" w14:textId="77777777" w:rsidR="00DD13BF" w:rsidRPr="002A0CDE" w:rsidRDefault="00DD13BF" w:rsidP="00355A56">
            <w:pPr>
              <w:rPr>
                <w:sz w:val="20"/>
              </w:rPr>
            </w:pPr>
            <w:r>
              <w:rPr>
                <w:color w:val="000000"/>
                <w:sz w:val="20"/>
              </w:rPr>
              <w:t>ESO4.5</w:t>
            </w:r>
          </w:p>
        </w:tc>
        <w:tc>
          <w:tcPr>
            <w:tcW w:w="1160" w:type="dxa"/>
          </w:tcPr>
          <w:p w14:paraId="21B5420D" w14:textId="77777777" w:rsidR="00DD13BF" w:rsidRPr="002A0CDE" w:rsidRDefault="00DD13BF" w:rsidP="00355A56">
            <w:pPr>
              <w:rPr>
                <w:sz w:val="20"/>
              </w:rPr>
            </w:pPr>
            <w:r>
              <w:rPr>
                <w:sz w:val="20"/>
              </w:rPr>
              <w:t>02</w:t>
            </w:r>
          </w:p>
        </w:tc>
        <w:tc>
          <w:tcPr>
            <w:tcW w:w="2730" w:type="dxa"/>
          </w:tcPr>
          <w:p w14:paraId="41B3B34E" w14:textId="77777777" w:rsidR="00DD13BF" w:rsidRDefault="00DD13BF" w:rsidP="00355A56">
            <w:pPr>
              <w:rPr>
                <w:sz w:val="20"/>
              </w:rPr>
            </w:pPr>
            <w:r>
              <w:rPr>
                <w:sz w:val="20"/>
              </w:rPr>
              <w:t>9,202,400</w:t>
            </w:r>
          </w:p>
        </w:tc>
      </w:tr>
      <w:tr w:rsidR="00DD13BF" w:rsidRPr="002A0CDE" w14:paraId="727172F1" w14:textId="77777777" w:rsidTr="00355A56">
        <w:trPr>
          <w:trHeight w:val="353"/>
        </w:trPr>
        <w:tc>
          <w:tcPr>
            <w:tcW w:w="2088" w:type="dxa"/>
          </w:tcPr>
          <w:p w14:paraId="66537609" w14:textId="77777777" w:rsidR="00DD13BF" w:rsidRPr="002A0CDE" w:rsidRDefault="00DD13BF" w:rsidP="00355A56">
            <w:pPr>
              <w:rPr>
                <w:sz w:val="20"/>
              </w:rPr>
            </w:pPr>
            <w:r>
              <w:rPr>
                <w:sz w:val="20"/>
              </w:rPr>
              <w:t>6</w:t>
            </w:r>
          </w:p>
        </w:tc>
        <w:tc>
          <w:tcPr>
            <w:tcW w:w="1132" w:type="dxa"/>
          </w:tcPr>
          <w:p w14:paraId="2AE4184E" w14:textId="77777777" w:rsidR="00DD13BF" w:rsidRPr="002A0CDE" w:rsidRDefault="00DD13BF" w:rsidP="00355A56">
            <w:pPr>
              <w:rPr>
                <w:sz w:val="20"/>
              </w:rPr>
            </w:pPr>
            <w:r>
              <w:rPr>
                <w:sz w:val="20"/>
              </w:rPr>
              <w:t>ESF+</w:t>
            </w:r>
          </w:p>
        </w:tc>
        <w:tc>
          <w:tcPr>
            <w:tcW w:w="3248" w:type="dxa"/>
          </w:tcPr>
          <w:p w14:paraId="0B85246F" w14:textId="77777777" w:rsidR="00DD13BF" w:rsidRPr="002A0CDE" w:rsidRDefault="00DD13BF" w:rsidP="00355A56">
            <w:pPr>
              <w:rPr>
                <w:sz w:val="20"/>
              </w:rPr>
            </w:pPr>
            <w:r>
              <w:rPr>
                <w:sz w:val="20"/>
              </w:rPr>
              <w:t>Less developed</w:t>
            </w:r>
          </w:p>
        </w:tc>
        <w:tc>
          <w:tcPr>
            <w:tcW w:w="3098" w:type="dxa"/>
          </w:tcPr>
          <w:p w14:paraId="0DD35D5E" w14:textId="77777777" w:rsidR="00DD13BF" w:rsidRPr="002A0CDE" w:rsidRDefault="00DD13BF" w:rsidP="00355A56">
            <w:pPr>
              <w:rPr>
                <w:sz w:val="20"/>
              </w:rPr>
            </w:pPr>
            <w:r>
              <w:rPr>
                <w:color w:val="000000"/>
                <w:sz w:val="20"/>
              </w:rPr>
              <w:t>ESO4.5</w:t>
            </w:r>
          </w:p>
        </w:tc>
        <w:tc>
          <w:tcPr>
            <w:tcW w:w="1160" w:type="dxa"/>
          </w:tcPr>
          <w:p w14:paraId="00B1849E" w14:textId="77777777" w:rsidR="00DD13BF" w:rsidRPr="002A0CDE" w:rsidRDefault="00DD13BF" w:rsidP="00355A56">
            <w:pPr>
              <w:rPr>
                <w:sz w:val="20"/>
              </w:rPr>
            </w:pPr>
            <w:r>
              <w:rPr>
                <w:sz w:val="20"/>
              </w:rPr>
              <w:t>09</w:t>
            </w:r>
          </w:p>
        </w:tc>
        <w:tc>
          <w:tcPr>
            <w:tcW w:w="2730" w:type="dxa"/>
          </w:tcPr>
          <w:p w14:paraId="35394DFB" w14:textId="77777777" w:rsidR="00DD13BF" w:rsidRPr="002A0CDE" w:rsidRDefault="00DD13BF" w:rsidP="00355A56">
            <w:pPr>
              <w:rPr>
                <w:sz w:val="20"/>
              </w:rPr>
            </w:pPr>
            <w:r>
              <w:rPr>
                <w:sz w:val="20"/>
              </w:rPr>
              <w:t>66,432,300</w:t>
            </w:r>
          </w:p>
        </w:tc>
      </w:tr>
      <w:tr w:rsidR="00DD13BF" w:rsidRPr="002A0CDE" w14:paraId="4F0495DC" w14:textId="77777777" w:rsidTr="00355A56">
        <w:trPr>
          <w:trHeight w:val="353"/>
        </w:trPr>
        <w:tc>
          <w:tcPr>
            <w:tcW w:w="2088" w:type="dxa"/>
          </w:tcPr>
          <w:p w14:paraId="05538E50" w14:textId="77777777" w:rsidR="00DD13BF" w:rsidRPr="002A0CDE" w:rsidRDefault="00DD13BF" w:rsidP="00355A56">
            <w:pPr>
              <w:rPr>
                <w:sz w:val="20"/>
              </w:rPr>
            </w:pPr>
            <w:r>
              <w:rPr>
                <w:sz w:val="20"/>
              </w:rPr>
              <w:t>6</w:t>
            </w:r>
          </w:p>
        </w:tc>
        <w:tc>
          <w:tcPr>
            <w:tcW w:w="1132" w:type="dxa"/>
          </w:tcPr>
          <w:p w14:paraId="71874D94" w14:textId="77777777" w:rsidR="00DD13BF" w:rsidRPr="002A0CDE" w:rsidRDefault="00DD13BF" w:rsidP="00355A56">
            <w:pPr>
              <w:rPr>
                <w:sz w:val="20"/>
              </w:rPr>
            </w:pPr>
            <w:r>
              <w:rPr>
                <w:sz w:val="20"/>
              </w:rPr>
              <w:t>ESF+</w:t>
            </w:r>
          </w:p>
        </w:tc>
        <w:tc>
          <w:tcPr>
            <w:tcW w:w="3248" w:type="dxa"/>
          </w:tcPr>
          <w:p w14:paraId="6EB821A5" w14:textId="77777777" w:rsidR="00DD13BF" w:rsidRDefault="00DD13BF" w:rsidP="00355A56">
            <w:pPr>
              <w:rPr>
                <w:sz w:val="20"/>
              </w:rPr>
            </w:pPr>
            <w:r>
              <w:rPr>
                <w:sz w:val="20"/>
              </w:rPr>
              <w:t>More developed</w:t>
            </w:r>
          </w:p>
        </w:tc>
        <w:tc>
          <w:tcPr>
            <w:tcW w:w="3098" w:type="dxa"/>
          </w:tcPr>
          <w:p w14:paraId="28EFB2F3" w14:textId="77777777" w:rsidR="00DD13BF" w:rsidRPr="002A0CDE" w:rsidRDefault="00DD13BF" w:rsidP="00355A56">
            <w:pPr>
              <w:rPr>
                <w:sz w:val="20"/>
              </w:rPr>
            </w:pPr>
            <w:r>
              <w:rPr>
                <w:color w:val="000000"/>
                <w:sz w:val="20"/>
              </w:rPr>
              <w:t>ESO4.5</w:t>
            </w:r>
          </w:p>
        </w:tc>
        <w:tc>
          <w:tcPr>
            <w:tcW w:w="1160" w:type="dxa"/>
          </w:tcPr>
          <w:p w14:paraId="0EB0DF6F" w14:textId="77777777" w:rsidR="00DD13BF" w:rsidRPr="002A0CDE" w:rsidRDefault="00DD13BF" w:rsidP="00355A56">
            <w:pPr>
              <w:rPr>
                <w:sz w:val="20"/>
              </w:rPr>
            </w:pPr>
            <w:r>
              <w:rPr>
                <w:sz w:val="20"/>
              </w:rPr>
              <w:t>09</w:t>
            </w:r>
          </w:p>
        </w:tc>
        <w:tc>
          <w:tcPr>
            <w:tcW w:w="2730" w:type="dxa"/>
          </w:tcPr>
          <w:p w14:paraId="32785FEB" w14:textId="77777777" w:rsidR="00DD13BF" w:rsidRDefault="00DD13BF" w:rsidP="00355A56">
            <w:pPr>
              <w:rPr>
                <w:sz w:val="20"/>
              </w:rPr>
            </w:pPr>
            <w:r>
              <w:rPr>
                <w:sz w:val="20"/>
              </w:rPr>
              <w:t>31,382,600</w:t>
            </w:r>
          </w:p>
        </w:tc>
      </w:tr>
    </w:tbl>
    <w:p w14:paraId="7DF5EA71" w14:textId="77777777" w:rsidR="00DD13BF" w:rsidRPr="002A0CDE" w:rsidRDefault="00DD13BF" w:rsidP="00DD13BF"/>
    <w:p w14:paraId="5E2FE2DE" w14:textId="77777777" w:rsidR="00DD13BF" w:rsidRPr="002A0CDE" w:rsidRDefault="00DD13BF" w:rsidP="00DD13BF">
      <w:pPr>
        <w:ind w:left="339"/>
      </w:pPr>
      <w:r>
        <w:t>Table 8: Dimension 7 – ESF+*, ERDF, Cohesion Fund and JTF gender equality dimension</w:t>
      </w:r>
    </w:p>
    <w:p w14:paraId="6E1F3530" w14:textId="77777777" w:rsidR="00DD13BF" w:rsidRPr="002A0CDE" w:rsidRDefault="00DD13BF" w:rsidP="00DD13BF">
      <w:pPr>
        <w:rPr>
          <w:sz w:val="21"/>
        </w:rPr>
      </w:pPr>
    </w:p>
    <w:tbl>
      <w:tblPr>
        <w:tblStyle w:val="TableNormal1"/>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2A0CDE" w14:paraId="7921D055" w14:textId="77777777" w:rsidTr="00355A56">
        <w:trPr>
          <w:trHeight w:val="353"/>
        </w:trPr>
        <w:tc>
          <w:tcPr>
            <w:tcW w:w="2088" w:type="dxa"/>
          </w:tcPr>
          <w:p w14:paraId="3E486AC6" w14:textId="77777777" w:rsidR="00DD13BF" w:rsidRPr="002A0CDE" w:rsidRDefault="00DD13BF" w:rsidP="00355A56">
            <w:pPr>
              <w:ind w:left="115"/>
            </w:pPr>
            <w:r>
              <w:t>Priority no.</w:t>
            </w:r>
          </w:p>
        </w:tc>
        <w:tc>
          <w:tcPr>
            <w:tcW w:w="1132" w:type="dxa"/>
          </w:tcPr>
          <w:p w14:paraId="7B34FCFA" w14:textId="77777777" w:rsidR="00DD13BF" w:rsidRPr="002A0CDE" w:rsidRDefault="00DD13BF" w:rsidP="00355A56">
            <w:pPr>
              <w:ind w:left="320"/>
            </w:pPr>
            <w:r>
              <w:t>Fund</w:t>
            </w:r>
          </w:p>
        </w:tc>
        <w:tc>
          <w:tcPr>
            <w:tcW w:w="3248" w:type="dxa"/>
          </w:tcPr>
          <w:p w14:paraId="3AD9F4DD" w14:textId="77777777" w:rsidR="00DD13BF" w:rsidRPr="002A0CDE" w:rsidRDefault="00DD13BF" w:rsidP="00355A56">
            <w:pPr>
              <w:ind w:left="908"/>
            </w:pPr>
            <w:r>
              <w:t>Category of region</w:t>
            </w:r>
          </w:p>
        </w:tc>
        <w:tc>
          <w:tcPr>
            <w:tcW w:w="3098" w:type="dxa"/>
          </w:tcPr>
          <w:p w14:paraId="56938771" w14:textId="77777777" w:rsidR="00DD13BF" w:rsidRPr="002A0CDE" w:rsidRDefault="00DD13BF" w:rsidP="00355A56">
            <w:pPr>
              <w:ind w:left="950"/>
            </w:pPr>
            <w:r>
              <w:t>Specific objective</w:t>
            </w:r>
          </w:p>
        </w:tc>
        <w:tc>
          <w:tcPr>
            <w:tcW w:w="1160" w:type="dxa"/>
          </w:tcPr>
          <w:p w14:paraId="74BFECFD" w14:textId="77777777" w:rsidR="00DD13BF" w:rsidRPr="002A0CDE" w:rsidRDefault="00DD13BF" w:rsidP="00355A56">
            <w:pPr>
              <w:ind w:left="336"/>
            </w:pPr>
            <w:r>
              <w:t>Code</w:t>
            </w:r>
          </w:p>
        </w:tc>
        <w:tc>
          <w:tcPr>
            <w:tcW w:w="2730" w:type="dxa"/>
          </w:tcPr>
          <w:p w14:paraId="01F3982E" w14:textId="77777777" w:rsidR="00DD13BF" w:rsidRPr="002A0CDE" w:rsidRDefault="00DD13BF" w:rsidP="00355A56">
            <w:pPr>
              <w:ind w:left="664"/>
            </w:pPr>
            <w:r>
              <w:t>Amount (in EUR)</w:t>
            </w:r>
          </w:p>
        </w:tc>
      </w:tr>
      <w:tr w:rsidR="00DD13BF" w:rsidRPr="002A0CDE" w14:paraId="342DD294" w14:textId="77777777" w:rsidTr="00355A56">
        <w:trPr>
          <w:trHeight w:val="353"/>
        </w:trPr>
        <w:tc>
          <w:tcPr>
            <w:tcW w:w="2088" w:type="dxa"/>
          </w:tcPr>
          <w:p w14:paraId="214252DB" w14:textId="77777777" w:rsidR="00DD13BF" w:rsidRPr="002A0CDE" w:rsidRDefault="00DD13BF" w:rsidP="00355A56">
            <w:pPr>
              <w:rPr>
                <w:sz w:val="20"/>
              </w:rPr>
            </w:pPr>
            <w:r>
              <w:rPr>
                <w:sz w:val="20"/>
              </w:rPr>
              <w:t>6</w:t>
            </w:r>
          </w:p>
        </w:tc>
        <w:tc>
          <w:tcPr>
            <w:tcW w:w="1132" w:type="dxa"/>
          </w:tcPr>
          <w:p w14:paraId="08715D6D" w14:textId="77777777" w:rsidR="00DD13BF" w:rsidRPr="002A0CDE" w:rsidRDefault="00DD13BF" w:rsidP="00355A56">
            <w:pPr>
              <w:rPr>
                <w:sz w:val="20"/>
              </w:rPr>
            </w:pPr>
            <w:r>
              <w:rPr>
                <w:sz w:val="20"/>
              </w:rPr>
              <w:t>ESF+</w:t>
            </w:r>
          </w:p>
        </w:tc>
        <w:tc>
          <w:tcPr>
            <w:tcW w:w="3248" w:type="dxa"/>
          </w:tcPr>
          <w:p w14:paraId="0019C51D" w14:textId="77777777" w:rsidR="00DD13BF" w:rsidRPr="002A0CDE" w:rsidRDefault="00DD13BF" w:rsidP="00355A56">
            <w:pPr>
              <w:rPr>
                <w:sz w:val="20"/>
              </w:rPr>
            </w:pPr>
            <w:r>
              <w:rPr>
                <w:sz w:val="20"/>
              </w:rPr>
              <w:t>Less developed</w:t>
            </w:r>
          </w:p>
        </w:tc>
        <w:tc>
          <w:tcPr>
            <w:tcW w:w="3098" w:type="dxa"/>
          </w:tcPr>
          <w:p w14:paraId="77ABAAF2" w14:textId="77777777" w:rsidR="00DD13BF" w:rsidRPr="002A0CDE" w:rsidRDefault="00DD13BF" w:rsidP="00355A56">
            <w:pPr>
              <w:rPr>
                <w:sz w:val="20"/>
              </w:rPr>
            </w:pPr>
            <w:r>
              <w:rPr>
                <w:color w:val="000000"/>
                <w:sz w:val="20"/>
              </w:rPr>
              <w:t>ESO4.5</w:t>
            </w:r>
          </w:p>
        </w:tc>
        <w:tc>
          <w:tcPr>
            <w:tcW w:w="1160" w:type="dxa"/>
          </w:tcPr>
          <w:p w14:paraId="0FC9F5B6" w14:textId="77777777" w:rsidR="00DD13BF" w:rsidRPr="002A0CDE" w:rsidRDefault="00DD13BF" w:rsidP="00355A56">
            <w:pPr>
              <w:rPr>
                <w:sz w:val="20"/>
              </w:rPr>
            </w:pPr>
            <w:r>
              <w:rPr>
                <w:sz w:val="20"/>
              </w:rPr>
              <w:t>01</w:t>
            </w:r>
          </w:p>
        </w:tc>
        <w:tc>
          <w:tcPr>
            <w:tcW w:w="2730" w:type="dxa"/>
          </w:tcPr>
          <w:p w14:paraId="51E408AE" w14:textId="77777777" w:rsidR="00DD13BF" w:rsidRPr="002A0CDE" w:rsidRDefault="00DD13BF" w:rsidP="00355A56">
            <w:pPr>
              <w:rPr>
                <w:sz w:val="20"/>
              </w:rPr>
            </w:pPr>
            <w:r>
              <w:rPr>
                <w:sz w:val="20"/>
              </w:rPr>
              <w:t>17,788,365</w:t>
            </w:r>
          </w:p>
        </w:tc>
      </w:tr>
      <w:tr w:rsidR="00DD13BF" w:rsidRPr="002A0CDE" w14:paraId="117933CB" w14:textId="77777777" w:rsidTr="00355A56">
        <w:trPr>
          <w:trHeight w:val="353"/>
        </w:trPr>
        <w:tc>
          <w:tcPr>
            <w:tcW w:w="2088" w:type="dxa"/>
          </w:tcPr>
          <w:p w14:paraId="5CF449A9" w14:textId="77777777" w:rsidR="00DD13BF" w:rsidRPr="002A0CDE" w:rsidRDefault="00DD13BF" w:rsidP="00355A56">
            <w:pPr>
              <w:rPr>
                <w:sz w:val="20"/>
              </w:rPr>
            </w:pPr>
            <w:r>
              <w:rPr>
                <w:sz w:val="20"/>
              </w:rPr>
              <w:t>6</w:t>
            </w:r>
          </w:p>
        </w:tc>
        <w:tc>
          <w:tcPr>
            <w:tcW w:w="1132" w:type="dxa"/>
          </w:tcPr>
          <w:p w14:paraId="22BAC6B1" w14:textId="77777777" w:rsidR="00DD13BF" w:rsidRPr="002A0CDE" w:rsidRDefault="00DD13BF" w:rsidP="00355A56">
            <w:pPr>
              <w:rPr>
                <w:sz w:val="20"/>
              </w:rPr>
            </w:pPr>
            <w:r>
              <w:rPr>
                <w:sz w:val="20"/>
              </w:rPr>
              <w:t>ESF+</w:t>
            </w:r>
          </w:p>
        </w:tc>
        <w:tc>
          <w:tcPr>
            <w:tcW w:w="3248" w:type="dxa"/>
          </w:tcPr>
          <w:p w14:paraId="72653629" w14:textId="77777777" w:rsidR="00DD13BF" w:rsidRDefault="00DD13BF" w:rsidP="00355A56">
            <w:pPr>
              <w:rPr>
                <w:sz w:val="20"/>
              </w:rPr>
            </w:pPr>
            <w:r>
              <w:rPr>
                <w:sz w:val="20"/>
              </w:rPr>
              <w:t>More developed</w:t>
            </w:r>
          </w:p>
        </w:tc>
        <w:tc>
          <w:tcPr>
            <w:tcW w:w="3098" w:type="dxa"/>
          </w:tcPr>
          <w:p w14:paraId="2FDBB623" w14:textId="77777777" w:rsidR="00DD13BF" w:rsidRPr="002A0CDE" w:rsidRDefault="00DD13BF" w:rsidP="00355A56">
            <w:pPr>
              <w:rPr>
                <w:sz w:val="20"/>
              </w:rPr>
            </w:pPr>
            <w:r>
              <w:rPr>
                <w:color w:val="000000"/>
                <w:sz w:val="20"/>
              </w:rPr>
              <w:t>ESO4.5</w:t>
            </w:r>
          </w:p>
        </w:tc>
        <w:tc>
          <w:tcPr>
            <w:tcW w:w="1160" w:type="dxa"/>
          </w:tcPr>
          <w:p w14:paraId="1AE71E48" w14:textId="77777777" w:rsidR="00DD13BF" w:rsidRPr="002A0CDE" w:rsidRDefault="00DD13BF" w:rsidP="00355A56">
            <w:pPr>
              <w:rPr>
                <w:sz w:val="20"/>
              </w:rPr>
            </w:pPr>
            <w:r>
              <w:rPr>
                <w:sz w:val="20"/>
              </w:rPr>
              <w:t>01</w:t>
            </w:r>
          </w:p>
        </w:tc>
        <w:tc>
          <w:tcPr>
            <w:tcW w:w="2730" w:type="dxa"/>
          </w:tcPr>
          <w:p w14:paraId="2F816129" w14:textId="77777777" w:rsidR="00DD13BF" w:rsidRDefault="00DD13BF" w:rsidP="00355A56">
            <w:pPr>
              <w:rPr>
                <w:sz w:val="20"/>
              </w:rPr>
            </w:pPr>
            <w:r>
              <w:rPr>
                <w:sz w:val="20"/>
              </w:rPr>
              <w:t>13,919,000</w:t>
            </w:r>
          </w:p>
        </w:tc>
      </w:tr>
      <w:tr w:rsidR="00DD13BF" w:rsidRPr="002A0CDE" w14:paraId="1E74555A" w14:textId="77777777" w:rsidTr="00355A56">
        <w:trPr>
          <w:trHeight w:val="353"/>
        </w:trPr>
        <w:tc>
          <w:tcPr>
            <w:tcW w:w="2088" w:type="dxa"/>
          </w:tcPr>
          <w:p w14:paraId="71C4BAAD" w14:textId="77777777" w:rsidR="00DD13BF" w:rsidRPr="002A0CDE" w:rsidRDefault="00DD13BF" w:rsidP="00355A56">
            <w:pPr>
              <w:rPr>
                <w:sz w:val="20"/>
              </w:rPr>
            </w:pPr>
            <w:r>
              <w:rPr>
                <w:sz w:val="20"/>
              </w:rPr>
              <w:t>6</w:t>
            </w:r>
          </w:p>
        </w:tc>
        <w:tc>
          <w:tcPr>
            <w:tcW w:w="1132" w:type="dxa"/>
          </w:tcPr>
          <w:p w14:paraId="233A6713" w14:textId="77777777" w:rsidR="00DD13BF" w:rsidRPr="002A0CDE" w:rsidRDefault="00DD13BF" w:rsidP="00355A56">
            <w:pPr>
              <w:rPr>
                <w:sz w:val="20"/>
              </w:rPr>
            </w:pPr>
            <w:r>
              <w:rPr>
                <w:sz w:val="20"/>
              </w:rPr>
              <w:t>ESF+</w:t>
            </w:r>
          </w:p>
        </w:tc>
        <w:tc>
          <w:tcPr>
            <w:tcW w:w="3248" w:type="dxa"/>
          </w:tcPr>
          <w:p w14:paraId="129110DB" w14:textId="77777777" w:rsidR="00DD13BF" w:rsidRPr="002A0CDE" w:rsidRDefault="00DD13BF" w:rsidP="00355A56">
            <w:pPr>
              <w:rPr>
                <w:sz w:val="20"/>
              </w:rPr>
            </w:pPr>
            <w:r>
              <w:rPr>
                <w:sz w:val="20"/>
              </w:rPr>
              <w:t>Less developed</w:t>
            </w:r>
          </w:p>
        </w:tc>
        <w:tc>
          <w:tcPr>
            <w:tcW w:w="3098" w:type="dxa"/>
          </w:tcPr>
          <w:p w14:paraId="624069F0" w14:textId="77777777" w:rsidR="00DD13BF" w:rsidRPr="002A0CDE" w:rsidRDefault="00DD13BF" w:rsidP="00355A56">
            <w:pPr>
              <w:rPr>
                <w:sz w:val="20"/>
              </w:rPr>
            </w:pPr>
            <w:r>
              <w:rPr>
                <w:color w:val="000000"/>
                <w:sz w:val="20"/>
              </w:rPr>
              <w:t>ESO4.5</w:t>
            </w:r>
          </w:p>
        </w:tc>
        <w:tc>
          <w:tcPr>
            <w:tcW w:w="1160" w:type="dxa"/>
          </w:tcPr>
          <w:p w14:paraId="5C2D07DC" w14:textId="77777777" w:rsidR="00DD13BF" w:rsidRPr="002A0CDE" w:rsidRDefault="00DD13BF" w:rsidP="00355A56">
            <w:pPr>
              <w:rPr>
                <w:sz w:val="20"/>
              </w:rPr>
            </w:pPr>
            <w:r>
              <w:rPr>
                <w:sz w:val="20"/>
              </w:rPr>
              <w:t>02</w:t>
            </w:r>
          </w:p>
        </w:tc>
        <w:tc>
          <w:tcPr>
            <w:tcW w:w="2730" w:type="dxa"/>
          </w:tcPr>
          <w:p w14:paraId="46935D6F" w14:textId="77777777" w:rsidR="00DD13BF" w:rsidRPr="002A0CDE" w:rsidRDefault="00DD13BF" w:rsidP="00355A56">
            <w:pPr>
              <w:rPr>
                <w:sz w:val="20"/>
              </w:rPr>
            </w:pPr>
            <w:r>
              <w:rPr>
                <w:sz w:val="20"/>
              </w:rPr>
              <w:t>77,380,435</w:t>
            </w:r>
          </w:p>
        </w:tc>
      </w:tr>
      <w:tr w:rsidR="00DD13BF" w:rsidRPr="002A0CDE" w14:paraId="65AC8E9C" w14:textId="77777777" w:rsidTr="00355A56">
        <w:trPr>
          <w:trHeight w:val="353"/>
        </w:trPr>
        <w:tc>
          <w:tcPr>
            <w:tcW w:w="2088" w:type="dxa"/>
          </w:tcPr>
          <w:p w14:paraId="6FFB11FE" w14:textId="77777777" w:rsidR="00DD13BF" w:rsidRPr="002A0CDE" w:rsidRDefault="00DD13BF" w:rsidP="00355A56">
            <w:pPr>
              <w:rPr>
                <w:sz w:val="20"/>
              </w:rPr>
            </w:pPr>
            <w:r>
              <w:rPr>
                <w:sz w:val="20"/>
              </w:rPr>
              <w:t>6</w:t>
            </w:r>
          </w:p>
        </w:tc>
        <w:tc>
          <w:tcPr>
            <w:tcW w:w="1132" w:type="dxa"/>
          </w:tcPr>
          <w:p w14:paraId="0DEE353D" w14:textId="77777777" w:rsidR="00DD13BF" w:rsidRPr="002A0CDE" w:rsidRDefault="00DD13BF" w:rsidP="00355A56">
            <w:pPr>
              <w:rPr>
                <w:sz w:val="20"/>
              </w:rPr>
            </w:pPr>
            <w:r>
              <w:rPr>
                <w:sz w:val="20"/>
              </w:rPr>
              <w:t>ESF+</w:t>
            </w:r>
          </w:p>
        </w:tc>
        <w:tc>
          <w:tcPr>
            <w:tcW w:w="3248" w:type="dxa"/>
          </w:tcPr>
          <w:p w14:paraId="067D114C" w14:textId="77777777" w:rsidR="00DD13BF" w:rsidRDefault="00DD13BF" w:rsidP="00355A56">
            <w:pPr>
              <w:rPr>
                <w:sz w:val="20"/>
              </w:rPr>
            </w:pPr>
            <w:r>
              <w:rPr>
                <w:sz w:val="20"/>
              </w:rPr>
              <w:t>More developed</w:t>
            </w:r>
          </w:p>
        </w:tc>
        <w:tc>
          <w:tcPr>
            <w:tcW w:w="3098" w:type="dxa"/>
          </w:tcPr>
          <w:p w14:paraId="070D4390" w14:textId="77777777" w:rsidR="00DD13BF" w:rsidRPr="002A0CDE" w:rsidRDefault="00DD13BF" w:rsidP="00355A56">
            <w:pPr>
              <w:rPr>
                <w:sz w:val="20"/>
              </w:rPr>
            </w:pPr>
            <w:r>
              <w:rPr>
                <w:color w:val="000000"/>
                <w:sz w:val="20"/>
              </w:rPr>
              <w:t>ESO4.5</w:t>
            </w:r>
          </w:p>
        </w:tc>
        <w:tc>
          <w:tcPr>
            <w:tcW w:w="1160" w:type="dxa"/>
          </w:tcPr>
          <w:p w14:paraId="22E5B292" w14:textId="77777777" w:rsidR="00DD13BF" w:rsidRPr="002A0CDE" w:rsidRDefault="00DD13BF" w:rsidP="00355A56">
            <w:pPr>
              <w:rPr>
                <w:sz w:val="20"/>
              </w:rPr>
            </w:pPr>
            <w:r>
              <w:rPr>
                <w:sz w:val="20"/>
              </w:rPr>
              <w:t>02</w:t>
            </w:r>
          </w:p>
        </w:tc>
        <w:tc>
          <w:tcPr>
            <w:tcW w:w="2730" w:type="dxa"/>
          </w:tcPr>
          <w:p w14:paraId="61005AE9" w14:textId="77777777" w:rsidR="00DD13BF" w:rsidRDefault="00DD13BF" w:rsidP="00355A56">
            <w:pPr>
              <w:rPr>
                <w:sz w:val="20"/>
              </w:rPr>
            </w:pPr>
            <w:r>
              <w:rPr>
                <w:sz w:val="20"/>
              </w:rPr>
              <w:t>28,346,000</w:t>
            </w:r>
          </w:p>
        </w:tc>
      </w:tr>
    </w:tbl>
    <w:p w14:paraId="27E7DB14" w14:textId="77777777" w:rsidR="00DD13BF" w:rsidRPr="00730038" w:rsidRDefault="00DD13BF" w:rsidP="00DD13BF">
      <w:pPr>
        <w:tabs>
          <w:tab w:val="left" w:pos="426"/>
        </w:tabs>
        <w:ind w:left="284"/>
        <w:rPr>
          <w:spacing w:val="-7"/>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04CC5108" w14:textId="77777777" w:rsidR="00DD13BF" w:rsidRPr="00C10464" w:rsidRDefault="00DD13BF" w:rsidP="00DD13BF">
      <w:pPr>
        <w:pStyle w:val="Naslov4"/>
        <w:ind w:left="1135" w:hanging="851"/>
      </w:pPr>
      <w:bookmarkStart w:id="47" w:name="_Toc131161721"/>
      <w:r>
        <w:lastRenderedPageBreak/>
        <w:t>Specific objective ESO4.7. Promoting lifelong learning, in particular flexible upskilling and reskilling opportunities for all taking into account entrepreneurial and digital skills, better anticipating change and new skills requirements based on labour market needs, facilitating career transitions and promoting professional mobility (ESF+)</w:t>
      </w:r>
      <w:bookmarkEnd w:id="47"/>
    </w:p>
    <w:p w14:paraId="2D4D4D50" w14:textId="77777777" w:rsidR="00DD13BF" w:rsidRDefault="00DD13BF" w:rsidP="00DD13BF">
      <w:pPr>
        <w:rPr>
          <w:sz w:val="30"/>
        </w:rPr>
      </w:pPr>
    </w:p>
    <w:p w14:paraId="099BD2C1" w14:textId="77777777" w:rsidR="00DD13BF" w:rsidRPr="00C10464" w:rsidRDefault="00DD13BF" w:rsidP="00DD13BF">
      <w:pPr>
        <w:pStyle w:val="Naslov5"/>
        <w:spacing w:before="0"/>
        <w:ind w:left="1418" w:hanging="1134"/>
      </w:pPr>
      <w:r>
        <w:t>Interventions of the Funds</w:t>
      </w:r>
    </w:p>
    <w:p w14:paraId="39F0DDAD" w14:textId="77777777" w:rsidR="00DD13BF" w:rsidRDefault="00DD13BF" w:rsidP="00DD13BF">
      <w:pPr>
        <w:rPr>
          <w:sz w:val="30"/>
        </w:rPr>
      </w:pPr>
    </w:p>
    <w:p w14:paraId="68750C17" w14:textId="77777777" w:rsidR="00DD13BF" w:rsidRDefault="00DD13BF" w:rsidP="00DD13BF">
      <w:pPr>
        <w:ind w:left="1349"/>
        <w:rPr>
          <w:spacing w:val="-2"/>
        </w:rPr>
      </w:pPr>
      <w:r>
        <w:t>Related types of actions:</w:t>
      </w:r>
    </w:p>
    <w:p w14:paraId="6D5DAAD1"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733B00E1" w14:textId="77777777" w:rsidTr="00355A56">
        <w:trPr>
          <w:trHeight w:val="4243"/>
        </w:trPr>
        <w:tc>
          <w:tcPr>
            <w:tcW w:w="12758" w:type="dxa"/>
          </w:tcPr>
          <w:p w14:paraId="3D6EF34F" w14:textId="77777777" w:rsidR="00DD13BF" w:rsidRPr="0067472B" w:rsidRDefault="00DD13BF" w:rsidP="00355A56">
            <w:pPr>
              <w:jc w:val="both"/>
              <w:rPr>
                <w:rFonts w:cstheme="minorHAnsi"/>
              </w:rPr>
            </w:pPr>
            <w:r>
              <w:t>To achieve greater inclusion of individuals in lifelong education and learning (hereinafter: LLL), particularly of less educated and less qualified persons and elderly people, better professional competences of employees, and an effective career orientation system, the establishment of digital educational resources and high-quality didactic software, and the reduction of the digital gap, measures to attain the objectives of this specific objective will be aimed at:</w:t>
            </w:r>
          </w:p>
          <w:p w14:paraId="64790061" w14:textId="77777777" w:rsidR="00DD13BF" w:rsidRDefault="00DD13BF" w:rsidP="00DD13BF">
            <w:pPr>
              <w:pStyle w:val="Odstavekseznama"/>
              <w:widowControl/>
              <w:numPr>
                <w:ilvl w:val="0"/>
                <w:numId w:val="27"/>
              </w:numPr>
              <w:autoSpaceDE/>
              <w:autoSpaceDN/>
              <w:jc w:val="both"/>
              <w:rPr>
                <w:rFonts w:ascii="Times New Roman" w:eastAsia="Times New Roman" w:hAnsi="Times New Roman" w:cs="Times New Roman"/>
              </w:rPr>
            </w:pPr>
            <w:r>
              <w:rPr>
                <w:rFonts w:ascii="Times New Roman" w:hAnsi="Times New Roman"/>
              </w:rPr>
              <w:t xml:space="preserve">Implementing </w:t>
            </w:r>
            <w:r>
              <w:rPr>
                <w:rFonts w:ascii="Times New Roman" w:hAnsi="Times New Roman"/>
                <w:i/>
                <w:iCs/>
              </w:rPr>
              <w:t>support activities for LLL</w:t>
            </w:r>
            <w:r>
              <w:rPr>
                <w:rFonts w:ascii="Times New Roman" w:hAnsi="Times New Roman"/>
              </w:rPr>
              <w:t>: a nationwide campaign will be implemented, particularly for adults from various vulnerable groups (elderly people, migrants, prisoners, less educated persons or persons with a lack of competence, unemployed persons, etc.). The awareness of the importance of participating in lifelong learning to enter or be competitive in the labour market, personal development, and participating in the community will be raised. The purpose of the measures is: to reinforce the positive attitude towards LLL, which brings progress in the personal, social and work fields; to increase involvement in various forms of vocational education and training to obtain higher or new education, and basic and professional competences; to improve general knowledge; to connect and establish a learning community. Modern approaches and tools for high-quality and effective implementation of promotional, animation and informational activities and teaching aids will be developed. Interministerial cooperation will be enhanced, and various stakeholders in the labour market, social partners and non-governmental organisations at national and local levels will be involved. To achieve greater synergy in the implementation of activities, the cooperation of various ministries that are active in the field of adult education (MIZŠ, MGRT and MDDSZ) is foreseen. Using various tools (such as individual learning accounts), all adults will be able to develop their skills throughout the entire employment period.</w:t>
            </w:r>
          </w:p>
          <w:p w14:paraId="11106B8C" w14:textId="77777777" w:rsidR="00DD13BF" w:rsidRPr="0081660E" w:rsidRDefault="00DD13BF" w:rsidP="00355A56">
            <w:pPr>
              <w:pStyle w:val="Odstavekseznama"/>
              <w:ind w:left="720"/>
              <w:jc w:val="both"/>
              <w:rPr>
                <w:rFonts w:ascii="Times New Roman" w:eastAsia="Times New Roman" w:hAnsi="Times New Roman" w:cs="Times New Roman"/>
              </w:rPr>
            </w:pPr>
          </w:p>
          <w:p w14:paraId="3DFA9953" w14:textId="77777777" w:rsidR="00DD13BF" w:rsidRPr="00021BC4" w:rsidRDefault="00DD13BF" w:rsidP="00DD13BF">
            <w:pPr>
              <w:pStyle w:val="Odstavekseznama"/>
              <w:widowControl/>
              <w:numPr>
                <w:ilvl w:val="0"/>
                <w:numId w:val="35"/>
              </w:numPr>
              <w:autoSpaceDE/>
              <w:autoSpaceDN/>
              <w:jc w:val="both"/>
              <w:rPr>
                <w:rFonts w:asciiTheme="minorHAnsi" w:hAnsiTheme="minorHAnsi"/>
              </w:rPr>
            </w:pPr>
            <w:r>
              <w:rPr>
                <w:rFonts w:ascii="Times New Roman" w:hAnsi="Times New Roman"/>
                <w:i/>
                <w:iCs/>
              </w:rPr>
              <w:t>Professional and development tasks will be carried out in the field of</w:t>
            </w:r>
            <w:r>
              <w:rPr>
                <w:rFonts w:ascii="Times New Roman" w:hAnsi="Times New Roman"/>
              </w:rPr>
              <w:t>: information and advisory activities for adults (also in secondary education, which proved to be understaffed within the framework of the international project); validations; the assessment and development of quality in adult education, and professional and development tasks in the field of lifelong career orientation in higher professional education with the aim of greater employability of graduates, enhancing the importance of lifelong education, cooperation between higher professional schools and employers, keeping records, etc. The measure also addresses the implementation of training to empower employees in SMEs in particular, which have few resources intended for training or little knowledge to deal with rapid changes in the market. The purpose of such training will be to develop and enhance the competences required to successfully enter the labour market with the aim of increasing awareness of lifelong learning and lifelong career orientation.</w:t>
            </w:r>
          </w:p>
          <w:p w14:paraId="51D8D939" w14:textId="77777777" w:rsidR="00DD13BF" w:rsidRPr="00021BC4" w:rsidRDefault="00DD13BF" w:rsidP="00355A56">
            <w:pPr>
              <w:pStyle w:val="Odstavekseznama"/>
              <w:ind w:left="720"/>
              <w:jc w:val="both"/>
            </w:pPr>
          </w:p>
          <w:p w14:paraId="071231E8" w14:textId="77777777" w:rsidR="00DD13BF" w:rsidRPr="005645C8" w:rsidRDefault="00DD13BF" w:rsidP="00DD13BF">
            <w:pPr>
              <w:pStyle w:val="Odstavekseznama"/>
              <w:widowControl/>
              <w:numPr>
                <w:ilvl w:val="0"/>
                <w:numId w:val="35"/>
              </w:numPr>
              <w:autoSpaceDE/>
              <w:autoSpaceDN/>
              <w:jc w:val="both"/>
              <w:rPr>
                <w:rFonts w:ascii="Times New Roman" w:hAnsi="Times New Roman"/>
              </w:rPr>
            </w:pPr>
            <w:r>
              <w:rPr>
                <w:rFonts w:ascii="Times New Roman" w:hAnsi="Times New Roman"/>
                <w:i/>
                <w:iCs/>
              </w:rPr>
              <w:lastRenderedPageBreak/>
              <w:t>Measures to obtain secondary school education and a new occupation for different levels, qualifications and reskilling, professional development and training, acquiring and increasing literacy level and basic abilities, and improving general education, including digital and other key competences for LLL</w:t>
            </w:r>
            <w:r>
              <w:rPr>
                <w:rFonts w:ascii="Times New Roman" w:hAnsi="Times New Roman"/>
              </w:rPr>
              <w:t>:</w:t>
            </w:r>
          </w:p>
          <w:p w14:paraId="60114EB9" w14:textId="77777777" w:rsidR="00DD13BF" w:rsidRPr="00B32726" w:rsidRDefault="00DD13BF" w:rsidP="00DD13BF">
            <w:pPr>
              <w:pStyle w:val="Odstavekseznama"/>
              <w:widowControl/>
              <w:numPr>
                <w:ilvl w:val="1"/>
                <w:numId w:val="35"/>
              </w:numPr>
              <w:autoSpaceDE/>
              <w:autoSpaceDN/>
              <w:jc w:val="both"/>
              <w:rPr>
                <w:rFonts w:ascii="Times New Roman" w:hAnsi="Times New Roman"/>
              </w:rPr>
            </w:pPr>
            <w:r>
              <w:rPr>
                <w:rFonts w:ascii="Times New Roman" w:hAnsi="Times New Roman"/>
              </w:rPr>
              <w:t>Developing and implementing programmes for various target groups of adults, which ensure the acquisition and improvement of literacy level and basic abilities, and the improvement of general education for employment or more efficient performance of work, personal development, active citizenship, green transition and social inclusion, with an emphasis on less educated persons, adults with a lack of skills and elderly people. The measure will contribute to greater involvement of adults in LLL and improve the competences that individuals need for the labour market. The measure will facilitate the flexibility of the programmes in relation to excess work supply (complementarity with the RRP: increasing literacy level and basic abilities by implementing training in accordance with new public programmes in the field of financial literacy).</w:t>
            </w:r>
          </w:p>
          <w:p w14:paraId="1305E6F3" w14:textId="77777777" w:rsidR="00DD13BF" w:rsidRPr="005645C8" w:rsidRDefault="00DD13BF" w:rsidP="00DD13BF">
            <w:pPr>
              <w:pStyle w:val="Odstavekseznama"/>
              <w:widowControl/>
              <w:numPr>
                <w:ilvl w:val="1"/>
                <w:numId w:val="35"/>
              </w:numPr>
              <w:autoSpaceDE/>
              <w:autoSpaceDN/>
              <w:jc w:val="both"/>
              <w:rPr>
                <w:rFonts w:ascii="Times New Roman" w:hAnsi="Times New Roman"/>
              </w:rPr>
            </w:pPr>
            <w:r>
              <w:rPr>
                <w:rFonts w:ascii="Times New Roman" w:hAnsi="Times New Roman"/>
              </w:rPr>
              <w:t>Developing and implementing programmes of further vocational education and training, taking into account employment trends or labour market needs, technological development, green transition, social changes, etc. The measures will primarily include training and upskilling programmes, and study upskilling programmes in accordance with the Bases for the preparation of education programmes of lower and secondary vocational education, and programmes of secondary professional education and the Bases for the preparation of higher education study programmes; programmes of further professional upskilling to upgrade the competences of employees with specific knowledge and labour needs. The measure will also include training and upskilling programmes for employees in the public sector with an emphasis on training managers and other public employees to reduce the gap in the field of basic and professional competences to solve the challenges of the future. It will also include programmes prepared by schools for enterprises or together with enterprises. By joining the said programmes, the participants will be provided with many opportunities to improve basic and professional competences, for greater employability and mobility between fields of work, and personal development, and to function in modern society.</w:t>
            </w:r>
          </w:p>
          <w:p w14:paraId="6479C6A7" w14:textId="77777777" w:rsidR="00DD13BF" w:rsidRPr="002A2DA8" w:rsidRDefault="00DD13BF" w:rsidP="00DD13BF">
            <w:pPr>
              <w:pStyle w:val="Odstavekseznama"/>
              <w:widowControl/>
              <w:numPr>
                <w:ilvl w:val="1"/>
                <w:numId w:val="35"/>
              </w:numPr>
              <w:autoSpaceDE/>
              <w:autoSpaceDN/>
              <w:jc w:val="both"/>
              <w:rPr>
                <w:rFonts w:ascii="Times New Roman" w:hAnsi="Times New Roman" w:cs="Times New Roman"/>
              </w:rPr>
            </w:pPr>
            <w:r>
              <w:rPr>
                <w:rFonts w:ascii="Times New Roman" w:hAnsi="Times New Roman"/>
              </w:rPr>
              <w:t>Encouraging adults to raise their educational level to the secondary and higher education level, which facilitates the acquisition of vocational, professional and higher education, including the acquisition of a new title of vocational and professional education (reskilling) at various levels with an emphasis on shortage occupations. The measure will raise the educational level of the population (complementarity with systemic regulation: primary school level is provided as part of the public service in adult education). This will contribute to the objectives of the European Pillar of Social Rights Action Plan and facilitate a more flexible filling of the redundant positions that will become available.</w:t>
            </w:r>
          </w:p>
          <w:p w14:paraId="2EC6CE5C" w14:textId="77777777" w:rsidR="00DD13BF" w:rsidRDefault="00DD13BF" w:rsidP="00DD13BF">
            <w:pPr>
              <w:pStyle w:val="Odstavekseznama"/>
              <w:widowControl/>
              <w:numPr>
                <w:ilvl w:val="1"/>
                <w:numId w:val="35"/>
              </w:numPr>
              <w:autoSpaceDE/>
              <w:autoSpaceDN/>
              <w:jc w:val="both"/>
              <w:rPr>
                <w:rFonts w:ascii="Times New Roman" w:hAnsi="Times New Roman" w:cs="Times New Roman"/>
              </w:rPr>
            </w:pPr>
            <w:r>
              <w:rPr>
                <w:rFonts w:ascii="Times New Roman" w:hAnsi="Times New Roman"/>
              </w:rPr>
              <w:t xml:space="preserve">Strengthening the competences of young people for greater employability and active citizenship through quality youth work: the key project activity is the implementation of training to strengthen the competences of young people between 15 and 29 years of age for greater employability and active citizenship, which will be carried out by organisations in the youth sector. Innovative forms of youth work will be promoted, which will have wider effects in the field of quality youth work and youth policy, and young people not in education, employment, or training (NEET) will also be encouraged to participate in the activities. The results from the 2014–2020 period show that young people improved their employability and active citizenship with the competences acquired in past comparable measures. </w:t>
            </w:r>
          </w:p>
          <w:p w14:paraId="1BE76329" w14:textId="77777777" w:rsidR="00DD13BF" w:rsidRDefault="00DD13BF" w:rsidP="00355A56">
            <w:pPr>
              <w:pStyle w:val="Odstavekseznama"/>
              <w:ind w:left="747"/>
              <w:jc w:val="both"/>
              <w:rPr>
                <w:rFonts w:ascii="Times New Roman" w:eastAsia="Times New Roman" w:hAnsi="Times New Roman" w:cs="Times New Roman"/>
              </w:rPr>
            </w:pPr>
            <w:r>
              <w:rPr>
                <w:rFonts w:ascii="Times New Roman" w:hAnsi="Times New Roman"/>
              </w:rPr>
              <w:t xml:space="preserve">Employers and participants involved in the measures in the 2014-2020 period recognised the positive effects of the measures. The </w:t>
            </w:r>
            <w:r>
              <w:rPr>
                <w:rFonts w:ascii="Times New Roman" w:hAnsi="Times New Roman"/>
              </w:rPr>
              <w:lastRenderedPageBreak/>
              <w:t>interim evaluation showed that employees need specific skills, such as digitisation, artificial intelligence, smart production, green jobs, etc. Therefore, measures will continue in the 2021–2027 period, and contribute to the greater involvement of adults in LLL and the improvement of the competencies adults need for the labour market, their personal development, active citizenship, green transition, and social inclusion.</w:t>
            </w:r>
          </w:p>
          <w:p w14:paraId="16D3D72A" w14:textId="77777777" w:rsidR="00DD13BF" w:rsidRPr="005D727E" w:rsidRDefault="00DD13BF" w:rsidP="00355A56">
            <w:pPr>
              <w:pStyle w:val="Odstavekseznama"/>
              <w:ind w:left="747"/>
              <w:jc w:val="both"/>
              <w:rPr>
                <w:rFonts w:ascii="Times New Roman" w:hAnsi="Times New Roman" w:cs="Times New Roman"/>
              </w:rPr>
            </w:pPr>
          </w:p>
          <w:p w14:paraId="57F233BC" w14:textId="77777777" w:rsidR="00DD13BF" w:rsidRPr="00021BC4" w:rsidRDefault="00DD13BF" w:rsidP="00DD13BF">
            <w:pPr>
              <w:pStyle w:val="Odstavekseznama"/>
              <w:widowControl/>
              <w:numPr>
                <w:ilvl w:val="0"/>
                <w:numId w:val="35"/>
              </w:numPr>
              <w:autoSpaceDE/>
              <w:autoSpaceDN/>
              <w:jc w:val="both"/>
              <w:rPr>
                <w:rFonts w:asciiTheme="minorHAnsi" w:hAnsiTheme="minorHAnsi"/>
                <w:i/>
              </w:rPr>
            </w:pPr>
            <w:r>
              <w:rPr>
                <w:rFonts w:ascii="Times New Roman" w:hAnsi="Times New Roman"/>
                <w:i/>
              </w:rPr>
              <w:t>Raising the quality of the adult education system, particularly in two intervention fields:</w:t>
            </w:r>
          </w:p>
          <w:p w14:paraId="01B78619" w14:textId="77777777" w:rsidR="00DD13BF" w:rsidRPr="002E7335" w:rsidRDefault="00DD13BF" w:rsidP="00DD13BF">
            <w:pPr>
              <w:pStyle w:val="Odstavekseznama"/>
              <w:widowControl/>
              <w:numPr>
                <w:ilvl w:val="1"/>
                <w:numId w:val="35"/>
              </w:numPr>
              <w:autoSpaceDE/>
              <w:autoSpaceDN/>
              <w:ind w:right="40"/>
              <w:jc w:val="both"/>
              <w:rPr>
                <w:rFonts w:ascii="Times New Roman" w:hAnsi="Times New Roman" w:cs="Times New Roman"/>
              </w:rPr>
            </w:pPr>
            <w:r>
              <w:rPr>
                <w:rFonts w:ascii="Times New Roman" w:hAnsi="Times New Roman"/>
              </w:rPr>
              <w:t>The development of e-materials, other materials and applications for programmes in vocational and professional, and adult education, including programmes for employees in the public sector: for the needs of acquiring basic, professional and key skills, the development of e-contents with various formats and accessibility options on the Internet (via portals, e-classrooms, platforms, applications, etc.) will be promoted. The lack of suitable e-materials and e-contents proved to be one of the crucial shortcomings during the COVID-19 epidemic, particularly in adult education.</w:t>
            </w:r>
          </w:p>
          <w:p w14:paraId="78A0158A" w14:textId="77777777" w:rsidR="00DD13BF" w:rsidRPr="007C113A" w:rsidRDefault="00DD13BF" w:rsidP="00DD13BF">
            <w:pPr>
              <w:pStyle w:val="Odstavekseznama"/>
              <w:widowControl/>
              <w:numPr>
                <w:ilvl w:val="1"/>
                <w:numId w:val="35"/>
              </w:numPr>
              <w:autoSpaceDE/>
              <w:autoSpaceDN/>
              <w:jc w:val="both"/>
              <w:rPr>
                <w:rFonts w:ascii="Times New Roman" w:hAnsi="Times New Roman"/>
              </w:rPr>
            </w:pPr>
            <w:r>
              <w:rPr>
                <w:rFonts w:ascii="Times New Roman" w:hAnsi="Times New Roman"/>
              </w:rPr>
              <w:t>Strengthening the competence of adult educators: the needs of adult educators for new competencies will be determined, national points for the training needs of adult educators will be established, their competences will be upgraded with a special emphasis on the digitisation of learning and education, sustainable development, new approaches to remote learning, ICT tools, etc. Complementary to the preceding indent, e-training programmes will be prepared, and learning materials and resources will be developed to support the e-training of adult educators, thereby strengthening their didactic and ICT skills. Furthermore, professional development of adult educators will also be provided through practice in various fields of target groups and with ICT support, and their career development and professional mobility will be promoted. When implementing the measure, cooperation with social partners, other ministries and non-governmental organisations at state and local levels will be enhanced.</w:t>
            </w:r>
          </w:p>
          <w:p w14:paraId="306752A3" w14:textId="77777777" w:rsidR="00DD13BF" w:rsidRDefault="00DD13BF" w:rsidP="00355A56">
            <w:pPr>
              <w:pStyle w:val="Odstavekseznama"/>
              <w:ind w:left="38"/>
              <w:jc w:val="both"/>
              <w:rPr>
                <w:rFonts w:ascii="Times New Roman" w:hAnsi="Times New Roman"/>
              </w:rPr>
            </w:pPr>
          </w:p>
          <w:p w14:paraId="06D9F93B" w14:textId="77777777" w:rsidR="00DD13BF" w:rsidRPr="00B32726" w:rsidRDefault="00DD13BF" w:rsidP="00355A56">
            <w:pPr>
              <w:pStyle w:val="Odstavekseznama"/>
              <w:ind w:left="38"/>
              <w:jc w:val="both"/>
              <w:rPr>
                <w:rFonts w:ascii="Times New Roman" w:hAnsi="Times New Roman"/>
              </w:rPr>
            </w:pPr>
            <w:r>
              <w:rPr>
                <w:rFonts w:ascii="Times New Roman" w:hAnsi="Times New Roman"/>
              </w:rP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399DBDA3" w14:textId="77777777" w:rsidR="00DD13BF" w:rsidRDefault="00DD13BF" w:rsidP="00DD13BF">
      <w:pPr>
        <w:ind w:left="1349"/>
        <w:rPr>
          <w:spacing w:val="-6"/>
        </w:rPr>
      </w:pPr>
    </w:p>
    <w:p w14:paraId="7380E077" w14:textId="77777777" w:rsidR="00DD13BF" w:rsidRDefault="00DD13BF" w:rsidP="00DD13BF">
      <w:pPr>
        <w:ind w:left="1349"/>
      </w:pPr>
      <w:r>
        <w:t>Main target groups:</w:t>
      </w:r>
    </w:p>
    <w:p w14:paraId="323035A9" w14:textId="77777777" w:rsidR="00DD13BF" w:rsidRDefault="00DD13BF" w:rsidP="00DD13BF">
      <w:pPr>
        <w:rPr>
          <w:sz w:val="17"/>
        </w:rPr>
      </w:pPr>
    </w:p>
    <w:tbl>
      <w:tblPr>
        <w:tblStyle w:val="Tabelamrea"/>
        <w:tblW w:w="11940" w:type="dxa"/>
        <w:tblInd w:w="1266" w:type="dxa"/>
        <w:tblLook w:val="04A0" w:firstRow="1" w:lastRow="0" w:firstColumn="1" w:lastColumn="0" w:noHBand="0" w:noVBand="1"/>
      </w:tblPr>
      <w:tblGrid>
        <w:gridCol w:w="11940"/>
      </w:tblGrid>
      <w:tr w:rsidR="00DD13BF" w:rsidRPr="00B3569A" w14:paraId="3B7C0654" w14:textId="77777777" w:rsidTr="00355A56">
        <w:tc>
          <w:tcPr>
            <w:tcW w:w="11940" w:type="dxa"/>
          </w:tcPr>
          <w:p w14:paraId="7E8754C1" w14:textId="77777777" w:rsidR="00DD13BF" w:rsidRPr="00AB3D7D" w:rsidRDefault="00DD13BF" w:rsidP="00355A56">
            <w:pPr>
              <w:rPr>
                <w:rFonts w:cstheme="minorHAnsi"/>
              </w:rPr>
            </w:pPr>
            <w:r>
              <w:t>Target groups are as follows:</w:t>
            </w:r>
          </w:p>
          <w:p w14:paraId="28CB7171" w14:textId="77777777" w:rsidR="00DD13BF" w:rsidRPr="00AB3D7D" w:rsidRDefault="00DD13BF" w:rsidP="00DD13BF">
            <w:pPr>
              <w:pStyle w:val="Odstavekseznama"/>
              <w:widowControl/>
              <w:numPr>
                <w:ilvl w:val="0"/>
                <w:numId w:val="57"/>
              </w:numPr>
              <w:autoSpaceDE/>
              <w:autoSpaceDN/>
              <w:ind w:left="747"/>
              <w:jc w:val="both"/>
              <w:rPr>
                <w:rFonts w:asciiTheme="minorHAnsi" w:eastAsiaTheme="minorEastAsia" w:hAnsiTheme="minorHAnsi" w:cstheme="minorBidi"/>
              </w:rPr>
            </w:pPr>
            <w:r>
              <w:rPr>
                <w:rFonts w:ascii="Times New Roman" w:hAnsi="Times New Roman"/>
              </w:rPr>
              <w:t>all adults with emphasis on vulnerable target groups (above 45 years of age, less educated, less qualified, migrants, prisoners, etc.);</w:t>
            </w:r>
          </w:p>
          <w:p w14:paraId="1FCBC34F" w14:textId="77777777" w:rsidR="00DD13BF" w:rsidRPr="00AB3D7D" w:rsidRDefault="00DD13BF" w:rsidP="00DD13BF">
            <w:pPr>
              <w:pStyle w:val="Odstavekseznama"/>
              <w:widowControl/>
              <w:numPr>
                <w:ilvl w:val="0"/>
                <w:numId w:val="57"/>
              </w:numPr>
              <w:autoSpaceDE/>
              <w:autoSpaceDN/>
              <w:ind w:left="747"/>
              <w:jc w:val="both"/>
              <w:rPr>
                <w:rFonts w:ascii="Times New Roman" w:hAnsi="Times New Roman"/>
              </w:rPr>
            </w:pPr>
            <w:r>
              <w:rPr>
                <w:rFonts w:ascii="Times New Roman" w:hAnsi="Times New Roman"/>
              </w:rPr>
              <w:t>adults who require upskilling or training, qualifications or reskilling due to the needs of the labour market or the workplace;</w:t>
            </w:r>
          </w:p>
          <w:p w14:paraId="67107D92" w14:textId="77777777" w:rsidR="00DD13BF" w:rsidRPr="00AB3D7D" w:rsidRDefault="00DD13BF" w:rsidP="00DD13BF">
            <w:pPr>
              <w:pStyle w:val="Odstavekseznama"/>
              <w:widowControl/>
              <w:numPr>
                <w:ilvl w:val="0"/>
                <w:numId w:val="57"/>
              </w:numPr>
              <w:autoSpaceDE/>
              <w:autoSpaceDN/>
              <w:ind w:left="747"/>
              <w:jc w:val="both"/>
              <w:rPr>
                <w:rFonts w:ascii="Times New Roman" w:hAnsi="Times New Roman"/>
              </w:rPr>
            </w:pPr>
            <w:r>
              <w:rPr>
                <w:rFonts w:ascii="Times New Roman" w:hAnsi="Times New Roman"/>
              </w:rPr>
              <w:t>individuals between 15 and 29 years of age to develop the competences they need for better employability (including in the field of culture and art) and active citizenship.</w:t>
            </w:r>
            <w:r>
              <w:t xml:space="preserve"> </w:t>
            </w:r>
          </w:p>
          <w:p w14:paraId="7EAE3C00" w14:textId="77777777" w:rsidR="00DD13BF" w:rsidRPr="00AB3D7D" w:rsidRDefault="00DD13BF" w:rsidP="00355A56">
            <w:pPr>
              <w:pStyle w:val="Odstavekseznama"/>
              <w:ind w:left="720"/>
              <w:jc w:val="both"/>
              <w:rPr>
                <w:rFonts w:ascii="Times New Roman" w:hAnsi="Times New Roman" w:cs="Times New Roman"/>
              </w:rPr>
            </w:pPr>
          </w:p>
          <w:p w14:paraId="7D40D6C4" w14:textId="77777777" w:rsidR="00DD13BF" w:rsidRPr="001326C8" w:rsidRDefault="00DD13BF" w:rsidP="00355A56">
            <w:pPr>
              <w:pStyle w:val="Odstavekseznama"/>
              <w:ind w:left="0"/>
              <w:jc w:val="both"/>
              <w:rPr>
                <w:rFonts w:ascii="Times New Roman" w:hAnsi="Times New Roman"/>
              </w:rPr>
            </w:pPr>
            <w:r>
              <w:rPr>
                <w:rFonts w:ascii="Times New Roman" w:hAnsi="Times New Roman"/>
              </w:rPr>
              <w:t xml:space="preserve">Beneficiaries: educational organisations (public adult education organisations, secondary schools, higher professional schools, inter-company training centres, private organisations), communities and associations in the field of education and training, NGOs and their </w:t>
            </w:r>
            <w:r>
              <w:rPr>
                <w:rFonts w:ascii="Times New Roman" w:hAnsi="Times New Roman"/>
              </w:rPr>
              <w:lastRenderedPageBreak/>
              <w:t>associations, organisations in the youth sector, the Slovenian Institute of Adult Education, the Institute of the Republic of Slovenia for Vocational Education and Training, JŠRIPS, Judicial Training Centre, the Constitutional Court of the Republic of Slovenia, the Administration Academy, social partners and other institutions that will be recognised as beneficiaries in accordance with the legislation or relevant selection procedures.</w:t>
            </w:r>
          </w:p>
        </w:tc>
      </w:tr>
    </w:tbl>
    <w:p w14:paraId="200B985D" w14:textId="77777777" w:rsidR="00DD13BF" w:rsidRPr="006B7178" w:rsidRDefault="00DD13BF" w:rsidP="00DD13BF">
      <w:pPr>
        <w:ind w:left="1349"/>
      </w:pPr>
    </w:p>
    <w:p w14:paraId="77E0E513" w14:textId="77777777" w:rsidR="00DD13BF" w:rsidRDefault="00DD13BF" w:rsidP="00DD13BF">
      <w:pPr>
        <w:ind w:left="1349"/>
        <w:rPr>
          <w:spacing w:val="-2"/>
        </w:rPr>
      </w:pPr>
      <w:r>
        <w:t>Measures to protect equality, inclusion and non-discrimination:</w:t>
      </w:r>
    </w:p>
    <w:p w14:paraId="09C0FA13"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13B6B2FB" w14:textId="77777777" w:rsidTr="00355A56">
        <w:tc>
          <w:tcPr>
            <w:tcW w:w="12715" w:type="dxa"/>
          </w:tcPr>
          <w:p w14:paraId="4B465B3B" w14:textId="77777777" w:rsidR="00DD13BF" w:rsidRPr="00E94202" w:rsidRDefault="00DD13BF" w:rsidP="00355A56">
            <w:pPr>
              <w:jc w:val="both"/>
              <w:rPr>
                <w:rFonts w:cs="Calibri"/>
              </w:rPr>
            </w:pPr>
            <w:r>
              <w:t>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This principle will also be taken into account within the framework of the management and control system. The Monitoring Committee will be notified of any identified discrepancies at least once a year.</w:t>
            </w:r>
          </w:p>
          <w:p w14:paraId="6526C657" w14:textId="77777777" w:rsidR="00DD13BF" w:rsidRDefault="00DD13BF" w:rsidP="00355A56">
            <w:pPr>
              <w:jc w:val="both"/>
              <w:rPr>
                <w:rFonts w:cstheme="minorHAnsi"/>
              </w:rPr>
            </w:pPr>
          </w:p>
          <w:p w14:paraId="1B93E4A1" w14:textId="77777777" w:rsidR="00DD13BF" w:rsidRPr="00B3569A" w:rsidRDefault="00DD13BF" w:rsidP="00355A56">
            <w:pPr>
              <w:jc w:val="both"/>
              <w:rPr>
                <w:rFonts w:cstheme="minorHAnsi"/>
              </w:rPr>
            </w:pPr>
            <w:r>
              <w:t>In accordance with the principles of public interest in adult education and with the vision of the Resolution on the National Programme of Adult Education in the Republic of Slovenia 2021-2030 (Official Gazette of the Republic of Slovenia [</w:t>
            </w:r>
            <w:r>
              <w:rPr>
                <w:i/>
                <w:iCs/>
              </w:rPr>
              <w:t>Uradni list RS</w:t>
            </w:r>
            <w:r>
              <w:t>], No. 49/22), all adult residents of Slovenia will have, at all stages of their lives, the same opportunities and incentives for quality learning and education for their holistic development and coexistence with nature. Experience from the 2014–2020 programming period shows that the need for education and training is present not only among elderly people and less educated persons, but also among other target groups, for example among individuals with higher education, who nevertheless have lower abilities in certain areas (e.g. digital literacy); therefore, the measures in the programme are intended to provide all adults with an opportunity to participate in education with attention given to the aspect of gender equality. Individual measures will be used to emphasise access for people with fewer opportunities, but the measures will be aimed at the involvement of all adults.</w:t>
            </w:r>
          </w:p>
        </w:tc>
      </w:tr>
    </w:tbl>
    <w:p w14:paraId="62FD0D64" w14:textId="77777777" w:rsidR="00DD13BF" w:rsidRDefault="00DD13BF" w:rsidP="00DD13BF">
      <w:pPr>
        <w:rPr>
          <w:sz w:val="20"/>
        </w:rPr>
      </w:pPr>
    </w:p>
    <w:p w14:paraId="20F796BD" w14:textId="77777777" w:rsidR="00DD13BF" w:rsidRDefault="00DD13BF" w:rsidP="00DD13BF">
      <w:pPr>
        <w:ind w:left="1415"/>
        <w:rPr>
          <w:spacing w:val="-4"/>
        </w:rPr>
      </w:pPr>
      <w:r>
        <w:t>Indication of the specific territories targeted, including the planned use of territorial tools:</w:t>
      </w:r>
    </w:p>
    <w:p w14:paraId="555E893B"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346943EC" w14:textId="77777777" w:rsidTr="00355A56">
        <w:tc>
          <w:tcPr>
            <w:tcW w:w="12763" w:type="dxa"/>
          </w:tcPr>
          <w:p w14:paraId="26C37B98" w14:textId="77777777" w:rsidR="00DD13BF" w:rsidRPr="00B3569A" w:rsidRDefault="00DD13BF" w:rsidP="00355A56">
            <w:pPr>
              <w:rPr>
                <w:rFonts w:cstheme="minorHAnsi"/>
              </w:rPr>
            </w:pPr>
            <w:r>
              <w:t>Under this specific objective, the use of territorial tools is not foreseen.</w:t>
            </w:r>
          </w:p>
        </w:tc>
      </w:tr>
    </w:tbl>
    <w:p w14:paraId="455F7612" w14:textId="77777777" w:rsidR="00DD13BF" w:rsidRDefault="00DD13BF" w:rsidP="00DD13BF">
      <w:pPr>
        <w:rPr>
          <w:sz w:val="18"/>
        </w:rPr>
      </w:pPr>
    </w:p>
    <w:p w14:paraId="7A41795C" w14:textId="77777777" w:rsidR="00DD13BF" w:rsidRDefault="00DD13BF" w:rsidP="00DD13BF">
      <w:pPr>
        <w:ind w:left="1415"/>
      </w:pPr>
      <w:r>
        <w:t>The interregional, cross-border and transnational actions:</w:t>
      </w:r>
    </w:p>
    <w:p w14:paraId="3CD9C30C"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FAD74CB" w14:textId="77777777" w:rsidTr="00355A56">
        <w:tc>
          <w:tcPr>
            <w:tcW w:w="12763" w:type="dxa"/>
          </w:tcPr>
          <w:p w14:paraId="091C6A52" w14:textId="77777777" w:rsidR="00DD13BF" w:rsidRDefault="00DD13BF" w:rsidP="00355A56">
            <w:pPr>
              <w:jc w:val="both"/>
              <w:rPr>
                <w:rFonts w:cstheme="minorHAnsi"/>
              </w:rPr>
            </w:pPr>
            <w:r>
              <w:t>Investments in increased involvement in lifelong training will also contribute to measures within macro-regions. The activities will be logically combined with activities in various cross-border programmes (particularly ISO build up mutual trust by promoting measures related to people-</w:t>
            </w:r>
            <w:r>
              <w:lastRenderedPageBreak/>
              <w:t>to-people projects).</w:t>
            </w:r>
          </w:p>
          <w:p w14:paraId="22277FCB" w14:textId="77777777" w:rsidR="00DD13BF" w:rsidRDefault="00DD13BF" w:rsidP="00355A56">
            <w:pPr>
              <w:jc w:val="both"/>
              <w:rPr>
                <w:rFonts w:cstheme="minorHAnsi"/>
              </w:rPr>
            </w:pPr>
          </w:p>
          <w:p w14:paraId="605E4478" w14:textId="77777777" w:rsidR="00DD13BF" w:rsidRDefault="00DD13BF" w:rsidP="00355A56">
            <w:pPr>
              <w:jc w:val="both"/>
              <w:rPr>
                <w:rFonts w:cstheme="minorHAnsi"/>
              </w:rPr>
            </w:pPr>
            <w:r>
              <w:t>The measures planned in the field of LLL will stimulate individual learners to be included in LLL, thus empowering them to decide to take part in Erasmus+ programmes. This will help to provide individuals with a variety of learning opportunities. The planned measures will also have an impact on the personnel in adult education and education providers, who could make more informed decisions on the internationalisation and institutional development of adult education providers and other organisations active in the field of adult education, which is made possible by the Erasmus+ programme.</w:t>
            </w:r>
          </w:p>
          <w:p w14:paraId="1B759280" w14:textId="77777777" w:rsidR="00DD13BF" w:rsidRDefault="00DD13BF" w:rsidP="00355A56">
            <w:pPr>
              <w:jc w:val="both"/>
              <w:rPr>
                <w:rFonts w:cstheme="minorHAnsi"/>
              </w:rPr>
            </w:pPr>
          </w:p>
          <w:p w14:paraId="0882095A" w14:textId="77777777" w:rsidR="00DD13BF" w:rsidRPr="00B3569A" w:rsidRDefault="00DD13BF" w:rsidP="00355A56">
            <w:pPr>
              <w:jc w:val="both"/>
              <w:rPr>
                <w:rFonts w:cstheme="minorHAnsi"/>
              </w:rPr>
            </w:pPr>
            <w:r>
              <w:t>The content of the measures planned under the specific objective coincide with, and support, the planned flagships of the EU Strategy for the Adriatic-Ionian Region (EUSAIR) Therefore, within the framework of the flagship projects “Promotion, sustainability and competitiveness in fisheries through education, research and development” and “Support, coordination for the improvement of marinas and blue growth services”, measures to develop skills, and improve the level of skills and expertise for the maritime sector workforce will be supported.</w:t>
            </w:r>
          </w:p>
        </w:tc>
      </w:tr>
    </w:tbl>
    <w:p w14:paraId="3C668B4E" w14:textId="77777777" w:rsidR="00DD13BF" w:rsidRDefault="00DD13BF" w:rsidP="00DD13BF">
      <w:pPr>
        <w:rPr>
          <w:sz w:val="17"/>
        </w:rPr>
      </w:pPr>
    </w:p>
    <w:p w14:paraId="44FAF70B" w14:textId="77777777" w:rsidR="00DD13BF" w:rsidRDefault="00DD13BF" w:rsidP="00DD13BF">
      <w:pPr>
        <w:ind w:left="1415"/>
        <w:rPr>
          <w:spacing w:val="-3"/>
        </w:rPr>
      </w:pPr>
      <w:r>
        <w:t>Planned use of financial instruments:</w:t>
      </w:r>
    </w:p>
    <w:p w14:paraId="6AE43450"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5C32C07C" w14:textId="77777777" w:rsidTr="00355A56">
        <w:trPr>
          <w:trHeight w:val="176"/>
        </w:trPr>
        <w:tc>
          <w:tcPr>
            <w:tcW w:w="12758" w:type="dxa"/>
          </w:tcPr>
          <w:p w14:paraId="4FB7E0AA"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The intended beneficiaries of the planned measures are organisations in education (public organisations for adult education, secondary schools, higher professional schools, inter-company training centres, communities and associations in education, non-governmental organisations and their associations, organisations in the youth sector, the Slovenian Institute of Adult Education, the Institute of the Republic of Slovenia for Vocational Education and Training, Public Scholarship, Development, Disability and Maintenance Fund), which, as a rule, do not have market activity or it is very limited and dedicated, therefore, they cannot borrow money on the market.</w:t>
            </w:r>
          </w:p>
        </w:tc>
      </w:tr>
    </w:tbl>
    <w:p w14:paraId="220F3003" w14:textId="77777777" w:rsidR="00DD13BF" w:rsidRDefault="00DD13BF" w:rsidP="00DD13BF">
      <w:pPr>
        <w:rPr>
          <w:sz w:val="20"/>
        </w:rPr>
      </w:pPr>
    </w:p>
    <w:p w14:paraId="3BB1AA33" w14:textId="77777777" w:rsidR="00DD13BF" w:rsidRDefault="00DD13BF" w:rsidP="00DD13BF">
      <w:pPr>
        <w:rPr>
          <w:sz w:val="20"/>
        </w:rPr>
      </w:pPr>
    </w:p>
    <w:p w14:paraId="29DB2877" w14:textId="77777777" w:rsidR="00DD13BF" w:rsidRDefault="00DD13BF" w:rsidP="00DD13BF">
      <w:pPr>
        <w:pStyle w:val="Naslov5"/>
        <w:spacing w:before="0"/>
      </w:pPr>
      <w:r>
        <w:t>Indicators</w:t>
      </w:r>
    </w:p>
    <w:p w14:paraId="57AC3113" w14:textId="77777777" w:rsidR="00DD13BF" w:rsidRDefault="00DD13BF" w:rsidP="00DD13BF"/>
    <w:p w14:paraId="03E38990" w14:textId="77777777" w:rsidR="00DD13BF" w:rsidRDefault="00DD13BF" w:rsidP="00DD13BF">
      <w:pPr>
        <w:ind w:left="379"/>
      </w:pPr>
      <w:r>
        <w:t>Table 2: Impact indicators</w:t>
      </w:r>
    </w:p>
    <w:p w14:paraId="4B20FCC1" w14:textId="77777777" w:rsidR="00DD13BF" w:rsidRDefault="00DD13BF" w:rsidP="00DD13BF">
      <w:pPr>
        <w:rPr>
          <w:sz w:val="21"/>
        </w:rPr>
      </w:pPr>
    </w:p>
    <w:tbl>
      <w:tblPr>
        <w:tblStyle w:val="NormalTable0"/>
        <w:tblW w:w="13600"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4"/>
        <w:gridCol w:w="1417"/>
        <w:gridCol w:w="708"/>
        <w:gridCol w:w="1701"/>
        <w:gridCol w:w="778"/>
        <w:gridCol w:w="3334"/>
        <w:gridCol w:w="1276"/>
        <w:gridCol w:w="1418"/>
        <w:gridCol w:w="1134"/>
      </w:tblGrid>
      <w:tr w:rsidR="00DD13BF" w14:paraId="4558E060" w14:textId="77777777" w:rsidTr="00355A56">
        <w:trPr>
          <w:trHeight w:val="254"/>
        </w:trPr>
        <w:tc>
          <w:tcPr>
            <w:tcW w:w="1834" w:type="dxa"/>
            <w:vAlign w:val="center"/>
          </w:tcPr>
          <w:p w14:paraId="4B8D4EBB" w14:textId="77777777" w:rsidR="00DD13BF" w:rsidRDefault="00DD13BF" w:rsidP="00355A56">
            <w:pPr>
              <w:pStyle w:val="TableParagraph"/>
              <w:ind w:right="82"/>
            </w:pPr>
            <w:r>
              <w:t>Priority</w:t>
            </w:r>
          </w:p>
        </w:tc>
        <w:tc>
          <w:tcPr>
            <w:tcW w:w="1417" w:type="dxa"/>
            <w:vAlign w:val="center"/>
          </w:tcPr>
          <w:p w14:paraId="071234E1" w14:textId="77777777" w:rsidR="00DD13BF" w:rsidRDefault="00DD13BF" w:rsidP="00355A56">
            <w:pPr>
              <w:pStyle w:val="TableParagraph"/>
            </w:pPr>
            <w:r>
              <w:t>Specific objective</w:t>
            </w:r>
          </w:p>
        </w:tc>
        <w:tc>
          <w:tcPr>
            <w:tcW w:w="708" w:type="dxa"/>
            <w:vAlign w:val="center"/>
          </w:tcPr>
          <w:p w14:paraId="60834027" w14:textId="77777777" w:rsidR="00DD13BF" w:rsidRDefault="00DD13BF" w:rsidP="00355A56">
            <w:pPr>
              <w:pStyle w:val="TableParagraph"/>
            </w:pPr>
            <w:r>
              <w:t>Fund</w:t>
            </w:r>
          </w:p>
        </w:tc>
        <w:tc>
          <w:tcPr>
            <w:tcW w:w="1701" w:type="dxa"/>
            <w:vAlign w:val="center"/>
          </w:tcPr>
          <w:p w14:paraId="2640FCA6" w14:textId="77777777" w:rsidR="00DD13BF" w:rsidRDefault="00DD13BF" w:rsidP="00355A56">
            <w:pPr>
              <w:pStyle w:val="TableParagraph"/>
            </w:pPr>
            <w:r>
              <w:t>Category of region</w:t>
            </w:r>
          </w:p>
        </w:tc>
        <w:tc>
          <w:tcPr>
            <w:tcW w:w="778" w:type="dxa"/>
            <w:vAlign w:val="center"/>
          </w:tcPr>
          <w:p w14:paraId="26293609" w14:textId="77777777" w:rsidR="00DD13BF" w:rsidRPr="00347461" w:rsidRDefault="00DD13BF" w:rsidP="00355A56">
            <w:pPr>
              <w:pStyle w:val="TableParagraph"/>
              <w:rPr>
                <w:sz w:val="20"/>
              </w:rPr>
            </w:pPr>
            <w:r>
              <w:t>ID</w:t>
            </w:r>
          </w:p>
        </w:tc>
        <w:tc>
          <w:tcPr>
            <w:tcW w:w="3334" w:type="dxa"/>
            <w:vAlign w:val="center"/>
          </w:tcPr>
          <w:p w14:paraId="160AC6EC" w14:textId="77777777" w:rsidR="00DD13BF" w:rsidRPr="00347461" w:rsidRDefault="00DD13BF" w:rsidP="00355A56">
            <w:pPr>
              <w:pStyle w:val="TableParagraph"/>
              <w:rPr>
                <w:sz w:val="20"/>
              </w:rPr>
            </w:pPr>
            <w:r>
              <w:t>Indicators</w:t>
            </w:r>
          </w:p>
        </w:tc>
        <w:tc>
          <w:tcPr>
            <w:tcW w:w="1276" w:type="dxa"/>
            <w:vAlign w:val="center"/>
          </w:tcPr>
          <w:p w14:paraId="367E026F" w14:textId="77777777" w:rsidR="00DD13BF" w:rsidRPr="00347461" w:rsidRDefault="00DD13BF" w:rsidP="00355A56">
            <w:pPr>
              <w:pStyle w:val="TableParagraph"/>
              <w:rPr>
                <w:sz w:val="20"/>
              </w:rPr>
            </w:pPr>
            <w:r>
              <w:t>Measurement unit</w:t>
            </w:r>
          </w:p>
        </w:tc>
        <w:tc>
          <w:tcPr>
            <w:tcW w:w="1418" w:type="dxa"/>
            <w:vAlign w:val="center"/>
          </w:tcPr>
          <w:p w14:paraId="1B3026BB" w14:textId="77777777" w:rsidR="00DD13BF" w:rsidRPr="00347461" w:rsidRDefault="00DD13BF" w:rsidP="00355A56">
            <w:pPr>
              <w:pStyle w:val="TableParagraph"/>
              <w:rPr>
                <w:sz w:val="20"/>
              </w:rPr>
            </w:pPr>
            <w:r>
              <w:t>Milestone (2014)</w:t>
            </w:r>
          </w:p>
        </w:tc>
        <w:tc>
          <w:tcPr>
            <w:tcW w:w="1134" w:type="dxa"/>
            <w:vAlign w:val="center"/>
          </w:tcPr>
          <w:p w14:paraId="214A9593" w14:textId="77777777" w:rsidR="00DD13BF" w:rsidRDefault="00DD13BF" w:rsidP="00355A56">
            <w:pPr>
              <w:pStyle w:val="TableParagraph"/>
            </w:pPr>
            <w:r>
              <w:t>Target (2029)</w:t>
            </w:r>
          </w:p>
        </w:tc>
      </w:tr>
      <w:tr w:rsidR="00DD13BF" w14:paraId="067C966B" w14:textId="77777777" w:rsidTr="00355A56">
        <w:trPr>
          <w:trHeight w:val="367"/>
        </w:trPr>
        <w:tc>
          <w:tcPr>
            <w:tcW w:w="1834" w:type="dxa"/>
          </w:tcPr>
          <w:p w14:paraId="7DA490A6" w14:textId="77777777" w:rsidR="00DD13BF" w:rsidRDefault="00DD13BF" w:rsidP="00355A56">
            <w:pPr>
              <w:pStyle w:val="TableParagraph"/>
              <w:rPr>
                <w:sz w:val="20"/>
              </w:rPr>
            </w:pPr>
            <w:r>
              <w:rPr>
                <w:sz w:val="20"/>
              </w:rPr>
              <w:t>6</w:t>
            </w:r>
          </w:p>
        </w:tc>
        <w:tc>
          <w:tcPr>
            <w:tcW w:w="1417" w:type="dxa"/>
          </w:tcPr>
          <w:p w14:paraId="2D4E1EFA" w14:textId="77777777" w:rsidR="00DD13BF" w:rsidRDefault="00DD13BF" w:rsidP="00355A56">
            <w:pPr>
              <w:pStyle w:val="TableParagraph"/>
              <w:rPr>
                <w:sz w:val="20"/>
              </w:rPr>
            </w:pPr>
            <w:r>
              <w:rPr>
                <w:color w:val="000000"/>
                <w:sz w:val="20"/>
              </w:rPr>
              <w:t>ESO4.7</w:t>
            </w:r>
          </w:p>
        </w:tc>
        <w:tc>
          <w:tcPr>
            <w:tcW w:w="708" w:type="dxa"/>
          </w:tcPr>
          <w:p w14:paraId="29071B3D" w14:textId="77777777" w:rsidR="00DD13BF" w:rsidRPr="00DA2F76" w:rsidRDefault="00DD13BF" w:rsidP="00355A56">
            <w:pPr>
              <w:pStyle w:val="TableParagraph"/>
              <w:rPr>
                <w:sz w:val="20"/>
              </w:rPr>
            </w:pPr>
            <w:r>
              <w:rPr>
                <w:sz w:val="20"/>
              </w:rPr>
              <w:t>ESF+</w:t>
            </w:r>
          </w:p>
        </w:tc>
        <w:tc>
          <w:tcPr>
            <w:tcW w:w="1701" w:type="dxa"/>
          </w:tcPr>
          <w:p w14:paraId="10ACB267" w14:textId="77777777" w:rsidR="00DD13BF" w:rsidRDefault="00DD13BF" w:rsidP="00355A56">
            <w:pPr>
              <w:pStyle w:val="TableParagraph"/>
              <w:rPr>
                <w:sz w:val="20"/>
              </w:rPr>
            </w:pPr>
            <w:r>
              <w:rPr>
                <w:sz w:val="20"/>
              </w:rPr>
              <w:t>Less developed</w:t>
            </w:r>
          </w:p>
        </w:tc>
        <w:tc>
          <w:tcPr>
            <w:tcW w:w="778" w:type="dxa"/>
          </w:tcPr>
          <w:p w14:paraId="4C44D895" w14:textId="77777777" w:rsidR="00DD13BF" w:rsidRDefault="00DD13BF" w:rsidP="00355A56">
            <w:pPr>
              <w:pStyle w:val="TableParagraph"/>
              <w:rPr>
                <w:sz w:val="20"/>
              </w:rPr>
            </w:pPr>
            <w:commentRangeStart w:id="48"/>
            <w:r>
              <w:rPr>
                <w:sz w:val="20"/>
              </w:rPr>
              <w:t>EECO01</w:t>
            </w:r>
            <w:commentRangeEnd w:id="48"/>
            <w:r>
              <w:rPr>
                <w:rStyle w:val="Pripombasklic"/>
                <w:rFonts w:asciiTheme="minorHAnsi" w:eastAsiaTheme="minorHAnsi" w:hAnsiTheme="minorHAnsi" w:cstheme="minorBidi"/>
              </w:rPr>
              <w:commentReference w:id="48"/>
            </w:r>
            <w:r>
              <w:rPr>
                <w:sz w:val="20"/>
              </w:rPr>
              <w:t xml:space="preserve"> </w:t>
            </w:r>
          </w:p>
        </w:tc>
        <w:tc>
          <w:tcPr>
            <w:tcW w:w="3334" w:type="dxa"/>
          </w:tcPr>
          <w:p w14:paraId="0835AAB1" w14:textId="77777777" w:rsidR="00DD13BF" w:rsidRPr="00DA1E6E" w:rsidRDefault="00DD13BF" w:rsidP="00355A56">
            <w:pPr>
              <w:pStyle w:val="TableParagraph"/>
              <w:rPr>
                <w:sz w:val="20"/>
              </w:rPr>
            </w:pPr>
            <w:r>
              <w:rPr>
                <w:sz w:val="20"/>
              </w:rPr>
              <w:t>Total number of participants</w:t>
            </w:r>
          </w:p>
        </w:tc>
        <w:tc>
          <w:tcPr>
            <w:tcW w:w="1276" w:type="dxa"/>
          </w:tcPr>
          <w:p w14:paraId="0DE2049F" w14:textId="77777777" w:rsidR="00DD13BF" w:rsidRPr="00B457DD" w:rsidRDefault="00DD13BF" w:rsidP="00355A56">
            <w:pPr>
              <w:pStyle w:val="TableParagraph"/>
              <w:rPr>
                <w:sz w:val="20"/>
              </w:rPr>
            </w:pPr>
            <w:r>
              <w:rPr>
                <w:color w:val="000000"/>
                <w:sz w:val="20"/>
              </w:rPr>
              <w:t>Persons</w:t>
            </w:r>
          </w:p>
        </w:tc>
        <w:tc>
          <w:tcPr>
            <w:tcW w:w="1418" w:type="dxa"/>
          </w:tcPr>
          <w:p w14:paraId="32D803B5" w14:textId="77777777" w:rsidR="00DD13BF" w:rsidRDefault="00DD13BF" w:rsidP="00355A56">
            <w:pPr>
              <w:pStyle w:val="TableParagraph"/>
              <w:rPr>
                <w:sz w:val="20"/>
              </w:rPr>
            </w:pPr>
            <w:r>
              <w:rPr>
                <w:sz w:val="20"/>
              </w:rPr>
              <w:t>10,978</w:t>
            </w:r>
          </w:p>
        </w:tc>
        <w:tc>
          <w:tcPr>
            <w:tcW w:w="1134" w:type="dxa"/>
          </w:tcPr>
          <w:p w14:paraId="2412F638" w14:textId="77777777" w:rsidR="00DD13BF" w:rsidRPr="00B457DD" w:rsidRDefault="00DD13BF" w:rsidP="00355A56">
            <w:pPr>
              <w:pStyle w:val="TableParagraph"/>
              <w:rPr>
                <w:sz w:val="20"/>
              </w:rPr>
            </w:pPr>
            <w:r>
              <w:rPr>
                <w:sz w:val="20"/>
              </w:rPr>
              <w:t>59,004</w:t>
            </w:r>
          </w:p>
        </w:tc>
      </w:tr>
      <w:tr w:rsidR="00DD13BF" w14:paraId="587631A4" w14:textId="77777777" w:rsidTr="00355A56">
        <w:trPr>
          <w:trHeight w:val="367"/>
        </w:trPr>
        <w:tc>
          <w:tcPr>
            <w:tcW w:w="1834" w:type="dxa"/>
          </w:tcPr>
          <w:p w14:paraId="74A332B4" w14:textId="77777777" w:rsidR="00DD13BF" w:rsidRDefault="00DD13BF" w:rsidP="00355A56">
            <w:pPr>
              <w:pStyle w:val="TableParagraph"/>
              <w:rPr>
                <w:sz w:val="20"/>
              </w:rPr>
            </w:pPr>
            <w:r>
              <w:rPr>
                <w:sz w:val="20"/>
              </w:rPr>
              <w:t>6</w:t>
            </w:r>
          </w:p>
        </w:tc>
        <w:tc>
          <w:tcPr>
            <w:tcW w:w="1417" w:type="dxa"/>
          </w:tcPr>
          <w:p w14:paraId="33DD0732" w14:textId="77777777" w:rsidR="00DD13BF" w:rsidRDefault="00DD13BF" w:rsidP="00355A56">
            <w:pPr>
              <w:pStyle w:val="TableParagraph"/>
              <w:rPr>
                <w:sz w:val="20"/>
              </w:rPr>
            </w:pPr>
            <w:r>
              <w:rPr>
                <w:color w:val="000000"/>
                <w:sz w:val="20"/>
              </w:rPr>
              <w:t>ESO4.7</w:t>
            </w:r>
          </w:p>
        </w:tc>
        <w:tc>
          <w:tcPr>
            <w:tcW w:w="708" w:type="dxa"/>
          </w:tcPr>
          <w:p w14:paraId="4169E0E8" w14:textId="77777777" w:rsidR="00DD13BF" w:rsidRPr="00DA2F76" w:rsidRDefault="00DD13BF" w:rsidP="00355A56">
            <w:pPr>
              <w:pStyle w:val="TableParagraph"/>
              <w:rPr>
                <w:sz w:val="20"/>
              </w:rPr>
            </w:pPr>
            <w:r>
              <w:rPr>
                <w:sz w:val="20"/>
              </w:rPr>
              <w:t>ESF+</w:t>
            </w:r>
          </w:p>
        </w:tc>
        <w:tc>
          <w:tcPr>
            <w:tcW w:w="1701" w:type="dxa"/>
          </w:tcPr>
          <w:p w14:paraId="15E5F2A9" w14:textId="77777777" w:rsidR="00DD13BF" w:rsidRDefault="00DD13BF" w:rsidP="00355A56">
            <w:pPr>
              <w:pStyle w:val="TableParagraph"/>
              <w:rPr>
                <w:sz w:val="20"/>
              </w:rPr>
            </w:pPr>
            <w:r>
              <w:rPr>
                <w:sz w:val="20"/>
              </w:rPr>
              <w:t>More developed</w:t>
            </w:r>
          </w:p>
        </w:tc>
        <w:tc>
          <w:tcPr>
            <w:tcW w:w="778" w:type="dxa"/>
          </w:tcPr>
          <w:p w14:paraId="319AF0B9" w14:textId="77777777" w:rsidR="00DD13BF" w:rsidRDefault="00DD13BF" w:rsidP="00355A56">
            <w:pPr>
              <w:pStyle w:val="TableParagraph"/>
              <w:rPr>
                <w:sz w:val="20"/>
              </w:rPr>
            </w:pPr>
            <w:r w:rsidRPr="00F46D55">
              <w:rPr>
                <w:sz w:val="20"/>
                <w:highlight w:val="yellow"/>
              </w:rPr>
              <w:t>EECO01</w:t>
            </w:r>
            <w:r>
              <w:rPr>
                <w:sz w:val="20"/>
              </w:rPr>
              <w:t xml:space="preserve"> </w:t>
            </w:r>
          </w:p>
        </w:tc>
        <w:tc>
          <w:tcPr>
            <w:tcW w:w="3334" w:type="dxa"/>
          </w:tcPr>
          <w:p w14:paraId="2011ACF2" w14:textId="77777777" w:rsidR="00DD13BF" w:rsidRPr="00F57BF9" w:rsidRDefault="00DD13BF" w:rsidP="00355A56">
            <w:pPr>
              <w:pStyle w:val="TableParagraph"/>
              <w:rPr>
                <w:sz w:val="20"/>
              </w:rPr>
            </w:pPr>
            <w:r>
              <w:rPr>
                <w:sz w:val="20"/>
              </w:rPr>
              <w:t>Total number of participants</w:t>
            </w:r>
          </w:p>
        </w:tc>
        <w:tc>
          <w:tcPr>
            <w:tcW w:w="1276" w:type="dxa"/>
          </w:tcPr>
          <w:p w14:paraId="61247B2E" w14:textId="77777777" w:rsidR="00DD13BF" w:rsidRPr="00B457DD" w:rsidRDefault="00DD13BF" w:rsidP="00355A56">
            <w:pPr>
              <w:pStyle w:val="TableParagraph"/>
              <w:rPr>
                <w:sz w:val="20"/>
              </w:rPr>
            </w:pPr>
            <w:r>
              <w:rPr>
                <w:color w:val="000000"/>
                <w:sz w:val="20"/>
              </w:rPr>
              <w:t>Persons</w:t>
            </w:r>
          </w:p>
        </w:tc>
        <w:tc>
          <w:tcPr>
            <w:tcW w:w="1418" w:type="dxa"/>
          </w:tcPr>
          <w:p w14:paraId="4F96878D" w14:textId="77777777" w:rsidR="00DD13BF" w:rsidRDefault="00DD13BF" w:rsidP="00355A56">
            <w:pPr>
              <w:pStyle w:val="TableParagraph"/>
              <w:rPr>
                <w:sz w:val="20"/>
              </w:rPr>
            </w:pPr>
            <w:r>
              <w:rPr>
                <w:sz w:val="20"/>
              </w:rPr>
              <w:t>7,532</w:t>
            </w:r>
          </w:p>
        </w:tc>
        <w:tc>
          <w:tcPr>
            <w:tcW w:w="1134" w:type="dxa"/>
          </w:tcPr>
          <w:p w14:paraId="5CDAFF04" w14:textId="77777777" w:rsidR="00DD13BF" w:rsidRPr="00B457DD" w:rsidRDefault="00DD13BF" w:rsidP="00355A56">
            <w:pPr>
              <w:pStyle w:val="TableParagraph"/>
              <w:rPr>
                <w:sz w:val="20"/>
              </w:rPr>
            </w:pPr>
            <w:r>
              <w:rPr>
                <w:sz w:val="20"/>
              </w:rPr>
              <w:t>40,751</w:t>
            </w:r>
          </w:p>
        </w:tc>
      </w:tr>
    </w:tbl>
    <w:p w14:paraId="495B3DB7" w14:textId="77777777" w:rsidR="00DD13BF" w:rsidRDefault="00DD13BF" w:rsidP="00DD13BF">
      <w:pPr>
        <w:rPr>
          <w:sz w:val="24"/>
        </w:rPr>
      </w:pPr>
    </w:p>
    <w:p w14:paraId="4C5B66DA" w14:textId="77777777" w:rsidR="00DD13BF" w:rsidRDefault="00DD13BF" w:rsidP="00DD13BF">
      <w:pPr>
        <w:ind w:left="379"/>
      </w:pPr>
      <w:r>
        <w:t>Table 3: Result indicators</w:t>
      </w:r>
    </w:p>
    <w:p w14:paraId="69859D13"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992"/>
        <w:gridCol w:w="696"/>
        <w:gridCol w:w="1430"/>
        <w:gridCol w:w="851"/>
        <w:gridCol w:w="3260"/>
        <w:gridCol w:w="708"/>
        <w:gridCol w:w="1134"/>
        <w:gridCol w:w="993"/>
        <w:gridCol w:w="851"/>
        <w:gridCol w:w="1134"/>
        <w:gridCol w:w="708"/>
      </w:tblGrid>
      <w:tr w:rsidR="00DD13BF" w14:paraId="1E1ECF1F" w14:textId="77777777" w:rsidTr="00355A56">
        <w:trPr>
          <w:trHeight w:val="353"/>
        </w:trPr>
        <w:tc>
          <w:tcPr>
            <w:tcW w:w="1125" w:type="dxa"/>
          </w:tcPr>
          <w:p w14:paraId="45E7C09D" w14:textId="77777777" w:rsidR="00DD13BF" w:rsidRPr="00347461" w:rsidRDefault="00DD13BF" w:rsidP="00355A56">
            <w:pPr>
              <w:pStyle w:val="TableParagraph"/>
              <w:rPr>
                <w:sz w:val="20"/>
              </w:rPr>
            </w:pPr>
            <w:r>
              <w:rPr>
                <w:sz w:val="20"/>
              </w:rPr>
              <w:t>Priority</w:t>
            </w:r>
          </w:p>
        </w:tc>
        <w:tc>
          <w:tcPr>
            <w:tcW w:w="992" w:type="dxa"/>
          </w:tcPr>
          <w:p w14:paraId="66D51149" w14:textId="77777777" w:rsidR="00DD13BF" w:rsidRPr="00347461" w:rsidRDefault="00DD13BF" w:rsidP="00355A56">
            <w:pPr>
              <w:pStyle w:val="TableParagraph"/>
              <w:rPr>
                <w:sz w:val="20"/>
              </w:rPr>
            </w:pPr>
            <w:r>
              <w:rPr>
                <w:sz w:val="20"/>
              </w:rPr>
              <w:t>Specific objective</w:t>
            </w:r>
          </w:p>
        </w:tc>
        <w:tc>
          <w:tcPr>
            <w:tcW w:w="696" w:type="dxa"/>
          </w:tcPr>
          <w:p w14:paraId="17051DF3" w14:textId="77777777" w:rsidR="00DD13BF" w:rsidRPr="00347461" w:rsidRDefault="00DD13BF" w:rsidP="00355A56">
            <w:pPr>
              <w:pStyle w:val="TableParagraph"/>
              <w:rPr>
                <w:sz w:val="20"/>
              </w:rPr>
            </w:pPr>
            <w:r>
              <w:rPr>
                <w:sz w:val="20"/>
              </w:rPr>
              <w:t>Fund</w:t>
            </w:r>
          </w:p>
        </w:tc>
        <w:tc>
          <w:tcPr>
            <w:tcW w:w="1430" w:type="dxa"/>
          </w:tcPr>
          <w:p w14:paraId="3A5AB37E" w14:textId="77777777" w:rsidR="00DD13BF" w:rsidRPr="00347461" w:rsidRDefault="00DD13BF" w:rsidP="00355A56">
            <w:pPr>
              <w:pStyle w:val="TableParagraph"/>
              <w:rPr>
                <w:sz w:val="20"/>
              </w:rPr>
            </w:pPr>
            <w:r>
              <w:rPr>
                <w:sz w:val="20"/>
              </w:rPr>
              <w:t>Category of region</w:t>
            </w:r>
          </w:p>
        </w:tc>
        <w:tc>
          <w:tcPr>
            <w:tcW w:w="851" w:type="dxa"/>
          </w:tcPr>
          <w:p w14:paraId="44A4B5CD" w14:textId="77777777" w:rsidR="00DD13BF" w:rsidRPr="00347461" w:rsidRDefault="00DD13BF" w:rsidP="00355A56">
            <w:pPr>
              <w:pStyle w:val="TableParagraph"/>
              <w:rPr>
                <w:sz w:val="20"/>
              </w:rPr>
            </w:pPr>
            <w:r>
              <w:rPr>
                <w:sz w:val="20"/>
              </w:rPr>
              <w:t>ID</w:t>
            </w:r>
          </w:p>
        </w:tc>
        <w:tc>
          <w:tcPr>
            <w:tcW w:w="3260" w:type="dxa"/>
          </w:tcPr>
          <w:p w14:paraId="7DDF48D1" w14:textId="77777777" w:rsidR="00DD13BF" w:rsidRPr="00347461" w:rsidRDefault="00DD13BF" w:rsidP="00355A56">
            <w:pPr>
              <w:pStyle w:val="TableParagraph"/>
              <w:rPr>
                <w:sz w:val="20"/>
              </w:rPr>
            </w:pPr>
            <w:r>
              <w:rPr>
                <w:sz w:val="20"/>
              </w:rPr>
              <w:t>Indicator</w:t>
            </w:r>
          </w:p>
        </w:tc>
        <w:tc>
          <w:tcPr>
            <w:tcW w:w="708" w:type="dxa"/>
          </w:tcPr>
          <w:p w14:paraId="79F987D6" w14:textId="77777777" w:rsidR="00DD13BF" w:rsidRPr="00347461" w:rsidRDefault="00DD13BF" w:rsidP="00355A56">
            <w:pPr>
              <w:pStyle w:val="TableParagraph"/>
              <w:rPr>
                <w:sz w:val="20"/>
              </w:rPr>
            </w:pPr>
            <w:r>
              <w:rPr>
                <w:sz w:val="20"/>
              </w:rPr>
              <w:t>Measurement unit</w:t>
            </w:r>
          </w:p>
        </w:tc>
        <w:tc>
          <w:tcPr>
            <w:tcW w:w="1134" w:type="dxa"/>
          </w:tcPr>
          <w:p w14:paraId="74DD1E24" w14:textId="77777777" w:rsidR="00DD13BF" w:rsidRPr="00347461" w:rsidRDefault="00DD13BF" w:rsidP="00355A56">
            <w:pPr>
              <w:pStyle w:val="TableParagraph"/>
              <w:rPr>
                <w:sz w:val="20"/>
              </w:rPr>
            </w:pPr>
            <w:r>
              <w:rPr>
                <w:sz w:val="20"/>
              </w:rPr>
              <w:t>Baseline or reference value</w:t>
            </w:r>
          </w:p>
        </w:tc>
        <w:tc>
          <w:tcPr>
            <w:tcW w:w="993" w:type="dxa"/>
          </w:tcPr>
          <w:p w14:paraId="61DA3F97" w14:textId="77777777" w:rsidR="00DD13BF" w:rsidRPr="00347461" w:rsidRDefault="00DD13BF" w:rsidP="00355A56">
            <w:pPr>
              <w:pStyle w:val="TableParagraph"/>
              <w:rPr>
                <w:sz w:val="20"/>
              </w:rPr>
            </w:pPr>
            <w:r>
              <w:rPr>
                <w:sz w:val="20"/>
              </w:rPr>
              <w:t>Reference year</w:t>
            </w:r>
          </w:p>
        </w:tc>
        <w:tc>
          <w:tcPr>
            <w:tcW w:w="851" w:type="dxa"/>
          </w:tcPr>
          <w:p w14:paraId="0CC66F15" w14:textId="77777777" w:rsidR="00DD13BF" w:rsidRPr="00347461" w:rsidRDefault="00DD13BF" w:rsidP="00355A56">
            <w:pPr>
              <w:pStyle w:val="TableParagraph"/>
              <w:rPr>
                <w:sz w:val="20"/>
              </w:rPr>
            </w:pPr>
            <w:r>
              <w:rPr>
                <w:sz w:val="20"/>
              </w:rPr>
              <w:t>Target (2029)</w:t>
            </w:r>
          </w:p>
        </w:tc>
        <w:tc>
          <w:tcPr>
            <w:tcW w:w="1134" w:type="dxa"/>
          </w:tcPr>
          <w:p w14:paraId="33A02955" w14:textId="77777777" w:rsidR="00DD13BF" w:rsidRPr="00347461" w:rsidRDefault="00DD13BF" w:rsidP="00355A56">
            <w:pPr>
              <w:pStyle w:val="TableParagraph"/>
              <w:rPr>
                <w:sz w:val="20"/>
              </w:rPr>
            </w:pPr>
            <w:r>
              <w:rPr>
                <w:sz w:val="20"/>
              </w:rPr>
              <w:t>Source of data</w:t>
            </w:r>
          </w:p>
        </w:tc>
        <w:tc>
          <w:tcPr>
            <w:tcW w:w="708" w:type="dxa"/>
          </w:tcPr>
          <w:p w14:paraId="225E7E45" w14:textId="77777777" w:rsidR="00DD13BF" w:rsidRPr="00347461" w:rsidRDefault="00DD13BF" w:rsidP="00355A56">
            <w:pPr>
              <w:pStyle w:val="TableParagraph"/>
              <w:rPr>
                <w:sz w:val="20"/>
              </w:rPr>
            </w:pPr>
            <w:r>
              <w:rPr>
                <w:sz w:val="20"/>
              </w:rPr>
              <w:t>Notes</w:t>
            </w:r>
          </w:p>
        </w:tc>
      </w:tr>
      <w:tr w:rsidR="00DD13BF" w14:paraId="17C1A3CF" w14:textId="77777777" w:rsidTr="00355A56">
        <w:trPr>
          <w:trHeight w:val="353"/>
        </w:trPr>
        <w:tc>
          <w:tcPr>
            <w:tcW w:w="1125" w:type="dxa"/>
          </w:tcPr>
          <w:p w14:paraId="1EFC98A1" w14:textId="77777777" w:rsidR="00DD13BF" w:rsidRPr="00347461" w:rsidRDefault="00DD13BF" w:rsidP="00355A56">
            <w:pPr>
              <w:pStyle w:val="TableParagraph"/>
              <w:rPr>
                <w:sz w:val="20"/>
              </w:rPr>
            </w:pPr>
            <w:r>
              <w:rPr>
                <w:sz w:val="20"/>
              </w:rPr>
              <w:t>6</w:t>
            </w:r>
          </w:p>
        </w:tc>
        <w:tc>
          <w:tcPr>
            <w:tcW w:w="992" w:type="dxa"/>
          </w:tcPr>
          <w:p w14:paraId="5B780D16" w14:textId="77777777" w:rsidR="00DD13BF" w:rsidRPr="00347461" w:rsidRDefault="00DD13BF" w:rsidP="00355A56">
            <w:pPr>
              <w:pStyle w:val="TableParagraph"/>
              <w:ind w:hanging="137"/>
              <w:rPr>
                <w:sz w:val="20"/>
              </w:rPr>
            </w:pPr>
            <w:r>
              <w:rPr>
                <w:color w:val="000000"/>
                <w:sz w:val="20"/>
              </w:rPr>
              <w:t>ESO4.7</w:t>
            </w:r>
          </w:p>
        </w:tc>
        <w:tc>
          <w:tcPr>
            <w:tcW w:w="696" w:type="dxa"/>
          </w:tcPr>
          <w:p w14:paraId="279AF277" w14:textId="77777777" w:rsidR="00DD13BF" w:rsidRPr="00347461" w:rsidRDefault="00DD13BF" w:rsidP="00355A56">
            <w:pPr>
              <w:pStyle w:val="TableParagraph"/>
              <w:rPr>
                <w:sz w:val="20"/>
              </w:rPr>
            </w:pPr>
            <w:r>
              <w:rPr>
                <w:sz w:val="20"/>
              </w:rPr>
              <w:t>ESF+</w:t>
            </w:r>
          </w:p>
        </w:tc>
        <w:tc>
          <w:tcPr>
            <w:tcW w:w="1430" w:type="dxa"/>
          </w:tcPr>
          <w:p w14:paraId="7E54812A" w14:textId="77777777" w:rsidR="00DD13BF" w:rsidRPr="00347461" w:rsidRDefault="00DD13BF" w:rsidP="00355A56">
            <w:pPr>
              <w:pStyle w:val="TableParagraph"/>
              <w:rPr>
                <w:sz w:val="20"/>
              </w:rPr>
            </w:pPr>
            <w:r>
              <w:rPr>
                <w:sz w:val="20"/>
              </w:rPr>
              <w:t>Less developed</w:t>
            </w:r>
          </w:p>
        </w:tc>
        <w:tc>
          <w:tcPr>
            <w:tcW w:w="851" w:type="dxa"/>
          </w:tcPr>
          <w:p w14:paraId="0AEC2278" w14:textId="77777777" w:rsidR="00DD13BF" w:rsidRPr="00347461" w:rsidRDefault="00DD13BF" w:rsidP="00355A56">
            <w:pPr>
              <w:pStyle w:val="TableParagraph"/>
              <w:rPr>
                <w:sz w:val="20"/>
              </w:rPr>
            </w:pPr>
            <w:r>
              <w:rPr>
                <w:sz w:val="20"/>
              </w:rPr>
              <w:t>EECR03</w:t>
            </w:r>
          </w:p>
        </w:tc>
        <w:tc>
          <w:tcPr>
            <w:tcW w:w="3260" w:type="dxa"/>
          </w:tcPr>
          <w:p w14:paraId="1FF312F6" w14:textId="77777777" w:rsidR="00DD13BF" w:rsidRPr="0067472B" w:rsidRDefault="00DD13BF" w:rsidP="00355A56">
            <w:pPr>
              <w:pStyle w:val="TableParagraph"/>
              <w:rPr>
                <w:sz w:val="20"/>
              </w:rPr>
            </w:pPr>
            <w:r>
              <w:rPr>
                <w:sz w:val="20"/>
              </w:rPr>
              <w:t>Participants gaining a qualification upon leaving</w:t>
            </w:r>
          </w:p>
        </w:tc>
        <w:tc>
          <w:tcPr>
            <w:tcW w:w="708" w:type="dxa"/>
          </w:tcPr>
          <w:p w14:paraId="4B2B3824" w14:textId="77777777" w:rsidR="00DD13BF" w:rsidRPr="0067472B" w:rsidRDefault="00DD13BF" w:rsidP="00355A56">
            <w:pPr>
              <w:pStyle w:val="TableParagraph"/>
              <w:rPr>
                <w:sz w:val="20"/>
              </w:rPr>
            </w:pPr>
            <w:r>
              <w:rPr>
                <w:sz w:val="20"/>
              </w:rPr>
              <w:t>Persons</w:t>
            </w:r>
          </w:p>
        </w:tc>
        <w:tc>
          <w:tcPr>
            <w:tcW w:w="1134" w:type="dxa"/>
          </w:tcPr>
          <w:p w14:paraId="54158F93" w14:textId="77777777" w:rsidR="00DD13BF" w:rsidRPr="00347461" w:rsidRDefault="00DD13BF" w:rsidP="00355A56">
            <w:pPr>
              <w:pStyle w:val="TableParagraph"/>
              <w:rPr>
                <w:sz w:val="20"/>
              </w:rPr>
            </w:pPr>
            <w:r>
              <w:rPr>
                <w:sz w:val="20"/>
              </w:rPr>
              <w:t>74,708</w:t>
            </w:r>
          </w:p>
        </w:tc>
        <w:tc>
          <w:tcPr>
            <w:tcW w:w="993" w:type="dxa"/>
          </w:tcPr>
          <w:p w14:paraId="5A31D3B7" w14:textId="77777777" w:rsidR="00DD13BF" w:rsidRPr="00DA1E6E" w:rsidRDefault="00DD13BF" w:rsidP="00355A56">
            <w:pPr>
              <w:pStyle w:val="TableParagraph"/>
              <w:rPr>
                <w:sz w:val="20"/>
              </w:rPr>
            </w:pPr>
            <w:r>
              <w:rPr>
                <w:sz w:val="20"/>
              </w:rPr>
              <w:t>2020</w:t>
            </w:r>
          </w:p>
        </w:tc>
        <w:tc>
          <w:tcPr>
            <w:tcW w:w="851" w:type="dxa"/>
          </w:tcPr>
          <w:p w14:paraId="4494011A" w14:textId="77777777" w:rsidR="00DD13BF" w:rsidRPr="00DA1E6E" w:rsidRDefault="00DD13BF" w:rsidP="00355A56">
            <w:pPr>
              <w:pStyle w:val="TableParagraph"/>
              <w:rPr>
                <w:sz w:val="20"/>
              </w:rPr>
            </w:pPr>
            <w:r>
              <w:rPr>
                <w:sz w:val="20"/>
              </w:rPr>
              <w:t>10,800</w:t>
            </w:r>
          </w:p>
        </w:tc>
        <w:tc>
          <w:tcPr>
            <w:tcW w:w="1134" w:type="dxa"/>
          </w:tcPr>
          <w:p w14:paraId="7CFB1251" w14:textId="77777777" w:rsidR="00DD13BF" w:rsidRPr="00347461" w:rsidRDefault="00DD13BF" w:rsidP="00355A56">
            <w:pPr>
              <w:pStyle w:val="TableParagraph"/>
              <w:rPr>
                <w:sz w:val="20"/>
              </w:rPr>
            </w:pPr>
            <w:r>
              <w:rPr>
                <w:sz w:val="20"/>
              </w:rPr>
              <w:t>Beneficiary, MIZŠ, MP</w:t>
            </w:r>
          </w:p>
        </w:tc>
        <w:tc>
          <w:tcPr>
            <w:tcW w:w="708" w:type="dxa"/>
          </w:tcPr>
          <w:p w14:paraId="46FA9F64" w14:textId="77777777" w:rsidR="00DD13BF" w:rsidRPr="00686945" w:rsidRDefault="00DD13BF" w:rsidP="00355A56">
            <w:pPr>
              <w:pStyle w:val="TableParagraph"/>
              <w:rPr>
                <w:sz w:val="18"/>
                <w:szCs w:val="18"/>
              </w:rPr>
            </w:pPr>
          </w:p>
        </w:tc>
      </w:tr>
      <w:tr w:rsidR="00DD13BF" w14:paraId="02E1849E" w14:textId="77777777" w:rsidTr="00355A56">
        <w:trPr>
          <w:trHeight w:val="353"/>
        </w:trPr>
        <w:tc>
          <w:tcPr>
            <w:tcW w:w="1125" w:type="dxa"/>
          </w:tcPr>
          <w:p w14:paraId="7AB605ED" w14:textId="77777777" w:rsidR="00DD13BF" w:rsidRPr="00347461" w:rsidRDefault="00DD13BF" w:rsidP="00355A56">
            <w:pPr>
              <w:pStyle w:val="TableParagraph"/>
              <w:rPr>
                <w:sz w:val="20"/>
              </w:rPr>
            </w:pPr>
            <w:r>
              <w:rPr>
                <w:sz w:val="20"/>
              </w:rPr>
              <w:t>6</w:t>
            </w:r>
          </w:p>
        </w:tc>
        <w:tc>
          <w:tcPr>
            <w:tcW w:w="992" w:type="dxa"/>
          </w:tcPr>
          <w:p w14:paraId="340E4B1C" w14:textId="77777777" w:rsidR="00DD13BF" w:rsidRPr="00347461" w:rsidRDefault="00DD13BF" w:rsidP="00355A56">
            <w:pPr>
              <w:pStyle w:val="TableParagraph"/>
              <w:ind w:hanging="137"/>
              <w:rPr>
                <w:sz w:val="20"/>
              </w:rPr>
            </w:pPr>
            <w:r>
              <w:rPr>
                <w:color w:val="000000"/>
                <w:sz w:val="20"/>
              </w:rPr>
              <w:t>ESO4.7</w:t>
            </w:r>
          </w:p>
        </w:tc>
        <w:tc>
          <w:tcPr>
            <w:tcW w:w="696" w:type="dxa"/>
          </w:tcPr>
          <w:p w14:paraId="23644E4F" w14:textId="77777777" w:rsidR="00DD13BF" w:rsidRPr="00347461" w:rsidRDefault="00DD13BF" w:rsidP="00355A56">
            <w:pPr>
              <w:pStyle w:val="TableParagraph"/>
              <w:rPr>
                <w:sz w:val="20"/>
              </w:rPr>
            </w:pPr>
            <w:r>
              <w:rPr>
                <w:sz w:val="20"/>
              </w:rPr>
              <w:t>ESF+</w:t>
            </w:r>
          </w:p>
        </w:tc>
        <w:tc>
          <w:tcPr>
            <w:tcW w:w="1430" w:type="dxa"/>
          </w:tcPr>
          <w:p w14:paraId="5A1CFE12" w14:textId="77777777" w:rsidR="00DD13BF" w:rsidRPr="00686945" w:rsidRDefault="00DD13BF" w:rsidP="00355A56">
            <w:pPr>
              <w:pStyle w:val="TableParagraph"/>
              <w:rPr>
                <w:sz w:val="20"/>
              </w:rPr>
            </w:pPr>
            <w:r>
              <w:rPr>
                <w:sz w:val="20"/>
              </w:rPr>
              <w:t>More developed</w:t>
            </w:r>
          </w:p>
        </w:tc>
        <w:tc>
          <w:tcPr>
            <w:tcW w:w="851" w:type="dxa"/>
          </w:tcPr>
          <w:p w14:paraId="254BDC6C" w14:textId="77777777" w:rsidR="00DD13BF" w:rsidRPr="00347461" w:rsidRDefault="00DD13BF" w:rsidP="00355A56">
            <w:pPr>
              <w:pStyle w:val="TableParagraph"/>
              <w:rPr>
                <w:sz w:val="20"/>
              </w:rPr>
            </w:pPr>
            <w:r>
              <w:rPr>
                <w:sz w:val="20"/>
              </w:rPr>
              <w:t>EECR03</w:t>
            </w:r>
          </w:p>
        </w:tc>
        <w:tc>
          <w:tcPr>
            <w:tcW w:w="3260" w:type="dxa"/>
          </w:tcPr>
          <w:p w14:paraId="6A53D394" w14:textId="77777777" w:rsidR="00DD13BF" w:rsidRPr="0067472B" w:rsidRDefault="00DD13BF" w:rsidP="00355A56">
            <w:pPr>
              <w:pStyle w:val="TableParagraph"/>
              <w:rPr>
                <w:sz w:val="20"/>
              </w:rPr>
            </w:pPr>
            <w:r>
              <w:rPr>
                <w:sz w:val="20"/>
              </w:rPr>
              <w:t>Participants gaining a qualification upon leaving</w:t>
            </w:r>
          </w:p>
        </w:tc>
        <w:tc>
          <w:tcPr>
            <w:tcW w:w="708" w:type="dxa"/>
          </w:tcPr>
          <w:p w14:paraId="2CE8C562" w14:textId="77777777" w:rsidR="00DD13BF" w:rsidRPr="0067472B" w:rsidRDefault="00DD13BF" w:rsidP="00355A56">
            <w:pPr>
              <w:pStyle w:val="TableParagraph"/>
              <w:rPr>
                <w:sz w:val="20"/>
              </w:rPr>
            </w:pPr>
            <w:r>
              <w:rPr>
                <w:sz w:val="20"/>
              </w:rPr>
              <w:t>Persons</w:t>
            </w:r>
          </w:p>
        </w:tc>
        <w:tc>
          <w:tcPr>
            <w:tcW w:w="1134" w:type="dxa"/>
          </w:tcPr>
          <w:p w14:paraId="78E91AAA" w14:textId="77777777" w:rsidR="00DD13BF" w:rsidRPr="00347461" w:rsidRDefault="00DD13BF" w:rsidP="00355A56">
            <w:pPr>
              <w:pStyle w:val="TableParagraph"/>
              <w:rPr>
                <w:sz w:val="20"/>
              </w:rPr>
            </w:pPr>
            <w:r>
              <w:rPr>
                <w:sz w:val="20"/>
              </w:rPr>
              <w:t>74,708</w:t>
            </w:r>
          </w:p>
        </w:tc>
        <w:tc>
          <w:tcPr>
            <w:tcW w:w="993" w:type="dxa"/>
          </w:tcPr>
          <w:p w14:paraId="21B0D256" w14:textId="77777777" w:rsidR="00DD13BF" w:rsidRPr="00347461" w:rsidRDefault="00DD13BF" w:rsidP="00355A56">
            <w:pPr>
              <w:pStyle w:val="TableParagraph"/>
              <w:rPr>
                <w:sz w:val="20"/>
              </w:rPr>
            </w:pPr>
            <w:r>
              <w:rPr>
                <w:sz w:val="20"/>
              </w:rPr>
              <w:t>2020</w:t>
            </w:r>
          </w:p>
        </w:tc>
        <w:tc>
          <w:tcPr>
            <w:tcW w:w="851" w:type="dxa"/>
          </w:tcPr>
          <w:p w14:paraId="1781FA59" w14:textId="77777777" w:rsidR="00DD13BF" w:rsidRPr="00DA1E6E" w:rsidRDefault="00DD13BF" w:rsidP="00355A56">
            <w:pPr>
              <w:pStyle w:val="TableParagraph"/>
              <w:rPr>
                <w:sz w:val="20"/>
              </w:rPr>
            </w:pPr>
            <w:r>
              <w:rPr>
                <w:sz w:val="20"/>
              </w:rPr>
              <w:t>10,800</w:t>
            </w:r>
          </w:p>
        </w:tc>
        <w:tc>
          <w:tcPr>
            <w:tcW w:w="1134" w:type="dxa"/>
          </w:tcPr>
          <w:p w14:paraId="706DD849" w14:textId="77777777" w:rsidR="00DD13BF" w:rsidRPr="00DA1E6E" w:rsidRDefault="00DD13BF" w:rsidP="00355A56">
            <w:pPr>
              <w:pStyle w:val="TableParagraph"/>
              <w:rPr>
                <w:sz w:val="20"/>
              </w:rPr>
            </w:pPr>
            <w:r>
              <w:rPr>
                <w:sz w:val="20"/>
              </w:rPr>
              <w:t>Beneficiary, MIZŠ, MP</w:t>
            </w:r>
          </w:p>
        </w:tc>
        <w:tc>
          <w:tcPr>
            <w:tcW w:w="708" w:type="dxa"/>
          </w:tcPr>
          <w:p w14:paraId="410F4BF3" w14:textId="77777777" w:rsidR="00DD13BF" w:rsidRPr="00DA1E6E" w:rsidRDefault="00DD13BF" w:rsidP="00355A56">
            <w:pPr>
              <w:pStyle w:val="TableParagraph"/>
              <w:rPr>
                <w:sz w:val="18"/>
                <w:szCs w:val="18"/>
              </w:rPr>
            </w:pPr>
          </w:p>
        </w:tc>
      </w:tr>
    </w:tbl>
    <w:p w14:paraId="20A964FC" w14:textId="77777777" w:rsidR="00DD13BF" w:rsidRPr="00F81084" w:rsidRDefault="00DD13BF" w:rsidP="00DD13BF">
      <w:pPr>
        <w:pStyle w:val="Telobesedila"/>
      </w:pPr>
    </w:p>
    <w:p w14:paraId="1D93EB3F" w14:textId="77777777" w:rsidR="00DD13BF" w:rsidRPr="00F81084" w:rsidRDefault="00DD13BF" w:rsidP="00DD13BF">
      <w:pPr>
        <w:pStyle w:val="Telobesedila"/>
      </w:pPr>
    </w:p>
    <w:p w14:paraId="4EB4963E" w14:textId="77777777" w:rsidR="00DD13BF" w:rsidRDefault="00DD13BF" w:rsidP="00DD13BF">
      <w:pPr>
        <w:pStyle w:val="Naslov5"/>
        <w:numPr>
          <w:ilvl w:val="4"/>
          <w:numId w:val="16"/>
        </w:numPr>
        <w:spacing w:before="0"/>
      </w:pPr>
      <w:r>
        <w:t>Indicative breakdown of the programme resources (EU) by type of intervention</w:t>
      </w:r>
    </w:p>
    <w:p w14:paraId="00F4B7DF" w14:textId="77777777" w:rsidR="00DD13BF" w:rsidRDefault="00DD13BF" w:rsidP="00DD13BF">
      <w:pPr>
        <w:ind w:left="640"/>
        <w:rPr>
          <w:spacing w:val="-5"/>
        </w:rPr>
      </w:pPr>
    </w:p>
    <w:p w14:paraId="473E9657" w14:textId="77777777" w:rsidR="00DD13BF" w:rsidRPr="00673ADB" w:rsidRDefault="00DD13BF" w:rsidP="00DD13BF">
      <w:pPr>
        <w:ind w:left="339"/>
        <w:rPr>
          <w:spacing w:val="-7"/>
        </w:rPr>
      </w:pPr>
      <w:r>
        <w:t>Table 4: Dimension 1 – intervention field</w:t>
      </w:r>
    </w:p>
    <w:p w14:paraId="471A6784"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126AD255" w14:textId="77777777" w:rsidTr="00355A56">
        <w:trPr>
          <w:trHeight w:val="353"/>
        </w:trPr>
        <w:tc>
          <w:tcPr>
            <w:tcW w:w="2088" w:type="dxa"/>
          </w:tcPr>
          <w:p w14:paraId="5B020513" w14:textId="77777777" w:rsidR="00DD13BF" w:rsidRDefault="00DD13BF" w:rsidP="00355A56">
            <w:pPr>
              <w:pStyle w:val="TableParagraph"/>
              <w:ind w:left="115"/>
            </w:pPr>
            <w:r>
              <w:t>Priority no.</w:t>
            </w:r>
          </w:p>
        </w:tc>
        <w:tc>
          <w:tcPr>
            <w:tcW w:w="1133" w:type="dxa"/>
          </w:tcPr>
          <w:p w14:paraId="778986BC" w14:textId="77777777" w:rsidR="00DD13BF" w:rsidRDefault="00DD13BF" w:rsidP="00355A56">
            <w:pPr>
              <w:pStyle w:val="TableParagraph"/>
              <w:ind w:left="320"/>
            </w:pPr>
            <w:r>
              <w:t>Fund</w:t>
            </w:r>
          </w:p>
        </w:tc>
        <w:tc>
          <w:tcPr>
            <w:tcW w:w="3249" w:type="dxa"/>
          </w:tcPr>
          <w:p w14:paraId="7202DC85" w14:textId="77777777" w:rsidR="00DD13BF" w:rsidRDefault="00DD13BF" w:rsidP="00355A56">
            <w:pPr>
              <w:pStyle w:val="TableParagraph"/>
              <w:ind w:left="907"/>
            </w:pPr>
            <w:r>
              <w:t>Category of region</w:t>
            </w:r>
          </w:p>
        </w:tc>
        <w:tc>
          <w:tcPr>
            <w:tcW w:w="3099" w:type="dxa"/>
          </w:tcPr>
          <w:p w14:paraId="72D2CED4" w14:textId="77777777" w:rsidR="00DD13BF" w:rsidRDefault="00DD13BF" w:rsidP="00355A56">
            <w:pPr>
              <w:pStyle w:val="TableParagraph"/>
              <w:ind w:left="948"/>
            </w:pPr>
            <w:r>
              <w:t>Specific objective</w:t>
            </w:r>
          </w:p>
        </w:tc>
        <w:tc>
          <w:tcPr>
            <w:tcW w:w="1161" w:type="dxa"/>
          </w:tcPr>
          <w:p w14:paraId="1C55863E" w14:textId="77777777" w:rsidR="00DD13BF" w:rsidRDefault="00DD13BF" w:rsidP="00355A56">
            <w:pPr>
              <w:pStyle w:val="TableParagraph"/>
              <w:ind w:left="333"/>
            </w:pPr>
            <w:r>
              <w:t>Code</w:t>
            </w:r>
          </w:p>
        </w:tc>
        <w:tc>
          <w:tcPr>
            <w:tcW w:w="2731" w:type="dxa"/>
          </w:tcPr>
          <w:p w14:paraId="180BA94E" w14:textId="77777777" w:rsidR="00DD13BF" w:rsidRDefault="00DD13BF" w:rsidP="00355A56">
            <w:pPr>
              <w:pStyle w:val="TableParagraph"/>
              <w:ind w:left="660"/>
            </w:pPr>
            <w:r>
              <w:t>Amount (in EUR)</w:t>
            </w:r>
          </w:p>
        </w:tc>
      </w:tr>
      <w:tr w:rsidR="00DD13BF" w14:paraId="45747F93" w14:textId="77777777" w:rsidTr="00355A56">
        <w:trPr>
          <w:trHeight w:val="353"/>
        </w:trPr>
        <w:tc>
          <w:tcPr>
            <w:tcW w:w="2088" w:type="dxa"/>
          </w:tcPr>
          <w:p w14:paraId="2713B4D0" w14:textId="77777777" w:rsidR="00DD13BF" w:rsidRDefault="00DD13BF" w:rsidP="00355A56">
            <w:pPr>
              <w:pStyle w:val="TableParagraph"/>
              <w:rPr>
                <w:sz w:val="20"/>
              </w:rPr>
            </w:pPr>
            <w:r>
              <w:rPr>
                <w:sz w:val="20"/>
              </w:rPr>
              <w:t>6</w:t>
            </w:r>
          </w:p>
        </w:tc>
        <w:tc>
          <w:tcPr>
            <w:tcW w:w="1133" w:type="dxa"/>
          </w:tcPr>
          <w:p w14:paraId="3A0C504D" w14:textId="77777777" w:rsidR="00DD13BF" w:rsidRDefault="00DD13BF" w:rsidP="00355A56">
            <w:pPr>
              <w:pStyle w:val="TableParagraph"/>
              <w:rPr>
                <w:sz w:val="20"/>
              </w:rPr>
            </w:pPr>
            <w:r>
              <w:rPr>
                <w:sz w:val="20"/>
              </w:rPr>
              <w:t>ESF+</w:t>
            </w:r>
          </w:p>
        </w:tc>
        <w:tc>
          <w:tcPr>
            <w:tcW w:w="3249" w:type="dxa"/>
          </w:tcPr>
          <w:p w14:paraId="0571716B" w14:textId="77777777" w:rsidR="00DD13BF" w:rsidRDefault="00DD13BF" w:rsidP="00355A56">
            <w:pPr>
              <w:pStyle w:val="TableParagraph"/>
              <w:rPr>
                <w:sz w:val="20"/>
              </w:rPr>
            </w:pPr>
            <w:r>
              <w:rPr>
                <w:sz w:val="20"/>
              </w:rPr>
              <w:t>Less developed</w:t>
            </w:r>
          </w:p>
        </w:tc>
        <w:tc>
          <w:tcPr>
            <w:tcW w:w="3099" w:type="dxa"/>
          </w:tcPr>
          <w:p w14:paraId="6C18C85F" w14:textId="77777777" w:rsidR="00DD13BF" w:rsidRDefault="00DD13BF" w:rsidP="00355A56">
            <w:pPr>
              <w:pStyle w:val="TableParagraph"/>
              <w:rPr>
                <w:sz w:val="20"/>
              </w:rPr>
            </w:pPr>
            <w:r>
              <w:rPr>
                <w:color w:val="000000"/>
                <w:sz w:val="20"/>
              </w:rPr>
              <w:t>ESO4.7</w:t>
            </w:r>
          </w:p>
        </w:tc>
        <w:tc>
          <w:tcPr>
            <w:tcW w:w="1161" w:type="dxa"/>
          </w:tcPr>
          <w:p w14:paraId="0DCBCEB0" w14:textId="77777777" w:rsidR="00DD13BF" w:rsidRDefault="00DD13BF" w:rsidP="00355A56">
            <w:pPr>
              <w:pStyle w:val="TableParagraph"/>
              <w:rPr>
                <w:sz w:val="20"/>
              </w:rPr>
            </w:pPr>
            <w:r>
              <w:rPr>
                <w:sz w:val="20"/>
              </w:rPr>
              <w:t>151</w:t>
            </w:r>
          </w:p>
        </w:tc>
        <w:tc>
          <w:tcPr>
            <w:tcW w:w="2731" w:type="dxa"/>
          </w:tcPr>
          <w:p w14:paraId="5EC4F83F" w14:textId="77777777" w:rsidR="00DD13BF" w:rsidRDefault="00DD13BF" w:rsidP="00355A56">
            <w:pPr>
              <w:pStyle w:val="TableParagraph"/>
              <w:rPr>
                <w:sz w:val="20"/>
              </w:rPr>
            </w:pPr>
            <w:r>
              <w:rPr>
                <w:sz w:val="20"/>
              </w:rPr>
              <w:t>53,980,000</w:t>
            </w:r>
          </w:p>
        </w:tc>
      </w:tr>
      <w:tr w:rsidR="00DD13BF" w14:paraId="03D30C44" w14:textId="77777777" w:rsidTr="00355A56">
        <w:trPr>
          <w:trHeight w:val="353"/>
        </w:trPr>
        <w:tc>
          <w:tcPr>
            <w:tcW w:w="2088" w:type="dxa"/>
          </w:tcPr>
          <w:p w14:paraId="214EF974" w14:textId="77777777" w:rsidR="00DD13BF" w:rsidRDefault="00DD13BF" w:rsidP="00355A56">
            <w:pPr>
              <w:pStyle w:val="TableParagraph"/>
              <w:rPr>
                <w:sz w:val="20"/>
              </w:rPr>
            </w:pPr>
            <w:r>
              <w:rPr>
                <w:sz w:val="20"/>
              </w:rPr>
              <w:t>6</w:t>
            </w:r>
          </w:p>
        </w:tc>
        <w:tc>
          <w:tcPr>
            <w:tcW w:w="1133" w:type="dxa"/>
          </w:tcPr>
          <w:p w14:paraId="6DC4A2D1" w14:textId="77777777" w:rsidR="00DD13BF" w:rsidRDefault="00DD13BF" w:rsidP="00355A56">
            <w:pPr>
              <w:pStyle w:val="TableParagraph"/>
              <w:rPr>
                <w:sz w:val="20"/>
              </w:rPr>
            </w:pPr>
            <w:r>
              <w:rPr>
                <w:sz w:val="20"/>
              </w:rPr>
              <w:t>ESF+</w:t>
            </w:r>
          </w:p>
        </w:tc>
        <w:tc>
          <w:tcPr>
            <w:tcW w:w="3249" w:type="dxa"/>
          </w:tcPr>
          <w:p w14:paraId="2BA7174D" w14:textId="77777777" w:rsidR="00DD13BF" w:rsidRDefault="00DD13BF" w:rsidP="00355A56">
            <w:pPr>
              <w:pStyle w:val="TableParagraph"/>
              <w:rPr>
                <w:sz w:val="20"/>
              </w:rPr>
            </w:pPr>
            <w:r>
              <w:rPr>
                <w:sz w:val="20"/>
              </w:rPr>
              <w:t>More developed</w:t>
            </w:r>
          </w:p>
        </w:tc>
        <w:tc>
          <w:tcPr>
            <w:tcW w:w="3099" w:type="dxa"/>
          </w:tcPr>
          <w:p w14:paraId="4435A3B0" w14:textId="77777777" w:rsidR="00DD13BF" w:rsidRDefault="00DD13BF" w:rsidP="00355A56">
            <w:pPr>
              <w:pStyle w:val="TableParagraph"/>
              <w:rPr>
                <w:sz w:val="20"/>
              </w:rPr>
            </w:pPr>
            <w:r>
              <w:rPr>
                <w:color w:val="000000"/>
                <w:sz w:val="20"/>
              </w:rPr>
              <w:t>ESO4.7</w:t>
            </w:r>
          </w:p>
        </w:tc>
        <w:tc>
          <w:tcPr>
            <w:tcW w:w="1161" w:type="dxa"/>
          </w:tcPr>
          <w:p w14:paraId="58D5720D" w14:textId="77777777" w:rsidR="00DD13BF" w:rsidRDefault="00DD13BF" w:rsidP="00355A56">
            <w:pPr>
              <w:pStyle w:val="TableParagraph"/>
              <w:rPr>
                <w:sz w:val="20"/>
              </w:rPr>
            </w:pPr>
            <w:r>
              <w:rPr>
                <w:sz w:val="20"/>
              </w:rPr>
              <w:t>151</w:t>
            </w:r>
          </w:p>
        </w:tc>
        <w:tc>
          <w:tcPr>
            <w:tcW w:w="2731" w:type="dxa"/>
          </w:tcPr>
          <w:p w14:paraId="0F8531C5" w14:textId="77777777" w:rsidR="00DD13BF" w:rsidRDefault="00DD13BF" w:rsidP="00355A56">
            <w:pPr>
              <w:pStyle w:val="TableParagraph"/>
              <w:rPr>
                <w:sz w:val="20"/>
              </w:rPr>
            </w:pPr>
            <w:r>
              <w:rPr>
                <w:sz w:val="20"/>
              </w:rPr>
              <w:t>15,988,500</w:t>
            </w:r>
          </w:p>
        </w:tc>
      </w:tr>
    </w:tbl>
    <w:p w14:paraId="528A3AEF" w14:textId="77777777" w:rsidR="00DD13BF" w:rsidRDefault="00DD13BF" w:rsidP="00DD13BF"/>
    <w:p w14:paraId="1C03BF70" w14:textId="77777777" w:rsidR="00DD13BF" w:rsidRPr="00673ADB" w:rsidRDefault="00DD13BF" w:rsidP="00DD13BF">
      <w:pPr>
        <w:ind w:left="339"/>
        <w:rPr>
          <w:spacing w:val="-7"/>
        </w:rPr>
      </w:pPr>
      <w:r>
        <w:t>Table 5: Dimension 2 – form of financing</w:t>
      </w:r>
    </w:p>
    <w:p w14:paraId="56D3F2A5"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61B11DB" w14:textId="77777777" w:rsidTr="00355A56">
        <w:trPr>
          <w:trHeight w:val="353"/>
        </w:trPr>
        <w:tc>
          <w:tcPr>
            <w:tcW w:w="2088" w:type="dxa"/>
          </w:tcPr>
          <w:p w14:paraId="1C107E4F" w14:textId="77777777" w:rsidR="00DD13BF" w:rsidRDefault="00DD13BF" w:rsidP="00355A56">
            <w:pPr>
              <w:pStyle w:val="TableParagraph"/>
              <w:ind w:left="115"/>
            </w:pPr>
            <w:r>
              <w:t>Priority no.</w:t>
            </w:r>
          </w:p>
        </w:tc>
        <w:tc>
          <w:tcPr>
            <w:tcW w:w="1133" w:type="dxa"/>
          </w:tcPr>
          <w:p w14:paraId="3FCA526C" w14:textId="77777777" w:rsidR="00DD13BF" w:rsidRDefault="00DD13BF" w:rsidP="00355A56">
            <w:pPr>
              <w:pStyle w:val="TableParagraph"/>
              <w:ind w:left="320"/>
            </w:pPr>
            <w:r>
              <w:t>Fund</w:t>
            </w:r>
          </w:p>
        </w:tc>
        <w:tc>
          <w:tcPr>
            <w:tcW w:w="3249" w:type="dxa"/>
          </w:tcPr>
          <w:p w14:paraId="4FC8DC24" w14:textId="77777777" w:rsidR="00DD13BF" w:rsidRDefault="00DD13BF" w:rsidP="00355A56">
            <w:pPr>
              <w:pStyle w:val="TableParagraph"/>
              <w:ind w:left="907"/>
            </w:pPr>
            <w:r>
              <w:t>Category of region</w:t>
            </w:r>
          </w:p>
        </w:tc>
        <w:tc>
          <w:tcPr>
            <w:tcW w:w="3099" w:type="dxa"/>
          </w:tcPr>
          <w:p w14:paraId="67B221EC" w14:textId="77777777" w:rsidR="00DD13BF" w:rsidRDefault="00DD13BF" w:rsidP="00355A56">
            <w:pPr>
              <w:pStyle w:val="TableParagraph"/>
              <w:ind w:left="948"/>
            </w:pPr>
            <w:r>
              <w:t>Specific objective</w:t>
            </w:r>
          </w:p>
        </w:tc>
        <w:tc>
          <w:tcPr>
            <w:tcW w:w="1161" w:type="dxa"/>
          </w:tcPr>
          <w:p w14:paraId="37CC5A90" w14:textId="77777777" w:rsidR="00DD13BF" w:rsidRDefault="00DD13BF" w:rsidP="00355A56">
            <w:pPr>
              <w:pStyle w:val="TableParagraph"/>
              <w:ind w:left="334"/>
            </w:pPr>
            <w:r>
              <w:t>Code</w:t>
            </w:r>
          </w:p>
        </w:tc>
        <w:tc>
          <w:tcPr>
            <w:tcW w:w="2731" w:type="dxa"/>
          </w:tcPr>
          <w:p w14:paraId="35BB1B82" w14:textId="77777777" w:rsidR="00DD13BF" w:rsidRDefault="00DD13BF" w:rsidP="00355A56">
            <w:pPr>
              <w:pStyle w:val="TableParagraph"/>
              <w:ind w:left="661"/>
            </w:pPr>
            <w:r>
              <w:t>Amount (in EUR)</w:t>
            </w:r>
          </w:p>
        </w:tc>
      </w:tr>
      <w:tr w:rsidR="00DD13BF" w14:paraId="1BEA3DA3" w14:textId="77777777" w:rsidTr="00355A56">
        <w:trPr>
          <w:trHeight w:val="353"/>
        </w:trPr>
        <w:tc>
          <w:tcPr>
            <w:tcW w:w="2088" w:type="dxa"/>
          </w:tcPr>
          <w:p w14:paraId="3788F146" w14:textId="77777777" w:rsidR="00DD13BF" w:rsidRDefault="00DD13BF" w:rsidP="00355A56">
            <w:pPr>
              <w:pStyle w:val="TableParagraph"/>
              <w:rPr>
                <w:sz w:val="20"/>
              </w:rPr>
            </w:pPr>
            <w:r>
              <w:rPr>
                <w:sz w:val="20"/>
              </w:rPr>
              <w:t>6</w:t>
            </w:r>
          </w:p>
        </w:tc>
        <w:tc>
          <w:tcPr>
            <w:tcW w:w="1133" w:type="dxa"/>
          </w:tcPr>
          <w:p w14:paraId="1B9CE7CB" w14:textId="77777777" w:rsidR="00DD13BF" w:rsidRDefault="00DD13BF" w:rsidP="00355A56">
            <w:pPr>
              <w:pStyle w:val="TableParagraph"/>
              <w:rPr>
                <w:sz w:val="20"/>
              </w:rPr>
            </w:pPr>
            <w:r>
              <w:rPr>
                <w:sz w:val="20"/>
              </w:rPr>
              <w:t>ESF+</w:t>
            </w:r>
          </w:p>
        </w:tc>
        <w:tc>
          <w:tcPr>
            <w:tcW w:w="3249" w:type="dxa"/>
          </w:tcPr>
          <w:p w14:paraId="6D7516A8" w14:textId="77777777" w:rsidR="00DD13BF" w:rsidRDefault="00DD13BF" w:rsidP="00355A56">
            <w:pPr>
              <w:pStyle w:val="TableParagraph"/>
              <w:rPr>
                <w:sz w:val="20"/>
              </w:rPr>
            </w:pPr>
            <w:r>
              <w:rPr>
                <w:sz w:val="20"/>
              </w:rPr>
              <w:t>Less developed</w:t>
            </w:r>
          </w:p>
        </w:tc>
        <w:tc>
          <w:tcPr>
            <w:tcW w:w="3099" w:type="dxa"/>
          </w:tcPr>
          <w:p w14:paraId="3FF328E9" w14:textId="77777777" w:rsidR="00DD13BF" w:rsidRDefault="00DD13BF" w:rsidP="00355A56">
            <w:pPr>
              <w:pStyle w:val="TableParagraph"/>
              <w:rPr>
                <w:sz w:val="20"/>
              </w:rPr>
            </w:pPr>
            <w:r>
              <w:rPr>
                <w:color w:val="000000"/>
                <w:sz w:val="20"/>
              </w:rPr>
              <w:t>ESO4.7</w:t>
            </w:r>
          </w:p>
        </w:tc>
        <w:tc>
          <w:tcPr>
            <w:tcW w:w="1161" w:type="dxa"/>
          </w:tcPr>
          <w:p w14:paraId="6E75527A" w14:textId="77777777" w:rsidR="00DD13BF" w:rsidRDefault="00DD13BF" w:rsidP="00355A56">
            <w:pPr>
              <w:pStyle w:val="TableParagraph"/>
              <w:rPr>
                <w:sz w:val="20"/>
              </w:rPr>
            </w:pPr>
            <w:r>
              <w:rPr>
                <w:sz w:val="20"/>
              </w:rPr>
              <w:t>01</w:t>
            </w:r>
          </w:p>
        </w:tc>
        <w:tc>
          <w:tcPr>
            <w:tcW w:w="2731" w:type="dxa"/>
          </w:tcPr>
          <w:p w14:paraId="25E9F860" w14:textId="77777777" w:rsidR="00DD13BF" w:rsidRDefault="00DD13BF" w:rsidP="00355A56">
            <w:pPr>
              <w:pStyle w:val="TableParagraph"/>
              <w:rPr>
                <w:sz w:val="20"/>
              </w:rPr>
            </w:pPr>
            <w:r>
              <w:rPr>
                <w:sz w:val="20"/>
              </w:rPr>
              <w:t>53,980,000</w:t>
            </w:r>
          </w:p>
        </w:tc>
      </w:tr>
      <w:tr w:rsidR="00DD13BF" w14:paraId="4FF18D1A" w14:textId="77777777" w:rsidTr="00355A56">
        <w:trPr>
          <w:trHeight w:val="353"/>
        </w:trPr>
        <w:tc>
          <w:tcPr>
            <w:tcW w:w="2088" w:type="dxa"/>
          </w:tcPr>
          <w:p w14:paraId="044B69FD" w14:textId="77777777" w:rsidR="00DD13BF" w:rsidRDefault="00DD13BF" w:rsidP="00355A56">
            <w:pPr>
              <w:pStyle w:val="TableParagraph"/>
              <w:rPr>
                <w:sz w:val="20"/>
              </w:rPr>
            </w:pPr>
            <w:r>
              <w:rPr>
                <w:sz w:val="20"/>
              </w:rPr>
              <w:t>6</w:t>
            </w:r>
          </w:p>
        </w:tc>
        <w:tc>
          <w:tcPr>
            <w:tcW w:w="1133" w:type="dxa"/>
          </w:tcPr>
          <w:p w14:paraId="5C2DC53B" w14:textId="77777777" w:rsidR="00DD13BF" w:rsidRDefault="00DD13BF" w:rsidP="00355A56">
            <w:pPr>
              <w:pStyle w:val="TableParagraph"/>
              <w:rPr>
                <w:sz w:val="20"/>
              </w:rPr>
            </w:pPr>
            <w:r>
              <w:rPr>
                <w:sz w:val="20"/>
              </w:rPr>
              <w:t>ESF+</w:t>
            </w:r>
          </w:p>
        </w:tc>
        <w:tc>
          <w:tcPr>
            <w:tcW w:w="3249" w:type="dxa"/>
          </w:tcPr>
          <w:p w14:paraId="62F45CB8" w14:textId="77777777" w:rsidR="00DD13BF" w:rsidRDefault="00DD13BF" w:rsidP="00355A56">
            <w:pPr>
              <w:pStyle w:val="TableParagraph"/>
              <w:rPr>
                <w:sz w:val="20"/>
              </w:rPr>
            </w:pPr>
            <w:r>
              <w:rPr>
                <w:sz w:val="20"/>
              </w:rPr>
              <w:t>More developed</w:t>
            </w:r>
          </w:p>
        </w:tc>
        <w:tc>
          <w:tcPr>
            <w:tcW w:w="3099" w:type="dxa"/>
          </w:tcPr>
          <w:p w14:paraId="5395FB73" w14:textId="77777777" w:rsidR="00DD13BF" w:rsidRDefault="00DD13BF" w:rsidP="00355A56">
            <w:pPr>
              <w:pStyle w:val="TableParagraph"/>
              <w:rPr>
                <w:sz w:val="20"/>
              </w:rPr>
            </w:pPr>
            <w:r>
              <w:rPr>
                <w:color w:val="000000"/>
                <w:sz w:val="20"/>
              </w:rPr>
              <w:t>ESO4.7</w:t>
            </w:r>
          </w:p>
        </w:tc>
        <w:tc>
          <w:tcPr>
            <w:tcW w:w="1161" w:type="dxa"/>
          </w:tcPr>
          <w:p w14:paraId="3BDC473D" w14:textId="77777777" w:rsidR="00DD13BF" w:rsidRDefault="00DD13BF" w:rsidP="00355A56">
            <w:pPr>
              <w:pStyle w:val="TableParagraph"/>
              <w:rPr>
                <w:sz w:val="20"/>
              </w:rPr>
            </w:pPr>
            <w:r>
              <w:rPr>
                <w:sz w:val="20"/>
              </w:rPr>
              <w:t>01</w:t>
            </w:r>
          </w:p>
        </w:tc>
        <w:tc>
          <w:tcPr>
            <w:tcW w:w="2731" w:type="dxa"/>
          </w:tcPr>
          <w:p w14:paraId="0CA5CE8C" w14:textId="77777777" w:rsidR="00DD13BF" w:rsidRDefault="00DD13BF" w:rsidP="00355A56">
            <w:pPr>
              <w:pStyle w:val="TableParagraph"/>
              <w:rPr>
                <w:sz w:val="20"/>
              </w:rPr>
            </w:pPr>
            <w:r>
              <w:rPr>
                <w:sz w:val="20"/>
              </w:rPr>
              <w:t>15,988,500</w:t>
            </w:r>
          </w:p>
        </w:tc>
      </w:tr>
    </w:tbl>
    <w:p w14:paraId="00BEF9C9" w14:textId="77777777" w:rsidR="00DD13BF" w:rsidRDefault="00DD13BF" w:rsidP="00DD13BF">
      <w:pPr>
        <w:rPr>
          <w:sz w:val="20"/>
        </w:rPr>
        <w:sectPr w:rsidR="00DD13BF" w:rsidSect="00BD3536">
          <w:headerReference w:type="default" r:id="rId79"/>
          <w:footerReference w:type="first" r:id="rId80"/>
          <w:type w:val="continuous"/>
          <w:pgSz w:w="16840" w:h="11910" w:orient="landscape"/>
          <w:pgMar w:top="1417" w:right="1417" w:bottom="1417" w:left="1417" w:header="708" w:footer="708" w:gutter="0"/>
          <w:cols w:space="708"/>
          <w:titlePg/>
          <w:docGrid w:linePitch="299"/>
        </w:sectPr>
      </w:pPr>
    </w:p>
    <w:p w14:paraId="3981579B" w14:textId="77777777" w:rsidR="00DD13BF" w:rsidRDefault="00DD13BF" w:rsidP="00DD13BF">
      <w:pPr>
        <w:ind w:left="339"/>
      </w:pPr>
      <w:r>
        <w:t>Table 6: Dimension 3 – territorial delivery mechanism and territorial focus</w:t>
      </w:r>
    </w:p>
    <w:p w14:paraId="320AA901"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E3EB976" w14:textId="77777777" w:rsidTr="00355A56">
        <w:trPr>
          <w:trHeight w:val="353"/>
        </w:trPr>
        <w:tc>
          <w:tcPr>
            <w:tcW w:w="2088" w:type="dxa"/>
          </w:tcPr>
          <w:p w14:paraId="5E026C8B" w14:textId="77777777" w:rsidR="00DD13BF" w:rsidRDefault="00DD13BF" w:rsidP="00355A56">
            <w:pPr>
              <w:pStyle w:val="TableParagraph"/>
              <w:ind w:left="115"/>
            </w:pPr>
            <w:r>
              <w:t>Priority no.</w:t>
            </w:r>
          </w:p>
        </w:tc>
        <w:tc>
          <w:tcPr>
            <w:tcW w:w="1132" w:type="dxa"/>
          </w:tcPr>
          <w:p w14:paraId="1E0B00E4" w14:textId="77777777" w:rsidR="00DD13BF" w:rsidRDefault="00DD13BF" w:rsidP="00355A56">
            <w:pPr>
              <w:pStyle w:val="TableParagraph"/>
              <w:ind w:left="320"/>
            </w:pPr>
            <w:r>
              <w:t>Fund</w:t>
            </w:r>
          </w:p>
        </w:tc>
        <w:tc>
          <w:tcPr>
            <w:tcW w:w="3248" w:type="dxa"/>
          </w:tcPr>
          <w:p w14:paraId="272DEFFD" w14:textId="77777777" w:rsidR="00DD13BF" w:rsidRDefault="00DD13BF" w:rsidP="00355A56">
            <w:pPr>
              <w:pStyle w:val="TableParagraph"/>
              <w:ind w:left="908"/>
            </w:pPr>
            <w:r>
              <w:t>Category of region</w:t>
            </w:r>
          </w:p>
        </w:tc>
        <w:tc>
          <w:tcPr>
            <w:tcW w:w="3098" w:type="dxa"/>
          </w:tcPr>
          <w:p w14:paraId="285C897D" w14:textId="77777777" w:rsidR="00DD13BF" w:rsidRDefault="00DD13BF" w:rsidP="00355A56">
            <w:pPr>
              <w:pStyle w:val="TableParagraph"/>
              <w:ind w:left="950"/>
            </w:pPr>
            <w:r>
              <w:t>Specific objective</w:t>
            </w:r>
          </w:p>
        </w:tc>
        <w:tc>
          <w:tcPr>
            <w:tcW w:w="1160" w:type="dxa"/>
          </w:tcPr>
          <w:p w14:paraId="01134C51" w14:textId="77777777" w:rsidR="00DD13BF" w:rsidRDefault="00DD13BF" w:rsidP="00355A56">
            <w:pPr>
              <w:pStyle w:val="TableParagraph"/>
              <w:ind w:left="336"/>
            </w:pPr>
            <w:r>
              <w:t>Code</w:t>
            </w:r>
          </w:p>
        </w:tc>
        <w:tc>
          <w:tcPr>
            <w:tcW w:w="2730" w:type="dxa"/>
          </w:tcPr>
          <w:p w14:paraId="5C6372FA" w14:textId="77777777" w:rsidR="00DD13BF" w:rsidRDefault="00DD13BF" w:rsidP="00355A56">
            <w:pPr>
              <w:pStyle w:val="TableParagraph"/>
              <w:ind w:left="664"/>
            </w:pPr>
            <w:r>
              <w:t>Amount (in)</w:t>
            </w:r>
          </w:p>
        </w:tc>
      </w:tr>
      <w:tr w:rsidR="00DD13BF" w14:paraId="302F9B30" w14:textId="77777777" w:rsidTr="00355A56">
        <w:trPr>
          <w:trHeight w:val="353"/>
        </w:trPr>
        <w:tc>
          <w:tcPr>
            <w:tcW w:w="2088" w:type="dxa"/>
          </w:tcPr>
          <w:p w14:paraId="775DC499" w14:textId="77777777" w:rsidR="00DD13BF" w:rsidRDefault="00DD13BF" w:rsidP="00355A56">
            <w:pPr>
              <w:pStyle w:val="TableParagraph"/>
              <w:rPr>
                <w:sz w:val="20"/>
              </w:rPr>
            </w:pPr>
            <w:r>
              <w:rPr>
                <w:sz w:val="20"/>
              </w:rPr>
              <w:t>6</w:t>
            </w:r>
          </w:p>
        </w:tc>
        <w:tc>
          <w:tcPr>
            <w:tcW w:w="1132" w:type="dxa"/>
          </w:tcPr>
          <w:p w14:paraId="634C0E9A" w14:textId="77777777" w:rsidR="00DD13BF" w:rsidRDefault="00DD13BF" w:rsidP="00355A56">
            <w:pPr>
              <w:pStyle w:val="TableParagraph"/>
              <w:rPr>
                <w:sz w:val="20"/>
              </w:rPr>
            </w:pPr>
            <w:r>
              <w:rPr>
                <w:sz w:val="20"/>
              </w:rPr>
              <w:t>ESF+</w:t>
            </w:r>
          </w:p>
        </w:tc>
        <w:tc>
          <w:tcPr>
            <w:tcW w:w="3248" w:type="dxa"/>
          </w:tcPr>
          <w:p w14:paraId="77D90EDF" w14:textId="77777777" w:rsidR="00DD13BF" w:rsidRDefault="00DD13BF" w:rsidP="00355A56">
            <w:pPr>
              <w:pStyle w:val="TableParagraph"/>
              <w:rPr>
                <w:sz w:val="20"/>
              </w:rPr>
            </w:pPr>
            <w:r>
              <w:rPr>
                <w:sz w:val="20"/>
              </w:rPr>
              <w:t>Less developed</w:t>
            </w:r>
          </w:p>
        </w:tc>
        <w:tc>
          <w:tcPr>
            <w:tcW w:w="3098" w:type="dxa"/>
          </w:tcPr>
          <w:p w14:paraId="5D1C748D" w14:textId="77777777" w:rsidR="00DD13BF" w:rsidRDefault="00DD13BF" w:rsidP="00355A56">
            <w:pPr>
              <w:pStyle w:val="TableParagraph"/>
              <w:rPr>
                <w:sz w:val="20"/>
              </w:rPr>
            </w:pPr>
            <w:r>
              <w:rPr>
                <w:color w:val="000000"/>
                <w:sz w:val="20"/>
              </w:rPr>
              <w:t>ESO4.7</w:t>
            </w:r>
          </w:p>
        </w:tc>
        <w:tc>
          <w:tcPr>
            <w:tcW w:w="1160" w:type="dxa"/>
          </w:tcPr>
          <w:p w14:paraId="27B022A9" w14:textId="77777777" w:rsidR="00DD13BF" w:rsidRDefault="00DD13BF" w:rsidP="00355A56">
            <w:pPr>
              <w:pStyle w:val="TableParagraph"/>
              <w:rPr>
                <w:sz w:val="20"/>
              </w:rPr>
            </w:pPr>
            <w:r>
              <w:rPr>
                <w:sz w:val="20"/>
              </w:rPr>
              <w:t>33</w:t>
            </w:r>
          </w:p>
        </w:tc>
        <w:tc>
          <w:tcPr>
            <w:tcW w:w="2730" w:type="dxa"/>
          </w:tcPr>
          <w:p w14:paraId="2B2E7447" w14:textId="77777777" w:rsidR="00DD13BF" w:rsidRDefault="00DD13BF" w:rsidP="00355A56">
            <w:pPr>
              <w:pStyle w:val="TableParagraph"/>
              <w:rPr>
                <w:sz w:val="20"/>
              </w:rPr>
            </w:pPr>
            <w:r>
              <w:rPr>
                <w:sz w:val="20"/>
              </w:rPr>
              <w:t>53,980,000</w:t>
            </w:r>
          </w:p>
        </w:tc>
      </w:tr>
      <w:tr w:rsidR="00DD13BF" w14:paraId="0C755650" w14:textId="77777777" w:rsidTr="00355A56">
        <w:trPr>
          <w:trHeight w:val="353"/>
        </w:trPr>
        <w:tc>
          <w:tcPr>
            <w:tcW w:w="2088" w:type="dxa"/>
          </w:tcPr>
          <w:p w14:paraId="2D6160A6" w14:textId="77777777" w:rsidR="00DD13BF" w:rsidRDefault="00DD13BF" w:rsidP="00355A56">
            <w:pPr>
              <w:pStyle w:val="TableParagraph"/>
              <w:rPr>
                <w:sz w:val="20"/>
              </w:rPr>
            </w:pPr>
            <w:r>
              <w:rPr>
                <w:sz w:val="20"/>
              </w:rPr>
              <w:t>6</w:t>
            </w:r>
          </w:p>
        </w:tc>
        <w:tc>
          <w:tcPr>
            <w:tcW w:w="1132" w:type="dxa"/>
          </w:tcPr>
          <w:p w14:paraId="0BC57C7A" w14:textId="77777777" w:rsidR="00DD13BF" w:rsidRDefault="00DD13BF" w:rsidP="00355A56">
            <w:pPr>
              <w:pStyle w:val="TableParagraph"/>
              <w:rPr>
                <w:sz w:val="20"/>
              </w:rPr>
            </w:pPr>
            <w:r>
              <w:rPr>
                <w:sz w:val="20"/>
              </w:rPr>
              <w:t>ESF+</w:t>
            </w:r>
          </w:p>
        </w:tc>
        <w:tc>
          <w:tcPr>
            <w:tcW w:w="3248" w:type="dxa"/>
          </w:tcPr>
          <w:p w14:paraId="32450254" w14:textId="77777777" w:rsidR="00DD13BF" w:rsidRDefault="00DD13BF" w:rsidP="00355A56">
            <w:pPr>
              <w:pStyle w:val="TableParagraph"/>
              <w:rPr>
                <w:sz w:val="20"/>
              </w:rPr>
            </w:pPr>
            <w:r>
              <w:rPr>
                <w:sz w:val="20"/>
              </w:rPr>
              <w:t>More developed</w:t>
            </w:r>
          </w:p>
        </w:tc>
        <w:tc>
          <w:tcPr>
            <w:tcW w:w="3098" w:type="dxa"/>
          </w:tcPr>
          <w:p w14:paraId="1C771839" w14:textId="77777777" w:rsidR="00DD13BF" w:rsidRDefault="00DD13BF" w:rsidP="00355A56">
            <w:pPr>
              <w:pStyle w:val="TableParagraph"/>
              <w:rPr>
                <w:sz w:val="20"/>
              </w:rPr>
            </w:pPr>
            <w:r>
              <w:rPr>
                <w:color w:val="000000"/>
                <w:sz w:val="20"/>
              </w:rPr>
              <w:t>ESO4.7</w:t>
            </w:r>
          </w:p>
        </w:tc>
        <w:tc>
          <w:tcPr>
            <w:tcW w:w="1160" w:type="dxa"/>
          </w:tcPr>
          <w:p w14:paraId="1FE91608" w14:textId="77777777" w:rsidR="00DD13BF" w:rsidRDefault="00DD13BF" w:rsidP="00355A56">
            <w:pPr>
              <w:pStyle w:val="TableParagraph"/>
              <w:rPr>
                <w:sz w:val="20"/>
              </w:rPr>
            </w:pPr>
            <w:r>
              <w:rPr>
                <w:sz w:val="20"/>
              </w:rPr>
              <w:t>33</w:t>
            </w:r>
          </w:p>
        </w:tc>
        <w:tc>
          <w:tcPr>
            <w:tcW w:w="2730" w:type="dxa"/>
          </w:tcPr>
          <w:p w14:paraId="4BFEE3C8" w14:textId="77777777" w:rsidR="00DD13BF" w:rsidRDefault="00DD13BF" w:rsidP="00355A56">
            <w:pPr>
              <w:pStyle w:val="TableParagraph"/>
              <w:rPr>
                <w:sz w:val="20"/>
              </w:rPr>
            </w:pPr>
            <w:r>
              <w:rPr>
                <w:sz w:val="20"/>
              </w:rPr>
              <w:t>15,988,500</w:t>
            </w:r>
          </w:p>
        </w:tc>
      </w:tr>
    </w:tbl>
    <w:p w14:paraId="0C7CE8B3" w14:textId="77777777" w:rsidR="00DD13BF" w:rsidRDefault="00DD13BF" w:rsidP="00DD13BF"/>
    <w:p w14:paraId="2EF7BFE5" w14:textId="77777777" w:rsidR="00DD13BF" w:rsidRDefault="00DD13BF" w:rsidP="00DD13BF">
      <w:pPr>
        <w:ind w:left="339"/>
      </w:pPr>
      <w:r>
        <w:lastRenderedPageBreak/>
        <w:t>Table 7: Dimension 6 – ESF+ secondary themes</w:t>
      </w:r>
    </w:p>
    <w:p w14:paraId="718975C0"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A02F6DC" w14:textId="77777777" w:rsidTr="00355A56">
        <w:trPr>
          <w:trHeight w:val="353"/>
        </w:trPr>
        <w:tc>
          <w:tcPr>
            <w:tcW w:w="2088" w:type="dxa"/>
          </w:tcPr>
          <w:p w14:paraId="4177447B" w14:textId="77777777" w:rsidR="00DD13BF" w:rsidRDefault="00DD13BF" w:rsidP="00355A56">
            <w:pPr>
              <w:pStyle w:val="TableParagraph"/>
              <w:ind w:left="115"/>
            </w:pPr>
            <w:r>
              <w:t>Priority no.</w:t>
            </w:r>
          </w:p>
        </w:tc>
        <w:tc>
          <w:tcPr>
            <w:tcW w:w="1132" w:type="dxa"/>
          </w:tcPr>
          <w:p w14:paraId="178AF4BC" w14:textId="77777777" w:rsidR="00DD13BF" w:rsidRDefault="00DD13BF" w:rsidP="00355A56">
            <w:pPr>
              <w:pStyle w:val="TableParagraph"/>
              <w:ind w:left="321"/>
            </w:pPr>
            <w:r>
              <w:t>Fund</w:t>
            </w:r>
          </w:p>
        </w:tc>
        <w:tc>
          <w:tcPr>
            <w:tcW w:w="3248" w:type="dxa"/>
          </w:tcPr>
          <w:p w14:paraId="48DB7FCD" w14:textId="77777777" w:rsidR="00DD13BF" w:rsidRDefault="00DD13BF" w:rsidP="00355A56">
            <w:pPr>
              <w:pStyle w:val="TableParagraph"/>
              <w:ind w:left="909"/>
            </w:pPr>
            <w:r>
              <w:t>Category of region</w:t>
            </w:r>
          </w:p>
        </w:tc>
        <w:tc>
          <w:tcPr>
            <w:tcW w:w="3098" w:type="dxa"/>
          </w:tcPr>
          <w:p w14:paraId="27C2BB75" w14:textId="77777777" w:rsidR="00DD13BF" w:rsidRDefault="00DD13BF" w:rsidP="00355A56">
            <w:pPr>
              <w:pStyle w:val="TableParagraph"/>
              <w:ind w:left="950"/>
            </w:pPr>
            <w:r>
              <w:t>Specific objective</w:t>
            </w:r>
          </w:p>
        </w:tc>
        <w:tc>
          <w:tcPr>
            <w:tcW w:w="1160" w:type="dxa"/>
          </w:tcPr>
          <w:p w14:paraId="749E4520" w14:textId="77777777" w:rsidR="00DD13BF" w:rsidRDefault="00DD13BF" w:rsidP="00355A56">
            <w:pPr>
              <w:pStyle w:val="TableParagraph"/>
              <w:ind w:left="337"/>
            </w:pPr>
            <w:r>
              <w:t>Code</w:t>
            </w:r>
          </w:p>
        </w:tc>
        <w:tc>
          <w:tcPr>
            <w:tcW w:w="2730" w:type="dxa"/>
          </w:tcPr>
          <w:p w14:paraId="76CEE3B8" w14:textId="77777777" w:rsidR="00DD13BF" w:rsidRDefault="00DD13BF" w:rsidP="00355A56">
            <w:pPr>
              <w:pStyle w:val="TableParagraph"/>
              <w:ind w:left="665"/>
            </w:pPr>
            <w:r>
              <w:t>Amount (in EUR)</w:t>
            </w:r>
          </w:p>
        </w:tc>
      </w:tr>
      <w:tr w:rsidR="00DD13BF" w14:paraId="7217CB22" w14:textId="77777777" w:rsidTr="00355A56">
        <w:trPr>
          <w:trHeight w:val="353"/>
        </w:trPr>
        <w:tc>
          <w:tcPr>
            <w:tcW w:w="2088" w:type="dxa"/>
          </w:tcPr>
          <w:p w14:paraId="5EC56136" w14:textId="77777777" w:rsidR="00DD13BF" w:rsidRDefault="00DD13BF" w:rsidP="00355A56">
            <w:pPr>
              <w:pStyle w:val="TableParagraph"/>
              <w:rPr>
                <w:sz w:val="20"/>
              </w:rPr>
            </w:pPr>
            <w:r>
              <w:rPr>
                <w:sz w:val="20"/>
              </w:rPr>
              <w:t>6</w:t>
            </w:r>
          </w:p>
        </w:tc>
        <w:tc>
          <w:tcPr>
            <w:tcW w:w="1132" w:type="dxa"/>
          </w:tcPr>
          <w:p w14:paraId="552F483B" w14:textId="77777777" w:rsidR="00DD13BF" w:rsidRDefault="00DD13BF" w:rsidP="00355A56">
            <w:pPr>
              <w:pStyle w:val="TableParagraph"/>
              <w:rPr>
                <w:sz w:val="20"/>
              </w:rPr>
            </w:pPr>
            <w:r>
              <w:rPr>
                <w:sz w:val="20"/>
              </w:rPr>
              <w:t>ESF+</w:t>
            </w:r>
          </w:p>
        </w:tc>
        <w:tc>
          <w:tcPr>
            <w:tcW w:w="3248" w:type="dxa"/>
          </w:tcPr>
          <w:p w14:paraId="11F2E3B1" w14:textId="77777777" w:rsidR="00DD13BF" w:rsidRDefault="00DD13BF" w:rsidP="00355A56">
            <w:pPr>
              <w:pStyle w:val="TableParagraph"/>
              <w:rPr>
                <w:sz w:val="20"/>
              </w:rPr>
            </w:pPr>
            <w:r>
              <w:rPr>
                <w:sz w:val="20"/>
              </w:rPr>
              <w:t>Less developed</w:t>
            </w:r>
          </w:p>
        </w:tc>
        <w:tc>
          <w:tcPr>
            <w:tcW w:w="3098" w:type="dxa"/>
          </w:tcPr>
          <w:p w14:paraId="2E15B220" w14:textId="77777777" w:rsidR="00DD13BF" w:rsidRDefault="00DD13BF" w:rsidP="00355A56">
            <w:pPr>
              <w:pStyle w:val="TableParagraph"/>
              <w:rPr>
                <w:sz w:val="20"/>
              </w:rPr>
            </w:pPr>
            <w:r>
              <w:rPr>
                <w:color w:val="000000"/>
                <w:sz w:val="20"/>
              </w:rPr>
              <w:t>ESO4.7</w:t>
            </w:r>
          </w:p>
        </w:tc>
        <w:tc>
          <w:tcPr>
            <w:tcW w:w="1160" w:type="dxa"/>
          </w:tcPr>
          <w:p w14:paraId="115F51A4" w14:textId="77777777" w:rsidR="00DD13BF" w:rsidRDefault="00DD13BF" w:rsidP="00355A56">
            <w:pPr>
              <w:pStyle w:val="TableParagraph"/>
              <w:rPr>
                <w:sz w:val="20"/>
              </w:rPr>
            </w:pPr>
            <w:r>
              <w:rPr>
                <w:sz w:val="20"/>
              </w:rPr>
              <w:t>10</w:t>
            </w:r>
          </w:p>
        </w:tc>
        <w:tc>
          <w:tcPr>
            <w:tcW w:w="2730" w:type="dxa"/>
          </w:tcPr>
          <w:p w14:paraId="10CBB628" w14:textId="77777777" w:rsidR="00DD13BF" w:rsidRDefault="00DD13BF" w:rsidP="00355A56">
            <w:pPr>
              <w:pStyle w:val="TableParagraph"/>
              <w:rPr>
                <w:sz w:val="20"/>
              </w:rPr>
            </w:pPr>
            <w:r>
              <w:rPr>
                <w:sz w:val="20"/>
              </w:rPr>
              <w:t>53,980,000</w:t>
            </w:r>
          </w:p>
        </w:tc>
      </w:tr>
      <w:tr w:rsidR="00DD13BF" w14:paraId="1B80368D" w14:textId="77777777" w:rsidTr="00355A56">
        <w:trPr>
          <w:trHeight w:val="353"/>
        </w:trPr>
        <w:tc>
          <w:tcPr>
            <w:tcW w:w="2088" w:type="dxa"/>
          </w:tcPr>
          <w:p w14:paraId="15D8D6CF" w14:textId="77777777" w:rsidR="00DD13BF" w:rsidRDefault="00DD13BF" w:rsidP="00355A56">
            <w:pPr>
              <w:pStyle w:val="TableParagraph"/>
              <w:rPr>
                <w:sz w:val="20"/>
              </w:rPr>
            </w:pPr>
            <w:r>
              <w:rPr>
                <w:sz w:val="20"/>
              </w:rPr>
              <w:t>6</w:t>
            </w:r>
          </w:p>
        </w:tc>
        <w:tc>
          <w:tcPr>
            <w:tcW w:w="1132" w:type="dxa"/>
          </w:tcPr>
          <w:p w14:paraId="3AB575A0" w14:textId="77777777" w:rsidR="00DD13BF" w:rsidRDefault="00DD13BF" w:rsidP="00355A56">
            <w:pPr>
              <w:pStyle w:val="TableParagraph"/>
              <w:rPr>
                <w:sz w:val="20"/>
              </w:rPr>
            </w:pPr>
            <w:r>
              <w:rPr>
                <w:sz w:val="20"/>
              </w:rPr>
              <w:t>ESF+</w:t>
            </w:r>
          </w:p>
        </w:tc>
        <w:tc>
          <w:tcPr>
            <w:tcW w:w="3248" w:type="dxa"/>
          </w:tcPr>
          <w:p w14:paraId="5E6E5E54" w14:textId="77777777" w:rsidR="00DD13BF" w:rsidRDefault="00DD13BF" w:rsidP="00355A56">
            <w:pPr>
              <w:pStyle w:val="TableParagraph"/>
              <w:rPr>
                <w:sz w:val="20"/>
              </w:rPr>
            </w:pPr>
            <w:r>
              <w:rPr>
                <w:sz w:val="20"/>
              </w:rPr>
              <w:t>More developed</w:t>
            </w:r>
          </w:p>
        </w:tc>
        <w:tc>
          <w:tcPr>
            <w:tcW w:w="3098" w:type="dxa"/>
          </w:tcPr>
          <w:p w14:paraId="4B25A93C" w14:textId="77777777" w:rsidR="00DD13BF" w:rsidRDefault="00DD13BF" w:rsidP="00355A56">
            <w:pPr>
              <w:pStyle w:val="TableParagraph"/>
              <w:rPr>
                <w:sz w:val="20"/>
              </w:rPr>
            </w:pPr>
            <w:r>
              <w:rPr>
                <w:color w:val="000000"/>
                <w:sz w:val="20"/>
              </w:rPr>
              <w:t>ESO4.7</w:t>
            </w:r>
          </w:p>
        </w:tc>
        <w:tc>
          <w:tcPr>
            <w:tcW w:w="1160" w:type="dxa"/>
          </w:tcPr>
          <w:p w14:paraId="7EDA5223" w14:textId="77777777" w:rsidR="00DD13BF" w:rsidRDefault="00DD13BF" w:rsidP="00355A56">
            <w:pPr>
              <w:pStyle w:val="TableParagraph"/>
              <w:rPr>
                <w:sz w:val="20"/>
              </w:rPr>
            </w:pPr>
            <w:r>
              <w:rPr>
                <w:sz w:val="20"/>
              </w:rPr>
              <w:t>10</w:t>
            </w:r>
          </w:p>
        </w:tc>
        <w:tc>
          <w:tcPr>
            <w:tcW w:w="2730" w:type="dxa"/>
          </w:tcPr>
          <w:p w14:paraId="188E05C6" w14:textId="77777777" w:rsidR="00DD13BF" w:rsidRDefault="00DD13BF" w:rsidP="00355A56">
            <w:pPr>
              <w:pStyle w:val="TableParagraph"/>
              <w:rPr>
                <w:sz w:val="20"/>
              </w:rPr>
            </w:pPr>
            <w:r>
              <w:rPr>
                <w:sz w:val="20"/>
              </w:rPr>
              <w:t>15,988,500</w:t>
            </w:r>
          </w:p>
        </w:tc>
      </w:tr>
    </w:tbl>
    <w:p w14:paraId="20B98CDA" w14:textId="77777777" w:rsidR="00DD13BF" w:rsidRPr="00673ADB" w:rsidRDefault="00DD13BF" w:rsidP="00DD13BF"/>
    <w:p w14:paraId="095D4191" w14:textId="77777777" w:rsidR="00DD13BF" w:rsidRDefault="00DD13BF" w:rsidP="00DD13BF">
      <w:pPr>
        <w:ind w:left="339"/>
      </w:pPr>
      <w:r>
        <w:t>Table 8: Dimension 7 – ESF+*, ERDF, Cohesion Fund and JTF gender equality dimension</w:t>
      </w:r>
    </w:p>
    <w:p w14:paraId="59A91E42"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7EF1A16" w14:textId="77777777" w:rsidTr="00355A56">
        <w:trPr>
          <w:trHeight w:val="353"/>
        </w:trPr>
        <w:tc>
          <w:tcPr>
            <w:tcW w:w="2088" w:type="dxa"/>
          </w:tcPr>
          <w:p w14:paraId="47FAA7DD" w14:textId="77777777" w:rsidR="00DD13BF" w:rsidRDefault="00DD13BF" w:rsidP="00355A56">
            <w:pPr>
              <w:pStyle w:val="TableParagraph"/>
              <w:ind w:left="115"/>
            </w:pPr>
            <w:r>
              <w:t>Priority no.</w:t>
            </w:r>
          </w:p>
        </w:tc>
        <w:tc>
          <w:tcPr>
            <w:tcW w:w="1132" w:type="dxa"/>
          </w:tcPr>
          <w:p w14:paraId="7606939C" w14:textId="77777777" w:rsidR="00DD13BF" w:rsidRDefault="00DD13BF" w:rsidP="00355A56">
            <w:pPr>
              <w:pStyle w:val="TableParagraph"/>
              <w:ind w:left="320"/>
            </w:pPr>
            <w:r>
              <w:t>Fund</w:t>
            </w:r>
          </w:p>
        </w:tc>
        <w:tc>
          <w:tcPr>
            <w:tcW w:w="3248" w:type="dxa"/>
          </w:tcPr>
          <w:p w14:paraId="7559CF10" w14:textId="77777777" w:rsidR="00DD13BF" w:rsidRDefault="00DD13BF" w:rsidP="00355A56">
            <w:pPr>
              <w:pStyle w:val="TableParagraph"/>
              <w:ind w:left="908"/>
            </w:pPr>
            <w:r>
              <w:t>Category of region</w:t>
            </w:r>
          </w:p>
        </w:tc>
        <w:tc>
          <w:tcPr>
            <w:tcW w:w="3098" w:type="dxa"/>
          </w:tcPr>
          <w:p w14:paraId="1169A1B6" w14:textId="77777777" w:rsidR="00DD13BF" w:rsidRDefault="00DD13BF" w:rsidP="00355A56">
            <w:pPr>
              <w:pStyle w:val="TableParagraph"/>
              <w:ind w:left="950"/>
            </w:pPr>
            <w:r>
              <w:t>Specific objective</w:t>
            </w:r>
          </w:p>
        </w:tc>
        <w:tc>
          <w:tcPr>
            <w:tcW w:w="1160" w:type="dxa"/>
          </w:tcPr>
          <w:p w14:paraId="1C6D7133" w14:textId="77777777" w:rsidR="00DD13BF" w:rsidRDefault="00DD13BF" w:rsidP="00355A56">
            <w:pPr>
              <w:pStyle w:val="TableParagraph"/>
              <w:ind w:left="336"/>
            </w:pPr>
            <w:r>
              <w:t>Code</w:t>
            </w:r>
          </w:p>
        </w:tc>
        <w:tc>
          <w:tcPr>
            <w:tcW w:w="2730" w:type="dxa"/>
          </w:tcPr>
          <w:p w14:paraId="2D9C8034" w14:textId="77777777" w:rsidR="00DD13BF" w:rsidRDefault="00DD13BF" w:rsidP="00355A56">
            <w:pPr>
              <w:pStyle w:val="TableParagraph"/>
              <w:ind w:left="664"/>
            </w:pPr>
            <w:r>
              <w:t>Amount (in EUR)</w:t>
            </w:r>
          </w:p>
        </w:tc>
      </w:tr>
      <w:tr w:rsidR="00DD13BF" w14:paraId="5AB211AB" w14:textId="77777777" w:rsidTr="00355A56">
        <w:trPr>
          <w:trHeight w:val="353"/>
        </w:trPr>
        <w:tc>
          <w:tcPr>
            <w:tcW w:w="2088" w:type="dxa"/>
          </w:tcPr>
          <w:p w14:paraId="5AC8BDF8" w14:textId="77777777" w:rsidR="00DD13BF" w:rsidRDefault="00DD13BF" w:rsidP="00355A56">
            <w:pPr>
              <w:pStyle w:val="TableParagraph"/>
              <w:rPr>
                <w:sz w:val="20"/>
              </w:rPr>
            </w:pPr>
            <w:r>
              <w:rPr>
                <w:sz w:val="20"/>
              </w:rPr>
              <w:t>6</w:t>
            </w:r>
          </w:p>
        </w:tc>
        <w:tc>
          <w:tcPr>
            <w:tcW w:w="1132" w:type="dxa"/>
          </w:tcPr>
          <w:p w14:paraId="622CB639" w14:textId="77777777" w:rsidR="00DD13BF" w:rsidRDefault="00DD13BF" w:rsidP="00355A56">
            <w:pPr>
              <w:pStyle w:val="TableParagraph"/>
              <w:rPr>
                <w:sz w:val="20"/>
              </w:rPr>
            </w:pPr>
            <w:r>
              <w:rPr>
                <w:sz w:val="20"/>
              </w:rPr>
              <w:t>ESF+</w:t>
            </w:r>
          </w:p>
        </w:tc>
        <w:tc>
          <w:tcPr>
            <w:tcW w:w="3248" w:type="dxa"/>
          </w:tcPr>
          <w:p w14:paraId="68578E75" w14:textId="77777777" w:rsidR="00DD13BF" w:rsidRDefault="00DD13BF" w:rsidP="00355A56">
            <w:pPr>
              <w:pStyle w:val="TableParagraph"/>
              <w:rPr>
                <w:sz w:val="20"/>
              </w:rPr>
            </w:pPr>
            <w:r>
              <w:rPr>
                <w:sz w:val="20"/>
              </w:rPr>
              <w:t>Less developed</w:t>
            </w:r>
          </w:p>
        </w:tc>
        <w:tc>
          <w:tcPr>
            <w:tcW w:w="3098" w:type="dxa"/>
          </w:tcPr>
          <w:p w14:paraId="020111F9" w14:textId="77777777" w:rsidR="00DD13BF" w:rsidRDefault="00DD13BF" w:rsidP="00355A56">
            <w:pPr>
              <w:pStyle w:val="TableParagraph"/>
              <w:rPr>
                <w:sz w:val="20"/>
              </w:rPr>
            </w:pPr>
            <w:r>
              <w:rPr>
                <w:color w:val="000000"/>
                <w:sz w:val="20"/>
              </w:rPr>
              <w:t>ESO4.7</w:t>
            </w:r>
          </w:p>
        </w:tc>
        <w:tc>
          <w:tcPr>
            <w:tcW w:w="1160" w:type="dxa"/>
          </w:tcPr>
          <w:p w14:paraId="7E1B2D68" w14:textId="77777777" w:rsidR="00DD13BF" w:rsidRDefault="00DD13BF" w:rsidP="00355A56">
            <w:pPr>
              <w:pStyle w:val="TableParagraph"/>
              <w:rPr>
                <w:sz w:val="20"/>
              </w:rPr>
            </w:pPr>
            <w:r>
              <w:rPr>
                <w:sz w:val="20"/>
              </w:rPr>
              <w:t>02</w:t>
            </w:r>
          </w:p>
        </w:tc>
        <w:tc>
          <w:tcPr>
            <w:tcW w:w="2730" w:type="dxa"/>
          </w:tcPr>
          <w:p w14:paraId="73A9F893" w14:textId="77777777" w:rsidR="00DD13BF" w:rsidRDefault="00DD13BF" w:rsidP="00355A56">
            <w:pPr>
              <w:pStyle w:val="TableParagraph"/>
              <w:rPr>
                <w:sz w:val="20"/>
              </w:rPr>
            </w:pPr>
            <w:r>
              <w:rPr>
                <w:sz w:val="20"/>
              </w:rPr>
              <w:t>53,980,000</w:t>
            </w:r>
          </w:p>
        </w:tc>
      </w:tr>
      <w:tr w:rsidR="00DD13BF" w14:paraId="547EB694" w14:textId="77777777" w:rsidTr="00355A56">
        <w:trPr>
          <w:trHeight w:val="353"/>
        </w:trPr>
        <w:tc>
          <w:tcPr>
            <w:tcW w:w="2088" w:type="dxa"/>
          </w:tcPr>
          <w:p w14:paraId="7C5CA71B" w14:textId="77777777" w:rsidR="00DD13BF" w:rsidRDefault="00DD13BF" w:rsidP="00355A56">
            <w:pPr>
              <w:pStyle w:val="TableParagraph"/>
              <w:rPr>
                <w:sz w:val="20"/>
              </w:rPr>
            </w:pPr>
            <w:r>
              <w:rPr>
                <w:sz w:val="20"/>
              </w:rPr>
              <w:t>6</w:t>
            </w:r>
          </w:p>
        </w:tc>
        <w:tc>
          <w:tcPr>
            <w:tcW w:w="1132" w:type="dxa"/>
          </w:tcPr>
          <w:p w14:paraId="0983BCC9" w14:textId="77777777" w:rsidR="00DD13BF" w:rsidRDefault="00DD13BF" w:rsidP="00355A56">
            <w:pPr>
              <w:pStyle w:val="TableParagraph"/>
              <w:rPr>
                <w:sz w:val="20"/>
              </w:rPr>
            </w:pPr>
            <w:r>
              <w:rPr>
                <w:sz w:val="20"/>
              </w:rPr>
              <w:t>ESF+</w:t>
            </w:r>
          </w:p>
        </w:tc>
        <w:tc>
          <w:tcPr>
            <w:tcW w:w="3248" w:type="dxa"/>
          </w:tcPr>
          <w:p w14:paraId="1DEE15CE" w14:textId="77777777" w:rsidR="00DD13BF" w:rsidRDefault="00DD13BF" w:rsidP="00355A56">
            <w:pPr>
              <w:pStyle w:val="TableParagraph"/>
              <w:rPr>
                <w:sz w:val="20"/>
              </w:rPr>
            </w:pPr>
            <w:r>
              <w:rPr>
                <w:sz w:val="20"/>
              </w:rPr>
              <w:t>More developed</w:t>
            </w:r>
          </w:p>
        </w:tc>
        <w:tc>
          <w:tcPr>
            <w:tcW w:w="3098" w:type="dxa"/>
          </w:tcPr>
          <w:p w14:paraId="51C74ECF" w14:textId="77777777" w:rsidR="00DD13BF" w:rsidRDefault="00DD13BF" w:rsidP="00355A56">
            <w:pPr>
              <w:pStyle w:val="TableParagraph"/>
              <w:rPr>
                <w:sz w:val="20"/>
              </w:rPr>
            </w:pPr>
            <w:r>
              <w:rPr>
                <w:color w:val="000000"/>
                <w:sz w:val="20"/>
              </w:rPr>
              <w:t>ESO4.7</w:t>
            </w:r>
          </w:p>
        </w:tc>
        <w:tc>
          <w:tcPr>
            <w:tcW w:w="1160" w:type="dxa"/>
          </w:tcPr>
          <w:p w14:paraId="66274645" w14:textId="77777777" w:rsidR="00DD13BF" w:rsidRDefault="00DD13BF" w:rsidP="00355A56">
            <w:pPr>
              <w:pStyle w:val="TableParagraph"/>
              <w:rPr>
                <w:sz w:val="20"/>
              </w:rPr>
            </w:pPr>
            <w:r>
              <w:rPr>
                <w:sz w:val="20"/>
              </w:rPr>
              <w:t>02</w:t>
            </w:r>
          </w:p>
        </w:tc>
        <w:tc>
          <w:tcPr>
            <w:tcW w:w="2730" w:type="dxa"/>
          </w:tcPr>
          <w:p w14:paraId="0BBFB490" w14:textId="77777777" w:rsidR="00DD13BF" w:rsidRDefault="00DD13BF" w:rsidP="00355A56">
            <w:pPr>
              <w:pStyle w:val="TableParagraph"/>
              <w:rPr>
                <w:sz w:val="20"/>
              </w:rPr>
            </w:pPr>
            <w:r>
              <w:rPr>
                <w:sz w:val="20"/>
              </w:rPr>
              <w:t>15,988,500</w:t>
            </w:r>
          </w:p>
        </w:tc>
      </w:tr>
    </w:tbl>
    <w:p w14:paraId="1C2F236F"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 is applicable when Member State chooses to use Article 6 ESF+ Regulation as well as programme specific actions in gender equality.</w:t>
      </w:r>
    </w:p>
    <w:p w14:paraId="576F20BB" w14:textId="77777777" w:rsidR="00DD13BF" w:rsidRDefault="00DD13BF" w:rsidP="00DD13BF">
      <w:r>
        <w:br w:type="page"/>
      </w:r>
    </w:p>
    <w:p w14:paraId="5D4783BE" w14:textId="77777777" w:rsidR="00DD13BF" w:rsidRPr="00BD3536" w:rsidRDefault="00DD13BF" w:rsidP="00DD13BF">
      <w:pPr>
        <w:pStyle w:val="Naslov4"/>
        <w:ind w:left="1134"/>
      </w:pPr>
      <w:bookmarkStart w:id="49" w:name="_Toc131161722"/>
      <w:r>
        <w:lastRenderedPageBreak/>
        <w:t xml:space="preserve">Specific objective RSO4.2. Improving equal access to inclusive and quality services in education, training and lifelong learning through developing accessible infrastructure, including by fostering resilience for distance and on-line education and </w:t>
      </w:r>
      <w:r>
        <w:cr/>
        <w:t>training (ERDF)</w:t>
      </w:r>
      <w:bookmarkEnd w:id="49"/>
    </w:p>
    <w:p w14:paraId="1B95F9C0" w14:textId="77777777" w:rsidR="00DD13BF" w:rsidRDefault="00DD13BF" w:rsidP="00DD13BF">
      <w:pPr>
        <w:rPr>
          <w:sz w:val="30"/>
        </w:rPr>
      </w:pPr>
    </w:p>
    <w:p w14:paraId="639AF98A" w14:textId="77777777" w:rsidR="00DD13BF" w:rsidRPr="00C10464" w:rsidRDefault="00DD13BF" w:rsidP="00DD13BF">
      <w:pPr>
        <w:pStyle w:val="Naslov5"/>
        <w:spacing w:before="0"/>
      </w:pPr>
      <w:r>
        <w:t>Interventions of the Funds</w:t>
      </w:r>
    </w:p>
    <w:p w14:paraId="4B640537" w14:textId="77777777" w:rsidR="00DD13BF" w:rsidRDefault="00DD13BF" w:rsidP="00DD13BF">
      <w:pPr>
        <w:rPr>
          <w:sz w:val="30"/>
        </w:rPr>
      </w:pPr>
    </w:p>
    <w:p w14:paraId="5728DFE7" w14:textId="77777777" w:rsidR="00DD13BF" w:rsidRDefault="00DD13BF" w:rsidP="00DD13BF">
      <w:pPr>
        <w:ind w:left="1349"/>
        <w:rPr>
          <w:spacing w:val="-2"/>
        </w:rPr>
      </w:pPr>
      <w:r>
        <w:t>Related types of actions:</w:t>
      </w:r>
    </w:p>
    <w:p w14:paraId="5622815A"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4AC7CB14" w14:textId="77777777" w:rsidTr="00355A56">
        <w:trPr>
          <w:trHeight w:val="316"/>
        </w:trPr>
        <w:tc>
          <w:tcPr>
            <w:tcW w:w="12758" w:type="dxa"/>
          </w:tcPr>
          <w:p w14:paraId="04C92AC6" w14:textId="77777777" w:rsidR="00DD13BF" w:rsidRDefault="00DD13BF" w:rsidP="00355A56">
            <w:pPr>
              <w:jc w:val="both"/>
              <w:rPr>
                <w:rFonts w:cstheme="minorHAnsi"/>
              </w:rPr>
            </w:pPr>
            <w:r>
              <w:t>To improve infrastructure for the implementation of the educational process and provide ICT infrastructure to support the digitisation of pedagogical and administrative work related to study activities, and to support the operation of organisations in the youth sector, measures under this specific objective will be aimed at:</w:t>
            </w:r>
          </w:p>
          <w:p w14:paraId="347A8F93" w14:textId="77777777" w:rsidR="00DD13BF" w:rsidRDefault="00DD13BF" w:rsidP="00DD13BF">
            <w:pPr>
              <w:pStyle w:val="Odstavekseznama"/>
              <w:widowControl/>
              <w:numPr>
                <w:ilvl w:val="0"/>
                <w:numId w:val="36"/>
              </w:numPr>
              <w:autoSpaceDE/>
              <w:autoSpaceDN/>
              <w:jc w:val="both"/>
              <w:rPr>
                <w:rFonts w:ascii="Times New Roman" w:hAnsi="Times New Roman" w:cs="Times New Roman"/>
              </w:rPr>
            </w:pPr>
            <w:r>
              <w:rPr>
                <w:rFonts w:ascii="Times New Roman" w:hAnsi="Times New Roman"/>
                <w:i/>
                <w:iCs/>
              </w:rPr>
              <w:t>Investments in existing and new facilities in education</w:t>
            </w:r>
            <w:r>
              <w:rPr>
                <w:rFonts w:ascii="Times New Roman" w:hAnsi="Times New Roman"/>
              </w:rPr>
              <w:t xml:space="preserve">, which will enable the modernisation of the outdated building stock in this area, and provide additional capacities for pupils, students, teachers and professionals, which will meet the modern requirements of the educational process, the strengthening of multidisciplinary education and the development of innovative personnel, along with project and target-oriented educational work. The building stock of educational institutions is extremely large and the needs are great, therefore funds to ensure the physical conditions for the implementation of the educational process are essential. Investments are foreseen in critical educational and higher education infrastructure, which have an important multiplier effect, as they contribute to the higher quality of the educational process and greater resilience of the educational system. The investments will comply with the Strategy for the Greening of Education and Research Infrastructure, which will be prepared as part of the RRP reform by the end of 2022, which will contribute to the green transition. Priority will be given to the understaffed areas, particularly the lack of professionals in education and STEAM occupations, which is also pointed out by the European Commission in Country Report – Slovenia 2022. Data on the age structure of teachers show that one third of primary school teachers and half of secondary school teachers are above 50 years of age, meaning that over a third of primary and secondary school teachers will have to be replaced in the next 15 years. In rural areas, however, there is already a shortage of teachers of subjects such as science, technology, engineering and mathematics. The initial training of employees in education is crucial. In line with the aforementioned, investments in the education infrastructure of the University of Maribor as part of the Innovum innovation platform are proposed as a priority. The funds are entirely planned in the Eastern cohesion region, which is characterised by demographic, social and economic conditions that hinder the development of the region’s potential. Investments in education infrastructure will create the required conditions for multiplier effects, which will enhance the development of the Eastern Slovenia cohesion region. These are investments that will have synergic effects with investment proposals within SO RSO1.1, which will create a comprehensive support environment for facing the challenges of society in the field of education, and research and development. Where relevant, the implementation of measures will comply with the New European Bauhaus initiative to successfully integrate the principles of sustainability, aesthetics and inclusion to find accessible, inclusive, sustainable and attractive </w:t>
            </w:r>
            <w:r>
              <w:rPr>
                <w:rFonts w:ascii="Times New Roman" w:hAnsi="Times New Roman"/>
              </w:rPr>
              <w:lastRenderedPageBreak/>
              <w:t>solutions to climate challenges. Pursuant to the Organisation and Financing of Education Act</w:t>
            </w:r>
            <w:r>
              <w:rPr>
                <w:rStyle w:val="Sprotnaopomba-sklic"/>
                <w:rFonts w:ascii="Times New Roman" w:hAnsi="Times New Roman" w:cs="Times New Roman"/>
              </w:rPr>
              <w:footnoteReference w:id="162"/>
            </w:r>
            <w:r>
              <w:rPr>
                <w:rFonts w:ascii="Times New Roman" w:hAnsi="Times New Roman"/>
              </w:rPr>
              <w:t xml:space="preserve"> and the Resolution on National programme of higher education 2030</w:t>
            </w:r>
            <w:r>
              <w:rPr>
                <w:rStyle w:val="Sprotnaopomba-sklic"/>
                <w:rFonts w:ascii="Times New Roman" w:hAnsi="Times New Roman" w:cs="Times New Roman"/>
              </w:rPr>
              <w:footnoteReference w:id="163"/>
            </w:r>
            <w:r>
              <w:rPr>
                <w:rFonts w:ascii="Times New Roman" w:hAnsi="Times New Roman"/>
              </w:rPr>
              <w:t>, we will, by investing in the development of public education infrastructure, contribute to measures to achieve strategic objectives in the field of quality, which are particularly focused on introducing the topic of solidarity, quality of work, social security, social cohesion, the inclusion of vulnerable and marginal groups, non-discrimination and similar. The measure complements the two measures in the field of strengthening the suitability of the education system for the labour market under the SO ESO4.5.</w:t>
            </w:r>
          </w:p>
          <w:p w14:paraId="5CE2C33B" w14:textId="77777777" w:rsidR="00DD13BF" w:rsidRPr="00CD3FED" w:rsidRDefault="00DD13BF" w:rsidP="00355A56">
            <w:pPr>
              <w:pStyle w:val="Odstavekseznama"/>
              <w:ind w:left="720"/>
              <w:jc w:val="both"/>
              <w:rPr>
                <w:rFonts w:ascii="Times New Roman" w:hAnsi="Times New Roman" w:cs="Times New Roman"/>
              </w:rPr>
            </w:pPr>
          </w:p>
          <w:p w14:paraId="02689D8E" w14:textId="77777777" w:rsidR="00DD13BF" w:rsidRPr="005645C8" w:rsidRDefault="00DD13BF" w:rsidP="00DD13BF">
            <w:pPr>
              <w:pStyle w:val="Odstavekseznama"/>
              <w:widowControl/>
              <w:numPr>
                <w:ilvl w:val="0"/>
                <w:numId w:val="36"/>
              </w:numPr>
              <w:autoSpaceDE/>
              <w:autoSpaceDN/>
              <w:ind w:left="747"/>
              <w:jc w:val="both"/>
            </w:pPr>
            <w:r>
              <w:rPr>
                <w:rFonts w:ascii="Times New Roman" w:hAnsi="Times New Roman"/>
              </w:rPr>
              <w:t xml:space="preserve">Providing suitable </w:t>
            </w:r>
            <w:r>
              <w:rPr>
                <w:rFonts w:ascii="Times New Roman" w:hAnsi="Times New Roman"/>
                <w:i/>
                <w:iCs/>
              </w:rPr>
              <w:t>information and communication technology in public higher education institutions and public higher education libraries</w:t>
            </w:r>
            <w:r>
              <w:rPr>
                <w:rFonts w:ascii="Times New Roman" w:hAnsi="Times New Roman"/>
              </w:rPr>
              <w:t xml:space="preserve"> to support the digitisation of the higher education study process in the classroom and remotely, and the administrative work directly related to it. Adequate ICT (infrastructure and equipment) in higher education institutions will be provided to improve the quality of the study process and increase the resilience of the remote learning process. The provision of equipment and infrastructure services complements the establishment of a comprehensive support environment in higher education institutions focused on the student and activities for the successful and prompt completion of studies (measure under the SO ESO4.5), and the development of digital competences of students or graduates within the framework of the reform and investment in the RRP. </w:t>
            </w:r>
          </w:p>
          <w:p w14:paraId="02711261" w14:textId="77777777" w:rsidR="00DD13BF" w:rsidRPr="00602812" w:rsidRDefault="00DD13BF" w:rsidP="00355A56">
            <w:pPr>
              <w:pStyle w:val="Odstavekseznama"/>
              <w:ind w:left="747" w:hanging="360"/>
              <w:jc w:val="both"/>
              <w:rPr>
                <w:rFonts w:ascii="Times New Roman" w:hAnsi="Times New Roman"/>
              </w:rPr>
            </w:pPr>
          </w:p>
          <w:p w14:paraId="46DAB2C9" w14:textId="77777777" w:rsidR="00DD13BF" w:rsidRPr="000F0D79" w:rsidRDefault="00DD13BF" w:rsidP="00DD13BF">
            <w:pPr>
              <w:pStyle w:val="Odstavekseznama"/>
              <w:widowControl/>
              <w:numPr>
                <w:ilvl w:val="0"/>
                <w:numId w:val="36"/>
              </w:numPr>
              <w:autoSpaceDE/>
              <w:autoSpaceDN/>
              <w:jc w:val="both"/>
              <w:rPr>
                <w:rFonts w:cstheme="minorHAnsi"/>
              </w:rPr>
            </w:pPr>
            <w:r>
              <w:rPr>
                <w:rFonts w:ascii="Times New Roman" w:hAnsi="Times New Roman"/>
              </w:rPr>
              <w:t xml:space="preserve">Providing suitable </w:t>
            </w:r>
            <w:r>
              <w:rPr>
                <w:rFonts w:ascii="Times New Roman" w:hAnsi="Times New Roman"/>
                <w:i/>
                <w:iCs/>
              </w:rPr>
              <w:t>ICT infrastructure and equipment in organisations in the youth sector</w:t>
            </w:r>
            <w:r>
              <w:rPr>
                <w:rFonts w:ascii="Times New Roman" w:hAnsi="Times New Roman"/>
              </w:rPr>
              <w:t>, which will ensure the basic conditions for the implementation and development of quality youth work and informal education to additionally enhance young people’s competences for greater employability and active citizenship through quality youth work (measure under the SO ESO4 .7).</w:t>
            </w:r>
            <w:r>
              <w:t xml:space="preserve"> </w:t>
            </w:r>
          </w:p>
          <w:p w14:paraId="4F09A58D" w14:textId="77777777" w:rsidR="00DD13BF" w:rsidRDefault="00DD13BF" w:rsidP="00355A56">
            <w:pPr>
              <w:jc w:val="both"/>
              <w:rPr>
                <w:rFonts w:cstheme="minorHAnsi"/>
              </w:rPr>
            </w:pPr>
          </w:p>
          <w:p w14:paraId="4020F0EF" w14:textId="77777777" w:rsidR="00DD13BF" w:rsidRPr="00054EC0" w:rsidRDefault="00DD13BF" w:rsidP="00355A56">
            <w:pPr>
              <w:jc w:val="both"/>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annex Mitigation Measures and Recommendations, will be taken into account. In accordance with the Technical guidance on the application of ‘do no significant harm’, the impact of each planned measure on the environmental objectives was assessed and it was concluded that none of the planned measures under this specific objective has a significant adverse impact on any of the six environmental objectives, taking into account the technical screening criteria listed in annex DNSH.</w:t>
            </w:r>
          </w:p>
        </w:tc>
      </w:tr>
    </w:tbl>
    <w:p w14:paraId="6DC69854" w14:textId="77777777" w:rsidR="00DD13BF" w:rsidRDefault="00DD13BF" w:rsidP="00DD13BF">
      <w:pPr>
        <w:ind w:left="1349"/>
        <w:rPr>
          <w:spacing w:val="-6"/>
        </w:rPr>
      </w:pPr>
    </w:p>
    <w:p w14:paraId="76CEB517" w14:textId="77777777" w:rsidR="00DD13BF" w:rsidRDefault="00DD13BF" w:rsidP="00DD13BF">
      <w:pPr>
        <w:ind w:left="1349"/>
      </w:pPr>
      <w:r>
        <w:t>Main target groups:</w:t>
      </w:r>
    </w:p>
    <w:p w14:paraId="730626D1"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346A4CF" w14:textId="77777777" w:rsidTr="00355A56">
        <w:tc>
          <w:tcPr>
            <w:tcW w:w="12763" w:type="dxa"/>
          </w:tcPr>
          <w:p w14:paraId="4E0C1CAE" w14:textId="77777777" w:rsidR="00DD13BF" w:rsidRDefault="00DD13BF" w:rsidP="00355A56">
            <w:pPr>
              <w:rPr>
                <w:rFonts w:cstheme="minorBidi"/>
              </w:rPr>
            </w:pPr>
            <w:r>
              <w:t>Target groups: educational institutions, higher educational institutions, public higher education libraries, organisations in the youth sector and other stakeholders.</w:t>
            </w:r>
          </w:p>
          <w:p w14:paraId="41B529AF" w14:textId="77777777" w:rsidR="00DD13BF" w:rsidRDefault="00DD13BF" w:rsidP="00355A56">
            <w:pPr>
              <w:rPr>
                <w:rFonts w:cstheme="minorBidi"/>
              </w:rPr>
            </w:pPr>
          </w:p>
          <w:p w14:paraId="5E0CFCAF" w14:textId="77777777" w:rsidR="00DD13BF" w:rsidRPr="00B32726" w:rsidRDefault="00DD13BF" w:rsidP="00355A56">
            <w:r>
              <w:t>Beneficiaries: educational institutions, higher educational institutions, public higher education libraries, organisations in the youth sector and other stakeholders.</w:t>
            </w:r>
          </w:p>
        </w:tc>
      </w:tr>
    </w:tbl>
    <w:p w14:paraId="382D6DDE" w14:textId="77777777" w:rsidR="00DD13BF" w:rsidRPr="006B7178" w:rsidRDefault="00DD13BF" w:rsidP="00DD13BF">
      <w:pPr>
        <w:ind w:left="1349"/>
      </w:pPr>
    </w:p>
    <w:p w14:paraId="41DCC13A" w14:textId="77777777" w:rsidR="00DD13BF" w:rsidRDefault="00DD13BF" w:rsidP="00DD13BF">
      <w:pPr>
        <w:ind w:left="1349"/>
        <w:rPr>
          <w:spacing w:val="-2"/>
        </w:rPr>
      </w:pPr>
      <w:r>
        <w:t>Measures to protect equality, inclusion and non-discrimination:</w:t>
      </w:r>
    </w:p>
    <w:p w14:paraId="4CEDB745"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25559991" w14:textId="77777777" w:rsidTr="00355A56">
        <w:tc>
          <w:tcPr>
            <w:tcW w:w="12715" w:type="dxa"/>
          </w:tcPr>
          <w:p w14:paraId="569CACCE" w14:textId="77777777" w:rsidR="00DD13BF" w:rsidRPr="0059219D" w:rsidRDefault="00DD13BF" w:rsidP="00355A56">
            <w:pPr>
              <w:jc w:val="both"/>
              <w:rPr>
                <w:rFonts w:cstheme="minorHAnsi"/>
              </w:rPr>
            </w:pPr>
            <w:r>
              <w:t xml:space="preserve">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This principle will also be taken into account within the framework of the management and control system. </w:t>
            </w:r>
          </w:p>
          <w:p w14:paraId="539E3366" w14:textId="77777777" w:rsidR="00DD13BF" w:rsidRPr="0059219D" w:rsidRDefault="00DD13BF" w:rsidP="00355A56">
            <w:pPr>
              <w:jc w:val="both"/>
              <w:rPr>
                <w:rFonts w:cstheme="minorHAnsi"/>
              </w:rPr>
            </w:pPr>
          </w:p>
          <w:p w14:paraId="7726C4B7" w14:textId="77777777" w:rsidR="00DD13BF" w:rsidRPr="00B3569A" w:rsidDel="00CC2146" w:rsidRDefault="00DD13BF" w:rsidP="00355A56">
            <w:pPr>
              <w:jc w:val="both"/>
              <w:rPr>
                <w:rFonts w:cstheme="minorHAnsi"/>
              </w:rPr>
            </w:pPr>
            <w:r>
              <w:t>Under this specific objective, the construction of buildings will facilitate accessibility through architectural adaptability for all population groups, particularly for persons with disabilities. At the same time, investments in the education and higher education infrastructure will provide accessibility for all students in accordance with the basic principles of education. In accordance with national legislation and strategic documents (ZOFVI and ReNPVŠ30), we will, by investing in the development of this infrastructure, contribute to the objectives of providing quality education or study accessible to all EU citizens at all levels of education, regardless of the individual’s personal circumstances, as the measures are particularly focused on the established topics of solidarity, quality of work, social security, social cohesion, the inclusion of vulnerable and marginal groups, non-discrimination and similar. The measure to provide ICT infrastructure in higher education and organisations in the youth sector will ensure greater accessibility to the services provided by the relevant institutions, which will in turn enable greater involvement of young people in tertiary and informal education.</w:t>
            </w:r>
          </w:p>
        </w:tc>
      </w:tr>
    </w:tbl>
    <w:p w14:paraId="5FF11788" w14:textId="77777777" w:rsidR="00DD13BF" w:rsidRDefault="00DD13BF" w:rsidP="00DD13BF">
      <w:pPr>
        <w:rPr>
          <w:sz w:val="20"/>
        </w:rPr>
      </w:pPr>
    </w:p>
    <w:p w14:paraId="3F209DAA" w14:textId="77777777" w:rsidR="00DD13BF" w:rsidRDefault="00DD13BF" w:rsidP="00DD13BF">
      <w:pPr>
        <w:ind w:left="1415"/>
        <w:rPr>
          <w:spacing w:val="-4"/>
        </w:rPr>
      </w:pPr>
      <w:r>
        <w:t>Indication of the specific territories targeted, including the planned use of territorial tools:</w:t>
      </w:r>
    </w:p>
    <w:p w14:paraId="614D53C1"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17A166E8" w14:textId="77777777" w:rsidTr="00355A56">
        <w:tc>
          <w:tcPr>
            <w:tcW w:w="12763" w:type="dxa"/>
          </w:tcPr>
          <w:p w14:paraId="6E92FA83" w14:textId="77777777" w:rsidR="00DD13BF" w:rsidRPr="00B3569A" w:rsidRDefault="00DD13BF" w:rsidP="00355A56">
            <w:pPr>
              <w:jc w:val="both"/>
              <w:rPr>
                <w:rFonts w:cstheme="minorHAnsi"/>
              </w:rPr>
            </w:pPr>
            <w:r>
              <w:t>From the aspect of regions, the funds under this specific objective are planned only for the Eastern Slovenia cohesion region, as the latter lags behind the Western Slovenia cohesion region in terms of development, and is characterised by demographic, social and economic conditions that hinder the development of the region’s potential. Therefore, the required conditions for multiplier effects must be created, which will enhance the development of the Eastern Slovenia cohesion region. An additional reason from the aspect of higher education infrastructure is that as many as 44% of students who have permanent residence in the Eastern Slovenia cohesion region study at higher education institutions in the Western Slovenia cohesion region. The measures will ensure adequate infrastructure and equipment, including ICT, in higher education institutions, which will provide greater access to higher education in the region where students live, which is easier for the socially disadvantaged, who may decide to study in the Eastern Slovenia cohesion region. Under this specific objective, the use of territorial approaches is not foreseen.</w:t>
            </w:r>
          </w:p>
        </w:tc>
      </w:tr>
    </w:tbl>
    <w:p w14:paraId="25F59ABD" w14:textId="77777777" w:rsidR="00DD13BF" w:rsidRDefault="00DD13BF" w:rsidP="00DD13BF">
      <w:pPr>
        <w:rPr>
          <w:sz w:val="18"/>
        </w:rPr>
      </w:pPr>
    </w:p>
    <w:p w14:paraId="5A3E10F0" w14:textId="77777777" w:rsidR="00DD13BF" w:rsidRDefault="00DD13BF" w:rsidP="00DD13BF">
      <w:pPr>
        <w:ind w:left="1415"/>
      </w:pPr>
      <w:r>
        <w:t>The interregional, cross-border and transnational actions:</w:t>
      </w:r>
    </w:p>
    <w:p w14:paraId="1A1C9D95"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6FC31F66" w14:textId="77777777" w:rsidTr="00355A56">
        <w:tc>
          <w:tcPr>
            <w:tcW w:w="12763" w:type="dxa"/>
          </w:tcPr>
          <w:p w14:paraId="56D6212A" w14:textId="77777777" w:rsidR="00DD13BF" w:rsidRPr="00B3569A" w:rsidRDefault="00DD13BF" w:rsidP="00355A56">
            <w:pPr>
              <w:jc w:val="both"/>
              <w:rPr>
                <w:rFonts w:cstheme="minorHAnsi"/>
              </w:rPr>
            </w:pPr>
            <w:r>
              <w:t>The interregional, cross-border and transnational actions are not foreseen under this specific objective, as these are investment measures in public educational institutions that operate in the territory of the Republic of Slovenia and are intended primarily for residents of Slovenia.</w:t>
            </w:r>
          </w:p>
        </w:tc>
      </w:tr>
    </w:tbl>
    <w:p w14:paraId="2B986F69" w14:textId="77777777" w:rsidR="00DD13BF" w:rsidRDefault="00DD13BF" w:rsidP="00DD13BF">
      <w:pPr>
        <w:rPr>
          <w:sz w:val="17"/>
        </w:rPr>
      </w:pPr>
    </w:p>
    <w:p w14:paraId="11F6E398" w14:textId="77777777" w:rsidR="00DD13BF" w:rsidRDefault="00DD13BF" w:rsidP="00DD13BF">
      <w:pPr>
        <w:ind w:left="1415"/>
        <w:rPr>
          <w:spacing w:val="-3"/>
        </w:rPr>
      </w:pPr>
      <w:r>
        <w:t>Planned use of financial instruments:</w:t>
      </w:r>
    </w:p>
    <w:p w14:paraId="4785E688"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004219ED" w14:textId="77777777" w:rsidTr="00355A56">
        <w:tc>
          <w:tcPr>
            <w:tcW w:w="12758" w:type="dxa"/>
          </w:tcPr>
          <w:p w14:paraId="76E9BE9A"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These are measures that refer to public educational institutions and organisations in the youth sector, most of which are state-owned or are non-governmental organisations and do not have market activity or it is very limited and dedicated, therefore, they cannot borrow money on the market.</w:t>
            </w:r>
          </w:p>
        </w:tc>
      </w:tr>
    </w:tbl>
    <w:p w14:paraId="02E955DE" w14:textId="77777777" w:rsidR="00DD13BF" w:rsidRDefault="00DD13BF" w:rsidP="00DD13BF">
      <w:pPr>
        <w:rPr>
          <w:sz w:val="20"/>
        </w:rPr>
      </w:pPr>
    </w:p>
    <w:p w14:paraId="4C8FE50A" w14:textId="77777777" w:rsidR="00DD13BF" w:rsidRDefault="00DD13BF" w:rsidP="00DD13BF">
      <w:pPr>
        <w:rPr>
          <w:sz w:val="20"/>
        </w:rPr>
      </w:pPr>
    </w:p>
    <w:p w14:paraId="47528C1C" w14:textId="77777777" w:rsidR="00DD13BF" w:rsidRDefault="00DD13BF" w:rsidP="00DD13BF">
      <w:pPr>
        <w:pStyle w:val="Naslov5"/>
        <w:spacing w:before="0"/>
      </w:pPr>
      <w:r>
        <w:t>Indicators</w:t>
      </w:r>
    </w:p>
    <w:p w14:paraId="44D5DFC5" w14:textId="77777777" w:rsidR="00DD13BF" w:rsidRDefault="00DD13BF" w:rsidP="00DD13BF"/>
    <w:p w14:paraId="5BF65AFC" w14:textId="77777777" w:rsidR="00DD13BF" w:rsidRDefault="00DD13BF" w:rsidP="00DD13BF">
      <w:pPr>
        <w:ind w:left="379"/>
      </w:pPr>
      <w:r>
        <w:t>Table 2: Impact indicators</w:t>
      </w:r>
    </w:p>
    <w:p w14:paraId="150D6E42"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276"/>
        <w:gridCol w:w="708"/>
        <w:gridCol w:w="1701"/>
        <w:gridCol w:w="778"/>
        <w:gridCol w:w="4325"/>
        <w:gridCol w:w="1276"/>
        <w:gridCol w:w="1418"/>
        <w:gridCol w:w="1134"/>
      </w:tblGrid>
      <w:tr w:rsidR="00DD13BF" w14:paraId="1FDF11FA" w14:textId="77777777" w:rsidTr="00355A56">
        <w:trPr>
          <w:trHeight w:val="254"/>
        </w:trPr>
        <w:tc>
          <w:tcPr>
            <w:tcW w:w="1125" w:type="dxa"/>
            <w:vAlign w:val="center"/>
          </w:tcPr>
          <w:p w14:paraId="3F4BA55B" w14:textId="77777777" w:rsidR="00DD13BF" w:rsidRDefault="00DD13BF" w:rsidP="00355A56">
            <w:pPr>
              <w:pStyle w:val="TableParagraph"/>
              <w:ind w:right="82"/>
            </w:pPr>
            <w:r>
              <w:t>Priority</w:t>
            </w:r>
          </w:p>
        </w:tc>
        <w:tc>
          <w:tcPr>
            <w:tcW w:w="1276" w:type="dxa"/>
            <w:vAlign w:val="center"/>
          </w:tcPr>
          <w:p w14:paraId="5413638E" w14:textId="77777777" w:rsidR="00DD13BF" w:rsidRDefault="00DD13BF" w:rsidP="00355A56">
            <w:pPr>
              <w:pStyle w:val="TableParagraph"/>
            </w:pPr>
            <w:r>
              <w:t>Specific objective</w:t>
            </w:r>
          </w:p>
        </w:tc>
        <w:tc>
          <w:tcPr>
            <w:tcW w:w="708" w:type="dxa"/>
            <w:vAlign w:val="center"/>
          </w:tcPr>
          <w:p w14:paraId="06DF3414" w14:textId="77777777" w:rsidR="00DD13BF" w:rsidRDefault="00DD13BF" w:rsidP="00355A56">
            <w:pPr>
              <w:pStyle w:val="TableParagraph"/>
            </w:pPr>
            <w:r>
              <w:t>Fund</w:t>
            </w:r>
          </w:p>
        </w:tc>
        <w:tc>
          <w:tcPr>
            <w:tcW w:w="1701" w:type="dxa"/>
            <w:vAlign w:val="center"/>
          </w:tcPr>
          <w:p w14:paraId="3BDD8F8D" w14:textId="77777777" w:rsidR="00DD13BF" w:rsidRDefault="00DD13BF" w:rsidP="00355A56">
            <w:pPr>
              <w:pStyle w:val="TableParagraph"/>
            </w:pPr>
            <w:r>
              <w:t>Category of region</w:t>
            </w:r>
          </w:p>
        </w:tc>
        <w:tc>
          <w:tcPr>
            <w:tcW w:w="778" w:type="dxa"/>
            <w:vAlign w:val="center"/>
          </w:tcPr>
          <w:p w14:paraId="3DD8D51C" w14:textId="77777777" w:rsidR="00DD13BF" w:rsidRPr="00347461" w:rsidRDefault="00DD13BF" w:rsidP="00355A56">
            <w:pPr>
              <w:pStyle w:val="TableParagraph"/>
              <w:rPr>
                <w:sz w:val="20"/>
              </w:rPr>
            </w:pPr>
            <w:r>
              <w:t>ID</w:t>
            </w:r>
          </w:p>
        </w:tc>
        <w:tc>
          <w:tcPr>
            <w:tcW w:w="4325" w:type="dxa"/>
            <w:vAlign w:val="center"/>
          </w:tcPr>
          <w:p w14:paraId="4274788D" w14:textId="77777777" w:rsidR="00DD13BF" w:rsidRPr="00347461" w:rsidRDefault="00DD13BF" w:rsidP="00355A56">
            <w:pPr>
              <w:pStyle w:val="TableParagraph"/>
              <w:rPr>
                <w:sz w:val="20"/>
              </w:rPr>
            </w:pPr>
            <w:r>
              <w:t>Indicators</w:t>
            </w:r>
          </w:p>
        </w:tc>
        <w:tc>
          <w:tcPr>
            <w:tcW w:w="1276" w:type="dxa"/>
            <w:vAlign w:val="center"/>
          </w:tcPr>
          <w:p w14:paraId="094189D9" w14:textId="77777777" w:rsidR="00DD13BF" w:rsidRPr="00347461" w:rsidRDefault="00DD13BF" w:rsidP="00355A56">
            <w:pPr>
              <w:pStyle w:val="TableParagraph"/>
              <w:rPr>
                <w:sz w:val="20"/>
              </w:rPr>
            </w:pPr>
            <w:r>
              <w:t>Measurement unit</w:t>
            </w:r>
          </w:p>
        </w:tc>
        <w:tc>
          <w:tcPr>
            <w:tcW w:w="1418" w:type="dxa"/>
            <w:vAlign w:val="center"/>
          </w:tcPr>
          <w:p w14:paraId="32520E65" w14:textId="77777777" w:rsidR="00DD13BF" w:rsidRPr="00347461" w:rsidRDefault="00DD13BF" w:rsidP="00355A56">
            <w:pPr>
              <w:pStyle w:val="TableParagraph"/>
              <w:rPr>
                <w:sz w:val="20"/>
              </w:rPr>
            </w:pPr>
            <w:r>
              <w:t>Milestone (2014)</w:t>
            </w:r>
          </w:p>
        </w:tc>
        <w:tc>
          <w:tcPr>
            <w:tcW w:w="1134" w:type="dxa"/>
            <w:vAlign w:val="center"/>
          </w:tcPr>
          <w:p w14:paraId="10FEF3E3" w14:textId="77777777" w:rsidR="00DD13BF" w:rsidRDefault="00DD13BF" w:rsidP="00355A56">
            <w:pPr>
              <w:pStyle w:val="TableParagraph"/>
            </w:pPr>
            <w:r>
              <w:t>Target (2029)</w:t>
            </w:r>
          </w:p>
        </w:tc>
      </w:tr>
      <w:tr w:rsidR="00DD13BF" w14:paraId="2BBB8524" w14:textId="77777777" w:rsidTr="00355A56">
        <w:trPr>
          <w:trHeight w:val="367"/>
        </w:trPr>
        <w:tc>
          <w:tcPr>
            <w:tcW w:w="1125" w:type="dxa"/>
          </w:tcPr>
          <w:p w14:paraId="4BC15460" w14:textId="77777777" w:rsidR="00DD13BF" w:rsidRDefault="00DD13BF" w:rsidP="00355A56">
            <w:pPr>
              <w:pStyle w:val="TableParagraph"/>
              <w:rPr>
                <w:sz w:val="20"/>
              </w:rPr>
            </w:pPr>
            <w:r>
              <w:rPr>
                <w:sz w:val="20"/>
              </w:rPr>
              <w:t>6</w:t>
            </w:r>
          </w:p>
        </w:tc>
        <w:tc>
          <w:tcPr>
            <w:tcW w:w="1276" w:type="dxa"/>
          </w:tcPr>
          <w:p w14:paraId="52CEB553" w14:textId="77777777" w:rsidR="00DD13BF" w:rsidRPr="00347461" w:rsidRDefault="00DD13BF" w:rsidP="00355A56">
            <w:pPr>
              <w:pStyle w:val="TableParagraph"/>
              <w:rPr>
                <w:sz w:val="20"/>
              </w:rPr>
            </w:pPr>
            <w:r>
              <w:rPr>
                <w:color w:val="000000"/>
                <w:sz w:val="20"/>
              </w:rPr>
              <w:t>RSO4.2</w:t>
            </w:r>
          </w:p>
        </w:tc>
        <w:tc>
          <w:tcPr>
            <w:tcW w:w="708" w:type="dxa"/>
          </w:tcPr>
          <w:p w14:paraId="5F0F11CF" w14:textId="77777777" w:rsidR="00DD13BF" w:rsidRDefault="00DD13BF" w:rsidP="00355A56">
            <w:pPr>
              <w:pStyle w:val="TableParagraph"/>
              <w:rPr>
                <w:sz w:val="20"/>
              </w:rPr>
            </w:pPr>
            <w:r>
              <w:rPr>
                <w:sz w:val="20"/>
              </w:rPr>
              <w:t>ERDF</w:t>
            </w:r>
          </w:p>
        </w:tc>
        <w:tc>
          <w:tcPr>
            <w:tcW w:w="1701" w:type="dxa"/>
          </w:tcPr>
          <w:p w14:paraId="602B182D" w14:textId="77777777" w:rsidR="00DD13BF" w:rsidRDefault="00DD13BF" w:rsidP="00355A56">
            <w:pPr>
              <w:pStyle w:val="TableParagraph"/>
              <w:rPr>
                <w:sz w:val="20"/>
              </w:rPr>
            </w:pPr>
            <w:r>
              <w:rPr>
                <w:sz w:val="20"/>
              </w:rPr>
              <w:t>Less developed</w:t>
            </w:r>
          </w:p>
          <w:p w14:paraId="704B585A" w14:textId="77777777" w:rsidR="00DD13BF" w:rsidRDefault="00DD13BF" w:rsidP="00355A56">
            <w:pPr>
              <w:pStyle w:val="TableParagraph"/>
              <w:rPr>
                <w:sz w:val="20"/>
              </w:rPr>
            </w:pPr>
          </w:p>
        </w:tc>
        <w:tc>
          <w:tcPr>
            <w:tcW w:w="778" w:type="dxa"/>
          </w:tcPr>
          <w:p w14:paraId="15896504" w14:textId="77777777" w:rsidR="00DD13BF" w:rsidRPr="00347461" w:rsidRDefault="00DD13BF" w:rsidP="00355A56">
            <w:pPr>
              <w:pStyle w:val="TableParagraph"/>
              <w:rPr>
                <w:sz w:val="20"/>
              </w:rPr>
            </w:pPr>
            <w:r>
              <w:rPr>
                <w:sz w:val="20"/>
              </w:rPr>
              <w:t>RCO67</w:t>
            </w:r>
          </w:p>
        </w:tc>
        <w:tc>
          <w:tcPr>
            <w:tcW w:w="4325" w:type="dxa"/>
          </w:tcPr>
          <w:p w14:paraId="52F508B8" w14:textId="77777777" w:rsidR="00DD13BF" w:rsidRPr="009F5B5B" w:rsidRDefault="00DD13BF" w:rsidP="00355A56">
            <w:pPr>
              <w:pStyle w:val="TableParagraph"/>
              <w:rPr>
                <w:sz w:val="20"/>
              </w:rPr>
            </w:pPr>
            <w:r>
              <w:rPr>
                <w:sz w:val="20"/>
              </w:rPr>
              <w:t>Classroom capacity of new or modernised childcare facilities</w:t>
            </w:r>
          </w:p>
        </w:tc>
        <w:tc>
          <w:tcPr>
            <w:tcW w:w="1276" w:type="dxa"/>
          </w:tcPr>
          <w:p w14:paraId="1D5C5283" w14:textId="77777777" w:rsidR="00DD13BF" w:rsidRPr="009F5B5B" w:rsidRDefault="00DD13BF" w:rsidP="00355A56">
            <w:pPr>
              <w:pStyle w:val="TableParagraph"/>
              <w:rPr>
                <w:sz w:val="20"/>
              </w:rPr>
            </w:pPr>
            <w:r>
              <w:rPr>
                <w:sz w:val="20"/>
              </w:rPr>
              <w:t>Persons</w:t>
            </w:r>
          </w:p>
        </w:tc>
        <w:tc>
          <w:tcPr>
            <w:tcW w:w="1418" w:type="dxa"/>
          </w:tcPr>
          <w:p w14:paraId="79D632FE" w14:textId="77777777" w:rsidR="00DD13BF" w:rsidRPr="00347461" w:rsidRDefault="00DD13BF" w:rsidP="00355A56">
            <w:pPr>
              <w:pStyle w:val="TableParagraph"/>
              <w:rPr>
                <w:sz w:val="20"/>
              </w:rPr>
            </w:pPr>
            <w:r>
              <w:rPr>
                <w:sz w:val="20"/>
              </w:rPr>
              <w:t>0</w:t>
            </w:r>
          </w:p>
        </w:tc>
        <w:tc>
          <w:tcPr>
            <w:tcW w:w="1134" w:type="dxa"/>
          </w:tcPr>
          <w:p w14:paraId="296F3E73" w14:textId="77777777" w:rsidR="00DD13BF" w:rsidRDefault="00DD13BF" w:rsidP="00355A56">
            <w:pPr>
              <w:pStyle w:val="TableParagraph"/>
              <w:rPr>
                <w:sz w:val="20"/>
              </w:rPr>
            </w:pPr>
            <w:r>
              <w:rPr>
                <w:sz w:val="20"/>
              </w:rPr>
              <w:t>500</w:t>
            </w:r>
          </w:p>
        </w:tc>
      </w:tr>
      <w:tr w:rsidR="00DD13BF" w14:paraId="46E74A0C" w14:textId="77777777" w:rsidTr="00355A56">
        <w:trPr>
          <w:trHeight w:val="367"/>
        </w:trPr>
        <w:tc>
          <w:tcPr>
            <w:tcW w:w="1125" w:type="dxa"/>
          </w:tcPr>
          <w:p w14:paraId="53EF74DE" w14:textId="77777777" w:rsidR="00DD13BF" w:rsidRDefault="00DD13BF" w:rsidP="00355A56">
            <w:pPr>
              <w:pStyle w:val="TableParagraph"/>
              <w:rPr>
                <w:sz w:val="20"/>
              </w:rPr>
            </w:pPr>
            <w:r>
              <w:rPr>
                <w:sz w:val="20"/>
              </w:rPr>
              <w:t>6</w:t>
            </w:r>
          </w:p>
        </w:tc>
        <w:tc>
          <w:tcPr>
            <w:tcW w:w="1276" w:type="dxa"/>
          </w:tcPr>
          <w:p w14:paraId="24634ABB" w14:textId="77777777" w:rsidR="00DD13BF" w:rsidRPr="00347461" w:rsidRDefault="00DD13BF" w:rsidP="00355A56">
            <w:pPr>
              <w:pStyle w:val="TableParagraph"/>
              <w:rPr>
                <w:sz w:val="20"/>
              </w:rPr>
            </w:pPr>
            <w:r>
              <w:rPr>
                <w:color w:val="000000"/>
                <w:sz w:val="20"/>
              </w:rPr>
              <w:t>RSO4.2</w:t>
            </w:r>
          </w:p>
        </w:tc>
        <w:tc>
          <w:tcPr>
            <w:tcW w:w="708" w:type="dxa"/>
          </w:tcPr>
          <w:p w14:paraId="1036B8DC" w14:textId="77777777" w:rsidR="00DD13BF" w:rsidRDefault="00DD13BF" w:rsidP="00355A56">
            <w:pPr>
              <w:pStyle w:val="TableParagraph"/>
              <w:rPr>
                <w:sz w:val="20"/>
              </w:rPr>
            </w:pPr>
            <w:r>
              <w:rPr>
                <w:sz w:val="20"/>
              </w:rPr>
              <w:t>ERDF</w:t>
            </w:r>
          </w:p>
        </w:tc>
        <w:tc>
          <w:tcPr>
            <w:tcW w:w="1701" w:type="dxa"/>
          </w:tcPr>
          <w:p w14:paraId="1E5E89FE" w14:textId="77777777" w:rsidR="00DD13BF" w:rsidRDefault="00DD13BF" w:rsidP="00355A56">
            <w:pPr>
              <w:pStyle w:val="TableParagraph"/>
              <w:rPr>
                <w:sz w:val="20"/>
              </w:rPr>
            </w:pPr>
            <w:r>
              <w:rPr>
                <w:sz w:val="20"/>
              </w:rPr>
              <w:t>Less developed</w:t>
            </w:r>
          </w:p>
          <w:p w14:paraId="2BE0A659" w14:textId="77777777" w:rsidR="00DD13BF" w:rsidRDefault="00DD13BF" w:rsidP="00355A56">
            <w:pPr>
              <w:pStyle w:val="TableParagraph"/>
              <w:rPr>
                <w:sz w:val="20"/>
              </w:rPr>
            </w:pPr>
          </w:p>
        </w:tc>
        <w:tc>
          <w:tcPr>
            <w:tcW w:w="778" w:type="dxa"/>
          </w:tcPr>
          <w:p w14:paraId="645A6C56" w14:textId="77777777" w:rsidR="00DD13BF" w:rsidRPr="00347461" w:rsidRDefault="00DD13BF" w:rsidP="00355A56">
            <w:pPr>
              <w:pStyle w:val="TableParagraph"/>
              <w:rPr>
                <w:sz w:val="20"/>
              </w:rPr>
            </w:pPr>
            <w:r>
              <w:rPr>
                <w:sz w:val="20"/>
              </w:rPr>
              <w:t>11</w:t>
            </w:r>
          </w:p>
        </w:tc>
        <w:tc>
          <w:tcPr>
            <w:tcW w:w="4325" w:type="dxa"/>
          </w:tcPr>
          <w:p w14:paraId="7BFB0E6F" w14:textId="77777777" w:rsidR="00DD13BF" w:rsidRPr="009F5B5B" w:rsidRDefault="00DD13BF" w:rsidP="00355A56">
            <w:pPr>
              <w:pStyle w:val="TableParagraph"/>
              <w:rPr>
                <w:sz w:val="20"/>
              </w:rPr>
            </w:pPr>
            <w:r>
              <w:rPr>
                <w:sz w:val="20"/>
              </w:rPr>
              <w:t>Organisations supported to integrate new ICT equipment and services</w:t>
            </w:r>
          </w:p>
        </w:tc>
        <w:tc>
          <w:tcPr>
            <w:tcW w:w="1276" w:type="dxa"/>
          </w:tcPr>
          <w:p w14:paraId="6965A771" w14:textId="77777777" w:rsidR="00DD13BF" w:rsidRPr="009F5B5B" w:rsidRDefault="00DD13BF" w:rsidP="00355A56">
            <w:pPr>
              <w:pStyle w:val="TableParagraph"/>
              <w:rPr>
                <w:sz w:val="20"/>
              </w:rPr>
            </w:pPr>
            <w:r>
              <w:rPr>
                <w:sz w:val="20"/>
              </w:rPr>
              <w:t>Number</w:t>
            </w:r>
          </w:p>
        </w:tc>
        <w:tc>
          <w:tcPr>
            <w:tcW w:w="1418" w:type="dxa"/>
          </w:tcPr>
          <w:p w14:paraId="7BD58246" w14:textId="77777777" w:rsidR="00DD13BF" w:rsidRPr="00347461" w:rsidRDefault="00DD13BF" w:rsidP="00355A56">
            <w:pPr>
              <w:pStyle w:val="TableParagraph"/>
              <w:rPr>
                <w:sz w:val="20"/>
              </w:rPr>
            </w:pPr>
            <w:r>
              <w:rPr>
                <w:sz w:val="20"/>
              </w:rPr>
              <w:t>2</w:t>
            </w:r>
          </w:p>
        </w:tc>
        <w:tc>
          <w:tcPr>
            <w:tcW w:w="1134" w:type="dxa"/>
          </w:tcPr>
          <w:p w14:paraId="48F3AAAB" w14:textId="77777777" w:rsidR="00DD13BF" w:rsidRDefault="00DD13BF" w:rsidP="00355A56">
            <w:pPr>
              <w:pStyle w:val="TableParagraph"/>
              <w:rPr>
                <w:sz w:val="20"/>
              </w:rPr>
            </w:pPr>
            <w:r>
              <w:rPr>
                <w:sz w:val="20"/>
              </w:rPr>
              <w:t>38</w:t>
            </w:r>
          </w:p>
        </w:tc>
      </w:tr>
    </w:tbl>
    <w:p w14:paraId="321085BA" w14:textId="77777777" w:rsidR="00DD13BF" w:rsidRDefault="00DD13BF" w:rsidP="00DD13BF">
      <w:pPr>
        <w:rPr>
          <w:sz w:val="24"/>
        </w:rPr>
      </w:pPr>
    </w:p>
    <w:p w14:paraId="3EE70278" w14:textId="77777777" w:rsidR="00DD13BF" w:rsidRDefault="00DD13BF" w:rsidP="00DD13BF">
      <w:pPr>
        <w:ind w:left="379"/>
      </w:pPr>
      <w:r>
        <w:t>Table 3: Result indicators</w:t>
      </w:r>
    </w:p>
    <w:p w14:paraId="3F567D86" w14:textId="77777777" w:rsidR="00DD13BF" w:rsidRDefault="00DD13BF" w:rsidP="00DD13BF">
      <w:pPr>
        <w:rPr>
          <w:sz w:val="21"/>
        </w:rPr>
      </w:pPr>
    </w:p>
    <w:tbl>
      <w:tblPr>
        <w:tblStyle w:val="NormalTable0"/>
        <w:tblW w:w="13740"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851"/>
        <w:gridCol w:w="696"/>
        <w:gridCol w:w="1572"/>
        <w:gridCol w:w="709"/>
        <w:gridCol w:w="3401"/>
        <w:gridCol w:w="992"/>
        <w:gridCol w:w="1134"/>
        <w:gridCol w:w="993"/>
        <w:gridCol w:w="708"/>
        <w:gridCol w:w="851"/>
        <w:gridCol w:w="850"/>
      </w:tblGrid>
      <w:tr w:rsidR="00DD13BF" w14:paraId="2393E38E" w14:textId="77777777" w:rsidTr="00355A56">
        <w:trPr>
          <w:trHeight w:val="353"/>
        </w:trPr>
        <w:tc>
          <w:tcPr>
            <w:tcW w:w="983" w:type="dxa"/>
          </w:tcPr>
          <w:p w14:paraId="741A65E7" w14:textId="77777777" w:rsidR="00DD13BF" w:rsidRPr="00347461" w:rsidRDefault="00DD13BF" w:rsidP="00355A56">
            <w:pPr>
              <w:pStyle w:val="TableParagraph"/>
              <w:rPr>
                <w:sz w:val="20"/>
              </w:rPr>
            </w:pPr>
            <w:r>
              <w:rPr>
                <w:sz w:val="20"/>
              </w:rPr>
              <w:t>Priority</w:t>
            </w:r>
          </w:p>
        </w:tc>
        <w:tc>
          <w:tcPr>
            <w:tcW w:w="851" w:type="dxa"/>
          </w:tcPr>
          <w:p w14:paraId="33C44229" w14:textId="77777777" w:rsidR="00DD13BF" w:rsidRPr="00347461" w:rsidRDefault="00DD13BF" w:rsidP="00355A56">
            <w:pPr>
              <w:pStyle w:val="TableParagraph"/>
              <w:rPr>
                <w:sz w:val="20"/>
              </w:rPr>
            </w:pPr>
            <w:r>
              <w:rPr>
                <w:sz w:val="20"/>
              </w:rPr>
              <w:t>Specific objective</w:t>
            </w:r>
          </w:p>
        </w:tc>
        <w:tc>
          <w:tcPr>
            <w:tcW w:w="696" w:type="dxa"/>
          </w:tcPr>
          <w:p w14:paraId="0B2AE076" w14:textId="77777777" w:rsidR="00DD13BF" w:rsidRPr="00347461" w:rsidRDefault="00DD13BF" w:rsidP="00355A56">
            <w:pPr>
              <w:pStyle w:val="TableParagraph"/>
              <w:rPr>
                <w:sz w:val="20"/>
              </w:rPr>
            </w:pPr>
            <w:r>
              <w:rPr>
                <w:sz w:val="20"/>
              </w:rPr>
              <w:t>Fund</w:t>
            </w:r>
          </w:p>
        </w:tc>
        <w:tc>
          <w:tcPr>
            <w:tcW w:w="1572" w:type="dxa"/>
          </w:tcPr>
          <w:p w14:paraId="06F1BFE0" w14:textId="77777777" w:rsidR="00DD13BF" w:rsidRPr="00347461" w:rsidRDefault="00DD13BF" w:rsidP="00355A56">
            <w:pPr>
              <w:pStyle w:val="TableParagraph"/>
              <w:rPr>
                <w:sz w:val="20"/>
              </w:rPr>
            </w:pPr>
            <w:r>
              <w:rPr>
                <w:sz w:val="20"/>
              </w:rPr>
              <w:t>Category of region</w:t>
            </w:r>
          </w:p>
        </w:tc>
        <w:tc>
          <w:tcPr>
            <w:tcW w:w="709" w:type="dxa"/>
          </w:tcPr>
          <w:p w14:paraId="035A9FEA" w14:textId="77777777" w:rsidR="00DD13BF" w:rsidRPr="00347461" w:rsidRDefault="00DD13BF" w:rsidP="00355A56">
            <w:pPr>
              <w:pStyle w:val="TableParagraph"/>
              <w:rPr>
                <w:sz w:val="20"/>
              </w:rPr>
            </w:pPr>
            <w:r>
              <w:rPr>
                <w:sz w:val="20"/>
              </w:rPr>
              <w:t>ID</w:t>
            </w:r>
          </w:p>
        </w:tc>
        <w:tc>
          <w:tcPr>
            <w:tcW w:w="3401" w:type="dxa"/>
          </w:tcPr>
          <w:p w14:paraId="46B57593" w14:textId="77777777" w:rsidR="00DD13BF" w:rsidRPr="00347461" w:rsidRDefault="00DD13BF" w:rsidP="00355A56">
            <w:pPr>
              <w:pStyle w:val="TableParagraph"/>
              <w:rPr>
                <w:sz w:val="20"/>
              </w:rPr>
            </w:pPr>
            <w:r>
              <w:rPr>
                <w:sz w:val="20"/>
              </w:rPr>
              <w:t>Indicator</w:t>
            </w:r>
          </w:p>
        </w:tc>
        <w:tc>
          <w:tcPr>
            <w:tcW w:w="992" w:type="dxa"/>
          </w:tcPr>
          <w:p w14:paraId="3A6C70A1" w14:textId="77777777" w:rsidR="00DD13BF" w:rsidRPr="00347461" w:rsidRDefault="00DD13BF" w:rsidP="00355A56">
            <w:pPr>
              <w:pStyle w:val="TableParagraph"/>
              <w:rPr>
                <w:sz w:val="20"/>
              </w:rPr>
            </w:pPr>
            <w:r>
              <w:rPr>
                <w:sz w:val="20"/>
              </w:rPr>
              <w:t>Measurement unit</w:t>
            </w:r>
          </w:p>
        </w:tc>
        <w:tc>
          <w:tcPr>
            <w:tcW w:w="1134" w:type="dxa"/>
          </w:tcPr>
          <w:p w14:paraId="6D299D5D" w14:textId="77777777" w:rsidR="00DD13BF" w:rsidRPr="00347461" w:rsidRDefault="00DD13BF" w:rsidP="00355A56">
            <w:pPr>
              <w:pStyle w:val="TableParagraph"/>
              <w:rPr>
                <w:sz w:val="20"/>
              </w:rPr>
            </w:pPr>
            <w:r>
              <w:rPr>
                <w:sz w:val="20"/>
              </w:rPr>
              <w:t>Baseline or reference value</w:t>
            </w:r>
          </w:p>
        </w:tc>
        <w:tc>
          <w:tcPr>
            <w:tcW w:w="993" w:type="dxa"/>
          </w:tcPr>
          <w:p w14:paraId="7086E08F" w14:textId="77777777" w:rsidR="00DD13BF" w:rsidRPr="00347461" w:rsidRDefault="00DD13BF" w:rsidP="00355A56">
            <w:pPr>
              <w:pStyle w:val="TableParagraph"/>
              <w:rPr>
                <w:sz w:val="20"/>
              </w:rPr>
            </w:pPr>
            <w:r>
              <w:rPr>
                <w:sz w:val="20"/>
              </w:rPr>
              <w:t>Reference year</w:t>
            </w:r>
          </w:p>
        </w:tc>
        <w:tc>
          <w:tcPr>
            <w:tcW w:w="708" w:type="dxa"/>
          </w:tcPr>
          <w:p w14:paraId="0161BDD2" w14:textId="77777777" w:rsidR="00DD13BF" w:rsidRPr="00347461" w:rsidRDefault="00DD13BF" w:rsidP="00355A56">
            <w:pPr>
              <w:pStyle w:val="TableParagraph"/>
              <w:rPr>
                <w:sz w:val="20"/>
              </w:rPr>
            </w:pPr>
            <w:r>
              <w:rPr>
                <w:sz w:val="20"/>
              </w:rPr>
              <w:t>Target (2029)</w:t>
            </w:r>
          </w:p>
        </w:tc>
        <w:tc>
          <w:tcPr>
            <w:tcW w:w="851" w:type="dxa"/>
          </w:tcPr>
          <w:p w14:paraId="1DBBDC1C" w14:textId="77777777" w:rsidR="00DD13BF" w:rsidRPr="00347461" w:rsidRDefault="00DD13BF" w:rsidP="00355A56">
            <w:pPr>
              <w:pStyle w:val="TableParagraph"/>
              <w:rPr>
                <w:sz w:val="20"/>
              </w:rPr>
            </w:pPr>
            <w:r>
              <w:rPr>
                <w:sz w:val="20"/>
              </w:rPr>
              <w:t>Source of data</w:t>
            </w:r>
          </w:p>
        </w:tc>
        <w:tc>
          <w:tcPr>
            <w:tcW w:w="850" w:type="dxa"/>
          </w:tcPr>
          <w:p w14:paraId="4AF7E834" w14:textId="77777777" w:rsidR="00DD13BF" w:rsidRPr="00347461" w:rsidRDefault="00DD13BF" w:rsidP="00355A56">
            <w:pPr>
              <w:pStyle w:val="TableParagraph"/>
              <w:rPr>
                <w:sz w:val="20"/>
              </w:rPr>
            </w:pPr>
            <w:r>
              <w:rPr>
                <w:sz w:val="20"/>
              </w:rPr>
              <w:t>Notes</w:t>
            </w:r>
          </w:p>
        </w:tc>
      </w:tr>
      <w:tr w:rsidR="00DD13BF" w14:paraId="340A6C17" w14:textId="77777777" w:rsidTr="00355A56">
        <w:trPr>
          <w:trHeight w:val="353"/>
        </w:trPr>
        <w:tc>
          <w:tcPr>
            <w:tcW w:w="983" w:type="dxa"/>
          </w:tcPr>
          <w:p w14:paraId="7B8D737B" w14:textId="77777777" w:rsidR="00DD13BF" w:rsidRPr="000D2F52" w:rsidRDefault="00DD13BF" w:rsidP="00355A56">
            <w:pPr>
              <w:pStyle w:val="TableParagraph"/>
              <w:rPr>
                <w:sz w:val="20"/>
              </w:rPr>
            </w:pPr>
            <w:r>
              <w:rPr>
                <w:sz w:val="20"/>
              </w:rPr>
              <w:t>6</w:t>
            </w:r>
          </w:p>
        </w:tc>
        <w:tc>
          <w:tcPr>
            <w:tcW w:w="851" w:type="dxa"/>
          </w:tcPr>
          <w:p w14:paraId="7C943F06" w14:textId="77777777" w:rsidR="00DD13BF" w:rsidRPr="000D2F52" w:rsidRDefault="00DD13BF" w:rsidP="00355A56">
            <w:pPr>
              <w:pStyle w:val="TableParagraph"/>
              <w:rPr>
                <w:sz w:val="20"/>
              </w:rPr>
            </w:pPr>
            <w:r>
              <w:rPr>
                <w:color w:val="000000"/>
                <w:sz w:val="20"/>
              </w:rPr>
              <w:t>RSO4.2</w:t>
            </w:r>
          </w:p>
        </w:tc>
        <w:tc>
          <w:tcPr>
            <w:tcW w:w="696" w:type="dxa"/>
          </w:tcPr>
          <w:p w14:paraId="5E42C76F" w14:textId="77777777" w:rsidR="00DD13BF" w:rsidRPr="000D2F52" w:rsidRDefault="00DD13BF" w:rsidP="00355A56">
            <w:pPr>
              <w:pStyle w:val="TableParagraph"/>
              <w:rPr>
                <w:sz w:val="20"/>
              </w:rPr>
            </w:pPr>
            <w:r>
              <w:rPr>
                <w:sz w:val="20"/>
              </w:rPr>
              <w:t>ERDF</w:t>
            </w:r>
          </w:p>
        </w:tc>
        <w:tc>
          <w:tcPr>
            <w:tcW w:w="1572" w:type="dxa"/>
          </w:tcPr>
          <w:p w14:paraId="42E9C9B6" w14:textId="77777777" w:rsidR="00DD13BF" w:rsidRPr="000D2F52" w:rsidRDefault="00DD13BF" w:rsidP="00355A56">
            <w:pPr>
              <w:pStyle w:val="TableParagraph"/>
              <w:rPr>
                <w:sz w:val="20"/>
              </w:rPr>
            </w:pPr>
            <w:r>
              <w:rPr>
                <w:sz w:val="20"/>
              </w:rPr>
              <w:t>Less developed</w:t>
            </w:r>
          </w:p>
        </w:tc>
        <w:tc>
          <w:tcPr>
            <w:tcW w:w="709" w:type="dxa"/>
          </w:tcPr>
          <w:p w14:paraId="1DEC2389" w14:textId="77777777" w:rsidR="00DD13BF" w:rsidRPr="000D2F52" w:rsidRDefault="00DD13BF" w:rsidP="00355A56">
            <w:pPr>
              <w:pStyle w:val="TableParagraph"/>
              <w:rPr>
                <w:sz w:val="20"/>
              </w:rPr>
            </w:pPr>
            <w:r>
              <w:rPr>
                <w:sz w:val="20"/>
              </w:rPr>
              <w:t>RCR71</w:t>
            </w:r>
          </w:p>
        </w:tc>
        <w:tc>
          <w:tcPr>
            <w:tcW w:w="3401" w:type="dxa"/>
          </w:tcPr>
          <w:p w14:paraId="071BFF23" w14:textId="77777777" w:rsidR="00DD13BF" w:rsidRPr="000D2F52" w:rsidRDefault="00DD13BF" w:rsidP="00355A56">
            <w:pPr>
              <w:pStyle w:val="TableParagraph"/>
              <w:rPr>
                <w:sz w:val="20"/>
              </w:rPr>
            </w:pPr>
            <w:r>
              <w:rPr>
                <w:sz w:val="20"/>
              </w:rPr>
              <w:t>Annual users of new or modernised education facilities</w:t>
            </w:r>
          </w:p>
        </w:tc>
        <w:tc>
          <w:tcPr>
            <w:tcW w:w="992" w:type="dxa"/>
          </w:tcPr>
          <w:p w14:paraId="58179650" w14:textId="77777777" w:rsidR="00DD13BF" w:rsidRPr="000D2F52" w:rsidRDefault="00DD13BF" w:rsidP="00355A56">
            <w:pPr>
              <w:pStyle w:val="TableParagraph"/>
              <w:rPr>
                <w:sz w:val="20"/>
              </w:rPr>
            </w:pPr>
            <w:r>
              <w:rPr>
                <w:sz w:val="20"/>
              </w:rPr>
              <w:t>Users/year</w:t>
            </w:r>
          </w:p>
        </w:tc>
        <w:tc>
          <w:tcPr>
            <w:tcW w:w="1134" w:type="dxa"/>
          </w:tcPr>
          <w:p w14:paraId="1BEE6889" w14:textId="77777777" w:rsidR="00DD13BF" w:rsidRPr="000D2F52" w:rsidRDefault="00DD13BF" w:rsidP="00355A56">
            <w:pPr>
              <w:pStyle w:val="TableParagraph"/>
              <w:rPr>
                <w:sz w:val="20"/>
              </w:rPr>
            </w:pPr>
            <w:r>
              <w:rPr>
                <w:sz w:val="20"/>
              </w:rPr>
              <w:t>0</w:t>
            </w:r>
          </w:p>
        </w:tc>
        <w:tc>
          <w:tcPr>
            <w:tcW w:w="993" w:type="dxa"/>
          </w:tcPr>
          <w:p w14:paraId="242D11B5" w14:textId="77777777" w:rsidR="00DD13BF" w:rsidRPr="000D2F52" w:rsidRDefault="00DD13BF" w:rsidP="00355A56">
            <w:pPr>
              <w:pStyle w:val="TableParagraph"/>
              <w:rPr>
                <w:sz w:val="20"/>
              </w:rPr>
            </w:pPr>
            <w:r>
              <w:rPr>
                <w:sz w:val="20"/>
              </w:rPr>
              <w:t>2022</w:t>
            </w:r>
          </w:p>
        </w:tc>
        <w:tc>
          <w:tcPr>
            <w:tcW w:w="708" w:type="dxa"/>
          </w:tcPr>
          <w:p w14:paraId="700D2099" w14:textId="77777777" w:rsidR="00DD13BF" w:rsidRPr="000D2F52" w:rsidRDefault="00DD13BF" w:rsidP="00355A56">
            <w:pPr>
              <w:pStyle w:val="TableParagraph"/>
              <w:rPr>
                <w:sz w:val="20"/>
              </w:rPr>
            </w:pPr>
            <w:r>
              <w:rPr>
                <w:sz w:val="20"/>
              </w:rPr>
              <w:t>500</w:t>
            </w:r>
          </w:p>
        </w:tc>
        <w:tc>
          <w:tcPr>
            <w:tcW w:w="851" w:type="dxa"/>
          </w:tcPr>
          <w:p w14:paraId="42A8713D" w14:textId="77777777" w:rsidR="00DD13BF" w:rsidRPr="000D2F52" w:rsidRDefault="00DD13BF" w:rsidP="00355A56">
            <w:pPr>
              <w:pStyle w:val="TableParagraph"/>
              <w:rPr>
                <w:sz w:val="20"/>
              </w:rPr>
            </w:pPr>
            <w:r>
              <w:rPr>
                <w:sz w:val="20"/>
              </w:rPr>
              <w:t>Beneficiary, MIZŠ</w:t>
            </w:r>
          </w:p>
        </w:tc>
        <w:tc>
          <w:tcPr>
            <w:tcW w:w="850" w:type="dxa"/>
          </w:tcPr>
          <w:p w14:paraId="530CFB1D" w14:textId="77777777" w:rsidR="00DD13BF" w:rsidRPr="000D2F52" w:rsidRDefault="00DD13BF" w:rsidP="00355A56">
            <w:pPr>
              <w:pStyle w:val="TableParagraph"/>
              <w:rPr>
                <w:sz w:val="20"/>
              </w:rPr>
            </w:pPr>
          </w:p>
        </w:tc>
      </w:tr>
      <w:tr w:rsidR="00DD13BF" w14:paraId="68BA267B" w14:textId="77777777" w:rsidTr="00355A56">
        <w:trPr>
          <w:trHeight w:val="353"/>
        </w:trPr>
        <w:tc>
          <w:tcPr>
            <w:tcW w:w="983" w:type="dxa"/>
            <w:shd w:val="clear" w:color="auto" w:fill="auto"/>
          </w:tcPr>
          <w:p w14:paraId="0EE17F0E" w14:textId="77777777" w:rsidR="00DD13BF" w:rsidRPr="004C3A5D" w:rsidRDefault="00DD13BF" w:rsidP="00355A56">
            <w:pPr>
              <w:pStyle w:val="TableParagraph"/>
              <w:rPr>
                <w:sz w:val="20"/>
              </w:rPr>
            </w:pPr>
            <w:r>
              <w:rPr>
                <w:sz w:val="20"/>
              </w:rPr>
              <w:t>6</w:t>
            </w:r>
          </w:p>
        </w:tc>
        <w:tc>
          <w:tcPr>
            <w:tcW w:w="851" w:type="dxa"/>
            <w:shd w:val="clear" w:color="auto" w:fill="auto"/>
          </w:tcPr>
          <w:p w14:paraId="7BD4079C" w14:textId="77777777" w:rsidR="00DD13BF" w:rsidRPr="004C3A5D" w:rsidRDefault="00DD13BF" w:rsidP="00355A56">
            <w:pPr>
              <w:pStyle w:val="TableParagraph"/>
              <w:rPr>
                <w:sz w:val="20"/>
              </w:rPr>
            </w:pPr>
            <w:r>
              <w:rPr>
                <w:color w:val="000000"/>
                <w:sz w:val="20"/>
              </w:rPr>
              <w:t>RSO4.2</w:t>
            </w:r>
          </w:p>
        </w:tc>
        <w:tc>
          <w:tcPr>
            <w:tcW w:w="696" w:type="dxa"/>
            <w:shd w:val="clear" w:color="auto" w:fill="auto"/>
          </w:tcPr>
          <w:p w14:paraId="1034EF79" w14:textId="77777777" w:rsidR="00DD13BF" w:rsidRPr="004C3A5D" w:rsidRDefault="00DD13BF" w:rsidP="00355A56">
            <w:pPr>
              <w:pStyle w:val="TableParagraph"/>
              <w:rPr>
                <w:sz w:val="20"/>
              </w:rPr>
            </w:pPr>
            <w:r>
              <w:rPr>
                <w:sz w:val="20"/>
              </w:rPr>
              <w:t>ERDF</w:t>
            </w:r>
          </w:p>
        </w:tc>
        <w:tc>
          <w:tcPr>
            <w:tcW w:w="1572" w:type="dxa"/>
            <w:shd w:val="clear" w:color="auto" w:fill="auto"/>
          </w:tcPr>
          <w:p w14:paraId="59D3BBEA" w14:textId="77777777" w:rsidR="00DD13BF" w:rsidRPr="004C3A5D" w:rsidRDefault="00DD13BF" w:rsidP="00355A56">
            <w:pPr>
              <w:pStyle w:val="TableParagraph"/>
              <w:rPr>
                <w:sz w:val="20"/>
              </w:rPr>
            </w:pPr>
            <w:r>
              <w:rPr>
                <w:sz w:val="20"/>
              </w:rPr>
              <w:t>Less developed</w:t>
            </w:r>
          </w:p>
        </w:tc>
        <w:tc>
          <w:tcPr>
            <w:tcW w:w="709" w:type="dxa"/>
            <w:shd w:val="clear" w:color="auto" w:fill="auto"/>
          </w:tcPr>
          <w:p w14:paraId="2ADCDA5F" w14:textId="77777777" w:rsidR="00DD13BF" w:rsidRPr="004C3A5D" w:rsidRDefault="00DD13BF" w:rsidP="00355A56">
            <w:pPr>
              <w:pStyle w:val="TableParagraph"/>
              <w:rPr>
                <w:sz w:val="20"/>
              </w:rPr>
            </w:pPr>
            <w:r>
              <w:rPr>
                <w:sz w:val="20"/>
              </w:rPr>
              <w:t>18</w:t>
            </w:r>
          </w:p>
        </w:tc>
        <w:tc>
          <w:tcPr>
            <w:tcW w:w="3401" w:type="dxa"/>
            <w:shd w:val="clear" w:color="auto" w:fill="auto"/>
          </w:tcPr>
          <w:p w14:paraId="75B24A98" w14:textId="77777777" w:rsidR="00DD13BF" w:rsidRPr="004C3A5D" w:rsidRDefault="00DD13BF" w:rsidP="00355A56">
            <w:pPr>
              <w:pStyle w:val="TableParagraph"/>
              <w:rPr>
                <w:sz w:val="20"/>
              </w:rPr>
            </w:pPr>
            <w:r>
              <w:rPr>
                <w:sz w:val="20"/>
              </w:rPr>
              <w:t xml:space="preserve">Share of organisations that have integrated new ICT equipment and services into education and training </w:t>
            </w:r>
            <w:r>
              <w:rPr>
                <w:sz w:val="20"/>
              </w:rPr>
              <w:lastRenderedPageBreak/>
              <w:t>processes</w:t>
            </w:r>
          </w:p>
        </w:tc>
        <w:tc>
          <w:tcPr>
            <w:tcW w:w="992" w:type="dxa"/>
            <w:shd w:val="clear" w:color="auto" w:fill="auto"/>
          </w:tcPr>
          <w:p w14:paraId="53E4B27D" w14:textId="77777777" w:rsidR="00DD13BF" w:rsidRPr="004C3A5D" w:rsidRDefault="00DD13BF" w:rsidP="00355A56">
            <w:pPr>
              <w:pStyle w:val="TableParagraph"/>
              <w:rPr>
                <w:sz w:val="20"/>
              </w:rPr>
            </w:pPr>
            <w:r>
              <w:rPr>
                <w:sz w:val="20"/>
              </w:rPr>
              <w:lastRenderedPageBreak/>
              <w:t>Percentage</w:t>
            </w:r>
          </w:p>
        </w:tc>
        <w:tc>
          <w:tcPr>
            <w:tcW w:w="1134" w:type="dxa"/>
            <w:shd w:val="clear" w:color="auto" w:fill="auto"/>
          </w:tcPr>
          <w:p w14:paraId="07A03643" w14:textId="77777777" w:rsidR="00DD13BF" w:rsidRPr="004C3A5D" w:rsidRDefault="00DD13BF" w:rsidP="00355A56">
            <w:pPr>
              <w:pStyle w:val="TableParagraph"/>
              <w:rPr>
                <w:sz w:val="20"/>
              </w:rPr>
            </w:pPr>
            <w:r>
              <w:rPr>
                <w:sz w:val="20"/>
              </w:rPr>
              <w:t>0</w:t>
            </w:r>
          </w:p>
        </w:tc>
        <w:tc>
          <w:tcPr>
            <w:tcW w:w="993" w:type="dxa"/>
            <w:shd w:val="clear" w:color="auto" w:fill="auto"/>
          </w:tcPr>
          <w:p w14:paraId="284E5B71" w14:textId="77777777" w:rsidR="00DD13BF" w:rsidRPr="004C3A5D" w:rsidRDefault="00DD13BF" w:rsidP="00355A56">
            <w:pPr>
              <w:pStyle w:val="TableParagraph"/>
              <w:rPr>
                <w:sz w:val="20"/>
              </w:rPr>
            </w:pPr>
            <w:r>
              <w:rPr>
                <w:sz w:val="20"/>
              </w:rPr>
              <w:t>2022</w:t>
            </w:r>
          </w:p>
        </w:tc>
        <w:tc>
          <w:tcPr>
            <w:tcW w:w="708" w:type="dxa"/>
            <w:shd w:val="clear" w:color="auto" w:fill="auto"/>
          </w:tcPr>
          <w:p w14:paraId="6116D33E" w14:textId="77777777" w:rsidR="00DD13BF" w:rsidRPr="000D2F52" w:rsidRDefault="00DD13BF" w:rsidP="00355A56">
            <w:pPr>
              <w:pStyle w:val="TableParagraph"/>
              <w:rPr>
                <w:sz w:val="20"/>
              </w:rPr>
            </w:pPr>
            <w:r>
              <w:rPr>
                <w:sz w:val="20"/>
              </w:rPr>
              <w:t>100</w:t>
            </w:r>
          </w:p>
        </w:tc>
        <w:tc>
          <w:tcPr>
            <w:tcW w:w="851" w:type="dxa"/>
            <w:shd w:val="clear" w:color="auto" w:fill="auto"/>
          </w:tcPr>
          <w:p w14:paraId="43B2DF85" w14:textId="77777777" w:rsidR="00DD13BF" w:rsidRPr="000D2F52" w:rsidRDefault="00DD13BF" w:rsidP="00355A56">
            <w:pPr>
              <w:pStyle w:val="TableParagraph"/>
              <w:rPr>
                <w:sz w:val="20"/>
              </w:rPr>
            </w:pPr>
            <w:r>
              <w:rPr>
                <w:sz w:val="20"/>
              </w:rPr>
              <w:t>Beneficiary, MIZŠ</w:t>
            </w:r>
          </w:p>
        </w:tc>
        <w:tc>
          <w:tcPr>
            <w:tcW w:w="850" w:type="dxa"/>
            <w:shd w:val="clear" w:color="auto" w:fill="auto"/>
          </w:tcPr>
          <w:p w14:paraId="4035BDAB" w14:textId="77777777" w:rsidR="00DD13BF" w:rsidRPr="000D2F52" w:rsidRDefault="00DD13BF" w:rsidP="00355A56">
            <w:pPr>
              <w:pStyle w:val="TableParagraph"/>
              <w:rPr>
                <w:sz w:val="20"/>
              </w:rPr>
            </w:pPr>
          </w:p>
        </w:tc>
      </w:tr>
    </w:tbl>
    <w:p w14:paraId="486322F6" w14:textId="77777777" w:rsidR="00DD13BF" w:rsidRPr="00F81084" w:rsidRDefault="00DD13BF" w:rsidP="00DD13BF">
      <w:pPr>
        <w:pStyle w:val="Telobesedila"/>
      </w:pPr>
    </w:p>
    <w:p w14:paraId="1E410EE3" w14:textId="77777777" w:rsidR="00DD13BF" w:rsidRPr="00F81084" w:rsidRDefault="00DD13BF" w:rsidP="00DD13BF">
      <w:pPr>
        <w:pStyle w:val="Telobesedila"/>
      </w:pPr>
    </w:p>
    <w:p w14:paraId="40E4D3EF" w14:textId="77777777" w:rsidR="00DD13BF" w:rsidRDefault="00DD13BF" w:rsidP="00DD13BF">
      <w:pPr>
        <w:pStyle w:val="Naslov5"/>
        <w:numPr>
          <w:ilvl w:val="4"/>
          <w:numId w:val="16"/>
        </w:numPr>
        <w:spacing w:before="0"/>
      </w:pPr>
      <w:r>
        <w:t>Indicative breakdown of the programme resources (EU) by type of intervention</w:t>
      </w:r>
    </w:p>
    <w:p w14:paraId="25A35DE1" w14:textId="77777777" w:rsidR="00DD13BF" w:rsidRDefault="00DD13BF" w:rsidP="00DD13BF">
      <w:pPr>
        <w:ind w:left="640"/>
        <w:rPr>
          <w:spacing w:val="-5"/>
        </w:rPr>
      </w:pPr>
    </w:p>
    <w:p w14:paraId="0755435A" w14:textId="77777777" w:rsidR="00DD13BF" w:rsidRPr="00673ADB" w:rsidRDefault="00DD13BF" w:rsidP="00DD13BF">
      <w:pPr>
        <w:ind w:left="339"/>
        <w:rPr>
          <w:spacing w:val="-7"/>
        </w:rPr>
      </w:pPr>
      <w:r>
        <w:t>Table 4: Dimension 1 – intervention field</w:t>
      </w:r>
    </w:p>
    <w:p w14:paraId="6D059987"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0819915" w14:textId="77777777" w:rsidTr="00355A56">
        <w:trPr>
          <w:trHeight w:val="353"/>
        </w:trPr>
        <w:tc>
          <w:tcPr>
            <w:tcW w:w="2088" w:type="dxa"/>
          </w:tcPr>
          <w:p w14:paraId="0ADFB4FA" w14:textId="77777777" w:rsidR="00DD13BF" w:rsidRDefault="00DD13BF" w:rsidP="00355A56">
            <w:pPr>
              <w:pStyle w:val="TableParagraph"/>
              <w:ind w:left="115"/>
            </w:pPr>
            <w:r>
              <w:t>Priority no.</w:t>
            </w:r>
          </w:p>
        </w:tc>
        <w:tc>
          <w:tcPr>
            <w:tcW w:w="1133" w:type="dxa"/>
          </w:tcPr>
          <w:p w14:paraId="432E81B5" w14:textId="77777777" w:rsidR="00DD13BF" w:rsidRDefault="00DD13BF" w:rsidP="00355A56">
            <w:pPr>
              <w:pStyle w:val="TableParagraph"/>
              <w:ind w:left="320"/>
            </w:pPr>
            <w:r>
              <w:t>Fund</w:t>
            </w:r>
          </w:p>
        </w:tc>
        <w:tc>
          <w:tcPr>
            <w:tcW w:w="3249" w:type="dxa"/>
          </w:tcPr>
          <w:p w14:paraId="6A32E101" w14:textId="77777777" w:rsidR="00DD13BF" w:rsidRDefault="00DD13BF" w:rsidP="00355A56">
            <w:pPr>
              <w:pStyle w:val="TableParagraph"/>
              <w:ind w:left="907"/>
            </w:pPr>
            <w:r>
              <w:t>Category of region</w:t>
            </w:r>
          </w:p>
        </w:tc>
        <w:tc>
          <w:tcPr>
            <w:tcW w:w="3099" w:type="dxa"/>
          </w:tcPr>
          <w:p w14:paraId="3CEEE4EA" w14:textId="77777777" w:rsidR="00DD13BF" w:rsidRDefault="00DD13BF" w:rsidP="00355A56">
            <w:pPr>
              <w:pStyle w:val="TableParagraph"/>
              <w:ind w:left="948"/>
            </w:pPr>
            <w:r>
              <w:t>Specific objective</w:t>
            </w:r>
          </w:p>
        </w:tc>
        <w:tc>
          <w:tcPr>
            <w:tcW w:w="1161" w:type="dxa"/>
          </w:tcPr>
          <w:p w14:paraId="33D0C105" w14:textId="77777777" w:rsidR="00DD13BF" w:rsidRDefault="00DD13BF" w:rsidP="00355A56">
            <w:pPr>
              <w:pStyle w:val="TableParagraph"/>
              <w:ind w:left="333"/>
            </w:pPr>
            <w:r>
              <w:t>Code</w:t>
            </w:r>
          </w:p>
        </w:tc>
        <w:tc>
          <w:tcPr>
            <w:tcW w:w="2731" w:type="dxa"/>
          </w:tcPr>
          <w:p w14:paraId="6A89B8C0" w14:textId="77777777" w:rsidR="00DD13BF" w:rsidRDefault="00DD13BF" w:rsidP="00355A56">
            <w:pPr>
              <w:pStyle w:val="TableParagraph"/>
              <w:ind w:left="660"/>
            </w:pPr>
            <w:r>
              <w:t>Amount (in EUR)</w:t>
            </w:r>
          </w:p>
        </w:tc>
      </w:tr>
      <w:tr w:rsidR="00DD13BF" w14:paraId="2355866C" w14:textId="77777777" w:rsidTr="00355A56">
        <w:trPr>
          <w:trHeight w:val="353"/>
        </w:trPr>
        <w:tc>
          <w:tcPr>
            <w:tcW w:w="2088" w:type="dxa"/>
          </w:tcPr>
          <w:p w14:paraId="46DA93B8" w14:textId="77777777" w:rsidR="00DD13BF" w:rsidRDefault="00DD13BF" w:rsidP="00355A56">
            <w:pPr>
              <w:pStyle w:val="TableParagraph"/>
              <w:rPr>
                <w:sz w:val="20"/>
              </w:rPr>
            </w:pPr>
            <w:r>
              <w:rPr>
                <w:sz w:val="20"/>
              </w:rPr>
              <w:t>6</w:t>
            </w:r>
          </w:p>
        </w:tc>
        <w:tc>
          <w:tcPr>
            <w:tcW w:w="1133" w:type="dxa"/>
          </w:tcPr>
          <w:p w14:paraId="4A61D28F" w14:textId="77777777" w:rsidR="00DD13BF" w:rsidRDefault="00DD13BF" w:rsidP="00355A56">
            <w:pPr>
              <w:pStyle w:val="TableParagraph"/>
              <w:rPr>
                <w:sz w:val="20"/>
              </w:rPr>
            </w:pPr>
            <w:r>
              <w:rPr>
                <w:sz w:val="20"/>
              </w:rPr>
              <w:t>ERDF</w:t>
            </w:r>
          </w:p>
        </w:tc>
        <w:tc>
          <w:tcPr>
            <w:tcW w:w="3249" w:type="dxa"/>
          </w:tcPr>
          <w:p w14:paraId="25D79430" w14:textId="77777777" w:rsidR="00DD13BF" w:rsidRDefault="00DD13BF" w:rsidP="00355A56">
            <w:pPr>
              <w:pStyle w:val="TableParagraph"/>
              <w:rPr>
                <w:sz w:val="20"/>
              </w:rPr>
            </w:pPr>
            <w:r>
              <w:rPr>
                <w:sz w:val="20"/>
              </w:rPr>
              <w:t>Less developed</w:t>
            </w:r>
          </w:p>
        </w:tc>
        <w:tc>
          <w:tcPr>
            <w:tcW w:w="3099" w:type="dxa"/>
          </w:tcPr>
          <w:p w14:paraId="5A5CBFEA" w14:textId="77777777" w:rsidR="00DD13BF" w:rsidRDefault="00DD13BF" w:rsidP="00355A56">
            <w:pPr>
              <w:pStyle w:val="TableParagraph"/>
              <w:rPr>
                <w:sz w:val="20"/>
              </w:rPr>
            </w:pPr>
            <w:r>
              <w:rPr>
                <w:color w:val="000000"/>
                <w:sz w:val="20"/>
              </w:rPr>
              <w:t>RSO4.2</w:t>
            </w:r>
          </w:p>
        </w:tc>
        <w:tc>
          <w:tcPr>
            <w:tcW w:w="1161" w:type="dxa"/>
          </w:tcPr>
          <w:p w14:paraId="333B62FA" w14:textId="77777777" w:rsidR="00DD13BF" w:rsidRDefault="00DD13BF" w:rsidP="00355A56">
            <w:pPr>
              <w:pStyle w:val="TableParagraph"/>
              <w:rPr>
                <w:sz w:val="20"/>
              </w:rPr>
            </w:pPr>
            <w:r>
              <w:rPr>
                <w:sz w:val="20"/>
              </w:rPr>
              <w:t>043</w:t>
            </w:r>
          </w:p>
        </w:tc>
        <w:tc>
          <w:tcPr>
            <w:tcW w:w="2731" w:type="dxa"/>
          </w:tcPr>
          <w:p w14:paraId="0850EB0A" w14:textId="77777777" w:rsidR="00DD13BF" w:rsidRDefault="00DD13BF" w:rsidP="00355A56">
            <w:pPr>
              <w:pStyle w:val="TableParagraph"/>
              <w:rPr>
                <w:sz w:val="20"/>
              </w:rPr>
            </w:pPr>
            <w:r>
              <w:rPr>
                <w:sz w:val="20"/>
              </w:rPr>
              <w:t>18,390,000</w:t>
            </w:r>
          </w:p>
        </w:tc>
      </w:tr>
      <w:tr w:rsidR="00DD13BF" w14:paraId="747E6DB2" w14:textId="77777777" w:rsidTr="00355A56">
        <w:trPr>
          <w:trHeight w:val="353"/>
        </w:trPr>
        <w:tc>
          <w:tcPr>
            <w:tcW w:w="2088" w:type="dxa"/>
          </w:tcPr>
          <w:p w14:paraId="2312A205" w14:textId="77777777" w:rsidR="00DD13BF" w:rsidRDefault="00DD13BF" w:rsidP="00355A56">
            <w:pPr>
              <w:pStyle w:val="TableParagraph"/>
              <w:rPr>
                <w:sz w:val="20"/>
              </w:rPr>
            </w:pPr>
            <w:r>
              <w:rPr>
                <w:sz w:val="20"/>
              </w:rPr>
              <w:t>6</w:t>
            </w:r>
          </w:p>
        </w:tc>
        <w:tc>
          <w:tcPr>
            <w:tcW w:w="1133" w:type="dxa"/>
          </w:tcPr>
          <w:p w14:paraId="1CDE69EB" w14:textId="77777777" w:rsidR="00DD13BF" w:rsidRDefault="00DD13BF" w:rsidP="00355A56">
            <w:pPr>
              <w:pStyle w:val="TableParagraph"/>
              <w:rPr>
                <w:sz w:val="20"/>
              </w:rPr>
            </w:pPr>
            <w:r>
              <w:rPr>
                <w:sz w:val="20"/>
              </w:rPr>
              <w:t>ERDF</w:t>
            </w:r>
          </w:p>
        </w:tc>
        <w:tc>
          <w:tcPr>
            <w:tcW w:w="3249" w:type="dxa"/>
          </w:tcPr>
          <w:p w14:paraId="1B921685" w14:textId="77777777" w:rsidR="00DD13BF" w:rsidRDefault="00DD13BF" w:rsidP="00355A56">
            <w:pPr>
              <w:pStyle w:val="TableParagraph"/>
              <w:rPr>
                <w:sz w:val="20"/>
              </w:rPr>
            </w:pPr>
            <w:r>
              <w:rPr>
                <w:sz w:val="20"/>
              </w:rPr>
              <w:t>Less developed</w:t>
            </w:r>
          </w:p>
        </w:tc>
        <w:tc>
          <w:tcPr>
            <w:tcW w:w="3099" w:type="dxa"/>
          </w:tcPr>
          <w:p w14:paraId="4E769DFE" w14:textId="77777777" w:rsidR="00DD13BF" w:rsidRDefault="00DD13BF" w:rsidP="00355A56">
            <w:pPr>
              <w:pStyle w:val="TableParagraph"/>
              <w:rPr>
                <w:sz w:val="20"/>
              </w:rPr>
            </w:pPr>
            <w:r>
              <w:rPr>
                <w:color w:val="000000"/>
                <w:sz w:val="20"/>
              </w:rPr>
              <w:t>RSO4.2</w:t>
            </w:r>
          </w:p>
        </w:tc>
        <w:tc>
          <w:tcPr>
            <w:tcW w:w="1161" w:type="dxa"/>
          </w:tcPr>
          <w:p w14:paraId="37980386" w14:textId="77777777" w:rsidR="00DD13BF" w:rsidRDefault="00DD13BF" w:rsidP="00355A56">
            <w:pPr>
              <w:pStyle w:val="TableParagraph"/>
              <w:rPr>
                <w:sz w:val="20"/>
              </w:rPr>
            </w:pPr>
            <w:r>
              <w:rPr>
                <w:sz w:val="20"/>
              </w:rPr>
              <w:t>044</w:t>
            </w:r>
          </w:p>
        </w:tc>
        <w:tc>
          <w:tcPr>
            <w:tcW w:w="2731" w:type="dxa"/>
          </w:tcPr>
          <w:p w14:paraId="5DCBF4E2" w14:textId="77777777" w:rsidR="00DD13BF" w:rsidRDefault="00DD13BF" w:rsidP="00355A56">
            <w:pPr>
              <w:pStyle w:val="TableParagraph"/>
              <w:rPr>
                <w:sz w:val="20"/>
              </w:rPr>
            </w:pPr>
            <w:r>
              <w:rPr>
                <w:sz w:val="20"/>
              </w:rPr>
              <w:t>3,179,061</w:t>
            </w:r>
          </w:p>
        </w:tc>
      </w:tr>
      <w:tr w:rsidR="00DD13BF" w14:paraId="32F57B28" w14:textId="77777777" w:rsidTr="00355A56">
        <w:trPr>
          <w:trHeight w:val="353"/>
        </w:trPr>
        <w:tc>
          <w:tcPr>
            <w:tcW w:w="2088" w:type="dxa"/>
          </w:tcPr>
          <w:p w14:paraId="31433F93" w14:textId="77777777" w:rsidR="00DD13BF" w:rsidRDefault="00DD13BF" w:rsidP="00355A56">
            <w:pPr>
              <w:pStyle w:val="TableParagraph"/>
              <w:rPr>
                <w:sz w:val="20"/>
              </w:rPr>
            </w:pPr>
            <w:r>
              <w:rPr>
                <w:sz w:val="20"/>
              </w:rPr>
              <w:t>6</w:t>
            </w:r>
          </w:p>
        </w:tc>
        <w:tc>
          <w:tcPr>
            <w:tcW w:w="1133" w:type="dxa"/>
          </w:tcPr>
          <w:p w14:paraId="7BEAB241" w14:textId="77777777" w:rsidR="00DD13BF" w:rsidRDefault="00DD13BF" w:rsidP="00355A56">
            <w:pPr>
              <w:pStyle w:val="TableParagraph"/>
              <w:rPr>
                <w:sz w:val="20"/>
              </w:rPr>
            </w:pPr>
            <w:r>
              <w:rPr>
                <w:sz w:val="20"/>
              </w:rPr>
              <w:t>ERDF</w:t>
            </w:r>
          </w:p>
        </w:tc>
        <w:tc>
          <w:tcPr>
            <w:tcW w:w="3249" w:type="dxa"/>
          </w:tcPr>
          <w:p w14:paraId="75C56F3B" w14:textId="77777777" w:rsidR="00DD13BF" w:rsidRDefault="00DD13BF" w:rsidP="00355A56">
            <w:pPr>
              <w:pStyle w:val="TableParagraph"/>
              <w:rPr>
                <w:sz w:val="20"/>
              </w:rPr>
            </w:pPr>
            <w:r>
              <w:rPr>
                <w:sz w:val="20"/>
              </w:rPr>
              <w:t>Less developed</w:t>
            </w:r>
          </w:p>
        </w:tc>
        <w:tc>
          <w:tcPr>
            <w:tcW w:w="3099" w:type="dxa"/>
          </w:tcPr>
          <w:p w14:paraId="324921F2" w14:textId="77777777" w:rsidR="00DD13BF" w:rsidRDefault="00DD13BF" w:rsidP="00355A56">
            <w:pPr>
              <w:pStyle w:val="TableParagraph"/>
              <w:rPr>
                <w:sz w:val="20"/>
              </w:rPr>
            </w:pPr>
            <w:r>
              <w:rPr>
                <w:color w:val="000000"/>
                <w:sz w:val="20"/>
              </w:rPr>
              <w:t>RSO4.2</w:t>
            </w:r>
          </w:p>
        </w:tc>
        <w:tc>
          <w:tcPr>
            <w:tcW w:w="1161" w:type="dxa"/>
          </w:tcPr>
          <w:p w14:paraId="3AA80FF7" w14:textId="77777777" w:rsidR="00DD13BF" w:rsidRDefault="00DD13BF" w:rsidP="00355A56">
            <w:pPr>
              <w:pStyle w:val="TableParagraph"/>
              <w:rPr>
                <w:sz w:val="20"/>
              </w:rPr>
            </w:pPr>
            <w:r>
              <w:rPr>
                <w:sz w:val="20"/>
              </w:rPr>
              <w:t>123</w:t>
            </w:r>
          </w:p>
        </w:tc>
        <w:tc>
          <w:tcPr>
            <w:tcW w:w="2731" w:type="dxa"/>
          </w:tcPr>
          <w:p w14:paraId="5C794268" w14:textId="77777777" w:rsidR="00DD13BF" w:rsidRDefault="00DD13BF" w:rsidP="00355A56">
            <w:pPr>
              <w:pStyle w:val="TableParagraph"/>
              <w:rPr>
                <w:sz w:val="20"/>
              </w:rPr>
            </w:pPr>
            <w:r>
              <w:rPr>
                <w:sz w:val="20"/>
              </w:rPr>
              <w:t>9,436,000</w:t>
            </w:r>
          </w:p>
        </w:tc>
      </w:tr>
      <w:tr w:rsidR="00DD13BF" w14:paraId="267DF875" w14:textId="77777777" w:rsidTr="00355A56">
        <w:trPr>
          <w:trHeight w:val="353"/>
        </w:trPr>
        <w:tc>
          <w:tcPr>
            <w:tcW w:w="2088" w:type="dxa"/>
          </w:tcPr>
          <w:p w14:paraId="0E826C2D" w14:textId="77777777" w:rsidR="00DD13BF" w:rsidRDefault="00DD13BF" w:rsidP="00355A56">
            <w:pPr>
              <w:pStyle w:val="TableParagraph"/>
              <w:rPr>
                <w:sz w:val="20"/>
              </w:rPr>
            </w:pPr>
            <w:r>
              <w:rPr>
                <w:sz w:val="20"/>
              </w:rPr>
              <w:t>6</w:t>
            </w:r>
          </w:p>
        </w:tc>
        <w:tc>
          <w:tcPr>
            <w:tcW w:w="1133" w:type="dxa"/>
          </w:tcPr>
          <w:p w14:paraId="3C7CA821" w14:textId="77777777" w:rsidR="00DD13BF" w:rsidRDefault="00DD13BF" w:rsidP="00355A56">
            <w:pPr>
              <w:pStyle w:val="TableParagraph"/>
              <w:rPr>
                <w:sz w:val="20"/>
              </w:rPr>
            </w:pPr>
            <w:r>
              <w:rPr>
                <w:sz w:val="20"/>
              </w:rPr>
              <w:t>ERDF</w:t>
            </w:r>
          </w:p>
        </w:tc>
        <w:tc>
          <w:tcPr>
            <w:tcW w:w="3249" w:type="dxa"/>
          </w:tcPr>
          <w:p w14:paraId="154AD328" w14:textId="77777777" w:rsidR="00DD13BF" w:rsidRDefault="00DD13BF" w:rsidP="00355A56">
            <w:pPr>
              <w:pStyle w:val="TableParagraph"/>
              <w:rPr>
                <w:sz w:val="20"/>
              </w:rPr>
            </w:pPr>
            <w:r>
              <w:rPr>
                <w:sz w:val="20"/>
              </w:rPr>
              <w:t>Less developed</w:t>
            </w:r>
          </w:p>
        </w:tc>
        <w:tc>
          <w:tcPr>
            <w:tcW w:w="3099" w:type="dxa"/>
          </w:tcPr>
          <w:p w14:paraId="72935ED9" w14:textId="77777777" w:rsidR="00DD13BF" w:rsidRDefault="00DD13BF" w:rsidP="00355A56">
            <w:pPr>
              <w:pStyle w:val="TableParagraph"/>
              <w:rPr>
                <w:sz w:val="20"/>
              </w:rPr>
            </w:pPr>
            <w:r>
              <w:rPr>
                <w:color w:val="000000"/>
                <w:sz w:val="20"/>
              </w:rPr>
              <w:t>RSO4.2</w:t>
            </w:r>
          </w:p>
        </w:tc>
        <w:tc>
          <w:tcPr>
            <w:tcW w:w="1161" w:type="dxa"/>
          </w:tcPr>
          <w:p w14:paraId="1AAAA950" w14:textId="77777777" w:rsidR="00DD13BF" w:rsidRDefault="00DD13BF" w:rsidP="00355A56">
            <w:pPr>
              <w:pStyle w:val="TableParagraph"/>
              <w:rPr>
                <w:sz w:val="20"/>
              </w:rPr>
            </w:pPr>
            <w:r>
              <w:rPr>
                <w:sz w:val="20"/>
              </w:rPr>
              <w:t>124</w:t>
            </w:r>
          </w:p>
        </w:tc>
        <w:tc>
          <w:tcPr>
            <w:tcW w:w="2731" w:type="dxa"/>
          </w:tcPr>
          <w:p w14:paraId="202E2CEB" w14:textId="77777777" w:rsidR="00DD13BF" w:rsidRDefault="00DD13BF" w:rsidP="00355A56">
            <w:pPr>
              <w:pStyle w:val="TableParagraph"/>
              <w:rPr>
                <w:sz w:val="20"/>
              </w:rPr>
            </w:pPr>
            <w:r>
              <w:rPr>
                <w:sz w:val="20"/>
              </w:rPr>
              <w:t>1,795,000</w:t>
            </w:r>
          </w:p>
        </w:tc>
      </w:tr>
    </w:tbl>
    <w:p w14:paraId="49B1661D" w14:textId="77777777" w:rsidR="00DD13BF" w:rsidRDefault="00DD13BF" w:rsidP="00DD13BF"/>
    <w:p w14:paraId="35A7368F" w14:textId="77777777" w:rsidR="00DD13BF" w:rsidRPr="00673ADB" w:rsidRDefault="00DD13BF" w:rsidP="00DD13BF">
      <w:pPr>
        <w:ind w:left="339"/>
        <w:rPr>
          <w:spacing w:val="-7"/>
        </w:rPr>
      </w:pPr>
      <w:r>
        <w:t>Table 5: Dimension 2 – form of financing</w:t>
      </w:r>
    </w:p>
    <w:p w14:paraId="6AE4E57C"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BC6CF80" w14:textId="77777777" w:rsidTr="00355A56">
        <w:trPr>
          <w:trHeight w:val="683"/>
        </w:trPr>
        <w:tc>
          <w:tcPr>
            <w:tcW w:w="2088" w:type="dxa"/>
          </w:tcPr>
          <w:p w14:paraId="6A44C892" w14:textId="77777777" w:rsidR="00DD13BF" w:rsidRDefault="00DD13BF" w:rsidP="00355A56">
            <w:pPr>
              <w:pStyle w:val="TableParagraph"/>
              <w:ind w:left="115"/>
            </w:pPr>
            <w:r>
              <w:t>Priority no.</w:t>
            </w:r>
          </w:p>
        </w:tc>
        <w:tc>
          <w:tcPr>
            <w:tcW w:w="1133" w:type="dxa"/>
          </w:tcPr>
          <w:p w14:paraId="6BCF730F" w14:textId="77777777" w:rsidR="00DD13BF" w:rsidRDefault="00DD13BF" w:rsidP="00355A56">
            <w:pPr>
              <w:pStyle w:val="TableParagraph"/>
              <w:ind w:left="320"/>
            </w:pPr>
            <w:r>
              <w:t>Fund</w:t>
            </w:r>
          </w:p>
        </w:tc>
        <w:tc>
          <w:tcPr>
            <w:tcW w:w="3249" w:type="dxa"/>
          </w:tcPr>
          <w:p w14:paraId="107E077B" w14:textId="77777777" w:rsidR="00DD13BF" w:rsidRDefault="00DD13BF" w:rsidP="00355A56">
            <w:pPr>
              <w:pStyle w:val="TableParagraph"/>
              <w:ind w:left="907"/>
            </w:pPr>
            <w:r>
              <w:t>Category of region</w:t>
            </w:r>
          </w:p>
        </w:tc>
        <w:tc>
          <w:tcPr>
            <w:tcW w:w="3099" w:type="dxa"/>
          </w:tcPr>
          <w:p w14:paraId="4DF1A511" w14:textId="77777777" w:rsidR="00DD13BF" w:rsidRDefault="00DD13BF" w:rsidP="00355A56">
            <w:pPr>
              <w:pStyle w:val="TableParagraph"/>
              <w:ind w:left="948"/>
            </w:pPr>
            <w:r>
              <w:t>Specific objective</w:t>
            </w:r>
          </w:p>
        </w:tc>
        <w:tc>
          <w:tcPr>
            <w:tcW w:w="1161" w:type="dxa"/>
          </w:tcPr>
          <w:p w14:paraId="4A565D89" w14:textId="77777777" w:rsidR="00DD13BF" w:rsidRDefault="00DD13BF" w:rsidP="00355A56">
            <w:pPr>
              <w:pStyle w:val="TableParagraph"/>
              <w:ind w:left="334"/>
            </w:pPr>
            <w:r>
              <w:t>Code</w:t>
            </w:r>
          </w:p>
        </w:tc>
        <w:tc>
          <w:tcPr>
            <w:tcW w:w="2731" w:type="dxa"/>
          </w:tcPr>
          <w:p w14:paraId="6E4F1ADF" w14:textId="77777777" w:rsidR="00DD13BF" w:rsidRDefault="00DD13BF" w:rsidP="00355A56">
            <w:pPr>
              <w:pStyle w:val="TableParagraph"/>
              <w:ind w:left="661"/>
            </w:pPr>
            <w:r>
              <w:t>Amount (in EUR)</w:t>
            </w:r>
          </w:p>
        </w:tc>
      </w:tr>
      <w:tr w:rsidR="00DD13BF" w14:paraId="1A35F1E6" w14:textId="77777777" w:rsidTr="00355A56">
        <w:trPr>
          <w:trHeight w:val="353"/>
        </w:trPr>
        <w:tc>
          <w:tcPr>
            <w:tcW w:w="2088" w:type="dxa"/>
          </w:tcPr>
          <w:p w14:paraId="45135052" w14:textId="77777777" w:rsidR="00DD13BF" w:rsidRDefault="00DD13BF" w:rsidP="00355A56">
            <w:pPr>
              <w:pStyle w:val="TableParagraph"/>
              <w:rPr>
                <w:sz w:val="20"/>
              </w:rPr>
            </w:pPr>
            <w:r>
              <w:rPr>
                <w:sz w:val="20"/>
              </w:rPr>
              <w:t>6</w:t>
            </w:r>
          </w:p>
        </w:tc>
        <w:tc>
          <w:tcPr>
            <w:tcW w:w="1133" w:type="dxa"/>
          </w:tcPr>
          <w:p w14:paraId="10FD2625" w14:textId="77777777" w:rsidR="00DD13BF" w:rsidRDefault="00DD13BF" w:rsidP="00355A56">
            <w:pPr>
              <w:pStyle w:val="TableParagraph"/>
              <w:rPr>
                <w:sz w:val="20"/>
              </w:rPr>
            </w:pPr>
            <w:r>
              <w:rPr>
                <w:sz w:val="20"/>
              </w:rPr>
              <w:t>ERDF</w:t>
            </w:r>
          </w:p>
        </w:tc>
        <w:tc>
          <w:tcPr>
            <w:tcW w:w="3249" w:type="dxa"/>
          </w:tcPr>
          <w:p w14:paraId="5AAD1070" w14:textId="77777777" w:rsidR="00DD13BF" w:rsidRDefault="00DD13BF" w:rsidP="00355A56">
            <w:pPr>
              <w:pStyle w:val="TableParagraph"/>
              <w:rPr>
                <w:sz w:val="20"/>
              </w:rPr>
            </w:pPr>
            <w:r>
              <w:rPr>
                <w:sz w:val="20"/>
              </w:rPr>
              <w:t>Less developed</w:t>
            </w:r>
          </w:p>
        </w:tc>
        <w:tc>
          <w:tcPr>
            <w:tcW w:w="3099" w:type="dxa"/>
          </w:tcPr>
          <w:p w14:paraId="3C5C7EF7" w14:textId="77777777" w:rsidR="00DD13BF" w:rsidRDefault="00DD13BF" w:rsidP="00355A56">
            <w:pPr>
              <w:pStyle w:val="TableParagraph"/>
              <w:rPr>
                <w:sz w:val="20"/>
              </w:rPr>
            </w:pPr>
            <w:r>
              <w:rPr>
                <w:color w:val="000000"/>
                <w:sz w:val="20"/>
              </w:rPr>
              <w:t>RSO4.2</w:t>
            </w:r>
          </w:p>
        </w:tc>
        <w:tc>
          <w:tcPr>
            <w:tcW w:w="1161" w:type="dxa"/>
          </w:tcPr>
          <w:p w14:paraId="437FA13F" w14:textId="77777777" w:rsidR="00DD13BF" w:rsidRDefault="00DD13BF" w:rsidP="00355A56">
            <w:pPr>
              <w:pStyle w:val="TableParagraph"/>
              <w:rPr>
                <w:sz w:val="20"/>
              </w:rPr>
            </w:pPr>
            <w:r>
              <w:rPr>
                <w:sz w:val="20"/>
              </w:rPr>
              <w:t>01</w:t>
            </w:r>
          </w:p>
        </w:tc>
        <w:tc>
          <w:tcPr>
            <w:tcW w:w="2731" w:type="dxa"/>
          </w:tcPr>
          <w:p w14:paraId="1259CDB9" w14:textId="77777777" w:rsidR="00DD13BF" w:rsidRDefault="00DD13BF" w:rsidP="00355A56">
            <w:pPr>
              <w:pStyle w:val="TableParagraph"/>
              <w:rPr>
                <w:sz w:val="20"/>
              </w:rPr>
            </w:pPr>
            <w:r>
              <w:rPr>
                <w:sz w:val="20"/>
              </w:rPr>
              <w:t>32,800,061</w:t>
            </w:r>
          </w:p>
        </w:tc>
      </w:tr>
    </w:tbl>
    <w:p w14:paraId="228DC72B" w14:textId="77777777" w:rsidR="00DD13BF" w:rsidRDefault="00DD13BF" w:rsidP="00DD13BF">
      <w:pPr>
        <w:rPr>
          <w:sz w:val="20"/>
        </w:rPr>
        <w:sectPr w:rsidR="00DD13BF" w:rsidSect="00BD3536">
          <w:headerReference w:type="default" r:id="rId81"/>
          <w:footerReference w:type="first" r:id="rId82"/>
          <w:type w:val="continuous"/>
          <w:pgSz w:w="16840" w:h="11910" w:orient="landscape"/>
          <w:pgMar w:top="1417" w:right="1417" w:bottom="1417" w:left="1417" w:header="708" w:footer="708" w:gutter="0"/>
          <w:cols w:space="708"/>
          <w:titlePg/>
          <w:docGrid w:linePitch="299"/>
        </w:sectPr>
      </w:pPr>
    </w:p>
    <w:p w14:paraId="341E8275" w14:textId="77777777" w:rsidR="00DD13BF" w:rsidRDefault="00DD13BF" w:rsidP="00DD13BF">
      <w:pPr>
        <w:ind w:left="339"/>
        <w:rPr>
          <w:spacing w:val="-7"/>
        </w:rPr>
      </w:pPr>
    </w:p>
    <w:p w14:paraId="117F8112" w14:textId="77777777" w:rsidR="00DD13BF" w:rsidRDefault="00DD13BF" w:rsidP="00DD13BF">
      <w:pPr>
        <w:ind w:left="339"/>
      </w:pPr>
      <w:r>
        <w:t>Table 6: Dimension 3 – territorial delivery mechanism and territorial focus</w:t>
      </w:r>
    </w:p>
    <w:p w14:paraId="63875CB7"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9BA793A" w14:textId="77777777" w:rsidTr="00355A56">
        <w:trPr>
          <w:trHeight w:val="353"/>
        </w:trPr>
        <w:tc>
          <w:tcPr>
            <w:tcW w:w="2088" w:type="dxa"/>
          </w:tcPr>
          <w:p w14:paraId="5AFCB5C4" w14:textId="77777777" w:rsidR="00DD13BF" w:rsidRDefault="00DD13BF" w:rsidP="00355A56">
            <w:pPr>
              <w:pStyle w:val="TableParagraph"/>
              <w:ind w:left="115"/>
            </w:pPr>
            <w:r>
              <w:t>Priority no.</w:t>
            </w:r>
          </w:p>
        </w:tc>
        <w:tc>
          <w:tcPr>
            <w:tcW w:w="1132" w:type="dxa"/>
          </w:tcPr>
          <w:p w14:paraId="2BD5FF83" w14:textId="77777777" w:rsidR="00DD13BF" w:rsidRDefault="00DD13BF" w:rsidP="00355A56">
            <w:pPr>
              <w:pStyle w:val="TableParagraph"/>
              <w:ind w:left="320"/>
            </w:pPr>
            <w:r>
              <w:t>Fund</w:t>
            </w:r>
          </w:p>
        </w:tc>
        <w:tc>
          <w:tcPr>
            <w:tcW w:w="3248" w:type="dxa"/>
          </w:tcPr>
          <w:p w14:paraId="4BB8203A" w14:textId="77777777" w:rsidR="00DD13BF" w:rsidRDefault="00DD13BF" w:rsidP="00355A56">
            <w:pPr>
              <w:pStyle w:val="TableParagraph"/>
              <w:ind w:left="908"/>
            </w:pPr>
            <w:r>
              <w:t>Category of region</w:t>
            </w:r>
          </w:p>
        </w:tc>
        <w:tc>
          <w:tcPr>
            <w:tcW w:w="3098" w:type="dxa"/>
          </w:tcPr>
          <w:p w14:paraId="71B93087" w14:textId="77777777" w:rsidR="00DD13BF" w:rsidRDefault="00DD13BF" w:rsidP="00355A56">
            <w:pPr>
              <w:pStyle w:val="TableParagraph"/>
              <w:ind w:left="950"/>
            </w:pPr>
            <w:r>
              <w:t>Specific objective</w:t>
            </w:r>
          </w:p>
        </w:tc>
        <w:tc>
          <w:tcPr>
            <w:tcW w:w="1160" w:type="dxa"/>
          </w:tcPr>
          <w:p w14:paraId="6887949D" w14:textId="77777777" w:rsidR="00DD13BF" w:rsidRDefault="00DD13BF" w:rsidP="00355A56">
            <w:pPr>
              <w:pStyle w:val="TableParagraph"/>
              <w:ind w:left="336"/>
            </w:pPr>
            <w:r>
              <w:t>Code</w:t>
            </w:r>
          </w:p>
        </w:tc>
        <w:tc>
          <w:tcPr>
            <w:tcW w:w="2730" w:type="dxa"/>
          </w:tcPr>
          <w:p w14:paraId="345D48B1" w14:textId="77777777" w:rsidR="00DD13BF" w:rsidRDefault="00DD13BF" w:rsidP="00355A56">
            <w:pPr>
              <w:pStyle w:val="TableParagraph"/>
              <w:ind w:left="664"/>
            </w:pPr>
            <w:r>
              <w:t>Amount (in EUR)</w:t>
            </w:r>
          </w:p>
        </w:tc>
      </w:tr>
      <w:tr w:rsidR="00DD13BF" w14:paraId="1FFB79F8" w14:textId="77777777" w:rsidTr="00355A56">
        <w:trPr>
          <w:trHeight w:val="353"/>
        </w:trPr>
        <w:tc>
          <w:tcPr>
            <w:tcW w:w="2088" w:type="dxa"/>
          </w:tcPr>
          <w:p w14:paraId="01C9987D" w14:textId="77777777" w:rsidR="00DD13BF" w:rsidRDefault="00DD13BF" w:rsidP="00355A56">
            <w:pPr>
              <w:pStyle w:val="TableParagraph"/>
              <w:rPr>
                <w:sz w:val="20"/>
              </w:rPr>
            </w:pPr>
            <w:r>
              <w:rPr>
                <w:sz w:val="20"/>
              </w:rPr>
              <w:t>6</w:t>
            </w:r>
          </w:p>
        </w:tc>
        <w:tc>
          <w:tcPr>
            <w:tcW w:w="1132" w:type="dxa"/>
          </w:tcPr>
          <w:p w14:paraId="2DEBB4F9" w14:textId="77777777" w:rsidR="00DD13BF" w:rsidRDefault="00DD13BF" w:rsidP="00355A56">
            <w:pPr>
              <w:pStyle w:val="TableParagraph"/>
              <w:rPr>
                <w:sz w:val="20"/>
              </w:rPr>
            </w:pPr>
            <w:r>
              <w:rPr>
                <w:sz w:val="20"/>
              </w:rPr>
              <w:t>ERDF</w:t>
            </w:r>
          </w:p>
        </w:tc>
        <w:tc>
          <w:tcPr>
            <w:tcW w:w="3248" w:type="dxa"/>
          </w:tcPr>
          <w:p w14:paraId="468A8BD3" w14:textId="77777777" w:rsidR="00DD13BF" w:rsidRDefault="00DD13BF" w:rsidP="00355A56">
            <w:pPr>
              <w:pStyle w:val="TableParagraph"/>
              <w:rPr>
                <w:sz w:val="20"/>
              </w:rPr>
            </w:pPr>
            <w:r>
              <w:rPr>
                <w:sz w:val="20"/>
              </w:rPr>
              <w:t>Less developed</w:t>
            </w:r>
          </w:p>
        </w:tc>
        <w:tc>
          <w:tcPr>
            <w:tcW w:w="3098" w:type="dxa"/>
          </w:tcPr>
          <w:p w14:paraId="4C23068D" w14:textId="77777777" w:rsidR="00DD13BF" w:rsidRDefault="00DD13BF" w:rsidP="00355A56">
            <w:pPr>
              <w:pStyle w:val="TableParagraph"/>
              <w:rPr>
                <w:sz w:val="20"/>
              </w:rPr>
            </w:pPr>
            <w:r>
              <w:rPr>
                <w:color w:val="000000"/>
                <w:sz w:val="20"/>
              </w:rPr>
              <w:t>RSO4.2</w:t>
            </w:r>
          </w:p>
        </w:tc>
        <w:tc>
          <w:tcPr>
            <w:tcW w:w="1160" w:type="dxa"/>
          </w:tcPr>
          <w:p w14:paraId="76BF3473" w14:textId="77777777" w:rsidR="00DD13BF" w:rsidRDefault="00DD13BF" w:rsidP="00355A56">
            <w:pPr>
              <w:pStyle w:val="TableParagraph"/>
              <w:rPr>
                <w:sz w:val="20"/>
              </w:rPr>
            </w:pPr>
            <w:r>
              <w:rPr>
                <w:sz w:val="20"/>
              </w:rPr>
              <w:t>33</w:t>
            </w:r>
          </w:p>
        </w:tc>
        <w:tc>
          <w:tcPr>
            <w:tcW w:w="2730" w:type="dxa"/>
          </w:tcPr>
          <w:p w14:paraId="204C08D4" w14:textId="77777777" w:rsidR="00DD13BF" w:rsidRDefault="00DD13BF" w:rsidP="00355A56">
            <w:pPr>
              <w:pStyle w:val="TableParagraph"/>
              <w:rPr>
                <w:sz w:val="20"/>
              </w:rPr>
            </w:pPr>
            <w:r>
              <w:rPr>
                <w:sz w:val="20"/>
              </w:rPr>
              <w:t>32,800,061</w:t>
            </w:r>
          </w:p>
        </w:tc>
      </w:tr>
    </w:tbl>
    <w:p w14:paraId="0D82E77A" w14:textId="77777777" w:rsidR="00DD13BF" w:rsidRDefault="00DD13BF" w:rsidP="00DD13BF"/>
    <w:p w14:paraId="71F6F8A0" w14:textId="77777777" w:rsidR="00DD13BF" w:rsidRDefault="00DD13BF" w:rsidP="00DD13BF">
      <w:pPr>
        <w:ind w:left="339"/>
      </w:pPr>
      <w:r>
        <w:t>Table 7: Dimension 6 – ESF+ secondary themes</w:t>
      </w:r>
    </w:p>
    <w:p w14:paraId="2AAD1301"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457AE9C" w14:textId="77777777" w:rsidTr="00355A56">
        <w:trPr>
          <w:trHeight w:val="353"/>
        </w:trPr>
        <w:tc>
          <w:tcPr>
            <w:tcW w:w="2088" w:type="dxa"/>
          </w:tcPr>
          <w:p w14:paraId="4CBED106" w14:textId="77777777" w:rsidR="00DD13BF" w:rsidRDefault="00DD13BF" w:rsidP="00355A56">
            <w:pPr>
              <w:pStyle w:val="TableParagraph"/>
              <w:ind w:left="115"/>
            </w:pPr>
            <w:r>
              <w:t>Priority no.</w:t>
            </w:r>
          </w:p>
        </w:tc>
        <w:tc>
          <w:tcPr>
            <w:tcW w:w="1132" w:type="dxa"/>
          </w:tcPr>
          <w:p w14:paraId="4F65ADD8" w14:textId="77777777" w:rsidR="00DD13BF" w:rsidRDefault="00DD13BF" w:rsidP="00355A56">
            <w:pPr>
              <w:pStyle w:val="TableParagraph"/>
              <w:ind w:left="321"/>
            </w:pPr>
            <w:r>
              <w:t>Fund</w:t>
            </w:r>
          </w:p>
        </w:tc>
        <w:tc>
          <w:tcPr>
            <w:tcW w:w="3248" w:type="dxa"/>
          </w:tcPr>
          <w:p w14:paraId="0ACB0912" w14:textId="77777777" w:rsidR="00DD13BF" w:rsidRDefault="00DD13BF" w:rsidP="00355A56">
            <w:pPr>
              <w:pStyle w:val="TableParagraph"/>
              <w:ind w:left="909"/>
            </w:pPr>
            <w:r>
              <w:t>Category of region</w:t>
            </w:r>
          </w:p>
        </w:tc>
        <w:tc>
          <w:tcPr>
            <w:tcW w:w="3098" w:type="dxa"/>
          </w:tcPr>
          <w:p w14:paraId="2A27A399" w14:textId="77777777" w:rsidR="00DD13BF" w:rsidRDefault="00DD13BF" w:rsidP="00355A56">
            <w:pPr>
              <w:pStyle w:val="TableParagraph"/>
              <w:ind w:left="950"/>
            </w:pPr>
            <w:r>
              <w:t>Specific objective</w:t>
            </w:r>
          </w:p>
        </w:tc>
        <w:tc>
          <w:tcPr>
            <w:tcW w:w="1160" w:type="dxa"/>
          </w:tcPr>
          <w:p w14:paraId="4DBBF6ED" w14:textId="77777777" w:rsidR="00DD13BF" w:rsidRDefault="00DD13BF" w:rsidP="00355A56">
            <w:pPr>
              <w:pStyle w:val="TableParagraph"/>
              <w:ind w:left="337"/>
            </w:pPr>
            <w:r>
              <w:t>Code</w:t>
            </w:r>
          </w:p>
        </w:tc>
        <w:tc>
          <w:tcPr>
            <w:tcW w:w="2730" w:type="dxa"/>
          </w:tcPr>
          <w:p w14:paraId="3EFCD3D7" w14:textId="77777777" w:rsidR="00DD13BF" w:rsidRDefault="00DD13BF" w:rsidP="00355A56">
            <w:pPr>
              <w:pStyle w:val="TableParagraph"/>
              <w:ind w:left="665"/>
            </w:pPr>
            <w:r>
              <w:t>Amount (in EUR)</w:t>
            </w:r>
          </w:p>
        </w:tc>
      </w:tr>
    </w:tbl>
    <w:p w14:paraId="32D23F6F" w14:textId="77777777" w:rsidR="00DD13BF" w:rsidRPr="00673ADB" w:rsidRDefault="00DD13BF" w:rsidP="00DD13BF"/>
    <w:p w14:paraId="46D857F8" w14:textId="77777777" w:rsidR="00DD13BF" w:rsidRDefault="00DD13BF" w:rsidP="00DD13BF">
      <w:pPr>
        <w:ind w:left="339"/>
      </w:pPr>
      <w:r>
        <w:t>Table 8: Dimension 7 – ESF+*, ERDF, Cohesion Fund and JTF gender equality dimension</w:t>
      </w:r>
    </w:p>
    <w:p w14:paraId="74B3AC58"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BDD6DEA" w14:textId="77777777" w:rsidTr="00355A56">
        <w:trPr>
          <w:trHeight w:val="353"/>
        </w:trPr>
        <w:tc>
          <w:tcPr>
            <w:tcW w:w="2088" w:type="dxa"/>
          </w:tcPr>
          <w:p w14:paraId="2BE79159" w14:textId="77777777" w:rsidR="00DD13BF" w:rsidRDefault="00DD13BF" w:rsidP="00355A56">
            <w:pPr>
              <w:pStyle w:val="TableParagraph"/>
              <w:ind w:left="115"/>
            </w:pPr>
            <w:r>
              <w:t>Priority no.</w:t>
            </w:r>
          </w:p>
        </w:tc>
        <w:tc>
          <w:tcPr>
            <w:tcW w:w="1132" w:type="dxa"/>
          </w:tcPr>
          <w:p w14:paraId="6DBFD407" w14:textId="77777777" w:rsidR="00DD13BF" w:rsidRDefault="00DD13BF" w:rsidP="00355A56">
            <w:pPr>
              <w:pStyle w:val="TableParagraph"/>
              <w:ind w:left="320"/>
            </w:pPr>
            <w:r>
              <w:t>Fund</w:t>
            </w:r>
          </w:p>
        </w:tc>
        <w:tc>
          <w:tcPr>
            <w:tcW w:w="3248" w:type="dxa"/>
          </w:tcPr>
          <w:p w14:paraId="7336026E" w14:textId="77777777" w:rsidR="00DD13BF" w:rsidRDefault="00DD13BF" w:rsidP="00355A56">
            <w:pPr>
              <w:pStyle w:val="TableParagraph"/>
              <w:ind w:left="908"/>
            </w:pPr>
            <w:r>
              <w:t>Category of region</w:t>
            </w:r>
          </w:p>
        </w:tc>
        <w:tc>
          <w:tcPr>
            <w:tcW w:w="3098" w:type="dxa"/>
          </w:tcPr>
          <w:p w14:paraId="7A0839C2" w14:textId="77777777" w:rsidR="00DD13BF" w:rsidRDefault="00DD13BF" w:rsidP="00355A56">
            <w:pPr>
              <w:pStyle w:val="TableParagraph"/>
              <w:ind w:left="950"/>
            </w:pPr>
            <w:r>
              <w:t>Specific objective</w:t>
            </w:r>
          </w:p>
        </w:tc>
        <w:tc>
          <w:tcPr>
            <w:tcW w:w="1160" w:type="dxa"/>
          </w:tcPr>
          <w:p w14:paraId="289CB4CC" w14:textId="77777777" w:rsidR="00DD13BF" w:rsidRDefault="00DD13BF" w:rsidP="00355A56">
            <w:pPr>
              <w:pStyle w:val="TableParagraph"/>
              <w:ind w:left="336"/>
            </w:pPr>
            <w:r>
              <w:t>Code</w:t>
            </w:r>
          </w:p>
        </w:tc>
        <w:tc>
          <w:tcPr>
            <w:tcW w:w="2730" w:type="dxa"/>
          </w:tcPr>
          <w:p w14:paraId="1ED0D08D" w14:textId="77777777" w:rsidR="00DD13BF" w:rsidRDefault="00DD13BF" w:rsidP="00355A56">
            <w:pPr>
              <w:pStyle w:val="TableParagraph"/>
              <w:ind w:left="664"/>
            </w:pPr>
            <w:r>
              <w:t>Amount (in EUR)</w:t>
            </w:r>
          </w:p>
        </w:tc>
      </w:tr>
      <w:tr w:rsidR="00DD13BF" w14:paraId="7D8112D5" w14:textId="77777777" w:rsidTr="00355A56">
        <w:trPr>
          <w:trHeight w:val="353"/>
        </w:trPr>
        <w:tc>
          <w:tcPr>
            <w:tcW w:w="2088" w:type="dxa"/>
          </w:tcPr>
          <w:p w14:paraId="08CE88CC" w14:textId="77777777" w:rsidR="00DD13BF" w:rsidRDefault="00DD13BF" w:rsidP="00355A56">
            <w:pPr>
              <w:pStyle w:val="TableParagraph"/>
              <w:rPr>
                <w:sz w:val="20"/>
              </w:rPr>
            </w:pPr>
            <w:r>
              <w:rPr>
                <w:sz w:val="20"/>
              </w:rPr>
              <w:t>6</w:t>
            </w:r>
          </w:p>
        </w:tc>
        <w:tc>
          <w:tcPr>
            <w:tcW w:w="1132" w:type="dxa"/>
          </w:tcPr>
          <w:p w14:paraId="7662A4F7" w14:textId="77777777" w:rsidR="00DD13BF" w:rsidRDefault="00DD13BF" w:rsidP="00355A56">
            <w:pPr>
              <w:pStyle w:val="TableParagraph"/>
              <w:rPr>
                <w:sz w:val="20"/>
              </w:rPr>
            </w:pPr>
            <w:r>
              <w:rPr>
                <w:sz w:val="20"/>
              </w:rPr>
              <w:t>ERDF</w:t>
            </w:r>
          </w:p>
        </w:tc>
        <w:tc>
          <w:tcPr>
            <w:tcW w:w="3248" w:type="dxa"/>
          </w:tcPr>
          <w:p w14:paraId="415F9409" w14:textId="77777777" w:rsidR="00DD13BF" w:rsidRDefault="00DD13BF" w:rsidP="00355A56">
            <w:pPr>
              <w:pStyle w:val="TableParagraph"/>
              <w:rPr>
                <w:sz w:val="20"/>
              </w:rPr>
            </w:pPr>
            <w:r>
              <w:rPr>
                <w:sz w:val="20"/>
              </w:rPr>
              <w:t>Less developed</w:t>
            </w:r>
          </w:p>
        </w:tc>
        <w:tc>
          <w:tcPr>
            <w:tcW w:w="3098" w:type="dxa"/>
          </w:tcPr>
          <w:p w14:paraId="0ABF044D" w14:textId="77777777" w:rsidR="00DD13BF" w:rsidRDefault="00DD13BF" w:rsidP="00355A56">
            <w:pPr>
              <w:pStyle w:val="TableParagraph"/>
              <w:rPr>
                <w:sz w:val="20"/>
              </w:rPr>
            </w:pPr>
            <w:r>
              <w:rPr>
                <w:color w:val="000000"/>
                <w:sz w:val="20"/>
              </w:rPr>
              <w:t>RSO4.2</w:t>
            </w:r>
          </w:p>
        </w:tc>
        <w:tc>
          <w:tcPr>
            <w:tcW w:w="1160" w:type="dxa"/>
          </w:tcPr>
          <w:p w14:paraId="5D14A815" w14:textId="77777777" w:rsidR="00DD13BF" w:rsidRDefault="00DD13BF" w:rsidP="00355A56">
            <w:pPr>
              <w:pStyle w:val="TableParagraph"/>
              <w:rPr>
                <w:sz w:val="20"/>
              </w:rPr>
            </w:pPr>
            <w:r>
              <w:rPr>
                <w:sz w:val="20"/>
              </w:rPr>
              <w:t>03</w:t>
            </w:r>
          </w:p>
        </w:tc>
        <w:tc>
          <w:tcPr>
            <w:tcW w:w="2730" w:type="dxa"/>
          </w:tcPr>
          <w:p w14:paraId="7C810A9D" w14:textId="77777777" w:rsidR="00DD13BF" w:rsidRDefault="00DD13BF" w:rsidP="00355A56">
            <w:pPr>
              <w:pStyle w:val="TableParagraph"/>
              <w:rPr>
                <w:sz w:val="20"/>
              </w:rPr>
            </w:pPr>
            <w:r>
              <w:rPr>
                <w:sz w:val="20"/>
              </w:rPr>
              <w:t>32,800,061</w:t>
            </w:r>
          </w:p>
        </w:tc>
      </w:tr>
    </w:tbl>
    <w:p w14:paraId="5BBC6180" w14:textId="77777777" w:rsidR="00DD13BF" w:rsidRDefault="00DD13BF" w:rsidP="00DD13BF">
      <w:pPr>
        <w:tabs>
          <w:tab w:val="left" w:pos="426"/>
        </w:tabs>
        <w:ind w:left="284"/>
        <w:rPr>
          <w:spacing w:val="-2"/>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64F54988" w14:textId="77777777" w:rsidR="00DD13BF" w:rsidRDefault="00DD13BF" w:rsidP="00DD13BF">
      <w:pPr>
        <w:rPr>
          <w:rFonts w:eastAsia="Cambria" w:cs="Cambria"/>
          <w:b/>
          <w:bCs/>
          <w:i/>
          <w:iCs/>
          <w:color w:val="5B9BD5" w:themeColor="accent1"/>
          <w:sz w:val="24"/>
          <w:szCs w:val="19"/>
        </w:rPr>
      </w:pPr>
      <w:r>
        <w:br w:type="page"/>
      </w:r>
    </w:p>
    <w:p w14:paraId="3112E509" w14:textId="77777777" w:rsidR="00DD13BF" w:rsidRDefault="00DD13BF" w:rsidP="00DD13BF">
      <w:pPr>
        <w:pStyle w:val="Naslov3"/>
      </w:pPr>
      <w:bookmarkStart w:id="50" w:name="_Toc131161723"/>
      <w:r>
        <w:lastRenderedPageBreak/>
        <w:t>Priority 7: Long-term care and health, and social inclusion</w:t>
      </w:r>
      <w:bookmarkEnd w:id="50"/>
      <w:r>
        <w:t xml:space="preserve">  </w:t>
      </w:r>
    </w:p>
    <w:p w14:paraId="3CE9630F"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2D070864" w14:textId="77777777" w:rsidTr="00355A56">
        <w:tc>
          <w:tcPr>
            <w:tcW w:w="13994" w:type="dxa"/>
          </w:tcPr>
          <w:p w14:paraId="608A19A7" w14:textId="77777777" w:rsidR="00DD13BF" w:rsidRPr="006A1DD0" w:rsidRDefault="00DD13BF" w:rsidP="00355A56">
            <w:pPr>
              <w:rPr>
                <w:rFonts w:eastAsia="Calibri"/>
              </w:rPr>
            </w:pPr>
            <w:r>
              <w:rPr>
                <w:noProof/>
                <w:lang w:val="sl-SI"/>
              </w:rPr>
              <w:drawing>
                <wp:inline distT="0" distB="0" distL="0" distR="0" wp14:anchorId="1BC74913" wp14:editId="474B2742">
                  <wp:extent cx="121920" cy="103505"/>
                  <wp:effectExtent l="0" t="0" r="0" b="0"/>
                  <wp:docPr id="1127" name="Slika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youth employment</w:t>
            </w:r>
          </w:p>
        </w:tc>
      </w:tr>
      <w:tr w:rsidR="00DD13BF" w:rsidRPr="006A1DD0" w14:paraId="16DA8665" w14:textId="77777777" w:rsidTr="00355A56">
        <w:tc>
          <w:tcPr>
            <w:tcW w:w="13994" w:type="dxa"/>
          </w:tcPr>
          <w:p w14:paraId="01D9AD50" w14:textId="77777777" w:rsidR="00DD13BF" w:rsidRPr="00AE5D25" w:rsidRDefault="00DD13BF" w:rsidP="00DD13BF">
            <w:pPr>
              <w:pStyle w:val="Odstavekseznama"/>
              <w:widowControl/>
              <w:numPr>
                <w:ilvl w:val="0"/>
                <w:numId w:val="4"/>
              </w:numPr>
              <w:autoSpaceDE/>
              <w:autoSpaceDN/>
              <w:ind w:left="318" w:hanging="284"/>
              <w:rPr>
                <w:rFonts w:ascii="Times New Roman" w:eastAsia="Calibri" w:hAnsi="Times New Roman" w:cs="Times New Roman"/>
              </w:rPr>
            </w:pPr>
            <w:r>
              <w:rPr>
                <w:rFonts w:ascii="Times New Roman" w:hAnsi="Times New Roman"/>
              </w:rPr>
              <w:t>This is a priority dedicated to social innovative actions</w:t>
            </w:r>
          </w:p>
        </w:tc>
      </w:tr>
      <w:tr w:rsidR="00DD13BF" w:rsidRPr="006A1DD0" w14:paraId="575E23D2" w14:textId="77777777" w:rsidTr="00355A56">
        <w:tc>
          <w:tcPr>
            <w:tcW w:w="13994" w:type="dxa"/>
          </w:tcPr>
          <w:p w14:paraId="58628A3D" w14:textId="77777777" w:rsidR="00DD13BF" w:rsidRPr="006A1DD0" w:rsidRDefault="00DD13BF" w:rsidP="00355A56">
            <w:pPr>
              <w:rPr>
                <w:rFonts w:eastAsia="Calibri"/>
              </w:rPr>
            </w:pPr>
            <w:r>
              <w:rPr>
                <w:noProof/>
                <w:lang w:val="sl-SI"/>
              </w:rPr>
              <w:drawing>
                <wp:inline distT="0" distB="0" distL="0" distR="0" wp14:anchorId="292DE226" wp14:editId="6049971B">
                  <wp:extent cx="121920" cy="103505"/>
                  <wp:effectExtent l="0" t="0" r="0" b="0"/>
                  <wp:docPr id="1129" name="Slika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4462C54C" w14:textId="77777777" w:rsidTr="00355A56">
        <w:tc>
          <w:tcPr>
            <w:tcW w:w="13994" w:type="dxa"/>
          </w:tcPr>
          <w:p w14:paraId="51910B13" w14:textId="77777777" w:rsidR="00DD13BF" w:rsidRPr="00D30138" w:rsidRDefault="00DD13BF" w:rsidP="00DD13BF">
            <w:pPr>
              <w:pStyle w:val="Odstavekseznama"/>
              <w:widowControl/>
              <w:numPr>
                <w:ilvl w:val="0"/>
                <w:numId w:val="4"/>
              </w:numPr>
              <w:autoSpaceDE/>
              <w:autoSpaceDN/>
              <w:ind w:left="318" w:hanging="284"/>
              <w:rPr>
                <w:rFonts w:ascii="Times New Roman" w:eastAsia="Calibri" w:hAnsi="Times New Roman" w:cs="Times New Roman"/>
              </w:rPr>
            </w:pPr>
            <w:r>
              <w:rPr>
                <w:rFonts w:ascii="Times New Roman" w:hAnsi="Times New Roman"/>
              </w:rPr>
              <w:t>This is a priority dedicated to support to the most deprived persons under the specific objective set out in point (l) of Article 4(1) of the ESF+ Regulation</w:t>
            </w:r>
          </w:p>
        </w:tc>
      </w:tr>
      <w:tr w:rsidR="00DD13BF" w:rsidRPr="006A1DD0" w14:paraId="0B5EE93D" w14:textId="77777777" w:rsidTr="00355A56">
        <w:tc>
          <w:tcPr>
            <w:tcW w:w="13994" w:type="dxa"/>
          </w:tcPr>
          <w:p w14:paraId="1C37D5F2" w14:textId="77777777" w:rsidR="00DD13BF" w:rsidRPr="006A1DD0" w:rsidRDefault="00DD13BF" w:rsidP="00355A56">
            <w:pPr>
              <w:rPr>
                <w:rFonts w:eastAsia="Calibri"/>
              </w:rPr>
            </w:pPr>
            <w:r>
              <w:rPr>
                <w:noProof/>
                <w:lang w:val="sl-SI"/>
              </w:rPr>
              <w:drawing>
                <wp:inline distT="0" distB="0" distL="0" distR="0" wp14:anchorId="0236D5B5" wp14:editId="0CB12DA4">
                  <wp:extent cx="121920" cy="103505"/>
                  <wp:effectExtent l="0" t="0" r="0" b="0"/>
                  <wp:docPr id="1131" name="Slika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urban mobility specific objective set out in point (viii) of Article 3(1)(b) of the ERDF and Cohesion Fund Regulation</w:t>
            </w:r>
          </w:p>
          <w:p w14:paraId="25175685" w14:textId="77777777" w:rsidR="00DD13BF" w:rsidRPr="006A1DD0" w:rsidRDefault="00DD13BF" w:rsidP="00355A56">
            <w:pPr>
              <w:rPr>
                <w:rFonts w:eastAsia="Calibri"/>
              </w:rPr>
            </w:pPr>
          </w:p>
        </w:tc>
      </w:tr>
      <w:tr w:rsidR="00DD13BF" w:rsidRPr="006A1DD0" w14:paraId="45BEAC1D" w14:textId="77777777" w:rsidTr="00355A56">
        <w:trPr>
          <w:trHeight w:val="83"/>
        </w:trPr>
        <w:tc>
          <w:tcPr>
            <w:tcW w:w="13994" w:type="dxa"/>
          </w:tcPr>
          <w:p w14:paraId="5326701F" w14:textId="77777777" w:rsidR="00DD13BF" w:rsidRPr="00DD1BF0" w:rsidRDefault="00DD13BF" w:rsidP="00355A56">
            <w:pPr>
              <w:rPr>
                <w:rFonts w:eastAsia="Calibri"/>
              </w:rPr>
            </w:pPr>
            <w:r>
              <w:rPr>
                <w:noProof/>
                <w:lang w:val="sl-SI"/>
              </w:rPr>
              <w:drawing>
                <wp:inline distT="0" distB="0" distL="0" distR="0" wp14:anchorId="0430987E" wp14:editId="5756CED0">
                  <wp:extent cx="121920" cy="103505"/>
                  <wp:effectExtent l="0" t="0" r="0" b="0"/>
                  <wp:docPr id="1132" name="Slika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digital connectivity specific objective set out in point (v) of Article 3(1)(a) of the ERDF and Cohesion Fund Regulation</w:t>
            </w:r>
          </w:p>
          <w:p w14:paraId="04A8407D" w14:textId="77777777" w:rsidR="00DD13BF" w:rsidRPr="006A1DD0" w:rsidRDefault="00DD13BF" w:rsidP="00355A56">
            <w:pPr>
              <w:rPr>
                <w:rFonts w:eastAsia="Calibri"/>
              </w:rPr>
            </w:pPr>
          </w:p>
        </w:tc>
      </w:tr>
    </w:tbl>
    <w:p w14:paraId="3EDDB0EC"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59D92626" w14:textId="77777777" w:rsidR="00DD13BF" w:rsidRDefault="00DD13BF" w:rsidP="00DD13BF"/>
    <w:p w14:paraId="7A996687" w14:textId="77777777" w:rsidR="00DD13BF" w:rsidRDefault="00DD13BF" w:rsidP="00DD13BF"/>
    <w:p w14:paraId="69FF4A5E" w14:textId="77777777" w:rsidR="00DD13BF" w:rsidRPr="00BD3536" w:rsidRDefault="00DD13BF" w:rsidP="00DD13BF">
      <w:pPr>
        <w:pStyle w:val="Naslov4"/>
        <w:ind w:left="1134"/>
      </w:pPr>
      <w:bookmarkStart w:id="51" w:name="_Toc131161724"/>
      <w:r>
        <w:t>Specific objective ESO4.8. Fostering active inclusion with a view to promoting equal opportunities, non-discrimination and active participation, and improving employability, in particular for disadvantaged groups (ESF+)</w:t>
      </w:r>
      <w:bookmarkEnd w:id="51"/>
    </w:p>
    <w:p w14:paraId="01D4E5C6" w14:textId="77777777" w:rsidR="00DD13BF" w:rsidRDefault="00DD13BF" w:rsidP="00DD13BF">
      <w:pPr>
        <w:rPr>
          <w:sz w:val="30"/>
        </w:rPr>
      </w:pPr>
    </w:p>
    <w:p w14:paraId="5F7F8670" w14:textId="77777777" w:rsidR="00DD13BF" w:rsidRPr="00C10464" w:rsidRDefault="00DD13BF" w:rsidP="00DD13BF">
      <w:pPr>
        <w:pStyle w:val="Naslov5"/>
        <w:spacing w:before="0"/>
      </w:pPr>
      <w:r>
        <w:t>Interventions of the Funds</w:t>
      </w:r>
    </w:p>
    <w:p w14:paraId="3A5568A8" w14:textId="77777777" w:rsidR="00DD13BF" w:rsidRDefault="00DD13BF" w:rsidP="00DD13BF">
      <w:pPr>
        <w:ind w:left="1349"/>
        <w:rPr>
          <w:spacing w:val="-2"/>
        </w:rPr>
      </w:pPr>
    </w:p>
    <w:p w14:paraId="799CCA12" w14:textId="77777777" w:rsidR="00DD13BF" w:rsidRDefault="00DD13BF" w:rsidP="00DD13BF">
      <w:pPr>
        <w:ind w:left="1349"/>
        <w:rPr>
          <w:spacing w:val="-2"/>
        </w:rPr>
      </w:pPr>
      <w:r>
        <w:t>Related types of actions:</w:t>
      </w:r>
    </w:p>
    <w:p w14:paraId="0F011AF7"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7B84FAFB" w14:textId="77777777" w:rsidTr="00355A56">
        <w:trPr>
          <w:trHeight w:val="316"/>
        </w:trPr>
        <w:tc>
          <w:tcPr>
            <w:tcW w:w="12758" w:type="dxa"/>
          </w:tcPr>
          <w:p w14:paraId="3874241D" w14:textId="77777777" w:rsidR="00DD13BF" w:rsidRDefault="00DD13BF" w:rsidP="00355A56">
            <w:pPr>
              <w:jc w:val="both"/>
              <w:rPr>
                <w:rFonts w:cstheme="minorHAnsi"/>
              </w:rPr>
            </w:pPr>
            <w:r>
              <w:t>Under the specific objective ESO4.8, the measures will address the following fields:</w:t>
            </w:r>
          </w:p>
          <w:p w14:paraId="5A9A30B8" w14:textId="77777777" w:rsidR="00DD13BF" w:rsidRPr="00D41D1A" w:rsidRDefault="00DD13BF" w:rsidP="00DD13BF">
            <w:pPr>
              <w:widowControl/>
              <w:numPr>
                <w:ilvl w:val="0"/>
                <w:numId w:val="37"/>
              </w:numPr>
              <w:autoSpaceDE/>
              <w:autoSpaceDN/>
              <w:jc w:val="both"/>
              <w:rPr>
                <w:i/>
              </w:rPr>
            </w:pPr>
            <w:r>
              <w:rPr>
                <w:i/>
                <w:iCs/>
              </w:rPr>
              <w:t>Promoting the social inclusion of persons exposed to the risk of poverty or social exclusion with identified labour market barriers</w:t>
            </w:r>
            <w:r>
              <w:t>: Social activation programmes will be implemented to increase social, functional and work competences for persons from the target groups of long-term unemployed persons, recipients of social assistance benefit in cash, temporarily unemployed persons, migrants, etc., who face complex social issues that prevent them from entering the labour market; a programme of training workshops, the purpose of which is the integration of vulnerable target groups into social entrepreneurship, and the development of activities and employment in existing social enterprises, and the Project-based learning for young adults programme, which is intended for young adults NEET who need an active solution to the problem to be included back into school or enter the labour market.</w:t>
            </w:r>
          </w:p>
          <w:p w14:paraId="684BE7EB" w14:textId="77777777" w:rsidR="00DD13BF" w:rsidRPr="00C00159" w:rsidRDefault="00DD13BF" w:rsidP="00DD13BF">
            <w:pPr>
              <w:widowControl/>
              <w:numPr>
                <w:ilvl w:val="0"/>
                <w:numId w:val="37"/>
              </w:numPr>
              <w:autoSpaceDE/>
              <w:autoSpaceDN/>
              <w:jc w:val="both"/>
              <w:rPr>
                <w:rFonts w:cstheme="minorHAnsi"/>
              </w:rPr>
            </w:pPr>
            <w:r>
              <w:rPr>
                <w:i/>
                <w:iCs/>
              </w:rPr>
              <w:t>Measures to support an easier transition of young people with special needs to the labour market</w:t>
            </w:r>
            <w:r>
              <w:t xml:space="preserve"> through various forms of assistance, as young people with special needs have problems transitioning to the next level of education or the labour market due to their deficits, and therefore need additional encouragement from professionals. The measure complements the measure for a faster entry of young </w:t>
            </w:r>
            <w:r>
              <w:lastRenderedPageBreak/>
              <w:t>people to the labour market, which will be implemented as part of the RRP, and measures in the field of social inclusion of children with special needs under the SO ESO4.11.</w:t>
            </w:r>
          </w:p>
          <w:p w14:paraId="430D23D9" w14:textId="77777777" w:rsidR="00DD13BF" w:rsidRDefault="00DD13BF" w:rsidP="00DD13BF">
            <w:pPr>
              <w:widowControl/>
              <w:numPr>
                <w:ilvl w:val="0"/>
                <w:numId w:val="37"/>
              </w:numPr>
              <w:autoSpaceDE/>
              <w:autoSpaceDN/>
              <w:jc w:val="both"/>
              <w:rPr>
                <w:rFonts w:cstheme="minorHAnsi"/>
              </w:rPr>
            </w:pPr>
            <w:r>
              <w:rPr>
                <w:i/>
                <w:iCs/>
              </w:rPr>
              <w:t>Training for prisoners</w:t>
            </w:r>
            <w:r>
              <w:t xml:space="preserve"> to obtain secondary school education and qualifications, reskilling and further professional training, programmes of national vocational qualifications and other informal training and education programmes for prisoners. The measure enables a faster integration to the labour market after serving a prison sentence.</w:t>
            </w:r>
          </w:p>
          <w:p w14:paraId="6A2510E0" w14:textId="77777777" w:rsidR="00DD13BF" w:rsidRPr="008F7154" w:rsidRDefault="00DD13BF" w:rsidP="00DD13BF">
            <w:pPr>
              <w:widowControl/>
              <w:numPr>
                <w:ilvl w:val="0"/>
                <w:numId w:val="37"/>
              </w:numPr>
              <w:autoSpaceDE/>
              <w:autoSpaceDN/>
              <w:jc w:val="both"/>
              <w:rPr>
                <w:rFonts w:cstheme="minorHAnsi"/>
              </w:rPr>
            </w:pPr>
            <w:r>
              <w:rPr>
                <w:i/>
                <w:iCs/>
              </w:rPr>
              <w:t>Employment, training and promotion of the social inclusion of members of vulnerable social groups in the field of culture</w:t>
            </w:r>
            <w:r>
              <w:t>, whereby the principle of equal opportunities will also be taken into account, preventing social exclusion.</w:t>
            </w:r>
          </w:p>
          <w:p w14:paraId="2B05416F" w14:textId="77777777" w:rsidR="00DD13BF" w:rsidRDefault="00DD13BF" w:rsidP="00355A56">
            <w:pPr>
              <w:ind w:left="720"/>
              <w:jc w:val="both"/>
              <w:rPr>
                <w:i/>
              </w:rPr>
            </w:pPr>
          </w:p>
          <w:p w14:paraId="03AC13EC" w14:textId="77777777" w:rsidR="00DD13BF" w:rsidRPr="008F7154" w:rsidRDefault="00DD13BF" w:rsidP="00355A56">
            <w:pPr>
              <w:ind w:left="38"/>
              <w:jc w:val="both"/>
              <w:rPr>
                <w:rFonts w:cstheme="minorHAnsi"/>
              </w:rPr>
            </w:pPr>
            <w: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379D5C81" w14:textId="77777777" w:rsidR="00DD13BF" w:rsidRDefault="00DD13BF" w:rsidP="00DD13BF">
      <w:pPr>
        <w:ind w:left="1349"/>
        <w:rPr>
          <w:spacing w:val="-6"/>
        </w:rPr>
      </w:pPr>
    </w:p>
    <w:p w14:paraId="2AF29B4E" w14:textId="77777777" w:rsidR="00DD13BF" w:rsidRDefault="00DD13BF" w:rsidP="00DD13BF">
      <w:pPr>
        <w:ind w:left="1349"/>
      </w:pPr>
      <w:r>
        <w:t>Main target groups:</w:t>
      </w:r>
    </w:p>
    <w:p w14:paraId="383CBC07"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3C7595A5" w14:textId="77777777" w:rsidTr="00355A56">
        <w:tc>
          <w:tcPr>
            <w:tcW w:w="12763" w:type="dxa"/>
          </w:tcPr>
          <w:p w14:paraId="0D063755" w14:textId="77777777" w:rsidR="00DD13BF" w:rsidRDefault="00DD13BF" w:rsidP="00355A56">
            <w:pPr>
              <w:jc w:val="both"/>
              <w:rPr>
                <w:rFonts w:cstheme="minorHAnsi"/>
              </w:rPr>
            </w:pPr>
            <w:r>
              <w:t xml:space="preserve">Target groups: </w:t>
            </w:r>
          </w:p>
          <w:p w14:paraId="428562BD"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 xml:space="preserve">unemployed and inactive persons who face obstacles in entering the labour market or in joining AEP measures; </w:t>
            </w:r>
          </w:p>
          <w:p w14:paraId="1229C29B"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 xml:space="preserve">unemployed and inactive persons who are not yet long-term unemployed persons, but for whom the ZRSZ assessed a need for intensive and in-depth treatment prior to being included in the AEP or the labour market; </w:t>
            </w:r>
          </w:p>
          <w:p w14:paraId="671B74E5"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 xml:space="preserve">persons under 30 years of age, with special needs; </w:t>
            </w:r>
          </w:p>
          <w:p w14:paraId="23606510"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 xml:space="preserve">prisoners; </w:t>
            </w:r>
          </w:p>
          <w:p w14:paraId="4411D18E"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 xml:space="preserve">minority ethnic communities; </w:t>
            </w:r>
          </w:p>
          <w:p w14:paraId="7AA11E02" w14:textId="77777777" w:rsidR="00DD13BF" w:rsidRPr="00A2552B" w:rsidRDefault="00DD13BF" w:rsidP="00DD13BF">
            <w:pPr>
              <w:pStyle w:val="Odstavekseznama"/>
              <w:widowControl/>
              <w:numPr>
                <w:ilvl w:val="0"/>
                <w:numId w:val="55"/>
              </w:numPr>
              <w:autoSpaceDE/>
              <w:autoSpaceDN/>
              <w:jc w:val="both"/>
              <w:rPr>
                <w:rFonts w:ascii="Times New Roman" w:hAnsi="Times New Roman" w:cs="Times New Roman"/>
              </w:rPr>
            </w:pPr>
            <w:r>
              <w:rPr>
                <w:rFonts w:ascii="Times New Roman" w:hAnsi="Times New Roman"/>
              </w:rPr>
              <w:t>persons with disabilities.</w:t>
            </w:r>
          </w:p>
          <w:p w14:paraId="1209225F" w14:textId="77777777" w:rsidR="00DD13BF" w:rsidRDefault="00DD13BF" w:rsidP="00355A56">
            <w:pPr>
              <w:spacing w:line="276" w:lineRule="auto"/>
              <w:contextualSpacing/>
              <w:jc w:val="both"/>
              <w:rPr>
                <w:rFonts w:cs="Arial"/>
                <w:noProof/>
              </w:rPr>
            </w:pPr>
          </w:p>
          <w:p w14:paraId="037862DE" w14:textId="77777777" w:rsidR="00DD13BF" w:rsidRPr="00B3569A" w:rsidRDefault="00DD13BF" w:rsidP="00355A56">
            <w:pPr>
              <w:spacing w:line="276" w:lineRule="auto"/>
              <w:contextualSpacing/>
              <w:jc w:val="both"/>
              <w:rPr>
                <w:rFonts w:cstheme="minorHAnsi"/>
              </w:rPr>
            </w:pPr>
            <w:r>
              <w:t>Beneficiaries: ZRSZ, URSIKS and providers of measures selected as part of a public tender or public call (e.g. public and private organisations, NGOs, etc.).</w:t>
            </w:r>
          </w:p>
        </w:tc>
      </w:tr>
    </w:tbl>
    <w:p w14:paraId="05FAC139" w14:textId="77777777" w:rsidR="00DD13BF" w:rsidRPr="006B7178" w:rsidRDefault="00DD13BF" w:rsidP="00DD13BF">
      <w:pPr>
        <w:ind w:left="1349"/>
      </w:pPr>
    </w:p>
    <w:p w14:paraId="7FD358DB" w14:textId="77777777" w:rsidR="00DD13BF" w:rsidRDefault="00DD13BF" w:rsidP="00DD13BF">
      <w:pPr>
        <w:ind w:left="1349"/>
        <w:rPr>
          <w:spacing w:val="-2"/>
        </w:rPr>
      </w:pPr>
      <w:r>
        <w:t>Measures to protect equality, inclusion and non-discrimination:</w:t>
      </w:r>
    </w:p>
    <w:p w14:paraId="6A04CFC1"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5F6A7B8D" w14:textId="77777777" w:rsidTr="00355A56">
        <w:tc>
          <w:tcPr>
            <w:tcW w:w="12715" w:type="dxa"/>
          </w:tcPr>
          <w:p w14:paraId="55A3053D" w14:textId="77777777" w:rsidR="00DD13BF" w:rsidRDefault="00DD13BF" w:rsidP="00355A56">
            <w:pPr>
              <w:jc w:val="both"/>
              <w:rPr>
                <w:rFonts w:cstheme="minorHAnsi"/>
              </w:rPr>
            </w:pPr>
            <w:r>
              <w:t xml:space="preserve">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As part of the programme, equal opportunities and the fight against discrimination based on different personal circumstances will also be ensured horizontally and vertically within the framework of the management and supervision system, and the Procedural rules for providing the horizontal enabling </w:t>
            </w:r>
            <w:r>
              <w:lastRenderedPageBreak/>
              <w:t xml:space="preserve">condition “Effective application and implementation of the Charter of Fundamental Rights” and the Action Programme for Persons with Disabilities 2022–2030, and other relevant documents that will be created as part of implementation will be taken into account. </w:t>
            </w:r>
          </w:p>
          <w:p w14:paraId="6A0CE51A" w14:textId="77777777" w:rsidR="00DD13BF" w:rsidRDefault="00DD13BF" w:rsidP="00355A56">
            <w:pPr>
              <w:jc w:val="both"/>
              <w:rPr>
                <w:rFonts w:cstheme="minorHAnsi"/>
              </w:rPr>
            </w:pPr>
          </w:p>
          <w:p w14:paraId="0BBDFE86" w14:textId="77777777" w:rsidR="00DD13BF" w:rsidRPr="00CA1E87" w:rsidRDefault="00DD13BF" w:rsidP="00355A56">
            <w:pPr>
              <w:jc w:val="both"/>
              <w:rPr>
                <w:rFonts w:cstheme="minorHAnsi"/>
              </w:rPr>
            </w:pPr>
            <w:r>
              <w:t xml:space="preserve">The measures will include helping to reduce poverty and promoting social inclusion, equal opportunities will be guaranteed for everyone regardless of personal circumstances, and special attention will be paid to reducing barriers for people with disabilities. The objectives of the measures will be aimed at strengthening the employability, integration and empowerment of vulnerable social groups to implement the principle of equal opportunities and prevent social exclusion. </w:t>
            </w:r>
          </w:p>
          <w:p w14:paraId="12DA199F" w14:textId="77777777" w:rsidR="00DD13BF" w:rsidRDefault="00DD13BF" w:rsidP="00355A56">
            <w:pPr>
              <w:jc w:val="both"/>
              <w:rPr>
                <w:rFonts w:cstheme="minorHAnsi"/>
              </w:rPr>
            </w:pPr>
          </w:p>
          <w:p w14:paraId="5415B26A" w14:textId="77777777" w:rsidR="00DD13BF" w:rsidRPr="00B3569A" w:rsidRDefault="00DD13BF" w:rsidP="00355A56">
            <w:pPr>
              <w:jc w:val="both"/>
              <w:rPr>
                <w:rFonts w:cstheme="minorHAnsi"/>
              </w:rPr>
            </w:pPr>
            <w:r>
              <w:t>Within the framework of the measure for prisoners, equal treatment will be ensured, as the activity of the measure will include persons serving a prison sentence regardless of gender, sexual orientation, disability, age, religion or belief, race or ethnic origin. Marginalised persons serving prison sentences who are far from the labour market will also be included in the measures to implement training for prisoners to obtain secondary school education and qualifications, reskilling and further professional training, programmes of national vocational qualifications and other informal training and education programmes for prisoners with the aim of enabling them to have the best possible socio-economic integration in employment and all other areas of life after serving their sentence.</w:t>
            </w:r>
          </w:p>
        </w:tc>
      </w:tr>
    </w:tbl>
    <w:p w14:paraId="1312B168" w14:textId="77777777" w:rsidR="00DD13BF" w:rsidRDefault="00DD13BF" w:rsidP="00DD13BF">
      <w:pPr>
        <w:rPr>
          <w:sz w:val="20"/>
        </w:rPr>
      </w:pPr>
    </w:p>
    <w:p w14:paraId="4F2CACCF" w14:textId="77777777" w:rsidR="00DD13BF" w:rsidRDefault="00DD13BF" w:rsidP="00DD13BF">
      <w:pPr>
        <w:ind w:left="1415"/>
        <w:rPr>
          <w:spacing w:val="-4"/>
        </w:rPr>
      </w:pPr>
      <w:r>
        <w:t>Indication of the specific territories targeted, including the planned use of territorial tools:</w:t>
      </w:r>
    </w:p>
    <w:p w14:paraId="7FEE6CB8"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08900813" w14:textId="77777777" w:rsidTr="00355A56">
        <w:tc>
          <w:tcPr>
            <w:tcW w:w="12763" w:type="dxa"/>
          </w:tcPr>
          <w:p w14:paraId="78CDC1C8" w14:textId="77777777" w:rsidR="00DD13BF" w:rsidRPr="00B3569A" w:rsidRDefault="00DD13BF" w:rsidP="00355A56">
            <w:pPr>
              <w:rPr>
                <w:rFonts w:cstheme="minorHAnsi"/>
              </w:rPr>
            </w:pPr>
            <w:r>
              <w:t>Under this specific objective, the use of territorial tools is not foreseen.</w:t>
            </w:r>
          </w:p>
        </w:tc>
      </w:tr>
    </w:tbl>
    <w:p w14:paraId="18928278" w14:textId="77777777" w:rsidR="00DD13BF" w:rsidRDefault="00DD13BF" w:rsidP="00DD13BF">
      <w:pPr>
        <w:rPr>
          <w:sz w:val="18"/>
        </w:rPr>
      </w:pPr>
    </w:p>
    <w:p w14:paraId="47A3E699" w14:textId="77777777" w:rsidR="00DD13BF" w:rsidRDefault="00DD13BF" w:rsidP="00DD13BF">
      <w:pPr>
        <w:ind w:left="1415"/>
      </w:pPr>
      <w:r>
        <w:t>The interregional, cross-border and transnational actions:</w:t>
      </w:r>
    </w:p>
    <w:p w14:paraId="75D24D7A"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906B5A" w14:paraId="4F768243" w14:textId="77777777" w:rsidTr="00355A56">
        <w:tc>
          <w:tcPr>
            <w:tcW w:w="12763" w:type="dxa"/>
          </w:tcPr>
          <w:p w14:paraId="1FF32F9E" w14:textId="77777777" w:rsidR="00DD13BF" w:rsidRPr="00906B5A" w:rsidRDefault="00DD13BF" w:rsidP="00355A56">
            <w:pPr>
              <w:jc w:val="both"/>
              <w:rPr>
                <w:rFonts w:cstheme="minorHAnsi"/>
              </w:rPr>
            </w:pPr>
            <w:r>
              <w:t xml:space="preserve">Under this specific objective, the implementation of interregional, cross-border and transnational actions is not possible, as the key objectives of the measures under this specific objective are the employment, training and promotion of social inclusion of members of vulnerable social groups who live in the Republic of Slovenia, particularly in the area where they live, as these facilitate local integration and social inclusion at the primary level. </w:t>
            </w:r>
          </w:p>
        </w:tc>
      </w:tr>
    </w:tbl>
    <w:p w14:paraId="10701138" w14:textId="77777777" w:rsidR="00DD13BF" w:rsidRPr="00906B5A" w:rsidRDefault="00DD13BF" w:rsidP="00DD13BF">
      <w:pPr>
        <w:rPr>
          <w:rFonts w:cstheme="minorHAnsi"/>
        </w:rPr>
      </w:pPr>
    </w:p>
    <w:p w14:paraId="365152C2" w14:textId="77777777" w:rsidR="00DD13BF" w:rsidRPr="00906B5A" w:rsidRDefault="00DD13BF" w:rsidP="00DD13BF">
      <w:pPr>
        <w:rPr>
          <w:rFonts w:cstheme="minorHAnsi"/>
        </w:rPr>
      </w:pPr>
      <w:r>
        <w:tab/>
      </w:r>
      <w:r>
        <w:tab/>
        <w:t>Planned use of financial instruments:</w:t>
      </w:r>
    </w:p>
    <w:p w14:paraId="68E0A5E7" w14:textId="77777777" w:rsidR="00DD13BF" w:rsidRPr="00906B5A" w:rsidRDefault="00DD13BF" w:rsidP="00DD13BF">
      <w:pPr>
        <w:rPr>
          <w:rFonts w:cstheme="minorHAnsi"/>
        </w:rPr>
      </w:pPr>
    </w:p>
    <w:tbl>
      <w:tblPr>
        <w:tblStyle w:val="Tabelamrea"/>
        <w:tblW w:w="12758" w:type="dxa"/>
        <w:tblInd w:w="1271" w:type="dxa"/>
        <w:tblLook w:val="04A0" w:firstRow="1" w:lastRow="0" w:firstColumn="1" w:lastColumn="0" w:noHBand="0" w:noVBand="1"/>
      </w:tblPr>
      <w:tblGrid>
        <w:gridCol w:w="12758"/>
      </w:tblGrid>
      <w:tr w:rsidR="00DD13BF" w:rsidRPr="00906B5A" w14:paraId="5A0FE96A" w14:textId="77777777" w:rsidTr="00355A56">
        <w:tc>
          <w:tcPr>
            <w:tcW w:w="12758" w:type="dxa"/>
          </w:tcPr>
          <w:p w14:paraId="0D498F6C" w14:textId="77777777" w:rsidR="00DD13BF" w:rsidRPr="00906B5A" w:rsidRDefault="00DD13BF" w:rsidP="00355A56">
            <w:pPr>
              <w:jc w:val="both"/>
              <w:rPr>
                <w:rFonts w:cstheme="minorHAnsi"/>
              </w:rPr>
            </w:pPr>
            <w:r>
              <w:t>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In line with the aforementioned, the use of grants is foreseen.</w:t>
            </w:r>
          </w:p>
        </w:tc>
      </w:tr>
    </w:tbl>
    <w:p w14:paraId="2F7A76C7" w14:textId="77777777" w:rsidR="00DD13BF" w:rsidRPr="00906B5A" w:rsidRDefault="00DD13BF" w:rsidP="00DD13BF">
      <w:pPr>
        <w:rPr>
          <w:rFonts w:cstheme="minorHAnsi"/>
        </w:rPr>
      </w:pPr>
    </w:p>
    <w:p w14:paraId="082B8005" w14:textId="77777777" w:rsidR="00DD13BF" w:rsidRDefault="00DD13BF" w:rsidP="00DD13BF">
      <w:pPr>
        <w:rPr>
          <w:sz w:val="20"/>
        </w:rPr>
      </w:pPr>
    </w:p>
    <w:p w14:paraId="07DAFD7C" w14:textId="77777777" w:rsidR="00DD13BF" w:rsidRDefault="00DD13BF" w:rsidP="00DD13BF">
      <w:pPr>
        <w:pStyle w:val="Naslov5"/>
        <w:spacing w:before="0"/>
      </w:pPr>
      <w:r>
        <w:t>Indicators</w:t>
      </w:r>
    </w:p>
    <w:p w14:paraId="773B4454" w14:textId="77777777" w:rsidR="00DD13BF" w:rsidRPr="00906B5A" w:rsidRDefault="00DD13BF" w:rsidP="00DD13BF">
      <w:pPr>
        <w:rPr>
          <w:rFonts w:cstheme="minorHAnsi"/>
        </w:rPr>
      </w:pPr>
    </w:p>
    <w:p w14:paraId="37B932E4" w14:textId="77777777" w:rsidR="00DD13BF" w:rsidRPr="00906B5A" w:rsidRDefault="00DD13BF" w:rsidP="00DD13BF">
      <w:pPr>
        <w:rPr>
          <w:rFonts w:cstheme="minorHAnsi"/>
        </w:rPr>
      </w:pPr>
      <w:r>
        <w:lastRenderedPageBreak/>
        <w:t>Table 2: Impact indicators</w:t>
      </w:r>
    </w:p>
    <w:p w14:paraId="56E22FB7" w14:textId="77777777" w:rsidR="00DD13BF" w:rsidRPr="00906B5A" w:rsidRDefault="00DD13BF" w:rsidP="00DD13BF">
      <w:pPr>
        <w:rPr>
          <w:rFonts w:cstheme="minorHAnsi"/>
        </w:rPr>
      </w:pPr>
    </w:p>
    <w:tbl>
      <w:tblPr>
        <w:tblStyle w:val="TableNormal1"/>
        <w:tblW w:w="1346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74"/>
        <w:gridCol w:w="707"/>
        <w:gridCol w:w="1699"/>
        <w:gridCol w:w="777"/>
        <w:gridCol w:w="4189"/>
        <w:gridCol w:w="1275"/>
        <w:gridCol w:w="1416"/>
        <w:gridCol w:w="995"/>
      </w:tblGrid>
      <w:tr w:rsidR="00DD13BF" w14:paraId="4C57EE43" w14:textId="77777777" w:rsidTr="00355A56">
        <w:trPr>
          <w:trHeight w:val="254"/>
        </w:trPr>
        <w:tc>
          <w:tcPr>
            <w:tcW w:w="1134" w:type="dxa"/>
            <w:vAlign w:val="center"/>
          </w:tcPr>
          <w:p w14:paraId="3E4D65FC" w14:textId="77777777" w:rsidR="00DD13BF" w:rsidRPr="00906B5A" w:rsidRDefault="00DD13BF" w:rsidP="00355A56">
            <w:pPr>
              <w:rPr>
                <w:rFonts w:cstheme="minorHAnsi"/>
              </w:rPr>
            </w:pPr>
            <w:r>
              <w:t>Priority</w:t>
            </w:r>
          </w:p>
        </w:tc>
        <w:tc>
          <w:tcPr>
            <w:tcW w:w="1274" w:type="dxa"/>
            <w:vAlign w:val="center"/>
          </w:tcPr>
          <w:p w14:paraId="3A4E3A9B" w14:textId="77777777" w:rsidR="00DD13BF" w:rsidRPr="00906B5A" w:rsidRDefault="00DD13BF" w:rsidP="00355A56">
            <w:pPr>
              <w:rPr>
                <w:rFonts w:cstheme="minorHAnsi"/>
              </w:rPr>
            </w:pPr>
            <w:r>
              <w:t>Specific objective</w:t>
            </w:r>
          </w:p>
        </w:tc>
        <w:tc>
          <w:tcPr>
            <w:tcW w:w="707" w:type="dxa"/>
            <w:vAlign w:val="center"/>
          </w:tcPr>
          <w:p w14:paraId="662B1FC7" w14:textId="77777777" w:rsidR="00DD13BF" w:rsidRDefault="00DD13BF" w:rsidP="00355A56">
            <w:pPr>
              <w:pStyle w:val="TableParagraph"/>
            </w:pPr>
            <w:r>
              <w:t>Fund</w:t>
            </w:r>
          </w:p>
        </w:tc>
        <w:tc>
          <w:tcPr>
            <w:tcW w:w="1699" w:type="dxa"/>
            <w:vAlign w:val="center"/>
          </w:tcPr>
          <w:p w14:paraId="1F6EFC79" w14:textId="77777777" w:rsidR="00DD13BF" w:rsidRDefault="00DD13BF" w:rsidP="00355A56">
            <w:pPr>
              <w:pStyle w:val="TableParagraph"/>
            </w:pPr>
            <w:r>
              <w:t>Category of region</w:t>
            </w:r>
          </w:p>
        </w:tc>
        <w:tc>
          <w:tcPr>
            <w:tcW w:w="777" w:type="dxa"/>
            <w:vAlign w:val="center"/>
          </w:tcPr>
          <w:p w14:paraId="7FD86600" w14:textId="77777777" w:rsidR="00DD13BF" w:rsidRPr="00347461" w:rsidRDefault="00DD13BF" w:rsidP="00355A56">
            <w:pPr>
              <w:pStyle w:val="TableParagraph"/>
              <w:rPr>
                <w:sz w:val="20"/>
              </w:rPr>
            </w:pPr>
            <w:r>
              <w:t>ID</w:t>
            </w:r>
          </w:p>
        </w:tc>
        <w:tc>
          <w:tcPr>
            <w:tcW w:w="4189" w:type="dxa"/>
            <w:vAlign w:val="center"/>
          </w:tcPr>
          <w:p w14:paraId="2BCE091C" w14:textId="77777777" w:rsidR="00DD13BF" w:rsidRPr="00347461" w:rsidRDefault="00DD13BF" w:rsidP="00355A56">
            <w:pPr>
              <w:pStyle w:val="TableParagraph"/>
              <w:rPr>
                <w:sz w:val="20"/>
              </w:rPr>
            </w:pPr>
            <w:r>
              <w:t>Indicators</w:t>
            </w:r>
          </w:p>
        </w:tc>
        <w:tc>
          <w:tcPr>
            <w:tcW w:w="1275" w:type="dxa"/>
            <w:vAlign w:val="center"/>
          </w:tcPr>
          <w:p w14:paraId="1A403B6F" w14:textId="77777777" w:rsidR="00DD13BF" w:rsidRPr="00347461" w:rsidRDefault="00DD13BF" w:rsidP="00355A56">
            <w:pPr>
              <w:pStyle w:val="TableParagraph"/>
              <w:rPr>
                <w:sz w:val="20"/>
              </w:rPr>
            </w:pPr>
            <w:r>
              <w:t>Measurement unit</w:t>
            </w:r>
          </w:p>
        </w:tc>
        <w:tc>
          <w:tcPr>
            <w:tcW w:w="1416" w:type="dxa"/>
            <w:vAlign w:val="center"/>
          </w:tcPr>
          <w:p w14:paraId="2D34D702" w14:textId="77777777" w:rsidR="00DD13BF" w:rsidRPr="00347461" w:rsidRDefault="00DD13BF" w:rsidP="00355A56">
            <w:pPr>
              <w:pStyle w:val="TableParagraph"/>
              <w:rPr>
                <w:sz w:val="20"/>
              </w:rPr>
            </w:pPr>
            <w:r>
              <w:t>Milestone (2014)</w:t>
            </w:r>
          </w:p>
        </w:tc>
        <w:tc>
          <w:tcPr>
            <w:tcW w:w="995" w:type="dxa"/>
            <w:vAlign w:val="center"/>
          </w:tcPr>
          <w:p w14:paraId="5F293EB7" w14:textId="77777777" w:rsidR="00DD13BF" w:rsidRDefault="00DD13BF" w:rsidP="00355A56">
            <w:pPr>
              <w:pStyle w:val="TableParagraph"/>
            </w:pPr>
            <w:r>
              <w:t>Target (2029)</w:t>
            </w:r>
          </w:p>
        </w:tc>
      </w:tr>
      <w:tr w:rsidR="00DD13BF" w14:paraId="464525B5" w14:textId="77777777" w:rsidTr="00355A56">
        <w:trPr>
          <w:trHeight w:val="367"/>
        </w:trPr>
        <w:tc>
          <w:tcPr>
            <w:tcW w:w="1134" w:type="dxa"/>
          </w:tcPr>
          <w:p w14:paraId="645C5CE0" w14:textId="77777777" w:rsidR="00DD13BF" w:rsidRPr="00DA2F76" w:rsidRDefault="00DD13BF" w:rsidP="00355A56">
            <w:pPr>
              <w:pStyle w:val="TableParagraph"/>
              <w:rPr>
                <w:sz w:val="20"/>
              </w:rPr>
            </w:pPr>
            <w:r>
              <w:rPr>
                <w:sz w:val="20"/>
              </w:rPr>
              <w:t>7</w:t>
            </w:r>
          </w:p>
        </w:tc>
        <w:tc>
          <w:tcPr>
            <w:tcW w:w="1274" w:type="dxa"/>
          </w:tcPr>
          <w:p w14:paraId="4663E3BA" w14:textId="77777777" w:rsidR="00DD13BF" w:rsidRPr="00DA2F76" w:rsidRDefault="00DD13BF" w:rsidP="00355A56">
            <w:pPr>
              <w:pStyle w:val="TableParagraph"/>
              <w:rPr>
                <w:sz w:val="20"/>
              </w:rPr>
            </w:pPr>
            <w:r>
              <w:rPr>
                <w:color w:val="000000"/>
                <w:sz w:val="20"/>
              </w:rPr>
              <w:t>ESO4.8</w:t>
            </w:r>
          </w:p>
        </w:tc>
        <w:tc>
          <w:tcPr>
            <w:tcW w:w="707" w:type="dxa"/>
          </w:tcPr>
          <w:p w14:paraId="0124350F" w14:textId="77777777" w:rsidR="00DD13BF" w:rsidRPr="00DA2F76" w:rsidRDefault="00DD13BF" w:rsidP="00355A56">
            <w:pPr>
              <w:pStyle w:val="TableParagraph"/>
              <w:rPr>
                <w:sz w:val="20"/>
              </w:rPr>
            </w:pPr>
            <w:r>
              <w:rPr>
                <w:sz w:val="20"/>
              </w:rPr>
              <w:t>ESF+</w:t>
            </w:r>
          </w:p>
        </w:tc>
        <w:tc>
          <w:tcPr>
            <w:tcW w:w="1699" w:type="dxa"/>
          </w:tcPr>
          <w:p w14:paraId="651435CC" w14:textId="77777777" w:rsidR="00DD13BF" w:rsidRPr="00DE7E37" w:rsidRDefault="00DD13BF" w:rsidP="00355A56">
            <w:pPr>
              <w:pStyle w:val="TableParagraph"/>
              <w:rPr>
                <w:sz w:val="20"/>
              </w:rPr>
            </w:pPr>
            <w:r>
              <w:rPr>
                <w:sz w:val="20"/>
              </w:rPr>
              <w:t>Less developed</w:t>
            </w:r>
          </w:p>
        </w:tc>
        <w:tc>
          <w:tcPr>
            <w:tcW w:w="777" w:type="dxa"/>
          </w:tcPr>
          <w:p w14:paraId="5360B989" w14:textId="77777777" w:rsidR="00DD13BF" w:rsidRPr="00DE7E37" w:rsidRDefault="00DD13BF" w:rsidP="00355A56">
            <w:pPr>
              <w:pStyle w:val="TableParagraph"/>
              <w:rPr>
                <w:sz w:val="20"/>
              </w:rPr>
            </w:pPr>
            <w:r w:rsidRPr="00F46D55">
              <w:rPr>
                <w:sz w:val="20"/>
                <w:highlight w:val="yellow"/>
              </w:rPr>
              <w:t>EECO02</w:t>
            </w:r>
            <w:r>
              <w:rPr>
                <w:sz w:val="20"/>
              </w:rPr>
              <w:t xml:space="preserve"> </w:t>
            </w:r>
          </w:p>
        </w:tc>
        <w:tc>
          <w:tcPr>
            <w:tcW w:w="4189" w:type="dxa"/>
          </w:tcPr>
          <w:p w14:paraId="40BAADB0" w14:textId="77777777" w:rsidR="00DD13BF" w:rsidRPr="00DE7E37" w:rsidRDefault="00DD13BF" w:rsidP="00355A56">
            <w:pPr>
              <w:pStyle w:val="TableParagraph"/>
              <w:rPr>
                <w:sz w:val="20"/>
              </w:rPr>
            </w:pPr>
            <w:r>
              <w:rPr>
                <w:sz w:val="20"/>
              </w:rPr>
              <w:t>Unemployed, including long-term unemployed</w:t>
            </w:r>
          </w:p>
        </w:tc>
        <w:tc>
          <w:tcPr>
            <w:tcW w:w="1275" w:type="dxa"/>
          </w:tcPr>
          <w:p w14:paraId="54A60883" w14:textId="77777777" w:rsidR="00DD13BF" w:rsidRPr="00DE7E37" w:rsidRDefault="00DD13BF" w:rsidP="00355A56">
            <w:pPr>
              <w:pStyle w:val="TableParagraph"/>
              <w:rPr>
                <w:sz w:val="20"/>
              </w:rPr>
            </w:pPr>
            <w:r>
              <w:rPr>
                <w:color w:val="000000"/>
                <w:sz w:val="20"/>
              </w:rPr>
              <w:t>Persons</w:t>
            </w:r>
          </w:p>
        </w:tc>
        <w:tc>
          <w:tcPr>
            <w:tcW w:w="1416" w:type="dxa"/>
          </w:tcPr>
          <w:p w14:paraId="00A15FB0" w14:textId="77777777" w:rsidR="00DD13BF" w:rsidRPr="00DE7E37" w:rsidRDefault="00DD13BF" w:rsidP="00355A56">
            <w:pPr>
              <w:pStyle w:val="TableParagraph"/>
              <w:rPr>
                <w:sz w:val="20"/>
              </w:rPr>
            </w:pPr>
            <w:r>
              <w:rPr>
                <w:sz w:val="20"/>
              </w:rPr>
              <w:t>1,095</w:t>
            </w:r>
          </w:p>
        </w:tc>
        <w:tc>
          <w:tcPr>
            <w:tcW w:w="995" w:type="dxa"/>
          </w:tcPr>
          <w:p w14:paraId="49E08B19" w14:textId="77777777" w:rsidR="00DD13BF" w:rsidRPr="00DE7E37" w:rsidRDefault="00DD13BF" w:rsidP="00355A56">
            <w:pPr>
              <w:pStyle w:val="TableParagraph"/>
              <w:rPr>
                <w:sz w:val="20"/>
              </w:rPr>
            </w:pPr>
            <w:r>
              <w:rPr>
                <w:sz w:val="20"/>
              </w:rPr>
              <w:t>5,752</w:t>
            </w:r>
          </w:p>
        </w:tc>
      </w:tr>
      <w:tr w:rsidR="00DD13BF" w14:paraId="48144C80" w14:textId="77777777" w:rsidTr="00355A56">
        <w:trPr>
          <w:trHeight w:val="367"/>
        </w:trPr>
        <w:tc>
          <w:tcPr>
            <w:tcW w:w="1134" w:type="dxa"/>
          </w:tcPr>
          <w:p w14:paraId="65C47E13" w14:textId="77777777" w:rsidR="00DD13BF" w:rsidRPr="00DA2F76" w:rsidRDefault="00DD13BF" w:rsidP="00355A56">
            <w:pPr>
              <w:pStyle w:val="TableParagraph"/>
              <w:rPr>
                <w:sz w:val="20"/>
              </w:rPr>
            </w:pPr>
            <w:r>
              <w:rPr>
                <w:sz w:val="20"/>
              </w:rPr>
              <w:t>7</w:t>
            </w:r>
          </w:p>
        </w:tc>
        <w:tc>
          <w:tcPr>
            <w:tcW w:w="1274" w:type="dxa"/>
          </w:tcPr>
          <w:p w14:paraId="3E257944" w14:textId="77777777" w:rsidR="00DD13BF" w:rsidRPr="00DA2F76" w:rsidRDefault="00DD13BF" w:rsidP="00355A56">
            <w:pPr>
              <w:pStyle w:val="TableParagraph"/>
              <w:rPr>
                <w:sz w:val="20"/>
              </w:rPr>
            </w:pPr>
            <w:r>
              <w:rPr>
                <w:color w:val="000000"/>
                <w:sz w:val="20"/>
              </w:rPr>
              <w:t>ESO4.8</w:t>
            </w:r>
          </w:p>
        </w:tc>
        <w:tc>
          <w:tcPr>
            <w:tcW w:w="707" w:type="dxa"/>
          </w:tcPr>
          <w:p w14:paraId="3EAA01CA" w14:textId="77777777" w:rsidR="00DD13BF" w:rsidRPr="00DA2F76" w:rsidRDefault="00DD13BF" w:rsidP="00355A56">
            <w:pPr>
              <w:pStyle w:val="TableParagraph"/>
              <w:rPr>
                <w:sz w:val="20"/>
              </w:rPr>
            </w:pPr>
            <w:r>
              <w:rPr>
                <w:sz w:val="20"/>
              </w:rPr>
              <w:t>ESF+</w:t>
            </w:r>
          </w:p>
        </w:tc>
        <w:tc>
          <w:tcPr>
            <w:tcW w:w="1699" w:type="dxa"/>
          </w:tcPr>
          <w:p w14:paraId="1B13854A" w14:textId="77777777" w:rsidR="00DD13BF" w:rsidRPr="00DE7E37" w:rsidRDefault="00DD13BF" w:rsidP="00355A56">
            <w:pPr>
              <w:pStyle w:val="TableParagraph"/>
              <w:rPr>
                <w:sz w:val="20"/>
              </w:rPr>
            </w:pPr>
            <w:r>
              <w:rPr>
                <w:sz w:val="20"/>
              </w:rPr>
              <w:t>More developed</w:t>
            </w:r>
          </w:p>
        </w:tc>
        <w:tc>
          <w:tcPr>
            <w:tcW w:w="777" w:type="dxa"/>
          </w:tcPr>
          <w:p w14:paraId="56ED38BB" w14:textId="77777777" w:rsidR="00DD13BF" w:rsidRPr="00DE7E37" w:rsidRDefault="00DD13BF" w:rsidP="00355A56">
            <w:pPr>
              <w:pStyle w:val="TableParagraph"/>
              <w:rPr>
                <w:sz w:val="20"/>
              </w:rPr>
            </w:pPr>
            <w:r w:rsidRPr="00F46D55">
              <w:rPr>
                <w:sz w:val="20"/>
                <w:highlight w:val="yellow"/>
              </w:rPr>
              <w:t>EECO02</w:t>
            </w:r>
            <w:r>
              <w:rPr>
                <w:sz w:val="20"/>
              </w:rPr>
              <w:t xml:space="preserve"> </w:t>
            </w:r>
          </w:p>
        </w:tc>
        <w:tc>
          <w:tcPr>
            <w:tcW w:w="4189" w:type="dxa"/>
          </w:tcPr>
          <w:p w14:paraId="65A63765" w14:textId="77777777" w:rsidR="00DD13BF" w:rsidRPr="00DE7E37" w:rsidRDefault="00DD13BF" w:rsidP="00355A56">
            <w:pPr>
              <w:pStyle w:val="TableParagraph"/>
              <w:rPr>
                <w:sz w:val="20"/>
              </w:rPr>
            </w:pPr>
            <w:r>
              <w:rPr>
                <w:sz w:val="20"/>
              </w:rPr>
              <w:t>Unemployed, including long-term unemployed</w:t>
            </w:r>
          </w:p>
        </w:tc>
        <w:tc>
          <w:tcPr>
            <w:tcW w:w="1275" w:type="dxa"/>
          </w:tcPr>
          <w:p w14:paraId="34A81940" w14:textId="77777777" w:rsidR="00DD13BF" w:rsidRPr="00DE7E37" w:rsidRDefault="00DD13BF" w:rsidP="00355A56">
            <w:pPr>
              <w:pStyle w:val="TableParagraph"/>
              <w:rPr>
                <w:sz w:val="20"/>
              </w:rPr>
            </w:pPr>
            <w:r>
              <w:rPr>
                <w:color w:val="000000"/>
                <w:sz w:val="20"/>
              </w:rPr>
              <w:t>Persons</w:t>
            </w:r>
          </w:p>
        </w:tc>
        <w:tc>
          <w:tcPr>
            <w:tcW w:w="1416" w:type="dxa"/>
          </w:tcPr>
          <w:p w14:paraId="2FDD73E2" w14:textId="77777777" w:rsidR="00DD13BF" w:rsidRPr="00DE7E37" w:rsidRDefault="00DD13BF" w:rsidP="00355A56">
            <w:pPr>
              <w:pStyle w:val="TableParagraph"/>
              <w:rPr>
                <w:sz w:val="20"/>
              </w:rPr>
            </w:pPr>
            <w:r>
              <w:rPr>
                <w:sz w:val="20"/>
              </w:rPr>
              <w:t>520</w:t>
            </w:r>
          </w:p>
        </w:tc>
        <w:tc>
          <w:tcPr>
            <w:tcW w:w="995" w:type="dxa"/>
          </w:tcPr>
          <w:p w14:paraId="5DB37174" w14:textId="77777777" w:rsidR="00DD13BF" w:rsidRPr="00DE7E37" w:rsidRDefault="00DD13BF" w:rsidP="00355A56">
            <w:pPr>
              <w:pStyle w:val="TableParagraph"/>
              <w:rPr>
                <w:sz w:val="20"/>
              </w:rPr>
            </w:pPr>
            <w:r>
              <w:rPr>
                <w:sz w:val="20"/>
              </w:rPr>
              <w:t>2,718</w:t>
            </w:r>
          </w:p>
        </w:tc>
      </w:tr>
      <w:tr w:rsidR="00DD13BF" w14:paraId="15F3336B" w14:textId="77777777" w:rsidTr="00355A56">
        <w:trPr>
          <w:trHeight w:val="367"/>
        </w:trPr>
        <w:tc>
          <w:tcPr>
            <w:tcW w:w="1134" w:type="dxa"/>
            <w:shd w:val="clear" w:color="auto" w:fill="auto"/>
          </w:tcPr>
          <w:p w14:paraId="4DC7B0C7" w14:textId="77777777" w:rsidR="00DD13BF" w:rsidRDefault="00DD13BF" w:rsidP="00355A56">
            <w:pPr>
              <w:pStyle w:val="TableParagraph"/>
              <w:rPr>
                <w:sz w:val="20"/>
              </w:rPr>
            </w:pPr>
            <w:r>
              <w:rPr>
                <w:sz w:val="20"/>
              </w:rPr>
              <w:t>7</w:t>
            </w:r>
          </w:p>
        </w:tc>
        <w:tc>
          <w:tcPr>
            <w:tcW w:w="1274" w:type="dxa"/>
            <w:shd w:val="clear" w:color="auto" w:fill="auto"/>
          </w:tcPr>
          <w:p w14:paraId="00D599D0" w14:textId="77777777" w:rsidR="00DD13BF" w:rsidRPr="00347461" w:rsidRDefault="00DD13BF" w:rsidP="00355A56">
            <w:pPr>
              <w:pStyle w:val="TableParagraph"/>
              <w:rPr>
                <w:sz w:val="20"/>
              </w:rPr>
            </w:pPr>
            <w:r>
              <w:rPr>
                <w:color w:val="000000"/>
                <w:sz w:val="20"/>
              </w:rPr>
              <w:t>ESO4.8</w:t>
            </w:r>
          </w:p>
        </w:tc>
        <w:tc>
          <w:tcPr>
            <w:tcW w:w="707" w:type="dxa"/>
            <w:shd w:val="clear" w:color="auto" w:fill="auto"/>
          </w:tcPr>
          <w:p w14:paraId="1D7A7A09" w14:textId="77777777" w:rsidR="00DD13BF" w:rsidRDefault="00DD13BF" w:rsidP="00355A56">
            <w:pPr>
              <w:pStyle w:val="TableParagraph"/>
              <w:rPr>
                <w:sz w:val="20"/>
              </w:rPr>
            </w:pPr>
            <w:r>
              <w:rPr>
                <w:sz w:val="20"/>
              </w:rPr>
              <w:t>ESF+</w:t>
            </w:r>
          </w:p>
        </w:tc>
        <w:tc>
          <w:tcPr>
            <w:tcW w:w="1699" w:type="dxa"/>
            <w:shd w:val="clear" w:color="auto" w:fill="auto"/>
          </w:tcPr>
          <w:p w14:paraId="7EA86AF5" w14:textId="77777777" w:rsidR="00DD13BF" w:rsidRDefault="00DD13BF" w:rsidP="00355A56">
            <w:pPr>
              <w:pStyle w:val="TableParagraph"/>
              <w:rPr>
                <w:sz w:val="20"/>
              </w:rPr>
            </w:pPr>
            <w:r>
              <w:rPr>
                <w:sz w:val="20"/>
              </w:rPr>
              <w:t>Less developed</w:t>
            </w:r>
          </w:p>
        </w:tc>
        <w:tc>
          <w:tcPr>
            <w:tcW w:w="777" w:type="dxa"/>
            <w:shd w:val="clear" w:color="auto" w:fill="auto"/>
          </w:tcPr>
          <w:p w14:paraId="1E1C2D7B" w14:textId="77777777" w:rsidR="00DD13BF" w:rsidRPr="00347461" w:rsidRDefault="00DD13BF" w:rsidP="00355A56">
            <w:pPr>
              <w:pStyle w:val="TableParagraph"/>
              <w:rPr>
                <w:sz w:val="20"/>
              </w:rPr>
            </w:pPr>
            <w:commentRangeStart w:id="52"/>
            <w:r>
              <w:rPr>
                <w:sz w:val="20"/>
              </w:rPr>
              <w:t>EECO04</w:t>
            </w:r>
            <w:commentRangeEnd w:id="52"/>
            <w:r>
              <w:rPr>
                <w:rStyle w:val="Pripombasklic"/>
                <w:rFonts w:asciiTheme="minorHAnsi" w:eastAsiaTheme="minorHAnsi" w:hAnsiTheme="minorHAnsi" w:cstheme="minorBidi"/>
              </w:rPr>
              <w:commentReference w:id="52"/>
            </w:r>
            <w:r>
              <w:rPr>
                <w:sz w:val="20"/>
              </w:rPr>
              <w:t xml:space="preserve"> </w:t>
            </w:r>
          </w:p>
        </w:tc>
        <w:tc>
          <w:tcPr>
            <w:tcW w:w="4189" w:type="dxa"/>
            <w:shd w:val="clear" w:color="auto" w:fill="auto"/>
          </w:tcPr>
          <w:p w14:paraId="3A099C47" w14:textId="77777777" w:rsidR="00DD13BF" w:rsidRPr="0048732B" w:rsidRDefault="00DD13BF" w:rsidP="00355A56">
            <w:pPr>
              <w:pStyle w:val="TableParagraph"/>
              <w:rPr>
                <w:sz w:val="20"/>
              </w:rPr>
            </w:pPr>
            <w:r>
              <w:rPr>
                <w:sz w:val="20"/>
              </w:rPr>
              <w:t>Inactive</w:t>
            </w:r>
          </w:p>
        </w:tc>
        <w:tc>
          <w:tcPr>
            <w:tcW w:w="1275" w:type="dxa"/>
            <w:shd w:val="clear" w:color="auto" w:fill="auto"/>
          </w:tcPr>
          <w:p w14:paraId="1DBD2C68" w14:textId="77777777" w:rsidR="00DD13BF" w:rsidRPr="0048732B" w:rsidRDefault="00DD13BF" w:rsidP="00355A56">
            <w:pPr>
              <w:pStyle w:val="TableParagraph"/>
              <w:rPr>
                <w:sz w:val="20"/>
              </w:rPr>
            </w:pPr>
            <w:r>
              <w:rPr>
                <w:color w:val="000000"/>
                <w:sz w:val="20"/>
              </w:rPr>
              <w:t>Persons</w:t>
            </w:r>
          </w:p>
        </w:tc>
        <w:tc>
          <w:tcPr>
            <w:tcW w:w="1416" w:type="dxa"/>
            <w:shd w:val="clear" w:color="auto" w:fill="auto"/>
          </w:tcPr>
          <w:p w14:paraId="7D5D58BC" w14:textId="77777777" w:rsidR="00DD13BF" w:rsidRPr="00347461" w:rsidRDefault="00DD13BF" w:rsidP="00355A56">
            <w:pPr>
              <w:pStyle w:val="TableParagraph"/>
              <w:rPr>
                <w:sz w:val="20"/>
              </w:rPr>
            </w:pPr>
            <w:r>
              <w:rPr>
                <w:sz w:val="20"/>
              </w:rPr>
              <w:t>375</w:t>
            </w:r>
          </w:p>
        </w:tc>
        <w:tc>
          <w:tcPr>
            <w:tcW w:w="995" w:type="dxa"/>
            <w:shd w:val="clear" w:color="auto" w:fill="auto"/>
          </w:tcPr>
          <w:p w14:paraId="01222507" w14:textId="77777777" w:rsidR="00DD13BF" w:rsidRDefault="00DD13BF" w:rsidP="00355A56">
            <w:pPr>
              <w:pStyle w:val="TableParagraph"/>
              <w:rPr>
                <w:sz w:val="20"/>
              </w:rPr>
            </w:pPr>
            <w:r>
              <w:rPr>
                <w:sz w:val="20"/>
              </w:rPr>
              <w:t>1,500</w:t>
            </w:r>
          </w:p>
        </w:tc>
      </w:tr>
      <w:tr w:rsidR="00DD13BF" w14:paraId="1675DF3F" w14:textId="77777777" w:rsidTr="00355A56">
        <w:trPr>
          <w:trHeight w:val="367"/>
        </w:trPr>
        <w:tc>
          <w:tcPr>
            <w:tcW w:w="1134" w:type="dxa"/>
            <w:shd w:val="clear" w:color="auto" w:fill="auto"/>
          </w:tcPr>
          <w:p w14:paraId="2E085A5A" w14:textId="77777777" w:rsidR="00DD13BF" w:rsidRDefault="00DD13BF" w:rsidP="00355A56">
            <w:pPr>
              <w:pStyle w:val="TableParagraph"/>
              <w:rPr>
                <w:sz w:val="20"/>
              </w:rPr>
            </w:pPr>
            <w:r>
              <w:rPr>
                <w:sz w:val="20"/>
              </w:rPr>
              <w:t>7</w:t>
            </w:r>
          </w:p>
        </w:tc>
        <w:tc>
          <w:tcPr>
            <w:tcW w:w="1274" w:type="dxa"/>
            <w:shd w:val="clear" w:color="auto" w:fill="auto"/>
          </w:tcPr>
          <w:p w14:paraId="117F02CE" w14:textId="77777777" w:rsidR="00DD13BF" w:rsidRPr="00347461" w:rsidRDefault="00DD13BF" w:rsidP="00355A56">
            <w:pPr>
              <w:pStyle w:val="TableParagraph"/>
              <w:rPr>
                <w:sz w:val="20"/>
              </w:rPr>
            </w:pPr>
            <w:r>
              <w:rPr>
                <w:color w:val="000000"/>
                <w:sz w:val="20"/>
              </w:rPr>
              <w:t>ESO4.8</w:t>
            </w:r>
          </w:p>
        </w:tc>
        <w:tc>
          <w:tcPr>
            <w:tcW w:w="707" w:type="dxa"/>
            <w:shd w:val="clear" w:color="auto" w:fill="auto"/>
          </w:tcPr>
          <w:p w14:paraId="509B5B56" w14:textId="77777777" w:rsidR="00DD13BF" w:rsidRDefault="00DD13BF" w:rsidP="00355A56">
            <w:pPr>
              <w:pStyle w:val="TableParagraph"/>
              <w:rPr>
                <w:sz w:val="20"/>
              </w:rPr>
            </w:pPr>
            <w:r>
              <w:rPr>
                <w:sz w:val="20"/>
              </w:rPr>
              <w:t>ESF+</w:t>
            </w:r>
          </w:p>
        </w:tc>
        <w:tc>
          <w:tcPr>
            <w:tcW w:w="1699" w:type="dxa"/>
            <w:shd w:val="clear" w:color="auto" w:fill="auto"/>
          </w:tcPr>
          <w:p w14:paraId="730BC0CD" w14:textId="77777777" w:rsidR="00DD13BF" w:rsidRDefault="00DD13BF" w:rsidP="00355A56">
            <w:pPr>
              <w:pStyle w:val="TableParagraph"/>
              <w:rPr>
                <w:sz w:val="20"/>
              </w:rPr>
            </w:pPr>
            <w:r>
              <w:rPr>
                <w:sz w:val="20"/>
              </w:rPr>
              <w:t>More developed</w:t>
            </w:r>
          </w:p>
        </w:tc>
        <w:tc>
          <w:tcPr>
            <w:tcW w:w="777" w:type="dxa"/>
            <w:shd w:val="clear" w:color="auto" w:fill="auto"/>
          </w:tcPr>
          <w:p w14:paraId="24F076CE" w14:textId="77777777" w:rsidR="00DD13BF" w:rsidRPr="00347461" w:rsidRDefault="00DD13BF" w:rsidP="00355A56">
            <w:pPr>
              <w:pStyle w:val="TableParagraph"/>
              <w:rPr>
                <w:sz w:val="20"/>
              </w:rPr>
            </w:pPr>
            <w:r w:rsidRPr="00F46D55">
              <w:rPr>
                <w:sz w:val="20"/>
                <w:highlight w:val="yellow"/>
              </w:rPr>
              <w:t>EECO04</w:t>
            </w:r>
            <w:r>
              <w:rPr>
                <w:sz w:val="20"/>
              </w:rPr>
              <w:t xml:space="preserve"> </w:t>
            </w:r>
          </w:p>
        </w:tc>
        <w:tc>
          <w:tcPr>
            <w:tcW w:w="4189" w:type="dxa"/>
            <w:shd w:val="clear" w:color="auto" w:fill="auto"/>
          </w:tcPr>
          <w:p w14:paraId="380A79E7" w14:textId="77777777" w:rsidR="00DD13BF" w:rsidRPr="0048732B" w:rsidRDefault="00DD13BF" w:rsidP="00355A56">
            <w:pPr>
              <w:pStyle w:val="TableParagraph"/>
              <w:rPr>
                <w:sz w:val="20"/>
              </w:rPr>
            </w:pPr>
            <w:r>
              <w:rPr>
                <w:sz w:val="20"/>
              </w:rPr>
              <w:t>Inactive</w:t>
            </w:r>
          </w:p>
        </w:tc>
        <w:tc>
          <w:tcPr>
            <w:tcW w:w="1275" w:type="dxa"/>
            <w:shd w:val="clear" w:color="auto" w:fill="auto"/>
          </w:tcPr>
          <w:p w14:paraId="04F36E2F" w14:textId="77777777" w:rsidR="00DD13BF" w:rsidRPr="0048732B" w:rsidRDefault="00DD13BF" w:rsidP="00355A56">
            <w:pPr>
              <w:pStyle w:val="TableParagraph"/>
              <w:rPr>
                <w:sz w:val="20"/>
              </w:rPr>
            </w:pPr>
            <w:r>
              <w:rPr>
                <w:color w:val="000000"/>
                <w:sz w:val="20"/>
              </w:rPr>
              <w:t>Persons</w:t>
            </w:r>
          </w:p>
        </w:tc>
        <w:tc>
          <w:tcPr>
            <w:tcW w:w="1416" w:type="dxa"/>
            <w:shd w:val="clear" w:color="auto" w:fill="auto"/>
          </w:tcPr>
          <w:p w14:paraId="09D6BDB2" w14:textId="77777777" w:rsidR="00DD13BF" w:rsidRPr="00347461" w:rsidRDefault="00DD13BF" w:rsidP="00355A56">
            <w:pPr>
              <w:pStyle w:val="TableParagraph"/>
              <w:rPr>
                <w:sz w:val="20"/>
              </w:rPr>
            </w:pPr>
            <w:r>
              <w:rPr>
                <w:sz w:val="20"/>
              </w:rPr>
              <w:t>250</w:t>
            </w:r>
          </w:p>
        </w:tc>
        <w:tc>
          <w:tcPr>
            <w:tcW w:w="995" w:type="dxa"/>
            <w:shd w:val="clear" w:color="auto" w:fill="auto"/>
          </w:tcPr>
          <w:p w14:paraId="0E38071F" w14:textId="77777777" w:rsidR="00DD13BF" w:rsidRDefault="00DD13BF" w:rsidP="00355A56">
            <w:pPr>
              <w:pStyle w:val="TableParagraph"/>
              <w:rPr>
                <w:sz w:val="20"/>
              </w:rPr>
            </w:pPr>
            <w:r>
              <w:rPr>
                <w:sz w:val="20"/>
              </w:rPr>
              <w:t>1,000</w:t>
            </w:r>
          </w:p>
        </w:tc>
      </w:tr>
    </w:tbl>
    <w:p w14:paraId="43022317" w14:textId="77777777" w:rsidR="00DD13BF" w:rsidRDefault="00DD13BF" w:rsidP="00DD13BF">
      <w:pPr>
        <w:rPr>
          <w:sz w:val="24"/>
        </w:rPr>
      </w:pPr>
    </w:p>
    <w:p w14:paraId="440913D4" w14:textId="77777777" w:rsidR="00DD13BF" w:rsidRDefault="00DD13BF" w:rsidP="00DD13BF">
      <w:pPr>
        <w:ind w:left="379"/>
      </w:pPr>
      <w:r>
        <w:t>Table 3: Result indicators</w:t>
      </w:r>
    </w:p>
    <w:p w14:paraId="2B4A8A21" w14:textId="77777777" w:rsidR="00DD13BF" w:rsidRDefault="00DD13BF" w:rsidP="00DD13BF">
      <w:pPr>
        <w:rPr>
          <w:sz w:val="21"/>
        </w:rPr>
      </w:pPr>
    </w:p>
    <w:tbl>
      <w:tblPr>
        <w:tblStyle w:val="NormalTable0"/>
        <w:tblW w:w="1346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992"/>
        <w:gridCol w:w="695"/>
        <w:gridCol w:w="1570"/>
        <w:gridCol w:w="849"/>
        <w:gridCol w:w="2982"/>
        <w:gridCol w:w="707"/>
        <w:gridCol w:w="1133"/>
        <w:gridCol w:w="992"/>
        <w:gridCol w:w="711"/>
        <w:gridCol w:w="993"/>
        <w:gridCol w:w="849"/>
      </w:tblGrid>
      <w:tr w:rsidR="00DD13BF" w14:paraId="2E7D226D" w14:textId="77777777" w:rsidTr="00355A56">
        <w:trPr>
          <w:trHeight w:val="353"/>
        </w:trPr>
        <w:tc>
          <w:tcPr>
            <w:tcW w:w="992" w:type="dxa"/>
          </w:tcPr>
          <w:p w14:paraId="65A1CCDB" w14:textId="77777777" w:rsidR="00DD13BF" w:rsidRPr="00347461" w:rsidRDefault="00DD13BF" w:rsidP="00355A56">
            <w:pPr>
              <w:pStyle w:val="TableParagraph"/>
              <w:rPr>
                <w:sz w:val="20"/>
              </w:rPr>
            </w:pPr>
            <w:r>
              <w:rPr>
                <w:sz w:val="20"/>
              </w:rPr>
              <w:t>Priority</w:t>
            </w:r>
          </w:p>
        </w:tc>
        <w:tc>
          <w:tcPr>
            <w:tcW w:w="992" w:type="dxa"/>
          </w:tcPr>
          <w:p w14:paraId="0B3CE898" w14:textId="77777777" w:rsidR="00DD13BF" w:rsidRPr="00347461" w:rsidRDefault="00DD13BF" w:rsidP="00355A56">
            <w:pPr>
              <w:pStyle w:val="TableParagraph"/>
              <w:rPr>
                <w:sz w:val="20"/>
              </w:rPr>
            </w:pPr>
            <w:r>
              <w:rPr>
                <w:sz w:val="20"/>
              </w:rPr>
              <w:t>Specific objective</w:t>
            </w:r>
          </w:p>
        </w:tc>
        <w:tc>
          <w:tcPr>
            <w:tcW w:w="695" w:type="dxa"/>
          </w:tcPr>
          <w:p w14:paraId="3AB3CC70" w14:textId="77777777" w:rsidR="00DD13BF" w:rsidRPr="00347461" w:rsidRDefault="00DD13BF" w:rsidP="00355A56">
            <w:pPr>
              <w:pStyle w:val="TableParagraph"/>
              <w:rPr>
                <w:sz w:val="20"/>
              </w:rPr>
            </w:pPr>
            <w:r>
              <w:rPr>
                <w:sz w:val="20"/>
              </w:rPr>
              <w:t>Fund</w:t>
            </w:r>
          </w:p>
        </w:tc>
        <w:tc>
          <w:tcPr>
            <w:tcW w:w="1570" w:type="dxa"/>
          </w:tcPr>
          <w:p w14:paraId="1EB6A787" w14:textId="77777777" w:rsidR="00DD13BF" w:rsidRPr="00347461" w:rsidRDefault="00DD13BF" w:rsidP="00355A56">
            <w:pPr>
              <w:pStyle w:val="TableParagraph"/>
              <w:rPr>
                <w:sz w:val="20"/>
              </w:rPr>
            </w:pPr>
            <w:r>
              <w:rPr>
                <w:sz w:val="20"/>
              </w:rPr>
              <w:t>Category of region</w:t>
            </w:r>
          </w:p>
        </w:tc>
        <w:tc>
          <w:tcPr>
            <w:tcW w:w="849" w:type="dxa"/>
          </w:tcPr>
          <w:p w14:paraId="60459A6B" w14:textId="77777777" w:rsidR="00DD13BF" w:rsidRPr="00347461" w:rsidRDefault="00DD13BF" w:rsidP="00355A56">
            <w:pPr>
              <w:pStyle w:val="TableParagraph"/>
              <w:rPr>
                <w:sz w:val="20"/>
              </w:rPr>
            </w:pPr>
            <w:r>
              <w:rPr>
                <w:sz w:val="20"/>
              </w:rPr>
              <w:t>ID</w:t>
            </w:r>
          </w:p>
        </w:tc>
        <w:tc>
          <w:tcPr>
            <w:tcW w:w="2982" w:type="dxa"/>
          </w:tcPr>
          <w:p w14:paraId="6941D36F" w14:textId="77777777" w:rsidR="00DD13BF" w:rsidRPr="00347461" w:rsidRDefault="00DD13BF" w:rsidP="00355A56">
            <w:pPr>
              <w:pStyle w:val="TableParagraph"/>
              <w:rPr>
                <w:sz w:val="20"/>
              </w:rPr>
            </w:pPr>
            <w:r>
              <w:rPr>
                <w:sz w:val="20"/>
              </w:rPr>
              <w:t>Indicator</w:t>
            </w:r>
          </w:p>
        </w:tc>
        <w:tc>
          <w:tcPr>
            <w:tcW w:w="707" w:type="dxa"/>
          </w:tcPr>
          <w:p w14:paraId="1D593DFD" w14:textId="77777777" w:rsidR="00DD13BF" w:rsidRPr="00347461" w:rsidRDefault="00DD13BF" w:rsidP="00355A56">
            <w:pPr>
              <w:pStyle w:val="TableParagraph"/>
              <w:rPr>
                <w:sz w:val="20"/>
              </w:rPr>
            </w:pPr>
            <w:r>
              <w:rPr>
                <w:sz w:val="20"/>
              </w:rPr>
              <w:t>Measurement unit</w:t>
            </w:r>
          </w:p>
        </w:tc>
        <w:tc>
          <w:tcPr>
            <w:tcW w:w="1133" w:type="dxa"/>
          </w:tcPr>
          <w:p w14:paraId="03ABE5A3" w14:textId="77777777" w:rsidR="00DD13BF" w:rsidRPr="00347461" w:rsidRDefault="00DD13BF" w:rsidP="00355A56">
            <w:pPr>
              <w:pStyle w:val="TableParagraph"/>
              <w:rPr>
                <w:sz w:val="20"/>
              </w:rPr>
            </w:pPr>
            <w:r>
              <w:rPr>
                <w:sz w:val="20"/>
              </w:rPr>
              <w:t>Baseline or reference value</w:t>
            </w:r>
          </w:p>
        </w:tc>
        <w:tc>
          <w:tcPr>
            <w:tcW w:w="992" w:type="dxa"/>
          </w:tcPr>
          <w:p w14:paraId="74953FB4" w14:textId="77777777" w:rsidR="00DD13BF" w:rsidRPr="00347461" w:rsidRDefault="00DD13BF" w:rsidP="00355A56">
            <w:pPr>
              <w:pStyle w:val="TableParagraph"/>
              <w:rPr>
                <w:sz w:val="20"/>
              </w:rPr>
            </w:pPr>
            <w:r>
              <w:rPr>
                <w:sz w:val="20"/>
              </w:rPr>
              <w:t>Reference year</w:t>
            </w:r>
          </w:p>
        </w:tc>
        <w:tc>
          <w:tcPr>
            <w:tcW w:w="711" w:type="dxa"/>
          </w:tcPr>
          <w:p w14:paraId="1CB9E403" w14:textId="77777777" w:rsidR="00DD13BF" w:rsidRPr="00347461" w:rsidRDefault="00DD13BF" w:rsidP="00355A56">
            <w:pPr>
              <w:pStyle w:val="TableParagraph"/>
              <w:rPr>
                <w:sz w:val="20"/>
              </w:rPr>
            </w:pPr>
            <w:r>
              <w:rPr>
                <w:sz w:val="20"/>
              </w:rPr>
              <w:t>Target (2029)</w:t>
            </w:r>
          </w:p>
        </w:tc>
        <w:tc>
          <w:tcPr>
            <w:tcW w:w="993" w:type="dxa"/>
          </w:tcPr>
          <w:p w14:paraId="226D183D" w14:textId="77777777" w:rsidR="00DD13BF" w:rsidRPr="00347461" w:rsidRDefault="00DD13BF" w:rsidP="00355A56">
            <w:pPr>
              <w:pStyle w:val="TableParagraph"/>
              <w:rPr>
                <w:sz w:val="20"/>
              </w:rPr>
            </w:pPr>
            <w:r>
              <w:rPr>
                <w:sz w:val="20"/>
              </w:rPr>
              <w:t>Source of data</w:t>
            </w:r>
          </w:p>
        </w:tc>
        <w:tc>
          <w:tcPr>
            <w:tcW w:w="849" w:type="dxa"/>
          </w:tcPr>
          <w:p w14:paraId="4E47AB22" w14:textId="77777777" w:rsidR="00DD13BF" w:rsidRPr="00347461" w:rsidRDefault="00DD13BF" w:rsidP="00355A56">
            <w:pPr>
              <w:pStyle w:val="TableParagraph"/>
              <w:rPr>
                <w:sz w:val="20"/>
              </w:rPr>
            </w:pPr>
            <w:r>
              <w:rPr>
                <w:sz w:val="20"/>
              </w:rPr>
              <w:t>Notes</w:t>
            </w:r>
          </w:p>
        </w:tc>
      </w:tr>
      <w:tr w:rsidR="00DD13BF" w14:paraId="6171A092" w14:textId="77777777" w:rsidTr="00355A56">
        <w:trPr>
          <w:trHeight w:val="353"/>
        </w:trPr>
        <w:tc>
          <w:tcPr>
            <w:tcW w:w="992" w:type="dxa"/>
          </w:tcPr>
          <w:p w14:paraId="119E78BB" w14:textId="77777777" w:rsidR="00DD13BF" w:rsidRPr="00347461" w:rsidRDefault="00DD13BF" w:rsidP="00355A56">
            <w:pPr>
              <w:pStyle w:val="TableParagraph"/>
              <w:rPr>
                <w:sz w:val="20"/>
              </w:rPr>
            </w:pPr>
            <w:r>
              <w:rPr>
                <w:sz w:val="20"/>
              </w:rPr>
              <w:t>7</w:t>
            </w:r>
          </w:p>
        </w:tc>
        <w:tc>
          <w:tcPr>
            <w:tcW w:w="992" w:type="dxa"/>
          </w:tcPr>
          <w:p w14:paraId="078A5C34" w14:textId="77777777" w:rsidR="00DD13BF" w:rsidRPr="00347461" w:rsidRDefault="00DD13BF" w:rsidP="00355A56">
            <w:pPr>
              <w:pStyle w:val="TableParagraph"/>
              <w:rPr>
                <w:sz w:val="20"/>
              </w:rPr>
            </w:pPr>
            <w:r>
              <w:rPr>
                <w:color w:val="000000"/>
                <w:sz w:val="20"/>
              </w:rPr>
              <w:t>ESO4.8</w:t>
            </w:r>
          </w:p>
        </w:tc>
        <w:tc>
          <w:tcPr>
            <w:tcW w:w="695" w:type="dxa"/>
          </w:tcPr>
          <w:p w14:paraId="61FFE831" w14:textId="77777777" w:rsidR="00DD13BF" w:rsidRPr="00347461" w:rsidRDefault="00DD13BF" w:rsidP="00355A56">
            <w:pPr>
              <w:pStyle w:val="TableParagraph"/>
              <w:rPr>
                <w:sz w:val="20"/>
              </w:rPr>
            </w:pPr>
            <w:r>
              <w:rPr>
                <w:sz w:val="20"/>
              </w:rPr>
              <w:t>ESF+</w:t>
            </w:r>
          </w:p>
        </w:tc>
        <w:tc>
          <w:tcPr>
            <w:tcW w:w="1570" w:type="dxa"/>
          </w:tcPr>
          <w:p w14:paraId="317B8D92" w14:textId="77777777" w:rsidR="00DD13BF" w:rsidRPr="00347461" w:rsidRDefault="00DD13BF" w:rsidP="00355A56">
            <w:pPr>
              <w:pStyle w:val="TableParagraph"/>
              <w:rPr>
                <w:sz w:val="20"/>
              </w:rPr>
            </w:pPr>
            <w:r>
              <w:rPr>
                <w:sz w:val="20"/>
              </w:rPr>
              <w:t>Less developed</w:t>
            </w:r>
          </w:p>
        </w:tc>
        <w:tc>
          <w:tcPr>
            <w:tcW w:w="849" w:type="dxa"/>
          </w:tcPr>
          <w:p w14:paraId="6BF2F7D9" w14:textId="77777777" w:rsidR="00DD13BF" w:rsidRPr="00347461" w:rsidRDefault="00DD13BF" w:rsidP="00355A56">
            <w:pPr>
              <w:pStyle w:val="TableParagraph"/>
              <w:rPr>
                <w:sz w:val="20"/>
              </w:rPr>
            </w:pPr>
            <w:r>
              <w:rPr>
                <w:sz w:val="20"/>
              </w:rPr>
              <w:t>EECR02</w:t>
            </w:r>
          </w:p>
        </w:tc>
        <w:tc>
          <w:tcPr>
            <w:tcW w:w="2982" w:type="dxa"/>
          </w:tcPr>
          <w:p w14:paraId="631B298E" w14:textId="77777777" w:rsidR="00DD13BF" w:rsidRPr="0048732B" w:rsidRDefault="00DD13BF" w:rsidP="00355A56">
            <w:pPr>
              <w:pStyle w:val="TableParagraph"/>
              <w:rPr>
                <w:sz w:val="20"/>
              </w:rPr>
            </w:pPr>
            <w:r>
              <w:rPr>
                <w:sz w:val="20"/>
              </w:rPr>
              <w:t>Participants in education or training upon leaving</w:t>
            </w:r>
          </w:p>
        </w:tc>
        <w:tc>
          <w:tcPr>
            <w:tcW w:w="707" w:type="dxa"/>
          </w:tcPr>
          <w:p w14:paraId="241611D1" w14:textId="77777777" w:rsidR="00DD13BF" w:rsidRPr="0048732B" w:rsidRDefault="00DD13BF" w:rsidP="00355A56">
            <w:pPr>
              <w:pStyle w:val="TableParagraph"/>
              <w:rPr>
                <w:sz w:val="20"/>
              </w:rPr>
            </w:pPr>
            <w:r>
              <w:rPr>
                <w:color w:val="000000"/>
                <w:sz w:val="20"/>
              </w:rPr>
              <w:t>Persons</w:t>
            </w:r>
          </w:p>
        </w:tc>
        <w:tc>
          <w:tcPr>
            <w:tcW w:w="1133" w:type="dxa"/>
          </w:tcPr>
          <w:p w14:paraId="7DB6419C" w14:textId="77777777" w:rsidR="00DD13BF" w:rsidRPr="00347461" w:rsidRDefault="00DD13BF" w:rsidP="00355A56">
            <w:pPr>
              <w:pStyle w:val="TableParagraph"/>
              <w:rPr>
                <w:sz w:val="20"/>
              </w:rPr>
            </w:pPr>
            <w:r>
              <w:rPr>
                <w:sz w:val="20"/>
              </w:rPr>
              <w:t>1,175</w:t>
            </w:r>
          </w:p>
        </w:tc>
        <w:tc>
          <w:tcPr>
            <w:tcW w:w="992" w:type="dxa"/>
          </w:tcPr>
          <w:p w14:paraId="53FFF0D6" w14:textId="77777777" w:rsidR="00DD13BF" w:rsidRPr="00347461" w:rsidRDefault="00DD13BF" w:rsidP="00355A56">
            <w:pPr>
              <w:pStyle w:val="TableParagraph"/>
              <w:rPr>
                <w:sz w:val="20"/>
              </w:rPr>
            </w:pPr>
            <w:r>
              <w:rPr>
                <w:sz w:val="20"/>
              </w:rPr>
              <w:t>2020</w:t>
            </w:r>
          </w:p>
        </w:tc>
        <w:tc>
          <w:tcPr>
            <w:tcW w:w="711" w:type="dxa"/>
            <w:shd w:val="clear" w:color="auto" w:fill="auto"/>
          </w:tcPr>
          <w:p w14:paraId="1CC722A0" w14:textId="77777777" w:rsidR="00DD13BF" w:rsidRPr="007B20E7" w:rsidRDefault="00DD13BF" w:rsidP="00355A56">
            <w:pPr>
              <w:pStyle w:val="TableParagraph"/>
              <w:rPr>
                <w:sz w:val="20"/>
              </w:rPr>
            </w:pPr>
            <w:r>
              <w:rPr>
                <w:sz w:val="20"/>
              </w:rPr>
              <w:t>1,362</w:t>
            </w:r>
          </w:p>
        </w:tc>
        <w:tc>
          <w:tcPr>
            <w:tcW w:w="993" w:type="dxa"/>
          </w:tcPr>
          <w:p w14:paraId="1E8828A5" w14:textId="77777777" w:rsidR="00DD13BF" w:rsidRPr="00347461" w:rsidRDefault="00DD13BF" w:rsidP="00355A56">
            <w:pPr>
              <w:pStyle w:val="TableParagraph"/>
              <w:rPr>
                <w:sz w:val="20"/>
              </w:rPr>
            </w:pPr>
            <w:r>
              <w:rPr>
                <w:sz w:val="20"/>
              </w:rPr>
              <w:t>Beneficiaries</w:t>
            </w:r>
          </w:p>
        </w:tc>
        <w:tc>
          <w:tcPr>
            <w:tcW w:w="849" w:type="dxa"/>
          </w:tcPr>
          <w:p w14:paraId="688C1795" w14:textId="77777777" w:rsidR="00DD13BF" w:rsidRPr="00347461" w:rsidRDefault="00DD13BF" w:rsidP="00355A56">
            <w:pPr>
              <w:pStyle w:val="TableParagraph"/>
              <w:rPr>
                <w:sz w:val="20"/>
              </w:rPr>
            </w:pPr>
          </w:p>
        </w:tc>
      </w:tr>
      <w:tr w:rsidR="00DD13BF" w14:paraId="5E4D348D" w14:textId="77777777" w:rsidTr="00355A56">
        <w:trPr>
          <w:trHeight w:val="353"/>
        </w:trPr>
        <w:tc>
          <w:tcPr>
            <w:tcW w:w="992" w:type="dxa"/>
          </w:tcPr>
          <w:p w14:paraId="5F29DB07" w14:textId="77777777" w:rsidR="00DD13BF" w:rsidRPr="00347461" w:rsidRDefault="00DD13BF" w:rsidP="00355A56">
            <w:pPr>
              <w:pStyle w:val="TableParagraph"/>
              <w:rPr>
                <w:sz w:val="20"/>
              </w:rPr>
            </w:pPr>
            <w:r>
              <w:rPr>
                <w:sz w:val="20"/>
              </w:rPr>
              <w:t>7</w:t>
            </w:r>
          </w:p>
        </w:tc>
        <w:tc>
          <w:tcPr>
            <w:tcW w:w="992" w:type="dxa"/>
          </w:tcPr>
          <w:p w14:paraId="63C47B26" w14:textId="77777777" w:rsidR="00DD13BF" w:rsidRPr="00347461" w:rsidRDefault="00DD13BF" w:rsidP="00355A56">
            <w:pPr>
              <w:pStyle w:val="TableParagraph"/>
              <w:rPr>
                <w:sz w:val="20"/>
              </w:rPr>
            </w:pPr>
            <w:r>
              <w:rPr>
                <w:color w:val="000000"/>
                <w:sz w:val="20"/>
              </w:rPr>
              <w:t>ESO4.8</w:t>
            </w:r>
          </w:p>
        </w:tc>
        <w:tc>
          <w:tcPr>
            <w:tcW w:w="695" w:type="dxa"/>
          </w:tcPr>
          <w:p w14:paraId="03B55852" w14:textId="77777777" w:rsidR="00DD13BF" w:rsidRPr="00347461" w:rsidRDefault="00DD13BF" w:rsidP="00355A56">
            <w:pPr>
              <w:pStyle w:val="TableParagraph"/>
              <w:rPr>
                <w:sz w:val="20"/>
              </w:rPr>
            </w:pPr>
            <w:r>
              <w:rPr>
                <w:sz w:val="20"/>
              </w:rPr>
              <w:t>ESF+</w:t>
            </w:r>
          </w:p>
        </w:tc>
        <w:tc>
          <w:tcPr>
            <w:tcW w:w="1570" w:type="dxa"/>
          </w:tcPr>
          <w:p w14:paraId="5F09EA66" w14:textId="77777777" w:rsidR="00DD13BF" w:rsidRPr="00FD281D" w:rsidRDefault="00DD13BF" w:rsidP="00355A56">
            <w:pPr>
              <w:pStyle w:val="TableParagraph"/>
              <w:rPr>
                <w:sz w:val="20"/>
              </w:rPr>
            </w:pPr>
            <w:r>
              <w:rPr>
                <w:sz w:val="20"/>
              </w:rPr>
              <w:t>More developed</w:t>
            </w:r>
          </w:p>
        </w:tc>
        <w:tc>
          <w:tcPr>
            <w:tcW w:w="849" w:type="dxa"/>
          </w:tcPr>
          <w:p w14:paraId="1A723621" w14:textId="77777777" w:rsidR="00DD13BF" w:rsidRPr="00347461" w:rsidRDefault="00DD13BF" w:rsidP="00355A56">
            <w:pPr>
              <w:pStyle w:val="TableParagraph"/>
              <w:rPr>
                <w:sz w:val="20"/>
              </w:rPr>
            </w:pPr>
            <w:r>
              <w:rPr>
                <w:sz w:val="20"/>
              </w:rPr>
              <w:t>EECR02</w:t>
            </w:r>
          </w:p>
        </w:tc>
        <w:tc>
          <w:tcPr>
            <w:tcW w:w="2982" w:type="dxa"/>
          </w:tcPr>
          <w:p w14:paraId="2A93591F" w14:textId="77777777" w:rsidR="00DD13BF" w:rsidRPr="0048732B" w:rsidRDefault="00DD13BF" w:rsidP="00355A56">
            <w:pPr>
              <w:pStyle w:val="TableParagraph"/>
              <w:rPr>
                <w:sz w:val="20"/>
              </w:rPr>
            </w:pPr>
            <w:r>
              <w:rPr>
                <w:sz w:val="20"/>
              </w:rPr>
              <w:t>Participants in education or training upon leaving</w:t>
            </w:r>
          </w:p>
        </w:tc>
        <w:tc>
          <w:tcPr>
            <w:tcW w:w="707" w:type="dxa"/>
          </w:tcPr>
          <w:p w14:paraId="71CEB886" w14:textId="77777777" w:rsidR="00DD13BF" w:rsidRPr="0048732B" w:rsidRDefault="00DD13BF" w:rsidP="00355A56">
            <w:pPr>
              <w:pStyle w:val="TableParagraph"/>
              <w:rPr>
                <w:sz w:val="20"/>
              </w:rPr>
            </w:pPr>
            <w:r>
              <w:rPr>
                <w:color w:val="000000"/>
                <w:sz w:val="20"/>
              </w:rPr>
              <w:t>Persons</w:t>
            </w:r>
          </w:p>
        </w:tc>
        <w:tc>
          <w:tcPr>
            <w:tcW w:w="1133" w:type="dxa"/>
          </w:tcPr>
          <w:p w14:paraId="2289EAB6" w14:textId="77777777" w:rsidR="00DD13BF" w:rsidRPr="00347461" w:rsidRDefault="00DD13BF" w:rsidP="00355A56">
            <w:pPr>
              <w:pStyle w:val="TableParagraph"/>
              <w:rPr>
                <w:sz w:val="20"/>
              </w:rPr>
            </w:pPr>
            <w:r>
              <w:rPr>
                <w:sz w:val="20"/>
              </w:rPr>
              <w:t>697</w:t>
            </w:r>
          </w:p>
        </w:tc>
        <w:tc>
          <w:tcPr>
            <w:tcW w:w="992" w:type="dxa"/>
          </w:tcPr>
          <w:p w14:paraId="1FFE0FAD" w14:textId="77777777" w:rsidR="00DD13BF" w:rsidRPr="00347461" w:rsidRDefault="00DD13BF" w:rsidP="00355A56">
            <w:pPr>
              <w:pStyle w:val="TableParagraph"/>
              <w:rPr>
                <w:sz w:val="20"/>
              </w:rPr>
            </w:pPr>
            <w:r>
              <w:rPr>
                <w:sz w:val="20"/>
              </w:rPr>
              <w:t>2020</w:t>
            </w:r>
          </w:p>
        </w:tc>
        <w:tc>
          <w:tcPr>
            <w:tcW w:w="711" w:type="dxa"/>
            <w:shd w:val="clear" w:color="auto" w:fill="auto"/>
          </w:tcPr>
          <w:p w14:paraId="70AC253B" w14:textId="77777777" w:rsidR="00DD13BF" w:rsidRPr="007B20E7" w:rsidRDefault="00DD13BF" w:rsidP="00355A56">
            <w:pPr>
              <w:pStyle w:val="TableParagraph"/>
              <w:rPr>
                <w:sz w:val="20"/>
              </w:rPr>
            </w:pPr>
            <w:r>
              <w:rPr>
                <w:sz w:val="20"/>
              </w:rPr>
              <w:t>793</w:t>
            </w:r>
          </w:p>
        </w:tc>
        <w:tc>
          <w:tcPr>
            <w:tcW w:w="993" w:type="dxa"/>
          </w:tcPr>
          <w:p w14:paraId="171D29EB" w14:textId="77777777" w:rsidR="00DD13BF" w:rsidRPr="00347461" w:rsidRDefault="00DD13BF" w:rsidP="00355A56">
            <w:pPr>
              <w:pStyle w:val="TableParagraph"/>
              <w:rPr>
                <w:sz w:val="20"/>
              </w:rPr>
            </w:pPr>
            <w:r>
              <w:rPr>
                <w:sz w:val="20"/>
              </w:rPr>
              <w:t>Beneficiaries</w:t>
            </w:r>
          </w:p>
        </w:tc>
        <w:tc>
          <w:tcPr>
            <w:tcW w:w="849" w:type="dxa"/>
          </w:tcPr>
          <w:p w14:paraId="54DDDBFC" w14:textId="77777777" w:rsidR="00DD13BF" w:rsidRPr="00347461" w:rsidRDefault="00DD13BF" w:rsidP="00355A56">
            <w:pPr>
              <w:pStyle w:val="TableParagraph"/>
              <w:rPr>
                <w:sz w:val="20"/>
              </w:rPr>
            </w:pPr>
          </w:p>
        </w:tc>
      </w:tr>
      <w:tr w:rsidR="00DD13BF" w14:paraId="74BA4030" w14:textId="77777777" w:rsidTr="00355A56">
        <w:trPr>
          <w:trHeight w:val="353"/>
        </w:trPr>
        <w:tc>
          <w:tcPr>
            <w:tcW w:w="992" w:type="dxa"/>
          </w:tcPr>
          <w:p w14:paraId="52E5F58A" w14:textId="77777777" w:rsidR="00DD13BF" w:rsidRPr="00347461" w:rsidRDefault="00DD13BF" w:rsidP="00355A56">
            <w:pPr>
              <w:pStyle w:val="TableParagraph"/>
              <w:rPr>
                <w:sz w:val="20"/>
              </w:rPr>
            </w:pPr>
            <w:r>
              <w:rPr>
                <w:sz w:val="20"/>
              </w:rPr>
              <w:t>7</w:t>
            </w:r>
          </w:p>
        </w:tc>
        <w:tc>
          <w:tcPr>
            <w:tcW w:w="992" w:type="dxa"/>
          </w:tcPr>
          <w:p w14:paraId="5B0993AF" w14:textId="77777777" w:rsidR="00DD13BF" w:rsidRPr="00347461" w:rsidRDefault="00DD13BF" w:rsidP="00355A56">
            <w:pPr>
              <w:pStyle w:val="TableParagraph"/>
              <w:rPr>
                <w:sz w:val="20"/>
              </w:rPr>
            </w:pPr>
            <w:r>
              <w:rPr>
                <w:color w:val="000000"/>
                <w:sz w:val="20"/>
              </w:rPr>
              <w:t>ESO4.8</w:t>
            </w:r>
          </w:p>
        </w:tc>
        <w:tc>
          <w:tcPr>
            <w:tcW w:w="695" w:type="dxa"/>
          </w:tcPr>
          <w:p w14:paraId="197397A3" w14:textId="77777777" w:rsidR="00DD13BF" w:rsidRPr="00347461" w:rsidRDefault="00DD13BF" w:rsidP="00355A56">
            <w:pPr>
              <w:pStyle w:val="TableParagraph"/>
              <w:rPr>
                <w:sz w:val="20"/>
              </w:rPr>
            </w:pPr>
            <w:r>
              <w:rPr>
                <w:sz w:val="20"/>
              </w:rPr>
              <w:t>ESF+</w:t>
            </w:r>
          </w:p>
        </w:tc>
        <w:tc>
          <w:tcPr>
            <w:tcW w:w="1570" w:type="dxa"/>
          </w:tcPr>
          <w:p w14:paraId="028D13BF" w14:textId="77777777" w:rsidR="00DD13BF" w:rsidRPr="00347461" w:rsidRDefault="00DD13BF" w:rsidP="00355A56">
            <w:pPr>
              <w:pStyle w:val="TableParagraph"/>
              <w:rPr>
                <w:sz w:val="20"/>
              </w:rPr>
            </w:pPr>
            <w:r>
              <w:rPr>
                <w:sz w:val="20"/>
              </w:rPr>
              <w:t>Less developed</w:t>
            </w:r>
          </w:p>
        </w:tc>
        <w:tc>
          <w:tcPr>
            <w:tcW w:w="849" w:type="dxa"/>
          </w:tcPr>
          <w:p w14:paraId="793B3D75" w14:textId="77777777" w:rsidR="00DD13BF" w:rsidRPr="00347461" w:rsidRDefault="00DD13BF" w:rsidP="00355A56">
            <w:pPr>
              <w:pStyle w:val="TableParagraph"/>
              <w:rPr>
                <w:sz w:val="20"/>
              </w:rPr>
            </w:pPr>
            <w:r>
              <w:rPr>
                <w:sz w:val="20"/>
              </w:rPr>
              <w:t>EECR04</w:t>
            </w:r>
          </w:p>
        </w:tc>
        <w:tc>
          <w:tcPr>
            <w:tcW w:w="2982" w:type="dxa"/>
          </w:tcPr>
          <w:p w14:paraId="70B19EC0" w14:textId="77777777" w:rsidR="00DD13BF" w:rsidRPr="0048732B" w:rsidRDefault="00DD13BF" w:rsidP="00355A56">
            <w:pPr>
              <w:pStyle w:val="TableParagraph"/>
              <w:rPr>
                <w:sz w:val="20"/>
              </w:rPr>
            </w:pPr>
            <w:r>
              <w:rPr>
                <w:sz w:val="20"/>
              </w:rPr>
              <w:t>Participants in employment upon leaving</w:t>
            </w:r>
          </w:p>
        </w:tc>
        <w:tc>
          <w:tcPr>
            <w:tcW w:w="707" w:type="dxa"/>
          </w:tcPr>
          <w:p w14:paraId="69241639" w14:textId="77777777" w:rsidR="00DD13BF" w:rsidRPr="0048732B" w:rsidRDefault="00DD13BF" w:rsidP="00355A56">
            <w:pPr>
              <w:pStyle w:val="TableParagraph"/>
              <w:rPr>
                <w:sz w:val="20"/>
              </w:rPr>
            </w:pPr>
            <w:r>
              <w:rPr>
                <w:color w:val="000000"/>
                <w:sz w:val="20"/>
              </w:rPr>
              <w:t>Persons</w:t>
            </w:r>
          </w:p>
        </w:tc>
        <w:tc>
          <w:tcPr>
            <w:tcW w:w="1133" w:type="dxa"/>
          </w:tcPr>
          <w:p w14:paraId="287566E5" w14:textId="77777777" w:rsidR="00DD13BF" w:rsidRPr="00347461" w:rsidRDefault="00DD13BF" w:rsidP="00355A56">
            <w:pPr>
              <w:pStyle w:val="TableParagraph"/>
              <w:rPr>
                <w:sz w:val="20"/>
              </w:rPr>
            </w:pPr>
            <w:r>
              <w:rPr>
                <w:sz w:val="20"/>
              </w:rPr>
              <w:t>820</w:t>
            </w:r>
          </w:p>
        </w:tc>
        <w:tc>
          <w:tcPr>
            <w:tcW w:w="992" w:type="dxa"/>
          </w:tcPr>
          <w:p w14:paraId="3AF91F08" w14:textId="77777777" w:rsidR="00DD13BF" w:rsidRPr="00347461" w:rsidRDefault="00DD13BF" w:rsidP="00355A56">
            <w:pPr>
              <w:pStyle w:val="TableParagraph"/>
              <w:rPr>
                <w:sz w:val="20"/>
              </w:rPr>
            </w:pPr>
            <w:r>
              <w:rPr>
                <w:sz w:val="20"/>
              </w:rPr>
              <w:t>2020</w:t>
            </w:r>
          </w:p>
        </w:tc>
        <w:tc>
          <w:tcPr>
            <w:tcW w:w="711" w:type="dxa"/>
          </w:tcPr>
          <w:p w14:paraId="02284675" w14:textId="77777777" w:rsidR="00DD13BF" w:rsidRPr="007B20E7" w:rsidRDefault="00DD13BF" w:rsidP="00355A56">
            <w:pPr>
              <w:pStyle w:val="TableParagraph"/>
              <w:rPr>
                <w:sz w:val="20"/>
              </w:rPr>
            </w:pPr>
            <w:r>
              <w:rPr>
                <w:sz w:val="20"/>
              </w:rPr>
              <w:t>843</w:t>
            </w:r>
          </w:p>
        </w:tc>
        <w:tc>
          <w:tcPr>
            <w:tcW w:w="993" w:type="dxa"/>
          </w:tcPr>
          <w:p w14:paraId="5E23B418" w14:textId="77777777" w:rsidR="00DD13BF" w:rsidRPr="00347461" w:rsidRDefault="00DD13BF" w:rsidP="00355A56">
            <w:pPr>
              <w:pStyle w:val="TableParagraph"/>
              <w:rPr>
                <w:sz w:val="20"/>
              </w:rPr>
            </w:pPr>
            <w:r>
              <w:rPr>
                <w:sz w:val="20"/>
              </w:rPr>
              <w:t>Beneficiaries</w:t>
            </w:r>
          </w:p>
        </w:tc>
        <w:tc>
          <w:tcPr>
            <w:tcW w:w="849" w:type="dxa"/>
          </w:tcPr>
          <w:p w14:paraId="1AC0E267" w14:textId="77777777" w:rsidR="00DD13BF" w:rsidRPr="00347461" w:rsidRDefault="00DD13BF" w:rsidP="00355A56">
            <w:pPr>
              <w:pStyle w:val="TableParagraph"/>
              <w:rPr>
                <w:sz w:val="20"/>
              </w:rPr>
            </w:pPr>
          </w:p>
        </w:tc>
      </w:tr>
      <w:tr w:rsidR="00DD13BF" w14:paraId="530E8A4A" w14:textId="77777777" w:rsidTr="00355A56">
        <w:trPr>
          <w:trHeight w:val="353"/>
        </w:trPr>
        <w:tc>
          <w:tcPr>
            <w:tcW w:w="992" w:type="dxa"/>
          </w:tcPr>
          <w:p w14:paraId="283D692D" w14:textId="77777777" w:rsidR="00DD13BF" w:rsidRPr="00347461" w:rsidRDefault="00DD13BF" w:rsidP="00355A56">
            <w:pPr>
              <w:pStyle w:val="TableParagraph"/>
              <w:rPr>
                <w:sz w:val="20"/>
              </w:rPr>
            </w:pPr>
            <w:r>
              <w:rPr>
                <w:sz w:val="20"/>
              </w:rPr>
              <w:t>7</w:t>
            </w:r>
          </w:p>
        </w:tc>
        <w:tc>
          <w:tcPr>
            <w:tcW w:w="992" w:type="dxa"/>
          </w:tcPr>
          <w:p w14:paraId="56F8A103" w14:textId="77777777" w:rsidR="00DD13BF" w:rsidRPr="00347461" w:rsidRDefault="00DD13BF" w:rsidP="00355A56">
            <w:pPr>
              <w:pStyle w:val="TableParagraph"/>
              <w:rPr>
                <w:sz w:val="20"/>
              </w:rPr>
            </w:pPr>
            <w:r>
              <w:rPr>
                <w:color w:val="000000"/>
                <w:sz w:val="20"/>
              </w:rPr>
              <w:t>ESO4.8</w:t>
            </w:r>
          </w:p>
        </w:tc>
        <w:tc>
          <w:tcPr>
            <w:tcW w:w="695" w:type="dxa"/>
          </w:tcPr>
          <w:p w14:paraId="1B45DCBD" w14:textId="77777777" w:rsidR="00DD13BF" w:rsidRPr="00347461" w:rsidRDefault="00DD13BF" w:rsidP="00355A56">
            <w:pPr>
              <w:pStyle w:val="TableParagraph"/>
              <w:rPr>
                <w:sz w:val="20"/>
              </w:rPr>
            </w:pPr>
            <w:r>
              <w:rPr>
                <w:sz w:val="20"/>
              </w:rPr>
              <w:t>ESF+</w:t>
            </w:r>
          </w:p>
        </w:tc>
        <w:tc>
          <w:tcPr>
            <w:tcW w:w="1570" w:type="dxa"/>
          </w:tcPr>
          <w:p w14:paraId="623200AC" w14:textId="77777777" w:rsidR="00DD13BF" w:rsidRDefault="00DD13BF" w:rsidP="00355A56">
            <w:pPr>
              <w:pStyle w:val="TableParagraph"/>
              <w:rPr>
                <w:sz w:val="20"/>
              </w:rPr>
            </w:pPr>
            <w:r>
              <w:rPr>
                <w:sz w:val="20"/>
              </w:rPr>
              <w:t>More developed</w:t>
            </w:r>
          </w:p>
          <w:p w14:paraId="3350A14C" w14:textId="77777777" w:rsidR="00DD13BF" w:rsidRPr="00347461" w:rsidRDefault="00DD13BF" w:rsidP="00355A56">
            <w:pPr>
              <w:pStyle w:val="TableParagraph"/>
              <w:rPr>
                <w:sz w:val="20"/>
              </w:rPr>
            </w:pPr>
          </w:p>
        </w:tc>
        <w:tc>
          <w:tcPr>
            <w:tcW w:w="849" w:type="dxa"/>
          </w:tcPr>
          <w:p w14:paraId="3748C025" w14:textId="77777777" w:rsidR="00DD13BF" w:rsidRPr="00347461" w:rsidRDefault="00DD13BF" w:rsidP="00355A56">
            <w:pPr>
              <w:pStyle w:val="TableParagraph"/>
              <w:rPr>
                <w:sz w:val="20"/>
              </w:rPr>
            </w:pPr>
            <w:r>
              <w:rPr>
                <w:sz w:val="20"/>
              </w:rPr>
              <w:t>EECR04</w:t>
            </w:r>
          </w:p>
        </w:tc>
        <w:tc>
          <w:tcPr>
            <w:tcW w:w="2982" w:type="dxa"/>
          </w:tcPr>
          <w:p w14:paraId="7D00159E" w14:textId="77777777" w:rsidR="00DD13BF" w:rsidRPr="0048732B" w:rsidRDefault="00DD13BF" w:rsidP="00355A56">
            <w:pPr>
              <w:pStyle w:val="TableParagraph"/>
              <w:rPr>
                <w:sz w:val="20"/>
              </w:rPr>
            </w:pPr>
            <w:r>
              <w:rPr>
                <w:sz w:val="20"/>
              </w:rPr>
              <w:t>Participants in employment upon leaving</w:t>
            </w:r>
          </w:p>
        </w:tc>
        <w:tc>
          <w:tcPr>
            <w:tcW w:w="707" w:type="dxa"/>
          </w:tcPr>
          <w:p w14:paraId="074A47DC" w14:textId="77777777" w:rsidR="00DD13BF" w:rsidRPr="0048732B" w:rsidRDefault="00DD13BF" w:rsidP="00355A56">
            <w:pPr>
              <w:pStyle w:val="TableParagraph"/>
              <w:rPr>
                <w:sz w:val="20"/>
              </w:rPr>
            </w:pPr>
            <w:r>
              <w:rPr>
                <w:color w:val="000000"/>
                <w:sz w:val="20"/>
              </w:rPr>
              <w:t>Persons</w:t>
            </w:r>
          </w:p>
        </w:tc>
        <w:tc>
          <w:tcPr>
            <w:tcW w:w="1133" w:type="dxa"/>
          </w:tcPr>
          <w:p w14:paraId="47B38755" w14:textId="77777777" w:rsidR="00DD13BF" w:rsidRPr="00347461" w:rsidRDefault="00DD13BF" w:rsidP="00355A56">
            <w:pPr>
              <w:pStyle w:val="TableParagraph"/>
              <w:rPr>
                <w:sz w:val="20"/>
              </w:rPr>
            </w:pPr>
            <w:r>
              <w:rPr>
                <w:sz w:val="20"/>
              </w:rPr>
              <w:t>221</w:t>
            </w:r>
          </w:p>
        </w:tc>
        <w:tc>
          <w:tcPr>
            <w:tcW w:w="992" w:type="dxa"/>
          </w:tcPr>
          <w:p w14:paraId="4D5B9B80" w14:textId="77777777" w:rsidR="00DD13BF" w:rsidRPr="00347461" w:rsidRDefault="00DD13BF" w:rsidP="00355A56">
            <w:pPr>
              <w:pStyle w:val="TableParagraph"/>
              <w:rPr>
                <w:sz w:val="20"/>
              </w:rPr>
            </w:pPr>
            <w:r>
              <w:rPr>
                <w:sz w:val="20"/>
              </w:rPr>
              <w:t>2020</w:t>
            </w:r>
          </w:p>
        </w:tc>
        <w:tc>
          <w:tcPr>
            <w:tcW w:w="711" w:type="dxa"/>
          </w:tcPr>
          <w:p w14:paraId="4E694C40" w14:textId="77777777" w:rsidR="00DD13BF" w:rsidRPr="007B20E7" w:rsidRDefault="00DD13BF" w:rsidP="00355A56">
            <w:pPr>
              <w:pStyle w:val="TableParagraph"/>
              <w:rPr>
                <w:sz w:val="20"/>
              </w:rPr>
            </w:pPr>
            <w:r>
              <w:rPr>
                <w:sz w:val="20"/>
              </w:rPr>
              <w:t>235</w:t>
            </w:r>
          </w:p>
        </w:tc>
        <w:tc>
          <w:tcPr>
            <w:tcW w:w="993" w:type="dxa"/>
          </w:tcPr>
          <w:p w14:paraId="389F096B" w14:textId="77777777" w:rsidR="00DD13BF" w:rsidRPr="00347461" w:rsidRDefault="00DD13BF" w:rsidP="00355A56">
            <w:pPr>
              <w:pStyle w:val="TableParagraph"/>
              <w:rPr>
                <w:sz w:val="20"/>
              </w:rPr>
            </w:pPr>
            <w:r>
              <w:rPr>
                <w:sz w:val="20"/>
              </w:rPr>
              <w:t>Beneficiaries</w:t>
            </w:r>
          </w:p>
        </w:tc>
        <w:tc>
          <w:tcPr>
            <w:tcW w:w="849" w:type="dxa"/>
          </w:tcPr>
          <w:p w14:paraId="4839235D" w14:textId="77777777" w:rsidR="00DD13BF" w:rsidRPr="00347461" w:rsidRDefault="00DD13BF" w:rsidP="00355A56">
            <w:pPr>
              <w:pStyle w:val="TableParagraph"/>
              <w:rPr>
                <w:sz w:val="20"/>
              </w:rPr>
            </w:pPr>
          </w:p>
        </w:tc>
      </w:tr>
    </w:tbl>
    <w:p w14:paraId="6FDC1B1C" w14:textId="77777777" w:rsidR="00DD13BF" w:rsidRPr="00F81084" w:rsidRDefault="00DD13BF" w:rsidP="00DD13BF">
      <w:pPr>
        <w:pStyle w:val="Telobesedila"/>
      </w:pPr>
    </w:p>
    <w:p w14:paraId="6A090664" w14:textId="77777777" w:rsidR="00DD13BF" w:rsidRPr="00F81084" w:rsidRDefault="00DD13BF" w:rsidP="00DD13BF">
      <w:pPr>
        <w:pStyle w:val="Telobesedila"/>
      </w:pPr>
    </w:p>
    <w:p w14:paraId="77472907" w14:textId="77777777" w:rsidR="00DD13BF" w:rsidRDefault="00DD13BF" w:rsidP="00DD13BF">
      <w:pPr>
        <w:pStyle w:val="Naslov5"/>
        <w:numPr>
          <w:ilvl w:val="4"/>
          <w:numId w:val="16"/>
        </w:numPr>
        <w:spacing w:before="0"/>
      </w:pPr>
      <w:r>
        <w:t>Indicative breakdown of the programme resources (EU) by type of intervention</w:t>
      </w:r>
    </w:p>
    <w:p w14:paraId="7FFDF7A9" w14:textId="77777777" w:rsidR="00DD13BF" w:rsidRDefault="00DD13BF" w:rsidP="00DD13BF">
      <w:pPr>
        <w:ind w:left="640"/>
        <w:rPr>
          <w:spacing w:val="-5"/>
        </w:rPr>
      </w:pPr>
    </w:p>
    <w:p w14:paraId="4D1313FE" w14:textId="77777777" w:rsidR="00DD13BF" w:rsidRDefault="00DD13BF" w:rsidP="00DD13BF">
      <w:pPr>
        <w:ind w:left="339"/>
        <w:rPr>
          <w:spacing w:val="-7"/>
        </w:rPr>
      </w:pPr>
      <w:r>
        <w:t>Table 4: Dimension 1 – intervention field</w:t>
      </w:r>
    </w:p>
    <w:p w14:paraId="6FF2CC04"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646274" w14:paraId="4B85DED4"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5089A000" w14:textId="77777777" w:rsidR="00DD13BF" w:rsidRPr="00646274" w:rsidRDefault="00DD13BF" w:rsidP="00355A56">
            <w:pPr>
              <w:pStyle w:val="TableParagraph"/>
              <w:ind w:left="115"/>
            </w:pPr>
            <w:r>
              <w:t>Priority no.</w:t>
            </w:r>
          </w:p>
        </w:tc>
        <w:tc>
          <w:tcPr>
            <w:tcW w:w="1133" w:type="dxa"/>
            <w:tcBorders>
              <w:top w:val="single" w:sz="6" w:space="0" w:color="000000"/>
              <w:left w:val="single" w:sz="6" w:space="0" w:color="000000"/>
              <w:bottom w:val="single" w:sz="6" w:space="0" w:color="000000"/>
              <w:right w:val="single" w:sz="6" w:space="0" w:color="000000"/>
            </w:tcBorders>
            <w:hideMark/>
          </w:tcPr>
          <w:p w14:paraId="4ACC053A" w14:textId="77777777" w:rsidR="00DD13BF" w:rsidRPr="00646274" w:rsidRDefault="00DD13BF" w:rsidP="00355A56">
            <w:pPr>
              <w:pStyle w:val="TableParagraph"/>
              <w:ind w:left="320"/>
            </w:pPr>
            <w:r>
              <w:t>Fund</w:t>
            </w:r>
          </w:p>
        </w:tc>
        <w:tc>
          <w:tcPr>
            <w:tcW w:w="3249" w:type="dxa"/>
            <w:tcBorders>
              <w:top w:val="single" w:sz="6" w:space="0" w:color="000000"/>
              <w:left w:val="single" w:sz="6" w:space="0" w:color="000000"/>
              <w:bottom w:val="single" w:sz="6" w:space="0" w:color="000000"/>
              <w:right w:val="single" w:sz="6" w:space="0" w:color="000000"/>
            </w:tcBorders>
            <w:hideMark/>
          </w:tcPr>
          <w:p w14:paraId="0FF16B1F" w14:textId="77777777" w:rsidR="00DD13BF" w:rsidRPr="00646274" w:rsidRDefault="00DD13BF" w:rsidP="00355A56">
            <w:pPr>
              <w:pStyle w:val="TableParagraph"/>
              <w:ind w:left="907"/>
            </w:pPr>
            <w:r>
              <w:t>Category of region</w:t>
            </w:r>
          </w:p>
        </w:tc>
        <w:tc>
          <w:tcPr>
            <w:tcW w:w="3099" w:type="dxa"/>
            <w:tcBorders>
              <w:top w:val="single" w:sz="6" w:space="0" w:color="000000"/>
              <w:left w:val="single" w:sz="6" w:space="0" w:color="000000"/>
              <w:bottom w:val="single" w:sz="6" w:space="0" w:color="000000"/>
              <w:right w:val="single" w:sz="6" w:space="0" w:color="000000"/>
            </w:tcBorders>
            <w:hideMark/>
          </w:tcPr>
          <w:p w14:paraId="3BA75110" w14:textId="77777777" w:rsidR="00DD13BF" w:rsidRPr="00646274" w:rsidRDefault="00DD13BF" w:rsidP="00355A56">
            <w:pPr>
              <w:pStyle w:val="TableParagraph"/>
              <w:ind w:left="948"/>
            </w:pPr>
            <w:r>
              <w:t>Specific objective</w:t>
            </w:r>
          </w:p>
        </w:tc>
        <w:tc>
          <w:tcPr>
            <w:tcW w:w="1161" w:type="dxa"/>
            <w:tcBorders>
              <w:top w:val="single" w:sz="6" w:space="0" w:color="000000"/>
              <w:left w:val="single" w:sz="6" w:space="0" w:color="000000"/>
              <w:bottom w:val="single" w:sz="6" w:space="0" w:color="000000"/>
              <w:right w:val="single" w:sz="6" w:space="0" w:color="000000"/>
            </w:tcBorders>
            <w:hideMark/>
          </w:tcPr>
          <w:p w14:paraId="1CDDB39F" w14:textId="77777777" w:rsidR="00DD13BF" w:rsidRPr="00646274" w:rsidRDefault="00DD13BF" w:rsidP="00355A56">
            <w:pPr>
              <w:pStyle w:val="TableParagraph"/>
              <w:ind w:left="333"/>
            </w:pPr>
            <w:r>
              <w:t>Code</w:t>
            </w:r>
          </w:p>
        </w:tc>
        <w:tc>
          <w:tcPr>
            <w:tcW w:w="2731" w:type="dxa"/>
            <w:tcBorders>
              <w:top w:val="single" w:sz="6" w:space="0" w:color="000000"/>
              <w:left w:val="single" w:sz="6" w:space="0" w:color="000000"/>
              <w:bottom w:val="single" w:sz="6" w:space="0" w:color="000000"/>
              <w:right w:val="single" w:sz="6" w:space="0" w:color="000000"/>
            </w:tcBorders>
            <w:hideMark/>
          </w:tcPr>
          <w:p w14:paraId="0040A851" w14:textId="77777777" w:rsidR="00DD13BF" w:rsidRPr="00646274" w:rsidRDefault="00DD13BF" w:rsidP="00355A56">
            <w:pPr>
              <w:pStyle w:val="TableParagraph"/>
              <w:ind w:left="660"/>
            </w:pPr>
            <w:r>
              <w:t>Amount (in EUR)</w:t>
            </w:r>
          </w:p>
        </w:tc>
      </w:tr>
      <w:tr w:rsidR="00DD13BF" w:rsidRPr="00646274" w14:paraId="2C641467"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69C235B8"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tcPr>
          <w:p w14:paraId="5A93BFBD"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712FA513" w14:textId="77777777" w:rsidR="00DD13BF" w:rsidRPr="00646274" w:rsidDel="00C01DD5" w:rsidRDefault="00DD13BF" w:rsidP="00355A56">
            <w:pPr>
              <w:pStyle w:val="TableParagraph"/>
              <w:rPr>
                <w:sz w:val="20"/>
              </w:rPr>
            </w:pPr>
            <w:r>
              <w:rPr>
                <w:sz w:val="20"/>
              </w:rPr>
              <w:t>Less developed</w:t>
            </w:r>
          </w:p>
        </w:tc>
        <w:tc>
          <w:tcPr>
            <w:tcW w:w="3099" w:type="dxa"/>
            <w:tcBorders>
              <w:top w:val="single" w:sz="6" w:space="0" w:color="000000"/>
              <w:left w:val="single" w:sz="6" w:space="0" w:color="000000"/>
              <w:bottom w:val="single" w:sz="6" w:space="0" w:color="000000"/>
              <w:right w:val="single" w:sz="6" w:space="0" w:color="000000"/>
            </w:tcBorders>
          </w:tcPr>
          <w:p w14:paraId="4BDCCDED"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70D4D908" w14:textId="77777777" w:rsidR="00DD13BF" w:rsidRPr="00646274" w:rsidRDefault="00DD13BF" w:rsidP="00355A56">
            <w:pPr>
              <w:pStyle w:val="TableParagraph"/>
              <w:rPr>
                <w:sz w:val="20"/>
              </w:rPr>
            </w:pPr>
            <w:r>
              <w:rPr>
                <w:sz w:val="20"/>
              </w:rPr>
              <w:t>151</w:t>
            </w:r>
          </w:p>
        </w:tc>
        <w:tc>
          <w:tcPr>
            <w:tcW w:w="2731" w:type="dxa"/>
            <w:tcBorders>
              <w:top w:val="single" w:sz="6" w:space="0" w:color="000000"/>
              <w:left w:val="single" w:sz="6" w:space="0" w:color="000000"/>
              <w:bottom w:val="single" w:sz="6" w:space="0" w:color="000000"/>
              <w:right w:val="single" w:sz="6" w:space="0" w:color="000000"/>
            </w:tcBorders>
          </w:tcPr>
          <w:p w14:paraId="3097033D" w14:textId="77777777" w:rsidR="00DD13BF" w:rsidRPr="00646274" w:rsidRDefault="00DD13BF" w:rsidP="00355A56">
            <w:pPr>
              <w:pStyle w:val="TableParagraph"/>
              <w:rPr>
                <w:sz w:val="20"/>
              </w:rPr>
            </w:pPr>
            <w:r>
              <w:rPr>
                <w:sz w:val="20"/>
              </w:rPr>
              <w:t>1,190,000</w:t>
            </w:r>
          </w:p>
        </w:tc>
      </w:tr>
      <w:tr w:rsidR="00DD13BF" w:rsidRPr="00646274" w14:paraId="08237F1A"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166F73B6"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tcPr>
          <w:p w14:paraId="4CB6BAC0"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192722FB" w14:textId="77777777" w:rsidR="00DD13BF" w:rsidRPr="00646274" w:rsidDel="00C01DD5" w:rsidRDefault="00DD13BF" w:rsidP="00355A56">
            <w:pPr>
              <w:pStyle w:val="TableParagraph"/>
              <w:rPr>
                <w:sz w:val="20"/>
              </w:rPr>
            </w:pPr>
            <w:r>
              <w:rPr>
                <w:sz w:val="20"/>
              </w:rPr>
              <w:t>More developed</w:t>
            </w:r>
          </w:p>
        </w:tc>
        <w:tc>
          <w:tcPr>
            <w:tcW w:w="3099" w:type="dxa"/>
            <w:tcBorders>
              <w:top w:val="single" w:sz="6" w:space="0" w:color="000000"/>
              <w:left w:val="single" w:sz="6" w:space="0" w:color="000000"/>
              <w:bottom w:val="single" w:sz="6" w:space="0" w:color="000000"/>
              <w:right w:val="single" w:sz="6" w:space="0" w:color="000000"/>
            </w:tcBorders>
          </w:tcPr>
          <w:p w14:paraId="0D75B8C0"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783D4EC0" w14:textId="77777777" w:rsidR="00DD13BF" w:rsidRPr="00646274" w:rsidRDefault="00DD13BF" w:rsidP="00355A56">
            <w:pPr>
              <w:pStyle w:val="TableParagraph"/>
              <w:rPr>
                <w:sz w:val="20"/>
              </w:rPr>
            </w:pPr>
            <w:r>
              <w:rPr>
                <w:sz w:val="20"/>
              </w:rPr>
              <w:t>151</w:t>
            </w:r>
          </w:p>
        </w:tc>
        <w:tc>
          <w:tcPr>
            <w:tcW w:w="2731" w:type="dxa"/>
            <w:tcBorders>
              <w:top w:val="single" w:sz="6" w:space="0" w:color="000000"/>
              <w:left w:val="single" w:sz="6" w:space="0" w:color="000000"/>
              <w:bottom w:val="single" w:sz="6" w:space="0" w:color="000000"/>
              <w:right w:val="single" w:sz="6" w:space="0" w:color="000000"/>
            </w:tcBorders>
          </w:tcPr>
          <w:p w14:paraId="63031402" w14:textId="77777777" w:rsidR="00DD13BF" w:rsidRPr="00646274" w:rsidRDefault="00DD13BF" w:rsidP="00355A56">
            <w:pPr>
              <w:pStyle w:val="TableParagraph"/>
              <w:rPr>
                <w:sz w:val="20"/>
              </w:rPr>
            </w:pPr>
            <w:r>
              <w:rPr>
                <w:sz w:val="20"/>
              </w:rPr>
              <w:t>240,000</w:t>
            </w:r>
          </w:p>
        </w:tc>
      </w:tr>
      <w:tr w:rsidR="00DD13BF" w:rsidRPr="00646274" w14:paraId="4B01BF3B"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54CFAAE9"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hideMark/>
          </w:tcPr>
          <w:p w14:paraId="3DDC9BC3"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hideMark/>
          </w:tcPr>
          <w:p w14:paraId="53506FFD" w14:textId="77777777" w:rsidR="00DD13BF" w:rsidRPr="00646274" w:rsidRDefault="00DD13BF" w:rsidP="00355A56">
            <w:pPr>
              <w:pStyle w:val="TableParagraph"/>
              <w:rPr>
                <w:sz w:val="20"/>
              </w:rPr>
            </w:pPr>
            <w:r>
              <w:rPr>
                <w:sz w:val="20"/>
              </w:rPr>
              <w:t>Less developed</w:t>
            </w:r>
          </w:p>
        </w:tc>
        <w:tc>
          <w:tcPr>
            <w:tcW w:w="3099" w:type="dxa"/>
            <w:tcBorders>
              <w:top w:val="single" w:sz="6" w:space="0" w:color="000000"/>
              <w:left w:val="single" w:sz="6" w:space="0" w:color="000000"/>
              <w:bottom w:val="single" w:sz="6" w:space="0" w:color="000000"/>
              <w:right w:val="single" w:sz="6" w:space="0" w:color="000000"/>
            </w:tcBorders>
            <w:hideMark/>
          </w:tcPr>
          <w:p w14:paraId="4FE5292E"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hideMark/>
          </w:tcPr>
          <w:p w14:paraId="2569B59C" w14:textId="77777777" w:rsidR="00DD13BF" w:rsidRPr="00646274" w:rsidRDefault="00DD13BF" w:rsidP="00355A56">
            <w:pPr>
              <w:pStyle w:val="TableParagraph"/>
              <w:rPr>
                <w:sz w:val="20"/>
              </w:rPr>
            </w:pPr>
            <w:r>
              <w:rPr>
                <w:sz w:val="20"/>
              </w:rPr>
              <w:t>153</w:t>
            </w:r>
          </w:p>
        </w:tc>
        <w:tc>
          <w:tcPr>
            <w:tcW w:w="2731" w:type="dxa"/>
            <w:tcBorders>
              <w:top w:val="single" w:sz="6" w:space="0" w:color="000000"/>
              <w:left w:val="single" w:sz="6" w:space="0" w:color="000000"/>
              <w:bottom w:val="single" w:sz="6" w:space="0" w:color="000000"/>
              <w:right w:val="single" w:sz="6" w:space="0" w:color="000000"/>
            </w:tcBorders>
            <w:hideMark/>
          </w:tcPr>
          <w:p w14:paraId="6368EABA" w14:textId="77777777" w:rsidR="00DD13BF" w:rsidRPr="00646274" w:rsidRDefault="00DD13BF" w:rsidP="00355A56">
            <w:pPr>
              <w:pStyle w:val="TableParagraph"/>
              <w:rPr>
                <w:sz w:val="20"/>
              </w:rPr>
            </w:pPr>
            <w:r>
              <w:rPr>
                <w:sz w:val="20"/>
              </w:rPr>
              <w:t>25,970,000</w:t>
            </w:r>
          </w:p>
        </w:tc>
      </w:tr>
      <w:tr w:rsidR="00DD13BF" w:rsidRPr="00646274" w14:paraId="0389671A"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1D121639" w14:textId="77777777" w:rsidR="00DD13BF" w:rsidRPr="00646274" w:rsidRDefault="00DD13BF" w:rsidP="00355A56">
            <w:pPr>
              <w:pStyle w:val="TableParagraph"/>
              <w:rPr>
                <w:sz w:val="20"/>
              </w:rPr>
            </w:pPr>
            <w:r>
              <w:rPr>
                <w:sz w:val="20"/>
              </w:rPr>
              <w:lastRenderedPageBreak/>
              <w:t>7</w:t>
            </w:r>
          </w:p>
        </w:tc>
        <w:tc>
          <w:tcPr>
            <w:tcW w:w="1133" w:type="dxa"/>
            <w:tcBorders>
              <w:top w:val="single" w:sz="6" w:space="0" w:color="000000"/>
              <w:left w:val="single" w:sz="6" w:space="0" w:color="000000"/>
              <w:bottom w:val="single" w:sz="6" w:space="0" w:color="000000"/>
              <w:right w:val="single" w:sz="6" w:space="0" w:color="000000"/>
            </w:tcBorders>
          </w:tcPr>
          <w:p w14:paraId="59EB4FBD"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335EE6FE" w14:textId="77777777" w:rsidR="00DD13BF" w:rsidRPr="00646274" w:rsidDel="00C01DD5" w:rsidRDefault="00DD13BF" w:rsidP="00355A56">
            <w:pPr>
              <w:pStyle w:val="TableParagraph"/>
              <w:rPr>
                <w:sz w:val="20"/>
              </w:rPr>
            </w:pPr>
            <w:r>
              <w:rPr>
                <w:sz w:val="20"/>
              </w:rPr>
              <w:t>More developed</w:t>
            </w:r>
          </w:p>
        </w:tc>
        <w:tc>
          <w:tcPr>
            <w:tcW w:w="3099" w:type="dxa"/>
            <w:tcBorders>
              <w:top w:val="single" w:sz="6" w:space="0" w:color="000000"/>
              <w:left w:val="single" w:sz="6" w:space="0" w:color="000000"/>
              <w:bottom w:val="single" w:sz="6" w:space="0" w:color="000000"/>
              <w:right w:val="single" w:sz="6" w:space="0" w:color="000000"/>
            </w:tcBorders>
          </w:tcPr>
          <w:p w14:paraId="5AD0763D"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0A54E572" w14:textId="77777777" w:rsidR="00DD13BF" w:rsidRPr="00646274" w:rsidRDefault="00DD13BF" w:rsidP="00355A56">
            <w:pPr>
              <w:pStyle w:val="TableParagraph"/>
              <w:rPr>
                <w:sz w:val="20"/>
              </w:rPr>
            </w:pPr>
            <w:r>
              <w:rPr>
                <w:sz w:val="20"/>
              </w:rPr>
              <w:t>153</w:t>
            </w:r>
          </w:p>
        </w:tc>
        <w:tc>
          <w:tcPr>
            <w:tcW w:w="2731" w:type="dxa"/>
            <w:tcBorders>
              <w:top w:val="single" w:sz="6" w:space="0" w:color="000000"/>
              <w:left w:val="single" w:sz="6" w:space="0" w:color="000000"/>
              <w:bottom w:val="single" w:sz="6" w:space="0" w:color="000000"/>
              <w:right w:val="single" w:sz="6" w:space="0" w:color="000000"/>
            </w:tcBorders>
          </w:tcPr>
          <w:p w14:paraId="75F2ED60" w14:textId="77777777" w:rsidR="00DD13BF" w:rsidRPr="00646274" w:rsidRDefault="00DD13BF" w:rsidP="00355A56">
            <w:pPr>
              <w:pStyle w:val="TableParagraph"/>
              <w:rPr>
                <w:sz w:val="20"/>
              </w:rPr>
            </w:pPr>
            <w:r>
              <w:rPr>
                <w:sz w:val="20"/>
              </w:rPr>
              <w:t>6,180,000</w:t>
            </w:r>
          </w:p>
        </w:tc>
      </w:tr>
      <w:tr w:rsidR="00DD13BF" w:rsidRPr="00646274" w14:paraId="34BD74F0"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49450139"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tcPr>
          <w:p w14:paraId="774CCB0F"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5816F91B" w14:textId="77777777" w:rsidR="00DD13BF" w:rsidRPr="00646274" w:rsidDel="00C01DD5" w:rsidRDefault="00DD13BF" w:rsidP="00355A56">
            <w:pPr>
              <w:pStyle w:val="TableParagraph"/>
              <w:rPr>
                <w:sz w:val="20"/>
              </w:rPr>
            </w:pPr>
            <w:r>
              <w:rPr>
                <w:sz w:val="20"/>
              </w:rPr>
              <w:t>Less developed</w:t>
            </w:r>
          </w:p>
        </w:tc>
        <w:tc>
          <w:tcPr>
            <w:tcW w:w="3099" w:type="dxa"/>
            <w:tcBorders>
              <w:top w:val="single" w:sz="6" w:space="0" w:color="000000"/>
              <w:left w:val="single" w:sz="6" w:space="0" w:color="000000"/>
              <w:bottom w:val="single" w:sz="6" w:space="0" w:color="000000"/>
              <w:right w:val="single" w:sz="6" w:space="0" w:color="000000"/>
            </w:tcBorders>
          </w:tcPr>
          <w:p w14:paraId="045F67FD"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5B250CF5" w14:textId="77777777" w:rsidR="00DD13BF" w:rsidRPr="00646274" w:rsidRDefault="00DD13BF" w:rsidP="00355A56">
            <w:pPr>
              <w:pStyle w:val="TableParagraph"/>
              <w:rPr>
                <w:sz w:val="20"/>
              </w:rPr>
            </w:pPr>
            <w:r>
              <w:rPr>
                <w:sz w:val="20"/>
              </w:rPr>
              <w:t>154</w:t>
            </w:r>
          </w:p>
        </w:tc>
        <w:tc>
          <w:tcPr>
            <w:tcW w:w="2731" w:type="dxa"/>
            <w:tcBorders>
              <w:top w:val="single" w:sz="6" w:space="0" w:color="000000"/>
              <w:left w:val="single" w:sz="6" w:space="0" w:color="000000"/>
              <w:bottom w:val="single" w:sz="6" w:space="0" w:color="000000"/>
              <w:right w:val="single" w:sz="6" w:space="0" w:color="000000"/>
            </w:tcBorders>
          </w:tcPr>
          <w:p w14:paraId="376EE7C0" w14:textId="77777777" w:rsidR="00DD13BF" w:rsidRPr="00646274" w:rsidRDefault="00DD13BF" w:rsidP="00355A56">
            <w:pPr>
              <w:pStyle w:val="TableParagraph"/>
              <w:rPr>
                <w:sz w:val="20"/>
              </w:rPr>
            </w:pPr>
            <w:r>
              <w:rPr>
                <w:sz w:val="20"/>
              </w:rPr>
              <w:t>1,640,000</w:t>
            </w:r>
          </w:p>
        </w:tc>
      </w:tr>
      <w:tr w:rsidR="00DD13BF" w:rsidRPr="00646274" w14:paraId="690EEE03"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633BD9E7"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tcPr>
          <w:p w14:paraId="0A234E09"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07755DF4" w14:textId="77777777" w:rsidR="00DD13BF" w:rsidRPr="00646274" w:rsidDel="00C01DD5" w:rsidRDefault="00DD13BF" w:rsidP="00355A56">
            <w:pPr>
              <w:pStyle w:val="TableParagraph"/>
              <w:rPr>
                <w:sz w:val="20"/>
              </w:rPr>
            </w:pPr>
            <w:r>
              <w:rPr>
                <w:sz w:val="20"/>
              </w:rPr>
              <w:t>More developed</w:t>
            </w:r>
          </w:p>
        </w:tc>
        <w:tc>
          <w:tcPr>
            <w:tcW w:w="3099" w:type="dxa"/>
            <w:tcBorders>
              <w:top w:val="single" w:sz="6" w:space="0" w:color="000000"/>
              <w:left w:val="single" w:sz="6" w:space="0" w:color="000000"/>
              <w:bottom w:val="single" w:sz="6" w:space="0" w:color="000000"/>
              <w:right w:val="single" w:sz="6" w:space="0" w:color="000000"/>
            </w:tcBorders>
          </w:tcPr>
          <w:p w14:paraId="3CA21356"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30CC9ED6" w14:textId="77777777" w:rsidR="00DD13BF" w:rsidRPr="00646274" w:rsidRDefault="00DD13BF" w:rsidP="00355A56">
            <w:pPr>
              <w:pStyle w:val="TableParagraph"/>
              <w:rPr>
                <w:sz w:val="20"/>
              </w:rPr>
            </w:pPr>
            <w:r>
              <w:rPr>
                <w:sz w:val="20"/>
              </w:rPr>
              <w:t>154</w:t>
            </w:r>
          </w:p>
        </w:tc>
        <w:tc>
          <w:tcPr>
            <w:tcW w:w="2731" w:type="dxa"/>
            <w:tcBorders>
              <w:top w:val="single" w:sz="6" w:space="0" w:color="000000"/>
              <w:left w:val="single" w:sz="6" w:space="0" w:color="000000"/>
              <w:bottom w:val="single" w:sz="6" w:space="0" w:color="000000"/>
              <w:right w:val="single" w:sz="6" w:space="0" w:color="000000"/>
            </w:tcBorders>
          </w:tcPr>
          <w:p w14:paraId="34F6545B" w14:textId="77777777" w:rsidR="00DD13BF" w:rsidRPr="00646274" w:rsidRDefault="00DD13BF" w:rsidP="00355A56">
            <w:pPr>
              <w:pStyle w:val="TableParagraph"/>
              <w:rPr>
                <w:sz w:val="20"/>
              </w:rPr>
            </w:pPr>
            <w:r>
              <w:rPr>
                <w:sz w:val="20"/>
              </w:rPr>
              <w:t>720,000</w:t>
            </w:r>
          </w:p>
        </w:tc>
      </w:tr>
    </w:tbl>
    <w:p w14:paraId="7CCDE9D0" w14:textId="77777777" w:rsidR="00DD13BF" w:rsidRDefault="00DD13BF" w:rsidP="00DD13BF"/>
    <w:p w14:paraId="028FD304" w14:textId="77777777" w:rsidR="00DD13BF" w:rsidRDefault="00DD13BF" w:rsidP="00DD13BF">
      <w:pPr>
        <w:ind w:left="339"/>
        <w:rPr>
          <w:spacing w:val="-7"/>
        </w:rPr>
      </w:pPr>
      <w:r>
        <w:t>Table 5: Dimension 2 – form of financing</w:t>
      </w:r>
    </w:p>
    <w:p w14:paraId="629EFD11"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rsidRPr="00646274" w14:paraId="2B5B46D4"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085F735C" w14:textId="77777777" w:rsidR="00DD13BF" w:rsidRPr="00646274" w:rsidRDefault="00DD13BF" w:rsidP="00355A56">
            <w:pPr>
              <w:pStyle w:val="TableParagraph"/>
              <w:ind w:left="115"/>
            </w:pPr>
            <w:r>
              <w:t>Priority no.</w:t>
            </w:r>
          </w:p>
        </w:tc>
        <w:tc>
          <w:tcPr>
            <w:tcW w:w="1133" w:type="dxa"/>
            <w:tcBorders>
              <w:top w:val="single" w:sz="6" w:space="0" w:color="000000"/>
              <w:left w:val="single" w:sz="6" w:space="0" w:color="000000"/>
              <w:bottom w:val="single" w:sz="6" w:space="0" w:color="000000"/>
              <w:right w:val="single" w:sz="6" w:space="0" w:color="000000"/>
            </w:tcBorders>
            <w:hideMark/>
          </w:tcPr>
          <w:p w14:paraId="50D95667" w14:textId="77777777" w:rsidR="00DD13BF" w:rsidRPr="00646274" w:rsidRDefault="00DD13BF" w:rsidP="00355A56">
            <w:pPr>
              <w:pStyle w:val="TableParagraph"/>
              <w:ind w:left="320"/>
            </w:pPr>
            <w:r>
              <w:t>Fund</w:t>
            </w:r>
          </w:p>
        </w:tc>
        <w:tc>
          <w:tcPr>
            <w:tcW w:w="3249" w:type="dxa"/>
            <w:tcBorders>
              <w:top w:val="single" w:sz="6" w:space="0" w:color="000000"/>
              <w:left w:val="single" w:sz="6" w:space="0" w:color="000000"/>
              <w:bottom w:val="single" w:sz="6" w:space="0" w:color="000000"/>
              <w:right w:val="single" w:sz="6" w:space="0" w:color="000000"/>
            </w:tcBorders>
            <w:hideMark/>
          </w:tcPr>
          <w:p w14:paraId="3CD4A049" w14:textId="77777777" w:rsidR="00DD13BF" w:rsidRPr="00646274" w:rsidRDefault="00DD13BF" w:rsidP="00355A56">
            <w:pPr>
              <w:pStyle w:val="TableParagraph"/>
              <w:ind w:left="907"/>
            </w:pPr>
            <w:r>
              <w:t>Category of region</w:t>
            </w:r>
          </w:p>
        </w:tc>
        <w:tc>
          <w:tcPr>
            <w:tcW w:w="3099" w:type="dxa"/>
            <w:tcBorders>
              <w:top w:val="single" w:sz="6" w:space="0" w:color="000000"/>
              <w:left w:val="single" w:sz="6" w:space="0" w:color="000000"/>
              <w:bottom w:val="single" w:sz="6" w:space="0" w:color="000000"/>
              <w:right w:val="single" w:sz="6" w:space="0" w:color="000000"/>
            </w:tcBorders>
            <w:hideMark/>
          </w:tcPr>
          <w:p w14:paraId="4415D574" w14:textId="77777777" w:rsidR="00DD13BF" w:rsidRPr="00646274" w:rsidRDefault="00DD13BF" w:rsidP="00355A56">
            <w:pPr>
              <w:pStyle w:val="TableParagraph"/>
              <w:ind w:left="948"/>
            </w:pPr>
            <w:r>
              <w:t>Specific objective</w:t>
            </w:r>
          </w:p>
        </w:tc>
        <w:tc>
          <w:tcPr>
            <w:tcW w:w="1161" w:type="dxa"/>
            <w:tcBorders>
              <w:top w:val="single" w:sz="6" w:space="0" w:color="000000"/>
              <w:left w:val="single" w:sz="6" w:space="0" w:color="000000"/>
              <w:bottom w:val="single" w:sz="6" w:space="0" w:color="000000"/>
              <w:right w:val="single" w:sz="6" w:space="0" w:color="000000"/>
            </w:tcBorders>
            <w:hideMark/>
          </w:tcPr>
          <w:p w14:paraId="14AAA12E" w14:textId="77777777" w:rsidR="00DD13BF" w:rsidRPr="00646274" w:rsidRDefault="00DD13BF" w:rsidP="00355A56">
            <w:pPr>
              <w:pStyle w:val="TableParagraph"/>
              <w:ind w:left="334"/>
            </w:pPr>
            <w:r>
              <w:t>Code</w:t>
            </w:r>
          </w:p>
        </w:tc>
        <w:tc>
          <w:tcPr>
            <w:tcW w:w="2731" w:type="dxa"/>
            <w:tcBorders>
              <w:top w:val="single" w:sz="6" w:space="0" w:color="000000"/>
              <w:left w:val="single" w:sz="6" w:space="0" w:color="000000"/>
              <w:bottom w:val="single" w:sz="6" w:space="0" w:color="000000"/>
              <w:right w:val="single" w:sz="6" w:space="0" w:color="000000"/>
            </w:tcBorders>
            <w:hideMark/>
          </w:tcPr>
          <w:p w14:paraId="70F6139C" w14:textId="77777777" w:rsidR="00DD13BF" w:rsidRPr="00646274" w:rsidRDefault="00DD13BF" w:rsidP="00355A56">
            <w:pPr>
              <w:pStyle w:val="TableParagraph"/>
              <w:ind w:left="661"/>
            </w:pPr>
            <w:r>
              <w:t>Amount (in EUR)</w:t>
            </w:r>
          </w:p>
        </w:tc>
      </w:tr>
      <w:tr w:rsidR="00DD13BF" w:rsidRPr="00646274" w14:paraId="206151CC"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67B8EFEE"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hideMark/>
          </w:tcPr>
          <w:p w14:paraId="3CD97127"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hideMark/>
          </w:tcPr>
          <w:p w14:paraId="7CD6AA06" w14:textId="77777777" w:rsidR="00DD13BF" w:rsidRPr="00646274" w:rsidRDefault="00DD13BF" w:rsidP="00355A56">
            <w:pPr>
              <w:pStyle w:val="TableParagraph"/>
              <w:rPr>
                <w:sz w:val="20"/>
              </w:rPr>
            </w:pPr>
            <w:r>
              <w:rPr>
                <w:sz w:val="20"/>
              </w:rPr>
              <w:t>Less developed</w:t>
            </w:r>
          </w:p>
        </w:tc>
        <w:tc>
          <w:tcPr>
            <w:tcW w:w="3099" w:type="dxa"/>
            <w:tcBorders>
              <w:top w:val="single" w:sz="6" w:space="0" w:color="000000"/>
              <w:left w:val="single" w:sz="6" w:space="0" w:color="000000"/>
              <w:bottom w:val="single" w:sz="6" w:space="0" w:color="000000"/>
              <w:right w:val="single" w:sz="6" w:space="0" w:color="000000"/>
            </w:tcBorders>
            <w:hideMark/>
          </w:tcPr>
          <w:p w14:paraId="5245A59C"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hideMark/>
          </w:tcPr>
          <w:p w14:paraId="54EF2E35" w14:textId="77777777" w:rsidR="00DD13BF" w:rsidRPr="00646274" w:rsidRDefault="00DD13BF" w:rsidP="00355A56">
            <w:pPr>
              <w:pStyle w:val="TableParagraph"/>
              <w:rPr>
                <w:sz w:val="20"/>
              </w:rPr>
            </w:pPr>
            <w:r>
              <w:rPr>
                <w:sz w:val="20"/>
              </w:rPr>
              <w:t>01</w:t>
            </w:r>
          </w:p>
        </w:tc>
        <w:tc>
          <w:tcPr>
            <w:tcW w:w="2731" w:type="dxa"/>
            <w:tcBorders>
              <w:top w:val="single" w:sz="6" w:space="0" w:color="000000"/>
              <w:left w:val="single" w:sz="6" w:space="0" w:color="000000"/>
              <w:bottom w:val="single" w:sz="6" w:space="0" w:color="000000"/>
              <w:right w:val="single" w:sz="6" w:space="0" w:color="000000"/>
            </w:tcBorders>
            <w:hideMark/>
          </w:tcPr>
          <w:p w14:paraId="76CC8D9A" w14:textId="77777777" w:rsidR="00DD13BF" w:rsidRPr="00646274" w:rsidRDefault="00DD13BF" w:rsidP="00355A56">
            <w:pPr>
              <w:pStyle w:val="TableParagraph"/>
              <w:rPr>
                <w:sz w:val="20"/>
              </w:rPr>
            </w:pPr>
            <w:r>
              <w:rPr>
                <w:sz w:val="20"/>
              </w:rPr>
              <w:t>28,800,000</w:t>
            </w:r>
          </w:p>
        </w:tc>
      </w:tr>
      <w:tr w:rsidR="00DD13BF" w:rsidRPr="00646274" w14:paraId="5A9ADCE9"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508BB488" w14:textId="77777777" w:rsidR="00DD13BF" w:rsidRPr="00646274" w:rsidRDefault="00DD13BF" w:rsidP="00355A56">
            <w:pPr>
              <w:pStyle w:val="TableParagraph"/>
              <w:rPr>
                <w:sz w:val="20"/>
              </w:rPr>
            </w:pPr>
            <w:r>
              <w:rPr>
                <w:sz w:val="20"/>
              </w:rPr>
              <w:t>7</w:t>
            </w:r>
          </w:p>
        </w:tc>
        <w:tc>
          <w:tcPr>
            <w:tcW w:w="1133" w:type="dxa"/>
            <w:tcBorders>
              <w:top w:val="single" w:sz="6" w:space="0" w:color="000000"/>
              <w:left w:val="single" w:sz="6" w:space="0" w:color="000000"/>
              <w:bottom w:val="single" w:sz="6" w:space="0" w:color="000000"/>
              <w:right w:val="single" w:sz="6" w:space="0" w:color="000000"/>
            </w:tcBorders>
          </w:tcPr>
          <w:p w14:paraId="1A99B2CE" w14:textId="77777777" w:rsidR="00DD13BF" w:rsidRPr="00646274" w:rsidRDefault="00DD13BF" w:rsidP="00355A56">
            <w:pPr>
              <w:pStyle w:val="TableParagraph"/>
              <w:rPr>
                <w:sz w:val="20"/>
              </w:rPr>
            </w:pPr>
            <w:r>
              <w:rPr>
                <w:sz w:val="20"/>
              </w:rPr>
              <w:t>ESF+</w:t>
            </w:r>
          </w:p>
        </w:tc>
        <w:tc>
          <w:tcPr>
            <w:tcW w:w="3249" w:type="dxa"/>
            <w:tcBorders>
              <w:top w:val="single" w:sz="6" w:space="0" w:color="000000"/>
              <w:left w:val="single" w:sz="6" w:space="0" w:color="000000"/>
              <w:bottom w:val="single" w:sz="6" w:space="0" w:color="000000"/>
              <w:right w:val="single" w:sz="6" w:space="0" w:color="000000"/>
            </w:tcBorders>
          </w:tcPr>
          <w:p w14:paraId="156D43CF" w14:textId="77777777" w:rsidR="00DD13BF" w:rsidRPr="00646274" w:rsidRDefault="00DD13BF" w:rsidP="00355A56">
            <w:pPr>
              <w:pStyle w:val="TableParagraph"/>
              <w:rPr>
                <w:sz w:val="20"/>
              </w:rPr>
            </w:pPr>
            <w:r>
              <w:rPr>
                <w:sz w:val="20"/>
              </w:rPr>
              <w:t>More developed</w:t>
            </w:r>
          </w:p>
        </w:tc>
        <w:tc>
          <w:tcPr>
            <w:tcW w:w="3099" w:type="dxa"/>
            <w:tcBorders>
              <w:top w:val="single" w:sz="6" w:space="0" w:color="000000"/>
              <w:left w:val="single" w:sz="6" w:space="0" w:color="000000"/>
              <w:bottom w:val="single" w:sz="6" w:space="0" w:color="000000"/>
              <w:right w:val="single" w:sz="6" w:space="0" w:color="000000"/>
            </w:tcBorders>
          </w:tcPr>
          <w:p w14:paraId="1BCF0DCE" w14:textId="77777777" w:rsidR="00DD13BF" w:rsidRPr="00646274" w:rsidRDefault="00DD13BF" w:rsidP="00355A56">
            <w:pPr>
              <w:pStyle w:val="TableParagraph"/>
              <w:rPr>
                <w:sz w:val="20"/>
              </w:rPr>
            </w:pPr>
            <w:r>
              <w:rPr>
                <w:color w:val="000000"/>
                <w:sz w:val="20"/>
              </w:rPr>
              <w:t>ESO4.8</w:t>
            </w:r>
          </w:p>
        </w:tc>
        <w:tc>
          <w:tcPr>
            <w:tcW w:w="1161" w:type="dxa"/>
            <w:tcBorders>
              <w:top w:val="single" w:sz="6" w:space="0" w:color="000000"/>
              <w:left w:val="single" w:sz="6" w:space="0" w:color="000000"/>
              <w:bottom w:val="single" w:sz="6" w:space="0" w:color="000000"/>
              <w:right w:val="single" w:sz="6" w:space="0" w:color="000000"/>
            </w:tcBorders>
          </w:tcPr>
          <w:p w14:paraId="715154C0" w14:textId="77777777" w:rsidR="00DD13BF" w:rsidRPr="00646274" w:rsidRDefault="00DD13BF" w:rsidP="00355A56">
            <w:pPr>
              <w:pStyle w:val="TableParagraph"/>
              <w:rPr>
                <w:sz w:val="20"/>
              </w:rPr>
            </w:pPr>
            <w:r>
              <w:rPr>
                <w:sz w:val="20"/>
              </w:rPr>
              <w:t>01</w:t>
            </w:r>
          </w:p>
        </w:tc>
        <w:tc>
          <w:tcPr>
            <w:tcW w:w="2731" w:type="dxa"/>
            <w:tcBorders>
              <w:top w:val="single" w:sz="6" w:space="0" w:color="000000"/>
              <w:left w:val="single" w:sz="6" w:space="0" w:color="000000"/>
              <w:bottom w:val="single" w:sz="6" w:space="0" w:color="000000"/>
              <w:right w:val="single" w:sz="6" w:space="0" w:color="000000"/>
            </w:tcBorders>
          </w:tcPr>
          <w:p w14:paraId="582D3D70" w14:textId="77777777" w:rsidR="00DD13BF" w:rsidRPr="00646274" w:rsidRDefault="00DD13BF" w:rsidP="00355A56">
            <w:pPr>
              <w:pStyle w:val="TableParagraph"/>
              <w:rPr>
                <w:sz w:val="20"/>
              </w:rPr>
            </w:pPr>
            <w:r>
              <w:rPr>
                <w:sz w:val="20"/>
              </w:rPr>
              <w:t>7,140,000</w:t>
            </w:r>
          </w:p>
        </w:tc>
      </w:tr>
    </w:tbl>
    <w:p w14:paraId="0219ADB7" w14:textId="77777777" w:rsidR="00DD13BF" w:rsidRDefault="00DD13BF" w:rsidP="00DD13BF">
      <w:pPr>
        <w:widowControl/>
        <w:autoSpaceDE/>
        <w:autoSpaceDN/>
        <w:rPr>
          <w:sz w:val="20"/>
        </w:rPr>
        <w:sectPr w:rsidR="00DD13BF" w:rsidSect="0077468B">
          <w:type w:val="continuous"/>
          <w:pgSz w:w="16840" w:h="11910" w:orient="landscape"/>
          <w:pgMar w:top="1417" w:right="1417" w:bottom="1417" w:left="1417" w:header="708" w:footer="708" w:gutter="0"/>
          <w:cols w:space="708"/>
        </w:sectPr>
      </w:pPr>
    </w:p>
    <w:p w14:paraId="2E29FB81" w14:textId="77777777" w:rsidR="00DD13BF" w:rsidRDefault="00DD13BF" w:rsidP="00DD13BF">
      <w:pPr>
        <w:ind w:left="339"/>
        <w:rPr>
          <w:spacing w:val="-7"/>
        </w:rPr>
      </w:pPr>
    </w:p>
    <w:p w14:paraId="1BA25C49" w14:textId="77777777" w:rsidR="00DD13BF" w:rsidRDefault="00DD13BF" w:rsidP="00DD13BF">
      <w:pPr>
        <w:ind w:left="339"/>
      </w:pPr>
      <w:r>
        <w:t>Table 6: Dimension 3 – territorial delivery mechanism and territorial focus</w:t>
      </w:r>
    </w:p>
    <w:p w14:paraId="3EBB0D86"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646274" w14:paraId="62B2E3DC"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29029F94" w14:textId="77777777" w:rsidR="00DD13BF" w:rsidRPr="00646274" w:rsidRDefault="00DD13BF" w:rsidP="00355A56">
            <w:pPr>
              <w:pStyle w:val="TableParagraph"/>
              <w:ind w:left="115"/>
            </w:pPr>
            <w:r>
              <w:t>Priority no.</w:t>
            </w:r>
          </w:p>
        </w:tc>
        <w:tc>
          <w:tcPr>
            <w:tcW w:w="1132" w:type="dxa"/>
            <w:tcBorders>
              <w:top w:val="single" w:sz="6" w:space="0" w:color="000000"/>
              <w:left w:val="single" w:sz="6" w:space="0" w:color="000000"/>
              <w:bottom w:val="single" w:sz="6" w:space="0" w:color="000000"/>
              <w:right w:val="single" w:sz="6" w:space="0" w:color="000000"/>
            </w:tcBorders>
            <w:hideMark/>
          </w:tcPr>
          <w:p w14:paraId="64B0B8B2" w14:textId="77777777" w:rsidR="00DD13BF" w:rsidRPr="00646274" w:rsidRDefault="00DD13BF" w:rsidP="00355A56">
            <w:pPr>
              <w:pStyle w:val="TableParagraph"/>
              <w:ind w:left="320"/>
            </w:pPr>
            <w:r>
              <w:t>Fund</w:t>
            </w:r>
          </w:p>
        </w:tc>
        <w:tc>
          <w:tcPr>
            <w:tcW w:w="3248" w:type="dxa"/>
            <w:tcBorders>
              <w:top w:val="single" w:sz="6" w:space="0" w:color="000000"/>
              <w:left w:val="single" w:sz="6" w:space="0" w:color="000000"/>
              <w:bottom w:val="single" w:sz="6" w:space="0" w:color="000000"/>
              <w:right w:val="single" w:sz="6" w:space="0" w:color="000000"/>
            </w:tcBorders>
            <w:hideMark/>
          </w:tcPr>
          <w:p w14:paraId="6AAA6CE3" w14:textId="77777777" w:rsidR="00DD13BF" w:rsidRPr="00646274" w:rsidRDefault="00DD13BF" w:rsidP="00355A56">
            <w:pPr>
              <w:pStyle w:val="TableParagraph"/>
              <w:ind w:left="908"/>
            </w:pPr>
            <w:r>
              <w:t>Category of region</w:t>
            </w:r>
          </w:p>
        </w:tc>
        <w:tc>
          <w:tcPr>
            <w:tcW w:w="3098" w:type="dxa"/>
            <w:tcBorders>
              <w:top w:val="single" w:sz="6" w:space="0" w:color="000000"/>
              <w:left w:val="single" w:sz="6" w:space="0" w:color="000000"/>
              <w:bottom w:val="single" w:sz="6" w:space="0" w:color="000000"/>
              <w:right w:val="single" w:sz="6" w:space="0" w:color="000000"/>
            </w:tcBorders>
            <w:hideMark/>
          </w:tcPr>
          <w:p w14:paraId="272033B5" w14:textId="77777777" w:rsidR="00DD13BF" w:rsidRPr="00646274" w:rsidRDefault="00DD13BF" w:rsidP="00355A56">
            <w:pPr>
              <w:pStyle w:val="TableParagraph"/>
              <w:ind w:left="950"/>
            </w:pPr>
            <w:r>
              <w:t>Specific objective</w:t>
            </w:r>
          </w:p>
        </w:tc>
        <w:tc>
          <w:tcPr>
            <w:tcW w:w="1160" w:type="dxa"/>
            <w:tcBorders>
              <w:top w:val="single" w:sz="6" w:space="0" w:color="000000"/>
              <w:left w:val="single" w:sz="6" w:space="0" w:color="000000"/>
              <w:bottom w:val="single" w:sz="6" w:space="0" w:color="000000"/>
              <w:right w:val="single" w:sz="6" w:space="0" w:color="000000"/>
            </w:tcBorders>
            <w:hideMark/>
          </w:tcPr>
          <w:p w14:paraId="196C682B" w14:textId="77777777" w:rsidR="00DD13BF" w:rsidRPr="00646274" w:rsidRDefault="00DD13BF" w:rsidP="00355A56">
            <w:pPr>
              <w:pStyle w:val="TableParagraph"/>
              <w:ind w:left="336"/>
            </w:pPr>
            <w:r>
              <w:t>Code</w:t>
            </w:r>
          </w:p>
        </w:tc>
        <w:tc>
          <w:tcPr>
            <w:tcW w:w="2730" w:type="dxa"/>
            <w:tcBorders>
              <w:top w:val="single" w:sz="6" w:space="0" w:color="000000"/>
              <w:left w:val="single" w:sz="6" w:space="0" w:color="000000"/>
              <w:bottom w:val="single" w:sz="6" w:space="0" w:color="000000"/>
              <w:right w:val="single" w:sz="6" w:space="0" w:color="000000"/>
            </w:tcBorders>
            <w:hideMark/>
          </w:tcPr>
          <w:p w14:paraId="6EE5030C" w14:textId="77777777" w:rsidR="00DD13BF" w:rsidRPr="00646274" w:rsidRDefault="00DD13BF" w:rsidP="00355A56">
            <w:pPr>
              <w:pStyle w:val="TableParagraph"/>
              <w:ind w:left="664"/>
            </w:pPr>
            <w:r>
              <w:t>Amount (in EUR)</w:t>
            </w:r>
          </w:p>
        </w:tc>
      </w:tr>
      <w:tr w:rsidR="00DD13BF" w:rsidRPr="00646274" w14:paraId="2629BC12"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03DC5C8C"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hideMark/>
          </w:tcPr>
          <w:p w14:paraId="37D7105F"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hideMark/>
          </w:tcPr>
          <w:p w14:paraId="509BD81D" w14:textId="77777777" w:rsidR="00DD13BF" w:rsidRPr="00646274" w:rsidRDefault="00DD13BF" w:rsidP="00355A56">
            <w:pPr>
              <w:pStyle w:val="TableParagraph"/>
              <w:rPr>
                <w:sz w:val="20"/>
              </w:rPr>
            </w:pPr>
            <w:r>
              <w:rPr>
                <w:sz w:val="20"/>
              </w:rPr>
              <w:t>Less developed</w:t>
            </w:r>
          </w:p>
        </w:tc>
        <w:tc>
          <w:tcPr>
            <w:tcW w:w="3098" w:type="dxa"/>
            <w:tcBorders>
              <w:top w:val="single" w:sz="6" w:space="0" w:color="000000"/>
              <w:left w:val="single" w:sz="6" w:space="0" w:color="000000"/>
              <w:bottom w:val="single" w:sz="6" w:space="0" w:color="000000"/>
              <w:right w:val="single" w:sz="6" w:space="0" w:color="000000"/>
            </w:tcBorders>
            <w:hideMark/>
          </w:tcPr>
          <w:p w14:paraId="05BEB4F1"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hideMark/>
          </w:tcPr>
          <w:p w14:paraId="00304451" w14:textId="77777777" w:rsidR="00DD13BF" w:rsidRPr="00646274" w:rsidRDefault="00DD13BF" w:rsidP="00355A56">
            <w:pPr>
              <w:pStyle w:val="TableParagraph"/>
              <w:rPr>
                <w:sz w:val="20"/>
              </w:rPr>
            </w:pPr>
            <w:r>
              <w:rPr>
                <w:sz w:val="20"/>
              </w:rPr>
              <w:t>33</w:t>
            </w:r>
          </w:p>
        </w:tc>
        <w:tc>
          <w:tcPr>
            <w:tcW w:w="2730" w:type="dxa"/>
            <w:tcBorders>
              <w:top w:val="single" w:sz="6" w:space="0" w:color="000000"/>
              <w:left w:val="single" w:sz="6" w:space="0" w:color="000000"/>
              <w:bottom w:val="single" w:sz="6" w:space="0" w:color="000000"/>
              <w:right w:val="single" w:sz="6" w:space="0" w:color="000000"/>
            </w:tcBorders>
            <w:hideMark/>
          </w:tcPr>
          <w:p w14:paraId="56B984D5" w14:textId="77777777" w:rsidR="00DD13BF" w:rsidRPr="00646274" w:rsidRDefault="00DD13BF" w:rsidP="00355A56">
            <w:pPr>
              <w:pStyle w:val="TableParagraph"/>
              <w:rPr>
                <w:sz w:val="20"/>
              </w:rPr>
            </w:pPr>
            <w:r>
              <w:rPr>
                <w:sz w:val="20"/>
              </w:rPr>
              <w:t>28,800,000</w:t>
            </w:r>
          </w:p>
        </w:tc>
      </w:tr>
      <w:tr w:rsidR="00DD13BF" w:rsidRPr="00646274" w14:paraId="63686FBB"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2A20B47D"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tcPr>
          <w:p w14:paraId="43B8F0DB"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tcPr>
          <w:p w14:paraId="28FCEC68" w14:textId="77777777" w:rsidR="00DD13BF" w:rsidRPr="00646274" w:rsidRDefault="00DD13BF" w:rsidP="00355A56">
            <w:pPr>
              <w:pStyle w:val="TableParagraph"/>
              <w:rPr>
                <w:sz w:val="20"/>
              </w:rPr>
            </w:pPr>
            <w:r>
              <w:rPr>
                <w:sz w:val="20"/>
              </w:rPr>
              <w:t>More developed</w:t>
            </w:r>
          </w:p>
        </w:tc>
        <w:tc>
          <w:tcPr>
            <w:tcW w:w="3098" w:type="dxa"/>
            <w:tcBorders>
              <w:top w:val="single" w:sz="6" w:space="0" w:color="000000"/>
              <w:left w:val="single" w:sz="6" w:space="0" w:color="000000"/>
              <w:bottom w:val="single" w:sz="6" w:space="0" w:color="000000"/>
              <w:right w:val="single" w:sz="6" w:space="0" w:color="000000"/>
            </w:tcBorders>
          </w:tcPr>
          <w:p w14:paraId="0A062C60"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tcPr>
          <w:p w14:paraId="29E10324" w14:textId="77777777" w:rsidR="00DD13BF" w:rsidRPr="00646274" w:rsidRDefault="00DD13BF" w:rsidP="00355A56">
            <w:pPr>
              <w:pStyle w:val="TableParagraph"/>
              <w:rPr>
                <w:sz w:val="20"/>
              </w:rPr>
            </w:pPr>
            <w:r>
              <w:rPr>
                <w:sz w:val="20"/>
              </w:rPr>
              <w:t>33</w:t>
            </w:r>
          </w:p>
        </w:tc>
        <w:tc>
          <w:tcPr>
            <w:tcW w:w="2730" w:type="dxa"/>
            <w:tcBorders>
              <w:top w:val="single" w:sz="6" w:space="0" w:color="000000"/>
              <w:left w:val="single" w:sz="6" w:space="0" w:color="000000"/>
              <w:bottom w:val="single" w:sz="6" w:space="0" w:color="000000"/>
              <w:right w:val="single" w:sz="6" w:space="0" w:color="000000"/>
            </w:tcBorders>
          </w:tcPr>
          <w:p w14:paraId="3842529F" w14:textId="77777777" w:rsidR="00DD13BF" w:rsidRPr="00646274" w:rsidRDefault="00DD13BF" w:rsidP="00355A56">
            <w:pPr>
              <w:pStyle w:val="TableParagraph"/>
              <w:rPr>
                <w:sz w:val="20"/>
              </w:rPr>
            </w:pPr>
            <w:r>
              <w:rPr>
                <w:sz w:val="20"/>
              </w:rPr>
              <w:t>7,140,000</w:t>
            </w:r>
          </w:p>
        </w:tc>
      </w:tr>
    </w:tbl>
    <w:p w14:paraId="38934E32" w14:textId="77777777" w:rsidR="00DD13BF" w:rsidRDefault="00DD13BF" w:rsidP="00DD13BF"/>
    <w:p w14:paraId="062BB846" w14:textId="77777777" w:rsidR="00DD13BF" w:rsidRDefault="00DD13BF" w:rsidP="00DD13BF">
      <w:pPr>
        <w:ind w:left="339"/>
      </w:pPr>
      <w:r>
        <w:t>Table 7: Dimension 6 – ESF+ secondary themes</w:t>
      </w:r>
    </w:p>
    <w:p w14:paraId="5648FC51"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646274" w14:paraId="5169C519"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490493AE" w14:textId="77777777" w:rsidR="00DD13BF" w:rsidRPr="00646274" w:rsidRDefault="00DD13BF" w:rsidP="00355A56">
            <w:pPr>
              <w:pStyle w:val="TableParagraph"/>
              <w:ind w:left="115"/>
            </w:pPr>
            <w:r>
              <w:t>Priority no.</w:t>
            </w:r>
          </w:p>
        </w:tc>
        <w:tc>
          <w:tcPr>
            <w:tcW w:w="1132" w:type="dxa"/>
            <w:tcBorders>
              <w:top w:val="single" w:sz="6" w:space="0" w:color="000000"/>
              <w:left w:val="single" w:sz="6" w:space="0" w:color="000000"/>
              <w:bottom w:val="single" w:sz="6" w:space="0" w:color="000000"/>
              <w:right w:val="single" w:sz="6" w:space="0" w:color="000000"/>
            </w:tcBorders>
            <w:hideMark/>
          </w:tcPr>
          <w:p w14:paraId="4FA25566" w14:textId="77777777" w:rsidR="00DD13BF" w:rsidRPr="00646274" w:rsidRDefault="00DD13BF" w:rsidP="00355A56">
            <w:pPr>
              <w:pStyle w:val="TableParagraph"/>
              <w:ind w:left="321"/>
            </w:pPr>
            <w:r>
              <w:t>Fund</w:t>
            </w:r>
          </w:p>
        </w:tc>
        <w:tc>
          <w:tcPr>
            <w:tcW w:w="3248" w:type="dxa"/>
            <w:tcBorders>
              <w:top w:val="single" w:sz="6" w:space="0" w:color="000000"/>
              <w:left w:val="single" w:sz="6" w:space="0" w:color="000000"/>
              <w:bottom w:val="single" w:sz="6" w:space="0" w:color="000000"/>
              <w:right w:val="single" w:sz="6" w:space="0" w:color="000000"/>
            </w:tcBorders>
            <w:hideMark/>
          </w:tcPr>
          <w:p w14:paraId="21B30612" w14:textId="77777777" w:rsidR="00DD13BF" w:rsidRPr="00646274" w:rsidRDefault="00DD13BF" w:rsidP="00355A56">
            <w:pPr>
              <w:pStyle w:val="TableParagraph"/>
              <w:ind w:left="909"/>
            </w:pPr>
            <w:r>
              <w:t>Category of region</w:t>
            </w:r>
          </w:p>
        </w:tc>
        <w:tc>
          <w:tcPr>
            <w:tcW w:w="3098" w:type="dxa"/>
            <w:tcBorders>
              <w:top w:val="single" w:sz="6" w:space="0" w:color="000000"/>
              <w:left w:val="single" w:sz="6" w:space="0" w:color="000000"/>
              <w:bottom w:val="single" w:sz="6" w:space="0" w:color="000000"/>
              <w:right w:val="single" w:sz="6" w:space="0" w:color="000000"/>
            </w:tcBorders>
            <w:hideMark/>
          </w:tcPr>
          <w:p w14:paraId="6BFC961C" w14:textId="77777777" w:rsidR="00DD13BF" w:rsidRPr="00646274" w:rsidRDefault="00DD13BF" w:rsidP="00355A56">
            <w:pPr>
              <w:pStyle w:val="TableParagraph"/>
              <w:ind w:left="950"/>
            </w:pPr>
            <w:r>
              <w:t>Specific objective</w:t>
            </w:r>
          </w:p>
        </w:tc>
        <w:tc>
          <w:tcPr>
            <w:tcW w:w="1160" w:type="dxa"/>
            <w:tcBorders>
              <w:top w:val="single" w:sz="6" w:space="0" w:color="000000"/>
              <w:left w:val="single" w:sz="6" w:space="0" w:color="000000"/>
              <w:bottom w:val="single" w:sz="6" w:space="0" w:color="000000"/>
              <w:right w:val="single" w:sz="6" w:space="0" w:color="000000"/>
            </w:tcBorders>
            <w:hideMark/>
          </w:tcPr>
          <w:p w14:paraId="5417AB81" w14:textId="77777777" w:rsidR="00DD13BF" w:rsidRPr="00646274" w:rsidRDefault="00DD13BF" w:rsidP="00355A56">
            <w:pPr>
              <w:pStyle w:val="TableParagraph"/>
              <w:ind w:left="337"/>
            </w:pPr>
            <w:r>
              <w:t>Code</w:t>
            </w:r>
          </w:p>
        </w:tc>
        <w:tc>
          <w:tcPr>
            <w:tcW w:w="2730" w:type="dxa"/>
            <w:tcBorders>
              <w:top w:val="single" w:sz="6" w:space="0" w:color="000000"/>
              <w:left w:val="single" w:sz="6" w:space="0" w:color="000000"/>
              <w:bottom w:val="single" w:sz="6" w:space="0" w:color="000000"/>
              <w:right w:val="single" w:sz="6" w:space="0" w:color="000000"/>
            </w:tcBorders>
            <w:hideMark/>
          </w:tcPr>
          <w:p w14:paraId="2B1B4D1B" w14:textId="77777777" w:rsidR="00DD13BF" w:rsidRPr="00646274" w:rsidRDefault="00DD13BF" w:rsidP="00355A56">
            <w:pPr>
              <w:pStyle w:val="TableParagraph"/>
              <w:ind w:left="665"/>
            </w:pPr>
            <w:r>
              <w:t>Amount (in EUR)</w:t>
            </w:r>
          </w:p>
        </w:tc>
      </w:tr>
      <w:tr w:rsidR="00DD13BF" w:rsidRPr="00646274" w14:paraId="2073543F"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61BB2413"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hideMark/>
          </w:tcPr>
          <w:p w14:paraId="6363DE7E"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hideMark/>
          </w:tcPr>
          <w:p w14:paraId="095B6FB4" w14:textId="77777777" w:rsidR="00DD13BF" w:rsidRPr="00646274" w:rsidRDefault="00DD13BF" w:rsidP="00355A56">
            <w:pPr>
              <w:pStyle w:val="TableParagraph"/>
              <w:rPr>
                <w:sz w:val="20"/>
              </w:rPr>
            </w:pPr>
            <w:r>
              <w:rPr>
                <w:sz w:val="20"/>
              </w:rPr>
              <w:t>Less developed</w:t>
            </w:r>
          </w:p>
        </w:tc>
        <w:tc>
          <w:tcPr>
            <w:tcW w:w="3098" w:type="dxa"/>
            <w:tcBorders>
              <w:top w:val="single" w:sz="6" w:space="0" w:color="000000"/>
              <w:left w:val="single" w:sz="6" w:space="0" w:color="000000"/>
              <w:bottom w:val="single" w:sz="6" w:space="0" w:color="000000"/>
              <w:right w:val="single" w:sz="6" w:space="0" w:color="000000"/>
            </w:tcBorders>
            <w:hideMark/>
          </w:tcPr>
          <w:p w14:paraId="13D8FD66"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hideMark/>
          </w:tcPr>
          <w:p w14:paraId="067DDD98" w14:textId="77777777" w:rsidR="00DD13BF" w:rsidRPr="00646274" w:rsidRDefault="00DD13BF" w:rsidP="00355A56">
            <w:pPr>
              <w:pStyle w:val="TableParagraph"/>
              <w:rPr>
                <w:sz w:val="20"/>
              </w:rPr>
            </w:pPr>
            <w:r>
              <w:rPr>
                <w:sz w:val="20"/>
              </w:rPr>
              <w:t>09</w:t>
            </w:r>
          </w:p>
        </w:tc>
        <w:tc>
          <w:tcPr>
            <w:tcW w:w="2730" w:type="dxa"/>
            <w:tcBorders>
              <w:top w:val="single" w:sz="6" w:space="0" w:color="000000"/>
              <w:left w:val="single" w:sz="6" w:space="0" w:color="000000"/>
              <w:bottom w:val="single" w:sz="6" w:space="0" w:color="000000"/>
              <w:right w:val="single" w:sz="6" w:space="0" w:color="000000"/>
            </w:tcBorders>
            <w:hideMark/>
          </w:tcPr>
          <w:p w14:paraId="25AAB1CA" w14:textId="77777777" w:rsidR="00DD13BF" w:rsidRPr="00646274" w:rsidRDefault="00DD13BF" w:rsidP="00355A56">
            <w:pPr>
              <w:pStyle w:val="TableParagraph"/>
              <w:rPr>
                <w:sz w:val="20"/>
              </w:rPr>
            </w:pPr>
            <w:r>
              <w:rPr>
                <w:sz w:val="20"/>
              </w:rPr>
              <w:t>28,800,000</w:t>
            </w:r>
          </w:p>
        </w:tc>
      </w:tr>
      <w:tr w:rsidR="00DD13BF" w:rsidRPr="00646274" w14:paraId="0BB57DB1"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0373C1C4"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tcPr>
          <w:p w14:paraId="0ADD3D9E"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tcPr>
          <w:p w14:paraId="64919FD4" w14:textId="77777777" w:rsidR="00DD13BF" w:rsidRPr="00646274" w:rsidRDefault="00DD13BF" w:rsidP="00355A56">
            <w:pPr>
              <w:pStyle w:val="TableParagraph"/>
              <w:rPr>
                <w:sz w:val="20"/>
              </w:rPr>
            </w:pPr>
            <w:r>
              <w:rPr>
                <w:sz w:val="20"/>
              </w:rPr>
              <w:t>More developed</w:t>
            </w:r>
          </w:p>
        </w:tc>
        <w:tc>
          <w:tcPr>
            <w:tcW w:w="3098" w:type="dxa"/>
            <w:tcBorders>
              <w:top w:val="single" w:sz="6" w:space="0" w:color="000000"/>
              <w:left w:val="single" w:sz="6" w:space="0" w:color="000000"/>
              <w:bottom w:val="single" w:sz="6" w:space="0" w:color="000000"/>
              <w:right w:val="single" w:sz="6" w:space="0" w:color="000000"/>
            </w:tcBorders>
          </w:tcPr>
          <w:p w14:paraId="41AD6228"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tcPr>
          <w:p w14:paraId="339B5FB7" w14:textId="77777777" w:rsidR="00DD13BF" w:rsidRPr="00646274" w:rsidRDefault="00DD13BF" w:rsidP="00355A56">
            <w:pPr>
              <w:pStyle w:val="TableParagraph"/>
              <w:rPr>
                <w:sz w:val="20"/>
              </w:rPr>
            </w:pPr>
            <w:r>
              <w:rPr>
                <w:sz w:val="20"/>
              </w:rPr>
              <w:t>09</w:t>
            </w:r>
          </w:p>
        </w:tc>
        <w:tc>
          <w:tcPr>
            <w:tcW w:w="2730" w:type="dxa"/>
            <w:tcBorders>
              <w:top w:val="single" w:sz="6" w:space="0" w:color="000000"/>
              <w:left w:val="single" w:sz="6" w:space="0" w:color="000000"/>
              <w:bottom w:val="single" w:sz="6" w:space="0" w:color="000000"/>
              <w:right w:val="single" w:sz="6" w:space="0" w:color="000000"/>
            </w:tcBorders>
          </w:tcPr>
          <w:p w14:paraId="6AB3B862" w14:textId="77777777" w:rsidR="00DD13BF" w:rsidRPr="00646274" w:rsidRDefault="00DD13BF" w:rsidP="00355A56">
            <w:pPr>
              <w:pStyle w:val="TableParagraph"/>
              <w:rPr>
                <w:sz w:val="20"/>
              </w:rPr>
            </w:pPr>
            <w:r>
              <w:rPr>
                <w:sz w:val="20"/>
              </w:rPr>
              <w:t>7,140,000</w:t>
            </w:r>
          </w:p>
        </w:tc>
      </w:tr>
    </w:tbl>
    <w:p w14:paraId="4CA3ACF7" w14:textId="77777777" w:rsidR="00DD13BF" w:rsidRDefault="00DD13BF" w:rsidP="00DD13BF"/>
    <w:p w14:paraId="3E2F6C60" w14:textId="77777777" w:rsidR="00DD13BF" w:rsidRDefault="00DD13BF" w:rsidP="00DD13BF">
      <w:pPr>
        <w:ind w:left="339"/>
      </w:pPr>
      <w:r>
        <w:t>Table 8: Dimension 7 – ESF+*, ERDF, Cohesion Fund and JTF gender equality dimension</w:t>
      </w:r>
    </w:p>
    <w:p w14:paraId="3C5D8740"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rsidRPr="00646274" w14:paraId="3C29C012"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6B1A7D10" w14:textId="77777777" w:rsidR="00DD13BF" w:rsidRPr="00646274" w:rsidRDefault="00DD13BF" w:rsidP="00355A56">
            <w:pPr>
              <w:pStyle w:val="TableParagraph"/>
              <w:ind w:left="115"/>
            </w:pPr>
            <w:r>
              <w:t>Priority no.</w:t>
            </w:r>
          </w:p>
        </w:tc>
        <w:tc>
          <w:tcPr>
            <w:tcW w:w="1132" w:type="dxa"/>
            <w:tcBorders>
              <w:top w:val="single" w:sz="6" w:space="0" w:color="000000"/>
              <w:left w:val="single" w:sz="6" w:space="0" w:color="000000"/>
              <w:bottom w:val="single" w:sz="6" w:space="0" w:color="000000"/>
              <w:right w:val="single" w:sz="6" w:space="0" w:color="000000"/>
            </w:tcBorders>
            <w:hideMark/>
          </w:tcPr>
          <w:p w14:paraId="723CAE58" w14:textId="77777777" w:rsidR="00DD13BF" w:rsidRPr="00646274" w:rsidRDefault="00DD13BF" w:rsidP="00355A56">
            <w:pPr>
              <w:pStyle w:val="TableParagraph"/>
              <w:ind w:left="320"/>
            </w:pPr>
            <w:r>
              <w:t>Fund</w:t>
            </w:r>
          </w:p>
        </w:tc>
        <w:tc>
          <w:tcPr>
            <w:tcW w:w="3248" w:type="dxa"/>
            <w:tcBorders>
              <w:top w:val="single" w:sz="6" w:space="0" w:color="000000"/>
              <w:left w:val="single" w:sz="6" w:space="0" w:color="000000"/>
              <w:bottom w:val="single" w:sz="6" w:space="0" w:color="000000"/>
              <w:right w:val="single" w:sz="6" w:space="0" w:color="000000"/>
            </w:tcBorders>
            <w:hideMark/>
          </w:tcPr>
          <w:p w14:paraId="1CF95697" w14:textId="77777777" w:rsidR="00DD13BF" w:rsidRPr="00646274" w:rsidRDefault="00DD13BF" w:rsidP="00355A56">
            <w:pPr>
              <w:pStyle w:val="TableParagraph"/>
              <w:ind w:left="908"/>
            </w:pPr>
            <w:r>
              <w:t>Category of region</w:t>
            </w:r>
          </w:p>
        </w:tc>
        <w:tc>
          <w:tcPr>
            <w:tcW w:w="3098" w:type="dxa"/>
            <w:tcBorders>
              <w:top w:val="single" w:sz="6" w:space="0" w:color="000000"/>
              <w:left w:val="single" w:sz="6" w:space="0" w:color="000000"/>
              <w:bottom w:val="single" w:sz="6" w:space="0" w:color="000000"/>
              <w:right w:val="single" w:sz="6" w:space="0" w:color="000000"/>
            </w:tcBorders>
            <w:hideMark/>
          </w:tcPr>
          <w:p w14:paraId="247B92A2" w14:textId="77777777" w:rsidR="00DD13BF" w:rsidRPr="00646274" w:rsidRDefault="00DD13BF" w:rsidP="00355A56">
            <w:pPr>
              <w:pStyle w:val="TableParagraph"/>
              <w:ind w:left="950"/>
            </w:pPr>
            <w:r>
              <w:t>Specific objective</w:t>
            </w:r>
          </w:p>
        </w:tc>
        <w:tc>
          <w:tcPr>
            <w:tcW w:w="1160" w:type="dxa"/>
            <w:tcBorders>
              <w:top w:val="single" w:sz="6" w:space="0" w:color="000000"/>
              <w:left w:val="single" w:sz="6" w:space="0" w:color="000000"/>
              <w:bottom w:val="single" w:sz="6" w:space="0" w:color="000000"/>
              <w:right w:val="single" w:sz="6" w:space="0" w:color="000000"/>
            </w:tcBorders>
            <w:hideMark/>
          </w:tcPr>
          <w:p w14:paraId="33B51809" w14:textId="77777777" w:rsidR="00DD13BF" w:rsidRPr="00646274" w:rsidRDefault="00DD13BF" w:rsidP="00355A56">
            <w:pPr>
              <w:pStyle w:val="TableParagraph"/>
              <w:ind w:left="336"/>
            </w:pPr>
            <w:r>
              <w:t>Code</w:t>
            </w:r>
          </w:p>
        </w:tc>
        <w:tc>
          <w:tcPr>
            <w:tcW w:w="2730" w:type="dxa"/>
            <w:tcBorders>
              <w:top w:val="single" w:sz="6" w:space="0" w:color="000000"/>
              <w:left w:val="single" w:sz="6" w:space="0" w:color="000000"/>
              <w:bottom w:val="single" w:sz="6" w:space="0" w:color="000000"/>
              <w:right w:val="single" w:sz="6" w:space="0" w:color="000000"/>
            </w:tcBorders>
            <w:hideMark/>
          </w:tcPr>
          <w:p w14:paraId="4567DA2D" w14:textId="77777777" w:rsidR="00DD13BF" w:rsidRPr="00646274" w:rsidRDefault="00DD13BF" w:rsidP="00355A56">
            <w:pPr>
              <w:pStyle w:val="TableParagraph"/>
              <w:ind w:left="664"/>
            </w:pPr>
            <w:r>
              <w:t>Amount (in EUR)</w:t>
            </w:r>
          </w:p>
        </w:tc>
      </w:tr>
      <w:tr w:rsidR="00DD13BF" w:rsidRPr="00646274" w14:paraId="61814298"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hideMark/>
          </w:tcPr>
          <w:p w14:paraId="28BA5692"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hideMark/>
          </w:tcPr>
          <w:p w14:paraId="0F97E553"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hideMark/>
          </w:tcPr>
          <w:p w14:paraId="5145632A" w14:textId="77777777" w:rsidR="00DD13BF" w:rsidRPr="00646274" w:rsidRDefault="00DD13BF" w:rsidP="00355A56">
            <w:pPr>
              <w:pStyle w:val="TableParagraph"/>
              <w:rPr>
                <w:sz w:val="20"/>
              </w:rPr>
            </w:pPr>
            <w:r>
              <w:rPr>
                <w:sz w:val="20"/>
              </w:rPr>
              <w:t>Less developed</w:t>
            </w:r>
          </w:p>
        </w:tc>
        <w:tc>
          <w:tcPr>
            <w:tcW w:w="3098" w:type="dxa"/>
            <w:tcBorders>
              <w:top w:val="single" w:sz="6" w:space="0" w:color="000000"/>
              <w:left w:val="single" w:sz="6" w:space="0" w:color="000000"/>
              <w:bottom w:val="single" w:sz="6" w:space="0" w:color="000000"/>
              <w:right w:val="single" w:sz="6" w:space="0" w:color="000000"/>
            </w:tcBorders>
            <w:hideMark/>
          </w:tcPr>
          <w:p w14:paraId="6DFA1D12"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hideMark/>
          </w:tcPr>
          <w:p w14:paraId="2F3A1B13" w14:textId="77777777" w:rsidR="00DD13BF" w:rsidRPr="00646274" w:rsidRDefault="00DD13BF" w:rsidP="00355A56">
            <w:pPr>
              <w:pStyle w:val="TableParagraph"/>
              <w:rPr>
                <w:sz w:val="20"/>
              </w:rPr>
            </w:pPr>
            <w:r>
              <w:rPr>
                <w:sz w:val="20"/>
              </w:rPr>
              <w:t>02</w:t>
            </w:r>
          </w:p>
        </w:tc>
        <w:tc>
          <w:tcPr>
            <w:tcW w:w="2730" w:type="dxa"/>
            <w:tcBorders>
              <w:top w:val="single" w:sz="6" w:space="0" w:color="000000"/>
              <w:left w:val="single" w:sz="6" w:space="0" w:color="000000"/>
              <w:bottom w:val="single" w:sz="6" w:space="0" w:color="000000"/>
              <w:right w:val="single" w:sz="6" w:space="0" w:color="000000"/>
            </w:tcBorders>
            <w:hideMark/>
          </w:tcPr>
          <w:p w14:paraId="632D7228" w14:textId="77777777" w:rsidR="00DD13BF" w:rsidRPr="00646274" w:rsidRDefault="00DD13BF" w:rsidP="00355A56">
            <w:pPr>
              <w:pStyle w:val="TableParagraph"/>
              <w:rPr>
                <w:sz w:val="20"/>
              </w:rPr>
            </w:pPr>
            <w:r>
              <w:rPr>
                <w:sz w:val="20"/>
              </w:rPr>
              <w:t>28,800,000</w:t>
            </w:r>
          </w:p>
        </w:tc>
      </w:tr>
      <w:tr w:rsidR="00DD13BF" w:rsidRPr="00646274" w14:paraId="7647B10F" w14:textId="77777777" w:rsidTr="00355A56">
        <w:trPr>
          <w:trHeight w:val="353"/>
        </w:trPr>
        <w:tc>
          <w:tcPr>
            <w:tcW w:w="2088" w:type="dxa"/>
            <w:tcBorders>
              <w:top w:val="single" w:sz="6" w:space="0" w:color="000000"/>
              <w:left w:val="single" w:sz="6" w:space="0" w:color="000000"/>
              <w:bottom w:val="single" w:sz="6" w:space="0" w:color="000000"/>
              <w:right w:val="single" w:sz="6" w:space="0" w:color="000000"/>
            </w:tcBorders>
          </w:tcPr>
          <w:p w14:paraId="36E4A7CC" w14:textId="77777777" w:rsidR="00DD13BF" w:rsidRPr="00646274" w:rsidRDefault="00DD13BF" w:rsidP="00355A56">
            <w:pPr>
              <w:pStyle w:val="TableParagraph"/>
              <w:rPr>
                <w:sz w:val="20"/>
              </w:rPr>
            </w:pPr>
            <w:r>
              <w:rPr>
                <w:sz w:val="20"/>
              </w:rPr>
              <w:t>7</w:t>
            </w:r>
          </w:p>
        </w:tc>
        <w:tc>
          <w:tcPr>
            <w:tcW w:w="1132" w:type="dxa"/>
            <w:tcBorders>
              <w:top w:val="single" w:sz="6" w:space="0" w:color="000000"/>
              <w:left w:val="single" w:sz="6" w:space="0" w:color="000000"/>
              <w:bottom w:val="single" w:sz="6" w:space="0" w:color="000000"/>
              <w:right w:val="single" w:sz="6" w:space="0" w:color="000000"/>
            </w:tcBorders>
          </w:tcPr>
          <w:p w14:paraId="7D060A22" w14:textId="77777777" w:rsidR="00DD13BF" w:rsidRPr="00646274" w:rsidRDefault="00DD13BF" w:rsidP="00355A56">
            <w:pPr>
              <w:pStyle w:val="TableParagraph"/>
              <w:rPr>
                <w:sz w:val="20"/>
              </w:rPr>
            </w:pPr>
            <w:r>
              <w:rPr>
                <w:sz w:val="20"/>
              </w:rPr>
              <w:t>ESF+</w:t>
            </w:r>
          </w:p>
        </w:tc>
        <w:tc>
          <w:tcPr>
            <w:tcW w:w="3248" w:type="dxa"/>
            <w:tcBorders>
              <w:top w:val="single" w:sz="6" w:space="0" w:color="000000"/>
              <w:left w:val="single" w:sz="6" w:space="0" w:color="000000"/>
              <w:bottom w:val="single" w:sz="6" w:space="0" w:color="000000"/>
              <w:right w:val="single" w:sz="6" w:space="0" w:color="000000"/>
            </w:tcBorders>
          </w:tcPr>
          <w:p w14:paraId="6BBFB010" w14:textId="77777777" w:rsidR="00DD13BF" w:rsidRPr="00646274" w:rsidRDefault="00DD13BF" w:rsidP="00355A56">
            <w:pPr>
              <w:pStyle w:val="TableParagraph"/>
              <w:rPr>
                <w:sz w:val="20"/>
              </w:rPr>
            </w:pPr>
            <w:r>
              <w:rPr>
                <w:sz w:val="20"/>
              </w:rPr>
              <w:t>More developed</w:t>
            </w:r>
          </w:p>
        </w:tc>
        <w:tc>
          <w:tcPr>
            <w:tcW w:w="3098" w:type="dxa"/>
            <w:tcBorders>
              <w:top w:val="single" w:sz="6" w:space="0" w:color="000000"/>
              <w:left w:val="single" w:sz="6" w:space="0" w:color="000000"/>
              <w:bottom w:val="single" w:sz="6" w:space="0" w:color="000000"/>
              <w:right w:val="single" w:sz="6" w:space="0" w:color="000000"/>
            </w:tcBorders>
          </w:tcPr>
          <w:p w14:paraId="33D23D70" w14:textId="77777777" w:rsidR="00DD13BF" w:rsidRPr="00646274" w:rsidRDefault="00DD13BF" w:rsidP="00355A56">
            <w:pPr>
              <w:pStyle w:val="TableParagraph"/>
              <w:rPr>
                <w:sz w:val="20"/>
              </w:rPr>
            </w:pPr>
            <w:r>
              <w:rPr>
                <w:color w:val="000000"/>
                <w:sz w:val="20"/>
              </w:rPr>
              <w:t>ESO4.8</w:t>
            </w:r>
          </w:p>
        </w:tc>
        <w:tc>
          <w:tcPr>
            <w:tcW w:w="1160" w:type="dxa"/>
            <w:tcBorders>
              <w:top w:val="single" w:sz="6" w:space="0" w:color="000000"/>
              <w:left w:val="single" w:sz="6" w:space="0" w:color="000000"/>
              <w:bottom w:val="single" w:sz="6" w:space="0" w:color="000000"/>
              <w:right w:val="single" w:sz="6" w:space="0" w:color="000000"/>
            </w:tcBorders>
          </w:tcPr>
          <w:p w14:paraId="238BD39F" w14:textId="77777777" w:rsidR="00DD13BF" w:rsidRPr="00646274" w:rsidRDefault="00DD13BF" w:rsidP="00355A56">
            <w:pPr>
              <w:pStyle w:val="TableParagraph"/>
              <w:rPr>
                <w:sz w:val="20"/>
              </w:rPr>
            </w:pPr>
            <w:r>
              <w:rPr>
                <w:sz w:val="20"/>
              </w:rPr>
              <w:t>02</w:t>
            </w:r>
          </w:p>
        </w:tc>
        <w:tc>
          <w:tcPr>
            <w:tcW w:w="2730" w:type="dxa"/>
            <w:tcBorders>
              <w:top w:val="single" w:sz="6" w:space="0" w:color="000000"/>
              <w:left w:val="single" w:sz="6" w:space="0" w:color="000000"/>
              <w:bottom w:val="single" w:sz="6" w:space="0" w:color="000000"/>
              <w:right w:val="single" w:sz="6" w:space="0" w:color="000000"/>
            </w:tcBorders>
          </w:tcPr>
          <w:p w14:paraId="46423DBF" w14:textId="77777777" w:rsidR="00DD13BF" w:rsidRPr="00646274" w:rsidRDefault="00DD13BF" w:rsidP="00355A56">
            <w:pPr>
              <w:pStyle w:val="TableParagraph"/>
              <w:rPr>
                <w:sz w:val="20"/>
              </w:rPr>
            </w:pPr>
            <w:r>
              <w:rPr>
                <w:sz w:val="20"/>
              </w:rPr>
              <w:t>7,140,000</w:t>
            </w:r>
          </w:p>
        </w:tc>
      </w:tr>
    </w:tbl>
    <w:p w14:paraId="37608323" w14:textId="77777777" w:rsidR="00DD13BF" w:rsidRPr="000E31DC"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0C93A4C5" w14:textId="77777777" w:rsidR="00DD13BF" w:rsidRPr="00BD3536" w:rsidRDefault="00DD13BF" w:rsidP="00DD13BF">
      <w:pPr>
        <w:pStyle w:val="Naslov4"/>
        <w:ind w:left="1134"/>
      </w:pPr>
      <w:bookmarkStart w:id="53" w:name="_Toc131161725"/>
      <w:r>
        <w:lastRenderedPageBreak/>
        <w:t>Specific objective ESO4.11. Enhancing equal and timely access to quality, sustainable and affordable services, including services that promote the access to housing and person-centred care including healthcare; modernising social protection systems, including promoting access to social protection, with a particular focus on children and disadvantaged groups; improving accessibility including for persons with disabilities, effectiveness and resilience of healthcare systems and long-term care services (ESF+)</w:t>
      </w:r>
      <w:bookmarkEnd w:id="53"/>
    </w:p>
    <w:p w14:paraId="1724BEE2" w14:textId="77777777" w:rsidR="00DD13BF" w:rsidRDefault="00DD13BF" w:rsidP="00DD13BF">
      <w:pPr>
        <w:rPr>
          <w:sz w:val="30"/>
        </w:rPr>
      </w:pPr>
    </w:p>
    <w:p w14:paraId="77BBA91C" w14:textId="77777777" w:rsidR="00DD13BF" w:rsidRPr="00C10464" w:rsidRDefault="00DD13BF" w:rsidP="00DD13BF">
      <w:pPr>
        <w:pStyle w:val="Naslov5"/>
        <w:spacing w:before="0"/>
      </w:pPr>
      <w:r>
        <w:t>Interventions of the Funds</w:t>
      </w:r>
    </w:p>
    <w:p w14:paraId="75537C2C" w14:textId="77777777" w:rsidR="00DD13BF" w:rsidRDefault="00DD13BF" w:rsidP="00DD13BF">
      <w:pPr>
        <w:rPr>
          <w:sz w:val="30"/>
        </w:rPr>
      </w:pPr>
    </w:p>
    <w:p w14:paraId="1ECF9E7F" w14:textId="77777777" w:rsidR="00DD13BF" w:rsidRDefault="00DD13BF" w:rsidP="00DD13BF">
      <w:pPr>
        <w:ind w:left="1349"/>
        <w:rPr>
          <w:spacing w:val="-2"/>
        </w:rPr>
      </w:pPr>
      <w:r>
        <w:t>Related types of actions:</w:t>
      </w:r>
    </w:p>
    <w:p w14:paraId="1E002104"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4CA6BF26" w14:textId="77777777" w:rsidTr="00355A56">
        <w:trPr>
          <w:trHeight w:val="316"/>
        </w:trPr>
        <w:tc>
          <w:tcPr>
            <w:tcW w:w="12758" w:type="dxa"/>
          </w:tcPr>
          <w:p w14:paraId="05FF56BF" w14:textId="77777777" w:rsidR="00DD13BF" w:rsidRPr="009214EC" w:rsidRDefault="00DD13BF" w:rsidP="00355A56">
            <w:pPr>
              <w:jc w:val="both"/>
            </w:pPr>
            <w:bookmarkStart w:id="54" w:name="_Hlk108771708"/>
            <w:bookmarkStart w:id="55" w:name="_Hlk108773067"/>
            <w:bookmarkStart w:id="56" w:name="_Hlk108785627"/>
            <w:r>
              <w:t>The outbreak of the COVID-19 epidemic exposed the shortcomings of the care system, particularly for elderly people; therefore, it is imperative to upgrade the information infrastructure of social care facilities, which will facilitate prompt and targeted access to data. Increasing problems in health care pointed out by the UMAR in the 2021 Development Report will have to be addressed with comprehensive and targeted measures. Preventive programmes (including sports) must be enhanced, and programmes adapted to the needs of elderly people and support for measures to strengthen social innovation for a faster response to rapidly changing social needs must be established.</w:t>
            </w:r>
          </w:p>
          <w:p w14:paraId="2FAF8B05" w14:textId="77777777" w:rsidR="00DD13BF" w:rsidRPr="009214EC" w:rsidRDefault="00DD13BF" w:rsidP="00355A56">
            <w:pPr>
              <w:jc w:val="both"/>
            </w:pPr>
          </w:p>
          <w:p w14:paraId="7C750A0B" w14:textId="77777777" w:rsidR="00DD13BF" w:rsidRPr="009214EC" w:rsidRDefault="00DD13BF" w:rsidP="00355A56">
            <w:pPr>
              <w:jc w:val="both"/>
            </w:pPr>
            <w:r>
              <w:t>The following measures will be supported:</w:t>
            </w:r>
          </w:p>
          <w:p w14:paraId="310F2FEC" w14:textId="77777777" w:rsidR="00DD13BF" w:rsidRPr="009214EC" w:rsidRDefault="00DD13BF" w:rsidP="00DD13BF">
            <w:pPr>
              <w:pStyle w:val="Odstavekseznama"/>
              <w:widowControl/>
              <w:numPr>
                <w:ilvl w:val="0"/>
                <w:numId w:val="38"/>
              </w:numPr>
              <w:autoSpaceDE/>
              <w:autoSpaceDN/>
              <w:jc w:val="both"/>
              <w:rPr>
                <w:rFonts w:ascii="Times New Roman" w:hAnsi="Times New Roman" w:cs="Times New Roman"/>
              </w:rPr>
            </w:pPr>
            <w:r>
              <w:rPr>
                <w:rFonts w:ascii="Times New Roman" w:hAnsi="Times New Roman"/>
                <w:i/>
              </w:rPr>
              <w:t>Enhancing social care services</w:t>
            </w:r>
          </w:p>
          <w:p w14:paraId="2EAE482D"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Measures to improve the quality of services in social care facilities</w:t>
            </w:r>
            <w:r>
              <w:rPr>
                <w:rStyle w:val="Pripombasklic"/>
                <w:rFonts w:ascii="Times New Roman" w:hAnsi="Times New Roman"/>
              </w:rPr>
              <w:t xml:space="preserve">: </w:t>
            </w:r>
            <w:r>
              <w:rPr>
                <w:rFonts w:ascii="Times New Roman" w:hAnsi="Times New Roman"/>
              </w:rPr>
              <w:t>modernising the social care system and protecting children and families with the aim of greater efficiency, accessibility and quality of services for users in accordance with the 2017 Family Code. A system for evaluating the needs of social care users will be established, education and training of professionals and programmes to enhance parental competences will be carried out, a model for evaluating and measuring the effects of individual services/programmes will be established, and the information system for unified record keeping will be upgraded.</w:t>
            </w:r>
          </w:p>
          <w:p w14:paraId="6F13BF36"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Measures to support the transition from institutional care to home-care by providing social care and community services: ensuring the coordination of all actors who provide social care services and programmes; support on the ground by providing education for employees in social care in accordance with the principles of deinstitutionalisation; consultations, awareness raising and promotion of the deinstitutionalisation process; preventing institutionalisation and strengthening community services; and relocating and transforming the operation of social care.</w:t>
            </w:r>
          </w:p>
          <w:p w14:paraId="639B64CA"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Measures to digitise the data storage and use system in social care facilities, which will optimise work, improve communication, and ensure high personal data security and transparency of service provision.</w:t>
            </w:r>
          </w:p>
          <w:p w14:paraId="5B76820E" w14:textId="77777777" w:rsidR="00DD13BF" w:rsidRPr="009214EC" w:rsidRDefault="00DD13BF" w:rsidP="00355A56">
            <w:pPr>
              <w:jc w:val="both"/>
            </w:pPr>
          </w:p>
          <w:p w14:paraId="6C6849C5" w14:textId="77777777" w:rsidR="00DD13BF" w:rsidRPr="009214EC" w:rsidRDefault="00DD13BF" w:rsidP="00DD13BF">
            <w:pPr>
              <w:pStyle w:val="Odstavekseznama"/>
              <w:widowControl/>
              <w:numPr>
                <w:ilvl w:val="0"/>
                <w:numId w:val="38"/>
              </w:numPr>
              <w:autoSpaceDE/>
              <w:autoSpaceDN/>
              <w:jc w:val="both"/>
              <w:rPr>
                <w:rFonts w:ascii="Times New Roman" w:hAnsi="Times New Roman" w:cs="Times New Roman"/>
                <w:i/>
              </w:rPr>
            </w:pPr>
            <w:bookmarkStart w:id="57" w:name="_Hlk108782562"/>
            <w:r>
              <w:rPr>
                <w:rFonts w:ascii="Times New Roman" w:hAnsi="Times New Roman"/>
                <w:i/>
              </w:rPr>
              <w:t>Strengthening the resilience of the long-term care system and measures for the early detection of dementia:</w:t>
            </w:r>
          </w:p>
          <w:p w14:paraId="77E2FFFA"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 xml:space="preserve">Measures to strengthen the competence of employees for high-quality, safe and user-oriented provision of services, establish a simulation centre that will enable the acquisition of clinical experience in a safe environment without putting users at risk; </w:t>
            </w:r>
            <w:r>
              <w:rPr>
                <w:rFonts w:ascii="Times New Roman" w:hAnsi="Times New Roman"/>
              </w:rPr>
              <w:lastRenderedPageBreak/>
              <w:t xml:space="preserve">measures for verified training for work in health care and long-term care; measures to enhance dental treatment, particularly for elderly people; measure to establish a model of medicine preparation with the help of information support and technology.  </w:t>
            </w:r>
          </w:p>
          <w:p w14:paraId="5A830BEF" w14:textId="77777777" w:rsidR="00DD13BF"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Measures for the early detection of dementia, including programmes to provide integrated treatment and care in the field of mental health between all services and occupations, and education/training programmes to increase competences to recognise, and work with, people with dementia.</w:t>
            </w:r>
          </w:p>
          <w:p w14:paraId="706DC23D" w14:textId="77777777" w:rsidR="00DD13BF" w:rsidRPr="009214EC" w:rsidRDefault="00DD13BF" w:rsidP="00355A56">
            <w:pPr>
              <w:pStyle w:val="Odstavekseznama"/>
              <w:ind w:left="1440"/>
              <w:jc w:val="both"/>
              <w:rPr>
                <w:rFonts w:ascii="Times New Roman" w:hAnsi="Times New Roman" w:cs="Times New Roman"/>
              </w:rPr>
            </w:pPr>
            <w:r>
              <w:rPr>
                <w:rFonts w:ascii="Times New Roman" w:hAnsi="Times New Roman"/>
              </w:rPr>
              <w:t xml:space="preserve"> </w:t>
            </w:r>
          </w:p>
          <w:p w14:paraId="3DC18603" w14:textId="77777777" w:rsidR="00DD13BF" w:rsidRPr="009214EC" w:rsidRDefault="00DD13BF" w:rsidP="00DD13BF">
            <w:pPr>
              <w:pStyle w:val="Odstavekseznama"/>
              <w:widowControl/>
              <w:numPr>
                <w:ilvl w:val="0"/>
                <w:numId w:val="58"/>
              </w:numPr>
              <w:autoSpaceDE/>
              <w:autoSpaceDN/>
              <w:jc w:val="both"/>
              <w:rPr>
                <w:rFonts w:ascii="Times New Roman" w:hAnsi="Times New Roman" w:cs="Times New Roman"/>
              </w:rPr>
            </w:pPr>
            <w:r>
              <w:rPr>
                <w:rFonts w:ascii="Times New Roman" w:hAnsi="Times New Roman"/>
                <w:i/>
              </w:rPr>
              <w:t>Strengthening the field of mental health and taking action in the field of drugs:</w:t>
            </w:r>
          </w:p>
          <w:p w14:paraId="443EF1A3"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 xml:space="preserve">Implementing measures for the horizontal integration of all stakeholders and the integration of existing programmes in the field of illegal drugs and their providers. Measures and activities for medical rehabilitation and comprehensive recovery of illegal drug users, including users of new psychoactive substances, will be developed. </w:t>
            </w:r>
          </w:p>
          <w:p w14:paraId="3DC8DE2B"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Mental health will be strengthened through measures to promote mental health, early identification of problems, better access to specialist services, integrated treatment of mental disorders in the community, and psychosocial rehabilitation of persons according to their needs. The measure will complement the RRP, where investments will be made in the education of educators, the development and dissemination of established and effective programmes for the promotion of mental health and the prevention of mental disorders exclusively in children and adolescents and young adults, particularly in the post-COVID period.</w:t>
            </w:r>
          </w:p>
          <w:p w14:paraId="5DFFFD4C" w14:textId="77777777" w:rsidR="00DD13BF" w:rsidRPr="00560DFD" w:rsidRDefault="00DD13BF" w:rsidP="00355A56">
            <w:pPr>
              <w:ind w:left="1080"/>
              <w:jc w:val="both"/>
            </w:pPr>
            <w:r>
              <w:t xml:space="preserve"> </w:t>
            </w:r>
          </w:p>
          <w:p w14:paraId="40A5391B" w14:textId="77777777" w:rsidR="00DD13BF" w:rsidRPr="001756F5" w:rsidRDefault="00DD13BF" w:rsidP="00DD13BF">
            <w:pPr>
              <w:pStyle w:val="Odstavekseznama"/>
              <w:widowControl/>
              <w:numPr>
                <w:ilvl w:val="0"/>
                <w:numId w:val="59"/>
              </w:numPr>
              <w:autoSpaceDE/>
              <w:autoSpaceDN/>
              <w:jc w:val="both"/>
              <w:rPr>
                <w:rFonts w:ascii="Times New Roman" w:hAnsi="Times New Roman" w:cs="Times New Roman"/>
              </w:rPr>
            </w:pPr>
            <w:r>
              <w:rPr>
                <w:rFonts w:ascii="Times New Roman" w:hAnsi="Times New Roman"/>
                <w:i/>
              </w:rPr>
              <w:t xml:space="preserve">Enhancing the field of emergency medical services (hereinafter: </w:t>
            </w:r>
            <w:r>
              <w:rPr>
                <w:rFonts w:ascii="Times New Roman" w:hAnsi="Times New Roman"/>
                <w:i/>
                <w:iCs/>
              </w:rPr>
              <w:t>EMS</w:t>
            </w:r>
            <w:r>
              <w:rPr>
                <w:rFonts w:ascii="Times New Roman" w:hAnsi="Times New Roman"/>
              </w:rPr>
              <w:t>): targeted training in the field of health care in the event of major disasters will contribute to the provision of quality treatment on the ground and the reduction of general practitioners’ workload in EMS. To provide access to victims of cardiac arrest and other emergencies in rural environments as rapidly as possible, the system of first responders will also be developed through training. The measure will complement measures under the SO RSO4.5 and the RRP, where investments in infrastructure will be made.</w:t>
            </w:r>
          </w:p>
          <w:p w14:paraId="1D8C9B40" w14:textId="77777777" w:rsidR="00DD13BF" w:rsidRPr="009214EC" w:rsidRDefault="00DD13BF" w:rsidP="00355A56">
            <w:pPr>
              <w:pStyle w:val="Odstavekseznama"/>
              <w:ind w:left="1440"/>
              <w:jc w:val="both"/>
              <w:rPr>
                <w:rFonts w:ascii="Times New Roman" w:hAnsi="Times New Roman" w:cs="Times New Roman"/>
              </w:rPr>
            </w:pPr>
            <w:r>
              <w:rPr>
                <w:rFonts w:ascii="Times New Roman" w:hAnsi="Times New Roman"/>
              </w:rPr>
              <w:t xml:space="preserve"> </w:t>
            </w:r>
          </w:p>
          <w:p w14:paraId="362CA2F1" w14:textId="77777777" w:rsidR="00DD13BF" w:rsidRPr="009214EC" w:rsidRDefault="00DD13BF" w:rsidP="00DD13BF">
            <w:pPr>
              <w:pStyle w:val="Odstavekseznama"/>
              <w:numPr>
                <w:ilvl w:val="0"/>
                <w:numId w:val="38"/>
              </w:numPr>
              <w:jc w:val="both"/>
              <w:rPr>
                <w:rFonts w:ascii="Times New Roman" w:hAnsi="Times New Roman" w:cs="Times New Roman"/>
              </w:rPr>
            </w:pPr>
            <w:r>
              <w:rPr>
                <w:rFonts w:ascii="Times New Roman" w:hAnsi="Times New Roman"/>
                <w:i/>
                <w:iCs/>
              </w:rPr>
              <w:t>Strengthening the digital literacy of employees in health care and long-term care</w:t>
            </w:r>
            <w:r>
              <w:rPr>
                <w:rFonts w:ascii="Times New Roman" w:hAnsi="Times New Roman"/>
              </w:rPr>
              <w:t>, and strengthening the health literacy of the population, which will crucially contribute to a better functioning of the health system and the competence of individuals to be part of the health system. The measure will complement the RRP, where the digital transformation of health care will be supported by establishing information solutions, and crucial training for concrete IT solutions for health care personnel will be facilitated.</w:t>
            </w:r>
          </w:p>
          <w:p w14:paraId="6973D655" w14:textId="77777777" w:rsidR="00DD13BF" w:rsidRPr="009214EC" w:rsidRDefault="00DD13BF" w:rsidP="00355A56">
            <w:pPr>
              <w:pStyle w:val="Odstavekseznama"/>
              <w:ind w:left="720"/>
              <w:jc w:val="both"/>
              <w:rPr>
                <w:rFonts w:ascii="Times New Roman" w:hAnsi="Times New Roman" w:cs="Times New Roman"/>
                <w:iCs/>
              </w:rPr>
            </w:pPr>
          </w:p>
          <w:p w14:paraId="1BF27278" w14:textId="77777777" w:rsidR="00DD13BF" w:rsidRPr="009214EC" w:rsidRDefault="00DD13BF" w:rsidP="00DD13BF">
            <w:pPr>
              <w:pStyle w:val="Odstavekseznama"/>
              <w:widowControl/>
              <w:numPr>
                <w:ilvl w:val="0"/>
                <w:numId w:val="38"/>
              </w:numPr>
              <w:autoSpaceDE/>
              <w:autoSpaceDN/>
              <w:jc w:val="both"/>
              <w:rPr>
                <w:rFonts w:ascii="Times New Roman" w:hAnsi="Times New Roman" w:cs="Times New Roman"/>
              </w:rPr>
            </w:pPr>
            <w:r>
              <w:rPr>
                <w:rFonts w:ascii="Times New Roman" w:hAnsi="Times New Roman"/>
                <w:i/>
              </w:rPr>
              <w:t>Preventive activities in health care and management of age-related frailty:</w:t>
            </w:r>
          </w:p>
          <w:p w14:paraId="3F1E152C" w14:textId="77777777" w:rsidR="00DD13BF" w:rsidRPr="000D619F"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 xml:space="preserve">Establishing a system that will ensure systematic identification (geriatric assessment) and the most optimal care of patients who are frail, have multiple long-term conditions, and are exposed to the risk of developing incapacity or loss of autonomy (screening tools, training in the field of frailty, screening aids, preventive and curative interventions). A comprehensive approach provided by an interdisciplinary team is required. In this way, the share of malnourished and functionally less capable elderly residents and patients will be reduced, and a healthy lifestyle of at-risk population groups, such as elderly people and patients, will be promoted. The action will complement the RRP, where personnel competences will be primarily addressed.   </w:t>
            </w:r>
          </w:p>
          <w:p w14:paraId="001F1FF1"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bookmarkStart w:id="58" w:name="_Hlk113622921"/>
            <w:r>
              <w:rPr>
                <w:rFonts w:ascii="Times New Roman" w:hAnsi="Times New Roman"/>
              </w:rPr>
              <w:lastRenderedPageBreak/>
              <w:t>The measure of preventive activities in health care foresees the development and testing of new programmes and services aimed at the preventive treatment of high-risk groups of the population (people with a high risk of developing chronic diseases, people with chronic diseases). Secondary and tertiary prevention at the primary level must be addressed, and the role of local communities in ensuring a better lifestyle for individuals and the implementation of integrated treatment of chronic patients must be enhanced (the connection between the health care activity and the local community, NGOs and local groups for health promotion, which we established in the previous financial framework, the need for holistic rehabilitation, and the inclusion of patients with chronic diseases developed in the operation “Increasing health literacy in Slovenia”). Objective of the measure: to develop, test and implement new secondary and tertiary prevention interventions in health education centres, and train providers. By redirecting preventive programmes and follow-up of patients with chronic diseases to the primary health level, i.e. postponing the occurrence of chronic noncommunicable diseases to a later period of life, the innovative approach responded to the new needs of the population with an emphasis on meeting the needs of the most vulnerable groups and with the aim of reducing health inequalities. A community approach in all health care centres with the goal of reducing health inequality will also be established. The action will complement SO RSO4.5, where investments in infrastructure will be made.</w:t>
            </w:r>
          </w:p>
          <w:bookmarkEnd w:id="58"/>
          <w:p w14:paraId="451903B1" w14:textId="77777777" w:rsidR="00DD13BF" w:rsidRPr="009214EC" w:rsidRDefault="00DD13BF" w:rsidP="00DD13BF">
            <w:pPr>
              <w:pStyle w:val="Odstavekseznama"/>
              <w:widowControl/>
              <w:numPr>
                <w:ilvl w:val="1"/>
                <w:numId w:val="38"/>
              </w:numPr>
              <w:autoSpaceDE/>
              <w:autoSpaceDN/>
              <w:jc w:val="both"/>
              <w:rPr>
                <w:rFonts w:ascii="Times New Roman" w:hAnsi="Times New Roman" w:cs="Times New Roman"/>
              </w:rPr>
            </w:pPr>
            <w:r>
              <w:rPr>
                <w:rFonts w:ascii="Times New Roman" w:hAnsi="Times New Roman"/>
              </w:rPr>
              <w:t>The said preventive programmes in health care will be upgraded with sports and recreational, and preventive programmes to promote the health and activation of all generations, since, in accordance with the EU Physical Activity Guidelines, daily professionally guided exercise is recommended; therefore, the inclusion of individuals in exercise programmes will be promoted, thus contributing to an increase in the proportion of persons who actively participate in sports.</w:t>
            </w:r>
          </w:p>
          <w:bookmarkEnd w:id="54"/>
          <w:bookmarkEnd w:id="57"/>
          <w:p w14:paraId="6BAF7E68" w14:textId="77777777" w:rsidR="00DD13BF" w:rsidRPr="009214EC" w:rsidRDefault="00DD13BF" w:rsidP="00355A56">
            <w:pPr>
              <w:jc w:val="both"/>
            </w:pPr>
          </w:p>
          <w:p w14:paraId="46915397" w14:textId="77777777" w:rsidR="00DD13BF" w:rsidRPr="008601F0" w:rsidRDefault="00DD13BF" w:rsidP="00DD13BF">
            <w:pPr>
              <w:pStyle w:val="Odstavekseznama"/>
              <w:widowControl/>
              <w:numPr>
                <w:ilvl w:val="0"/>
                <w:numId w:val="38"/>
              </w:numPr>
              <w:autoSpaceDE/>
              <w:autoSpaceDN/>
              <w:jc w:val="both"/>
              <w:rPr>
                <w:rFonts w:ascii="Times New Roman" w:hAnsi="Times New Roman" w:cs="Times New Roman"/>
                <w:color w:val="000000"/>
              </w:rPr>
            </w:pPr>
            <w:r>
              <w:rPr>
                <w:rFonts w:ascii="Times New Roman" w:hAnsi="Times New Roman"/>
                <w:i/>
                <w:iCs/>
              </w:rPr>
              <w:t>Providing a supportive environment for the development and implementation of new services, products and models to address social challenges in an innovative way</w:t>
            </w:r>
            <w:r>
              <w:rPr>
                <w:rFonts w:ascii="Times New Roman" w:hAnsi="Times New Roman"/>
              </w:rPr>
              <w:t xml:space="preserve">, within which measures will be implemented to strengthen the active participation of the non-governmental sector, the economy and state institutions in addressing common challenges (a long-lived society, deinstitutionalisation, community care, etc.). The establishment of centres for social innovation is foreseen, which will stimulate the development of new solutions, the evaluation of their effectiveness, and the pilot dissemination of successful social innovations to provide various integrated services, including the development of the informal economy. </w:t>
            </w:r>
            <w:bookmarkEnd w:id="55"/>
          </w:p>
          <w:p w14:paraId="5040B2C7" w14:textId="77777777" w:rsidR="00DD13BF" w:rsidRPr="009214EC" w:rsidRDefault="00DD13BF" w:rsidP="00355A56">
            <w:pPr>
              <w:pStyle w:val="Odstavekseznama"/>
              <w:ind w:left="720"/>
              <w:jc w:val="both"/>
              <w:rPr>
                <w:rFonts w:ascii="Times New Roman" w:hAnsi="Times New Roman" w:cs="Times New Roman"/>
                <w:color w:val="000000"/>
              </w:rPr>
            </w:pPr>
          </w:p>
          <w:p w14:paraId="5D175DD9" w14:textId="77777777" w:rsidR="00DD13BF" w:rsidRPr="008F7154" w:rsidRDefault="00DD13BF" w:rsidP="00DD13BF">
            <w:pPr>
              <w:pStyle w:val="Odstavekseznama"/>
              <w:widowControl/>
              <w:numPr>
                <w:ilvl w:val="0"/>
                <w:numId w:val="38"/>
              </w:numPr>
              <w:autoSpaceDE/>
              <w:autoSpaceDN/>
              <w:jc w:val="both"/>
              <w:rPr>
                <w:rFonts w:ascii="Times New Roman" w:hAnsi="Times New Roman" w:cs="Times New Roman"/>
                <w:color w:val="000000"/>
              </w:rPr>
            </w:pPr>
            <w:r>
              <w:rPr>
                <w:rFonts w:ascii="Times New Roman" w:hAnsi="Times New Roman"/>
                <w:i/>
                <w:iCs/>
              </w:rPr>
              <w:t>Measures for the social inclusion of persons with disabilities</w:t>
            </w:r>
            <w:r>
              <w:rPr>
                <w:rFonts w:ascii="Times New Roman" w:hAnsi="Times New Roman"/>
              </w:rPr>
              <w:t>: Supportive environments to improve their social inclusion, establish quality services, and monitor the development of social inclusion services will be established, thus ensuring a more independent life with support; special attention will be paid to persons with a mild intellectual disability, for whom support services will be developed to facilitate their more effective employment</w:t>
            </w:r>
            <w:bookmarkEnd w:id="56"/>
            <w:r>
              <w:rPr>
                <w:rFonts w:ascii="Times New Roman" w:hAnsi="Times New Roman"/>
              </w:rPr>
              <w:t>.</w:t>
            </w:r>
          </w:p>
          <w:p w14:paraId="64783AB3" w14:textId="77777777" w:rsidR="00DD13BF" w:rsidRDefault="00DD13BF" w:rsidP="00355A56">
            <w:pPr>
              <w:pStyle w:val="Odstavekseznama"/>
              <w:ind w:left="720"/>
              <w:jc w:val="both"/>
              <w:rPr>
                <w:rFonts w:ascii="Times New Roman" w:hAnsi="Times New Roman" w:cs="Times New Roman"/>
                <w:i/>
              </w:rPr>
            </w:pPr>
          </w:p>
          <w:p w14:paraId="7370E24E" w14:textId="77777777" w:rsidR="00DD13BF" w:rsidRPr="008F7154" w:rsidRDefault="00DD13BF" w:rsidP="00355A56">
            <w:pPr>
              <w:pStyle w:val="Odstavekseznama"/>
              <w:ind w:left="38"/>
              <w:jc w:val="both"/>
              <w:rPr>
                <w:rFonts w:ascii="Times New Roman" w:hAnsi="Times New Roman" w:cs="Times New Roman"/>
                <w:color w:val="000000"/>
              </w:rPr>
            </w:pPr>
            <w:r>
              <w:rPr>
                <w:rFonts w:ascii="Times New Roman" w:hAnsi="Times New Roman"/>
                <w:color w:val="000000"/>
              </w:rP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33FFF58A" w14:textId="77777777" w:rsidR="00DD13BF" w:rsidRDefault="00DD13BF" w:rsidP="00DD13BF">
      <w:pPr>
        <w:ind w:left="1349"/>
        <w:rPr>
          <w:spacing w:val="-6"/>
        </w:rPr>
      </w:pPr>
    </w:p>
    <w:p w14:paraId="7D7B75B6" w14:textId="77777777" w:rsidR="00DD13BF" w:rsidRDefault="00DD13BF" w:rsidP="00DD13BF">
      <w:pPr>
        <w:ind w:left="1349"/>
      </w:pPr>
      <w:r>
        <w:t>Main target groups:</w:t>
      </w:r>
    </w:p>
    <w:p w14:paraId="045FCB5F"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6831C4C5" w14:textId="77777777" w:rsidTr="00355A56">
        <w:tc>
          <w:tcPr>
            <w:tcW w:w="12763" w:type="dxa"/>
          </w:tcPr>
          <w:p w14:paraId="6A099F8D" w14:textId="77777777" w:rsidR="00DD13BF" w:rsidRDefault="00DD13BF" w:rsidP="00355A56">
            <w:pPr>
              <w:jc w:val="both"/>
              <w:rPr>
                <w:rFonts w:cstheme="minorBidi"/>
              </w:rPr>
            </w:pPr>
            <w:r>
              <w:lastRenderedPageBreak/>
              <w:t xml:space="preserve">Target groups: care providers in facilities and support providers in the community, and social care professionals (public and private sector, NGOs), ministries responsible for work, family and social affairs and health, users of long-term care and health activities, organisations that can contribute to improvements in the field of work with families and their individuals family members (including cultural institutions), users from individual fields of work in social and disability care, and families, individuals, prisoners, persons involved in healthy lifestyle programmes. </w:t>
            </w:r>
          </w:p>
          <w:p w14:paraId="0E3ACC3A" w14:textId="77777777" w:rsidR="00DD13BF" w:rsidRDefault="00DD13BF" w:rsidP="00355A56">
            <w:pPr>
              <w:jc w:val="both"/>
              <w:rPr>
                <w:rFonts w:cstheme="minorBidi"/>
              </w:rPr>
            </w:pPr>
          </w:p>
          <w:p w14:paraId="00B9850C" w14:textId="77777777" w:rsidR="00DD13BF" w:rsidRPr="00F87B83" w:rsidRDefault="00DD13BF" w:rsidP="00355A56">
            <w:pPr>
              <w:jc w:val="both"/>
              <w:rPr>
                <w:rFonts w:cstheme="minorBidi"/>
              </w:rPr>
            </w:pPr>
            <w:r>
              <w:t>Beneficiaries: social care facilities, ministries, social work centres, IRSSV, NGOs, public institutes, educational institutions, umbrella sports organisations, providers of long-term care and health activities, organisations that can contribute to improvements in the field of work with families and their individual family members (including cultural institutions), users from individual fields of work in social and disability care, and families.</w:t>
            </w:r>
          </w:p>
        </w:tc>
      </w:tr>
    </w:tbl>
    <w:p w14:paraId="5856A83C" w14:textId="77777777" w:rsidR="00DD13BF" w:rsidRPr="006B7178" w:rsidRDefault="00DD13BF" w:rsidP="00DD13BF">
      <w:pPr>
        <w:ind w:left="1349"/>
      </w:pPr>
    </w:p>
    <w:p w14:paraId="0F80F5F8" w14:textId="77777777" w:rsidR="00DD13BF" w:rsidRDefault="00DD13BF" w:rsidP="00DD13BF">
      <w:pPr>
        <w:ind w:left="1349"/>
        <w:rPr>
          <w:spacing w:val="-2"/>
        </w:rPr>
      </w:pPr>
      <w:r>
        <w:t>Measures to protect equality, inclusion and non-discrimination:</w:t>
      </w:r>
    </w:p>
    <w:p w14:paraId="6168DB59"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31451DDD" w14:textId="77777777" w:rsidTr="00355A56">
        <w:tc>
          <w:tcPr>
            <w:tcW w:w="12715" w:type="dxa"/>
          </w:tcPr>
          <w:p w14:paraId="0EB3BE46" w14:textId="77777777" w:rsidR="00DD13BF" w:rsidRPr="00DC07A7" w:rsidRDefault="00DD13BF" w:rsidP="00355A56">
            <w:pPr>
              <w:jc w:val="both"/>
              <w:rPr>
                <w:rFonts w:cstheme="minorHAnsi"/>
              </w:rPr>
            </w:pPr>
            <w:r>
              <w:t xml:space="preserve">The principles of gender equality, inclusion and non-discrimination will be respected at all levels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the Procedural rules for providing the horizontal enabling condition “Effective application and implementation of the Charter of Fundamental Rights” and the Action Programme for Persons with Disabilities 2022–2030, and other relevant documents will also be taken into account. This principle will also be taken into account within the framework of the management and control system. </w:t>
            </w:r>
          </w:p>
          <w:p w14:paraId="20974E36" w14:textId="77777777" w:rsidR="00DD13BF" w:rsidRDefault="00DD13BF" w:rsidP="00355A56">
            <w:pPr>
              <w:jc w:val="both"/>
              <w:rPr>
                <w:rFonts w:cstheme="minorHAnsi"/>
              </w:rPr>
            </w:pPr>
          </w:p>
          <w:p w14:paraId="67A02BBB" w14:textId="77777777" w:rsidR="00DD13BF" w:rsidRDefault="00DD13BF" w:rsidP="00355A56">
            <w:pPr>
              <w:jc w:val="both"/>
              <w:rPr>
                <w:rFonts w:cstheme="minorHAnsi"/>
              </w:rPr>
            </w:pPr>
            <w:r>
              <w:t>The measure of sports and recreational and preventive programmes to strengthen health and activate all generations will reduce health inequalities.</w:t>
            </w:r>
          </w:p>
          <w:p w14:paraId="06BA9508" w14:textId="77777777" w:rsidR="00DD13BF" w:rsidRDefault="00DD13BF" w:rsidP="00355A56">
            <w:pPr>
              <w:jc w:val="both"/>
            </w:pPr>
          </w:p>
          <w:p w14:paraId="3EF3FD31" w14:textId="77777777" w:rsidR="00DD13BF" w:rsidRPr="00B3569A" w:rsidRDefault="00DD13BF" w:rsidP="00355A56">
            <w:pPr>
              <w:jc w:val="both"/>
              <w:rPr>
                <w:rFonts w:cstheme="minorHAnsi"/>
              </w:rPr>
            </w:pPr>
            <w:r>
              <w:t xml:space="preserve">All interested parties regardless of personal circumstances will be involved in measures to improve the quality of services provided by social care facilities and measures to support the transition from institutional care to home-care, and preventive measures in health care. The most vulnerable groups of the population will be included in the measures in a way that takes into account their specific needs and the aspect of gender, and that they are approached in their local environments and in accordance with the principles of deinstitutionalisation and international and EU documents in the field of the rights of persons with disabilities. Non-discrimination and equal opportunities for people with disabilities will also be ensured horizontally, as the provision of accessibility for people with disabilities will be promoted when selecting projects. The measures contribute to the attainment of the third target of the EPSR – “social protection and inclusion”. In accordance with the EC recommendation from the EPSR Action Plan, measures are used to strengthen the social security network and access to support services for all who need them. The measure to raise the quality of service provision in social care facilities is one of two key activities (together with the measure of multigenerational centres under the SO ESO4.12) in the field of social care for the implementation of the Council Recommendation </w:t>
            </w:r>
            <w:r>
              <w:lastRenderedPageBreak/>
              <w:t>establishing a European Child Guarantee, which is Principle 11 of the EPSR on protection from poverty.</w:t>
            </w:r>
          </w:p>
        </w:tc>
      </w:tr>
    </w:tbl>
    <w:p w14:paraId="439771B0" w14:textId="77777777" w:rsidR="00DD13BF" w:rsidRDefault="00DD13BF" w:rsidP="00DD13BF">
      <w:pPr>
        <w:rPr>
          <w:sz w:val="20"/>
        </w:rPr>
      </w:pPr>
    </w:p>
    <w:p w14:paraId="23F154F1" w14:textId="77777777" w:rsidR="00DD13BF" w:rsidRDefault="00DD13BF" w:rsidP="00DD13BF">
      <w:pPr>
        <w:ind w:left="1415"/>
        <w:rPr>
          <w:spacing w:val="-4"/>
        </w:rPr>
      </w:pPr>
      <w:r>
        <w:t>Indication of the specific territories targeted, including the planned use of territorial tools:</w:t>
      </w:r>
    </w:p>
    <w:p w14:paraId="7C545985"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228B4BF6" w14:textId="77777777" w:rsidTr="00355A56">
        <w:tc>
          <w:tcPr>
            <w:tcW w:w="12763" w:type="dxa"/>
          </w:tcPr>
          <w:p w14:paraId="4AFB3774" w14:textId="77777777" w:rsidR="00DD13BF" w:rsidRPr="00A373B6" w:rsidRDefault="00DD13BF" w:rsidP="00355A56">
            <w:pPr>
              <w:jc w:val="both"/>
            </w:pPr>
            <w:r>
              <w:t>The interregional, cross-border and transnational actions are not foreseen under this specific objective, as these are investment measures in public health care institutions that operate in the territory of the Republic of Slovenia and are intended primarily for residents of Slovenia.</w:t>
            </w:r>
          </w:p>
        </w:tc>
      </w:tr>
    </w:tbl>
    <w:p w14:paraId="54EDE8A5" w14:textId="77777777" w:rsidR="00DD13BF" w:rsidRDefault="00DD13BF" w:rsidP="00DD13BF">
      <w:pPr>
        <w:rPr>
          <w:sz w:val="18"/>
        </w:rPr>
      </w:pPr>
    </w:p>
    <w:p w14:paraId="4602D855" w14:textId="77777777" w:rsidR="00DD13BF" w:rsidRDefault="00DD13BF" w:rsidP="00DD13BF">
      <w:pPr>
        <w:ind w:left="1415"/>
      </w:pPr>
      <w:r>
        <w:t>The interregional, cross-border and transnational actions:</w:t>
      </w:r>
    </w:p>
    <w:p w14:paraId="76321F46" w14:textId="77777777" w:rsidR="00DD13BF" w:rsidRDefault="00DD13BF" w:rsidP="00DD13BF">
      <w:pPr>
        <w:jc w:val="both"/>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E115D41" w14:textId="77777777" w:rsidTr="00355A56">
        <w:trPr>
          <w:trHeight w:val="272"/>
        </w:trPr>
        <w:tc>
          <w:tcPr>
            <w:tcW w:w="12763" w:type="dxa"/>
          </w:tcPr>
          <w:p w14:paraId="7BE6BDEE" w14:textId="77777777" w:rsidR="00DD13BF" w:rsidRPr="00B3569A" w:rsidRDefault="00DD13BF" w:rsidP="00355A56">
            <w:pPr>
              <w:jc w:val="both"/>
              <w:rPr>
                <w:rFonts w:cstheme="minorHAnsi"/>
              </w:rPr>
            </w:pPr>
            <w:r>
              <w:t>The interregional, cross-border and transnational actions are not foreseen under this specific objective, as these are systemic investment measures and are intended primarily for residents of the entire Slovenia.</w:t>
            </w:r>
          </w:p>
        </w:tc>
      </w:tr>
    </w:tbl>
    <w:p w14:paraId="5B3361F3" w14:textId="77777777" w:rsidR="00DD13BF" w:rsidRDefault="00DD13BF" w:rsidP="00DD13BF">
      <w:pPr>
        <w:rPr>
          <w:sz w:val="17"/>
        </w:rPr>
      </w:pPr>
    </w:p>
    <w:p w14:paraId="5D419139" w14:textId="77777777" w:rsidR="00DD13BF" w:rsidRDefault="00DD13BF" w:rsidP="00DD13BF">
      <w:pPr>
        <w:ind w:left="1415"/>
        <w:rPr>
          <w:spacing w:val="-3"/>
        </w:rPr>
      </w:pPr>
      <w:r>
        <w:t>Planned use of financial instruments:</w:t>
      </w:r>
    </w:p>
    <w:p w14:paraId="376D31C4"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6E258CC7" w14:textId="77777777" w:rsidTr="00355A56">
        <w:tc>
          <w:tcPr>
            <w:tcW w:w="12758" w:type="dxa"/>
          </w:tcPr>
          <w:p w14:paraId="731B01EB" w14:textId="77777777" w:rsidR="00DD13BF" w:rsidRPr="00B3569A" w:rsidRDefault="00DD13BF" w:rsidP="00355A56">
            <w:pPr>
              <w:jc w:val="both"/>
              <w:rPr>
                <w:rFonts w:cstheme="minorHAnsi"/>
              </w:rPr>
            </w:pPr>
            <w:r>
              <w:t>In accordance with the results of the analysis of the preliminary assessment of market needs and financing gaps in the market for the implementation of financial instruments in the 2021–2027 programming period (July 2022), the use of financial instruments under the stated specific objective is not foreseen. The use of grants is foreseen, as these are systemic measures implemented by public institutions, whereby the proposed measures do not generate revenues or savings, due to which the use of financial instruments is not sensible or appropriate.</w:t>
            </w:r>
          </w:p>
        </w:tc>
      </w:tr>
    </w:tbl>
    <w:p w14:paraId="3196AA9A" w14:textId="77777777" w:rsidR="00DD13BF" w:rsidRDefault="00DD13BF" w:rsidP="00DD13BF">
      <w:pPr>
        <w:rPr>
          <w:sz w:val="20"/>
        </w:rPr>
      </w:pPr>
    </w:p>
    <w:p w14:paraId="7C1B969B" w14:textId="77777777" w:rsidR="00DD13BF" w:rsidRDefault="00DD13BF" w:rsidP="00DD13BF">
      <w:pPr>
        <w:rPr>
          <w:sz w:val="20"/>
        </w:rPr>
      </w:pPr>
    </w:p>
    <w:p w14:paraId="496DAF25" w14:textId="77777777" w:rsidR="00DD13BF" w:rsidRDefault="00DD13BF" w:rsidP="00DD13BF">
      <w:pPr>
        <w:pStyle w:val="Naslov5"/>
        <w:spacing w:before="0"/>
      </w:pPr>
      <w:r>
        <w:t>Indicators</w:t>
      </w:r>
    </w:p>
    <w:p w14:paraId="0FE4FB95" w14:textId="77777777" w:rsidR="00DD13BF" w:rsidRDefault="00DD13BF" w:rsidP="00DD13BF"/>
    <w:p w14:paraId="5E942E23" w14:textId="77777777" w:rsidR="00DD13BF" w:rsidRDefault="00DD13BF" w:rsidP="00DD13BF">
      <w:pPr>
        <w:ind w:left="379"/>
      </w:pPr>
      <w:r>
        <w:t>Table 2: Output indicators</w:t>
      </w:r>
    </w:p>
    <w:p w14:paraId="75BAD897" w14:textId="77777777" w:rsidR="00DD13BF" w:rsidRDefault="00DD13BF" w:rsidP="00DD13BF">
      <w:pPr>
        <w:rPr>
          <w:sz w:val="21"/>
        </w:rPr>
      </w:pPr>
    </w:p>
    <w:tbl>
      <w:tblPr>
        <w:tblStyle w:val="NormalTable0"/>
        <w:tblW w:w="13883"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25"/>
        <w:gridCol w:w="1276"/>
        <w:gridCol w:w="708"/>
        <w:gridCol w:w="1701"/>
        <w:gridCol w:w="778"/>
        <w:gridCol w:w="4467"/>
        <w:gridCol w:w="1276"/>
        <w:gridCol w:w="1418"/>
        <w:gridCol w:w="1134"/>
      </w:tblGrid>
      <w:tr w:rsidR="00DD13BF" w14:paraId="238643C6" w14:textId="77777777" w:rsidTr="00355A56">
        <w:trPr>
          <w:trHeight w:val="254"/>
        </w:trPr>
        <w:tc>
          <w:tcPr>
            <w:tcW w:w="1125" w:type="dxa"/>
            <w:vAlign w:val="center"/>
          </w:tcPr>
          <w:p w14:paraId="1C141DEE" w14:textId="77777777" w:rsidR="00DD13BF" w:rsidRDefault="00DD13BF" w:rsidP="00355A56">
            <w:pPr>
              <w:pStyle w:val="TableParagraph"/>
              <w:ind w:right="82"/>
            </w:pPr>
            <w:r>
              <w:t>Priority</w:t>
            </w:r>
          </w:p>
        </w:tc>
        <w:tc>
          <w:tcPr>
            <w:tcW w:w="1276" w:type="dxa"/>
            <w:vAlign w:val="center"/>
          </w:tcPr>
          <w:p w14:paraId="4ACCFDB7" w14:textId="77777777" w:rsidR="00DD13BF" w:rsidRDefault="00DD13BF" w:rsidP="00355A56">
            <w:pPr>
              <w:pStyle w:val="TableParagraph"/>
            </w:pPr>
            <w:r>
              <w:t>Specific objective</w:t>
            </w:r>
          </w:p>
        </w:tc>
        <w:tc>
          <w:tcPr>
            <w:tcW w:w="708" w:type="dxa"/>
            <w:vAlign w:val="center"/>
          </w:tcPr>
          <w:p w14:paraId="352E2F8C" w14:textId="77777777" w:rsidR="00DD13BF" w:rsidRDefault="00DD13BF" w:rsidP="00355A56">
            <w:pPr>
              <w:pStyle w:val="TableParagraph"/>
            </w:pPr>
            <w:r>
              <w:t>Fund</w:t>
            </w:r>
          </w:p>
        </w:tc>
        <w:tc>
          <w:tcPr>
            <w:tcW w:w="1701" w:type="dxa"/>
            <w:vAlign w:val="center"/>
          </w:tcPr>
          <w:p w14:paraId="47E2CE13" w14:textId="77777777" w:rsidR="00DD13BF" w:rsidRDefault="00DD13BF" w:rsidP="00355A56">
            <w:pPr>
              <w:pStyle w:val="TableParagraph"/>
            </w:pPr>
            <w:r>
              <w:t>Category of region</w:t>
            </w:r>
          </w:p>
        </w:tc>
        <w:tc>
          <w:tcPr>
            <w:tcW w:w="778" w:type="dxa"/>
            <w:vAlign w:val="center"/>
          </w:tcPr>
          <w:p w14:paraId="63087BED" w14:textId="77777777" w:rsidR="00DD13BF" w:rsidRPr="00347461" w:rsidRDefault="00DD13BF" w:rsidP="00355A56">
            <w:pPr>
              <w:pStyle w:val="TableParagraph"/>
              <w:rPr>
                <w:sz w:val="20"/>
              </w:rPr>
            </w:pPr>
            <w:r>
              <w:t>ID</w:t>
            </w:r>
          </w:p>
        </w:tc>
        <w:tc>
          <w:tcPr>
            <w:tcW w:w="4467" w:type="dxa"/>
            <w:vAlign w:val="center"/>
          </w:tcPr>
          <w:p w14:paraId="578728CF" w14:textId="77777777" w:rsidR="00DD13BF" w:rsidRPr="00347461" w:rsidRDefault="00DD13BF" w:rsidP="00355A56">
            <w:pPr>
              <w:pStyle w:val="TableParagraph"/>
              <w:rPr>
                <w:sz w:val="20"/>
              </w:rPr>
            </w:pPr>
            <w:r>
              <w:t>Indicators</w:t>
            </w:r>
          </w:p>
        </w:tc>
        <w:tc>
          <w:tcPr>
            <w:tcW w:w="1276" w:type="dxa"/>
            <w:vAlign w:val="center"/>
          </w:tcPr>
          <w:p w14:paraId="773574BF" w14:textId="77777777" w:rsidR="00DD13BF" w:rsidRPr="00347461" w:rsidRDefault="00DD13BF" w:rsidP="00355A56">
            <w:pPr>
              <w:pStyle w:val="TableParagraph"/>
              <w:rPr>
                <w:sz w:val="20"/>
              </w:rPr>
            </w:pPr>
            <w:r>
              <w:t>Measurement unit</w:t>
            </w:r>
          </w:p>
        </w:tc>
        <w:tc>
          <w:tcPr>
            <w:tcW w:w="1418" w:type="dxa"/>
            <w:vAlign w:val="center"/>
          </w:tcPr>
          <w:p w14:paraId="58CCC4A3" w14:textId="77777777" w:rsidR="00DD13BF" w:rsidRPr="00347461" w:rsidRDefault="00DD13BF" w:rsidP="00355A56">
            <w:pPr>
              <w:pStyle w:val="TableParagraph"/>
              <w:rPr>
                <w:sz w:val="20"/>
              </w:rPr>
            </w:pPr>
            <w:r>
              <w:t>Milestone (2014)</w:t>
            </w:r>
          </w:p>
        </w:tc>
        <w:tc>
          <w:tcPr>
            <w:tcW w:w="1134" w:type="dxa"/>
            <w:vAlign w:val="center"/>
          </w:tcPr>
          <w:p w14:paraId="42A087CB" w14:textId="77777777" w:rsidR="00DD13BF" w:rsidRDefault="00DD13BF" w:rsidP="00355A56">
            <w:pPr>
              <w:pStyle w:val="TableParagraph"/>
            </w:pPr>
            <w:r>
              <w:t>Target (2029)</w:t>
            </w:r>
          </w:p>
        </w:tc>
      </w:tr>
      <w:tr w:rsidR="00DD13BF" w14:paraId="5564E9EB" w14:textId="77777777" w:rsidTr="00355A56">
        <w:trPr>
          <w:trHeight w:val="367"/>
        </w:trPr>
        <w:tc>
          <w:tcPr>
            <w:tcW w:w="1125" w:type="dxa"/>
          </w:tcPr>
          <w:p w14:paraId="70E2D247" w14:textId="77777777" w:rsidR="00DD13BF" w:rsidRDefault="00DD13BF" w:rsidP="00355A56">
            <w:pPr>
              <w:pStyle w:val="TableParagraph"/>
              <w:rPr>
                <w:sz w:val="20"/>
              </w:rPr>
            </w:pPr>
            <w:r>
              <w:rPr>
                <w:sz w:val="20"/>
              </w:rPr>
              <w:t>7</w:t>
            </w:r>
          </w:p>
        </w:tc>
        <w:tc>
          <w:tcPr>
            <w:tcW w:w="1276" w:type="dxa"/>
          </w:tcPr>
          <w:p w14:paraId="48A9D558" w14:textId="77777777" w:rsidR="00DD13BF" w:rsidRPr="00347461" w:rsidRDefault="00DD13BF" w:rsidP="00355A56">
            <w:pPr>
              <w:pStyle w:val="TableParagraph"/>
              <w:rPr>
                <w:sz w:val="20"/>
              </w:rPr>
            </w:pPr>
            <w:r>
              <w:rPr>
                <w:color w:val="000000"/>
                <w:sz w:val="20"/>
              </w:rPr>
              <w:t>ESO4.11</w:t>
            </w:r>
          </w:p>
        </w:tc>
        <w:tc>
          <w:tcPr>
            <w:tcW w:w="708" w:type="dxa"/>
          </w:tcPr>
          <w:p w14:paraId="366A6C02" w14:textId="77777777" w:rsidR="00DD13BF" w:rsidRDefault="00DD13BF" w:rsidP="00355A56">
            <w:pPr>
              <w:pStyle w:val="TableParagraph"/>
              <w:rPr>
                <w:sz w:val="20"/>
              </w:rPr>
            </w:pPr>
            <w:r>
              <w:rPr>
                <w:sz w:val="20"/>
              </w:rPr>
              <w:t>ESF+</w:t>
            </w:r>
          </w:p>
        </w:tc>
        <w:tc>
          <w:tcPr>
            <w:tcW w:w="1701" w:type="dxa"/>
          </w:tcPr>
          <w:p w14:paraId="2BBE56CE" w14:textId="77777777" w:rsidR="00DD13BF" w:rsidRDefault="00DD13BF" w:rsidP="00355A56">
            <w:pPr>
              <w:pStyle w:val="TableParagraph"/>
              <w:rPr>
                <w:sz w:val="20"/>
              </w:rPr>
            </w:pPr>
            <w:r>
              <w:rPr>
                <w:sz w:val="20"/>
              </w:rPr>
              <w:t>Less developed</w:t>
            </w:r>
          </w:p>
        </w:tc>
        <w:tc>
          <w:tcPr>
            <w:tcW w:w="778" w:type="dxa"/>
          </w:tcPr>
          <w:p w14:paraId="4014DAA7" w14:textId="77777777" w:rsidR="00DD13BF" w:rsidRPr="00347461" w:rsidRDefault="00DD13BF" w:rsidP="00355A56">
            <w:pPr>
              <w:pStyle w:val="TableParagraph"/>
              <w:rPr>
                <w:sz w:val="20"/>
              </w:rPr>
            </w:pPr>
            <w:r>
              <w:rPr>
                <w:sz w:val="20"/>
              </w:rPr>
              <w:t>EECO18</w:t>
            </w:r>
          </w:p>
        </w:tc>
        <w:tc>
          <w:tcPr>
            <w:tcW w:w="4467" w:type="dxa"/>
          </w:tcPr>
          <w:p w14:paraId="7B150CE2" w14:textId="77777777" w:rsidR="00DD13BF" w:rsidRPr="0069176C" w:rsidRDefault="00DD13BF" w:rsidP="00355A56">
            <w:pPr>
              <w:pStyle w:val="TableParagraph"/>
              <w:rPr>
                <w:sz w:val="20"/>
              </w:rPr>
            </w:pPr>
            <w:r>
              <w:rPr>
                <w:color w:val="000000"/>
                <w:sz w:val="20"/>
              </w:rPr>
              <w:t>Number of public administrations or public services supported</w:t>
            </w:r>
          </w:p>
        </w:tc>
        <w:tc>
          <w:tcPr>
            <w:tcW w:w="1276" w:type="dxa"/>
          </w:tcPr>
          <w:p w14:paraId="719C4098" w14:textId="77777777" w:rsidR="00DD13BF" w:rsidRPr="0069176C" w:rsidRDefault="00DD13BF" w:rsidP="00355A56">
            <w:pPr>
              <w:pStyle w:val="TableParagraph"/>
              <w:rPr>
                <w:sz w:val="20"/>
              </w:rPr>
            </w:pPr>
            <w:r>
              <w:rPr>
                <w:color w:val="000000"/>
                <w:sz w:val="20"/>
              </w:rPr>
              <w:t>Entities</w:t>
            </w:r>
          </w:p>
        </w:tc>
        <w:tc>
          <w:tcPr>
            <w:tcW w:w="1418" w:type="dxa"/>
          </w:tcPr>
          <w:p w14:paraId="12670939" w14:textId="77777777" w:rsidR="00DD13BF" w:rsidRPr="00486BED" w:rsidRDefault="00DD13BF" w:rsidP="00355A56">
            <w:pPr>
              <w:pStyle w:val="TableParagraph"/>
              <w:rPr>
                <w:sz w:val="20"/>
              </w:rPr>
            </w:pPr>
            <w:r>
              <w:rPr>
                <w:sz w:val="20"/>
              </w:rPr>
              <w:t>11</w:t>
            </w:r>
          </w:p>
        </w:tc>
        <w:tc>
          <w:tcPr>
            <w:tcW w:w="1134" w:type="dxa"/>
          </w:tcPr>
          <w:p w14:paraId="15D988E1" w14:textId="77777777" w:rsidR="00DD13BF" w:rsidRPr="00486BED" w:rsidRDefault="00DD13BF" w:rsidP="00355A56">
            <w:pPr>
              <w:pStyle w:val="TableParagraph"/>
              <w:rPr>
                <w:sz w:val="20"/>
              </w:rPr>
            </w:pPr>
            <w:r>
              <w:rPr>
                <w:sz w:val="20"/>
              </w:rPr>
              <w:t>107</w:t>
            </w:r>
          </w:p>
        </w:tc>
      </w:tr>
      <w:tr w:rsidR="00DD13BF" w14:paraId="0A3F5F89" w14:textId="77777777" w:rsidTr="00355A56">
        <w:trPr>
          <w:trHeight w:val="367"/>
        </w:trPr>
        <w:tc>
          <w:tcPr>
            <w:tcW w:w="1125" w:type="dxa"/>
          </w:tcPr>
          <w:p w14:paraId="1B6EAF78" w14:textId="77777777" w:rsidR="00DD13BF" w:rsidRDefault="00DD13BF" w:rsidP="00355A56">
            <w:pPr>
              <w:pStyle w:val="TableParagraph"/>
              <w:rPr>
                <w:sz w:val="20"/>
              </w:rPr>
            </w:pPr>
            <w:r>
              <w:rPr>
                <w:sz w:val="20"/>
              </w:rPr>
              <w:t>7</w:t>
            </w:r>
          </w:p>
        </w:tc>
        <w:tc>
          <w:tcPr>
            <w:tcW w:w="1276" w:type="dxa"/>
          </w:tcPr>
          <w:p w14:paraId="004E52EF" w14:textId="77777777" w:rsidR="00DD13BF" w:rsidRPr="00347461" w:rsidRDefault="00DD13BF" w:rsidP="00355A56">
            <w:pPr>
              <w:pStyle w:val="TableParagraph"/>
              <w:rPr>
                <w:sz w:val="20"/>
              </w:rPr>
            </w:pPr>
            <w:r>
              <w:rPr>
                <w:color w:val="000000"/>
                <w:sz w:val="20"/>
              </w:rPr>
              <w:t>ESO4.11</w:t>
            </w:r>
          </w:p>
        </w:tc>
        <w:tc>
          <w:tcPr>
            <w:tcW w:w="708" w:type="dxa"/>
          </w:tcPr>
          <w:p w14:paraId="57D0411D" w14:textId="77777777" w:rsidR="00DD13BF" w:rsidRDefault="00DD13BF" w:rsidP="00355A56">
            <w:pPr>
              <w:pStyle w:val="TableParagraph"/>
              <w:rPr>
                <w:sz w:val="20"/>
              </w:rPr>
            </w:pPr>
            <w:r>
              <w:rPr>
                <w:sz w:val="20"/>
              </w:rPr>
              <w:t>ESF+</w:t>
            </w:r>
          </w:p>
        </w:tc>
        <w:tc>
          <w:tcPr>
            <w:tcW w:w="1701" w:type="dxa"/>
          </w:tcPr>
          <w:p w14:paraId="6B5EC868" w14:textId="77777777" w:rsidR="00DD13BF" w:rsidRDefault="00DD13BF" w:rsidP="00355A56">
            <w:pPr>
              <w:pStyle w:val="TableParagraph"/>
              <w:rPr>
                <w:sz w:val="20"/>
              </w:rPr>
            </w:pPr>
            <w:r>
              <w:rPr>
                <w:sz w:val="20"/>
              </w:rPr>
              <w:t>More developed</w:t>
            </w:r>
          </w:p>
        </w:tc>
        <w:tc>
          <w:tcPr>
            <w:tcW w:w="778" w:type="dxa"/>
          </w:tcPr>
          <w:p w14:paraId="2E3B21F6" w14:textId="77777777" w:rsidR="00DD13BF" w:rsidRPr="00347461" w:rsidRDefault="00DD13BF" w:rsidP="00355A56">
            <w:pPr>
              <w:pStyle w:val="TableParagraph"/>
              <w:rPr>
                <w:sz w:val="20"/>
              </w:rPr>
            </w:pPr>
            <w:r>
              <w:rPr>
                <w:sz w:val="20"/>
              </w:rPr>
              <w:t>EECO18</w:t>
            </w:r>
          </w:p>
        </w:tc>
        <w:tc>
          <w:tcPr>
            <w:tcW w:w="4467" w:type="dxa"/>
          </w:tcPr>
          <w:p w14:paraId="2D92AEAA" w14:textId="77777777" w:rsidR="00DD13BF" w:rsidRPr="0069176C" w:rsidRDefault="00DD13BF" w:rsidP="00355A56">
            <w:pPr>
              <w:pStyle w:val="TableParagraph"/>
              <w:rPr>
                <w:sz w:val="20"/>
              </w:rPr>
            </w:pPr>
            <w:r>
              <w:rPr>
                <w:color w:val="000000"/>
                <w:sz w:val="20"/>
              </w:rPr>
              <w:t>Number of public administrations or public services supported</w:t>
            </w:r>
          </w:p>
        </w:tc>
        <w:tc>
          <w:tcPr>
            <w:tcW w:w="1276" w:type="dxa"/>
          </w:tcPr>
          <w:p w14:paraId="6F43707E" w14:textId="77777777" w:rsidR="00DD13BF" w:rsidRPr="0069176C" w:rsidRDefault="00DD13BF" w:rsidP="00355A56">
            <w:pPr>
              <w:pStyle w:val="TableParagraph"/>
              <w:rPr>
                <w:sz w:val="20"/>
              </w:rPr>
            </w:pPr>
            <w:r>
              <w:rPr>
                <w:color w:val="000000"/>
                <w:sz w:val="20"/>
              </w:rPr>
              <w:t>Entities</w:t>
            </w:r>
          </w:p>
        </w:tc>
        <w:tc>
          <w:tcPr>
            <w:tcW w:w="1418" w:type="dxa"/>
          </w:tcPr>
          <w:p w14:paraId="093F8F95" w14:textId="77777777" w:rsidR="00DD13BF" w:rsidRPr="00486BED" w:rsidRDefault="00DD13BF" w:rsidP="00355A56">
            <w:pPr>
              <w:pStyle w:val="TableParagraph"/>
              <w:rPr>
                <w:sz w:val="20"/>
              </w:rPr>
            </w:pPr>
            <w:r>
              <w:rPr>
                <w:sz w:val="20"/>
              </w:rPr>
              <w:t>6</w:t>
            </w:r>
          </w:p>
        </w:tc>
        <w:tc>
          <w:tcPr>
            <w:tcW w:w="1134" w:type="dxa"/>
          </w:tcPr>
          <w:p w14:paraId="6673F9B4" w14:textId="77777777" w:rsidR="00DD13BF" w:rsidRPr="00486BED" w:rsidRDefault="00DD13BF" w:rsidP="00355A56">
            <w:pPr>
              <w:pStyle w:val="TableParagraph"/>
              <w:rPr>
                <w:sz w:val="20"/>
              </w:rPr>
            </w:pPr>
            <w:r>
              <w:rPr>
                <w:sz w:val="20"/>
              </w:rPr>
              <w:t>63</w:t>
            </w:r>
          </w:p>
        </w:tc>
      </w:tr>
      <w:tr w:rsidR="00DD13BF" w14:paraId="5196CCB0" w14:textId="77777777" w:rsidTr="00355A56">
        <w:trPr>
          <w:trHeight w:val="367"/>
        </w:trPr>
        <w:tc>
          <w:tcPr>
            <w:tcW w:w="1125" w:type="dxa"/>
          </w:tcPr>
          <w:p w14:paraId="3C40C8E3" w14:textId="77777777" w:rsidR="00DD13BF" w:rsidRDefault="00DD13BF" w:rsidP="00355A56">
            <w:pPr>
              <w:pStyle w:val="TableParagraph"/>
              <w:rPr>
                <w:sz w:val="20"/>
              </w:rPr>
            </w:pPr>
            <w:r>
              <w:rPr>
                <w:sz w:val="20"/>
              </w:rPr>
              <w:t>7</w:t>
            </w:r>
          </w:p>
        </w:tc>
        <w:tc>
          <w:tcPr>
            <w:tcW w:w="1276" w:type="dxa"/>
          </w:tcPr>
          <w:p w14:paraId="1C677632" w14:textId="77777777" w:rsidR="00DD13BF" w:rsidRDefault="00DD13BF" w:rsidP="00355A56">
            <w:pPr>
              <w:pStyle w:val="TableParagraph"/>
              <w:rPr>
                <w:sz w:val="20"/>
              </w:rPr>
            </w:pPr>
            <w:r>
              <w:rPr>
                <w:color w:val="000000"/>
                <w:sz w:val="20"/>
              </w:rPr>
              <w:t>ESO4.11</w:t>
            </w:r>
          </w:p>
        </w:tc>
        <w:tc>
          <w:tcPr>
            <w:tcW w:w="708" w:type="dxa"/>
          </w:tcPr>
          <w:p w14:paraId="482E2BD0" w14:textId="77777777" w:rsidR="00DD13BF" w:rsidRDefault="00DD13BF" w:rsidP="00355A56">
            <w:pPr>
              <w:pStyle w:val="TableParagraph"/>
              <w:rPr>
                <w:sz w:val="20"/>
              </w:rPr>
            </w:pPr>
            <w:r>
              <w:rPr>
                <w:sz w:val="20"/>
              </w:rPr>
              <w:t>ESF+</w:t>
            </w:r>
          </w:p>
        </w:tc>
        <w:tc>
          <w:tcPr>
            <w:tcW w:w="1701" w:type="dxa"/>
          </w:tcPr>
          <w:p w14:paraId="2E53A7A0" w14:textId="77777777" w:rsidR="00DD13BF" w:rsidRDefault="00DD13BF" w:rsidP="00355A56">
            <w:pPr>
              <w:pStyle w:val="TableParagraph"/>
              <w:rPr>
                <w:sz w:val="20"/>
              </w:rPr>
            </w:pPr>
            <w:r>
              <w:rPr>
                <w:sz w:val="20"/>
              </w:rPr>
              <w:t>Less developed</w:t>
            </w:r>
          </w:p>
        </w:tc>
        <w:tc>
          <w:tcPr>
            <w:tcW w:w="778" w:type="dxa"/>
          </w:tcPr>
          <w:p w14:paraId="5A526F87" w14:textId="77777777" w:rsidR="00DD13BF" w:rsidRDefault="00DD13BF" w:rsidP="00355A56">
            <w:pPr>
              <w:pStyle w:val="TableParagraph"/>
              <w:rPr>
                <w:sz w:val="20"/>
              </w:rPr>
            </w:pPr>
            <w:r>
              <w:rPr>
                <w:sz w:val="20"/>
              </w:rPr>
              <w:t>EECO08</w:t>
            </w:r>
          </w:p>
        </w:tc>
        <w:tc>
          <w:tcPr>
            <w:tcW w:w="4467" w:type="dxa"/>
          </w:tcPr>
          <w:p w14:paraId="278D760C" w14:textId="77777777" w:rsidR="00DD13BF" w:rsidRPr="0069176C" w:rsidRDefault="00DD13BF" w:rsidP="00355A56">
            <w:pPr>
              <w:pStyle w:val="TableParagraph"/>
              <w:rPr>
                <w:rFonts w:cstheme="minorHAnsi"/>
                <w:sz w:val="20"/>
                <w:szCs w:val="18"/>
              </w:rPr>
            </w:pPr>
            <w:r>
              <w:rPr>
                <w:sz w:val="20"/>
              </w:rPr>
              <w:t>Participants above 54 years of age</w:t>
            </w:r>
          </w:p>
        </w:tc>
        <w:tc>
          <w:tcPr>
            <w:tcW w:w="1276" w:type="dxa"/>
          </w:tcPr>
          <w:p w14:paraId="78F66254" w14:textId="77777777" w:rsidR="00DD13BF" w:rsidRPr="0069176C" w:rsidRDefault="00DD13BF" w:rsidP="00355A56">
            <w:pPr>
              <w:pStyle w:val="TableParagraph"/>
              <w:rPr>
                <w:rFonts w:cstheme="minorHAnsi"/>
                <w:sz w:val="20"/>
                <w:szCs w:val="18"/>
              </w:rPr>
            </w:pPr>
            <w:r>
              <w:rPr>
                <w:color w:val="000000"/>
                <w:sz w:val="20"/>
              </w:rPr>
              <w:t>Persons</w:t>
            </w:r>
          </w:p>
        </w:tc>
        <w:tc>
          <w:tcPr>
            <w:tcW w:w="1418" w:type="dxa"/>
          </w:tcPr>
          <w:p w14:paraId="1F2724A8" w14:textId="77777777" w:rsidR="00DD13BF" w:rsidRPr="00486BED" w:rsidRDefault="00DD13BF" w:rsidP="00355A56">
            <w:pPr>
              <w:pStyle w:val="TableParagraph"/>
              <w:rPr>
                <w:sz w:val="20"/>
              </w:rPr>
            </w:pPr>
            <w:r>
              <w:rPr>
                <w:sz w:val="20"/>
              </w:rPr>
              <w:t>0</w:t>
            </w:r>
          </w:p>
        </w:tc>
        <w:tc>
          <w:tcPr>
            <w:tcW w:w="1134" w:type="dxa"/>
          </w:tcPr>
          <w:p w14:paraId="3BB6097D" w14:textId="77777777" w:rsidR="00DD13BF" w:rsidRPr="00486BED" w:rsidRDefault="00DD13BF" w:rsidP="00355A56">
            <w:pPr>
              <w:pStyle w:val="TableParagraph"/>
              <w:rPr>
                <w:sz w:val="20"/>
              </w:rPr>
            </w:pPr>
            <w:r>
              <w:rPr>
                <w:sz w:val="20"/>
              </w:rPr>
              <w:t>3,000</w:t>
            </w:r>
          </w:p>
        </w:tc>
      </w:tr>
      <w:tr w:rsidR="00DD13BF" w14:paraId="235FA10D" w14:textId="77777777" w:rsidTr="00355A56">
        <w:trPr>
          <w:trHeight w:val="367"/>
        </w:trPr>
        <w:tc>
          <w:tcPr>
            <w:tcW w:w="1125" w:type="dxa"/>
          </w:tcPr>
          <w:p w14:paraId="21375255" w14:textId="77777777" w:rsidR="00DD13BF" w:rsidRDefault="00DD13BF" w:rsidP="00355A56">
            <w:pPr>
              <w:pStyle w:val="TableParagraph"/>
              <w:rPr>
                <w:sz w:val="20"/>
              </w:rPr>
            </w:pPr>
            <w:r>
              <w:rPr>
                <w:sz w:val="20"/>
              </w:rPr>
              <w:t>7</w:t>
            </w:r>
          </w:p>
        </w:tc>
        <w:tc>
          <w:tcPr>
            <w:tcW w:w="1276" w:type="dxa"/>
          </w:tcPr>
          <w:p w14:paraId="625E4AE9" w14:textId="77777777" w:rsidR="00DD13BF" w:rsidRDefault="00DD13BF" w:rsidP="00355A56">
            <w:pPr>
              <w:pStyle w:val="TableParagraph"/>
              <w:rPr>
                <w:sz w:val="20"/>
              </w:rPr>
            </w:pPr>
            <w:r>
              <w:rPr>
                <w:color w:val="000000"/>
                <w:sz w:val="20"/>
              </w:rPr>
              <w:t>ESO4.11</w:t>
            </w:r>
          </w:p>
        </w:tc>
        <w:tc>
          <w:tcPr>
            <w:tcW w:w="708" w:type="dxa"/>
          </w:tcPr>
          <w:p w14:paraId="566CCA26" w14:textId="77777777" w:rsidR="00DD13BF" w:rsidRDefault="00DD13BF" w:rsidP="00355A56">
            <w:pPr>
              <w:pStyle w:val="TableParagraph"/>
              <w:rPr>
                <w:sz w:val="20"/>
              </w:rPr>
            </w:pPr>
            <w:r>
              <w:rPr>
                <w:sz w:val="20"/>
              </w:rPr>
              <w:t>ESF+</w:t>
            </w:r>
          </w:p>
        </w:tc>
        <w:tc>
          <w:tcPr>
            <w:tcW w:w="1701" w:type="dxa"/>
          </w:tcPr>
          <w:p w14:paraId="2693F729" w14:textId="77777777" w:rsidR="00DD13BF" w:rsidRDefault="00DD13BF" w:rsidP="00355A56">
            <w:pPr>
              <w:pStyle w:val="TableParagraph"/>
              <w:rPr>
                <w:sz w:val="20"/>
              </w:rPr>
            </w:pPr>
            <w:r>
              <w:rPr>
                <w:sz w:val="20"/>
              </w:rPr>
              <w:t>More developed</w:t>
            </w:r>
          </w:p>
        </w:tc>
        <w:tc>
          <w:tcPr>
            <w:tcW w:w="778" w:type="dxa"/>
          </w:tcPr>
          <w:p w14:paraId="157DB431" w14:textId="77777777" w:rsidR="00DD13BF" w:rsidRDefault="00DD13BF" w:rsidP="00355A56">
            <w:pPr>
              <w:pStyle w:val="TableParagraph"/>
              <w:rPr>
                <w:sz w:val="20"/>
              </w:rPr>
            </w:pPr>
            <w:r>
              <w:rPr>
                <w:sz w:val="20"/>
              </w:rPr>
              <w:t>EECO08</w:t>
            </w:r>
          </w:p>
        </w:tc>
        <w:tc>
          <w:tcPr>
            <w:tcW w:w="4467" w:type="dxa"/>
          </w:tcPr>
          <w:p w14:paraId="12767C8B" w14:textId="77777777" w:rsidR="00DD13BF" w:rsidRPr="0069176C" w:rsidRDefault="00DD13BF" w:rsidP="00355A56">
            <w:pPr>
              <w:pStyle w:val="TableParagraph"/>
              <w:rPr>
                <w:rFonts w:cstheme="minorHAnsi"/>
                <w:sz w:val="20"/>
                <w:szCs w:val="18"/>
              </w:rPr>
            </w:pPr>
            <w:r>
              <w:rPr>
                <w:sz w:val="20"/>
              </w:rPr>
              <w:t>Participants above 54 years of age</w:t>
            </w:r>
          </w:p>
        </w:tc>
        <w:tc>
          <w:tcPr>
            <w:tcW w:w="1276" w:type="dxa"/>
          </w:tcPr>
          <w:p w14:paraId="66949192" w14:textId="77777777" w:rsidR="00DD13BF" w:rsidRPr="0069176C" w:rsidRDefault="00DD13BF" w:rsidP="00355A56">
            <w:pPr>
              <w:pStyle w:val="TableParagraph"/>
              <w:rPr>
                <w:rFonts w:cstheme="minorHAnsi"/>
                <w:sz w:val="20"/>
                <w:szCs w:val="18"/>
              </w:rPr>
            </w:pPr>
            <w:r>
              <w:rPr>
                <w:color w:val="000000"/>
                <w:sz w:val="20"/>
              </w:rPr>
              <w:t>Persons</w:t>
            </w:r>
          </w:p>
        </w:tc>
        <w:tc>
          <w:tcPr>
            <w:tcW w:w="1418" w:type="dxa"/>
          </w:tcPr>
          <w:p w14:paraId="6CA18D44" w14:textId="77777777" w:rsidR="00DD13BF" w:rsidRPr="00486BED" w:rsidRDefault="00DD13BF" w:rsidP="00355A56">
            <w:pPr>
              <w:pStyle w:val="TableParagraph"/>
              <w:rPr>
                <w:sz w:val="20"/>
              </w:rPr>
            </w:pPr>
            <w:r>
              <w:rPr>
                <w:sz w:val="20"/>
              </w:rPr>
              <w:t>0</w:t>
            </w:r>
          </w:p>
        </w:tc>
        <w:tc>
          <w:tcPr>
            <w:tcW w:w="1134" w:type="dxa"/>
          </w:tcPr>
          <w:p w14:paraId="0CB553E1" w14:textId="77777777" w:rsidR="00DD13BF" w:rsidRPr="00486BED" w:rsidRDefault="00DD13BF" w:rsidP="00355A56">
            <w:pPr>
              <w:pStyle w:val="TableParagraph"/>
              <w:rPr>
                <w:sz w:val="20"/>
              </w:rPr>
            </w:pPr>
            <w:r>
              <w:rPr>
                <w:sz w:val="20"/>
              </w:rPr>
              <w:t>1,500</w:t>
            </w:r>
          </w:p>
        </w:tc>
      </w:tr>
    </w:tbl>
    <w:p w14:paraId="26B2400C" w14:textId="77777777" w:rsidR="00DD13BF" w:rsidRDefault="00DD13BF" w:rsidP="00DD13BF">
      <w:pPr>
        <w:ind w:left="379"/>
        <w:rPr>
          <w:sz w:val="20"/>
        </w:rPr>
      </w:pPr>
    </w:p>
    <w:p w14:paraId="1F4FDB69" w14:textId="77777777" w:rsidR="00DD13BF" w:rsidRDefault="00DD13BF" w:rsidP="00DD13BF">
      <w:pPr>
        <w:ind w:left="379"/>
      </w:pPr>
      <w:r>
        <w:t>Table 3: Result indicators</w:t>
      </w:r>
    </w:p>
    <w:p w14:paraId="55A116D2" w14:textId="77777777" w:rsidR="00DD13BF" w:rsidRDefault="00DD13BF" w:rsidP="00DD13BF">
      <w:pPr>
        <w:rPr>
          <w:sz w:val="21"/>
        </w:rPr>
      </w:pPr>
    </w:p>
    <w:tbl>
      <w:tblPr>
        <w:tblStyle w:val="NormalTable0"/>
        <w:tblW w:w="13882" w:type="dxa"/>
        <w:tblInd w:w="2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983"/>
        <w:gridCol w:w="851"/>
        <w:gridCol w:w="696"/>
        <w:gridCol w:w="1572"/>
        <w:gridCol w:w="709"/>
        <w:gridCol w:w="3118"/>
        <w:gridCol w:w="708"/>
        <w:gridCol w:w="1134"/>
        <w:gridCol w:w="993"/>
        <w:gridCol w:w="992"/>
        <w:gridCol w:w="1276"/>
        <w:gridCol w:w="850"/>
      </w:tblGrid>
      <w:tr w:rsidR="00DD13BF" w14:paraId="0BE6764D" w14:textId="77777777" w:rsidTr="00355A56">
        <w:trPr>
          <w:trHeight w:val="353"/>
        </w:trPr>
        <w:tc>
          <w:tcPr>
            <w:tcW w:w="983" w:type="dxa"/>
          </w:tcPr>
          <w:p w14:paraId="1FF561AA" w14:textId="77777777" w:rsidR="00DD13BF" w:rsidRPr="00347461" w:rsidRDefault="00DD13BF" w:rsidP="00355A56">
            <w:pPr>
              <w:pStyle w:val="TableParagraph"/>
              <w:rPr>
                <w:sz w:val="20"/>
              </w:rPr>
            </w:pPr>
            <w:r>
              <w:rPr>
                <w:sz w:val="20"/>
              </w:rPr>
              <w:lastRenderedPageBreak/>
              <w:t>Priority</w:t>
            </w:r>
          </w:p>
        </w:tc>
        <w:tc>
          <w:tcPr>
            <w:tcW w:w="851" w:type="dxa"/>
          </w:tcPr>
          <w:p w14:paraId="23B07566" w14:textId="77777777" w:rsidR="00DD13BF" w:rsidRPr="00347461" w:rsidRDefault="00DD13BF" w:rsidP="00355A56">
            <w:pPr>
              <w:pStyle w:val="TableParagraph"/>
              <w:rPr>
                <w:sz w:val="20"/>
              </w:rPr>
            </w:pPr>
            <w:r>
              <w:rPr>
                <w:sz w:val="20"/>
              </w:rPr>
              <w:t>Specific objective</w:t>
            </w:r>
          </w:p>
        </w:tc>
        <w:tc>
          <w:tcPr>
            <w:tcW w:w="696" w:type="dxa"/>
          </w:tcPr>
          <w:p w14:paraId="43949E33" w14:textId="77777777" w:rsidR="00DD13BF" w:rsidRPr="00347461" w:rsidRDefault="00DD13BF" w:rsidP="00355A56">
            <w:pPr>
              <w:pStyle w:val="TableParagraph"/>
              <w:rPr>
                <w:sz w:val="20"/>
              </w:rPr>
            </w:pPr>
            <w:r>
              <w:rPr>
                <w:sz w:val="20"/>
              </w:rPr>
              <w:t>Fund</w:t>
            </w:r>
          </w:p>
        </w:tc>
        <w:tc>
          <w:tcPr>
            <w:tcW w:w="1572" w:type="dxa"/>
          </w:tcPr>
          <w:p w14:paraId="3785E3B1" w14:textId="77777777" w:rsidR="00DD13BF" w:rsidRPr="00347461" w:rsidRDefault="00DD13BF" w:rsidP="00355A56">
            <w:pPr>
              <w:pStyle w:val="TableParagraph"/>
              <w:rPr>
                <w:sz w:val="20"/>
              </w:rPr>
            </w:pPr>
            <w:r>
              <w:rPr>
                <w:sz w:val="20"/>
              </w:rPr>
              <w:t>Category of region</w:t>
            </w:r>
          </w:p>
        </w:tc>
        <w:tc>
          <w:tcPr>
            <w:tcW w:w="709" w:type="dxa"/>
          </w:tcPr>
          <w:p w14:paraId="267CDCFC" w14:textId="77777777" w:rsidR="00DD13BF" w:rsidRPr="00347461" w:rsidRDefault="00DD13BF" w:rsidP="00355A56">
            <w:pPr>
              <w:pStyle w:val="TableParagraph"/>
              <w:rPr>
                <w:sz w:val="20"/>
              </w:rPr>
            </w:pPr>
            <w:r>
              <w:rPr>
                <w:sz w:val="20"/>
              </w:rPr>
              <w:t>ID</w:t>
            </w:r>
          </w:p>
        </w:tc>
        <w:tc>
          <w:tcPr>
            <w:tcW w:w="3118" w:type="dxa"/>
          </w:tcPr>
          <w:p w14:paraId="1F3687AA" w14:textId="77777777" w:rsidR="00DD13BF" w:rsidRPr="00347461" w:rsidRDefault="00DD13BF" w:rsidP="00355A56">
            <w:pPr>
              <w:pStyle w:val="TableParagraph"/>
              <w:rPr>
                <w:sz w:val="20"/>
              </w:rPr>
            </w:pPr>
            <w:r>
              <w:rPr>
                <w:sz w:val="20"/>
              </w:rPr>
              <w:t>Indicator</w:t>
            </w:r>
          </w:p>
        </w:tc>
        <w:tc>
          <w:tcPr>
            <w:tcW w:w="708" w:type="dxa"/>
          </w:tcPr>
          <w:p w14:paraId="09FF4F9D" w14:textId="77777777" w:rsidR="00DD13BF" w:rsidRPr="00347461" w:rsidRDefault="00DD13BF" w:rsidP="00355A56">
            <w:pPr>
              <w:pStyle w:val="TableParagraph"/>
              <w:rPr>
                <w:sz w:val="20"/>
              </w:rPr>
            </w:pPr>
            <w:r>
              <w:rPr>
                <w:sz w:val="20"/>
              </w:rPr>
              <w:t>Measurement unit</w:t>
            </w:r>
          </w:p>
        </w:tc>
        <w:tc>
          <w:tcPr>
            <w:tcW w:w="1134" w:type="dxa"/>
          </w:tcPr>
          <w:p w14:paraId="229DFF1F" w14:textId="77777777" w:rsidR="00DD13BF" w:rsidRPr="00347461" w:rsidRDefault="00DD13BF" w:rsidP="00355A56">
            <w:pPr>
              <w:pStyle w:val="TableParagraph"/>
              <w:rPr>
                <w:sz w:val="20"/>
              </w:rPr>
            </w:pPr>
            <w:r>
              <w:rPr>
                <w:sz w:val="20"/>
              </w:rPr>
              <w:t>Baseline or reference value</w:t>
            </w:r>
          </w:p>
        </w:tc>
        <w:tc>
          <w:tcPr>
            <w:tcW w:w="993" w:type="dxa"/>
          </w:tcPr>
          <w:p w14:paraId="22510DDF" w14:textId="77777777" w:rsidR="00DD13BF" w:rsidRPr="00347461" w:rsidRDefault="00DD13BF" w:rsidP="00355A56">
            <w:pPr>
              <w:pStyle w:val="TableParagraph"/>
              <w:rPr>
                <w:sz w:val="20"/>
              </w:rPr>
            </w:pPr>
            <w:r>
              <w:rPr>
                <w:sz w:val="20"/>
              </w:rPr>
              <w:t>Reference year</w:t>
            </w:r>
          </w:p>
        </w:tc>
        <w:tc>
          <w:tcPr>
            <w:tcW w:w="992" w:type="dxa"/>
          </w:tcPr>
          <w:p w14:paraId="1A8DF40A" w14:textId="77777777" w:rsidR="00DD13BF" w:rsidRPr="00347461" w:rsidRDefault="00DD13BF" w:rsidP="00355A56">
            <w:pPr>
              <w:pStyle w:val="TableParagraph"/>
              <w:rPr>
                <w:sz w:val="20"/>
              </w:rPr>
            </w:pPr>
            <w:r>
              <w:rPr>
                <w:sz w:val="20"/>
              </w:rPr>
              <w:t>Target (2029)</w:t>
            </w:r>
          </w:p>
        </w:tc>
        <w:tc>
          <w:tcPr>
            <w:tcW w:w="1276" w:type="dxa"/>
          </w:tcPr>
          <w:p w14:paraId="52D7D6CF" w14:textId="77777777" w:rsidR="00DD13BF" w:rsidRPr="00347461" w:rsidRDefault="00DD13BF" w:rsidP="00355A56">
            <w:pPr>
              <w:pStyle w:val="TableParagraph"/>
              <w:rPr>
                <w:sz w:val="20"/>
              </w:rPr>
            </w:pPr>
            <w:r>
              <w:rPr>
                <w:sz w:val="20"/>
              </w:rPr>
              <w:t>Source of data</w:t>
            </w:r>
          </w:p>
        </w:tc>
        <w:tc>
          <w:tcPr>
            <w:tcW w:w="850" w:type="dxa"/>
          </w:tcPr>
          <w:p w14:paraId="3D589F5D" w14:textId="77777777" w:rsidR="00DD13BF" w:rsidRPr="00347461" w:rsidRDefault="00DD13BF" w:rsidP="00355A56">
            <w:pPr>
              <w:pStyle w:val="TableParagraph"/>
              <w:rPr>
                <w:sz w:val="20"/>
              </w:rPr>
            </w:pPr>
            <w:r>
              <w:rPr>
                <w:sz w:val="20"/>
              </w:rPr>
              <w:t>Notes</w:t>
            </w:r>
          </w:p>
        </w:tc>
      </w:tr>
      <w:tr w:rsidR="00DD13BF" w14:paraId="66381A32" w14:textId="77777777" w:rsidTr="00355A56">
        <w:trPr>
          <w:trHeight w:val="353"/>
        </w:trPr>
        <w:tc>
          <w:tcPr>
            <w:tcW w:w="983" w:type="dxa"/>
          </w:tcPr>
          <w:p w14:paraId="23550E57" w14:textId="77777777" w:rsidR="00DD13BF" w:rsidRPr="00347461" w:rsidRDefault="00DD13BF" w:rsidP="00355A56">
            <w:pPr>
              <w:pStyle w:val="TableParagraph"/>
              <w:rPr>
                <w:sz w:val="20"/>
              </w:rPr>
            </w:pPr>
            <w:r>
              <w:rPr>
                <w:sz w:val="20"/>
              </w:rPr>
              <w:t>7</w:t>
            </w:r>
          </w:p>
        </w:tc>
        <w:tc>
          <w:tcPr>
            <w:tcW w:w="851" w:type="dxa"/>
          </w:tcPr>
          <w:p w14:paraId="1113D316" w14:textId="77777777" w:rsidR="00DD13BF" w:rsidRPr="00347461" w:rsidRDefault="00DD13BF" w:rsidP="00355A56">
            <w:pPr>
              <w:pStyle w:val="TableParagraph"/>
              <w:rPr>
                <w:sz w:val="20"/>
              </w:rPr>
            </w:pPr>
            <w:r>
              <w:rPr>
                <w:color w:val="000000"/>
                <w:sz w:val="20"/>
              </w:rPr>
              <w:t>ESO4.11</w:t>
            </w:r>
          </w:p>
        </w:tc>
        <w:tc>
          <w:tcPr>
            <w:tcW w:w="696" w:type="dxa"/>
          </w:tcPr>
          <w:p w14:paraId="40959E4D" w14:textId="77777777" w:rsidR="00DD13BF" w:rsidRPr="00347461" w:rsidRDefault="00DD13BF" w:rsidP="00355A56">
            <w:pPr>
              <w:pStyle w:val="TableParagraph"/>
              <w:rPr>
                <w:sz w:val="20"/>
              </w:rPr>
            </w:pPr>
            <w:r>
              <w:rPr>
                <w:sz w:val="20"/>
              </w:rPr>
              <w:t>ESF+</w:t>
            </w:r>
          </w:p>
        </w:tc>
        <w:tc>
          <w:tcPr>
            <w:tcW w:w="1572" w:type="dxa"/>
          </w:tcPr>
          <w:p w14:paraId="46E6C95D" w14:textId="77777777" w:rsidR="00DD13BF" w:rsidRPr="00347461" w:rsidRDefault="00DD13BF" w:rsidP="00355A56">
            <w:pPr>
              <w:pStyle w:val="TableParagraph"/>
              <w:rPr>
                <w:sz w:val="20"/>
              </w:rPr>
            </w:pPr>
            <w:r>
              <w:rPr>
                <w:sz w:val="20"/>
              </w:rPr>
              <w:t>Less developed</w:t>
            </w:r>
          </w:p>
        </w:tc>
        <w:tc>
          <w:tcPr>
            <w:tcW w:w="709" w:type="dxa"/>
          </w:tcPr>
          <w:p w14:paraId="1EC7C303" w14:textId="77777777" w:rsidR="00DD13BF" w:rsidRPr="00347461" w:rsidRDefault="00DD13BF" w:rsidP="00355A56">
            <w:pPr>
              <w:pStyle w:val="TableParagraph"/>
              <w:rPr>
                <w:sz w:val="20"/>
              </w:rPr>
            </w:pPr>
            <w:r>
              <w:rPr>
                <w:sz w:val="20"/>
              </w:rPr>
              <w:t>11</w:t>
            </w:r>
          </w:p>
        </w:tc>
        <w:tc>
          <w:tcPr>
            <w:tcW w:w="3118" w:type="dxa"/>
          </w:tcPr>
          <w:p w14:paraId="709115D7" w14:textId="77777777" w:rsidR="00DD13BF" w:rsidRPr="00347461" w:rsidRDefault="00DD13BF" w:rsidP="00355A56">
            <w:pPr>
              <w:pStyle w:val="TableParagraph"/>
              <w:rPr>
                <w:sz w:val="20"/>
              </w:rPr>
            </w:pPr>
            <w:r>
              <w:rPr>
                <w:sz w:val="20"/>
              </w:rPr>
              <w:t>Number of qualified professionals</w:t>
            </w:r>
          </w:p>
        </w:tc>
        <w:tc>
          <w:tcPr>
            <w:tcW w:w="708" w:type="dxa"/>
          </w:tcPr>
          <w:p w14:paraId="08FFCB73" w14:textId="77777777" w:rsidR="00DD13BF" w:rsidRPr="00347461" w:rsidRDefault="00DD13BF" w:rsidP="00355A56">
            <w:pPr>
              <w:pStyle w:val="TableParagraph"/>
              <w:rPr>
                <w:sz w:val="20"/>
              </w:rPr>
            </w:pPr>
            <w:r>
              <w:rPr>
                <w:sz w:val="20"/>
              </w:rPr>
              <w:t>Number</w:t>
            </w:r>
          </w:p>
        </w:tc>
        <w:tc>
          <w:tcPr>
            <w:tcW w:w="1134" w:type="dxa"/>
          </w:tcPr>
          <w:p w14:paraId="582CB572" w14:textId="77777777" w:rsidR="00DD13BF" w:rsidRPr="00347461" w:rsidRDefault="00DD13BF" w:rsidP="00355A56">
            <w:pPr>
              <w:pStyle w:val="TableParagraph"/>
              <w:rPr>
                <w:sz w:val="20"/>
              </w:rPr>
            </w:pPr>
            <w:r>
              <w:rPr>
                <w:sz w:val="20"/>
              </w:rPr>
              <w:t>33</w:t>
            </w:r>
          </w:p>
        </w:tc>
        <w:tc>
          <w:tcPr>
            <w:tcW w:w="993" w:type="dxa"/>
          </w:tcPr>
          <w:p w14:paraId="4639B8DF" w14:textId="77777777" w:rsidR="00DD13BF" w:rsidRPr="00347461" w:rsidRDefault="00DD13BF" w:rsidP="00355A56">
            <w:pPr>
              <w:pStyle w:val="TableParagraph"/>
              <w:rPr>
                <w:sz w:val="20"/>
              </w:rPr>
            </w:pPr>
            <w:r>
              <w:rPr>
                <w:sz w:val="20"/>
              </w:rPr>
              <w:t>2020</w:t>
            </w:r>
          </w:p>
        </w:tc>
        <w:tc>
          <w:tcPr>
            <w:tcW w:w="992" w:type="dxa"/>
          </w:tcPr>
          <w:p w14:paraId="2F76106A" w14:textId="77777777" w:rsidR="00DD13BF" w:rsidRPr="00184EA7" w:rsidRDefault="00DD13BF" w:rsidP="00355A56">
            <w:pPr>
              <w:pStyle w:val="TableParagraph"/>
              <w:rPr>
                <w:sz w:val="16"/>
                <w:szCs w:val="16"/>
              </w:rPr>
            </w:pPr>
            <w:r>
              <w:rPr>
                <w:sz w:val="20"/>
              </w:rPr>
              <w:t>570</w:t>
            </w:r>
          </w:p>
        </w:tc>
        <w:tc>
          <w:tcPr>
            <w:tcW w:w="1276" w:type="dxa"/>
          </w:tcPr>
          <w:p w14:paraId="5F607E55" w14:textId="77777777" w:rsidR="00DD13BF" w:rsidRPr="00347461" w:rsidRDefault="00DD13BF" w:rsidP="00355A56">
            <w:pPr>
              <w:pStyle w:val="TableParagraph"/>
              <w:rPr>
                <w:sz w:val="20"/>
              </w:rPr>
            </w:pPr>
            <w:r>
              <w:rPr>
                <w:sz w:val="20"/>
              </w:rPr>
              <w:t>Beneficiary and eMA2</w:t>
            </w:r>
          </w:p>
        </w:tc>
        <w:tc>
          <w:tcPr>
            <w:tcW w:w="850" w:type="dxa"/>
          </w:tcPr>
          <w:p w14:paraId="13DB7C31" w14:textId="77777777" w:rsidR="00DD13BF" w:rsidRPr="00347461" w:rsidRDefault="00DD13BF" w:rsidP="00355A56">
            <w:pPr>
              <w:pStyle w:val="TableParagraph"/>
              <w:rPr>
                <w:sz w:val="20"/>
              </w:rPr>
            </w:pPr>
          </w:p>
        </w:tc>
      </w:tr>
      <w:tr w:rsidR="00DD13BF" w14:paraId="71D90476" w14:textId="77777777" w:rsidTr="00355A56">
        <w:trPr>
          <w:trHeight w:val="353"/>
        </w:trPr>
        <w:tc>
          <w:tcPr>
            <w:tcW w:w="983" w:type="dxa"/>
          </w:tcPr>
          <w:p w14:paraId="1151EB6D" w14:textId="77777777" w:rsidR="00DD13BF" w:rsidRDefault="00DD13BF" w:rsidP="00355A56">
            <w:pPr>
              <w:pStyle w:val="TableParagraph"/>
              <w:rPr>
                <w:sz w:val="20"/>
              </w:rPr>
            </w:pPr>
            <w:r>
              <w:rPr>
                <w:sz w:val="20"/>
              </w:rPr>
              <w:t>7</w:t>
            </w:r>
          </w:p>
        </w:tc>
        <w:tc>
          <w:tcPr>
            <w:tcW w:w="851" w:type="dxa"/>
          </w:tcPr>
          <w:p w14:paraId="0EC1605C" w14:textId="77777777" w:rsidR="00DD13BF" w:rsidRDefault="00DD13BF" w:rsidP="00355A56">
            <w:pPr>
              <w:pStyle w:val="TableParagraph"/>
              <w:rPr>
                <w:sz w:val="20"/>
              </w:rPr>
            </w:pPr>
            <w:r>
              <w:rPr>
                <w:color w:val="000000"/>
                <w:sz w:val="20"/>
              </w:rPr>
              <w:t>ESO4.11</w:t>
            </w:r>
          </w:p>
        </w:tc>
        <w:tc>
          <w:tcPr>
            <w:tcW w:w="696" w:type="dxa"/>
          </w:tcPr>
          <w:p w14:paraId="2B9A5FE5" w14:textId="77777777" w:rsidR="00DD13BF" w:rsidRDefault="00DD13BF" w:rsidP="00355A56">
            <w:pPr>
              <w:pStyle w:val="TableParagraph"/>
              <w:rPr>
                <w:sz w:val="20"/>
              </w:rPr>
            </w:pPr>
            <w:r>
              <w:rPr>
                <w:sz w:val="20"/>
              </w:rPr>
              <w:t>ESF+</w:t>
            </w:r>
          </w:p>
        </w:tc>
        <w:tc>
          <w:tcPr>
            <w:tcW w:w="1572" w:type="dxa"/>
          </w:tcPr>
          <w:p w14:paraId="5C5DB00D" w14:textId="77777777" w:rsidR="00DD13BF" w:rsidRDefault="00DD13BF" w:rsidP="00355A56">
            <w:pPr>
              <w:pStyle w:val="TableParagraph"/>
              <w:rPr>
                <w:sz w:val="20"/>
              </w:rPr>
            </w:pPr>
            <w:r>
              <w:rPr>
                <w:sz w:val="20"/>
              </w:rPr>
              <w:t xml:space="preserve">More developed </w:t>
            </w:r>
          </w:p>
          <w:p w14:paraId="1137D717" w14:textId="77777777" w:rsidR="00DD13BF" w:rsidRDefault="00DD13BF" w:rsidP="00355A56">
            <w:pPr>
              <w:pStyle w:val="TableParagraph"/>
              <w:rPr>
                <w:sz w:val="20"/>
              </w:rPr>
            </w:pPr>
          </w:p>
        </w:tc>
        <w:tc>
          <w:tcPr>
            <w:tcW w:w="709" w:type="dxa"/>
          </w:tcPr>
          <w:p w14:paraId="26434434" w14:textId="77777777" w:rsidR="00DD13BF" w:rsidRPr="00347461" w:rsidRDefault="00DD13BF" w:rsidP="00355A56">
            <w:pPr>
              <w:pStyle w:val="TableParagraph"/>
              <w:rPr>
                <w:sz w:val="20"/>
              </w:rPr>
            </w:pPr>
            <w:r>
              <w:rPr>
                <w:sz w:val="20"/>
              </w:rPr>
              <w:t>11</w:t>
            </w:r>
          </w:p>
        </w:tc>
        <w:tc>
          <w:tcPr>
            <w:tcW w:w="3118" w:type="dxa"/>
          </w:tcPr>
          <w:p w14:paraId="7D9C573A" w14:textId="77777777" w:rsidR="00DD13BF" w:rsidRPr="003F25CB" w:rsidRDefault="00DD13BF" w:rsidP="00355A56">
            <w:pPr>
              <w:pStyle w:val="TableParagraph"/>
              <w:rPr>
                <w:sz w:val="20"/>
              </w:rPr>
            </w:pPr>
            <w:r>
              <w:rPr>
                <w:sz w:val="20"/>
              </w:rPr>
              <w:t>Number of qualified professionals</w:t>
            </w:r>
          </w:p>
        </w:tc>
        <w:tc>
          <w:tcPr>
            <w:tcW w:w="708" w:type="dxa"/>
          </w:tcPr>
          <w:p w14:paraId="71CB5230" w14:textId="77777777" w:rsidR="00DD13BF" w:rsidRDefault="00DD13BF" w:rsidP="00355A56">
            <w:pPr>
              <w:pStyle w:val="TableParagraph"/>
              <w:rPr>
                <w:sz w:val="20"/>
              </w:rPr>
            </w:pPr>
            <w:r>
              <w:rPr>
                <w:sz w:val="20"/>
              </w:rPr>
              <w:t>Number</w:t>
            </w:r>
          </w:p>
        </w:tc>
        <w:tc>
          <w:tcPr>
            <w:tcW w:w="1134" w:type="dxa"/>
          </w:tcPr>
          <w:p w14:paraId="201D0109" w14:textId="77777777" w:rsidR="00DD13BF" w:rsidRPr="00347461" w:rsidRDefault="00DD13BF" w:rsidP="00355A56">
            <w:pPr>
              <w:pStyle w:val="TableParagraph"/>
              <w:rPr>
                <w:sz w:val="20"/>
              </w:rPr>
            </w:pPr>
            <w:r>
              <w:rPr>
                <w:sz w:val="20"/>
              </w:rPr>
              <w:t>15</w:t>
            </w:r>
          </w:p>
        </w:tc>
        <w:tc>
          <w:tcPr>
            <w:tcW w:w="993" w:type="dxa"/>
          </w:tcPr>
          <w:p w14:paraId="13BD8B04" w14:textId="77777777" w:rsidR="00DD13BF" w:rsidRPr="00347461" w:rsidRDefault="00DD13BF" w:rsidP="00355A56">
            <w:pPr>
              <w:pStyle w:val="TableParagraph"/>
              <w:rPr>
                <w:sz w:val="20"/>
              </w:rPr>
            </w:pPr>
            <w:r>
              <w:rPr>
                <w:sz w:val="20"/>
              </w:rPr>
              <w:t>2020</w:t>
            </w:r>
          </w:p>
        </w:tc>
        <w:tc>
          <w:tcPr>
            <w:tcW w:w="992" w:type="dxa"/>
          </w:tcPr>
          <w:p w14:paraId="698ADCA3" w14:textId="77777777" w:rsidR="00DD13BF" w:rsidRDefault="00DD13BF" w:rsidP="00355A56">
            <w:pPr>
              <w:pStyle w:val="TableParagraph"/>
              <w:rPr>
                <w:sz w:val="20"/>
              </w:rPr>
            </w:pPr>
            <w:r>
              <w:rPr>
                <w:sz w:val="20"/>
              </w:rPr>
              <w:t>320</w:t>
            </w:r>
          </w:p>
        </w:tc>
        <w:tc>
          <w:tcPr>
            <w:tcW w:w="1276" w:type="dxa"/>
          </w:tcPr>
          <w:p w14:paraId="0F3F3E4C" w14:textId="77777777" w:rsidR="00DD13BF" w:rsidRPr="00347461" w:rsidRDefault="00DD13BF" w:rsidP="00355A56">
            <w:pPr>
              <w:pStyle w:val="TableParagraph"/>
              <w:rPr>
                <w:sz w:val="20"/>
              </w:rPr>
            </w:pPr>
            <w:r>
              <w:rPr>
                <w:sz w:val="20"/>
              </w:rPr>
              <w:t>Beneficiary and eMA2</w:t>
            </w:r>
          </w:p>
        </w:tc>
        <w:tc>
          <w:tcPr>
            <w:tcW w:w="850" w:type="dxa"/>
          </w:tcPr>
          <w:p w14:paraId="08459E5D" w14:textId="77777777" w:rsidR="00DD13BF" w:rsidRPr="00347461" w:rsidRDefault="00DD13BF" w:rsidP="00355A56">
            <w:pPr>
              <w:pStyle w:val="TableParagraph"/>
              <w:rPr>
                <w:sz w:val="20"/>
              </w:rPr>
            </w:pPr>
          </w:p>
        </w:tc>
      </w:tr>
      <w:tr w:rsidR="00DD13BF" w14:paraId="7ECB4883" w14:textId="77777777" w:rsidTr="00355A56">
        <w:trPr>
          <w:trHeight w:val="353"/>
        </w:trPr>
        <w:tc>
          <w:tcPr>
            <w:tcW w:w="983" w:type="dxa"/>
          </w:tcPr>
          <w:p w14:paraId="2D8D294A" w14:textId="77777777" w:rsidR="00DD13BF" w:rsidRDefault="00DD13BF" w:rsidP="00355A56">
            <w:pPr>
              <w:pStyle w:val="TableParagraph"/>
              <w:rPr>
                <w:sz w:val="20"/>
              </w:rPr>
            </w:pPr>
            <w:r>
              <w:rPr>
                <w:sz w:val="20"/>
              </w:rPr>
              <w:t>7</w:t>
            </w:r>
          </w:p>
        </w:tc>
        <w:tc>
          <w:tcPr>
            <w:tcW w:w="851" w:type="dxa"/>
          </w:tcPr>
          <w:p w14:paraId="1B75D0A1" w14:textId="77777777" w:rsidR="00DD13BF" w:rsidRDefault="00DD13BF" w:rsidP="00355A56">
            <w:pPr>
              <w:pStyle w:val="TableParagraph"/>
              <w:rPr>
                <w:sz w:val="20"/>
              </w:rPr>
            </w:pPr>
            <w:r>
              <w:rPr>
                <w:color w:val="000000"/>
                <w:sz w:val="20"/>
              </w:rPr>
              <w:t>ESO4.11</w:t>
            </w:r>
          </w:p>
        </w:tc>
        <w:tc>
          <w:tcPr>
            <w:tcW w:w="696" w:type="dxa"/>
          </w:tcPr>
          <w:p w14:paraId="11D174AD" w14:textId="77777777" w:rsidR="00DD13BF" w:rsidRDefault="00DD13BF" w:rsidP="00355A56">
            <w:pPr>
              <w:pStyle w:val="TableParagraph"/>
              <w:rPr>
                <w:sz w:val="20"/>
              </w:rPr>
            </w:pPr>
            <w:r>
              <w:rPr>
                <w:sz w:val="20"/>
              </w:rPr>
              <w:t>ESF+</w:t>
            </w:r>
          </w:p>
        </w:tc>
        <w:tc>
          <w:tcPr>
            <w:tcW w:w="1572" w:type="dxa"/>
          </w:tcPr>
          <w:p w14:paraId="2B75CF90" w14:textId="77777777" w:rsidR="00DD13BF" w:rsidRDefault="00DD13BF" w:rsidP="00355A56">
            <w:pPr>
              <w:pStyle w:val="TableParagraph"/>
              <w:rPr>
                <w:sz w:val="20"/>
              </w:rPr>
            </w:pPr>
            <w:r>
              <w:rPr>
                <w:sz w:val="20"/>
              </w:rPr>
              <w:t>Less developed</w:t>
            </w:r>
          </w:p>
        </w:tc>
        <w:tc>
          <w:tcPr>
            <w:tcW w:w="709" w:type="dxa"/>
          </w:tcPr>
          <w:p w14:paraId="61A8A26C" w14:textId="77777777" w:rsidR="00DD13BF" w:rsidRPr="00347461" w:rsidRDefault="00DD13BF" w:rsidP="00355A56">
            <w:pPr>
              <w:pStyle w:val="TableParagraph"/>
              <w:rPr>
                <w:sz w:val="20"/>
              </w:rPr>
            </w:pPr>
            <w:r>
              <w:rPr>
                <w:sz w:val="20"/>
              </w:rPr>
              <w:t>12</w:t>
            </w:r>
          </w:p>
        </w:tc>
        <w:tc>
          <w:tcPr>
            <w:tcW w:w="3118" w:type="dxa"/>
          </w:tcPr>
          <w:p w14:paraId="1D6C04A5" w14:textId="77777777" w:rsidR="00DD13BF" w:rsidRPr="003F25CB" w:rsidRDefault="00DD13BF" w:rsidP="00355A56">
            <w:pPr>
              <w:pStyle w:val="TableParagraph"/>
              <w:rPr>
                <w:sz w:val="20"/>
              </w:rPr>
            </w:pPr>
            <w:r>
              <w:rPr>
                <w:sz w:val="20"/>
              </w:rPr>
              <w:t>Number of qualified users in health care</w:t>
            </w:r>
          </w:p>
        </w:tc>
        <w:tc>
          <w:tcPr>
            <w:tcW w:w="708" w:type="dxa"/>
          </w:tcPr>
          <w:p w14:paraId="53FAE7A3" w14:textId="77777777" w:rsidR="00DD13BF" w:rsidRDefault="00DD13BF" w:rsidP="00355A56">
            <w:pPr>
              <w:pStyle w:val="TableParagraph"/>
              <w:rPr>
                <w:sz w:val="20"/>
              </w:rPr>
            </w:pPr>
            <w:r>
              <w:rPr>
                <w:sz w:val="20"/>
              </w:rPr>
              <w:t>Number</w:t>
            </w:r>
          </w:p>
        </w:tc>
        <w:tc>
          <w:tcPr>
            <w:tcW w:w="1134" w:type="dxa"/>
          </w:tcPr>
          <w:p w14:paraId="5B952CCF" w14:textId="77777777" w:rsidR="00DD13BF" w:rsidRPr="00347461" w:rsidRDefault="00DD13BF" w:rsidP="00355A56">
            <w:pPr>
              <w:pStyle w:val="TableParagraph"/>
              <w:rPr>
                <w:sz w:val="20"/>
              </w:rPr>
            </w:pPr>
            <w:r>
              <w:rPr>
                <w:sz w:val="20"/>
              </w:rPr>
              <w:t>0</w:t>
            </w:r>
          </w:p>
        </w:tc>
        <w:tc>
          <w:tcPr>
            <w:tcW w:w="993" w:type="dxa"/>
          </w:tcPr>
          <w:p w14:paraId="04E4DDD1" w14:textId="77777777" w:rsidR="00DD13BF" w:rsidRPr="00347461" w:rsidRDefault="00DD13BF" w:rsidP="00355A56">
            <w:pPr>
              <w:pStyle w:val="TableParagraph"/>
              <w:rPr>
                <w:sz w:val="20"/>
              </w:rPr>
            </w:pPr>
            <w:r>
              <w:rPr>
                <w:sz w:val="20"/>
              </w:rPr>
              <w:t>2021</w:t>
            </w:r>
          </w:p>
        </w:tc>
        <w:tc>
          <w:tcPr>
            <w:tcW w:w="992" w:type="dxa"/>
          </w:tcPr>
          <w:p w14:paraId="5B1E3B85" w14:textId="77777777" w:rsidR="00DD13BF" w:rsidRDefault="00DD13BF" w:rsidP="00355A56">
            <w:pPr>
              <w:pStyle w:val="TableParagraph"/>
              <w:rPr>
                <w:sz w:val="20"/>
              </w:rPr>
            </w:pPr>
            <w:r>
              <w:rPr>
                <w:sz w:val="20"/>
              </w:rPr>
              <w:t>2,730</w:t>
            </w:r>
          </w:p>
        </w:tc>
        <w:tc>
          <w:tcPr>
            <w:tcW w:w="1276" w:type="dxa"/>
          </w:tcPr>
          <w:p w14:paraId="31DE37AE" w14:textId="77777777" w:rsidR="00DD13BF" w:rsidRPr="00347461" w:rsidRDefault="00DD13BF" w:rsidP="00355A56">
            <w:pPr>
              <w:pStyle w:val="TableParagraph"/>
              <w:rPr>
                <w:sz w:val="20"/>
              </w:rPr>
            </w:pPr>
            <w:r>
              <w:rPr>
                <w:sz w:val="20"/>
              </w:rPr>
              <w:t>Beneficiary and eMA2</w:t>
            </w:r>
          </w:p>
        </w:tc>
        <w:tc>
          <w:tcPr>
            <w:tcW w:w="850" w:type="dxa"/>
          </w:tcPr>
          <w:p w14:paraId="350AEA4C" w14:textId="77777777" w:rsidR="00DD13BF" w:rsidRPr="00347461" w:rsidRDefault="00DD13BF" w:rsidP="00355A56">
            <w:pPr>
              <w:pStyle w:val="TableParagraph"/>
              <w:rPr>
                <w:sz w:val="20"/>
              </w:rPr>
            </w:pPr>
          </w:p>
        </w:tc>
      </w:tr>
      <w:tr w:rsidR="00DD13BF" w14:paraId="34285359" w14:textId="77777777" w:rsidTr="00355A56">
        <w:trPr>
          <w:trHeight w:val="353"/>
        </w:trPr>
        <w:tc>
          <w:tcPr>
            <w:tcW w:w="983" w:type="dxa"/>
          </w:tcPr>
          <w:p w14:paraId="57A9C0CD" w14:textId="77777777" w:rsidR="00DD13BF" w:rsidRDefault="00DD13BF" w:rsidP="00355A56">
            <w:pPr>
              <w:pStyle w:val="TableParagraph"/>
              <w:rPr>
                <w:sz w:val="20"/>
              </w:rPr>
            </w:pPr>
            <w:r>
              <w:rPr>
                <w:sz w:val="20"/>
              </w:rPr>
              <w:t>7</w:t>
            </w:r>
          </w:p>
        </w:tc>
        <w:tc>
          <w:tcPr>
            <w:tcW w:w="851" w:type="dxa"/>
          </w:tcPr>
          <w:p w14:paraId="26565204" w14:textId="77777777" w:rsidR="00DD13BF" w:rsidRDefault="00DD13BF" w:rsidP="00355A56">
            <w:pPr>
              <w:pStyle w:val="TableParagraph"/>
              <w:rPr>
                <w:sz w:val="20"/>
              </w:rPr>
            </w:pPr>
            <w:r>
              <w:rPr>
                <w:color w:val="000000"/>
                <w:sz w:val="20"/>
              </w:rPr>
              <w:t>ESO4.11</w:t>
            </w:r>
          </w:p>
        </w:tc>
        <w:tc>
          <w:tcPr>
            <w:tcW w:w="696" w:type="dxa"/>
          </w:tcPr>
          <w:p w14:paraId="58951940" w14:textId="77777777" w:rsidR="00DD13BF" w:rsidRDefault="00DD13BF" w:rsidP="00355A56">
            <w:pPr>
              <w:pStyle w:val="TableParagraph"/>
              <w:rPr>
                <w:sz w:val="20"/>
              </w:rPr>
            </w:pPr>
            <w:r>
              <w:rPr>
                <w:sz w:val="20"/>
              </w:rPr>
              <w:t>ESF+</w:t>
            </w:r>
          </w:p>
        </w:tc>
        <w:tc>
          <w:tcPr>
            <w:tcW w:w="1572" w:type="dxa"/>
          </w:tcPr>
          <w:p w14:paraId="6AF6961F" w14:textId="77777777" w:rsidR="00DD13BF" w:rsidRDefault="00DD13BF" w:rsidP="00355A56">
            <w:pPr>
              <w:pStyle w:val="TableParagraph"/>
              <w:rPr>
                <w:sz w:val="20"/>
              </w:rPr>
            </w:pPr>
            <w:r>
              <w:rPr>
                <w:sz w:val="20"/>
              </w:rPr>
              <w:t xml:space="preserve">More developed </w:t>
            </w:r>
          </w:p>
        </w:tc>
        <w:tc>
          <w:tcPr>
            <w:tcW w:w="709" w:type="dxa"/>
          </w:tcPr>
          <w:p w14:paraId="10EA165B" w14:textId="77777777" w:rsidR="00DD13BF" w:rsidRPr="00347461" w:rsidRDefault="00DD13BF" w:rsidP="00355A56">
            <w:pPr>
              <w:pStyle w:val="TableParagraph"/>
              <w:rPr>
                <w:sz w:val="20"/>
              </w:rPr>
            </w:pPr>
            <w:r>
              <w:rPr>
                <w:sz w:val="20"/>
              </w:rPr>
              <w:t>12</w:t>
            </w:r>
          </w:p>
        </w:tc>
        <w:tc>
          <w:tcPr>
            <w:tcW w:w="3118" w:type="dxa"/>
          </w:tcPr>
          <w:p w14:paraId="7F685488" w14:textId="77777777" w:rsidR="00DD13BF" w:rsidRPr="003F25CB" w:rsidRDefault="00DD13BF" w:rsidP="00355A56">
            <w:pPr>
              <w:pStyle w:val="TableParagraph"/>
              <w:rPr>
                <w:sz w:val="20"/>
              </w:rPr>
            </w:pPr>
            <w:r>
              <w:rPr>
                <w:sz w:val="20"/>
              </w:rPr>
              <w:t>Number of qualified users in health care</w:t>
            </w:r>
          </w:p>
        </w:tc>
        <w:tc>
          <w:tcPr>
            <w:tcW w:w="708" w:type="dxa"/>
          </w:tcPr>
          <w:p w14:paraId="607FDD71" w14:textId="77777777" w:rsidR="00DD13BF" w:rsidRDefault="00DD13BF" w:rsidP="00355A56">
            <w:pPr>
              <w:pStyle w:val="TableParagraph"/>
              <w:rPr>
                <w:sz w:val="20"/>
              </w:rPr>
            </w:pPr>
            <w:r>
              <w:rPr>
                <w:sz w:val="20"/>
              </w:rPr>
              <w:t>Number</w:t>
            </w:r>
          </w:p>
        </w:tc>
        <w:tc>
          <w:tcPr>
            <w:tcW w:w="1134" w:type="dxa"/>
          </w:tcPr>
          <w:p w14:paraId="245F1198" w14:textId="77777777" w:rsidR="00DD13BF" w:rsidRPr="00347461" w:rsidRDefault="00DD13BF" w:rsidP="00355A56">
            <w:pPr>
              <w:pStyle w:val="TableParagraph"/>
              <w:rPr>
                <w:sz w:val="20"/>
              </w:rPr>
            </w:pPr>
            <w:r>
              <w:rPr>
                <w:sz w:val="20"/>
              </w:rPr>
              <w:t>0</w:t>
            </w:r>
          </w:p>
        </w:tc>
        <w:tc>
          <w:tcPr>
            <w:tcW w:w="993" w:type="dxa"/>
          </w:tcPr>
          <w:p w14:paraId="6E32AA04" w14:textId="77777777" w:rsidR="00DD13BF" w:rsidRPr="00347461" w:rsidRDefault="00DD13BF" w:rsidP="00355A56">
            <w:pPr>
              <w:pStyle w:val="TableParagraph"/>
              <w:rPr>
                <w:sz w:val="20"/>
              </w:rPr>
            </w:pPr>
            <w:r>
              <w:rPr>
                <w:sz w:val="20"/>
              </w:rPr>
              <w:t>2021</w:t>
            </w:r>
          </w:p>
        </w:tc>
        <w:tc>
          <w:tcPr>
            <w:tcW w:w="992" w:type="dxa"/>
          </w:tcPr>
          <w:p w14:paraId="28B14554" w14:textId="77777777" w:rsidR="00DD13BF" w:rsidRDefault="00DD13BF" w:rsidP="00355A56">
            <w:pPr>
              <w:pStyle w:val="TableParagraph"/>
              <w:rPr>
                <w:sz w:val="20"/>
              </w:rPr>
            </w:pPr>
            <w:r>
              <w:rPr>
                <w:sz w:val="20"/>
              </w:rPr>
              <w:t>1,820</w:t>
            </w:r>
          </w:p>
        </w:tc>
        <w:tc>
          <w:tcPr>
            <w:tcW w:w="1276" w:type="dxa"/>
          </w:tcPr>
          <w:p w14:paraId="33BD7451" w14:textId="77777777" w:rsidR="00DD13BF" w:rsidRPr="00347461" w:rsidRDefault="00DD13BF" w:rsidP="00355A56">
            <w:pPr>
              <w:pStyle w:val="TableParagraph"/>
              <w:rPr>
                <w:sz w:val="20"/>
              </w:rPr>
            </w:pPr>
            <w:r>
              <w:rPr>
                <w:sz w:val="20"/>
              </w:rPr>
              <w:t>Beneficiary and eMA2</w:t>
            </w:r>
          </w:p>
        </w:tc>
        <w:tc>
          <w:tcPr>
            <w:tcW w:w="850" w:type="dxa"/>
          </w:tcPr>
          <w:p w14:paraId="0624283D" w14:textId="77777777" w:rsidR="00DD13BF" w:rsidRPr="00347461" w:rsidRDefault="00DD13BF" w:rsidP="00355A56">
            <w:pPr>
              <w:pStyle w:val="TableParagraph"/>
              <w:rPr>
                <w:sz w:val="20"/>
              </w:rPr>
            </w:pPr>
          </w:p>
        </w:tc>
      </w:tr>
    </w:tbl>
    <w:p w14:paraId="0A12571A" w14:textId="77777777" w:rsidR="00DD13BF" w:rsidRPr="00F81084" w:rsidRDefault="00DD13BF" w:rsidP="00DD13BF">
      <w:pPr>
        <w:pStyle w:val="Telobesedila"/>
      </w:pPr>
    </w:p>
    <w:p w14:paraId="7CA424C8" w14:textId="77777777" w:rsidR="00DD13BF" w:rsidRDefault="00DD13BF" w:rsidP="00DD13BF">
      <w:pPr>
        <w:pStyle w:val="Naslov5"/>
        <w:numPr>
          <w:ilvl w:val="4"/>
          <w:numId w:val="16"/>
        </w:numPr>
        <w:spacing w:before="0"/>
      </w:pPr>
      <w:r>
        <w:t>Indicative breakdown of the programme resources (EU) by type of intervention</w:t>
      </w:r>
    </w:p>
    <w:p w14:paraId="40241088" w14:textId="77777777" w:rsidR="00DD13BF" w:rsidRDefault="00DD13BF" w:rsidP="00DD13BF">
      <w:pPr>
        <w:ind w:left="339"/>
        <w:rPr>
          <w:spacing w:val="-7"/>
        </w:rPr>
      </w:pPr>
    </w:p>
    <w:p w14:paraId="429AFF42" w14:textId="77777777" w:rsidR="00DD13BF" w:rsidRPr="00673ADB" w:rsidRDefault="00DD13BF" w:rsidP="00DD13BF">
      <w:pPr>
        <w:ind w:left="339"/>
        <w:rPr>
          <w:spacing w:val="-7"/>
        </w:rPr>
      </w:pPr>
      <w:r>
        <w:t>Table 4: Dimension 1 – intervention field</w:t>
      </w:r>
    </w:p>
    <w:p w14:paraId="4F3F5640"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762DAF98" w14:textId="77777777" w:rsidTr="00355A56">
        <w:trPr>
          <w:trHeight w:val="353"/>
        </w:trPr>
        <w:tc>
          <w:tcPr>
            <w:tcW w:w="2088" w:type="dxa"/>
          </w:tcPr>
          <w:p w14:paraId="4BDCB5D5" w14:textId="77777777" w:rsidR="00DD13BF" w:rsidRDefault="00DD13BF" w:rsidP="00355A56">
            <w:pPr>
              <w:pStyle w:val="TableParagraph"/>
              <w:ind w:left="115"/>
            </w:pPr>
            <w:r>
              <w:t>Priority no.</w:t>
            </w:r>
          </w:p>
        </w:tc>
        <w:tc>
          <w:tcPr>
            <w:tcW w:w="1133" w:type="dxa"/>
          </w:tcPr>
          <w:p w14:paraId="6D388B63" w14:textId="77777777" w:rsidR="00DD13BF" w:rsidRDefault="00DD13BF" w:rsidP="00355A56">
            <w:pPr>
              <w:pStyle w:val="TableParagraph"/>
              <w:ind w:left="320"/>
            </w:pPr>
            <w:r>
              <w:t>Fund</w:t>
            </w:r>
          </w:p>
        </w:tc>
        <w:tc>
          <w:tcPr>
            <w:tcW w:w="3249" w:type="dxa"/>
          </w:tcPr>
          <w:p w14:paraId="2D483B18" w14:textId="77777777" w:rsidR="00DD13BF" w:rsidRDefault="00DD13BF" w:rsidP="00355A56">
            <w:pPr>
              <w:pStyle w:val="TableParagraph"/>
              <w:ind w:left="907"/>
            </w:pPr>
            <w:r>
              <w:t>Category of region</w:t>
            </w:r>
          </w:p>
        </w:tc>
        <w:tc>
          <w:tcPr>
            <w:tcW w:w="3099" w:type="dxa"/>
          </w:tcPr>
          <w:p w14:paraId="470FD160" w14:textId="77777777" w:rsidR="00DD13BF" w:rsidRDefault="00DD13BF" w:rsidP="00355A56">
            <w:pPr>
              <w:pStyle w:val="TableParagraph"/>
              <w:ind w:left="948"/>
            </w:pPr>
            <w:r>
              <w:t>Specific objective</w:t>
            </w:r>
          </w:p>
        </w:tc>
        <w:tc>
          <w:tcPr>
            <w:tcW w:w="1161" w:type="dxa"/>
          </w:tcPr>
          <w:p w14:paraId="44E0188E" w14:textId="77777777" w:rsidR="00DD13BF" w:rsidRDefault="00DD13BF" w:rsidP="00355A56">
            <w:pPr>
              <w:pStyle w:val="TableParagraph"/>
              <w:ind w:left="333"/>
            </w:pPr>
            <w:r>
              <w:t>Code</w:t>
            </w:r>
          </w:p>
        </w:tc>
        <w:tc>
          <w:tcPr>
            <w:tcW w:w="2731" w:type="dxa"/>
          </w:tcPr>
          <w:p w14:paraId="641AE0C4" w14:textId="77777777" w:rsidR="00DD13BF" w:rsidRDefault="00DD13BF" w:rsidP="00355A56">
            <w:pPr>
              <w:pStyle w:val="TableParagraph"/>
              <w:ind w:left="660"/>
            </w:pPr>
            <w:r>
              <w:t>Amount (in EUR)</w:t>
            </w:r>
          </w:p>
        </w:tc>
      </w:tr>
      <w:tr w:rsidR="00DD13BF" w14:paraId="703CB511" w14:textId="77777777" w:rsidTr="00355A56">
        <w:trPr>
          <w:trHeight w:val="353"/>
        </w:trPr>
        <w:tc>
          <w:tcPr>
            <w:tcW w:w="2088" w:type="dxa"/>
          </w:tcPr>
          <w:p w14:paraId="51B645BD" w14:textId="77777777" w:rsidR="00DD13BF" w:rsidRDefault="00DD13BF" w:rsidP="00355A56">
            <w:pPr>
              <w:pStyle w:val="TableParagraph"/>
              <w:rPr>
                <w:sz w:val="20"/>
              </w:rPr>
            </w:pPr>
            <w:r>
              <w:rPr>
                <w:sz w:val="20"/>
              </w:rPr>
              <w:t>7</w:t>
            </w:r>
          </w:p>
        </w:tc>
        <w:tc>
          <w:tcPr>
            <w:tcW w:w="1133" w:type="dxa"/>
          </w:tcPr>
          <w:p w14:paraId="589E56AD" w14:textId="77777777" w:rsidR="00DD13BF" w:rsidRDefault="00DD13BF" w:rsidP="00355A56">
            <w:pPr>
              <w:pStyle w:val="TableParagraph"/>
              <w:rPr>
                <w:sz w:val="20"/>
              </w:rPr>
            </w:pPr>
            <w:r>
              <w:rPr>
                <w:sz w:val="20"/>
              </w:rPr>
              <w:t>ESF+</w:t>
            </w:r>
          </w:p>
        </w:tc>
        <w:tc>
          <w:tcPr>
            <w:tcW w:w="3249" w:type="dxa"/>
          </w:tcPr>
          <w:p w14:paraId="4D6FFDB8" w14:textId="77777777" w:rsidR="00DD13BF" w:rsidDel="00C01DD5" w:rsidRDefault="00DD13BF" w:rsidP="00355A56">
            <w:pPr>
              <w:pStyle w:val="TableParagraph"/>
              <w:rPr>
                <w:sz w:val="20"/>
              </w:rPr>
            </w:pPr>
            <w:r>
              <w:rPr>
                <w:sz w:val="20"/>
              </w:rPr>
              <w:t>Less developed</w:t>
            </w:r>
          </w:p>
        </w:tc>
        <w:tc>
          <w:tcPr>
            <w:tcW w:w="3099" w:type="dxa"/>
          </w:tcPr>
          <w:p w14:paraId="5C6551A3" w14:textId="77777777" w:rsidR="00DD13BF" w:rsidRDefault="00DD13BF" w:rsidP="00355A56">
            <w:pPr>
              <w:pStyle w:val="TableParagraph"/>
              <w:rPr>
                <w:sz w:val="20"/>
              </w:rPr>
            </w:pPr>
            <w:r>
              <w:rPr>
                <w:color w:val="000000"/>
                <w:sz w:val="20"/>
              </w:rPr>
              <w:t>ESO4.11</w:t>
            </w:r>
          </w:p>
        </w:tc>
        <w:tc>
          <w:tcPr>
            <w:tcW w:w="1161" w:type="dxa"/>
          </w:tcPr>
          <w:p w14:paraId="35F9B33B" w14:textId="77777777" w:rsidR="00DD13BF" w:rsidRDefault="00DD13BF" w:rsidP="00355A56">
            <w:pPr>
              <w:pStyle w:val="TableParagraph"/>
              <w:rPr>
                <w:sz w:val="20"/>
              </w:rPr>
            </w:pPr>
            <w:r>
              <w:rPr>
                <w:sz w:val="20"/>
              </w:rPr>
              <w:t>131</w:t>
            </w:r>
          </w:p>
        </w:tc>
        <w:tc>
          <w:tcPr>
            <w:tcW w:w="2731" w:type="dxa"/>
          </w:tcPr>
          <w:p w14:paraId="475DB02E" w14:textId="77777777" w:rsidR="00DD13BF" w:rsidRDefault="00DD13BF" w:rsidP="00355A56">
            <w:pPr>
              <w:pStyle w:val="TableParagraph"/>
              <w:rPr>
                <w:sz w:val="20"/>
              </w:rPr>
            </w:pPr>
            <w:r>
              <w:rPr>
                <w:sz w:val="20"/>
              </w:rPr>
              <w:t>6,620,000</w:t>
            </w:r>
          </w:p>
        </w:tc>
      </w:tr>
      <w:tr w:rsidR="00DD13BF" w14:paraId="6F020930" w14:textId="77777777" w:rsidTr="00355A56">
        <w:trPr>
          <w:trHeight w:val="353"/>
        </w:trPr>
        <w:tc>
          <w:tcPr>
            <w:tcW w:w="2088" w:type="dxa"/>
          </w:tcPr>
          <w:p w14:paraId="63FB3DA4" w14:textId="77777777" w:rsidR="00DD13BF" w:rsidRDefault="00DD13BF" w:rsidP="00355A56">
            <w:pPr>
              <w:pStyle w:val="TableParagraph"/>
              <w:rPr>
                <w:sz w:val="20"/>
              </w:rPr>
            </w:pPr>
            <w:r>
              <w:rPr>
                <w:sz w:val="20"/>
              </w:rPr>
              <w:t>7</w:t>
            </w:r>
          </w:p>
        </w:tc>
        <w:tc>
          <w:tcPr>
            <w:tcW w:w="1133" w:type="dxa"/>
          </w:tcPr>
          <w:p w14:paraId="3878AF25" w14:textId="77777777" w:rsidR="00DD13BF" w:rsidRDefault="00DD13BF" w:rsidP="00355A56">
            <w:pPr>
              <w:pStyle w:val="TableParagraph"/>
              <w:rPr>
                <w:sz w:val="20"/>
              </w:rPr>
            </w:pPr>
            <w:r>
              <w:rPr>
                <w:sz w:val="20"/>
              </w:rPr>
              <w:t>ESF+</w:t>
            </w:r>
          </w:p>
        </w:tc>
        <w:tc>
          <w:tcPr>
            <w:tcW w:w="3249" w:type="dxa"/>
          </w:tcPr>
          <w:p w14:paraId="08E3EDDE" w14:textId="77777777" w:rsidR="00DD13BF" w:rsidDel="00C01DD5" w:rsidRDefault="00DD13BF" w:rsidP="00355A56">
            <w:pPr>
              <w:pStyle w:val="TableParagraph"/>
              <w:rPr>
                <w:sz w:val="20"/>
              </w:rPr>
            </w:pPr>
            <w:r>
              <w:rPr>
                <w:sz w:val="20"/>
              </w:rPr>
              <w:t>More developed</w:t>
            </w:r>
          </w:p>
        </w:tc>
        <w:tc>
          <w:tcPr>
            <w:tcW w:w="3099" w:type="dxa"/>
          </w:tcPr>
          <w:p w14:paraId="2B2925CE" w14:textId="77777777" w:rsidR="00DD13BF" w:rsidRDefault="00DD13BF" w:rsidP="00355A56">
            <w:pPr>
              <w:pStyle w:val="TableParagraph"/>
              <w:rPr>
                <w:sz w:val="20"/>
              </w:rPr>
            </w:pPr>
            <w:r>
              <w:rPr>
                <w:color w:val="000000"/>
                <w:sz w:val="20"/>
              </w:rPr>
              <w:t>ESO4.11</w:t>
            </w:r>
          </w:p>
        </w:tc>
        <w:tc>
          <w:tcPr>
            <w:tcW w:w="1161" w:type="dxa"/>
          </w:tcPr>
          <w:p w14:paraId="649C269A" w14:textId="77777777" w:rsidR="00DD13BF" w:rsidRDefault="00DD13BF" w:rsidP="00355A56">
            <w:pPr>
              <w:pStyle w:val="TableParagraph"/>
              <w:rPr>
                <w:sz w:val="20"/>
              </w:rPr>
            </w:pPr>
            <w:r>
              <w:rPr>
                <w:sz w:val="20"/>
              </w:rPr>
              <w:t>131</w:t>
            </w:r>
          </w:p>
        </w:tc>
        <w:tc>
          <w:tcPr>
            <w:tcW w:w="2731" w:type="dxa"/>
          </w:tcPr>
          <w:p w14:paraId="5581C8D2" w14:textId="77777777" w:rsidR="00DD13BF" w:rsidRDefault="00DD13BF" w:rsidP="00355A56">
            <w:pPr>
              <w:pStyle w:val="TableParagraph"/>
              <w:rPr>
                <w:sz w:val="20"/>
              </w:rPr>
            </w:pPr>
            <w:r>
              <w:rPr>
                <w:sz w:val="20"/>
              </w:rPr>
              <w:t>3,910,000</w:t>
            </w:r>
          </w:p>
        </w:tc>
      </w:tr>
      <w:tr w:rsidR="00DD13BF" w14:paraId="227EE991" w14:textId="77777777" w:rsidTr="00355A56">
        <w:trPr>
          <w:trHeight w:val="353"/>
        </w:trPr>
        <w:tc>
          <w:tcPr>
            <w:tcW w:w="2088" w:type="dxa"/>
          </w:tcPr>
          <w:p w14:paraId="3C275BAB" w14:textId="77777777" w:rsidR="00DD13BF" w:rsidRDefault="00DD13BF" w:rsidP="00355A56">
            <w:pPr>
              <w:pStyle w:val="TableParagraph"/>
              <w:rPr>
                <w:sz w:val="20"/>
              </w:rPr>
            </w:pPr>
            <w:r>
              <w:rPr>
                <w:sz w:val="20"/>
              </w:rPr>
              <w:t>7</w:t>
            </w:r>
          </w:p>
        </w:tc>
        <w:tc>
          <w:tcPr>
            <w:tcW w:w="1133" w:type="dxa"/>
          </w:tcPr>
          <w:p w14:paraId="4CF471E2" w14:textId="77777777" w:rsidR="00DD13BF" w:rsidRDefault="00DD13BF" w:rsidP="00355A56">
            <w:pPr>
              <w:pStyle w:val="TableParagraph"/>
              <w:rPr>
                <w:sz w:val="20"/>
              </w:rPr>
            </w:pPr>
            <w:r>
              <w:rPr>
                <w:sz w:val="20"/>
              </w:rPr>
              <w:t>ESF+</w:t>
            </w:r>
          </w:p>
        </w:tc>
        <w:tc>
          <w:tcPr>
            <w:tcW w:w="3249" w:type="dxa"/>
          </w:tcPr>
          <w:p w14:paraId="58C1BEDF" w14:textId="77777777" w:rsidR="00DD13BF" w:rsidRDefault="00DD13BF" w:rsidP="00355A56">
            <w:pPr>
              <w:pStyle w:val="TableParagraph"/>
              <w:rPr>
                <w:sz w:val="20"/>
              </w:rPr>
            </w:pPr>
            <w:r>
              <w:rPr>
                <w:sz w:val="20"/>
              </w:rPr>
              <w:t>Less developed</w:t>
            </w:r>
          </w:p>
        </w:tc>
        <w:tc>
          <w:tcPr>
            <w:tcW w:w="3099" w:type="dxa"/>
          </w:tcPr>
          <w:p w14:paraId="1BC44DB3" w14:textId="77777777" w:rsidR="00DD13BF" w:rsidRDefault="00DD13BF" w:rsidP="00355A56">
            <w:pPr>
              <w:pStyle w:val="TableParagraph"/>
              <w:rPr>
                <w:sz w:val="20"/>
              </w:rPr>
            </w:pPr>
            <w:r>
              <w:rPr>
                <w:color w:val="000000"/>
                <w:sz w:val="20"/>
              </w:rPr>
              <w:t>ESO4.11</w:t>
            </w:r>
          </w:p>
        </w:tc>
        <w:tc>
          <w:tcPr>
            <w:tcW w:w="1161" w:type="dxa"/>
          </w:tcPr>
          <w:p w14:paraId="54E599F4" w14:textId="77777777" w:rsidR="00DD13BF" w:rsidRDefault="00DD13BF" w:rsidP="00355A56">
            <w:pPr>
              <w:pStyle w:val="TableParagraph"/>
              <w:rPr>
                <w:sz w:val="20"/>
              </w:rPr>
            </w:pPr>
            <w:r>
              <w:rPr>
                <w:sz w:val="20"/>
              </w:rPr>
              <w:t>158</w:t>
            </w:r>
          </w:p>
        </w:tc>
        <w:tc>
          <w:tcPr>
            <w:tcW w:w="2731" w:type="dxa"/>
          </w:tcPr>
          <w:p w14:paraId="074FFBE3" w14:textId="77777777" w:rsidR="00DD13BF" w:rsidRDefault="00DD13BF" w:rsidP="00355A56">
            <w:pPr>
              <w:pStyle w:val="TableParagraph"/>
              <w:rPr>
                <w:sz w:val="20"/>
              </w:rPr>
            </w:pPr>
            <w:r>
              <w:rPr>
                <w:sz w:val="20"/>
              </w:rPr>
              <w:t>40,478,001</w:t>
            </w:r>
          </w:p>
        </w:tc>
      </w:tr>
      <w:tr w:rsidR="00DD13BF" w14:paraId="2C42227C" w14:textId="77777777" w:rsidTr="00355A56">
        <w:trPr>
          <w:trHeight w:val="353"/>
        </w:trPr>
        <w:tc>
          <w:tcPr>
            <w:tcW w:w="2088" w:type="dxa"/>
          </w:tcPr>
          <w:p w14:paraId="79D318B1" w14:textId="77777777" w:rsidR="00DD13BF" w:rsidRDefault="00DD13BF" w:rsidP="00355A56">
            <w:pPr>
              <w:pStyle w:val="TableParagraph"/>
              <w:rPr>
                <w:sz w:val="20"/>
              </w:rPr>
            </w:pPr>
            <w:r>
              <w:rPr>
                <w:sz w:val="20"/>
              </w:rPr>
              <w:t>7</w:t>
            </w:r>
          </w:p>
        </w:tc>
        <w:tc>
          <w:tcPr>
            <w:tcW w:w="1133" w:type="dxa"/>
          </w:tcPr>
          <w:p w14:paraId="32674745" w14:textId="77777777" w:rsidR="00DD13BF" w:rsidRDefault="00DD13BF" w:rsidP="00355A56">
            <w:pPr>
              <w:pStyle w:val="TableParagraph"/>
              <w:rPr>
                <w:sz w:val="20"/>
              </w:rPr>
            </w:pPr>
            <w:r>
              <w:rPr>
                <w:sz w:val="20"/>
              </w:rPr>
              <w:t>ESF+</w:t>
            </w:r>
          </w:p>
        </w:tc>
        <w:tc>
          <w:tcPr>
            <w:tcW w:w="3249" w:type="dxa"/>
          </w:tcPr>
          <w:p w14:paraId="3F25FD68" w14:textId="77777777" w:rsidR="00DD13BF" w:rsidRDefault="00DD13BF" w:rsidP="00355A56">
            <w:pPr>
              <w:pStyle w:val="TableParagraph"/>
              <w:rPr>
                <w:sz w:val="20"/>
              </w:rPr>
            </w:pPr>
            <w:r>
              <w:rPr>
                <w:sz w:val="20"/>
              </w:rPr>
              <w:t>More developed</w:t>
            </w:r>
          </w:p>
        </w:tc>
        <w:tc>
          <w:tcPr>
            <w:tcW w:w="3099" w:type="dxa"/>
          </w:tcPr>
          <w:p w14:paraId="2F77425E" w14:textId="77777777" w:rsidR="00DD13BF" w:rsidRDefault="00DD13BF" w:rsidP="00355A56">
            <w:pPr>
              <w:pStyle w:val="TableParagraph"/>
              <w:rPr>
                <w:sz w:val="20"/>
              </w:rPr>
            </w:pPr>
            <w:r>
              <w:rPr>
                <w:color w:val="000000"/>
                <w:sz w:val="20"/>
              </w:rPr>
              <w:t>ESO4.11</w:t>
            </w:r>
          </w:p>
        </w:tc>
        <w:tc>
          <w:tcPr>
            <w:tcW w:w="1161" w:type="dxa"/>
          </w:tcPr>
          <w:p w14:paraId="0D39E3D9" w14:textId="77777777" w:rsidR="00DD13BF" w:rsidRDefault="00DD13BF" w:rsidP="00355A56">
            <w:pPr>
              <w:pStyle w:val="TableParagraph"/>
              <w:rPr>
                <w:sz w:val="20"/>
              </w:rPr>
            </w:pPr>
            <w:r>
              <w:rPr>
                <w:sz w:val="20"/>
              </w:rPr>
              <w:t>158</w:t>
            </w:r>
          </w:p>
        </w:tc>
        <w:tc>
          <w:tcPr>
            <w:tcW w:w="2731" w:type="dxa"/>
          </w:tcPr>
          <w:p w14:paraId="00E6AB31" w14:textId="77777777" w:rsidR="00DD13BF" w:rsidRDefault="00DD13BF" w:rsidP="00355A56">
            <w:pPr>
              <w:pStyle w:val="TableParagraph"/>
              <w:rPr>
                <w:sz w:val="20"/>
              </w:rPr>
            </w:pPr>
            <w:r>
              <w:rPr>
                <w:sz w:val="20"/>
              </w:rPr>
              <w:t>9,044,518</w:t>
            </w:r>
          </w:p>
        </w:tc>
      </w:tr>
      <w:tr w:rsidR="00DD13BF" w14:paraId="10B3E4C7" w14:textId="77777777" w:rsidTr="00355A56">
        <w:trPr>
          <w:trHeight w:val="353"/>
        </w:trPr>
        <w:tc>
          <w:tcPr>
            <w:tcW w:w="2088" w:type="dxa"/>
          </w:tcPr>
          <w:p w14:paraId="0031C4EC" w14:textId="77777777" w:rsidR="00DD13BF" w:rsidRDefault="00DD13BF" w:rsidP="00355A56">
            <w:pPr>
              <w:pStyle w:val="TableParagraph"/>
              <w:rPr>
                <w:sz w:val="20"/>
              </w:rPr>
            </w:pPr>
            <w:r>
              <w:rPr>
                <w:sz w:val="20"/>
              </w:rPr>
              <w:t>7</w:t>
            </w:r>
          </w:p>
        </w:tc>
        <w:tc>
          <w:tcPr>
            <w:tcW w:w="1133" w:type="dxa"/>
          </w:tcPr>
          <w:p w14:paraId="105C307F" w14:textId="77777777" w:rsidR="00DD13BF" w:rsidRDefault="00DD13BF" w:rsidP="00355A56">
            <w:pPr>
              <w:pStyle w:val="TableParagraph"/>
              <w:rPr>
                <w:sz w:val="20"/>
              </w:rPr>
            </w:pPr>
            <w:r>
              <w:rPr>
                <w:sz w:val="20"/>
              </w:rPr>
              <w:t>ESF+</w:t>
            </w:r>
          </w:p>
        </w:tc>
        <w:tc>
          <w:tcPr>
            <w:tcW w:w="3249" w:type="dxa"/>
          </w:tcPr>
          <w:p w14:paraId="3BBD2E0D" w14:textId="77777777" w:rsidR="00DD13BF" w:rsidRDefault="00DD13BF" w:rsidP="00355A56">
            <w:pPr>
              <w:pStyle w:val="TableParagraph"/>
              <w:rPr>
                <w:sz w:val="20"/>
              </w:rPr>
            </w:pPr>
            <w:r>
              <w:rPr>
                <w:sz w:val="20"/>
              </w:rPr>
              <w:t>Less developed</w:t>
            </w:r>
          </w:p>
        </w:tc>
        <w:tc>
          <w:tcPr>
            <w:tcW w:w="3099" w:type="dxa"/>
          </w:tcPr>
          <w:p w14:paraId="639C71DF" w14:textId="77777777" w:rsidR="00DD13BF" w:rsidRDefault="00DD13BF" w:rsidP="00355A56">
            <w:pPr>
              <w:pStyle w:val="TableParagraph"/>
              <w:rPr>
                <w:sz w:val="20"/>
              </w:rPr>
            </w:pPr>
            <w:r>
              <w:rPr>
                <w:color w:val="000000"/>
                <w:sz w:val="20"/>
              </w:rPr>
              <w:t>ESO4.11</w:t>
            </w:r>
          </w:p>
        </w:tc>
        <w:tc>
          <w:tcPr>
            <w:tcW w:w="1161" w:type="dxa"/>
          </w:tcPr>
          <w:p w14:paraId="03C954C7" w14:textId="77777777" w:rsidR="00DD13BF" w:rsidRDefault="00DD13BF" w:rsidP="00355A56">
            <w:pPr>
              <w:pStyle w:val="TableParagraph"/>
              <w:tabs>
                <w:tab w:val="left" w:pos="732"/>
              </w:tabs>
              <w:rPr>
                <w:sz w:val="20"/>
              </w:rPr>
            </w:pPr>
            <w:r>
              <w:rPr>
                <w:sz w:val="20"/>
              </w:rPr>
              <w:t>160</w:t>
            </w:r>
          </w:p>
        </w:tc>
        <w:tc>
          <w:tcPr>
            <w:tcW w:w="2731" w:type="dxa"/>
          </w:tcPr>
          <w:p w14:paraId="5DC604D2" w14:textId="77777777" w:rsidR="00DD13BF" w:rsidRDefault="00DD13BF" w:rsidP="00355A56">
            <w:pPr>
              <w:pStyle w:val="TableParagraph"/>
              <w:rPr>
                <w:sz w:val="20"/>
              </w:rPr>
            </w:pPr>
            <w:r>
              <w:rPr>
                <w:sz w:val="20"/>
              </w:rPr>
              <w:t>22,100,000</w:t>
            </w:r>
          </w:p>
        </w:tc>
      </w:tr>
      <w:tr w:rsidR="00DD13BF" w14:paraId="785EE2A9" w14:textId="77777777" w:rsidTr="00355A56">
        <w:trPr>
          <w:trHeight w:val="353"/>
        </w:trPr>
        <w:tc>
          <w:tcPr>
            <w:tcW w:w="2088" w:type="dxa"/>
          </w:tcPr>
          <w:p w14:paraId="605C5CC4" w14:textId="77777777" w:rsidR="00DD13BF" w:rsidRDefault="00DD13BF" w:rsidP="00355A56">
            <w:pPr>
              <w:pStyle w:val="TableParagraph"/>
              <w:rPr>
                <w:sz w:val="20"/>
              </w:rPr>
            </w:pPr>
            <w:r>
              <w:rPr>
                <w:sz w:val="20"/>
              </w:rPr>
              <w:t>7</w:t>
            </w:r>
          </w:p>
        </w:tc>
        <w:tc>
          <w:tcPr>
            <w:tcW w:w="1133" w:type="dxa"/>
          </w:tcPr>
          <w:p w14:paraId="525FA710" w14:textId="77777777" w:rsidR="00DD13BF" w:rsidRDefault="00DD13BF" w:rsidP="00355A56">
            <w:pPr>
              <w:pStyle w:val="TableParagraph"/>
              <w:rPr>
                <w:sz w:val="20"/>
              </w:rPr>
            </w:pPr>
            <w:r>
              <w:rPr>
                <w:sz w:val="20"/>
              </w:rPr>
              <w:t>ESF+</w:t>
            </w:r>
          </w:p>
        </w:tc>
        <w:tc>
          <w:tcPr>
            <w:tcW w:w="3249" w:type="dxa"/>
          </w:tcPr>
          <w:p w14:paraId="3A99052D" w14:textId="77777777" w:rsidR="00DD13BF" w:rsidRDefault="00DD13BF" w:rsidP="00355A56">
            <w:pPr>
              <w:pStyle w:val="TableParagraph"/>
              <w:rPr>
                <w:sz w:val="20"/>
              </w:rPr>
            </w:pPr>
            <w:r>
              <w:rPr>
                <w:sz w:val="20"/>
              </w:rPr>
              <w:t>More developed</w:t>
            </w:r>
          </w:p>
        </w:tc>
        <w:tc>
          <w:tcPr>
            <w:tcW w:w="3099" w:type="dxa"/>
          </w:tcPr>
          <w:p w14:paraId="1B686C90" w14:textId="77777777" w:rsidR="00DD13BF" w:rsidRDefault="00DD13BF" w:rsidP="00355A56">
            <w:pPr>
              <w:pStyle w:val="TableParagraph"/>
              <w:rPr>
                <w:sz w:val="20"/>
              </w:rPr>
            </w:pPr>
            <w:r>
              <w:rPr>
                <w:color w:val="000000"/>
                <w:sz w:val="20"/>
              </w:rPr>
              <w:t>ESO4.11</w:t>
            </w:r>
          </w:p>
        </w:tc>
        <w:tc>
          <w:tcPr>
            <w:tcW w:w="1161" w:type="dxa"/>
          </w:tcPr>
          <w:p w14:paraId="1019824B" w14:textId="77777777" w:rsidR="00DD13BF" w:rsidRDefault="00DD13BF" w:rsidP="00355A56">
            <w:pPr>
              <w:pStyle w:val="TableParagraph"/>
              <w:rPr>
                <w:sz w:val="20"/>
              </w:rPr>
            </w:pPr>
            <w:r>
              <w:rPr>
                <w:sz w:val="20"/>
              </w:rPr>
              <w:t>160</w:t>
            </w:r>
          </w:p>
        </w:tc>
        <w:tc>
          <w:tcPr>
            <w:tcW w:w="2731" w:type="dxa"/>
          </w:tcPr>
          <w:p w14:paraId="3DA830A4" w14:textId="77777777" w:rsidR="00DD13BF" w:rsidRDefault="00DD13BF" w:rsidP="00355A56">
            <w:pPr>
              <w:pStyle w:val="TableParagraph"/>
              <w:rPr>
                <w:sz w:val="20"/>
              </w:rPr>
            </w:pPr>
            <w:r>
              <w:rPr>
                <w:sz w:val="20"/>
              </w:rPr>
              <w:t>10,900,000</w:t>
            </w:r>
          </w:p>
        </w:tc>
      </w:tr>
      <w:tr w:rsidR="00DD13BF" w14:paraId="65767C2B" w14:textId="77777777" w:rsidTr="00355A56">
        <w:trPr>
          <w:trHeight w:val="353"/>
        </w:trPr>
        <w:tc>
          <w:tcPr>
            <w:tcW w:w="2088" w:type="dxa"/>
          </w:tcPr>
          <w:p w14:paraId="6B2A5A7D" w14:textId="77777777" w:rsidR="00DD13BF" w:rsidRDefault="00DD13BF" w:rsidP="00355A56">
            <w:pPr>
              <w:pStyle w:val="TableParagraph"/>
              <w:rPr>
                <w:sz w:val="20"/>
              </w:rPr>
            </w:pPr>
            <w:r>
              <w:rPr>
                <w:sz w:val="20"/>
              </w:rPr>
              <w:t>7</w:t>
            </w:r>
          </w:p>
        </w:tc>
        <w:tc>
          <w:tcPr>
            <w:tcW w:w="1133" w:type="dxa"/>
          </w:tcPr>
          <w:p w14:paraId="52DE593B" w14:textId="77777777" w:rsidR="00DD13BF" w:rsidRDefault="00DD13BF" w:rsidP="00355A56">
            <w:pPr>
              <w:pStyle w:val="TableParagraph"/>
              <w:rPr>
                <w:sz w:val="20"/>
              </w:rPr>
            </w:pPr>
            <w:r>
              <w:rPr>
                <w:sz w:val="20"/>
              </w:rPr>
              <w:t>ESF+</w:t>
            </w:r>
          </w:p>
        </w:tc>
        <w:tc>
          <w:tcPr>
            <w:tcW w:w="3249" w:type="dxa"/>
          </w:tcPr>
          <w:p w14:paraId="371214F6" w14:textId="77777777" w:rsidR="00DD13BF" w:rsidRDefault="00DD13BF" w:rsidP="00355A56">
            <w:pPr>
              <w:pStyle w:val="TableParagraph"/>
              <w:rPr>
                <w:sz w:val="20"/>
              </w:rPr>
            </w:pPr>
            <w:r>
              <w:rPr>
                <w:sz w:val="20"/>
              </w:rPr>
              <w:t>Less developed</w:t>
            </w:r>
          </w:p>
        </w:tc>
        <w:tc>
          <w:tcPr>
            <w:tcW w:w="3099" w:type="dxa"/>
          </w:tcPr>
          <w:p w14:paraId="4BBAE3C1" w14:textId="77777777" w:rsidR="00DD13BF" w:rsidRDefault="00DD13BF" w:rsidP="00355A56">
            <w:pPr>
              <w:pStyle w:val="TableParagraph"/>
              <w:rPr>
                <w:sz w:val="20"/>
              </w:rPr>
            </w:pPr>
            <w:r>
              <w:rPr>
                <w:color w:val="000000"/>
                <w:sz w:val="20"/>
              </w:rPr>
              <w:t>ESO4.11</w:t>
            </w:r>
          </w:p>
        </w:tc>
        <w:tc>
          <w:tcPr>
            <w:tcW w:w="1161" w:type="dxa"/>
          </w:tcPr>
          <w:p w14:paraId="5BC03A67" w14:textId="77777777" w:rsidR="00DD13BF" w:rsidRDefault="00DD13BF" w:rsidP="00355A56">
            <w:pPr>
              <w:pStyle w:val="TableParagraph"/>
              <w:rPr>
                <w:sz w:val="20"/>
              </w:rPr>
            </w:pPr>
            <w:r>
              <w:rPr>
                <w:sz w:val="20"/>
              </w:rPr>
              <w:t>161</w:t>
            </w:r>
          </w:p>
        </w:tc>
        <w:tc>
          <w:tcPr>
            <w:tcW w:w="2731" w:type="dxa"/>
          </w:tcPr>
          <w:p w14:paraId="788D72B5" w14:textId="77777777" w:rsidR="00DD13BF" w:rsidRDefault="00DD13BF" w:rsidP="00355A56">
            <w:pPr>
              <w:pStyle w:val="TableParagraph"/>
              <w:rPr>
                <w:sz w:val="20"/>
              </w:rPr>
            </w:pPr>
            <w:r>
              <w:rPr>
                <w:sz w:val="20"/>
              </w:rPr>
              <w:t>10,500,000</w:t>
            </w:r>
          </w:p>
        </w:tc>
      </w:tr>
      <w:tr w:rsidR="00DD13BF" w14:paraId="03D8E004" w14:textId="77777777" w:rsidTr="00355A56">
        <w:trPr>
          <w:trHeight w:val="353"/>
        </w:trPr>
        <w:tc>
          <w:tcPr>
            <w:tcW w:w="2088" w:type="dxa"/>
          </w:tcPr>
          <w:p w14:paraId="0D86658D" w14:textId="77777777" w:rsidR="00DD13BF" w:rsidRDefault="00DD13BF" w:rsidP="00355A56">
            <w:pPr>
              <w:pStyle w:val="TableParagraph"/>
              <w:rPr>
                <w:sz w:val="20"/>
              </w:rPr>
            </w:pPr>
            <w:r>
              <w:rPr>
                <w:sz w:val="20"/>
              </w:rPr>
              <w:t>7</w:t>
            </w:r>
          </w:p>
        </w:tc>
        <w:tc>
          <w:tcPr>
            <w:tcW w:w="1133" w:type="dxa"/>
          </w:tcPr>
          <w:p w14:paraId="77F28339" w14:textId="77777777" w:rsidR="00DD13BF" w:rsidRDefault="00DD13BF" w:rsidP="00355A56">
            <w:pPr>
              <w:pStyle w:val="TableParagraph"/>
              <w:rPr>
                <w:sz w:val="20"/>
              </w:rPr>
            </w:pPr>
            <w:r>
              <w:rPr>
                <w:sz w:val="20"/>
              </w:rPr>
              <w:t>ESF+</w:t>
            </w:r>
          </w:p>
        </w:tc>
        <w:tc>
          <w:tcPr>
            <w:tcW w:w="3249" w:type="dxa"/>
          </w:tcPr>
          <w:p w14:paraId="2DA119F8" w14:textId="77777777" w:rsidR="00DD13BF" w:rsidRDefault="00DD13BF" w:rsidP="00355A56">
            <w:pPr>
              <w:pStyle w:val="TableParagraph"/>
              <w:rPr>
                <w:sz w:val="20"/>
              </w:rPr>
            </w:pPr>
            <w:r>
              <w:rPr>
                <w:sz w:val="20"/>
              </w:rPr>
              <w:t>More developed</w:t>
            </w:r>
          </w:p>
        </w:tc>
        <w:tc>
          <w:tcPr>
            <w:tcW w:w="3099" w:type="dxa"/>
          </w:tcPr>
          <w:p w14:paraId="186E071A" w14:textId="77777777" w:rsidR="00DD13BF" w:rsidRDefault="00DD13BF" w:rsidP="00355A56">
            <w:pPr>
              <w:pStyle w:val="TableParagraph"/>
              <w:rPr>
                <w:sz w:val="20"/>
              </w:rPr>
            </w:pPr>
            <w:r>
              <w:rPr>
                <w:color w:val="000000"/>
                <w:sz w:val="20"/>
              </w:rPr>
              <w:t>ESO4.11</w:t>
            </w:r>
          </w:p>
        </w:tc>
        <w:tc>
          <w:tcPr>
            <w:tcW w:w="1161" w:type="dxa"/>
          </w:tcPr>
          <w:p w14:paraId="50133946" w14:textId="77777777" w:rsidR="00DD13BF" w:rsidRDefault="00DD13BF" w:rsidP="00355A56">
            <w:pPr>
              <w:pStyle w:val="TableParagraph"/>
              <w:rPr>
                <w:sz w:val="20"/>
              </w:rPr>
            </w:pPr>
            <w:r>
              <w:rPr>
                <w:sz w:val="20"/>
              </w:rPr>
              <w:t>161</w:t>
            </w:r>
          </w:p>
        </w:tc>
        <w:tc>
          <w:tcPr>
            <w:tcW w:w="2731" w:type="dxa"/>
          </w:tcPr>
          <w:p w14:paraId="0C89218D" w14:textId="77777777" w:rsidR="00DD13BF" w:rsidRDefault="00DD13BF" w:rsidP="00355A56">
            <w:pPr>
              <w:pStyle w:val="TableParagraph"/>
              <w:rPr>
                <w:sz w:val="20"/>
              </w:rPr>
            </w:pPr>
            <w:r>
              <w:rPr>
                <w:sz w:val="20"/>
              </w:rPr>
              <w:t>4,500,000</w:t>
            </w:r>
          </w:p>
        </w:tc>
      </w:tr>
    </w:tbl>
    <w:p w14:paraId="32169900" w14:textId="77777777" w:rsidR="00DD13BF" w:rsidRDefault="00DD13BF" w:rsidP="00DD13BF"/>
    <w:p w14:paraId="27F85A89" w14:textId="77777777" w:rsidR="00DD13BF" w:rsidRPr="00673ADB" w:rsidRDefault="00DD13BF" w:rsidP="00DD13BF">
      <w:pPr>
        <w:ind w:left="339"/>
        <w:rPr>
          <w:spacing w:val="-7"/>
        </w:rPr>
      </w:pPr>
      <w:r>
        <w:t>Table 5: Dimension 2 – form of financing</w:t>
      </w:r>
    </w:p>
    <w:p w14:paraId="7DB602D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0702243F" w14:textId="77777777" w:rsidTr="00355A56">
        <w:trPr>
          <w:trHeight w:val="353"/>
        </w:trPr>
        <w:tc>
          <w:tcPr>
            <w:tcW w:w="2088" w:type="dxa"/>
          </w:tcPr>
          <w:p w14:paraId="4A973650" w14:textId="77777777" w:rsidR="00DD13BF" w:rsidRDefault="00DD13BF" w:rsidP="00355A56">
            <w:pPr>
              <w:pStyle w:val="TableParagraph"/>
              <w:ind w:left="115"/>
            </w:pPr>
            <w:r>
              <w:t>Priority no.</w:t>
            </w:r>
          </w:p>
        </w:tc>
        <w:tc>
          <w:tcPr>
            <w:tcW w:w="1133" w:type="dxa"/>
          </w:tcPr>
          <w:p w14:paraId="260B7700" w14:textId="77777777" w:rsidR="00DD13BF" w:rsidRDefault="00DD13BF" w:rsidP="00355A56">
            <w:pPr>
              <w:pStyle w:val="TableParagraph"/>
              <w:ind w:left="320"/>
            </w:pPr>
            <w:r>
              <w:t>Fund</w:t>
            </w:r>
          </w:p>
        </w:tc>
        <w:tc>
          <w:tcPr>
            <w:tcW w:w="3249" w:type="dxa"/>
          </w:tcPr>
          <w:p w14:paraId="20E10FF9" w14:textId="77777777" w:rsidR="00DD13BF" w:rsidRDefault="00DD13BF" w:rsidP="00355A56">
            <w:pPr>
              <w:pStyle w:val="TableParagraph"/>
              <w:ind w:left="907"/>
            </w:pPr>
            <w:r>
              <w:t>Category of region</w:t>
            </w:r>
          </w:p>
        </w:tc>
        <w:tc>
          <w:tcPr>
            <w:tcW w:w="3099" w:type="dxa"/>
          </w:tcPr>
          <w:p w14:paraId="752E762E" w14:textId="77777777" w:rsidR="00DD13BF" w:rsidRDefault="00DD13BF" w:rsidP="00355A56">
            <w:pPr>
              <w:pStyle w:val="TableParagraph"/>
              <w:ind w:left="948"/>
            </w:pPr>
            <w:r>
              <w:t>Specific objective</w:t>
            </w:r>
          </w:p>
        </w:tc>
        <w:tc>
          <w:tcPr>
            <w:tcW w:w="1161" w:type="dxa"/>
          </w:tcPr>
          <w:p w14:paraId="1278C1CB" w14:textId="77777777" w:rsidR="00DD13BF" w:rsidRDefault="00DD13BF" w:rsidP="00355A56">
            <w:pPr>
              <w:pStyle w:val="TableParagraph"/>
              <w:ind w:left="334"/>
            </w:pPr>
            <w:r>
              <w:t>Code</w:t>
            </w:r>
          </w:p>
        </w:tc>
        <w:tc>
          <w:tcPr>
            <w:tcW w:w="2731" w:type="dxa"/>
          </w:tcPr>
          <w:p w14:paraId="3DAF3E9F" w14:textId="77777777" w:rsidR="00DD13BF" w:rsidRDefault="00DD13BF" w:rsidP="00355A56">
            <w:pPr>
              <w:pStyle w:val="TableParagraph"/>
              <w:ind w:left="661"/>
            </w:pPr>
            <w:r>
              <w:t>Amount (in EUR)</w:t>
            </w:r>
          </w:p>
        </w:tc>
      </w:tr>
      <w:tr w:rsidR="00DD13BF" w14:paraId="767D75CD" w14:textId="77777777" w:rsidTr="00355A56">
        <w:trPr>
          <w:trHeight w:val="301"/>
        </w:trPr>
        <w:tc>
          <w:tcPr>
            <w:tcW w:w="2088" w:type="dxa"/>
          </w:tcPr>
          <w:p w14:paraId="78352720" w14:textId="77777777" w:rsidR="00DD13BF" w:rsidRDefault="00DD13BF" w:rsidP="00355A56">
            <w:pPr>
              <w:pStyle w:val="TableParagraph"/>
              <w:rPr>
                <w:sz w:val="20"/>
              </w:rPr>
            </w:pPr>
            <w:r>
              <w:rPr>
                <w:sz w:val="20"/>
              </w:rPr>
              <w:t>7</w:t>
            </w:r>
          </w:p>
        </w:tc>
        <w:tc>
          <w:tcPr>
            <w:tcW w:w="1133" w:type="dxa"/>
          </w:tcPr>
          <w:p w14:paraId="2A2AF734" w14:textId="77777777" w:rsidR="00DD13BF" w:rsidRDefault="00DD13BF" w:rsidP="00355A56">
            <w:pPr>
              <w:pStyle w:val="TableParagraph"/>
              <w:rPr>
                <w:sz w:val="20"/>
              </w:rPr>
            </w:pPr>
            <w:r>
              <w:rPr>
                <w:sz w:val="20"/>
              </w:rPr>
              <w:t>ESF+</w:t>
            </w:r>
          </w:p>
        </w:tc>
        <w:tc>
          <w:tcPr>
            <w:tcW w:w="3249" w:type="dxa"/>
          </w:tcPr>
          <w:p w14:paraId="4D5A540A" w14:textId="77777777" w:rsidR="00DD13BF" w:rsidRDefault="00DD13BF" w:rsidP="00355A56">
            <w:pPr>
              <w:pStyle w:val="TableParagraph"/>
              <w:rPr>
                <w:sz w:val="20"/>
              </w:rPr>
            </w:pPr>
            <w:r>
              <w:rPr>
                <w:sz w:val="20"/>
              </w:rPr>
              <w:t>Less developed</w:t>
            </w:r>
          </w:p>
        </w:tc>
        <w:tc>
          <w:tcPr>
            <w:tcW w:w="3099" w:type="dxa"/>
          </w:tcPr>
          <w:p w14:paraId="1D56EEC8" w14:textId="77777777" w:rsidR="00DD13BF" w:rsidRDefault="00DD13BF" w:rsidP="00355A56">
            <w:pPr>
              <w:pStyle w:val="TableParagraph"/>
              <w:rPr>
                <w:sz w:val="20"/>
              </w:rPr>
            </w:pPr>
            <w:r>
              <w:rPr>
                <w:color w:val="000000"/>
                <w:sz w:val="20"/>
              </w:rPr>
              <w:t>ESO4.11</w:t>
            </w:r>
          </w:p>
        </w:tc>
        <w:tc>
          <w:tcPr>
            <w:tcW w:w="1161" w:type="dxa"/>
          </w:tcPr>
          <w:p w14:paraId="2B133EC2" w14:textId="77777777" w:rsidR="00DD13BF" w:rsidRDefault="00DD13BF" w:rsidP="00355A56">
            <w:pPr>
              <w:pStyle w:val="TableParagraph"/>
              <w:rPr>
                <w:sz w:val="20"/>
              </w:rPr>
            </w:pPr>
            <w:r>
              <w:rPr>
                <w:sz w:val="20"/>
              </w:rPr>
              <w:t>01</w:t>
            </w:r>
          </w:p>
        </w:tc>
        <w:tc>
          <w:tcPr>
            <w:tcW w:w="2731" w:type="dxa"/>
          </w:tcPr>
          <w:p w14:paraId="1C5B52A0" w14:textId="77777777" w:rsidR="00DD13BF" w:rsidRDefault="00DD13BF" w:rsidP="00355A56">
            <w:pPr>
              <w:pStyle w:val="TableParagraph"/>
              <w:rPr>
                <w:sz w:val="20"/>
              </w:rPr>
            </w:pPr>
            <w:r>
              <w:rPr>
                <w:sz w:val="20"/>
              </w:rPr>
              <w:t>79,698,001</w:t>
            </w:r>
          </w:p>
        </w:tc>
      </w:tr>
      <w:tr w:rsidR="00DD13BF" w14:paraId="4877D2B2" w14:textId="77777777" w:rsidTr="00355A56">
        <w:trPr>
          <w:trHeight w:val="353"/>
        </w:trPr>
        <w:tc>
          <w:tcPr>
            <w:tcW w:w="2088" w:type="dxa"/>
          </w:tcPr>
          <w:p w14:paraId="461D23B9" w14:textId="77777777" w:rsidR="00DD13BF" w:rsidRDefault="00DD13BF" w:rsidP="00355A56">
            <w:pPr>
              <w:pStyle w:val="TableParagraph"/>
              <w:rPr>
                <w:sz w:val="20"/>
              </w:rPr>
            </w:pPr>
            <w:r>
              <w:rPr>
                <w:sz w:val="20"/>
              </w:rPr>
              <w:t>7</w:t>
            </w:r>
          </w:p>
        </w:tc>
        <w:tc>
          <w:tcPr>
            <w:tcW w:w="1133" w:type="dxa"/>
          </w:tcPr>
          <w:p w14:paraId="66F0398F" w14:textId="77777777" w:rsidR="00DD13BF" w:rsidRDefault="00DD13BF" w:rsidP="00355A56">
            <w:pPr>
              <w:pStyle w:val="TableParagraph"/>
              <w:rPr>
                <w:sz w:val="20"/>
              </w:rPr>
            </w:pPr>
            <w:r>
              <w:rPr>
                <w:sz w:val="20"/>
              </w:rPr>
              <w:t>ESF+</w:t>
            </w:r>
          </w:p>
        </w:tc>
        <w:tc>
          <w:tcPr>
            <w:tcW w:w="3249" w:type="dxa"/>
          </w:tcPr>
          <w:p w14:paraId="28DD1C7C" w14:textId="77777777" w:rsidR="00DD13BF" w:rsidRDefault="00DD13BF" w:rsidP="00355A56">
            <w:pPr>
              <w:pStyle w:val="TableParagraph"/>
              <w:rPr>
                <w:sz w:val="20"/>
              </w:rPr>
            </w:pPr>
            <w:r>
              <w:rPr>
                <w:sz w:val="20"/>
              </w:rPr>
              <w:t>More developed</w:t>
            </w:r>
          </w:p>
        </w:tc>
        <w:tc>
          <w:tcPr>
            <w:tcW w:w="3099" w:type="dxa"/>
          </w:tcPr>
          <w:p w14:paraId="459A8C5A" w14:textId="77777777" w:rsidR="00DD13BF" w:rsidRDefault="00DD13BF" w:rsidP="00355A56">
            <w:pPr>
              <w:pStyle w:val="TableParagraph"/>
              <w:rPr>
                <w:sz w:val="20"/>
              </w:rPr>
            </w:pPr>
            <w:r>
              <w:rPr>
                <w:color w:val="000000"/>
                <w:sz w:val="20"/>
              </w:rPr>
              <w:t>ESO4.11</w:t>
            </w:r>
          </w:p>
        </w:tc>
        <w:tc>
          <w:tcPr>
            <w:tcW w:w="1161" w:type="dxa"/>
          </w:tcPr>
          <w:p w14:paraId="5507213A" w14:textId="77777777" w:rsidR="00DD13BF" w:rsidRDefault="00DD13BF" w:rsidP="00355A56">
            <w:pPr>
              <w:pStyle w:val="TableParagraph"/>
              <w:rPr>
                <w:sz w:val="20"/>
              </w:rPr>
            </w:pPr>
            <w:r>
              <w:rPr>
                <w:sz w:val="20"/>
              </w:rPr>
              <w:t>01</w:t>
            </w:r>
          </w:p>
        </w:tc>
        <w:tc>
          <w:tcPr>
            <w:tcW w:w="2731" w:type="dxa"/>
          </w:tcPr>
          <w:p w14:paraId="0D928152" w14:textId="77777777" w:rsidR="00DD13BF" w:rsidRDefault="00DD13BF" w:rsidP="00355A56">
            <w:pPr>
              <w:pStyle w:val="TableParagraph"/>
              <w:rPr>
                <w:sz w:val="20"/>
              </w:rPr>
            </w:pPr>
            <w:r>
              <w:rPr>
                <w:sz w:val="20"/>
              </w:rPr>
              <w:t>28,354,518</w:t>
            </w:r>
          </w:p>
        </w:tc>
      </w:tr>
    </w:tbl>
    <w:p w14:paraId="37DAE170" w14:textId="77777777" w:rsidR="00DD13BF" w:rsidRDefault="00DD13BF" w:rsidP="00DD13BF">
      <w:pPr>
        <w:rPr>
          <w:sz w:val="20"/>
        </w:rPr>
        <w:sectPr w:rsidR="00DD13BF" w:rsidSect="00BD3536">
          <w:headerReference w:type="default" r:id="rId83"/>
          <w:footerReference w:type="first" r:id="rId84"/>
          <w:type w:val="continuous"/>
          <w:pgSz w:w="16840" w:h="11910" w:orient="landscape"/>
          <w:pgMar w:top="1417" w:right="1417" w:bottom="1417" w:left="1417" w:header="708" w:footer="708" w:gutter="0"/>
          <w:cols w:space="708"/>
          <w:titlePg/>
          <w:docGrid w:linePitch="299"/>
        </w:sectPr>
      </w:pPr>
    </w:p>
    <w:p w14:paraId="6307594E" w14:textId="77777777" w:rsidR="00DD13BF" w:rsidRDefault="00DD13BF" w:rsidP="00DD13BF">
      <w:pPr>
        <w:ind w:left="339"/>
      </w:pPr>
      <w:r>
        <w:lastRenderedPageBreak/>
        <w:t>Table 6: Dimension 3 – territorial delivery mechanism and territorial focus</w:t>
      </w:r>
    </w:p>
    <w:p w14:paraId="2BF9FA73"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7183F1C" w14:textId="77777777" w:rsidTr="00355A56">
        <w:trPr>
          <w:trHeight w:val="353"/>
        </w:trPr>
        <w:tc>
          <w:tcPr>
            <w:tcW w:w="2088" w:type="dxa"/>
          </w:tcPr>
          <w:p w14:paraId="3009E3F2" w14:textId="77777777" w:rsidR="00DD13BF" w:rsidRDefault="00DD13BF" w:rsidP="00355A56">
            <w:pPr>
              <w:pStyle w:val="TableParagraph"/>
              <w:ind w:left="115"/>
            </w:pPr>
            <w:r>
              <w:t>Priority no.</w:t>
            </w:r>
          </w:p>
        </w:tc>
        <w:tc>
          <w:tcPr>
            <w:tcW w:w="1132" w:type="dxa"/>
          </w:tcPr>
          <w:p w14:paraId="067A9069" w14:textId="77777777" w:rsidR="00DD13BF" w:rsidRDefault="00DD13BF" w:rsidP="00355A56">
            <w:pPr>
              <w:pStyle w:val="TableParagraph"/>
              <w:ind w:left="320"/>
            </w:pPr>
            <w:r>
              <w:t>Fund</w:t>
            </w:r>
          </w:p>
        </w:tc>
        <w:tc>
          <w:tcPr>
            <w:tcW w:w="3248" w:type="dxa"/>
          </w:tcPr>
          <w:p w14:paraId="2702C94A" w14:textId="77777777" w:rsidR="00DD13BF" w:rsidRDefault="00DD13BF" w:rsidP="00355A56">
            <w:pPr>
              <w:pStyle w:val="TableParagraph"/>
              <w:ind w:left="908"/>
            </w:pPr>
            <w:r>
              <w:t>Category of region</w:t>
            </w:r>
          </w:p>
        </w:tc>
        <w:tc>
          <w:tcPr>
            <w:tcW w:w="3098" w:type="dxa"/>
          </w:tcPr>
          <w:p w14:paraId="30F0D7C0" w14:textId="77777777" w:rsidR="00DD13BF" w:rsidRDefault="00DD13BF" w:rsidP="00355A56">
            <w:pPr>
              <w:pStyle w:val="TableParagraph"/>
              <w:ind w:left="950"/>
            </w:pPr>
            <w:r>
              <w:t>Specific objective</w:t>
            </w:r>
          </w:p>
        </w:tc>
        <w:tc>
          <w:tcPr>
            <w:tcW w:w="1160" w:type="dxa"/>
          </w:tcPr>
          <w:p w14:paraId="2291BF9D" w14:textId="77777777" w:rsidR="00DD13BF" w:rsidRDefault="00DD13BF" w:rsidP="00355A56">
            <w:pPr>
              <w:pStyle w:val="TableParagraph"/>
              <w:ind w:left="336"/>
            </w:pPr>
            <w:r>
              <w:t>Code</w:t>
            </w:r>
          </w:p>
        </w:tc>
        <w:tc>
          <w:tcPr>
            <w:tcW w:w="2730" w:type="dxa"/>
          </w:tcPr>
          <w:p w14:paraId="4C709BDD" w14:textId="77777777" w:rsidR="00DD13BF" w:rsidRDefault="00DD13BF" w:rsidP="00355A56">
            <w:pPr>
              <w:pStyle w:val="TableParagraph"/>
              <w:ind w:left="664"/>
            </w:pPr>
            <w:r>
              <w:t>Amount (in EUR)</w:t>
            </w:r>
          </w:p>
        </w:tc>
      </w:tr>
      <w:tr w:rsidR="00DD13BF" w14:paraId="7EE93638" w14:textId="77777777" w:rsidTr="00355A56">
        <w:trPr>
          <w:trHeight w:val="353"/>
        </w:trPr>
        <w:tc>
          <w:tcPr>
            <w:tcW w:w="2088" w:type="dxa"/>
          </w:tcPr>
          <w:p w14:paraId="1839D623" w14:textId="77777777" w:rsidR="00DD13BF" w:rsidRDefault="00DD13BF" w:rsidP="00355A56">
            <w:pPr>
              <w:pStyle w:val="TableParagraph"/>
              <w:rPr>
                <w:sz w:val="20"/>
              </w:rPr>
            </w:pPr>
            <w:r>
              <w:rPr>
                <w:sz w:val="20"/>
              </w:rPr>
              <w:t>7</w:t>
            </w:r>
          </w:p>
        </w:tc>
        <w:tc>
          <w:tcPr>
            <w:tcW w:w="1132" w:type="dxa"/>
          </w:tcPr>
          <w:p w14:paraId="7DD8C2B2" w14:textId="77777777" w:rsidR="00DD13BF" w:rsidRDefault="00DD13BF" w:rsidP="00355A56">
            <w:pPr>
              <w:pStyle w:val="TableParagraph"/>
              <w:rPr>
                <w:sz w:val="20"/>
              </w:rPr>
            </w:pPr>
            <w:r>
              <w:rPr>
                <w:sz w:val="20"/>
              </w:rPr>
              <w:t>ESF+</w:t>
            </w:r>
          </w:p>
        </w:tc>
        <w:tc>
          <w:tcPr>
            <w:tcW w:w="3248" w:type="dxa"/>
          </w:tcPr>
          <w:p w14:paraId="7FB21987" w14:textId="77777777" w:rsidR="00DD13BF" w:rsidRDefault="00DD13BF" w:rsidP="00355A56">
            <w:pPr>
              <w:pStyle w:val="TableParagraph"/>
              <w:rPr>
                <w:sz w:val="20"/>
              </w:rPr>
            </w:pPr>
            <w:r>
              <w:rPr>
                <w:sz w:val="20"/>
              </w:rPr>
              <w:t>Less developed</w:t>
            </w:r>
          </w:p>
        </w:tc>
        <w:tc>
          <w:tcPr>
            <w:tcW w:w="3098" w:type="dxa"/>
          </w:tcPr>
          <w:p w14:paraId="6E8A3B6A" w14:textId="77777777" w:rsidR="00DD13BF" w:rsidRDefault="00DD13BF" w:rsidP="00355A56">
            <w:pPr>
              <w:pStyle w:val="TableParagraph"/>
              <w:rPr>
                <w:sz w:val="20"/>
              </w:rPr>
            </w:pPr>
            <w:r>
              <w:rPr>
                <w:color w:val="000000"/>
                <w:sz w:val="20"/>
              </w:rPr>
              <w:t>ESO4.11</w:t>
            </w:r>
          </w:p>
        </w:tc>
        <w:tc>
          <w:tcPr>
            <w:tcW w:w="1160" w:type="dxa"/>
          </w:tcPr>
          <w:p w14:paraId="48163696" w14:textId="77777777" w:rsidR="00DD13BF" w:rsidRDefault="00DD13BF" w:rsidP="00355A56">
            <w:pPr>
              <w:pStyle w:val="TableParagraph"/>
              <w:rPr>
                <w:sz w:val="20"/>
              </w:rPr>
            </w:pPr>
            <w:r>
              <w:rPr>
                <w:sz w:val="20"/>
              </w:rPr>
              <w:t>33</w:t>
            </w:r>
          </w:p>
        </w:tc>
        <w:tc>
          <w:tcPr>
            <w:tcW w:w="2730" w:type="dxa"/>
          </w:tcPr>
          <w:p w14:paraId="1738F3AF" w14:textId="77777777" w:rsidR="00DD13BF" w:rsidRPr="001005D6" w:rsidRDefault="00DD13BF" w:rsidP="00355A56">
            <w:pPr>
              <w:pStyle w:val="TableParagraph"/>
              <w:rPr>
                <w:sz w:val="20"/>
              </w:rPr>
            </w:pPr>
            <w:r>
              <w:rPr>
                <w:sz w:val="20"/>
              </w:rPr>
              <w:t>79,698,001</w:t>
            </w:r>
          </w:p>
        </w:tc>
      </w:tr>
      <w:tr w:rsidR="00DD13BF" w14:paraId="1ECE4F27" w14:textId="77777777" w:rsidTr="00355A56">
        <w:trPr>
          <w:trHeight w:val="353"/>
        </w:trPr>
        <w:tc>
          <w:tcPr>
            <w:tcW w:w="2088" w:type="dxa"/>
          </w:tcPr>
          <w:p w14:paraId="53D204A5" w14:textId="77777777" w:rsidR="00DD13BF" w:rsidRDefault="00DD13BF" w:rsidP="00355A56">
            <w:pPr>
              <w:pStyle w:val="TableParagraph"/>
              <w:rPr>
                <w:sz w:val="20"/>
              </w:rPr>
            </w:pPr>
            <w:r>
              <w:rPr>
                <w:sz w:val="20"/>
              </w:rPr>
              <w:t>7</w:t>
            </w:r>
          </w:p>
        </w:tc>
        <w:tc>
          <w:tcPr>
            <w:tcW w:w="1132" w:type="dxa"/>
          </w:tcPr>
          <w:p w14:paraId="3B0902FC" w14:textId="77777777" w:rsidR="00DD13BF" w:rsidRDefault="00DD13BF" w:rsidP="00355A56">
            <w:pPr>
              <w:pStyle w:val="TableParagraph"/>
              <w:rPr>
                <w:sz w:val="20"/>
              </w:rPr>
            </w:pPr>
            <w:r>
              <w:rPr>
                <w:sz w:val="20"/>
              </w:rPr>
              <w:t>ESF+</w:t>
            </w:r>
          </w:p>
        </w:tc>
        <w:tc>
          <w:tcPr>
            <w:tcW w:w="3248" w:type="dxa"/>
          </w:tcPr>
          <w:p w14:paraId="63C45D9A" w14:textId="77777777" w:rsidR="00DD13BF" w:rsidRDefault="00DD13BF" w:rsidP="00355A56">
            <w:pPr>
              <w:pStyle w:val="TableParagraph"/>
              <w:rPr>
                <w:sz w:val="20"/>
              </w:rPr>
            </w:pPr>
            <w:r>
              <w:rPr>
                <w:sz w:val="20"/>
              </w:rPr>
              <w:t>More developed</w:t>
            </w:r>
          </w:p>
        </w:tc>
        <w:tc>
          <w:tcPr>
            <w:tcW w:w="3098" w:type="dxa"/>
          </w:tcPr>
          <w:p w14:paraId="7F47D7E6" w14:textId="77777777" w:rsidR="00DD13BF" w:rsidRDefault="00DD13BF" w:rsidP="00355A56">
            <w:pPr>
              <w:pStyle w:val="TableParagraph"/>
              <w:rPr>
                <w:sz w:val="20"/>
              </w:rPr>
            </w:pPr>
            <w:r>
              <w:rPr>
                <w:color w:val="000000"/>
                <w:sz w:val="20"/>
              </w:rPr>
              <w:t>ESO4.11</w:t>
            </w:r>
          </w:p>
        </w:tc>
        <w:tc>
          <w:tcPr>
            <w:tcW w:w="1160" w:type="dxa"/>
          </w:tcPr>
          <w:p w14:paraId="02329589" w14:textId="77777777" w:rsidR="00DD13BF" w:rsidRDefault="00DD13BF" w:rsidP="00355A56">
            <w:pPr>
              <w:pStyle w:val="TableParagraph"/>
              <w:rPr>
                <w:sz w:val="20"/>
              </w:rPr>
            </w:pPr>
            <w:r>
              <w:rPr>
                <w:sz w:val="20"/>
              </w:rPr>
              <w:t>33</w:t>
            </w:r>
          </w:p>
        </w:tc>
        <w:tc>
          <w:tcPr>
            <w:tcW w:w="2730" w:type="dxa"/>
          </w:tcPr>
          <w:p w14:paraId="699F495C" w14:textId="77777777" w:rsidR="00DD13BF" w:rsidRPr="001005D6" w:rsidRDefault="00DD13BF" w:rsidP="00355A56">
            <w:pPr>
              <w:pStyle w:val="TableParagraph"/>
              <w:rPr>
                <w:sz w:val="20"/>
              </w:rPr>
            </w:pPr>
            <w:r>
              <w:rPr>
                <w:sz w:val="20"/>
              </w:rPr>
              <w:t>28,354,518</w:t>
            </w:r>
          </w:p>
        </w:tc>
      </w:tr>
    </w:tbl>
    <w:p w14:paraId="6BBF57E4" w14:textId="77777777" w:rsidR="00DD13BF" w:rsidRDefault="00DD13BF" w:rsidP="00DD13BF"/>
    <w:p w14:paraId="269BC608" w14:textId="77777777" w:rsidR="00DD13BF" w:rsidRDefault="00DD13BF" w:rsidP="00DD13BF">
      <w:pPr>
        <w:ind w:left="339"/>
      </w:pPr>
      <w:r>
        <w:t>Table 7: Dimension 6 – ESF+ secondary themes</w:t>
      </w:r>
    </w:p>
    <w:p w14:paraId="4108F2A7"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1132"/>
        <w:gridCol w:w="3248"/>
        <w:gridCol w:w="3098"/>
        <w:gridCol w:w="1160"/>
        <w:gridCol w:w="2730"/>
      </w:tblGrid>
      <w:tr w:rsidR="00DD13BF" w14:paraId="40F0BC61" w14:textId="77777777" w:rsidTr="00355A56">
        <w:trPr>
          <w:trHeight w:val="353"/>
        </w:trPr>
        <w:tc>
          <w:tcPr>
            <w:tcW w:w="2126" w:type="dxa"/>
          </w:tcPr>
          <w:p w14:paraId="0F51D107" w14:textId="77777777" w:rsidR="00DD13BF" w:rsidRDefault="00DD13BF" w:rsidP="00355A56">
            <w:pPr>
              <w:pStyle w:val="TableParagraph"/>
              <w:ind w:left="115"/>
            </w:pPr>
            <w:r>
              <w:t>Priority no.</w:t>
            </w:r>
          </w:p>
        </w:tc>
        <w:tc>
          <w:tcPr>
            <w:tcW w:w="1132" w:type="dxa"/>
          </w:tcPr>
          <w:p w14:paraId="50CCC3A5" w14:textId="77777777" w:rsidR="00DD13BF" w:rsidRDefault="00DD13BF" w:rsidP="00355A56">
            <w:pPr>
              <w:pStyle w:val="TableParagraph"/>
              <w:ind w:left="321"/>
            </w:pPr>
            <w:r>
              <w:t>Fund</w:t>
            </w:r>
          </w:p>
        </w:tc>
        <w:tc>
          <w:tcPr>
            <w:tcW w:w="3248" w:type="dxa"/>
          </w:tcPr>
          <w:p w14:paraId="5A7A836E" w14:textId="77777777" w:rsidR="00DD13BF" w:rsidRDefault="00DD13BF" w:rsidP="00355A56">
            <w:pPr>
              <w:pStyle w:val="TableParagraph"/>
              <w:ind w:left="909"/>
            </w:pPr>
            <w:r>
              <w:t>Category of region</w:t>
            </w:r>
          </w:p>
        </w:tc>
        <w:tc>
          <w:tcPr>
            <w:tcW w:w="3098" w:type="dxa"/>
          </w:tcPr>
          <w:p w14:paraId="291101C8" w14:textId="77777777" w:rsidR="00DD13BF" w:rsidRDefault="00DD13BF" w:rsidP="00355A56">
            <w:pPr>
              <w:pStyle w:val="TableParagraph"/>
              <w:ind w:left="950"/>
            </w:pPr>
            <w:r>
              <w:t>Specific objective</w:t>
            </w:r>
          </w:p>
        </w:tc>
        <w:tc>
          <w:tcPr>
            <w:tcW w:w="1160" w:type="dxa"/>
          </w:tcPr>
          <w:p w14:paraId="0C7E21F0" w14:textId="77777777" w:rsidR="00DD13BF" w:rsidRDefault="00DD13BF" w:rsidP="00355A56">
            <w:pPr>
              <w:pStyle w:val="TableParagraph"/>
              <w:ind w:left="337"/>
            </w:pPr>
            <w:r>
              <w:t>Code</w:t>
            </w:r>
          </w:p>
        </w:tc>
        <w:tc>
          <w:tcPr>
            <w:tcW w:w="2730" w:type="dxa"/>
          </w:tcPr>
          <w:p w14:paraId="5DE8A437" w14:textId="77777777" w:rsidR="00DD13BF" w:rsidRDefault="00DD13BF" w:rsidP="00355A56">
            <w:pPr>
              <w:pStyle w:val="TableParagraph"/>
              <w:ind w:left="665"/>
            </w:pPr>
            <w:r>
              <w:t>Amount (in EUR)</w:t>
            </w:r>
          </w:p>
        </w:tc>
      </w:tr>
      <w:tr w:rsidR="00DD13BF" w14:paraId="0C4D7563" w14:textId="77777777" w:rsidTr="00355A56">
        <w:trPr>
          <w:trHeight w:val="353"/>
        </w:trPr>
        <w:tc>
          <w:tcPr>
            <w:tcW w:w="2126" w:type="dxa"/>
          </w:tcPr>
          <w:p w14:paraId="6E77AC61" w14:textId="77777777" w:rsidR="00DD13BF" w:rsidRDefault="00DD13BF" w:rsidP="00355A56">
            <w:pPr>
              <w:pStyle w:val="TableParagraph"/>
              <w:rPr>
                <w:sz w:val="20"/>
              </w:rPr>
            </w:pPr>
            <w:r>
              <w:rPr>
                <w:sz w:val="20"/>
              </w:rPr>
              <w:t>7</w:t>
            </w:r>
          </w:p>
        </w:tc>
        <w:tc>
          <w:tcPr>
            <w:tcW w:w="1132" w:type="dxa"/>
          </w:tcPr>
          <w:p w14:paraId="001CE899" w14:textId="77777777" w:rsidR="00DD13BF" w:rsidRDefault="00DD13BF" w:rsidP="00355A56">
            <w:pPr>
              <w:pStyle w:val="TableParagraph"/>
              <w:rPr>
                <w:sz w:val="20"/>
              </w:rPr>
            </w:pPr>
            <w:r>
              <w:rPr>
                <w:sz w:val="20"/>
              </w:rPr>
              <w:t>ESF+</w:t>
            </w:r>
          </w:p>
        </w:tc>
        <w:tc>
          <w:tcPr>
            <w:tcW w:w="3248" w:type="dxa"/>
          </w:tcPr>
          <w:p w14:paraId="7013E3A9" w14:textId="77777777" w:rsidR="00DD13BF" w:rsidRDefault="00DD13BF" w:rsidP="00355A56">
            <w:pPr>
              <w:pStyle w:val="TableParagraph"/>
              <w:rPr>
                <w:sz w:val="20"/>
              </w:rPr>
            </w:pPr>
            <w:r>
              <w:rPr>
                <w:sz w:val="20"/>
              </w:rPr>
              <w:t>Less developed</w:t>
            </w:r>
          </w:p>
        </w:tc>
        <w:tc>
          <w:tcPr>
            <w:tcW w:w="3098" w:type="dxa"/>
          </w:tcPr>
          <w:p w14:paraId="4611BF6F" w14:textId="77777777" w:rsidR="00DD13BF" w:rsidRDefault="00DD13BF" w:rsidP="00355A56">
            <w:pPr>
              <w:pStyle w:val="TableParagraph"/>
              <w:rPr>
                <w:sz w:val="20"/>
              </w:rPr>
            </w:pPr>
            <w:r>
              <w:rPr>
                <w:color w:val="000000"/>
                <w:sz w:val="20"/>
              </w:rPr>
              <w:t>ESO4.11</w:t>
            </w:r>
          </w:p>
        </w:tc>
        <w:tc>
          <w:tcPr>
            <w:tcW w:w="1160" w:type="dxa"/>
          </w:tcPr>
          <w:p w14:paraId="31E9E2E9" w14:textId="77777777" w:rsidR="00DD13BF" w:rsidRDefault="00DD13BF" w:rsidP="00355A56">
            <w:pPr>
              <w:pStyle w:val="TableParagraph"/>
              <w:rPr>
                <w:sz w:val="20"/>
              </w:rPr>
            </w:pPr>
            <w:r>
              <w:rPr>
                <w:sz w:val="20"/>
              </w:rPr>
              <w:t>02</w:t>
            </w:r>
          </w:p>
        </w:tc>
        <w:tc>
          <w:tcPr>
            <w:tcW w:w="2730" w:type="dxa"/>
          </w:tcPr>
          <w:p w14:paraId="74B2D976" w14:textId="77777777" w:rsidR="00DD13BF" w:rsidRDefault="00DD13BF" w:rsidP="00355A56">
            <w:pPr>
              <w:pStyle w:val="TableParagraph"/>
              <w:rPr>
                <w:sz w:val="20"/>
              </w:rPr>
            </w:pPr>
            <w:r>
              <w:rPr>
                <w:sz w:val="20"/>
              </w:rPr>
              <w:t>6,620,000</w:t>
            </w:r>
          </w:p>
        </w:tc>
      </w:tr>
      <w:tr w:rsidR="00DD13BF" w14:paraId="3621EC1C" w14:textId="77777777" w:rsidTr="00355A56">
        <w:trPr>
          <w:trHeight w:val="353"/>
        </w:trPr>
        <w:tc>
          <w:tcPr>
            <w:tcW w:w="2126" w:type="dxa"/>
          </w:tcPr>
          <w:p w14:paraId="129D11A3" w14:textId="77777777" w:rsidR="00DD13BF" w:rsidRDefault="00DD13BF" w:rsidP="00355A56">
            <w:pPr>
              <w:pStyle w:val="TableParagraph"/>
              <w:rPr>
                <w:sz w:val="20"/>
              </w:rPr>
            </w:pPr>
            <w:r>
              <w:rPr>
                <w:sz w:val="20"/>
              </w:rPr>
              <w:t>7</w:t>
            </w:r>
          </w:p>
        </w:tc>
        <w:tc>
          <w:tcPr>
            <w:tcW w:w="1132" w:type="dxa"/>
          </w:tcPr>
          <w:p w14:paraId="2EBA564F" w14:textId="77777777" w:rsidR="00DD13BF" w:rsidRDefault="00DD13BF" w:rsidP="00355A56">
            <w:pPr>
              <w:pStyle w:val="TableParagraph"/>
              <w:rPr>
                <w:sz w:val="20"/>
              </w:rPr>
            </w:pPr>
            <w:r>
              <w:rPr>
                <w:sz w:val="20"/>
              </w:rPr>
              <w:t>ESF+</w:t>
            </w:r>
          </w:p>
        </w:tc>
        <w:tc>
          <w:tcPr>
            <w:tcW w:w="3248" w:type="dxa"/>
          </w:tcPr>
          <w:p w14:paraId="3D8DE21A" w14:textId="77777777" w:rsidR="00DD13BF" w:rsidRDefault="00DD13BF" w:rsidP="00355A56">
            <w:pPr>
              <w:pStyle w:val="TableParagraph"/>
              <w:rPr>
                <w:sz w:val="20"/>
              </w:rPr>
            </w:pPr>
            <w:r>
              <w:rPr>
                <w:sz w:val="20"/>
              </w:rPr>
              <w:t>More developed</w:t>
            </w:r>
          </w:p>
        </w:tc>
        <w:tc>
          <w:tcPr>
            <w:tcW w:w="3098" w:type="dxa"/>
          </w:tcPr>
          <w:p w14:paraId="0727CB47" w14:textId="77777777" w:rsidR="00DD13BF" w:rsidRDefault="00DD13BF" w:rsidP="00355A56">
            <w:pPr>
              <w:pStyle w:val="TableParagraph"/>
              <w:rPr>
                <w:sz w:val="20"/>
              </w:rPr>
            </w:pPr>
            <w:r>
              <w:rPr>
                <w:color w:val="000000"/>
                <w:sz w:val="20"/>
              </w:rPr>
              <w:t>ESO4.11</w:t>
            </w:r>
          </w:p>
        </w:tc>
        <w:tc>
          <w:tcPr>
            <w:tcW w:w="1160" w:type="dxa"/>
          </w:tcPr>
          <w:p w14:paraId="1CAE0F61" w14:textId="77777777" w:rsidR="00DD13BF" w:rsidRDefault="00DD13BF" w:rsidP="00355A56">
            <w:pPr>
              <w:pStyle w:val="TableParagraph"/>
              <w:rPr>
                <w:sz w:val="20"/>
              </w:rPr>
            </w:pPr>
            <w:r>
              <w:rPr>
                <w:sz w:val="20"/>
              </w:rPr>
              <w:t>02</w:t>
            </w:r>
          </w:p>
        </w:tc>
        <w:tc>
          <w:tcPr>
            <w:tcW w:w="2730" w:type="dxa"/>
          </w:tcPr>
          <w:p w14:paraId="5C90B2A3" w14:textId="77777777" w:rsidR="00DD13BF" w:rsidRDefault="00DD13BF" w:rsidP="00355A56">
            <w:pPr>
              <w:pStyle w:val="TableParagraph"/>
              <w:rPr>
                <w:sz w:val="20"/>
              </w:rPr>
            </w:pPr>
            <w:r>
              <w:rPr>
                <w:sz w:val="20"/>
              </w:rPr>
              <w:t>3,910,000</w:t>
            </w:r>
          </w:p>
        </w:tc>
      </w:tr>
      <w:tr w:rsidR="00DD13BF" w14:paraId="2F11B0A1" w14:textId="77777777" w:rsidTr="00355A56">
        <w:trPr>
          <w:trHeight w:val="353"/>
        </w:trPr>
        <w:tc>
          <w:tcPr>
            <w:tcW w:w="2126" w:type="dxa"/>
          </w:tcPr>
          <w:p w14:paraId="4E6BC04B" w14:textId="77777777" w:rsidR="00DD13BF" w:rsidRDefault="00DD13BF" w:rsidP="00355A56">
            <w:pPr>
              <w:pStyle w:val="TableParagraph"/>
              <w:rPr>
                <w:sz w:val="20"/>
              </w:rPr>
            </w:pPr>
            <w:r>
              <w:rPr>
                <w:sz w:val="20"/>
              </w:rPr>
              <w:t>7</w:t>
            </w:r>
          </w:p>
        </w:tc>
        <w:tc>
          <w:tcPr>
            <w:tcW w:w="1132" w:type="dxa"/>
          </w:tcPr>
          <w:p w14:paraId="16BCDA16" w14:textId="77777777" w:rsidR="00DD13BF" w:rsidRDefault="00DD13BF" w:rsidP="00355A56">
            <w:pPr>
              <w:pStyle w:val="TableParagraph"/>
              <w:rPr>
                <w:sz w:val="20"/>
              </w:rPr>
            </w:pPr>
            <w:r>
              <w:rPr>
                <w:sz w:val="20"/>
              </w:rPr>
              <w:t>ESF+</w:t>
            </w:r>
          </w:p>
        </w:tc>
        <w:tc>
          <w:tcPr>
            <w:tcW w:w="3248" w:type="dxa"/>
          </w:tcPr>
          <w:p w14:paraId="6607337D" w14:textId="77777777" w:rsidR="00DD13BF" w:rsidRDefault="00DD13BF" w:rsidP="00355A56">
            <w:pPr>
              <w:pStyle w:val="TableParagraph"/>
              <w:rPr>
                <w:sz w:val="20"/>
              </w:rPr>
            </w:pPr>
            <w:r>
              <w:rPr>
                <w:sz w:val="20"/>
              </w:rPr>
              <w:t>Less developed</w:t>
            </w:r>
          </w:p>
        </w:tc>
        <w:tc>
          <w:tcPr>
            <w:tcW w:w="3098" w:type="dxa"/>
          </w:tcPr>
          <w:p w14:paraId="3D4F36C6" w14:textId="77777777" w:rsidR="00DD13BF" w:rsidRDefault="00DD13BF" w:rsidP="00355A56">
            <w:pPr>
              <w:pStyle w:val="TableParagraph"/>
              <w:rPr>
                <w:sz w:val="20"/>
              </w:rPr>
            </w:pPr>
            <w:r>
              <w:rPr>
                <w:color w:val="000000"/>
                <w:sz w:val="20"/>
              </w:rPr>
              <w:t>ESO4.11</w:t>
            </w:r>
          </w:p>
        </w:tc>
        <w:tc>
          <w:tcPr>
            <w:tcW w:w="1160" w:type="dxa"/>
          </w:tcPr>
          <w:p w14:paraId="22F52725" w14:textId="77777777" w:rsidR="00DD13BF" w:rsidRDefault="00DD13BF" w:rsidP="00355A56">
            <w:pPr>
              <w:pStyle w:val="TableParagraph"/>
              <w:rPr>
                <w:sz w:val="20"/>
              </w:rPr>
            </w:pPr>
            <w:r>
              <w:rPr>
                <w:sz w:val="20"/>
              </w:rPr>
              <w:t>08</w:t>
            </w:r>
          </w:p>
        </w:tc>
        <w:tc>
          <w:tcPr>
            <w:tcW w:w="2730" w:type="dxa"/>
          </w:tcPr>
          <w:p w14:paraId="31EB686B" w14:textId="77777777" w:rsidR="00DD13BF" w:rsidRDefault="00DD13BF" w:rsidP="00355A56">
            <w:pPr>
              <w:pStyle w:val="TableParagraph"/>
              <w:rPr>
                <w:sz w:val="20"/>
              </w:rPr>
            </w:pPr>
            <w:r>
              <w:rPr>
                <w:sz w:val="20"/>
              </w:rPr>
              <w:t>1,028,001</w:t>
            </w:r>
          </w:p>
        </w:tc>
      </w:tr>
      <w:tr w:rsidR="00DD13BF" w14:paraId="54EA9535" w14:textId="77777777" w:rsidTr="00355A56">
        <w:trPr>
          <w:trHeight w:val="353"/>
        </w:trPr>
        <w:tc>
          <w:tcPr>
            <w:tcW w:w="2126" w:type="dxa"/>
          </w:tcPr>
          <w:p w14:paraId="54B1EF92" w14:textId="77777777" w:rsidR="00DD13BF" w:rsidRDefault="00DD13BF" w:rsidP="00355A56">
            <w:pPr>
              <w:pStyle w:val="TableParagraph"/>
              <w:rPr>
                <w:sz w:val="20"/>
              </w:rPr>
            </w:pPr>
            <w:r>
              <w:rPr>
                <w:sz w:val="20"/>
              </w:rPr>
              <w:t>7</w:t>
            </w:r>
          </w:p>
        </w:tc>
        <w:tc>
          <w:tcPr>
            <w:tcW w:w="1132" w:type="dxa"/>
          </w:tcPr>
          <w:p w14:paraId="4940A122" w14:textId="77777777" w:rsidR="00DD13BF" w:rsidRDefault="00DD13BF" w:rsidP="00355A56">
            <w:pPr>
              <w:pStyle w:val="TableParagraph"/>
              <w:rPr>
                <w:sz w:val="20"/>
              </w:rPr>
            </w:pPr>
            <w:r>
              <w:rPr>
                <w:sz w:val="20"/>
              </w:rPr>
              <w:t>ESF+</w:t>
            </w:r>
          </w:p>
        </w:tc>
        <w:tc>
          <w:tcPr>
            <w:tcW w:w="3248" w:type="dxa"/>
          </w:tcPr>
          <w:p w14:paraId="4F72812C" w14:textId="77777777" w:rsidR="00DD13BF" w:rsidRDefault="00DD13BF" w:rsidP="00355A56">
            <w:pPr>
              <w:pStyle w:val="TableParagraph"/>
              <w:rPr>
                <w:sz w:val="20"/>
              </w:rPr>
            </w:pPr>
            <w:r>
              <w:rPr>
                <w:sz w:val="20"/>
              </w:rPr>
              <w:t>More developed</w:t>
            </w:r>
          </w:p>
        </w:tc>
        <w:tc>
          <w:tcPr>
            <w:tcW w:w="3098" w:type="dxa"/>
          </w:tcPr>
          <w:p w14:paraId="76D25D6E" w14:textId="77777777" w:rsidR="00DD13BF" w:rsidRDefault="00DD13BF" w:rsidP="00355A56">
            <w:pPr>
              <w:pStyle w:val="TableParagraph"/>
              <w:rPr>
                <w:sz w:val="20"/>
              </w:rPr>
            </w:pPr>
            <w:r>
              <w:rPr>
                <w:color w:val="000000"/>
                <w:sz w:val="20"/>
              </w:rPr>
              <w:t>ESO4.11</w:t>
            </w:r>
          </w:p>
        </w:tc>
        <w:tc>
          <w:tcPr>
            <w:tcW w:w="1160" w:type="dxa"/>
          </w:tcPr>
          <w:p w14:paraId="7F574D1A" w14:textId="77777777" w:rsidR="00DD13BF" w:rsidRDefault="00DD13BF" w:rsidP="00355A56">
            <w:pPr>
              <w:pStyle w:val="TableParagraph"/>
              <w:rPr>
                <w:sz w:val="20"/>
              </w:rPr>
            </w:pPr>
            <w:r>
              <w:rPr>
                <w:sz w:val="20"/>
              </w:rPr>
              <w:t>08</w:t>
            </w:r>
          </w:p>
        </w:tc>
        <w:tc>
          <w:tcPr>
            <w:tcW w:w="2730" w:type="dxa"/>
          </w:tcPr>
          <w:p w14:paraId="5335E04C" w14:textId="77777777" w:rsidR="00DD13BF" w:rsidRDefault="00DD13BF" w:rsidP="00355A56">
            <w:pPr>
              <w:pStyle w:val="TableParagraph"/>
              <w:rPr>
                <w:sz w:val="20"/>
              </w:rPr>
            </w:pPr>
            <w:r>
              <w:rPr>
                <w:sz w:val="20"/>
              </w:rPr>
              <w:t>950,400</w:t>
            </w:r>
          </w:p>
        </w:tc>
      </w:tr>
      <w:tr w:rsidR="00DD13BF" w14:paraId="1B89474D" w14:textId="77777777" w:rsidTr="00355A56">
        <w:trPr>
          <w:trHeight w:val="353"/>
        </w:trPr>
        <w:tc>
          <w:tcPr>
            <w:tcW w:w="2126" w:type="dxa"/>
          </w:tcPr>
          <w:p w14:paraId="466AE4AD" w14:textId="77777777" w:rsidR="00DD13BF" w:rsidRDefault="00DD13BF" w:rsidP="00355A56">
            <w:pPr>
              <w:pStyle w:val="TableParagraph"/>
              <w:rPr>
                <w:sz w:val="20"/>
              </w:rPr>
            </w:pPr>
            <w:r>
              <w:rPr>
                <w:sz w:val="20"/>
              </w:rPr>
              <w:t>7</w:t>
            </w:r>
          </w:p>
        </w:tc>
        <w:tc>
          <w:tcPr>
            <w:tcW w:w="1132" w:type="dxa"/>
          </w:tcPr>
          <w:p w14:paraId="0DD39332" w14:textId="77777777" w:rsidR="00DD13BF" w:rsidRDefault="00DD13BF" w:rsidP="00355A56">
            <w:pPr>
              <w:pStyle w:val="TableParagraph"/>
              <w:rPr>
                <w:sz w:val="20"/>
              </w:rPr>
            </w:pPr>
            <w:r>
              <w:rPr>
                <w:sz w:val="20"/>
              </w:rPr>
              <w:t>ESF+</w:t>
            </w:r>
          </w:p>
        </w:tc>
        <w:tc>
          <w:tcPr>
            <w:tcW w:w="3248" w:type="dxa"/>
          </w:tcPr>
          <w:p w14:paraId="08C2B08C" w14:textId="77777777" w:rsidR="00DD13BF" w:rsidRDefault="00DD13BF" w:rsidP="00355A56">
            <w:pPr>
              <w:pStyle w:val="TableParagraph"/>
              <w:rPr>
                <w:sz w:val="20"/>
              </w:rPr>
            </w:pPr>
            <w:r>
              <w:rPr>
                <w:sz w:val="20"/>
              </w:rPr>
              <w:t>Less developed</w:t>
            </w:r>
          </w:p>
        </w:tc>
        <w:tc>
          <w:tcPr>
            <w:tcW w:w="3098" w:type="dxa"/>
          </w:tcPr>
          <w:p w14:paraId="2FFB93FF" w14:textId="77777777" w:rsidR="00DD13BF" w:rsidRPr="00A05DE2" w:rsidRDefault="00DD13BF" w:rsidP="00355A56">
            <w:pPr>
              <w:pStyle w:val="TableParagraph"/>
              <w:rPr>
                <w:color w:val="000000"/>
                <w:sz w:val="20"/>
              </w:rPr>
            </w:pPr>
            <w:r>
              <w:rPr>
                <w:color w:val="000000"/>
                <w:sz w:val="20"/>
              </w:rPr>
              <w:t>ESO4.11</w:t>
            </w:r>
          </w:p>
        </w:tc>
        <w:tc>
          <w:tcPr>
            <w:tcW w:w="1160" w:type="dxa"/>
          </w:tcPr>
          <w:p w14:paraId="61696CC2" w14:textId="77777777" w:rsidR="00DD13BF" w:rsidRDefault="00DD13BF" w:rsidP="00355A56">
            <w:pPr>
              <w:pStyle w:val="TableParagraph"/>
              <w:rPr>
                <w:sz w:val="20"/>
              </w:rPr>
            </w:pPr>
            <w:r>
              <w:rPr>
                <w:sz w:val="20"/>
              </w:rPr>
              <w:t>09</w:t>
            </w:r>
          </w:p>
        </w:tc>
        <w:tc>
          <w:tcPr>
            <w:tcW w:w="2730" w:type="dxa"/>
          </w:tcPr>
          <w:p w14:paraId="247E477D" w14:textId="77777777" w:rsidR="00DD13BF" w:rsidRDefault="00DD13BF" w:rsidP="00355A56">
            <w:pPr>
              <w:pStyle w:val="TableParagraph"/>
              <w:rPr>
                <w:sz w:val="20"/>
              </w:rPr>
            </w:pPr>
            <w:r>
              <w:rPr>
                <w:sz w:val="20"/>
              </w:rPr>
              <w:t>61,550,000</w:t>
            </w:r>
          </w:p>
        </w:tc>
      </w:tr>
      <w:tr w:rsidR="00DD13BF" w14:paraId="40D13377" w14:textId="77777777" w:rsidTr="00355A56">
        <w:trPr>
          <w:trHeight w:val="353"/>
        </w:trPr>
        <w:tc>
          <w:tcPr>
            <w:tcW w:w="2126" w:type="dxa"/>
          </w:tcPr>
          <w:p w14:paraId="7C8113FC" w14:textId="77777777" w:rsidR="00DD13BF" w:rsidRDefault="00DD13BF" w:rsidP="00355A56">
            <w:pPr>
              <w:pStyle w:val="TableParagraph"/>
              <w:rPr>
                <w:sz w:val="20"/>
              </w:rPr>
            </w:pPr>
            <w:r>
              <w:rPr>
                <w:sz w:val="20"/>
              </w:rPr>
              <w:t>7</w:t>
            </w:r>
          </w:p>
        </w:tc>
        <w:tc>
          <w:tcPr>
            <w:tcW w:w="1132" w:type="dxa"/>
          </w:tcPr>
          <w:p w14:paraId="7EE8A188" w14:textId="77777777" w:rsidR="00DD13BF" w:rsidRDefault="00DD13BF" w:rsidP="00355A56">
            <w:pPr>
              <w:pStyle w:val="TableParagraph"/>
              <w:rPr>
                <w:sz w:val="20"/>
              </w:rPr>
            </w:pPr>
            <w:r>
              <w:rPr>
                <w:sz w:val="20"/>
              </w:rPr>
              <w:t>ESF+</w:t>
            </w:r>
          </w:p>
        </w:tc>
        <w:tc>
          <w:tcPr>
            <w:tcW w:w="3248" w:type="dxa"/>
          </w:tcPr>
          <w:p w14:paraId="3D89C954" w14:textId="77777777" w:rsidR="00DD13BF" w:rsidRDefault="00DD13BF" w:rsidP="00355A56">
            <w:pPr>
              <w:pStyle w:val="TableParagraph"/>
              <w:rPr>
                <w:sz w:val="20"/>
              </w:rPr>
            </w:pPr>
            <w:r>
              <w:rPr>
                <w:sz w:val="20"/>
              </w:rPr>
              <w:t>More developed</w:t>
            </w:r>
          </w:p>
        </w:tc>
        <w:tc>
          <w:tcPr>
            <w:tcW w:w="3098" w:type="dxa"/>
          </w:tcPr>
          <w:p w14:paraId="69FD7D25" w14:textId="77777777" w:rsidR="00DD13BF" w:rsidRPr="00A05DE2" w:rsidRDefault="00DD13BF" w:rsidP="00355A56">
            <w:pPr>
              <w:pStyle w:val="TableParagraph"/>
              <w:rPr>
                <w:color w:val="000000"/>
                <w:sz w:val="20"/>
              </w:rPr>
            </w:pPr>
            <w:r>
              <w:rPr>
                <w:color w:val="000000"/>
                <w:sz w:val="20"/>
              </w:rPr>
              <w:t>ESO4.11</w:t>
            </w:r>
          </w:p>
        </w:tc>
        <w:tc>
          <w:tcPr>
            <w:tcW w:w="1160" w:type="dxa"/>
          </w:tcPr>
          <w:p w14:paraId="3CB6E848" w14:textId="77777777" w:rsidR="00DD13BF" w:rsidRDefault="00DD13BF" w:rsidP="00355A56">
            <w:pPr>
              <w:pStyle w:val="TableParagraph"/>
              <w:rPr>
                <w:sz w:val="20"/>
              </w:rPr>
            </w:pPr>
            <w:r>
              <w:rPr>
                <w:sz w:val="20"/>
              </w:rPr>
              <w:t>09</w:t>
            </w:r>
          </w:p>
        </w:tc>
        <w:tc>
          <w:tcPr>
            <w:tcW w:w="2730" w:type="dxa"/>
          </w:tcPr>
          <w:p w14:paraId="4FF9E4F4" w14:textId="77777777" w:rsidR="00DD13BF" w:rsidRDefault="00DD13BF" w:rsidP="00355A56">
            <w:pPr>
              <w:pStyle w:val="TableParagraph"/>
              <w:rPr>
                <w:sz w:val="20"/>
              </w:rPr>
            </w:pPr>
            <w:r>
              <w:rPr>
                <w:sz w:val="20"/>
              </w:rPr>
              <w:t>18,994,118</w:t>
            </w:r>
          </w:p>
        </w:tc>
      </w:tr>
      <w:tr w:rsidR="00DD13BF" w14:paraId="13E20DCE" w14:textId="77777777" w:rsidTr="00355A56">
        <w:trPr>
          <w:trHeight w:val="353"/>
        </w:trPr>
        <w:tc>
          <w:tcPr>
            <w:tcW w:w="2126" w:type="dxa"/>
          </w:tcPr>
          <w:p w14:paraId="34B0395E" w14:textId="77777777" w:rsidR="00DD13BF" w:rsidRDefault="00DD13BF" w:rsidP="00355A56">
            <w:pPr>
              <w:pStyle w:val="TableParagraph"/>
              <w:rPr>
                <w:sz w:val="20"/>
              </w:rPr>
            </w:pPr>
            <w:r>
              <w:rPr>
                <w:sz w:val="20"/>
              </w:rPr>
              <w:t>7</w:t>
            </w:r>
          </w:p>
        </w:tc>
        <w:tc>
          <w:tcPr>
            <w:tcW w:w="1132" w:type="dxa"/>
          </w:tcPr>
          <w:p w14:paraId="67959C85" w14:textId="77777777" w:rsidR="00DD13BF" w:rsidRDefault="00DD13BF" w:rsidP="00355A56">
            <w:pPr>
              <w:pStyle w:val="TableParagraph"/>
              <w:rPr>
                <w:sz w:val="20"/>
              </w:rPr>
            </w:pPr>
            <w:r>
              <w:rPr>
                <w:sz w:val="20"/>
              </w:rPr>
              <w:t>ESF+</w:t>
            </w:r>
          </w:p>
        </w:tc>
        <w:tc>
          <w:tcPr>
            <w:tcW w:w="3248" w:type="dxa"/>
          </w:tcPr>
          <w:p w14:paraId="71A27E31" w14:textId="77777777" w:rsidR="00DD13BF" w:rsidRDefault="00DD13BF" w:rsidP="00355A56">
            <w:pPr>
              <w:pStyle w:val="TableParagraph"/>
              <w:rPr>
                <w:sz w:val="20"/>
              </w:rPr>
            </w:pPr>
            <w:r>
              <w:rPr>
                <w:sz w:val="20"/>
              </w:rPr>
              <w:t>Less developed</w:t>
            </w:r>
          </w:p>
        </w:tc>
        <w:tc>
          <w:tcPr>
            <w:tcW w:w="3098" w:type="dxa"/>
          </w:tcPr>
          <w:p w14:paraId="01D022E1" w14:textId="77777777" w:rsidR="00DD13BF" w:rsidRPr="00A05DE2" w:rsidRDefault="00DD13BF" w:rsidP="00355A56">
            <w:pPr>
              <w:pStyle w:val="TableParagraph"/>
              <w:rPr>
                <w:color w:val="000000"/>
                <w:sz w:val="20"/>
              </w:rPr>
            </w:pPr>
            <w:r>
              <w:rPr>
                <w:color w:val="000000"/>
                <w:sz w:val="20"/>
              </w:rPr>
              <w:t>ESO4.11</w:t>
            </w:r>
          </w:p>
        </w:tc>
        <w:tc>
          <w:tcPr>
            <w:tcW w:w="1160" w:type="dxa"/>
          </w:tcPr>
          <w:p w14:paraId="28D6B5A1" w14:textId="77777777" w:rsidR="00DD13BF" w:rsidRDefault="00DD13BF" w:rsidP="00355A56">
            <w:pPr>
              <w:pStyle w:val="TableParagraph"/>
              <w:rPr>
                <w:sz w:val="20"/>
              </w:rPr>
            </w:pPr>
            <w:r>
              <w:rPr>
                <w:sz w:val="20"/>
              </w:rPr>
              <w:t>10</w:t>
            </w:r>
          </w:p>
        </w:tc>
        <w:tc>
          <w:tcPr>
            <w:tcW w:w="2730" w:type="dxa"/>
          </w:tcPr>
          <w:p w14:paraId="5002BB8E" w14:textId="77777777" w:rsidR="00DD13BF" w:rsidRDefault="00DD13BF" w:rsidP="00355A56">
            <w:pPr>
              <w:pStyle w:val="TableParagraph"/>
              <w:rPr>
                <w:sz w:val="20"/>
              </w:rPr>
            </w:pPr>
            <w:r>
              <w:rPr>
                <w:sz w:val="20"/>
              </w:rPr>
              <w:t>10,500,000</w:t>
            </w:r>
          </w:p>
        </w:tc>
      </w:tr>
      <w:tr w:rsidR="00DD13BF" w14:paraId="26E8850A" w14:textId="77777777" w:rsidTr="00355A56">
        <w:trPr>
          <w:trHeight w:val="353"/>
        </w:trPr>
        <w:tc>
          <w:tcPr>
            <w:tcW w:w="2126" w:type="dxa"/>
          </w:tcPr>
          <w:p w14:paraId="62385BCB" w14:textId="77777777" w:rsidR="00DD13BF" w:rsidRDefault="00DD13BF" w:rsidP="00355A56">
            <w:pPr>
              <w:pStyle w:val="TableParagraph"/>
              <w:rPr>
                <w:sz w:val="20"/>
              </w:rPr>
            </w:pPr>
            <w:r>
              <w:rPr>
                <w:sz w:val="20"/>
              </w:rPr>
              <w:t>7</w:t>
            </w:r>
          </w:p>
        </w:tc>
        <w:tc>
          <w:tcPr>
            <w:tcW w:w="1132" w:type="dxa"/>
          </w:tcPr>
          <w:p w14:paraId="27267149" w14:textId="77777777" w:rsidR="00DD13BF" w:rsidRDefault="00DD13BF" w:rsidP="00355A56">
            <w:pPr>
              <w:pStyle w:val="TableParagraph"/>
              <w:rPr>
                <w:sz w:val="20"/>
              </w:rPr>
            </w:pPr>
            <w:r>
              <w:rPr>
                <w:sz w:val="20"/>
              </w:rPr>
              <w:t>ESF+</w:t>
            </w:r>
          </w:p>
        </w:tc>
        <w:tc>
          <w:tcPr>
            <w:tcW w:w="3248" w:type="dxa"/>
          </w:tcPr>
          <w:p w14:paraId="08D4BEA3" w14:textId="77777777" w:rsidR="00DD13BF" w:rsidRDefault="00DD13BF" w:rsidP="00355A56">
            <w:pPr>
              <w:pStyle w:val="TableParagraph"/>
              <w:rPr>
                <w:sz w:val="20"/>
              </w:rPr>
            </w:pPr>
            <w:r>
              <w:rPr>
                <w:sz w:val="20"/>
              </w:rPr>
              <w:t>More developed</w:t>
            </w:r>
          </w:p>
        </w:tc>
        <w:tc>
          <w:tcPr>
            <w:tcW w:w="3098" w:type="dxa"/>
          </w:tcPr>
          <w:p w14:paraId="64A220C5" w14:textId="77777777" w:rsidR="00DD13BF" w:rsidRPr="00A05DE2" w:rsidRDefault="00DD13BF" w:rsidP="00355A56">
            <w:pPr>
              <w:pStyle w:val="TableParagraph"/>
              <w:rPr>
                <w:color w:val="000000"/>
                <w:sz w:val="20"/>
              </w:rPr>
            </w:pPr>
            <w:r>
              <w:rPr>
                <w:color w:val="000000"/>
                <w:sz w:val="20"/>
              </w:rPr>
              <w:t>ESO4.11</w:t>
            </w:r>
          </w:p>
        </w:tc>
        <w:tc>
          <w:tcPr>
            <w:tcW w:w="1160" w:type="dxa"/>
          </w:tcPr>
          <w:p w14:paraId="3AD01031" w14:textId="77777777" w:rsidR="00DD13BF" w:rsidRDefault="00DD13BF" w:rsidP="00355A56">
            <w:pPr>
              <w:pStyle w:val="TableParagraph"/>
              <w:rPr>
                <w:sz w:val="20"/>
              </w:rPr>
            </w:pPr>
            <w:r>
              <w:rPr>
                <w:sz w:val="20"/>
              </w:rPr>
              <w:t>10</w:t>
            </w:r>
          </w:p>
        </w:tc>
        <w:tc>
          <w:tcPr>
            <w:tcW w:w="2730" w:type="dxa"/>
          </w:tcPr>
          <w:p w14:paraId="5B09ED7C" w14:textId="77777777" w:rsidR="00DD13BF" w:rsidRDefault="00DD13BF" w:rsidP="00355A56">
            <w:pPr>
              <w:pStyle w:val="TableParagraph"/>
              <w:rPr>
                <w:sz w:val="20"/>
              </w:rPr>
            </w:pPr>
            <w:r>
              <w:rPr>
                <w:sz w:val="20"/>
              </w:rPr>
              <w:t>4,500,000</w:t>
            </w:r>
          </w:p>
        </w:tc>
      </w:tr>
    </w:tbl>
    <w:p w14:paraId="4144A60D" w14:textId="77777777" w:rsidR="00DD13BF" w:rsidRPr="00673ADB" w:rsidRDefault="00DD13BF" w:rsidP="00DD13BF"/>
    <w:p w14:paraId="01A31D43" w14:textId="77777777" w:rsidR="00DD13BF" w:rsidRDefault="00DD13BF" w:rsidP="00DD13BF">
      <w:pPr>
        <w:ind w:left="339"/>
      </w:pPr>
      <w:r>
        <w:t>Table 8: Dimension 7 – ESF+*, ERDF, Cohesion Fund and JTF gender equality dimension</w:t>
      </w:r>
    </w:p>
    <w:p w14:paraId="69A65354"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2464664" w14:textId="77777777" w:rsidTr="00355A56">
        <w:trPr>
          <w:trHeight w:val="353"/>
        </w:trPr>
        <w:tc>
          <w:tcPr>
            <w:tcW w:w="2088" w:type="dxa"/>
          </w:tcPr>
          <w:p w14:paraId="2CD79C01" w14:textId="77777777" w:rsidR="00DD13BF" w:rsidRDefault="00DD13BF" w:rsidP="00355A56">
            <w:pPr>
              <w:pStyle w:val="TableParagraph"/>
              <w:ind w:left="115"/>
            </w:pPr>
            <w:r>
              <w:t>Priority no.</w:t>
            </w:r>
          </w:p>
        </w:tc>
        <w:tc>
          <w:tcPr>
            <w:tcW w:w="1132" w:type="dxa"/>
          </w:tcPr>
          <w:p w14:paraId="6688932D" w14:textId="77777777" w:rsidR="00DD13BF" w:rsidRDefault="00DD13BF" w:rsidP="00355A56">
            <w:pPr>
              <w:pStyle w:val="TableParagraph"/>
              <w:ind w:left="320"/>
            </w:pPr>
            <w:r>
              <w:t>Fund</w:t>
            </w:r>
          </w:p>
        </w:tc>
        <w:tc>
          <w:tcPr>
            <w:tcW w:w="3248" w:type="dxa"/>
          </w:tcPr>
          <w:p w14:paraId="208303C2" w14:textId="77777777" w:rsidR="00DD13BF" w:rsidRDefault="00DD13BF" w:rsidP="00355A56">
            <w:pPr>
              <w:pStyle w:val="TableParagraph"/>
              <w:ind w:left="908"/>
            </w:pPr>
            <w:r>
              <w:t>Category of region</w:t>
            </w:r>
          </w:p>
        </w:tc>
        <w:tc>
          <w:tcPr>
            <w:tcW w:w="3098" w:type="dxa"/>
          </w:tcPr>
          <w:p w14:paraId="5D33FE38" w14:textId="77777777" w:rsidR="00DD13BF" w:rsidRDefault="00DD13BF" w:rsidP="00355A56">
            <w:pPr>
              <w:pStyle w:val="TableParagraph"/>
              <w:ind w:left="950"/>
            </w:pPr>
            <w:r>
              <w:t>Specific objective</w:t>
            </w:r>
          </w:p>
        </w:tc>
        <w:tc>
          <w:tcPr>
            <w:tcW w:w="1160" w:type="dxa"/>
          </w:tcPr>
          <w:p w14:paraId="2EAC94E5" w14:textId="77777777" w:rsidR="00DD13BF" w:rsidRDefault="00DD13BF" w:rsidP="00355A56">
            <w:pPr>
              <w:pStyle w:val="TableParagraph"/>
              <w:ind w:left="336"/>
            </w:pPr>
            <w:r>
              <w:t>Code</w:t>
            </w:r>
          </w:p>
        </w:tc>
        <w:tc>
          <w:tcPr>
            <w:tcW w:w="2730" w:type="dxa"/>
          </w:tcPr>
          <w:p w14:paraId="2DD8D3E8" w14:textId="77777777" w:rsidR="00DD13BF" w:rsidRDefault="00DD13BF" w:rsidP="00355A56">
            <w:pPr>
              <w:pStyle w:val="TableParagraph"/>
              <w:ind w:left="664"/>
            </w:pPr>
            <w:r>
              <w:t>Amount (in EUR)</w:t>
            </w:r>
          </w:p>
        </w:tc>
      </w:tr>
      <w:tr w:rsidR="00DD13BF" w14:paraId="3A91C907" w14:textId="77777777" w:rsidTr="00355A56">
        <w:trPr>
          <w:trHeight w:val="353"/>
        </w:trPr>
        <w:tc>
          <w:tcPr>
            <w:tcW w:w="2088" w:type="dxa"/>
          </w:tcPr>
          <w:p w14:paraId="0D0765BD" w14:textId="77777777" w:rsidR="00DD13BF" w:rsidRDefault="00DD13BF" w:rsidP="00355A56">
            <w:pPr>
              <w:pStyle w:val="TableParagraph"/>
              <w:rPr>
                <w:sz w:val="20"/>
              </w:rPr>
            </w:pPr>
            <w:r>
              <w:rPr>
                <w:sz w:val="20"/>
              </w:rPr>
              <w:t>7</w:t>
            </w:r>
          </w:p>
        </w:tc>
        <w:tc>
          <w:tcPr>
            <w:tcW w:w="1132" w:type="dxa"/>
          </w:tcPr>
          <w:p w14:paraId="6FD6BD6D" w14:textId="77777777" w:rsidR="00DD13BF" w:rsidRDefault="00DD13BF" w:rsidP="00355A56">
            <w:pPr>
              <w:pStyle w:val="TableParagraph"/>
              <w:rPr>
                <w:sz w:val="20"/>
              </w:rPr>
            </w:pPr>
            <w:r>
              <w:rPr>
                <w:sz w:val="20"/>
              </w:rPr>
              <w:t>ESF+</w:t>
            </w:r>
          </w:p>
        </w:tc>
        <w:tc>
          <w:tcPr>
            <w:tcW w:w="3248" w:type="dxa"/>
          </w:tcPr>
          <w:p w14:paraId="1C2E0087" w14:textId="77777777" w:rsidR="00DD13BF" w:rsidRDefault="00DD13BF" w:rsidP="00355A56">
            <w:pPr>
              <w:pStyle w:val="TableParagraph"/>
              <w:rPr>
                <w:sz w:val="20"/>
              </w:rPr>
            </w:pPr>
            <w:r>
              <w:rPr>
                <w:sz w:val="20"/>
              </w:rPr>
              <w:t>Less developed</w:t>
            </w:r>
          </w:p>
        </w:tc>
        <w:tc>
          <w:tcPr>
            <w:tcW w:w="3098" w:type="dxa"/>
          </w:tcPr>
          <w:p w14:paraId="2BD6ED52" w14:textId="77777777" w:rsidR="00DD13BF" w:rsidRDefault="00DD13BF" w:rsidP="00355A56">
            <w:pPr>
              <w:pStyle w:val="TableParagraph"/>
              <w:rPr>
                <w:sz w:val="20"/>
              </w:rPr>
            </w:pPr>
            <w:r>
              <w:rPr>
                <w:color w:val="000000"/>
                <w:sz w:val="20"/>
              </w:rPr>
              <w:t>ESO4.11</w:t>
            </w:r>
          </w:p>
        </w:tc>
        <w:tc>
          <w:tcPr>
            <w:tcW w:w="1160" w:type="dxa"/>
          </w:tcPr>
          <w:p w14:paraId="6F5B380E" w14:textId="77777777" w:rsidR="00DD13BF" w:rsidRDefault="00DD13BF" w:rsidP="00355A56">
            <w:pPr>
              <w:pStyle w:val="TableParagraph"/>
              <w:rPr>
                <w:sz w:val="20"/>
              </w:rPr>
            </w:pPr>
            <w:r>
              <w:rPr>
                <w:sz w:val="20"/>
              </w:rPr>
              <w:t>02</w:t>
            </w:r>
          </w:p>
        </w:tc>
        <w:tc>
          <w:tcPr>
            <w:tcW w:w="2730" w:type="dxa"/>
          </w:tcPr>
          <w:p w14:paraId="1982660D" w14:textId="77777777" w:rsidR="00DD13BF" w:rsidRDefault="00DD13BF" w:rsidP="00355A56">
            <w:pPr>
              <w:pStyle w:val="TableParagraph"/>
              <w:rPr>
                <w:sz w:val="20"/>
              </w:rPr>
            </w:pPr>
            <w:r>
              <w:rPr>
                <w:sz w:val="20"/>
              </w:rPr>
              <w:t>79,698,001</w:t>
            </w:r>
          </w:p>
        </w:tc>
      </w:tr>
      <w:tr w:rsidR="00DD13BF" w14:paraId="66057B36" w14:textId="77777777" w:rsidTr="00355A56">
        <w:trPr>
          <w:trHeight w:val="353"/>
        </w:trPr>
        <w:tc>
          <w:tcPr>
            <w:tcW w:w="2088" w:type="dxa"/>
          </w:tcPr>
          <w:p w14:paraId="05D9F640" w14:textId="77777777" w:rsidR="00DD13BF" w:rsidRDefault="00DD13BF" w:rsidP="00355A56">
            <w:pPr>
              <w:pStyle w:val="TableParagraph"/>
              <w:rPr>
                <w:sz w:val="20"/>
              </w:rPr>
            </w:pPr>
            <w:r>
              <w:rPr>
                <w:sz w:val="20"/>
              </w:rPr>
              <w:t>7</w:t>
            </w:r>
          </w:p>
        </w:tc>
        <w:tc>
          <w:tcPr>
            <w:tcW w:w="1132" w:type="dxa"/>
          </w:tcPr>
          <w:p w14:paraId="15C8AD86" w14:textId="77777777" w:rsidR="00DD13BF" w:rsidRDefault="00DD13BF" w:rsidP="00355A56">
            <w:pPr>
              <w:pStyle w:val="TableParagraph"/>
              <w:rPr>
                <w:sz w:val="20"/>
              </w:rPr>
            </w:pPr>
            <w:r>
              <w:rPr>
                <w:sz w:val="20"/>
              </w:rPr>
              <w:t>ESF+</w:t>
            </w:r>
          </w:p>
        </w:tc>
        <w:tc>
          <w:tcPr>
            <w:tcW w:w="3248" w:type="dxa"/>
          </w:tcPr>
          <w:p w14:paraId="4EB5B0F7" w14:textId="77777777" w:rsidR="00DD13BF" w:rsidRDefault="00DD13BF" w:rsidP="00355A56">
            <w:pPr>
              <w:pStyle w:val="TableParagraph"/>
              <w:rPr>
                <w:sz w:val="20"/>
              </w:rPr>
            </w:pPr>
            <w:r>
              <w:rPr>
                <w:sz w:val="20"/>
              </w:rPr>
              <w:t>More developed</w:t>
            </w:r>
          </w:p>
        </w:tc>
        <w:tc>
          <w:tcPr>
            <w:tcW w:w="3098" w:type="dxa"/>
          </w:tcPr>
          <w:p w14:paraId="2B52D1EB" w14:textId="77777777" w:rsidR="00DD13BF" w:rsidRDefault="00DD13BF" w:rsidP="00355A56">
            <w:pPr>
              <w:pStyle w:val="TableParagraph"/>
              <w:rPr>
                <w:sz w:val="20"/>
              </w:rPr>
            </w:pPr>
            <w:r>
              <w:rPr>
                <w:color w:val="000000"/>
                <w:sz w:val="20"/>
              </w:rPr>
              <w:t>ESO4.11</w:t>
            </w:r>
          </w:p>
        </w:tc>
        <w:tc>
          <w:tcPr>
            <w:tcW w:w="1160" w:type="dxa"/>
          </w:tcPr>
          <w:p w14:paraId="234BE436" w14:textId="77777777" w:rsidR="00DD13BF" w:rsidRDefault="00DD13BF" w:rsidP="00355A56">
            <w:pPr>
              <w:pStyle w:val="TableParagraph"/>
              <w:rPr>
                <w:sz w:val="20"/>
              </w:rPr>
            </w:pPr>
            <w:r>
              <w:rPr>
                <w:sz w:val="20"/>
              </w:rPr>
              <w:t>02</w:t>
            </w:r>
          </w:p>
        </w:tc>
        <w:tc>
          <w:tcPr>
            <w:tcW w:w="2730" w:type="dxa"/>
          </w:tcPr>
          <w:p w14:paraId="317EBC2B" w14:textId="77777777" w:rsidR="00DD13BF" w:rsidRDefault="00DD13BF" w:rsidP="00355A56">
            <w:pPr>
              <w:pStyle w:val="TableParagraph"/>
              <w:rPr>
                <w:sz w:val="20"/>
              </w:rPr>
            </w:pPr>
            <w:r>
              <w:rPr>
                <w:sz w:val="20"/>
              </w:rPr>
              <w:t>28,354,518</w:t>
            </w:r>
          </w:p>
        </w:tc>
      </w:tr>
    </w:tbl>
    <w:p w14:paraId="7B54AC4B"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the Member State chooses to use Article 6 ESF+ Regulation as well as programme specific actions in gender equality.</w:t>
      </w:r>
    </w:p>
    <w:p w14:paraId="7A62A5BD" w14:textId="77777777" w:rsidR="00DD13BF" w:rsidRDefault="00DD13BF" w:rsidP="00DD13BF">
      <w:pPr>
        <w:rPr>
          <w:spacing w:val="-2"/>
        </w:rPr>
      </w:pPr>
    </w:p>
    <w:p w14:paraId="357D4476" w14:textId="77777777" w:rsidR="00DD13BF" w:rsidRDefault="00DD13BF" w:rsidP="00DD13BF">
      <w:pPr>
        <w:rPr>
          <w:spacing w:val="-2"/>
        </w:rPr>
      </w:pPr>
    </w:p>
    <w:p w14:paraId="21B84600" w14:textId="77777777" w:rsidR="00DD13BF" w:rsidRPr="00BD3536" w:rsidRDefault="00DD13BF" w:rsidP="00DD13BF">
      <w:pPr>
        <w:pStyle w:val="Naslov4"/>
        <w:ind w:left="1134"/>
      </w:pPr>
      <w:bookmarkStart w:id="59" w:name="_Toc131161726"/>
      <w:r>
        <w:lastRenderedPageBreak/>
        <w:t>Specific objective ESO4.12. Promoting social integration of people at risk of poverty or social exclusion, including the most deprived persons and children (ESF+)</w:t>
      </w:r>
      <w:bookmarkEnd w:id="59"/>
    </w:p>
    <w:p w14:paraId="35622D64" w14:textId="77777777" w:rsidR="00DD13BF" w:rsidRDefault="00DD13BF" w:rsidP="00DD13BF">
      <w:pPr>
        <w:rPr>
          <w:sz w:val="30"/>
        </w:rPr>
      </w:pPr>
    </w:p>
    <w:p w14:paraId="1274226F" w14:textId="77777777" w:rsidR="00DD13BF" w:rsidRPr="00C10464" w:rsidRDefault="00DD13BF" w:rsidP="00DD13BF">
      <w:pPr>
        <w:pStyle w:val="Naslov5"/>
        <w:spacing w:before="0"/>
      </w:pPr>
      <w:r>
        <w:t>Interventions of the Funds</w:t>
      </w:r>
    </w:p>
    <w:p w14:paraId="0C59AC48" w14:textId="77777777" w:rsidR="00DD13BF" w:rsidRDefault="00DD13BF" w:rsidP="00DD13BF">
      <w:pPr>
        <w:rPr>
          <w:sz w:val="30"/>
        </w:rPr>
      </w:pPr>
    </w:p>
    <w:p w14:paraId="67330339" w14:textId="77777777" w:rsidR="00DD13BF" w:rsidRDefault="00DD13BF" w:rsidP="00DD13BF">
      <w:pPr>
        <w:ind w:left="1349"/>
        <w:rPr>
          <w:spacing w:val="-2"/>
        </w:rPr>
      </w:pPr>
      <w:r>
        <w:t>Related types of actions:</w:t>
      </w:r>
    </w:p>
    <w:p w14:paraId="2B0F7CF9" w14:textId="77777777" w:rsidR="00DD13BF" w:rsidRDefault="00DD13BF" w:rsidP="00DD13BF">
      <w:pPr>
        <w:ind w:left="1349"/>
      </w:pPr>
    </w:p>
    <w:tbl>
      <w:tblPr>
        <w:tblStyle w:val="Tabelamrea"/>
        <w:tblW w:w="12616" w:type="dxa"/>
        <w:tblInd w:w="1271" w:type="dxa"/>
        <w:tblLook w:val="04A0" w:firstRow="1" w:lastRow="0" w:firstColumn="1" w:lastColumn="0" w:noHBand="0" w:noVBand="1"/>
      </w:tblPr>
      <w:tblGrid>
        <w:gridCol w:w="12616"/>
      </w:tblGrid>
      <w:tr w:rsidR="00DD13BF" w:rsidRPr="00B3569A" w14:paraId="1E057DD7" w14:textId="77777777" w:rsidTr="00355A56">
        <w:trPr>
          <w:trHeight w:val="316"/>
        </w:trPr>
        <w:tc>
          <w:tcPr>
            <w:tcW w:w="12616" w:type="dxa"/>
          </w:tcPr>
          <w:p w14:paraId="0C3A1914" w14:textId="77777777" w:rsidR="00DD13BF" w:rsidRPr="008F5D88" w:rsidRDefault="00DD13BF" w:rsidP="00355A56">
            <w:pPr>
              <w:jc w:val="both"/>
              <w:rPr>
                <w:rFonts w:cstheme="minorHAnsi"/>
              </w:rPr>
            </w:pPr>
            <w:r>
              <w:t>The purpose of the social care system in Slovenia is to provide individuals and families with social security and social inclusion. Long-term social exclusion and poverty can have lasting effects for individuals and families, and for society, and are passed down from one generation to the next. The state’s task is to ensure social security, protection and inclusion of families, particularly children and elderly people, and to prevent or reduce the risk of poverty through various mechanisms. Particularly important are various forms of assistance (services, programmes, social transfers, etc.), which must be of high quality, widely available, and diverse.</w:t>
            </w:r>
          </w:p>
          <w:p w14:paraId="2BE0C5B8" w14:textId="77777777" w:rsidR="00DD13BF" w:rsidRPr="008F5D88" w:rsidRDefault="00DD13BF" w:rsidP="00355A56">
            <w:pPr>
              <w:jc w:val="both"/>
              <w:rPr>
                <w:rFonts w:cstheme="minorHAnsi"/>
              </w:rPr>
            </w:pPr>
          </w:p>
          <w:p w14:paraId="690DF92F" w14:textId="77777777" w:rsidR="00DD13BF" w:rsidRPr="008F5D88" w:rsidRDefault="00DD13BF" w:rsidP="00355A56">
            <w:pPr>
              <w:jc w:val="both"/>
              <w:rPr>
                <w:rFonts w:cstheme="minorBidi"/>
              </w:rPr>
            </w:pPr>
            <w:r>
              <w:t>Under the specific objective ESO4.12, the measures focused on the following will be supported:</w:t>
            </w:r>
          </w:p>
          <w:p w14:paraId="581D7C01" w14:textId="77777777" w:rsidR="00DD13BF" w:rsidRPr="008F5D88" w:rsidRDefault="00DD13BF" w:rsidP="00355A56">
            <w:pPr>
              <w:jc w:val="both"/>
              <w:rPr>
                <w:rFonts w:cstheme="minorHAnsi"/>
              </w:rPr>
            </w:pPr>
          </w:p>
          <w:p w14:paraId="7E2B1CD5" w14:textId="77777777" w:rsidR="00DD13BF" w:rsidRPr="008F5D88" w:rsidRDefault="00DD13BF" w:rsidP="00DD13BF">
            <w:pPr>
              <w:pStyle w:val="Odstavekseznama"/>
              <w:widowControl/>
              <w:numPr>
                <w:ilvl w:val="0"/>
                <w:numId w:val="38"/>
              </w:numPr>
              <w:autoSpaceDE/>
              <w:autoSpaceDN/>
              <w:jc w:val="both"/>
              <w:rPr>
                <w:rFonts w:ascii="Times New Roman" w:hAnsi="Times New Roman" w:cs="Times New Roman"/>
              </w:rPr>
            </w:pPr>
            <w:r>
              <w:rPr>
                <w:rFonts w:ascii="Times New Roman" w:hAnsi="Times New Roman"/>
              </w:rPr>
              <w:t xml:space="preserve">Social inclusion programmes for changing the habits of individuals towards developing social competences, acquiring or strengthening social and functional knowledge to solve social and life situations, strengthening social integration in the social environment, competences for problem solving, informing about the possibilities of inclusion in other programmes, etc. Certain programmes will support the implementation and upgrading of the already existing social care programmes of non-governmental organisations for more concrete activation of target groups, while at the same time a network of social care programmes will be established, which will enable their implementation in areas that remain uncovered today. </w:t>
            </w:r>
          </w:p>
          <w:p w14:paraId="56FE1BDA" w14:textId="77777777" w:rsidR="00DD13BF" w:rsidRPr="008F5D88" w:rsidRDefault="00DD13BF" w:rsidP="00355A56">
            <w:pPr>
              <w:pStyle w:val="Odstavekseznama"/>
              <w:ind w:left="720"/>
              <w:jc w:val="both"/>
              <w:rPr>
                <w:rFonts w:ascii="Times New Roman" w:hAnsi="Times New Roman" w:cs="Times New Roman"/>
              </w:rPr>
            </w:pPr>
          </w:p>
          <w:p w14:paraId="6D7F596D" w14:textId="77777777" w:rsidR="00DD13BF" w:rsidRPr="000C3D7F" w:rsidRDefault="00DD13BF" w:rsidP="00DD13BF">
            <w:pPr>
              <w:pStyle w:val="Odstavekseznama"/>
              <w:widowControl/>
              <w:numPr>
                <w:ilvl w:val="0"/>
                <w:numId w:val="39"/>
              </w:numPr>
              <w:autoSpaceDE/>
              <w:autoSpaceDN/>
              <w:jc w:val="both"/>
              <w:rPr>
                <w:rFonts w:ascii="Times New Roman" w:hAnsi="Times New Roman" w:cs="Times New Roman"/>
              </w:rPr>
            </w:pPr>
            <w:r>
              <w:rPr>
                <w:rFonts w:ascii="Times New Roman" w:hAnsi="Times New Roman"/>
                <w:i/>
                <w:iCs/>
              </w:rPr>
              <w:t>Social inclusion measures for persons with special needs</w:t>
            </w:r>
            <w:r>
              <w:rPr>
                <w:rFonts w:ascii="Times New Roman" w:hAnsi="Times New Roman"/>
              </w:rPr>
              <w:t>, i.e.</w:t>
            </w:r>
          </w:p>
          <w:p w14:paraId="4996A5A1" w14:textId="77777777" w:rsidR="00DD13BF" w:rsidRDefault="00DD13BF" w:rsidP="00DD13BF">
            <w:pPr>
              <w:pStyle w:val="Odstavekseznama"/>
              <w:widowControl/>
              <w:numPr>
                <w:ilvl w:val="1"/>
                <w:numId w:val="39"/>
              </w:numPr>
              <w:autoSpaceDE/>
              <w:autoSpaceDN/>
              <w:jc w:val="both"/>
              <w:rPr>
                <w:rFonts w:ascii="Times New Roman" w:hAnsi="Times New Roman" w:cs="Times New Roman"/>
              </w:rPr>
            </w:pPr>
            <w:r>
              <w:rPr>
                <w:rFonts w:ascii="Times New Roman" w:hAnsi="Times New Roman"/>
              </w:rPr>
              <w:t>Establishing and expanding appropriate movement and recreation programmes for persons with disabilities to promote social inclusion and integration in society and protect vulnerable target groups from poverty (inclusion of sportspersons with various levels of disabilities). Part of the measure will be aimed at expanding the network of exercise activity providers adapted to persons with disabilities. The second part will be dedicated to the suitable training of professionals who will be able to implement adapted exercise programmes in a high-quality manner, and to establishing a quality base of sports activity providers for all persons with disabilities, and providing sportspersons with disabilities with access to high-quality training, which will also enable them to participate in the highest level sports competitions for persons with disabilities.</w:t>
            </w:r>
          </w:p>
          <w:p w14:paraId="335CF538" w14:textId="77777777" w:rsidR="00DD13BF" w:rsidRPr="00530E1D" w:rsidRDefault="00DD13BF" w:rsidP="00DD13BF">
            <w:pPr>
              <w:pStyle w:val="Odstavekseznama"/>
              <w:widowControl/>
              <w:numPr>
                <w:ilvl w:val="1"/>
                <w:numId w:val="39"/>
              </w:numPr>
              <w:autoSpaceDE/>
              <w:autoSpaceDN/>
              <w:jc w:val="both"/>
              <w:rPr>
                <w:rFonts w:ascii="Times New Roman" w:hAnsi="Times New Roman" w:cs="Times New Roman"/>
              </w:rPr>
            </w:pPr>
            <w:r>
              <w:rPr>
                <w:rFonts w:ascii="Times New Roman" w:hAnsi="Times New Roman"/>
              </w:rPr>
              <w:t xml:space="preserve">Upgrading measures in the field of social inclusion of children with special needs. The upgrading of the system of renting didactic and other aids and equipment for work with children with special needs, and the development of adapted aids and tools for acquiring skills and knowledge for high-quality independent life (including work) of individuals with special needs are planned. In accordance with the 2021–2024 Action Plan for the drafting of a proposal for the incorporation of Slovenian </w:t>
            </w:r>
            <w:r>
              <w:rPr>
                <w:rFonts w:ascii="Times New Roman" w:hAnsi="Times New Roman"/>
              </w:rPr>
              <w:lastRenderedPageBreak/>
              <w:t>sign language in preschool, primary and secondary education, activities will be carried out, which will comprehensively address the identified aspects of education of the deaf and hard of hearing, i.e. the content of education programmes and mechanisms that are necessary and support their implementation. The measure complements measures to support an easier transition of young people with special needs to the labour market under the SO ESO4.8.</w:t>
            </w:r>
          </w:p>
          <w:p w14:paraId="1038361F" w14:textId="77777777" w:rsidR="00DD13BF" w:rsidRPr="008F5D88" w:rsidRDefault="00DD13BF" w:rsidP="00355A56">
            <w:pPr>
              <w:pStyle w:val="Odstavekseznama"/>
              <w:ind w:left="1440"/>
              <w:jc w:val="both"/>
              <w:rPr>
                <w:rFonts w:ascii="Times New Roman" w:hAnsi="Times New Roman" w:cs="Times New Roman"/>
              </w:rPr>
            </w:pPr>
          </w:p>
          <w:p w14:paraId="5780EF65" w14:textId="77777777" w:rsidR="00DD13BF" w:rsidRPr="00850910" w:rsidRDefault="00DD13BF" w:rsidP="00DD13BF">
            <w:pPr>
              <w:pStyle w:val="Odstavekseznama"/>
              <w:widowControl/>
              <w:numPr>
                <w:ilvl w:val="0"/>
                <w:numId w:val="39"/>
              </w:numPr>
              <w:autoSpaceDE/>
              <w:autoSpaceDN/>
              <w:jc w:val="both"/>
              <w:rPr>
                <w:rFonts w:ascii="Times New Roman" w:hAnsi="Times New Roman" w:cs="Times New Roman"/>
              </w:rPr>
            </w:pPr>
            <w:r>
              <w:rPr>
                <w:rFonts w:ascii="Times New Roman" w:hAnsi="Times New Roman"/>
                <w:i/>
              </w:rPr>
              <w:t>Implementing the measures of a multigenerational centre network and multifunctional Roma centres:</w:t>
            </w:r>
          </w:p>
          <w:p w14:paraId="086CCF02" w14:textId="77777777" w:rsidR="00DD13BF" w:rsidRPr="00850910" w:rsidRDefault="00DD13BF" w:rsidP="00DD13BF">
            <w:pPr>
              <w:pStyle w:val="Odstavekseznama"/>
              <w:widowControl/>
              <w:numPr>
                <w:ilvl w:val="1"/>
                <w:numId w:val="39"/>
              </w:numPr>
              <w:autoSpaceDE/>
              <w:autoSpaceDN/>
              <w:jc w:val="both"/>
              <w:rPr>
                <w:rFonts w:ascii="Times New Roman" w:hAnsi="Times New Roman" w:cs="Times New Roman"/>
              </w:rPr>
            </w:pPr>
            <w:r>
              <w:rPr>
                <w:rFonts w:ascii="Times New Roman" w:hAnsi="Times New Roman"/>
              </w:rPr>
              <w:t>A multigenerational centre network will be established, which will provide various programmes in the local environment for all social groups, particularly for persons at high risk of social exclusion and poverty, i.e. families – particularly those with a low socio-economic status, single-parent families, elderly people, particularly those from socially disadvantaged backgrounds, children and young people with special needs, migrants, Roma and persons with disabilities. They will involve all generations and strengthen the integration of public institutions, non-governmental organisations, cultural institutions, social enterprises and municipalities in each geographical unit, particularly in small and remote local communities, where free, preventive programmes are not provided by local communities and the state. The programmes to be implemented will be intended for all vulnerable target groups who are socially excluded and at risk of exclusion regardless of age, gender, nationality, etc.</w:t>
            </w:r>
          </w:p>
          <w:p w14:paraId="514E46FC" w14:textId="77777777" w:rsidR="00DD13BF" w:rsidRPr="00B32726" w:rsidRDefault="00DD13BF" w:rsidP="00DD13BF">
            <w:pPr>
              <w:pStyle w:val="Odstavekseznama"/>
              <w:widowControl/>
              <w:numPr>
                <w:ilvl w:val="1"/>
                <w:numId w:val="39"/>
              </w:numPr>
              <w:autoSpaceDE/>
              <w:autoSpaceDN/>
              <w:jc w:val="both"/>
              <w:rPr>
                <w:rFonts w:ascii="Times New Roman" w:hAnsi="Times New Roman"/>
              </w:rPr>
            </w:pPr>
            <w:r>
              <w:rPr>
                <w:rFonts w:ascii="Times New Roman" w:hAnsi="Times New Roman"/>
              </w:rPr>
              <w:t xml:space="preserve">In accordance with the National Programme of Measures of the Government of the Republic of Slovenia for Roma for the 2021–2030 period, additional measures will be implemented to improve the integration of the Roma community: within the framework of strengthening the network of multi-purpose Roma centres, new and upgraded multipurpose Roma centres will be established, in which activities to acquire new knowledge and competences that will enable more successful integration of Roma in the labour market, to improve the quality of life, to promote and strengthen their integration in the wider community, and to establish trust with the local residents; multipurpose Roma centres will connect with the local community and professional organisations, such as the Employment Service, social work centres, health organisations, educational organisations. The activities and programmes to be implemented in the multipurpose Roma centres will be adapted to the specific needs of the Roma population and located in areas with a greater concentration of this population. </w:t>
            </w:r>
          </w:p>
          <w:p w14:paraId="4306016C" w14:textId="77777777" w:rsidR="00DD13BF" w:rsidRPr="00255E5E" w:rsidRDefault="00DD13BF" w:rsidP="00355A56">
            <w:pPr>
              <w:pStyle w:val="Odstavekseznama"/>
              <w:ind w:left="1440"/>
              <w:jc w:val="both"/>
              <w:rPr>
                <w:rFonts w:ascii="Times New Roman" w:hAnsi="Times New Roman" w:cs="Times New Roman"/>
              </w:rPr>
            </w:pPr>
            <w:r>
              <w:rPr>
                <w:rFonts w:ascii="Times New Roman" w:hAnsi="Times New Roman"/>
              </w:rPr>
              <w:t xml:space="preserve">The measure will be sensibly connected with activities aimed at improving the integration of Roma children in the education system with the aim of greater social inclusion and easier access to the labour market. The objective of the measure will be attained by further work in the field of education and social inclusion of Roma by complementing already existing systemic measures as derived from the concept of educational work in Roma settlements, which was created as the final result of the Together for Knowledge project, by increasing the social and cultural capital in the Roma settlement, educating and training teachers to work in a multicultural environment, promoting language learning (Romani and Slovenian) among Roma children and their parents. </w:t>
            </w:r>
          </w:p>
          <w:p w14:paraId="587157D6" w14:textId="77777777" w:rsidR="00DD13BF" w:rsidRDefault="00DD13BF" w:rsidP="00355A56">
            <w:pPr>
              <w:pStyle w:val="Odstavekseznama"/>
              <w:ind w:left="1440"/>
              <w:jc w:val="both"/>
              <w:rPr>
                <w:rFonts w:ascii="Times New Roman" w:hAnsi="Times New Roman" w:cs="Times New Roman"/>
              </w:rPr>
            </w:pPr>
            <w:r>
              <w:rPr>
                <w:rFonts w:ascii="Times New Roman" w:hAnsi="Times New Roman"/>
              </w:rPr>
              <w:t>All measures aimed at the Roma target group are planned in accordance with the National Programme of Measures of the Government of the Republic of Slovenia for Roma for the 2021–2030 period.</w:t>
            </w:r>
          </w:p>
          <w:p w14:paraId="0F439126" w14:textId="77777777" w:rsidR="00DD13BF" w:rsidRPr="00255E5E" w:rsidRDefault="00DD13BF" w:rsidP="00355A56">
            <w:pPr>
              <w:jc w:val="both"/>
            </w:pPr>
          </w:p>
          <w:p w14:paraId="2E242191" w14:textId="77777777" w:rsidR="00DD13BF" w:rsidRPr="008F5D88" w:rsidRDefault="00DD13BF" w:rsidP="00DD13BF">
            <w:pPr>
              <w:pStyle w:val="Odstavekseznama"/>
              <w:widowControl/>
              <w:numPr>
                <w:ilvl w:val="0"/>
                <w:numId w:val="39"/>
              </w:numPr>
              <w:autoSpaceDE/>
              <w:autoSpaceDN/>
              <w:jc w:val="both"/>
              <w:rPr>
                <w:rFonts w:ascii="Times New Roman" w:hAnsi="Times New Roman"/>
              </w:rPr>
            </w:pPr>
            <w:r>
              <w:rPr>
                <w:rFonts w:ascii="Times New Roman" w:hAnsi="Times New Roman"/>
                <w:i/>
              </w:rPr>
              <w:t>Implementing various activities in the field of prisoners and persons on probation:</w:t>
            </w:r>
          </w:p>
          <w:p w14:paraId="3B288B72" w14:textId="77777777" w:rsidR="00DD13BF" w:rsidRPr="008F5D88" w:rsidRDefault="00DD13BF" w:rsidP="00DD13BF">
            <w:pPr>
              <w:pStyle w:val="Odstavekseznama"/>
              <w:widowControl/>
              <w:numPr>
                <w:ilvl w:val="1"/>
                <w:numId w:val="39"/>
              </w:numPr>
              <w:autoSpaceDE/>
              <w:autoSpaceDN/>
              <w:jc w:val="both"/>
              <w:rPr>
                <w:rFonts w:ascii="Times New Roman" w:hAnsi="Times New Roman"/>
              </w:rPr>
            </w:pPr>
            <w:r>
              <w:rPr>
                <w:rFonts w:ascii="Times New Roman" w:hAnsi="Times New Roman"/>
              </w:rPr>
              <w:lastRenderedPageBreak/>
              <w:t>A pilot drug-free unit will be established in prisons as part of the comprehensive treatment of addiction with the aim of establishing and maintaining abstinence and preventing relapse, adopting a critical attitude towards the use of psychoactive substances, recognising behavioural patterns, and learning to solve problems in a socially acceptable way, strengthening work habits, responsibilities, establishing contact with family members – strengthening the social network and planning inclusion in assistance programmes (therapeutic communities, etc.) after serving the prison sentence. Suitable spatial (separate rooms) and personnel conditions will be provided, and special programmes to help convicts addicted to illegal drugs will be developed and implemented. Daily activities (therapeutic, work, educational, sports, etc.) important for maintaining abstinence will take place in the drug-free unit.</w:t>
            </w:r>
          </w:p>
          <w:p w14:paraId="1D7A711A" w14:textId="77777777" w:rsidR="00DD13BF" w:rsidRPr="00255E5E" w:rsidRDefault="00DD13BF" w:rsidP="00DD13BF">
            <w:pPr>
              <w:pStyle w:val="Odstavekseznama"/>
              <w:widowControl/>
              <w:numPr>
                <w:ilvl w:val="1"/>
                <w:numId w:val="39"/>
              </w:numPr>
              <w:autoSpaceDE/>
              <w:autoSpaceDN/>
              <w:jc w:val="both"/>
            </w:pPr>
            <w:r>
              <w:rPr>
                <w:rFonts w:ascii="Times New Roman" w:hAnsi="Times New Roman"/>
              </w:rPr>
              <w:t>Developing work competences and special programmes for prisoners, minors in correctional institutions, and persons on probation focusing on greater social inclusion: the activities include developing and implementing a model for the integration of prisoners with restrictions for active integration in society with the upgrading of the occupational therapy model, which will support prisoners’ gradual, targeted, individual adaptation to the work environment and working conditions, and developing work skills, skills, endurance, competences and resocialisation, and including prisoners in work while they serve a prison sentence. Communication with foreign prisoners will be improved with the aim of reducing isolation and promoting the resocialisation and integration of third-country nationals. Special programmes will include the development and implementation of programmes for addiction treatment, anger management, non-violent communication, social skills training, the development of programmes for perpetrators of domestic violence, perpetrators of sexual offences and other narrowly specialised treatments for solving personality problems which cause people to commit crimes. Activities will be carried out regardless of gender, race and sexual orientation.</w:t>
            </w:r>
          </w:p>
          <w:p w14:paraId="7D51C05E" w14:textId="77777777" w:rsidR="00DD13BF" w:rsidRPr="00255E5E" w:rsidRDefault="00DD13BF" w:rsidP="00355A56">
            <w:pPr>
              <w:pStyle w:val="Odstavekseznama"/>
              <w:ind w:left="1440"/>
              <w:jc w:val="both"/>
            </w:pPr>
          </w:p>
          <w:p w14:paraId="444DD2C1" w14:textId="77777777" w:rsidR="00DD13BF" w:rsidRDefault="00DD13BF" w:rsidP="00DD13BF">
            <w:pPr>
              <w:pStyle w:val="Odstavekseznama"/>
              <w:widowControl/>
              <w:numPr>
                <w:ilvl w:val="0"/>
                <w:numId w:val="39"/>
              </w:numPr>
              <w:autoSpaceDE/>
              <w:autoSpaceDN/>
              <w:jc w:val="both"/>
              <w:rPr>
                <w:rFonts w:ascii="Times New Roman" w:hAnsi="Times New Roman" w:cs="Times New Roman"/>
              </w:rPr>
            </w:pPr>
            <w:r>
              <w:rPr>
                <w:rFonts w:ascii="Times New Roman" w:hAnsi="Times New Roman"/>
                <w:i/>
                <w:iCs/>
              </w:rPr>
              <w:t>Measures to improve the integration of immigrants in the education system</w:t>
            </w:r>
            <w:r>
              <w:rPr>
                <w:rFonts w:ascii="Times New Roman" w:hAnsi="Times New Roman"/>
              </w:rPr>
              <w:t xml:space="preserve">: Within the framework of the integration of immigrants, support will be provided for them to further develop knowledge of Slovenian as a second language by developing methods, didactic aids and learning materials, and finding innovative ways with a special emphasis on the training of professionals to work with immigrant children, and by establishing a stimulating environment for their parents. </w:t>
            </w:r>
          </w:p>
          <w:p w14:paraId="789B12A6" w14:textId="77777777" w:rsidR="00DD13BF" w:rsidRDefault="00DD13BF" w:rsidP="00355A56">
            <w:pPr>
              <w:jc w:val="both"/>
            </w:pPr>
          </w:p>
          <w:p w14:paraId="702750A7" w14:textId="77777777" w:rsidR="00DD13BF" w:rsidRDefault="00DD13BF" w:rsidP="00355A56">
            <w:pPr>
              <w:jc w:val="both"/>
            </w:pPr>
            <w:r>
              <w:t>Support programmes will be coordinated with local public libraries and other cultural institutions.</w:t>
            </w:r>
          </w:p>
          <w:p w14:paraId="2F4E1BAB" w14:textId="77777777" w:rsidR="00DD13BF" w:rsidRDefault="00DD13BF" w:rsidP="00355A56">
            <w:pPr>
              <w:jc w:val="both"/>
            </w:pPr>
          </w:p>
          <w:p w14:paraId="6288327B" w14:textId="77777777" w:rsidR="00DD13BF" w:rsidRPr="00396E7A" w:rsidRDefault="00DD13BF" w:rsidP="00355A56">
            <w:pPr>
              <w:jc w:val="both"/>
            </w:pPr>
            <w:r>
              <w:t>By their nature, these are measures that do not have a predictable negative impact on environmental objectives, which would be related to the direct and primary indirect impacts of the measure in its life cycle, or such impacts are insignificant, making them consistent with the DNSH principle.</w:t>
            </w:r>
          </w:p>
        </w:tc>
      </w:tr>
    </w:tbl>
    <w:p w14:paraId="53B95CD3" w14:textId="77777777" w:rsidR="00DD13BF" w:rsidRDefault="00DD13BF" w:rsidP="00DD13BF">
      <w:pPr>
        <w:ind w:left="1349"/>
        <w:rPr>
          <w:spacing w:val="-6"/>
        </w:rPr>
      </w:pPr>
    </w:p>
    <w:p w14:paraId="092ADB94" w14:textId="77777777" w:rsidR="00DD13BF" w:rsidRDefault="00DD13BF" w:rsidP="00DD13BF">
      <w:pPr>
        <w:ind w:left="1349"/>
      </w:pPr>
      <w:r>
        <w:t>Main target groups:</w:t>
      </w:r>
    </w:p>
    <w:p w14:paraId="4C3676D6"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F057D69" w14:textId="77777777" w:rsidTr="00355A56">
        <w:tc>
          <w:tcPr>
            <w:tcW w:w="12763" w:type="dxa"/>
          </w:tcPr>
          <w:p w14:paraId="6079C0D0" w14:textId="77777777" w:rsidR="00DD13BF" w:rsidRDefault="00DD13BF" w:rsidP="00355A56">
            <w:pPr>
              <w:jc w:val="both"/>
              <w:rPr>
                <w:rFonts w:cstheme="minorHAnsi"/>
              </w:rPr>
            </w:pPr>
            <w:r>
              <w:t>Target groups are as follows:</w:t>
            </w:r>
          </w:p>
          <w:p w14:paraId="39E6D9EF" w14:textId="77777777" w:rsidR="00DD13BF" w:rsidRPr="00BD6ADE" w:rsidRDefault="00DD13BF" w:rsidP="00DD13BF">
            <w:pPr>
              <w:pStyle w:val="Odstavekseznama"/>
              <w:widowControl/>
              <w:numPr>
                <w:ilvl w:val="0"/>
                <w:numId w:val="40"/>
              </w:numPr>
              <w:autoSpaceDE/>
              <w:autoSpaceDN/>
              <w:jc w:val="both"/>
              <w:rPr>
                <w:rFonts w:ascii="Times New Roman" w:hAnsi="Times New Roman" w:cs="Times New Roman"/>
              </w:rPr>
            </w:pPr>
            <w:r>
              <w:rPr>
                <w:rFonts w:ascii="Times New Roman" w:hAnsi="Times New Roman"/>
              </w:rPr>
              <w:lastRenderedPageBreak/>
              <w:t>families; persons with low work intensity; persons, particularly children and young people, who are at risk of social exclusion; elderly people, particularly those from socially disadvantaged backgrounds; families in which poor parenting skills were detected; children and young people with special needs; migrants and refugees, including their families, particularly children and young people and women from these families; Roma families, particularly children and young people and women from these families; single-parent families; persons with disabilities;</w:t>
            </w:r>
          </w:p>
          <w:p w14:paraId="68436EA7" w14:textId="77777777" w:rsidR="00DD13BF" w:rsidRPr="00BD6ADE" w:rsidRDefault="00DD13BF" w:rsidP="00DD13BF">
            <w:pPr>
              <w:pStyle w:val="Odstavekseznama"/>
              <w:widowControl/>
              <w:numPr>
                <w:ilvl w:val="0"/>
                <w:numId w:val="40"/>
              </w:numPr>
              <w:autoSpaceDE/>
              <w:autoSpaceDN/>
              <w:jc w:val="both"/>
              <w:rPr>
                <w:rFonts w:ascii="Times New Roman" w:hAnsi="Times New Roman" w:cs="Times New Roman"/>
              </w:rPr>
            </w:pPr>
            <w:r>
              <w:rPr>
                <w:rFonts w:ascii="Times New Roman" w:hAnsi="Times New Roman"/>
              </w:rPr>
              <w:t>adult women from other cultural backgrounds with language barriers;</w:t>
            </w:r>
          </w:p>
          <w:p w14:paraId="7DF8EBC8" w14:textId="77777777" w:rsidR="00DD13BF" w:rsidRPr="000B3BB4" w:rsidRDefault="00DD13BF" w:rsidP="00DD13BF">
            <w:pPr>
              <w:pStyle w:val="Odstavekseznama"/>
              <w:widowControl/>
              <w:numPr>
                <w:ilvl w:val="0"/>
                <w:numId w:val="40"/>
              </w:numPr>
              <w:autoSpaceDE/>
              <w:autoSpaceDN/>
              <w:jc w:val="both"/>
              <w:rPr>
                <w:rFonts w:ascii="Times New Roman" w:hAnsi="Times New Roman" w:cs="Times New Roman"/>
              </w:rPr>
            </w:pPr>
            <w:r>
              <w:rPr>
                <w:rFonts w:ascii="Times New Roman" w:hAnsi="Times New Roman"/>
              </w:rPr>
              <w:t>educational institutions, professionals and managers in educational organisations;</w:t>
            </w:r>
          </w:p>
          <w:p w14:paraId="517A662B" w14:textId="77777777" w:rsidR="00DD13BF" w:rsidRDefault="00DD13BF" w:rsidP="00DD13BF">
            <w:pPr>
              <w:pStyle w:val="Odstavekseznama"/>
              <w:widowControl/>
              <w:numPr>
                <w:ilvl w:val="0"/>
                <w:numId w:val="40"/>
              </w:numPr>
              <w:autoSpaceDE/>
              <w:autoSpaceDN/>
              <w:jc w:val="both"/>
              <w:rPr>
                <w:rFonts w:ascii="Times New Roman" w:hAnsi="Times New Roman" w:cs="Times New Roman"/>
              </w:rPr>
            </w:pPr>
            <w:r>
              <w:rPr>
                <w:rFonts w:ascii="Times New Roman" w:hAnsi="Times New Roman"/>
              </w:rPr>
              <w:t>prisoners; vulnerable group of minors who have been ordered to be sent to a juvenile facility; and persons on probation.</w:t>
            </w:r>
          </w:p>
          <w:p w14:paraId="5FAE6C0A" w14:textId="77777777" w:rsidR="00DD13BF" w:rsidRDefault="00DD13BF" w:rsidP="00355A56">
            <w:pPr>
              <w:pStyle w:val="Odstavekseznama"/>
              <w:ind w:left="0"/>
              <w:jc w:val="both"/>
              <w:rPr>
                <w:rFonts w:ascii="Times New Roman" w:hAnsi="Times New Roman" w:cs="Times New Roman"/>
              </w:rPr>
            </w:pPr>
          </w:p>
          <w:p w14:paraId="4173B577" w14:textId="77777777" w:rsidR="00DD13BF" w:rsidRPr="008301AE" w:rsidRDefault="00DD13BF" w:rsidP="00355A56">
            <w:pPr>
              <w:pStyle w:val="Odstavekseznama"/>
              <w:ind w:left="0"/>
              <w:jc w:val="both"/>
              <w:rPr>
                <w:rFonts w:ascii="Times New Roman" w:hAnsi="Times New Roman" w:cs="Times New Roman"/>
              </w:rPr>
            </w:pPr>
            <w:r>
              <w:rPr>
                <w:rFonts w:ascii="Times New Roman" w:hAnsi="Times New Roman"/>
              </w:rPr>
              <w:t>Beneficiaries: educational institutions, public institutes, non-governmental organisations, social protection institutions, URSIKS, UPRO, social work centres, umbrella sports organisations, and others who, through their work and engagement, can help to implement measures or contribute to improving the situation of individuals (public and private contractors).</w:t>
            </w:r>
          </w:p>
        </w:tc>
      </w:tr>
    </w:tbl>
    <w:p w14:paraId="60A8DD30" w14:textId="77777777" w:rsidR="00DD13BF" w:rsidRPr="006B7178" w:rsidRDefault="00DD13BF" w:rsidP="00DD13BF">
      <w:pPr>
        <w:ind w:left="1349"/>
      </w:pPr>
    </w:p>
    <w:p w14:paraId="493A758B" w14:textId="77777777" w:rsidR="00DD13BF" w:rsidRDefault="00DD13BF" w:rsidP="00DD13BF">
      <w:pPr>
        <w:ind w:left="1349"/>
        <w:rPr>
          <w:spacing w:val="-2"/>
        </w:rPr>
      </w:pPr>
      <w:r>
        <w:t>Measures to protect equality, inclusion and non-discrimination:</w:t>
      </w:r>
    </w:p>
    <w:p w14:paraId="62BC400B"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5EDE2931" w14:textId="77777777" w:rsidTr="00355A56">
        <w:tc>
          <w:tcPr>
            <w:tcW w:w="12715" w:type="dxa"/>
          </w:tcPr>
          <w:p w14:paraId="6AF1CB12" w14:textId="77777777" w:rsidR="00DD13BF" w:rsidRDefault="00DD13BF" w:rsidP="00355A56">
            <w:pPr>
              <w:jc w:val="both"/>
              <w:rPr>
                <w:rFonts w:cstheme="minorHAnsi"/>
              </w:rPr>
            </w:pPr>
            <w:r>
              <w:t xml:space="preserve">The principles of gender equality and equal opportunities will be respected at all levels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This principle will also be taken into account within the framework of the management and control system. </w:t>
            </w:r>
          </w:p>
          <w:p w14:paraId="59087304" w14:textId="77777777" w:rsidR="00DD13BF" w:rsidRDefault="00DD13BF" w:rsidP="00355A56">
            <w:pPr>
              <w:jc w:val="both"/>
              <w:rPr>
                <w:rFonts w:eastAsia="Cambria"/>
              </w:rPr>
            </w:pPr>
          </w:p>
          <w:p w14:paraId="3431357F" w14:textId="77777777" w:rsidR="00DD13BF" w:rsidRPr="008F5D88" w:rsidRDefault="00DD13BF" w:rsidP="00355A56">
            <w:pPr>
              <w:jc w:val="both"/>
              <w:rPr>
                <w:rFonts w:eastAsia="Cambria"/>
              </w:rPr>
            </w:pPr>
            <w:r>
              <w:t xml:space="preserve">Measures comply with the objective of the Sustainable Development Strategy “social equality and cohesion”, as they promote the development of a democratic, socially inclusive, cohesive, healthy, safe and just society that respects fundamental rights and cultural diversity, creates equal opportunities, and combats all forms of discrimination. The activities will take into account the principles of non-discrimination and inclusion regardless of gender, race or ethnic origin, religion or belief, disability or sexual orientation. Projects will be prepared specifically for the specific needs of vulnerable groups, particularly of elderly single women, persons with disabilities, Roma, migrants and women from these families, to prevent intersectional discrimination and reduce inequality. Activities for their empowerment and information will be carried out. Certain activities will be adapted to the target groups to make access to services as easy as possible. The measures will contribute to all three main targets of the EPSR Action Plan: employment, adult training, and reducing poverty and social exclusion. In the field of social care in the Republic of Slovenia, the measures are one of the two key activities for the implementation of the Council Recommendation establishing a </w:t>
            </w:r>
            <w:r>
              <w:lastRenderedPageBreak/>
              <w:t xml:space="preserve">European Child Guarantee. </w:t>
            </w:r>
          </w:p>
        </w:tc>
      </w:tr>
    </w:tbl>
    <w:p w14:paraId="0BDF37C3" w14:textId="77777777" w:rsidR="00DD13BF" w:rsidRDefault="00DD13BF" w:rsidP="00DD13BF">
      <w:pPr>
        <w:rPr>
          <w:sz w:val="20"/>
        </w:rPr>
      </w:pPr>
    </w:p>
    <w:p w14:paraId="0D6AEA17" w14:textId="77777777" w:rsidR="00DD13BF" w:rsidRDefault="00DD13BF" w:rsidP="00DD13BF">
      <w:pPr>
        <w:ind w:left="1415"/>
        <w:rPr>
          <w:spacing w:val="-4"/>
        </w:rPr>
      </w:pPr>
      <w:r>
        <w:t>Indication of the specific territories targeted, including the planned use of territorial tools:</w:t>
      </w:r>
    </w:p>
    <w:p w14:paraId="59A33B50"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0BC59FB0" w14:textId="77777777" w:rsidTr="00355A56">
        <w:tc>
          <w:tcPr>
            <w:tcW w:w="12763" w:type="dxa"/>
          </w:tcPr>
          <w:p w14:paraId="6627466D" w14:textId="77777777" w:rsidR="00DD13BF" w:rsidRPr="00B3569A" w:rsidRDefault="00DD13BF" w:rsidP="00355A56">
            <w:pPr>
              <w:rPr>
                <w:rFonts w:cstheme="minorHAnsi"/>
              </w:rPr>
            </w:pPr>
            <w:r>
              <w:t>Under this specific objective, the use of territorial tools is not foreseen.</w:t>
            </w:r>
          </w:p>
        </w:tc>
      </w:tr>
    </w:tbl>
    <w:p w14:paraId="378BDF7B" w14:textId="77777777" w:rsidR="00DD13BF" w:rsidRDefault="00DD13BF" w:rsidP="00DD13BF">
      <w:pPr>
        <w:rPr>
          <w:sz w:val="18"/>
        </w:rPr>
      </w:pPr>
    </w:p>
    <w:p w14:paraId="0C094289" w14:textId="77777777" w:rsidR="00DD13BF" w:rsidRDefault="00DD13BF" w:rsidP="00DD13BF">
      <w:pPr>
        <w:ind w:left="1415"/>
      </w:pPr>
      <w:r>
        <w:t>The interregional, cross-border and transnational actions:</w:t>
      </w:r>
    </w:p>
    <w:p w14:paraId="5A4A34DF"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108CCE2" w14:textId="77777777" w:rsidTr="00355A56">
        <w:tc>
          <w:tcPr>
            <w:tcW w:w="12763" w:type="dxa"/>
          </w:tcPr>
          <w:p w14:paraId="6BDB2434" w14:textId="77777777" w:rsidR="00DD13BF" w:rsidRPr="00B3569A" w:rsidRDefault="00DD13BF" w:rsidP="00355A56">
            <w:pPr>
              <w:jc w:val="both"/>
              <w:rPr>
                <w:rFonts w:cstheme="minorHAnsi"/>
              </w:rPr>
            </w:pPr>
            <w:r>
              <w:t>The interregional, cross-border and transnational actions are not foreseen under this specific objective, as these are measures address the needs of vulnerable groups in Slovenia.</w:t>
            </w:r>
          </w:p>
        </w:tc>
      </w:tr>
    </w:tbl>
    <w:p w14:paraId="59A8ECD1" w14:textId="77777777" w:rsidR="00DD13BF" w:rsidRDefault="00DD13BF" w:rsidP="00DD13BF">
      <w:pPr>
        <w:rPr>
          <w:sz w:val="17"/>
        </w:rPr>
      </w:pPr>
    </w:p>
    <w:p w14:paraId="4091EB49" w14:textId="77777777" w:rsidR="00DD13BF" w:rsidRDefault="00DD13BF" w:rsidP="00DD13BF">
      <w:pPr>
        <w:ind w:left="1415"/>
        <w:rPr>
          <w:spacing w:val="-3"/>
        </w:rPr>
      </w:pPr>
      <w:r>
        <w:t>Planned use of financial instruments:</w:t>
      </w:r>
    </w:p>
    <w:p w14:paraId="38FC35CC"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67A69BF5" w14:textId="77777777" w:rsidTr="00355A56">
        <w:tc>
          <w:tcPr>
            <w:tcW w:w="12758" w:type="dxa"/>
          </w:tcPr>
          <w:p w14:paraId="3EA8AAA0"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w:t>
            </w:r>
          </w:p>
        </w:tc>
      </w:tr>
    </w:tbl>
    <w:p w14:paraId="7DB9EC0E" w14:textId="77777777" w:rsidR="00DD13BF" w:rsidRDefault="00DD13BF" w:rsidP="00DD13BF">
      <w:pPr>
        <w:rPr>
          <w:sz w:val="20"/>
        </w:rPr>
      </w:pPr>
    </w:p>
    <w:p w14:paraId="60A1BE0F" w14:textId="77777777" w:rsidR="00DD13BF" w:rsidRDefault="00DD13BF" w:rsidP="00DD13BF">
      <w:pPr>
        <w:rPr>
          <w:sz w:val="20"/>
        </w:rPr>
      </w:pPr>
    </w:p>
    <w:p w14:paraId="380531B9" w14:textId="77777777" w:rsidR="00DD13BF" w:rsidRDefault="00DD13BF" w:rsidP="00DD13BF">
      <w:pPr>
        <w:pStyle w:val="Naslov5"/>
        <w:spacing w:before="0"/>
      </w:pPr>
      <w:r>
        <w:t>Indicators</w:t>
      </w:r>
    </w:p>
    <w:p w14:paraId="3A514BBE" w14:textId="77777777" w:rsidR="00DD13BF" w:rsidRDefault="00DD13BF" w:rsidP="00DD13BF"/>
    <w:p w14:paraId="5BD38114" w14:textId="77777777" w:rsidR="00DD13BF" w:rsidRDefault="00DD13BF" w:rsidP="00DD13BF">
      <w:pPr>
        <w:ind w:left="379"/>
      </w:pPr>
      <w:r>
        <w:t>Table 2: Impact indicators</w:t>
      </w:r>
    </w:p>
    <w:p w14:paraId="5C0BB9ED"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276"/>
        <w:gridCol w:w="708"/>
        <w:gridCol w:w="1701"/>
        <w:gridCol w:w="778"/>
        <w:gridCol w:w="4325"/>
        <w:gridCol w:w="1276"/>
        <w:gridCol w:w="1418"/>
        <w:gridCol w:w="1134"/>
      </w:tblGrid>
      <w:tr w:rsidR="00DD13BF" w14:paraId="778F5839" w14:textId="77777777" w:rsidTr="00355A56">
        <w:trPr>
          <w:trHeight w:val="254"/>
        </w:trPr>
        <w:tc>
          <w:tcPr>
            <w:tcW w:w="1125" w:type="dxa"/>
            <w:vAlign w:val="center"/>
          </w:tcPr>
          <w:p w14:paraId="48E894E2" w14:textId="77777777" w:rsidR="00DD13BF" w:rsidRDefault="00DD13BF" w:rsidP="00355A56">
            <w:pPr>
              <w:pStyle w:val="TableParagraph"/>
              <w:ind w:right="82"/>
            </w:pPr>
            <w:r>
              <w:t>Priority</w:t>
            </w:r>
          </w:p>
        </w:tc>
        <w:tc>
          <w:tcPr>
            <w:tcW w:w="1276" w:type="dxa"/>
            <w:vAlign w:val="center"/>
          </w:tcPr>
          <w:p w14:paraId="1DA48F80" w14:textId="77777777" w:rsidR="00DD13BF" w:rsidRDefault="00DD13BF" w:rsidP="00355A56">
            <w:pPr>
              <w:pStyle w:val="TableParagraph"/>
            </w:pPr>
            <w:r>
              <w:t>Specific objective</w:t>
            </w:r>
          </w:p>
        </w:tc>
        <w:tc>
          <w:tcPr>
            <w:tcW w:w="708" w:type="dxa"/>
            <w:vAlign w:val="center"/>
          </w:tcPr>
          <w:p w14:paraId="4D21DC78" w14:textId="77777777" w:rsidR="00DD13BF" w:rsidRDefault="00DD13BF" w:rsidP="00355A56">
            <w:pPr>
              <w:pStyle w:val="TableParagraph"/>
            </w:pPr>
            <w:r>
              <w:t>Fund</w:t>
            </w:r>
          </w:p>
        </w:tc>
        <w:tc>
          <w:tcPr>
            <w:tcW w:w="1701" w:type="dxa"/>
            <w:vAlign w:val="center"/>
          </w:tcPr>
          <w:p w14:paraId="2713BF90" w14:textId="77777777" w:rsidR="00DD13BF" w:rsidRDefault="00DD13BF" w:rsidP="00355A56">
            <w:pPr>
              <w:pStyle w:val="TableParagraph"/>
            </w:pPr>
            <w:r>
              <w:t>Category of region</w:t>
            </w:r>
          </w:p>
        </w:tc>
        <w:tc>
          <w:tcPr>
            <w:tcW w:w="778" w:type="dxa"/>
            <w:vAlign w:val="center"/>
          </w:tcPr>
          <w:p w14:paraId="3BA8B43B" w14:textId="77777777" w:rsidR="00DD13BF" w:rsidRPr="00347461" w:rsidRDefault="00DD13BF" w:rsidP="00355A56">
            <w:pPr>
              <w:pStyle w:val="TableParagraph"/>
              <w:rPr>
                <w:sz w:val="20"/>
              </w:rPr>
            </w:pPr>
            <w:r>
              <w:t>ID</w:t>
            </w:r>
          </w:p>
        </w:tc>
        <w:tc>
          <w:tcPr>
            <w:tcW w:w="4325" w:type="dxa"/>
            <w:vAlign w:val="center"/>
          </w:tcPr>
          <w:p w14:paraId="521708C2" w14:textId="77777777" w:rsidR="00DD13BF" w:rsidRPr="00347461" w:rsidRDefault="00DD13BF" w:rsidP="00355A56">
            <w:pPr>
              <w:pStyle w:val="TableParagraph"/>
              <w:rPr>
                <w:sz w:val="20"/>
              </w:rPr>
            </w:pPr>
            <w:r>
              <w:t>Indicators</w:t>
            </w:r>
          </w:p>
        </w:tc>
        <w:tc>
          <w:tcPr>
            <w:tcW w:w="1276" w:type="dxa"/>
            <w:vAlign w:val="center"/>
          </w:tcPr>
          <w:p w14:paraId="58B7E5B3" w14:textId="77777777" w:rsidR="00DD13BF" w:rsidRPr="00347461" w:rsidRDefault="00DD13BF" w:rsidP="00355A56">
            <w:pPr>
              <w:pStyle w:val="TableParagraph"/>
              <w:rPr>
                <w:sz w:val="20"/>
              </w:rPr>
            </w:pPr>
            <w:r>
              <w:t>Measurement unit</w:t>
            </w:r>
          </w:p>
        </w:tc>
        <w:tc>
          <w:tcPr>
            <w:tcW w:w="1418" w:type="dxa"/>
            <w:vAlign w:val="center"/>
          </w:tcPr>
          <w:p w14:paraId="21F3DB19" w14:textId="77777777" w:rsidR="00DD13BF" w:rsidRPr="00347461" w:rsidRDefault="00DD13BF" w:rsidP="00355A56">
            <w:pPr>
              <w:pStyle w:val="TableParagraph"/>
              <w:rPr>
                <w:sz w:val="20"/>
              </w:rPr>
            </w:pPr>
            <w:r>
              <w:t>Milestone (2014)</w:t>
            </w:r>
          </w:p>
        </w:tc>
        <w:tc>
          <w:tcPr>
            <w:tcW w:w="1134" w:type="dxa"/>
            <w:vAlign w:val="center"/>
          </w:tcPr>
          <w:p w14:paraId="2329041B" w14:textId="77777777" w:rsidR="00DD13BF" w:rsidRDefault="00DD13BF" w:rsidP="00355A56">
            <w:pPr>
              <w:pStyle w:val="TableParagraph"/>
            </w:pPr>
            <w:r>
              <w:t>Target (2029)</w:t>
            </w:r>
          </w:p>
        </w:tc>
      </w:tr>
      <w:tr w:rsidR="00DD13BF" w14:paraId="6C9CEF94" w14:textId="77777777" w:rsidTr="00355A56">
        <w:trPr>
          <w:trHeight w:val="367"/>
        </w:trPr>
        <w:tc>
          <w:tcPr>
            <w:tcW w:w="1125" w:type="dxa"/>
          </w:tcPr>
          <w:p w14:paraId="5138696F" w14:textId="77777777" w:rsidR="00DD13BF" w:rsidRPr="00542465" w:rsidRDefault="00DD13BF" w:rsidP="00355A56">
            <w:pPr>
              <w:pStyle w:val="TableParagraph"/>
              <w:rPr>
                <w:sz w:val="20"/>
              </w:rPr>
            </w:pPr>
            <w:r>
              <w:rPr>
                <w:sz w:val="20"/>
              </w:rPr>
              <w:t>7</w:t>
            </w:r>
          </w:p>
        </w:tc>
        <w:tc>
          <w:tcPr>
            <w:tcW w:w="1276" w:type="dxa"/>
          </w:tcPr>
          <w:p w14:paraId="7C31A25C" w14:textId="77777777" w:rsidR="00DD13BF" w:rsidRPr="00542465" w:rsidRDefault="00DD13BF" w:rsidP="00355A56">
            <w:pPr>
              <w:pStyle w:val="TableParagraph"/>
              <w:rPr>
                <w:sz w:val="20"/>
              </w:rPr>
            </w:pPr>
            <w:r>
              <w:rPr>
                <w:color w:val="000000"/>
                <w:sz w:val="20"/>
              </w:rPr>
              <w:t>ESO4.12</w:t>
            </w:r>
          </w:p>
        </w:tc>
        <w:tc>
          <w:tcPr>
            <w:tcW w:w="708" w:type="dxa"/>
          </w:tcPr>
          <w:p w14:paraId="172E97DD" w14:textId="77777777" w:rsidR="00DD13BF" w:rsidRPr="00160F71" w:rsidRDefault="00DD13BF" w:rsidP="00355A56">
            <w:pPr>
              <w:pStyle w:val="TableParagraph"/>
              <w:rPr>
                <w:sz w:val="20"/>
              </w:rPr>
            </w:pPr>
            <w:r>
              <w:rPr>
                <w:sz w:val="20"/>
              </w:rPr>
              <w:t>ESF+</w:t>
            </w:r>
          </w:p>
        </w:tc>
        <w:tc>
          <w:tcPr>
            <w:tcW w:w="1701" w:type="dxa"/>
          </w:tcPr>
          <w:p w14:paraId="7184B740" w14:textId="77777777" w:rsidR="00DD13BF" w:rsidRPr="00160F71" w:rsidRDefault="00DD13BF" w:rsidP="00355A56">
            <w:pPr>
              <w:pStyle w:val="TableParagraph"/>
              <w:rPr>
                <w:sz w:val="20"/>
              </w:rPr>
            </w:pPr>
            <w:r>
              <w:rPr>
                <w:sz w:val="20"/>
              </w:rPr>
              <w:t>Less developed</w:t>
            </w:r>
          </w:p>
        </w:tc>
        <w:tc>
          <w:tcPr>
            <w:tcW w:w="778" w:type="dxa"/>
          </w:tcPr>
          <w:p w14:paraId="0B76F469" w14:textId="77777777" w:rsidR="00DD13BF" w:rsidRPr="00160F71" w:rsidRDefault="00DD13BF" w:rsidP="00355A56">
            <w:pPr>
              <w:pStyle w:val="TableParagraph"/>
              <w:rPr>
                <w:sz w:val="20"/>
              </w:rPr>
            </w:pPr>
            <w:r>
              <w:rPr>
                <w:sz w:val="20"/>
              </w:rPr>
              <w:t>12</w:t>
            </w:r>
          </w:p>
        </w:tc>
        <w:tc>
          <w:tcPr>
            <w:tcW w:w="4325" w:type="dxa"/>
          </w:tcPr>
          <w:p w14:paraId="6D8B11D2" w14:textId="77777777" w:rsidR="00DD13BF" w:rsidRPr="00160F71" w:rsidRDefault="00DD13BF" w:rsidP="00355A56">
            <w:pPr>
              <w:pStyle w:val="TableParagraph"/>
              <w:rPr>
                <w:sz w:val="20"/>
              </w:rPr>
            </w:pPr>
            <w:r>
              <w:rPr>
                <w:sz w:val="20"/>
              </w:rPr>
              <w:t>Number of individuals involved in social inclusion promotion projects</w:t>
            </w:r>
          </w:p>
        </w:tc>
        <w:tc>
          <w:tcPr>
            <w:tcW w:w="1276" w:type="dxa"/>
          </w:tcPr>
          <w:p w14:paraId="0B378F8A" w14:textId="77777777" w:rsidR="00DD13BF" w:rsidRPr="00160F71" w:rsidRDefault="00DD13BF" w:rsidP="00355A56">
            <w:pPr>
              <w:pStyle w:val="TableParagraph"/>
              <w:rPr>
                <w:sz w:val="20"/>
              </w:rPr>
            </w:pPr>
            <w:r>
              <w:rPr>
                <w:sz w:val="20"/>
              </w:rPr>
              <w:t>Number</w:t>
            </w:r>
          </w:p>
        </w:tc>
        <w:tc>
          <w:tcPr>
            <w:tcW w:w="1418" w:type="dxa"/>
          </w:tcPr>
          <w:p w14:paraId="6D8A6A7C" w14:textId="77777777" w:rsidR="00DD13BF" w:rsidRPr="00D82351" w:rsidRDefault="00DD13BF" w:rsidP="00355A56">
            <w:pPr>
              <w:pStyle w:val="TableParagraph"/>
              <w:rPr>
                <w:sz w:val="20"/>
              </w:rPr>
            </w:pPr>
            <w:r>
              <w:rPr>
                <w:sz w:val="20"/>
              </w:rPr>
              <w:t>1,090</w:t>
            </w:r>
          </w:p>
        </w:tc>
        <w:tc>
          <w:tcPr>
            <w:tcW w:w="1134" w:type="dxa"/>
          </w:tcPr>
          <w:p w14:paraId="72241094" w14:textId="77777777" w:rsidR="00DD13BF" w:rsidRPr="00D82351" w:rsidRDefault="00DD13BF" w:rsidP="00355A56">
            <w:pPr>
              <w:pStyle w:val="TableParagraph"/>
              <w:rPr>
                <w:sz w:val="20"/>
              </w:rPr>
            </w:pPr>
            <w:r>
              <w:rPr>
                <w:sz w:val="20"/>
              </w:rPr>
              <w:t>4,330</w:t>
            </w:r>
          </w:p>
        </w:tc>
      </w:tr>
      <w:tr w:rsidR="00DD13BF" w14:paraId="570FCEA6" w14:textId="77777777" w:rsidTr="00355A56">
        <w:trPr>
          <w:trHeight w:val="367"/>
        </w:trPr>
        <w:tc>
          <w:tcPr>
            <w:tcW w:w="1125" w:type="dxa"/>
          </w:tcPr>
          <w:p w14:paraId="5B9FFDAB" w14:textId="77777777" w:rsidR="00DD13BF" w:rsidRPr="00542465" w:rsidRDefault="00DD13BF" w:rsidP="00355A56">
            <w:pPr>
              <w:pStyle w:val="TableParagraph"/>
              <w:rPr>
                <w:sz w:val="20"/>
              </w:rPr>
            </w:pPr>
            <w:r>
              <w:rPr>
                <w:sz w:val="20"/>
              </w:rPr>
              <w:t>7</w:t>
            </w:r>
          </w:p>
        </w:tc>
        <w:tc>
          <w:tcPr>
            <w:tcW w:w="1276" w:type="dxa"/>
          </w:tcPr>
          <w:p w14:paraId="23D38188" w14:textId="77777777" w:rsidR="00DD13BF" w:rsidRPr="00542465" w:rsidRDefault="00DD13BF" w:rsidP="00355A56">
            <w:pPr>
              <w:pStyle w:val="TableParagraph"/>
              <w:rPr>
                <w:sz w:val="20"/>
              </w:rPr>
            </w:pPr>
            <w:r>
              <w:rPr>
                <w:color w:val="000000"/>
                <w:sz w:val="20"/>
              </w:rPr>
              <w:t>ESO4.12</w:t>
            </w:r>
          </w:p>
        </w:tc>
        <w:tc>
          <w:tcPr>
            <w:tcW w:w="708" w:type="dxa"/>
          </w:tcPr>
          <w:p w14:paraId="041D1447" w14:textId="77777777" w:rsidR="00DD13BF" w:rsidRPr="00160F71" w:rsidRDefault="00DD13BF" w:rsidP="00355A56">
            <w:pPr>
              <w:pStyle w:val="TableParagraph"/>
              <w:rPr>
                <w:sz w:val="20"/>
              </w:rPr>
            </w:pPr>
            <w:r>
              <w:rPr>
                <w:sz w:val="20"/>
              </w:rPr>
              <w:t>ESF+</w:t>
            </w:r>
          </w:p>
        </w:tc>
        <w:tc>
          <w:tcPr>
            <w:tcW w:w="1701" w:type="dxa"/>
          </w:tcPr>
          <w:p w14:paraId="6A9FA169" w14:textId="77777777" w:rsidR="00DD13BF" w:rsidRPr="00160F71" w:rsidRDefault="00DD13BF" w:rsidP="00355A56">
            <w:pPr>
              <w:pStyle w:val="TableParagraph"/>
              <w:rPr>
                <w:sz w:val="20"/>
              </w:rPr>
            </w:pPr>
            <w:r>
              <w:rPr>
                <w:sz w:val="20"/>
              </w:rPr>
              <w:t>More developed</w:t>
            </w:r>
          </w:p>
        </w:tc>
        <w:tc>
          <w:tcPr>
            <w:tcW w:w="778" w:type="dxa"/>
          </w:tcPr>
          <w:p w14:paraId="09002D23" w14:textId="77777777" w:rsidR="00DD13BF" w:rsidRPr="00160F71" w:rsidRDefault="00DD13BF" w:rsidP="00355A56">
            <w:pPr>
              <w:pStyle w:val="TableParagraph"/>
              <w:rPr>
                <w:sz w:val="20"/>
              </w:rPr>
            </w:pPr>
            <w:r>
              <w:rPr>
                <w:sz w:val="20"/>
              </w:rPr>
              <w:t>12</w:t>
            </w:r>
          </w:p>
        </w:tc>
        <w:tc>
          <w:tcPr>
            <w:tcW w:w="4325" w:type="dxa"/>
          </w:tcPr>
          <w:p w14:paraId="66D05215" w14:textId="77777777" w:rsidR="00DD13BF" w:rsidRPr="00160F71" w:rsidRDefault="00DD13BF" w:rsidP="00355A56">
            <w:pPr>
              <w:pStyle w:val="TableParagraph"/>
              <w:rPr>
                <w:sz w:val="20"/>
              </w:rPr>
            </w:pPr>
            <w:r>
              <w:rPr>
                <w:sz w:val="20"/>
              </w:rPr>
              <w:t>Number of individuals involved in social inclusion promotion projects</w:t>
            </w:r>
          </w:p>
        </w:tc>
        <w:tc>
          <w:tcPr>
            <w:tcW w:w="1276" w:type="dxa"/>
          </w:tcPr>
          <w:p w14:paraId="60E9DC93" w14:textId="77777777" w:rsidR="00DD13BF" w:rsidRPr="00160F71" w:rsidRDefault="00DD13BF" w:rsidP="00355A56">
            <w:pPr>
              <w:pStyle w:val="TableParagraph"/>
              <w:rPr>
                <w:sz w:val="20"/>
              </w:rPr>
            </w:pPr>
            <w:r>
              <w:rPr>
                <w:sz w:val="20"/>
              </w:rPr>
              <w:t>Number</w:t>
            </w:r>
          </w:p>
        </w:tc>
        <w:tc>
          <w:tcPr>
            <w:tcW w:w="1418" w:type="dxa"/>
          </w:tcPr>
          <w:p w14:paraId="06BFD14B" w14:textId="77777777" w:rsidR="00DD13BF" w:rsidRPr="00D82351" w:rsidRDefault="00DD13BF" w:rsidP="00355A56">
            <w:pPr>
              <w:pStyle w:val="TableParagraph"/>
              <w:rPr>
                <w:sz w:val="20"/>
              </w:rPr>
            </w:pPr>
            <w:r>
              <w:rPr>
                <w:sz w:val="20"/>
              </w:rPr>
              <w:t>758</w:t>
            </w:r>
          </w:p>
        </w:tc>
        <w:tc>
          <w:tcPr>
            <w:tcW w:w="1134" w:type="dxa"/>
          </w:tcPr>
          <w:p w14:paraId="07CCCE37" w14:textId="77777777" w:rsidR="00DD13BF" w:rsidRPr="00D82351" w:rsidRDefault="00DD13BF" w:rsidP="00355A56">
            <w:pPr>
              <w:pStyle w:val="TableParagraph"/>
              <w:rPr>
                <w:sz w:val="20"/>
              </w:rPr>
            </w:pPr>
            <w:r>
              <w:rPr>
                <w:sz w:val="20"/>
              </w:rPr>
              <w:t>2,820</w:t>
            </w:r>
          </w:p>
        </w:tc>
      </w:tr>
      <w:tr w:rsidR="00DD13BF" w14:paraId="229AE507" w14:textId="77777777" w:rsidTr="00355A56">
        <w:trPr>
          <w:trHeight w:val="367"/>
        </w:trPr>
        <w:tc>
          <w:tcPr>
            <w:tcW w:w="1125" w:type="dxa"/>
          </w:tcPr>
          <w:p w14:paraId="147798C3" w14:textId="77777777" w:rsidR="00DD13BF" w:rsidRDefault="00DD13BF" w:rsidP="00355A56">
            <w:pPr>
              <w:pStyle w:val="TableParagraph"/>
              <w:rPr>
                <w:sz w:val="20"/>
              </w:rPr>
            </w:pPr>
            <w:r>
              <w:rPr>
                <w:sz w:val="20"/>
              </w:rPr>
              <w:t>7</w:t>
            </w:r>
          </w:p>
        </w:tc>
        <w:tc>
          <w:tcPr>
            <w:tcW w:w="1276" w:type="dxa"/>
          </w:tcPr>
          <w:p w14:paraId="4B2C3E3E" w14:textId="77777777" w:rsidR="00DD13BF" w:rsidRDefault="00DD13BF" w:rsidP="00355A56">
            <w:pPr>
              <w:pStyle w:val="TableParagraph"/>
              <w:rPr>
                <w:sz w:val="20"/>
              </w:rPr>
            </w:pPr>
            <w:r>
              <w:rPr>
                <w:color w:val="000000"/>
                <w:sz w:val="20"/>
              </w:rPr>
              <w:t>ESO4.12</w:t>
            </w:r>
          </w:p>
        </w:tc>
        <w:tc>
          <w:tcPr>
            <w:tcW w:w="708" w:type="dxa"/>
          </w:tcPr>
          <w:p w14:paraId="7B5C9C59" w14:textId="77777777" w:rsidR="00DD13BF" w:rsidRPr="00160F71" w:rsidRDefault="00DD13BF" w:rsidP="00355A56">
            <w:pPr>
              <w:pStyle w:val="TableParagraph"/>
              <w:rPr>
                <w:sz w:val="20"/>
              </w:rPr>
            </w:pPr>
            <w:r>
              <w:rPr>
                <w:sz w:val="20"/>
              </w:rPr>
              <w:t>ESF+</w:t>
            </w:r>
          </w:p>
        </w:tc>
        <w:tc>
          <w:tcPr>
            <w:tcW w:w="1701" w:type="dxa"/>
          </w:tcPr>
          <w:p w14:paraId="2AE6FBA4" w14:textId="77777777" w:rsidR="00DD13BF" w:rsidRDefault="00DD13BF" w:rsidP="00355A56">
            <w:pPr>
              <w:pStyle w:val="TableParagraph"/>
              <w:rPr>
                <w:sz w:val="20"/>
              </w:rPr>
            </w:pPr>
            <w:r>
              <w:rPr>
                <w:sz w:val="20"/>
              </w:rPr>
              <w:t>Less developed</w:t>
            </w:r>
          </w:p>
        </w:tc>
        <w:tc>
          <w:tcPr>
            <w:tcW w:w="778" w:type="dxa"/>
          </w:tcPr>
          <w:p w14:paraId="7A509F69" w14:textId="77777777" w:rsidR="00DD13BF" w:rsidRDefault="00DD13BF" w:rsidP="00355A56">
            <w:pPr>
              <w:pStyle w:val="TableParagraph"/>
              <w:rPr>
                <w:sz w:val="20"/>
              </w:rPr>
            </w:pPr>
            <w:r>
              <w:rPr>
                <w:sz w:val="20"/>
              </w:rPr>
              <w:t>8</w:t>
            </w:r>
          </w:p>
        </w:tc>
        <w:tc>
          <w:tcPr>
            <w:tcW w:w="4325" w:type="dxa"/>
          </w:tcPr>
          <w:p w14:paraId="02008160" w14:textId="77777777" w:rsidR="00DD13BF" w:rsidRDefault="00DD13BF" w:rsidP="00355A56">
            <w:pPr>
              <w:pStyle w:val="TableParagraph"/>
              <w:rPr>
                <w:sz w:val="20"/>
              </w:rPr>
            </w:pPr>
            <w:r>
              <w:rPr>
                <w:sz w:val="20"/>
              </w:rPr>
              <w:t>Number of supported multigenerational centres</w:t>
            </w:r>
          </w:p>
        </w:tc>
        <w:tc>
          <w:tcPr>
            <w:tcW w:w="1276" w:type="dxa"/>
          </w:tcPr>
          <w:p w14:paraId="686FE7A9" w14:textId="77777777" w:rsidR="00DD13BF" w:rsidRPr="00160F71" w:rsidRDefault="00DD13BF" w:rsidP="00355A56">
            <w:pPr>
              <w:pStyle w:val="TableParagraph"/>
              <w:rPr>
                <w:sz w:val="20"/>
              </w:rPr>
            </w:pPr>
            <w:r>
              <w:rPr>
                <w:sz w:val="20"/>
              </w:rPr>
              <w:t>Number</w:t>
            </w:r>
          </w:p>
        </w:tc>
        <w:tc>
          <w:tcPr>
            <w:tcW w:w="1418" w:type="dxa"/>
          </w:tcPr>
          <w:p w14:paraId="2817298C" w14:textId="77777777" w:rsidR="00DD13BF" w:rsidRDefault="00DD13BF" w:rsidP="00355A56">
            <w:pPr>
              <w:pStyle w:val="TableParagraph"/>
              <w:rPr>
                <w:sz w:val="20"/>
              </w:rPr>
            </w:pPr>
            <w:r>
              <w:rPr>
                <w:sz w:val="20"/>
              </w:rPr>
              <w:t>11</w:t>
            </w:r>
          </w:p>
        </w:tc>
        <w:tc>
          <w:tcPr>
            <w:tcW w:w="1134" w:type="dxa"/>
          </w:tcPr>
          <w:p w14:paraId="1BA1A09A" w14:textId="77777777" w:rsidR="00DD13BF" w:rsidRDefault="00DD13BF" w:rsidP="00355A56">
            <w:pPr>
              <w:pStyle w:val="TableParagraph"/>
              <w:rPr>
                <w:sz w:val="20"/>
              </w:rPr>
            </w:pPr>
            <w:r>
              <w:rPr>
                <w:sz w:val="20"/>
              </w:rPr>
              <w:t>11</w:t>
            </w:r>
          </w:p>
        </w:tc>
      </w:tr>
      <w:tr w:rsidR="00DD13BF" w14:paraId="15F2DCD9" w14:textId="77777777" w:rsidTr="00355A56">
        <w:trPr>
          <w:trHeight w:val="367"/>
        </w:trPr>
        <w:tc>
          <w:tcPr>
            <w:tcW w:w="1125" w:type="dxa"/>
          </w:tcPr>
          <w:p w14:paraId="2B50F00C" w14:textId="77777777" w:rsidR="00DD13BF" w:rsidRDefault="00DD13BF" w:rsidP="00355A56">
            <w:pPr>
              <w:pStyle w:val="TableParagraph"/>
              <w:rPr>
                <w:sz w:val="20"/>
              </w:rPr>
            </w:pPr>
            <w:r>
              <w:rPr>
                <w:sz w:val="20"/>
              </w:rPr>
              <w:t>7</w:t>
            </w:r>
          </w:p>
        </w:tc>
        <w:tc>
          <w:tcPr>
            <w:tcW w:w="1276" w:type="dxa"/>
          </w:tcPr>
          <w:p w14:paraId="5B15C02B" w14:textId="77777777" w:rsidR="00DD13BF" w:rsidRDefault="00DD13BF" w:rsidP="00355A56">
            <w:pPr>
              <w:pStyle w:val="TableParagraph"/>
              <w:rPr>
                <w:sz w:val="20"/>
              </w:rPr>
            </w:pPr>
            <w:r>
              <w:rPr>
                <w:color w:val="000000"/>
                <w:sz w:val="20"/>
              </w:rPr>
              <w:t>ESO4.12</w:t>
            </w:r>
          </w:p>
        </w:tc>
        <w:tc>
          <w:tcPr>
            <w:tcW w:w="708" w:type="dxa"/>
          </w:tcPr>
          <w:p w14:paraId="6C7A1A38" w14:textId="77777777" w:rsidR="00DD13BF" w:rsidRPr="00160F71" w:rsidRDefault="00DD13BF" w:rsidP="00355A56">
            <w:pPr>
              <w:pStyle w:val="TableParagraph"/>
              <w:rPr>
                <w:sz w:val="20"/>
              </w:rPr>
            </w:pPr>
            <w:r>
              <w:rPr>
                <w:sz w:val="20"/>
              </w:rPr>
              <w:t>ESF+</w:t>
            </w:r>
          </w:p>
        </w:tc>
        <w:tc>
          <w:tcPr>
            <w:tcW w:w="1701" w:type="dxa"/>
          </w:tcPr>
          <w:p w14:paraId="234CC610" w14:textId="77777777" w:rsidR="00DD13BF" w:rsidRDefault="00DD13BF" w:rsidP="00355A56">
            <w:pPr>
              <w:pStyle w:val="TableParagraph"/>
              <w:rPr>
                <w:sz w:val="20"/>
              </w:rPr>
            </w:pPr>
            <w:r>
              <w:rPr>
                <w:sz w:val="20"/>
              </w:rPr>
              <w:t>More developed</w:t>
            </w:r>
          </w:p>
        </w:tc>
        <w:tc>
          <w:tcPr>
            <w:tcW w:w="778" w:type="dxa"/>
          </w:tcPr>
          <w:p w14:paraId="5357270F" w14:textId="77777777" w:rsidR="00DD13BF" w:rsidRDefault="00DD13BF" w:rsidP="00355A56">
            <w:pPr>
              <w:pStyle w:val="TableParagraph"/>
              <w:rPr>
                <w:sz w:val="20"/>
              </w:rPr>
            </w:pPr>
            <w:r>
              <w:rPr>
                <w:sz w:val="20"/>
              </w:rPr>
              <w:t>8</w:t>
            </w:r>
          </w:p>
        </w:tc>
        <w:tc>
          <w:tcPr>
            <w:tcW w:w="4325" w:type="dxa"/>
          </w:tcPr>
          <w:p w14:paraId="51823CB8" w14:textId="77777777" w:rsidR="00DD13BF" w:rsidRDefault="00DD13BF" w:rsidP="00355A56">
            <w:pPr>
              <w:pStyle w:val="TableParagraph"/>
              <w:rPr>
                <w:sz w:val="20"/>
              </w:rPr>
            </w:pPr>
            <w:r>
              <w:rPr>
                <w:sz w:val="20"/>
              </w:rPr>
              <w:t>Number of supported multigenerational centres</w:t>
            </w:r>
          </w:p>
        </w:tc>
        <w:tc>
          <w:tcPr>
            <w:tcW w:w="1276" w:type="dxa"/>
          </w:tcPr>
          <w:p w14:paraId="0C60499F" w14:textId="77777777" w:rsidR="00DD13BF" w:rsidRPr="00160F71" w:rsidRDefault="00DD13BF" w:rsidP="00355A56">
            <w:pPr>
              <w:pStyle w:val="TableParagraph"/>
              <w:rPr>
                <w:sz w:val="20"/>
              </w:rPr>
            </w:pPr>
            <w:r>
              <w:rPr>
                <w:sz w:val="20"/>
              </w:rPr>
              <w:t>Number</w:t>
            </w:r>
          </w:p>
        </w:tc>
        <w:tc>
          <w:tcPr>
            <w:tcW w:w="1418" w:type="dxa"/>
          </w:tcPr>
          <w:p w14:paraId="64F50604" w14:textId="77777777" w:rsidR="00DD13BF" w:rsidRDefault="00DD13BF" w:rsidP="00355A56">
            <w:pPr>
              <w:pStyle w:val="TableParagraph"/>
              <w:rPr>
                <w:sz w:val="20"/>
              </w:rPr>
            </w:pPr>
            <w:r>
              <w:rPr>
                <w:sz w:val="20"/>
              </w:rPr>
              <w:t>5</w:t>
            </w:r>
          </w:p>
        </w:tc>
        <w:tc>
          <w:tcPr>
            <w:tcW w:w="1134" w:type="dxa"/>
          </w:tcPr>
          <w:p w14:paraId="26F4BC91" w14:textId="77777777" w:rsidR="00DD13BF" w:rsidRDefault="00DD13BF" w:rsidP="00355A56">
            <w:pPr>
              <w:pStyle w:val="TableParagraph"/>
              <w:rPr>
                <w:sz w:val="20"/>
              </w:rPr>
            </w:pPr>
            <w:r>
              <w:rPr>
                <w:sz w:val="20"/>
              </w:rPr>
              <w:t>5</w:t>
            </w:r>
          </w:p>
        </w:tc>
      </w:tr>
    </w:tbl>
    <w:p w14:paraId="210F1FF7" w14:textId="77777777" w:rsidR="00DD13BF" w:rsidRDefault="00DD13BF" w:rsidP="00DD13BF">
      <w:pPr>
        <w:rPr>
          <w:sz w:val="24"/>
        </w:rPr>
      </w:pPr>
    </w:p>
    <w:p w14:paraId="5C4A03DF" w14:textId="77777777" w:rsidR="00DD13BF" w:rsidRDefault="00DD13BF" w:rsidP="00DD13BF">
      <w:pPr>
        <w:ind w:left="379"/>
      </w:pPr>
      <w:r>
        <w:t>Table 3: Result indicators</w:t>
      </w:r>
    </w:p>
    <w:p w14:paraId="1E83643F"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992"/>
        <w:gridCol w:w="696"/>
        <w:gridCol w:w="1572"/>
        <w:gridCol w:w="709"/>
        <w:gridCol w:w="3685"/>
        <w:gridCol w:w="708"/>
        <w:gridCol w:w="1134"/>
        <w:gridCol w:w="993"/>
        <w:gridCol w:w="708"/>
        <w:gridCol w:w="851"/>
        <w:gridCol w:w="709"/>
      </w:tblGrid>
      <w:tr w:rsidR="00DD13BF" w14:paraId="346910A3" w14:textId="77777777" w:rsidTr="00355A56">
        <w:trPr>
          <w:trHeight w:val="353"/>
        </w:trPr>
        <w:tc>
          <w:tcPr>
            <w:tcW w:w="1125" w:type="dxa"/>
          </w:tcPr>
          <w:p w14:paraId="31A97D62" w14:textId="77777777" w:rsidR="00DD13BF" w:rsidRPr="00347461" w:rsidRDefault="00DD13BF" w:rsidP="00355A56">
            <w:pPr>
              <w:pStyle w:val="TableParagraph"/>
              <w:rPr>
                <w:sz w:val="20"/>
              </w:rPr>
            </w:pPr>
            <w:r>
              <w:rPr>
                <w:sz w:val="20"/>
              </w:rPr>
              <w:lastRenderedPageBreak/>
              <w:t>Priority</w:t>
            </w:r>
          </w:p>
        </w:tc>
        <w:tc>
          <w:tcPr>
            <w:tcW w:w="992" w:type="dxa"/>
          </w:tcPr>
          <w:p w14:paraId="4E3BF0CB" w14:textId="77777777" w:rsidR="00DD13BF" w:rsidRPr="00347461" w:rsidRDefault="00DD13BF" w:rsidP="00355A56">
            <w:pPr>
              <w:pStyle w:val="TableParagraph"/>
              <w:rPr>
                <w:sz w:val="20"/>
              </w:rPr>
            </w:pPr>
            <w:r>
              <w:rPr>
                <w:sz w:val="20"/>
              </w:rPr>
              <w:t>Specific objective</w:t>
            </w:r>
          </w:p>
        </w:tc>
        <w:tc>
          <w:tcPr>
            <w:tcW w:w="696" w:type="dxa"/>
          </w:tcPr>
          <w:p w14:paraId="6C916D91" w14:textId="77777777" w:rsidR="00DD13BF" w:rsidRPr="00347461" w:rsidRDefault="00DD13BF" w:rsidP="00355A56">
            <w:pPr>
              <w:pStyle w:val="TableParagraph"/>
              <w:rPr>
                <w:sz w:val="20"/>
              </w:rPr>
            </w:pPr>
            <w:r>
              <w:rPr>
                <w:sz w:val="20"/>
              </w:rPr>
              <w:t>Fund</w:t>
            </w:r>
          </w:p>
        </w:tc>
        <w:tc>
          <w:tcPr>
            <w:tcW w:w="1572" w:type="dxa"/>
          </w:tcPr>
          <w:p w14:paraId="22253B01" w14:textId="77777777" w:rsidR="00DD13BF" w:rsidRPr="00347461" w:rsidRDefault="00DD13BF" w:rsidP="00355A56">
            <w:pPr>
              <w:pStyle w:val="TableParagraph"/>
              <w:rPr>
                <w:sz w:val="20"/>
              </w:rPr>
            </w:pPr>
            <w:r>
              <w:rPr>
                <w:sz w:val="20"/>
              </w:rPr>
              <w:t>Category of region</w:t>
            </w:r>
          </w:p>
        </w:tc>
        <w:tc>
          <w:tcPr>
            <w:tcW w:w="709" w:type="dxa"/>
          </w:tcPr>
          <w:p w14:paraId="09555B6D" w14:textId="77777777" w:rsidR="00DD13BF" w:rsidRPr="00347461" w:rsidRDefault="00DD13BF" w:rsidP="00355A56">
            <w:pPr>
              <w:pStyle w:val="TableParagraph"/>
              <w:rPr>
                <w:sz w:val="20"/>
              </w:rPr>
            </w:pPr>
            <w:r>
              <w:rPr>
                <w:sz w:val="20"/>
              </w:rPr>
              <w:t>ID</w:t>
            </w:r>
          </w:p>
        </w:tc>
        <w:tc>
          <w:tcPr>
            <w:tcW w:w="3685" w:type="dxa"/>
          </w:tcPr>
          <w:p w14:paraId="2AA111B5" w14:textId="77777777" w:rsidR="00DD13BF" w:rsidRPr="00347461" w:rsidRDefault="00DD13BF" w:rsidP="00355A56">
            <w:pPr>
              <w:pStyle w:val="TableParagraph"/>
              <w:rPr>
                <w:sz w:val="20"/>
              </w:rPr>
            </w:pPr>
            <w:r>
              <w:rPr>
                <w:sz w:val="20"/>
              </w:rPr>
              <w:t>Indicator</w:t>
            </w:r>
          </w:p>
        </w:tc>
        <w:tc>
          <w:tcPr>
            <w:tcW w:w="708" w:type="dxa"/>
          </w:tcPr>
          <w:p w14:paraId="00310D92" w14:textId="77777777" w:rsidR="00DD13BF" w:rsidRPr="00347461" w:rsidRDefault="00DD13BF" w:rsidP="00355A56">
            <w:pPr>
              <w:pStyle w:val="TableParagraph"/>
              <w:rPr>
                <w:sz w:val="20"/>
              </w:rPr>
            </w:pPr>
            <w:r>
              <w:rPr>
                <w:sz w:val="20"/>
              </w:rPr>
              <w:t>Measurement unit</w:t>
            </w:r>
          </w:p>
        </w:tc>
        <w:tc>
          <w:tcPr>
            <w:tcW w:w="1134" w:type="dxa"/>
          </w:tcPr>
          <w:p w14:paraId="74E25215" w14:textId="77777777" w:rsidR="00DD13BF" w:rsidRPr="00347461" w:rsidRDefault="00DD13BF" w:rsidP="00355A56">
            <w:pPr>
              <w:pStyle w:val="TableParagraph"/>
              <w:rPr>
                <w:sz w:val="20"/>
              </w:rPr>
            </w:pPr>
            <w:r>
              <w:rPr>
                <w:sz w:val="20"/>
              </w:rPr>
              <w:t>Baseline or reference value</w:t>
            </w:r>
          </w:p>
        </w:tc>
        <w:tc>
          <w:tcPr>
            <w:tcW w:w="993" w:type="dxa"/>
          </w:tcPr>
          <w:p w14:paraId="2973EABD" w14:textId="77777777" w:rsidR="00DD13BF" w:rsidRPr="00347461" w:rsidRDefault="00DD13BF" w:rsidP="00355A56">
            <w:pPr>
              <w:pStyle w:val="TableParagraph"/>
              <w:rPr>
                <w:sz w:val="20"/>
              </w:rPr>
            </w:pPr>
            <w:r>
              <w:rPr>
                <w:sz w:val="20"/>
              </w:rPr>
              <w:t>Reference year</w:t>
            </w:r>
          </w:p>
        </w:tc>
        <w:tc>
          <w:tcPr>
            <w:tcW w:w="708" w:type="dxa"/>
          </w:tcPr>
          <w:p w14:paraId="5F01274E" w14:textId="77777777" w:rsidR="00DD13BF" w:rsidRPr="00347461" w:rsidRDefault="00DD13BF" w:rsidP="00355A56">
            <w:pPr>
              <w:pStyle w:val="TableParagraph"/>
              <w:rPr>
                <w:sz w:val="20"/>
              </w:rPr>
            </w:pPr>
            <w:r>
              <w:rPr>
                <w:sz w:val="20"/>
              </w:rPr>
              <w:t>Target (2029)</w:t>
            </w:r>
          </w:p>
        </w:tc>
        <w:tc>
          <w:tcPr>
            <w:tcW w:w="851" w:type="dxa"/>
          </w:tcPr>
          <w:p w14:paraId="4A4DC296" w14:textId="77777777" w:rsidR="00DD13BF" w:rsidRPr="00347461" w:rsidRDefault="00DD13BF" w:rsidP="00355A56">
            <w:pPr>
              <w:pStyle w:val="TableParagraph"/>
              <w:rPr>
                <w:sz w:val="20"/>
              </w:rPr>
            </w:pPr>
            <w:r>
              <w:rPr>
                <w:sz w:val="20"/>
              </w:rPr>
              <w:t>Source of data</w:t>
            </w:r>
          </w:p>
        </w:tc>
        <w:tc>
          <w:tcPr>
            <w:tcW w:w="709" w:type="dxa"/>
          </w:tcPr>
          <w:p w14:paraId="242ED9DF" w14:textId="77777777" w:rsidR="00DD13BF" w:rsidRPr="00347461" w:rsidRDefault="00DD13BF" w:rsidP="00355A56">
            <w:pPr>
              <w:pStyle w:val="TableParagraph"/>
              <w:rPr>
                <w:sz w:val="20"/>
              </w:rPr>
            </w:pPr>
            <w:r>
              <w:rPr>
                <w:sz w:val="20"/>
              </w:rPr>
              <w:t>Notes</w:t>
            </w:r>
          </w:p>
        </w:tc>
      </w:tr>
      <w:tr w:rsidR="00DD13BF" w14:paraId="64331427" w14:textId="77777777" w:rsidTr="00355A56">
        <w:trPr>
          <w:trHeight w:val="353"/>
        </w:trPr>
        <w:tc>
          <w:tcPr>
            <w:tcW w:w="1125" w:type="dxa"/>
          </w:tcPr>
          <w:p w14:paraId="3DB001C6" w14:textId="77777777" w:rsidR="00DD13BF" w:rsidRDefault="00DD13BF" w:rsidP="00355A56">
            <w:pPr>
              <w:pStyle w:val="TableParagraph"/>
              <w:rPr>
                <w:sz w:val="20"/>
              </w:rPr>
            </w:pPr>
            <w:r>
              <w:rPr>
                <w:sz w:val="20"/>
              </w:rPr>
              <w:t>7</w:t>
            </w:r>
          </w:p>
        </w:tc>
        <w:tc>
          <w:tcPr>
            <w:tcW w:w="992" w:type="dxa"/>
          </w:tcPr>
          <w:p w14:paraId="2440EA7D" w14:textId="77777777" w:rsidR="00DD13BF" w:rsidRDefault="00DD13BF" w:rsidP="00355A56">
            <w:pPr>
              <w:pStyle w:val="TableParagraph"/>
              <w:rPr>
                <w:sz w:val="20"/>
              </w:rPr>
            </w:pPr>
            <w:r>
              <w:rPr>
                <w:color w:val="000000"/>
                <w:sz w:val="20"/>
              </w:rPr>
              <w:t>ESO4.12</w:t>
            </w:r>
          </w:p>
        </w:tc>
        <w:tc>
          <w:tcPr>
            <w:tcW w:w="696" w:type="dxa"/>
          </w:tcPr>
          <w:p w14:paraId="697083EA" w14:textId="77777777" w:rsidR="00DD13BF" w:rsidRDefault="00DD13BF" w:rsidP="00355A56">
            <w:pPr>
              <w:pStyle w:val="TableParagraph"/>
              <w:rPr>
                <w:sz w:val="20"/>
              </w:rPr>
            </w:pPr>
            <w:r>
              <w:rPr>
                <w:sz w:val="20"/>
              </w:rPr>
              <w:t>ESF+</w:t>
            </w:r>
          </w:p>
        </w:tc>
        <w:tc>
          <w:tcPr>
            <w:tcW w:w="1572" w:type="dxa"/>
          </w:tcPr>
          <w:p w14:paraId="1C81A54A" w14:textId="77777777" w:rsidR="00DD13BF" w:rsidRDefault="00DD13BF" w:rsidP="00355A56">
            <w:pPr>
              <w:pStyle w:val="TableParagraph"/>
              <w:rPr>
                <w:sz w:val="20"/>
              </w:rPr>
            </w:pPr>
            <w:r>
              <w:rPr>
                <w:sz w:val="20"/>
              </w:rPr>
              <w:t>Less developed</w:t>
            </w:r>
          </w:p>
        </w:tc>
        <w:tc>
          <w:tcPr>
            <w:tcW w:w="709" w:type="dxa"/>
          </w:tcPr>
          <w:p w14:paraId="34AED655" w14:textId="77777777" w:rsidR="00DD13BF" w:rsidRPr="00347461" w:rsidRDefault="00DD13BF" w:rsidP="00355A56">
            <w:pPr>
              <w:pStyle w:val="TableParagraph"/>
              <w:rPr>
                <w:sz w:val="20"/>
              </w:rPr>
            </w:pPr>
            <w:r>
              <w:rPr>
                <w:sz w:val="20"/>
              </w:rPr>
              <w:t>13</w:t>
            </w:r>
          </w:p>
        </w:tc>
        <w:tc>
          <w:tcPr>
            <w:tcW w:w="3685" w:type="dxa"/>
          </w:tcPr>
          <w:p w14:paraId="32615B8A" w14:textId="77777777" w:rsidR="00DD13BF" w:rsidRPr="001A4442" w:rsidRDefault="00DD13BF" w:rsidP="00355A56">
            <w:pPr>
              <w:pStyle w:val="TableParagraph"/>
              <w:rPr>
                <w:rFonts w:cstheme="minorHAnsi"/>
                <w:sz w:val="20"/>
                <w:szCs w:val="18"/>
              </w:rPr>
            </w:pPr>
            <w:r>
              <w:rPr>
                <w:sz w:val="20"/>
              </w:rPr>
              <w:t>Number of hours of activity in multigenerational centres after completion of implementation</w:t>
            </w:r>
          </w:p>
        </w:tc>
        <w:tc>
          <w:tcPr>
            <w:tcW w:w="708" w:type="dxa"/>
          </w:tcPr>
          <w:p w14:paraId="5C017CBF" w14:textId="77777777" w:rsidR="00DD13BF" w:rsidRPr="001A4442" w:rsidRDefault="00DD13BF" w:rsidP="00355A56">
            <w:pPr>
              <w:pStyle w:val="TableParagraph"/>
              <w:rPr>
                <w:sz w:val="20"/>
              </w:rPr>
            </w:pPr>
            <w:r>
              <w:rPr>
                <w:sz w:val="20"/>
              </w:rPr>
              <w:t>Number</w:t>
            </w:r>
          </w:p>
        </w:tc>
        <w:tc>
          <w:tcPr>
            <w:tcW w:w="1134" w:type="dxa"/>
          </w:tcPr>
          <w:p w14:paraId="401B8D65" w14:textId="77777777" w:rsidR="00DD13BF" w:rsidRDefault="00DD13BF" w:rsidP="00355A56">
            <w:pPr>
              <w:pStyle w:val="TableParagraph"/>
              <w:rPr>
                <w:sz w:val="20"/>
              </w:rPr>
            </w:pPr>
            <w:r>
              <w:rPr>
                <w:sz w:val="20"/>
              </w:rPr>
              <w:t>48,000</w:t>
            </w:r>
          </w:p>
        </w:tc>
        <w:tc>
          <w:tcPr>
            <w:tcW w:w="993" w:type="dxa"/>
          </w:tcPr>
          <w:p w14:paraId="7C0C25A4" w14:textId="77777777" w:rsidR="00DD13BF" w:rsidRDefault="00DD13BF" w:rsidP="00355A56">
            <w:pPr>
              <w:pStyle w:val="TableParagraph"/>
              <w:rPr>
                <w:sz w:val="20"/>
              </w:rPr>
            </w:pPr>
            <w:r>
              <w:rPr>
                <w:sz w:val="20"/>
              </w:rPr>
              <w:t>2020</w:t>
            </w:r>
          </w:p>
        </w:tc>
        <w:tc>
          <w:tcPr>
            <w:tcW w:w="708" w:type="dxa"/>
          </w:tcPr>
          <w:p w14:paraId="790D0F7E" w14:textId="77777777" w:rsidR="00DD13BF" w:rsidRDefault="00DD13BF" w:rsidP="00355A56">
            <w:pPr>
              <w:pStyle w:val="TableParagraph"/>
              <w:rPr>
                <w:sz w:val="20"/>
              </w:rPr>
            </w:pPr>
            <w:r>
              <w:rPr>
                <w:sz w:val="20"/>
              </w:rPr>
              <w:t>92,400</w:t>
            </w:r>
          </w:p>
        </w:tc>
        <w:tc>
          <w:tcPr>
            <w:tcW w:w="851" w:type="dxa"/>
          </w:tcPr>
          <w:p w14:paraId="05184BFD" w14:textId="77777777" w:rsidR="00DD13BF" w:rsidRPr="00347461" w:rsidRDefault="00DD13BF" w:rsidP="00355A56">
            <w:pPr>
              <w:pStyle w:val="TableParagraph"/>
              <w:rPr>
                <w:sz w:val="20"/>
              </w:rPr>
            </w:pPr>
            <w:r>
              <w:rPr>
                <w:sz w:val="20"/>
              </w:rPr>
              <w:t>Beneficiaries and eMA2</w:t>
            </w:r>
          </w:p>
        </w:tc>
        <w:tc>
          <w:tcPr>
            <w:tcW w:w="709" w:type="dxa"/>
          </w:tcPr>
          <w:p w14:paraId="1027DC17" w14:textId="77777777" w:rsidR="00DD13BF" w:rsidRPr="00347461" w:rsidRDefault="00DD13BF" w:rsidP="00355A56">
            <w:pPr>
              <w:pStyle w:val="TableParagraph"/>
              <w:rPr>
                <w:sz w:val="20"/>
              </w:rPr>
            </w:pPr>
          </w:p>
        </w:tc>
      </w:tr>
      <w:tr w:rsidR="00DD13BF" w14:paraId="6B4E1DC6" w14:textId="77777777" w:rsidTr="00355A56">
        <w:trPr>
          <w:trHeight w:val="353"/>
        </w:trPr>
        <w:tc>
          <w:tcPr>
            <w:tcW w:w="1125" w:type="dxa"/>
          </w:tcPr>
          <w:p w14:paraId="1699060B" w14:textId="77777777" w:rsidR="00DD13BF" w:rsidRDefault="00DD13BF" w:rsidP="00355A56">
            <w:pPr>
              <w:pStyle w:val="TableParagraph"/>
              <w:rPr>
                <w:sz w:val="20"/>
              </w:rPr>
            </w:pPr>
            <w:r>
              <w:rPr>
                <w:sz w:val="20"/>
              </w:rPr>
              <w:t>7</w:t>
            </w:r>
          </w:p>
        </w:tc>
        <w:tc>
          <w:tcPr>
            <w:tcW w:w="992" w:type="dxa"/>
          </w:tcPr>
          <w:p w14:paraId="0789A0BA" w14:textId="77777777" w:rsidR="00DD13BF" w:rsidRDefault="00DD13BF" w:rsidP="00355A56">
            <w:pPr>
              <w:pStyle w:val="TableParagraph"/>
              <w:rPr>
                <w:sz w:val="20"/>
              </w:rPr>
            </w:pPr>
            <w:r>
              <w:rPr>
                <w:color w:val="000000"/>
                <w:sz w:val="20"/>
              </w:rPr>
              <w:t>ESO4.12</w:t>
            </w:r>
          </w:p>
        </w:tc>
        <w:tc>
          <w:tcPr>
            <w:tcW w:w="696" w:type="dxa"/>
          </w:tcPr>
          <w:p w14:paraId="45E7B30C" w14:textId="77777777" w:rsidR="00DD13BF" w:rsidRDefault="00DD13BF" w:rsidP="00355A56">
            <w:pPr>
              <w:pStyle w:val="TableParagraph"/>
              <w:rPr>
                <w:sz w:val="20"/>
              </w:rPr>
            </w:pPr>
            <w:r>
              <w:rPr>
                <w:sz w:val="20"/>
              </w:rPr>
              <w:t>ESF+</w:t>
            </w:r>
          </w:p>
        </w:tc>
        <w:tc>
          <w:tcPr>
            <w:tcW w:w="1572" w:type="dxa"/>
          </w:tcPr>
          <w:p w14:paraId="64CCA507" w14:textId="77777777" w:rsidR="00DD13BF" w:rsidRDefault="00DD13BF" w:rsidP="00355A56">
            <w:pPr>
              <w:pStyle w:val="TableParagraph"/>
              <w:rPr>
                <w:sz w:val="20"/>
              </w:rPr>
            </w:pPr>
            <w:r>
              <w:rPr>
                <w:sz w:val="20"/>
              </w:rPr>
              <w:t>More developed</w:t>
            </w:r>
          </w:p>
        </w:tc>
        <w:tc>
          <w:tcPr>
            <w:tcW w:w="709" w:type="dxa"/>
          </w:tcPr>
          <w:p w14:paraId="19E3FD4C" w14:textId="77777777" w:rsidR="00DD13BF" w:rsidRPr="00347461" w:rsidRDefault="00DD13BF" w:rsidP="00355A56">
            <w:pPr>
              <w:pStyle w:val="TableParagraph"/>
              <w:rPr>
                <w:sz w:val="20"/>
              </w:rPr>
            </w:pPr>
            <w:r>
              <w:rPr>
                <w:sz w:val="20"/>
              </w:rPr>
              <w:t>13</w:t>
            </w:r>
          </w:p>
        </w:tc>
        <w:tc>
          <w:tcPr>
            <w:tcW w:w="3685" w:type="dxa"/>
          </w:tcPr>
          <w:p w14:paraId="5A791AD5" w14:textId="77777777" w:rsidR="00DD13BF" w:rsidRPr="001A4442" w:rsidRDefault="00DD13BF" w:rsidP="00355A56">
            <w:pPr>
              <w:pStyle w:val="TableParagraph"/>
              <w:rPr>
                <w:rFonts w:cstheme="minorHAnsi"/>
                <w:sz w:val="20"/>
                <w:szCs w:val="18"/>
              </w:rPr>
            </w:pPr>
            <w:r>
              <w:rPr>
                <w:sz w:val="20"/>
              </w:rPr>
              <w:t>Number of hours of activity in multigenerational centres after completion of implementation</w:t>
            </w:r>
          </w:p>
        </w:tc>
        <w:tc>
          <w:tcPr>
            <w:tcW w:w="708" w:type="dxa"/>
          </w:tcPr>
          <w:p w14:paraId="73074F7E" w14:textId="77777777" w:rsidR="00DD13BF" w:rsidRPr="001A4442" w:rsidRDefault="00DD13BF" w:rsidP="00355A56">
            <w:pPr>
              <w:pStyle w:val="TableParagraph"/>
              <w:rPr>
                <w:sz w:val="20"/>
              </w:rPr>
            </w:pPr>
            <w:r>
              <w:rPr>
                <w:sz w:val="20"/>
              </w:rPr>
              <w:t xml:space="preserve">Number </w:t>
            </w:r>
          </w:p>
        </w:tc>
        <w:tc>
          <w:tcPr>
            <w:tcW w:w="1134" w:type="dxa"/>
          </w:tcPr>
          <w:p w14:paraId="7A81871C" w14:textId="77777777" w:rsidR="00DD13BF" w:rsidRDefault="00DD13BF" w:rsidP="00355A56">
            <w:pPr>
              <w:pStyle w:val="TableParagraph"/>
              <w:rPr>
                <w:sz w:val="20"/>
              </w:rPr>
            </w:pPr>
            <w:r>
              <w:rPr>
                <w:sz w:val="20"/>
              </w:rPr>
              <w:t>24,000</w:t>
            </w:r>
          </w:p>
        </w:tc>
        <w:tc>
          <w:tcPr>
            <w:tcW w:w="993" w:type="dxa"/>
          </w:tcPr>
          <w:p w14:paraId="56294491" w14:textId="77777777" w:rsidR="00DD13BF" w:rsidRDefault="00DD13BF" w:rsidP="00355A56">
            <w:pPr>
              <w:pStyle w:val="TableParagraph"/>
              <w:rPr>
                <w:sz w:val="20"/>
              </w:rPr>
            </w:pPr>
            <w:r>
              <w:rPr>
                <w:sz w:val="20"/>
              </w:rPr>
              <w:t>2020</w:t>
            </w:r>
          </w:p>
        </w:tc>
        <w:tc>
          <w:tcPr>
            <w:tcW w:w="708" w:type="dxa"/>
          </w:tcPr>
          <w:p w14:paraId="08385136" w14:textId="77777777" w:rsidR="00DD13BF" w:rsidRDefault="00DD13BF" w:rsidP="00355A56">
            <w:pPr>
              <w:pStyle w:val="TableParagraph"/>
              <w:rPr>
                <w:sz w:val="20"/>
              </w:rPr>
            </w:pPr>
            <w:r>
              <w:rPr>
                <w:sz w:val="20"/>
              </w:rPr>
              <w:t>42,000</w:t>
            </w:r>
          </w:p>
        </w:tc>
        <w:tc>
          <w:tcPr>
            <w:tcW w:w="851" w:type="dxa"/>
          </w:tcPr>
          <w:p w14:paraId="7390329F" w14:textId="77777777" w:rsidR="00DD13BF" w:rsidRPr="00347461" w:rsidRDefault="00DD13BF" w:rsidP="00355A56">
            <w:pPr>
              <w:pStyle w:val="TableParagraph"/>
              <w:rPr>
                <w:sz w:val="20"/>
              </w:rPr>
            </w:pPr>
            <w:r>
              <w:rPr>
                <w:sz w:val="20"/>
              </w:rPr>
              <w:t>Beneficiaries and eMA2</w:t>
            </w:r>
          </w:p>
        </w:tc>
        <w:tc>
          <w:tcPr>
            <w:tcW w:w="709" w:type="dxa"/>
          </w:tcPr>
          <w:p w14:paraId="7DF2EBD4" w14:textId="77777777" w:rsidR="00DD13BF" w:rsidRPr="00347461" w:rsidRDefault="00DD13BF" w:rsidP="00355A56">
            <w:pPr>
              <w:pStyle w:val="TableParagraph"/>
              <w:rPr>
                <w:sz w:val="20"/>
              </w:rPr>
            </w:pPr>
          </w:p>
        </w:tc>
      </w:tr>
    </w:tbl>
    <w:p w14:paraId="2ED91537" w14:textId="77777777" w:rsidR="00DD13BF" w:rsidRPr="00F81084" w:rsidRDefault="00DD13BF" w:rsidP="00DD13BF">
      <w:pPr>
        <w:pStyle w:val="Telobesedila"/>
      </w:pPr>
    </w:p>
    <w:p w14:paraId="590FA231" w14:textId="77777777" w:rsidR="00DD13BF" w:rsidRPr="00F81084" w:rsidRDefault="00DD13BF" w:rsidP="00DD13BF">
      <w:pPr>
        <w:pStyle w:val="Telobesedila"/>
      </w:pPr>
    </w:p>
    <w:p w14:paraId="47CE0904" w14:textId="77777777" w:rsidR="00DD13BF" w:rsidRDefault="00DD13BF" w:rsidP="00DD13BF">
      <w:pPr>
        <w:pStyle w:val="Naslov5"/>
        <w:numPr>
          <w:ilvl w:val="4"/>
          <w:numId w:val="16"/>
        </w:numPr>
        <w:spacing w:before="0"/>
      </w:pPr>
      <w:r>
        <w:t>Indicative breakdown of the programme resources (EU) by type of intervention</w:t>
      </w:r>
    </w:p>
    <w:p w14:paraId="463CC8C7" w14:textId="77777777" w:rsidR="00DD13BF" w:rsidRDefault="00DD13BF" w:rsidP="00DD13BF">
      <w:pPr>
        <w:ind w:left="640"/>
        <w:rPr>
          <w:spacing w:val="-5"/>
        </w:rPr>
      </w:pPr>
    </w:p>
    <w:p w14:paraId="24EF4A78" w14:textId="77777777" w:rsidR="00DD13BF" w:rsidRPr="00673ADB" w:rsidRDefault="00DD13BF" w:rsidP="00DD13BF">
      <w:pPr>
        <w:ind w:left="339"/>
        <w:rPr>
          <w:spacing w:val="-7"/>
        </w:rPr>
      </w:pPr>
      <w:r>
        <w:t>Table 4: Dimension 1 – intervention field</w:t>
      </w:r>
    </w:p>
    <w:p w14:paraId="0B089EB6"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3046CE09" w14:textId="77777777" w:rsidTr="00355A56">
        <w:trPr>
          <w:trHeight w:val="353"/>
        </w:trPr>
        <w:tc>
          <w:tcPr>
            <w:tcW w:w="2088" w:type="dxa"/>
          </w:tcPr>
          <w:p w14:paraId="64BD59AC" w14:textId="77777777" w:rsidR="00DD13BF" w:rsidRDefault="00DD13BF" w:rsidP="00355A56">
            <w:pPr>
              <w:pStyle w:val="TableParagraph"/>
              <w:ind w:left="115"/>
            </w:pPr>
            <w:r>
              <w:t>Priority no.</w:t>
            </w:r>
          </w:p>
        </w:tc>
        <w:tc>
          <w:tcPr>
            <w:tcW w:w="1133" w:type="dxa"/>
          </w:tcPr>
          <w:p w14:paraId="4F26061B" w14:textId="77777777" w:rsidR="00DD13BF" w:rsidRDefault="00DD13BF" w:rsidP="00355A56">
            <w:pPr>
              <w:pStyle w:val="TableParagraph"/>
              <w:ind w:left="320"/>
            </w:pPr>
            <w:r>
              <w:t>Fund</w:t>
            </w:r>
          </w:p>
        </w:tc>
        <w:tc>
          <w:tcPr>
            <w:tcW w:w="3249" w:type="dxa"/>
          </w:tcPr>
          <w:p w14:paraId="00C525DC" w14:textId="77777777" w:rsidR="00DD13BF" w:rsidRDefault="00DD13BF" w:rsidP="00355A56">
            <w:pPr>
              <w:pStyle w:val="TableParagraph"/>
              <w:ind w:left="907"/>
            </w:pPr>
            <w:r>
              <w:t>Category of region</w:t>
            </w:r>
          </w:p>
        </w:tc>
        <w:tc>
          <w:tcPr>
            <w:tcW w:w="3099" w:type="dxa"/>
          </w:tcPr>
          <w:p w14:paraId="264A198D" w14:textId="77777777" w:rsidR="00DD13BF" w:rsidRDefault="00DD13BF" w:rsidP="00355A56">
            <w:pPr>
              <w:pStyle w:val="TableParagraph"/>
              <w:ind w:left="948"/>
            </w:pPr>
            <w:r>
              <w:t>Specific objective</w:t>
            </w:r>
          </w:p>
        </w:tc>
        <w:tc>
          <w:tcPr>
            <w:tcW w:w="1161" w:type="dxa"/>
          </w:tcPr>
          <w:p w14:paraId="03C30BA5" w14:textId="77777777" w:rsidR="00DD13BF" w:rsidRDefault="00DD13BF" w:rsidP="00355A56">
            <w:pPr>
              <w:pStyle w:val="TableParagraph"/>
              <w:ind w:left="333"/>
            </w:pPr>
            <w:r>
              <w:t>Code</w:t>
            </w:r>
          </w:p>
        </w:tc>
        <w:tc>
          <w:tcPr>
            <w:tcW w:w="2731" w:type="dxa"/>
          </w:tcPr>
          <w:p w14:paraId="6CA27A9D" w14:textId="77777777" w:rsidR="00DD13BF" w:rsidRDefault="00DD13BF" w:rsidP="00355A56">
            <w:pPr>
              <w:pStyle w:val="TableParagraph"/>
              <w:ind w:left="660"/>
            </w:pPr>
            <w:r>
              <w:t>Amount (in EUR)</w:t>
            </w:r>
          </w:p>
        </w:tc>
      </w:tr>
      <w:tr w:rsidR="00DD13BF" w14:paraId="3B7906C3" w14:textId="77777777" w:rsidTr="00355A56">
        <w:trPr>
          <w:trHeight w:val="353"/>
        </w:trPr>
        <w:tc>
          <w:tcPr>
            <w:tcW w:w="2088" w:type="dxa"/>
          </w:tcPr>
          <w:p w14:paraId="275B0E35" w14:textId="77777777" w:rsidR="00DD13BF" w:rsidRDefault="00DD13BF" w:rsidP="00355A56">
            <w:pPr>
              <w:pStyle w:val="TableParagraph"/>
              <w:rPr>
                <w:sz w:val="20"/>
              </w:rPr>
            </w:pPr>
            <w:r>
              <w:rPr>
                <w:sz w:val="20"/>
              </w:rPr>
              <w:t>7</w:t>
            </w:r>
          </w:p>
        </w:tc>
        <w:tc>
          <w:tcPr>
            <w:tcW w:w="1133" w:type="dxa"/>
          </w:tcPr>
          <w:p w14:paraId="6B3CC00C" w14:textId="77777777" w:rsidR="00DD13BF" w:rsidRDefault="00DD13BF" w:rsidP="00355A56">
            <w:pPr>
              <w:pStyle w:val="TableParagraph"/>
              <w:rPr>
                <w:sz w:val="20"/>
              </w:rPr>
            </w:pPr>
            <w:r>
              <w:rPr>
                <w:sz w:val="20"/>
              </w:rPr>
              <w:t>ESF+</w:t>
            </w:r>
          </w:p>
        </w:tc>
        <w:tc>
          <w:tcPr>
            <w:tcW w:w="3249" w:type="dxa"/>
          </w:tcPr>
          <w:p w14:paraId="14A0806D" w14:textId="77777777" w:rsidR="00DD13BF" w:rsidDel="00C01DD5" w:rsidRDefault="00DD13BF" w:rsidP="00355A56">
            <w:pPr>
              <w:pStyle w:val="TableParagraph"/>
              <w:rPr>
                <w:sz w:val="20"/>
              </w:rPr>
            </w:pPr>
            <w:r>
              <w:rPr>
                <w:sz w:val="20"/>
              </w:rPr>
              <w:t>Less developed</w:t>
            </w:r>
          </w:p>
        </w:tc>
        <w:tc>
          <w:tcPr>
            <w:tcW w:w="3099" w:type="dxa"/>
          </w:tcPr>
          <w:p w14:paraId="6C6B9702" w14:textId="77777777" w:rsidR="00DD13BF" w:rsidRDefault="00DD13BF" w:rsidP="00355A56">
            <w:pPr>
              <w:pStyle w:val="TableParagraph"/>
              <w:rPr>
                <w:sz w:val="20"/>
              </w:rPr>
            </w:pPr>
            <w:r>
              <w:rPr>
                <w:color w:val="000000"/>
                <w:sz w:val="20"/>
              </w:rPr>
              <w:t>ESO4.12</w:t>
            </w:r>
          </w:p>
        </w:tc>
        <w:tc>
          <w:tcPr>
            <w:tcW w:w="1161" w:type="dxa"/>
          </w:tcPr>
          <w:p w14:paraId="768D1784" w14:textId="77777777" w:rsidR="00DD13BF" w:rsidRDefault="00DD13BF" w:rsidP="00355A56">
            <w:pPr>
              <w:pStyle w:val="TableParagraph"/>
              <w:rPr>
                <w:sz w:val="20"/>
              </w:rPr>
            </w:pPr>
            <w:r>
              <w:rPr>
                <w:sz w:val="20"/>
              </w:rPr>
              <w:t>160</w:t>
            </w:r>
          </w:p>
        </w:tc>
        <w:tc>
          <w:tcPr>
            <w:tcW w:w="2731" w:type="dxa"/>
          </w:tcPr>
          <w:p w14:paraId="1DCC2375" w14:textId="77777777" w:rsidR="00DD13BF" w:rsidDel="005D00BD" w:rsidRDefault="00DD13BF" w:rsidP="00355A56">
            <w:pPr>
              <w:pStyle w:val="TableParagraph"/>
              <w:rPr>
                <w:sz w:val="20"/>
              </w:rPr>
            </w:pPr>
            <w:r>
              <w:rPr>
                <w:sz w:val="20"/>
              </w:rPr>
              <w:t>2,010,000</w:t>
            </w:r>
          </w:p>
        </w:tc>
      </w:tr>
      <w:tr w:rsidR="00DD13BF" w14:paraId="14C84E97" w14:textId="77777777" w:rsidTr="00355A56">
        <w:trPr>
          <w:trHeight w:val="353"/>
        </w:trPr>
        <w:tc>
          <w:tcPr>
            <w:tcW w:w="2088" w:type="dxa"/>
          </w:tcPr>
          <w:p w14:paraId="2D0536B7" w14:textId="77777777" w:rsidR="00DD13BF" w:rsidRDefault="00DD13BF" w:rsidP="00355A56">
            <w:pPr>
              <w:pStyle w:val="TableParagraph"/>
              <w:rPr>
                <w:sz w:val="20"/>
              </w:rPr>
            </w:pPr>
            <w:r>
              <w:rPr>
                <w:sz w:val="20"/>
              </w:rPr>
              <w:t>7</w:t>
            </w:r>
          </w:p>
        </w:tc>
        <w:tc>
          <w:tcPr>
            <w:tcW w:w="1133" w:type="dxa"/>
          </w:tcPr>
          <w:p w14:paraId="3C10D615" w14:textId="77777777" w:rsidR="00DD13BF" w:rsidRDefault="00DD13BF" w:rsidP="00355A56">
            <w:pPr>
              <w:pStyle w:val="TableParagraph"/>
              <w:rPr>
                <w:sz w:val="20"/>
              </w:rPr>
            </w:pPr>
            <w:r>
              <w:rPr>
                <w:sz w:val="20"/>
              </w:rPr>
              <w:t>ESF+</w:t>
            </w:r>
          </w:p>
        </w:tc>
        <w:tc>
          <w:tcPr>
            <w:tcW w:w="3249" w:type="dxa"/>
          </w:tcPr>
          <w:p w14:paraId="6CF1C808" w14:textId="77777777" w:rsidR="00DD13BF" w:rsidDel="00C01DD5" w:rsidRDefault="00DD13BF" w:rsidP="00355A56">
            <w:pPr>
              <w:pStyle w:val="TableParagraph"/>
              <w:rPr>
                <w:sz w:val="20"/>
              </w:rPr>
            </w:pPr>
            <w:r>
              <w:rPr>
                <w:sz w:val="20"/>
              </w:rPr>
              <w:t>More developed</w:t>
            </w:r>
          </w:p>
        </w:tc>
        <w:tc>
          <w:tcPr>
            <w:tcW w:w="3099" w:type="dxa"/>
          </w:tcPr>
          <w:p w14:paraId="1293C409" w14:textId="77777777" w:rsidR="00DD13BF" w:rsidRDefault="00DD13BF" w:rsidP="00355A56">
            <w:pPr>
              <w:pStyle w:val="TableParagraph"/>
              <w:rPr>
                <w:sz w:val="20"/>
              </w:rPr>
            </w:pPr>
            <w:r>
              <w:rPr>
                <w:color w:val="000000"/>
                <w:sz w:val="20"/>
              </w:rPr>
              <w:t>ESO4.12</w:t>
            </w:r>
          </w:p>
        </w:tc>
        <w:tc>
          <w:tcPr>
            <w:tcW w:w="1161" w:type="dxa"/>
          </w:tcPr>
          <w:p w14:paraId="49D43AC0" w14:textId="77777777" w:rsidR="00DD13BF" w:rsidRDefault="00DD13BF" w:rsidP="00355A56">
            <w:pPr>
              <w:pStyle w:val="TableParagraph"/>
              <w:rPr>
                <w:sz w:val="20"/>
              </w:rPr>
            </w:pPr>
            <w:r>
              <w:rPr>
                <w:sz w:val="20"/>
              </w:rPr>
              <w:t>160</w:t>
            </w:r>
          </w:p>
        </w:tc>
        <w:tc>
          <w:tcPr>
            <w:tcW w:w="2731" w:type="dxa"/>
          </w:tcPr>
          <w:p w14:paraId="6DDEBB67" w14:textId="77777777" w:rsidR="00DD13BF" w:rsidDel="005D00BD" w:rsidRDefault="00DD13BF" w:rsidP="00355A56">
            <w:pPr>
              <w:pStyle w:val="TableParagraph"/>
              <w:rPr>
                <w:sz w:val="20"/>
              </w:rPr>
            </w:pPr>
            <w:r>
              <w:rPr>
                <w:sz w:val="20"/>
              </w:rPr>
              <w:t>950,000</w:t>
            </w:r>
          </w:p>
        </w:tc>
      </w:tr>
      <w:tr w:rsidR="00DD13BF" w14:paraId="660D340F" w14:textId="77777777" w:rsidTr="00355A56">
        <w:trPr>
          <w:trHeight w:val="353"/>
        </w:trPr>
        <w:tc>
          <w:tcPr>
            <w:tcW w:w="2088" w:type="dxa"/>
          </w:tcPr>
          <w:p w14:paraId="637BA72F" w14:textId="77777777" w:rsidR="00DD13BF" w:rsidRDefault="00DD13BF" w:rsidP="00355A56">
            <w:pPr>
              <w:pStyle w:val="TableParagraph"/>
              <w:rPr>
                <w:sz w:val="20"/>
              </w:rPr>
            </w:pPr>
            <w:r>
              <w:rPr>
                <w:sz w:val="20"/>
              </w:rPr>
              <w:t>7</w:t>
            </w:r>
          </w:p>
        </w:tc>
        <w:tc>
          <w:tcPr>
            <w:tcW w:w="1133" w:type="dxa"/>
          </w:tcPr>
          <w:p w14:paraId="19C995FC" w14:textId="77777777" w:rsidR="00DD13BF" w:rsidRDefault="00DD13BF" w:rsidP="00355A56">
            <w:pPr>
              <w:pStyle w:val="TableParagraph"/>
              <w:rPr>
                <w:sz w:val="20"/>
              </w:rPr>
            </w:pPr>
            <w:r>
              <w:rPr>
                <w:sz w:val="20"/>
              </w:rPr>
              <w:t>ESF+</w:t>
            </w:r>
          </w:p>
        </w:tc>
        <w:tc>
          <w:tcPr>
            <w:tcW w:w="3249" w:type="dxa"/>
          </w:tcPr>
          <w:p w14:paraId="658BAB34" w14:textId="77777777" w:rsidR="00DD13BF" w:rsidRDefault="00DD13BF" w:rsidP="00355A56">
            <w:pPr>
              <w:pStyle w:val="TableParagraph"/>
              <w:rPr>
                <w:sz w:val="20"/>
              </w:rPr>
            </w:pPr>
            <w:r>
              <w:rPr>
                <w:sz w:val="20"/>
              </w:rPr>
              <w:t>Less developed</w:t>
            </w:r>
          </w:p>
        </w:tc>
        <w:tc>
          <w:tcPr>
            <w:tcW w:w="3099" w:type="dxa"/>
          </w:tcPr>
          <w:p w14:paraId="3A33CEBF" w14:textId="77777777" w:rsidR="00DD13BF" w:rsidRDefault="00DD13BF" w:rsidP="00355A56">
            <w:pPr>
              <w:pStyle w:val="TableParagraph"/>
              <w:rPr>
                <w:sz w:val="20"/>
              </w:rPr>
            </w:pPr>
            <w:r>
              <w:rPr>
                <w:color w:val="000000"/>
                <w:sz w:val="20"/>
              </w:rPr>
              <w:t>ESO4.12</w:t>
            </w:r>
          </w:p>
        </w:tc>
        <w:tc>
          <w:tcPr>
            <w:tcW w:w="1161" w:type="dxa"/>
          </w:tcPr>
          <w:p w14:paraId="708F3B98" w14:textId="77777777" w:rsidR="00DD13BF" w:rsidRDefault="00DD13BF" w:rsidP="00355A56">
            <w:pPr>
              <w:pStyle w:val="TableParagraph"/>
              <w:rPr>
                <w:sz w:val="20"/>
              </w:rPr>
            </w:pPr>
            <w:r>
              <w:rPr>
                <w:sz w:val="20"/>
              </w:rPr>
              <w:t>163</w:t>
            </w:r>
          </w:p>
        </w:tc>
        <w:tc>
          <w:tcPr>
            <w:tcW w:w="2731" w:type="dxa"/>
          </w:tcPr>
          <w:p w14:paraId="41EE17A0" w14:textId="77777777" w:rsidR="00DD13BF" w:rsidRDefault="00DD13BF" w:rsidP="00355A56">
            <w:pPr>
              <w:pStyle w:val="TableParagraph"/>
              <w:rPr>
                <w:sz w:val="20"/>
              </w:rPr>
            </w:pPr>
            <w:r>
              <w:rPr>
                <w:sz w:val="20"/>
              </w:rPr>
              <w:t>42,319,000</w:t>
            </w:r>
          </w:p>
        </w:tc>
      </w:tr>
      <w:tr w:rsidR="00DD13BF" w14:paraId="452D2F70" w14:textId="77777777" w:rsidTr="00355A56">
        <w:trPr>
          <w:trHeight w:val="353"/>
        </w:trPr>
        <w:tc>
          <w:tcPr>
            <w:tcW w:w="2088" w:type="dxa"/>
          </w:tcPr>
          <w:p w14:paraId="2393029C" w14:textId="77777777" w:rsidR="00DD13BF" w:rsidRDefault="00DD13BF" w:rsidP="00355A56">
            <w:pPr>
              <w:pStyle w:val="TableParagraph"/>
              <w:rPr>
                <w:sz w:val="20"/>
              </w:rPr>
            </w:pPr>
            <w:r>
              <w:rPr>
                <w:sz w:val="20"/>
              </w:rPr>
              <w:t>7</w:t>
            </w:r>
          </w:p>
        </w:tc>
        <w:tc>
          <w:tcPr>
            <w:tcW w:w="1133" w:type="dxa"/>
          </w:tcPr>
          <w:p w14:paraId="59D7E85F" w14:textId="77777777" w:rsidR="00DD13BF" w:rsidRDefault="00DD13BF" w:rsidP="00355A56">
            <w:pPr>
              <w:pStyle w:val="TableParagraph"/>
              <w:rPr>
                <w:sz w:val="20"/>
              </w:rPr>
            </w:pPr>
            <w:r>
              <w:rPr>
                <w:sz w:val="20"/>
              </w:rPr>
              <w:t>ESF+</w:t>
            </w:r>
          </w:p>
        </w:tc>
        <w:tc>
          <w:tcPr>
            <w:tcW w:w="3249" w:type="dxa"/>
          </w:tcPr>
          <w:p w14:paraId="4AFA6C36" w14:textId="77777777" w:rsidR="00DD13BF" w:rsidRDefault="00DD13BF" w:rsidP="00355A56">
            <w:pPr>
              <w:pStyle w:val="TableParagraph"/>
              <w:rPr>
                <w:sz w:val="20"/>
              </w:rPr>
            </w:pPr>
            <w:r>
              <w:rPr>
                <w:sz w:val="20"/>
              </w:rPr>
              <w:t>More developed</w:t>
            </w:r>
          </w:p>
        </w:tc>
        <w:tc>
          <w:tcPr>
            <w:tcW w:w="3099" w:type="dxa"/>
          </w:tcPr>
          <w:p w14:paraId="04163C72" w14:textId="77777777" w:rsidR="00DD13BF" w:rsidRDefault="00DD13BF" w:rsidP="00355A56">
            <w:pPr>
              <w:pStyle w:val="TableParagraph"/>
              <w:rPr>
                <w:sz w:val="20"/>
              </w:rPr>
            </w:pPr>
            <w:r>
              <w:rPr>
                <w:color w:val="000000"/>
                <w:sz w:val="20"/>
              </w:rPr>
              <w:t>ESO4.12</w:t>
            </w:r>
          </w:p>
        </w:tc>
        <w:tc>
          <w:tcPr>
            <w:tcW w:w="1161" w:type="dxa"/>
          </w:tcPr>
          <w:p w14:paraId="6419994F" w14:textId="77777777" w:rsidR="00DD13BF" w:rsidRDefault="00DD13BF" w:rsidP="00355A56">
            <w:pPr>
              <w:pStyle w:val="TableParagraph"/>
              <w:rPr>
                <w:sz w:val="20"/>
              </w:rPr>
            </w:pPr>
            <w:r>
              <w:rPr>
                <w:sz w:val="20"/>
              </w:rPr>
              <w:t>163</w:t>
            </w:r>
          </w:p>
        </w:tc>
        <w:tc>
          <w:tcPr>
            <w:tcW w:w="2731" w:type="dxa"/>
          </w:tcPr>
          <w:p w14:paraId="451B58DF" w14:textId="77777777" w:rsidR="00DD13BF" w:rsidRDefault="00DD13BF" w:rsidP="00355A56">
            <w:pPr>
              <w:pStyle w:val="TableParagraph"/>
              <w:rPr>
                <w:sz w:val="20"/>
              </w:rPr>
            </w:pPr>
            <w:r>
              <w:rPr>
                <w:sz w:val="20"/>
              </w:rPr>
              <w:t>15,609,482</w:t>
            </w:r>
          </w:p>
        </w:tc>
      </w:tr>
    </w:tbl>
    <w:p w14:paraId="7181C004" w14:textId="77777777" w:rsidR="00DD13BF" w:rsidRDefault="00DD13BF" w:rsidP="00DD13BF"/>
    <w:p w14:paraId="19B03B9D" w14:textId="77777777" w:rsidR="00DD13BF" w:rsidRPr="00673ADB" w:rsidRDefault="00DD13BF" w:rsidP="00DD13BF">
      <w:pPr>
        <w:ind w:left="339"/>
        <w:rPr>
          <w:spacing w:val="-7"/>
        </w:rPr>
      </w:pPr>
      <w:r>
        <w:t>Table 5: Dimension 2 – form of financing</w:t>
      </w:r>
    </w:p>
    <w:p w14:paraId="18EBA7B7"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3FE2B5E3" w14:textId="77777777" w:rsidTr="00355A56">
        <w:trPr>
          <w:trHeight w:val="353"/>
        </w:trPr>
        <w:tc>
          <w:tcPr>
            <w:tcW w:w="2088" w:type="dxa"/>
          </w:tcPr>
          <w:p w14:paraId="238DDB5E" w14:textId="77777777" w:rsidR="00DD13BF" w:rsidRDefault="00DD13BF" w:rsidP="00355A56">
            <w:pPr>
              <w:pStyle w:val="TableParagraph"/>
              <w:ind w:left="115"/>
            </w:pPr>
            <w:r>
              <w:t>Priority no.</w:t>
            </w:r>
          </w:p>
        </w:tc>
        <w:tc>
          <w:tcPr>
            <w:tcW w:w="1133" w:type="dxa"/>
          </w:tcPr>
          <w:p w14:paraId="14256E5B" w14:textId="77777777" w:rsidR="00DD13BF" w:rsidRDefault="00DD13BF" w:rsidP="00355A56">
            <w:pPr>
              <w:pStyle w:val="TableParagraph"/>
              <w:ind w:left="320"/>
            </w:pPr>
            <w:r>
              <w:t>Fund</w:t>
            </w:r>
          </w:p>
        </w:tc>
        <w:tc>
          <w:tcPr>
            <w:tcW w:w="3249" w:type="dxa"/>
          </w:tcPr>
          <w:p w14:paraId="7B075E4A" w14:textId="77777777" w:rsidR="00DD13BF" w:rsidRDefault="00DD13BF" w:rsidP="00355A56">
            <w:pPr>
              <w:pStyle w:val="TableParagraph"/>
              <w:ind w:left="907"/>
            </w:pPr>
            <w:r>
              <w:t>Category of region</w:t>
            </w:r>
          </w:p>
        </w:tc>
        <w:tc>
          <w:tcPr>
            <w:tcW w:w="3099" w:type="dxa"/>
          </w:tcPr>
          <w:p w14:paraId="64B936CA" w14:textId="77777777" w:rsidR="00DD13BF" w:rsidRDefault="00DD13BF" w:rsidP="00355A56">
            <w:pPr>
              <w:pStyle w:val="TableParagraph"/>
              <w:ind w:left="948"/>
            </w:pPr>
            <w:r>
              <w:t>Specific objective</w:t>
            </w:r>
          </w:p>
        </w:tc>
        <w:tc>
          <w:tcPr>
            <w:tcW w:w="1161" w:type="dxa"/>
          </w:tcPr>
          <w:p w14:paraId="3077D19B" w14:textId="77777777" w:rsidR="00DD13BF" w:rsidRDefault="00DD13BF" w:rsidP="00355A56">
            <w:pPr>
              <w:pStyle w:val="TableParagraph"/>
              <w:ind w:left="334"/>
            </w:pPr>
            <w:r>
              <w:t>Code</w:t>
            </w:r>
          </w:p>
        </w:tc>
        <w:tc>
          <w:tcPr>
            <w:tcW w:w="2731" w:type="dxa"/>
          </w:tcPr>
          <w:p w14:paraId="7FB0E233" w14:textId="77777777" w:rsidR="00DD13BF" w:rsidRDefault="00DD13BF" w:rsidP="00355A56">
            <w:pPr>
              <w:pStyle w:val="TableParagraph"/>
              <w:ind w:left="661"/>
            </w:pPr>
            <w:r>
              <w:t>Amount (in EUR)</w:t>
            </w:r>
          </w:p>
        </w:tc>
      </w:tr>
      <w:tr w:rsidR="00DD13BF" w14:paraId="42C092F9" w14:textId="77777777" w:rsidTr="00355A56">
        <w:trPr>
          <w:trHeight w:val="353"/>
        </w:trPr>
        <w:tc>
          <w:tcPr>
            <w:tcW w:w="2088" w:type="dxa"/>
          </w:tcPr>
          <w:p w14:paraId="7768ACF0" w14:textId="77777777" w:rsidR="00DD13BF" w:rsidRDefault="00DD13BF" w:rsidP="00355A56">
            <w:pPr>
              <w:pStyle w:val="TableParagraph"/>
              <w:rPr>
                <w:sz w:val="20"/>
              </w:rPr>
            </w:pPr>
            <w:r>
              <w:rPr>
                <w:sz w:val="20"/>
              </w:rPr>
              <w:t>7</w:t>
            </w:r>
          </w:p>
        </w:tc>
        <w:tc>
          <w:tcPr>
            <w:tcW w:w="1133" w:type="dxa"/>
          </w:tcPr>
          <w:p w14:paraId="05BF6D79" w14:textId="77777777" w:rsidR="00DD13BF" w:rsidRDefault="00DD13BF" w:rsidP="00355A56">
            <w:pPr>
              <w:pStyle w:val="TableParagraph"/>
              <w:rPr>
                <w:sz w:val="20"/>
              </w:rPr>
            </w:pPr>
            <w:r>
              <w:rPr>
                <w:sz w:val="20"/>
              </w:rPr>
              <w:t>ESF+</w:t>
            </w:r>
          </w:p>
        </w:tc>
        <w:tc>
          <w:tcPr>
            <w:tcW w:w="3249" w:type="dxa"/>
          </w:tcPr>
          <w:p w14:paraId="1BD77F38" w14:textId="77777777" w:rsidR="00DD13BF" w:rsidRDefault="00DD13BF" w:rsidP="00355A56">
            <w:pPr>
              <w:pStyle w:val="TableParagraph"/>
              <w:rPr>
                <w:sz w:val="20"/>
              </w:rPr>
            </w:pPr>
            <w:r>
              <w:rPr>
                <w:sz w:val="20"/>
              </w:rPr>
              <w:t>Less developed</w:t>
            </w:r>
          </w:p>
        </w:tc>
        <w:tc>
          <w:tcPr>
            <w:tcW w:w="3099" w:type="dxa"/>
          </w:tcPr>
          <w:p w14:paraId="35384D07" w14:textId="77777777" w:rsidR="00DD13BF" w:rsidRDefault="00DD13BF" w:rsidP="00355A56">
            <w:pPr>
              <w:pStyle w:val="TableParagraph"/>
              <w:rPr>
                <w:sz w:val="20"/>
              </w:rPr>
            </w:pPr>
            <w:r>
              <w:rPr>
                <w:color w:val="000000"/>
                <w:sz w:val="20"/>
              </w:rPr>
              <w:t>ESO4.12</w:t>
            </w:r>
          </w:p>
        </w:tc>
        <w:tc>
          <w:tcPr>
            <w:tcW w:w="1161" w:type="dxa"/>
          </w:tcPr>
          <w:p w14:paraId="4BEFDC89" w14:textId="77777777" w:rsidR="00DD13BF" w:rsidRDefault="00DD13BF" w:rsidP="00355A56">
            <w:pPr>
              <w:pStyle w:val="TableParagraph"/>
              <w:rPr>
                <w:sz w:val="20"/>
              </w:rPr>
            </w:pPr>
            <w:r>
              <w:rPr>
                <w:sz w:val="20"/>
              </w:rPr>
              <w:t>01</w:t>
            </w:r>
          </w:p>
        </w:tc>
        <w:tc>
          <w:tcPr>
            <w:tcW w:w="2731" w:type="dxa"/>
          </w:tcPr>
          <w:p w14:paraId="4BEC4930" w14:textId="77777777" w:rsidR="00DD13BF" w:rsidRDefault="00DD13BF" w:rsidP="00355A56">
            <w:pPr>
              <w:pStyle w:val="TableParagraph"/>
              <w:rPr>
                <w:sz w:val="20"/>
              </w:rPr>
            </w:pPr>
            <w:r>
              <w:rPr>
                <w:sz w:val="20"/>
              </w:rPr>
              <w:t>44,329,000</w:t>
            </w:r>
          </w:p>
        </w:tc>
      </w:tr>
      <w:tr w:rsidR="00DD13BF" w14:paraId="5AE36508" w14:textId="77777777" w:rsidTr="00355A56">
        <w:trPr>
          <w:trHeight w:val="353"/>
        </w:trPr>
        <w:tc>
          <w:tcPr>
            <w:tcW w:w="2088" w:type="dxa"/>
          </w:tcPr>
          <w:p w14:paraId="70D340CE" w14:textId="77777777" w:rsidR="00DD13BF" w:rsidRDefault="00DD13BF" w:rsidP="00355A56">
            <w:pPr>
              <w:pStyle w:val="TableParagraph"/>
              <w:rPr>
                <w:sz w:val="20"/>
              </w:rPr>
            </w:pPr>
            <w:r>
              <w:rPr>
                <w:sz w:val="20"/>
              </w:rPr>
              <w:t>7</w:t>
            </w:r>
          </w:p>
        </w:tc>
        <w:tc>
          <w:tcPr>
            <w:tcW w:w="1133" w:type="dxa"/>
          </w:tcPr>
          <w:p w14:paraId="736A23AE" w14:textId="77777777" w:rsidR="00DD13BF" w:rsidRDefault="00DD13BF" w:rsidP="00355A56">
            <w:pPr>
              <w:pStyle w:val="TableParagraph"/>
              <w:rPr>
                <w:sz w:val="20"/>
              </w:rPr>
            </w:pPr>
            <w:r>
              <w:rPr>
                <w:sz w:val="20"/>
              </w:rPr>
              <w:t>ESF+</w:t>
            </w:r>
          </w:p>
        </w:tc>
        <w:tc>
          <w:tcPr>
            <w:tcW w:w="3249" w:type="dxa"/>
          </w:tcPr>
          <w:p w14:paraId="49E7CC5C" w14:textId="77777777" w:rsidR="00DD13BF" w:rsidRDefault="00DD13BF" w:rsidP="00355A56">
            <w:pPr>
              <w:pStyle w:val="TableParagraph"/>
              <w:rPr>
                <w:sz w:val="20"/>
              </w:rPr>
            </w:pPr>
            <w:r>
              <w:rPr>
                <w:sz w:val="20"/>
              </w:rPr>
              <w:t>More developed</w:t>
            </w:r>
          </w:p>
        </w:tc>
        <w:tc>
          <w:tcPr>
            <w:tcW w:w="3099" w:type="dxa"/>
          </w:tcPr>
          <w:p w14:paraId="5C97D2E4" w14:textId="77777777" w:rsidR="00DD13BF" w:rsidRDefault="00DD13BF" w:rsidP="00355A56">
            <w:pPr>
              <w:pStyle w:val="TableParagraph"/>
              <w:rPr>
                <w:sz w:val="20"/>
              </w:rPr>
            </w:pPr>
            <w:r>
              <w:rPr>
                <w:color w:val="000000"/>
                <w:sz w:val="20"/>
              </w:rPr>
              <w:t>ESO4.12</w:t>
            </w:r>
          </w:p>
        </w:tc>
        <w:tc>
          <w:tcPr>
            <w:tcW w:w="1161" w:type="dxa"/>
          </w:tcPr>
          <w:p w14:paraId="47825D21" w14:textId="77777777" w:rsidR="00DD13BF" w:rsidRDefault="00DD13BF" w:rsidP="00355A56">
            <w:pPr>
              <w:pStyle w:val="TableParagraph"/>
              <w:rPr>
                <w:sz w:val="20"/>
              </w:rPr>
            </w:pPr>
            <w:r>
              <w:rPr>
                <w:sz w:val="20"/>
              </w:rPr>
              <w:t>01</w:t>
            </w:r>
          </w:p>
        </w:tc>
        <w:tc>
          <w:tcPr>
            <w:tcW w:w="2731" w:type="dxa"/>
          </w:tcPr>
          <w:p w14:paraId="6F3B8ED5" w14:textId="77777777" w:rsidR="00DD13BF" w:rsidRDefault="00DD13BF" w:rsidP="00355A56">
            <w:pPr>
              <w:pStyle w:val="TableParagraph"/>
              <w:rPr>
                <w:sz w:val="20"/>
              </w:rPr>
            </w:pPr>
            <w:r>
              <w:rPr>
                <w:sz w:val="20"/>
              </w:rPr>
              <w:t>16,559,482</w:t>
            </w:r>
          </w:p>
        </w:tc>
      </w:tr>
    </w:tbl>
    <w:p w14:paraId="60A7D439" w14:textId="77777777" w:rsidR="00DD13BF" w:rsidRDefault="00DD13BF" w:rsidP="00DD13BF">
      <w:pPr>
        <w:rPr>
          <w:sz w:val="20"/>
        </w:rPr>
        <w:sectPr w:rsidR="00DD13BF" w:rsidSect="00BD3536">
          <w:headerReference w:type="default" r:id="rId85"/>
          <w:footerReference w:type="first" r:id="rId86"/>
          <w:type w:val="continuous"/>
          <w:pgSz w:w="16840" w:h="11910" w:orient="landscape"/>
          <w:pgMar w:top="1417" w:right="1417" w:bottom="1417" w:left="1417" w:header="708" w:footer="708" w:gutter="0"/>
          <w:cols w:space="708"/>
          <w:titlePg/>
          <w:docGrid w:linePitch="299"/>
        </w:sectPr>
      </w:pPr>
    </w:p>
    <w:p w14:paraId="21857343" w14:textId="77777777" w:rsidR="00DD13BF" w:rsidRDefault="00DD13BF" w:rsidP="00DD13BF">
      <w:pPr>
        <w:ind w:left="339"/>
        <w:rPr>
          <w:spacing w:val="-7"/>
        </w:rPr>
      </w:pPr>
    </w:p>
    <w:p w14:paraId="17A3A20A" w14:textId="77777777" w:rsidR="00DD13BF" w:rsidRDefault="00DD13BF" w:rsidP="00DD13BF">
      <w:pPr>
        <w:ind w:left="339"/>
      </w:pPr>
      <w:r>
        <w:t>Table 6: Dimension 3 – territorial delivery mechanism and territorial focus</w:t>
      </w:r>
    </w:p>
    <w:p w14:paraId="7B8C2528"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3CD65D2" w14:textId="77777777" w:rsidTr="00355A56">
        <w:trPr>
          <w:trHeight w:val="353"/>
        </w:trPr>
        <w:tc>
          <w:tcPr>
            <w:tcW w:w="2088" w:type="dxa"/>
          </w:tcPr>
          <w:p w14:paraId="4A7A7354" w14:textId="77777777" w:rsidR="00DD13BF" w:rsidRDefault="00DD13BF" w:rsidP="00355A56">
            <w:pPr>
              <w:pStyle w:val="TableParagraph"/>
              <w:ind w:left="115"/>
            </w:pPr>
            <w:r>
              <w:t>Priority no.</w:t>
            </w:r>
          </w:p>
        </w:tc>
        <w:tc>
          <w:tcPr>
            <w:tcW w:w="1132" w:type="dxa"/>
          </w:tcPr>
          <w:p w14:paraId="56A74AD6" w14:textId="77777777" w:rsidR="00DD13BF" w:rsidRDefault="00DD13BF" w:rsidP="00355A56">
            <w:pPr>
              <w:pStyle w:val="TableParagraph"/>
              <w:ind w:left="320"/>
            </w:pPr>
            <w:r>
              <w:t>Fund</w:t>
            </w:r>
          </w:p>
        </w:tc>
        <w:tc>
          <w:tcPr>
            <w:tcW w:w="3248" w:type="dxa"/>
          </w:tcPr>
          <w:p w14:paraId="6AEECE1A" w14:textId="77777777" w:rsidR="00DD13BF" w:rsidRDefault="00DD13BF" w:rsidP="00355A56">
            <w:pPr>
              <w:pStyle w:val="TableParagraph"/>
              <w:ind w:left="908"/>
            </w:pPr>
            <w:r>
              <w:t>Category of region</w:t>
            </w:r>
          </w:p>
        </w:tc>
        <w:tc>
          <w:tcPr>
            <w:tcW w:w="3098" w:type="dxa"/>
          </w:tcPr>
          <w:p w14:paraId="6665BDE5" w14:textId="77777777" w:rsidR="00DD13BF" w:rsidRDefault="00DD13BF" w:rsidP="00355A56">
            <w:pPr>
              <w:pStyle w:val="TableParagraph"/>
              <w:ind w:left="950"/>
            </w:pPr>
            <w:r>
              <w:t>Specific objective</w:t>
            </w:r>
          </w:p>
        </w:tc>
        <w:tc>
          <w:tcPr>
            <w:tcW w:w="1160" w:type="dxa"/>
          </w:tcPr>
          <w:p w14:paraId="6832DD2B" w14:textId="77777777" w:rsidR="00DD13BF" w:rsidRDefault="00DD13BF" w:rsidP="00355A56">
            <w:pPr>
              <w:pStyle w:val="TableParagraph"/>
              <w:ind w:left="336"/>
            </w:pPr>
            <w:r>
              <w:t>Code</w:t>
            </w:r>
          </w:p>
        </w:tc>
        <w:tc>
          <w:tcPr>
            <w:tcW w:w="2730" w:type="dxa"/>
          </w:tcPr>
          <w:p w14:paraId="025BB8CE" w14:textId="77777777" w:rsidR="00DD13BF" w:rsidRDefault="00DD13BF" w:rsidP="00355A56">
            <w:pPr>
              <w:pStyle w:val="TableParagraph"/>
              <w:ind w:left="664"/>
            </w:pPr>
            <w:r>
              <w:t>Amount (in EUR)</w:t>
            </w:r>
          </w:p>
        </w:tc>
      </w:tr>
      <w:tr w:rsidR="00DD13BF" w14:paraId="108E4ADD" w14:textId="77777777" w:rsidTr="00355A56">
        <w:trPr>
          <w:trHeight w:val="353"/>
        </w:trPr>
        <w:tc>
          <w:tcPr>
            <w:tcW w:w="2088" w:type="dxa"/>
          </w:tcPr>
          <w:p w14:paraId="49C7D87F" w14:textId="77777777" w:rsidR="00DD13BF" w:rsidRDefault="00DD13BF" w:rsidP="00355A56">
            <w:pPr>
              <w:pStyle w:val="TableParagraph"/>
              <w:rPr>
                <w:sz w:val="20"/>
              </w:rPr>
            </w:pPr>
            <w:r>
              <w:rPr>
                <w:sz w:val="20"/>
              </w:rPr>
              <w:t>7</w:t>
            </w:r>
          </w:p>
        </w:tc>
        <w:tc>
          <w:tcPr>
            <w:tcW w:w="1132" w:type="dxa"/>
          </w:tcPr>
          <w:p w14:paraId="12C95B41" w14:textId="77777777" w:rsidR="00DD13BF" w:rsidRDefault="00DD13BF" w:rsidP="00355A56">
            <w:pPr>
              <w:pStyle w:val="TableParagraph"/>
              <w:rPr>
                <w:sz w:val="20"/>
              </w:rPr>
            </w:pPr>
            <w:r>
              <w:rPr>
                <w:sz w:val="20"/>
              </w:rPr>
              <w:t>ESF+</w:t>
            </w:r>
          </w:p>
        </w:tc>
        <w:tc>
          <w:tcPr>
            <w:tcW w:w="3248" w:type="dxa"/>
          </w:tcPr>
          <w:p w14:paraId="51BE7B4B" w14:textId="77777777" w:rsidR="00DD13BF" w:rsidRDefault="00DD13BF" w:rsidP="00355A56">
            <w:pPr>
              <w:pStyle w:val="TableParagraph"/>
              <w:rPr>
                <w:sz w:val="20"/>
              </w:rPr>
            </w:pPr>
            <w:r>
              <w:rPr>
                <w:sz w:val="20"/>
              </w:rPr>
              <w:t>Less developed</w:t>
            </w:r>
          </w:p>
        </w:tc>
        <w:tc>
          <w:tcPr>
            <w:tcW w:w="3098" w:type="dxa"/>
          </w:tcPr>
          <w:p w14:paraId="138CCC4F" w14:textId="77777777" w:rsidR="00DD13BF" w:rsidRDefault="00DD13BF" w:rsidP="00355A56">
            <w:pPr>
              <w:pStyle w:val="TableParagraph"/>
              <w:rPr>
                <w:sz w:val="20"/>
              </w:rPr>
            </w:pPr>
            <w:r>
              <w:rPr>
                <w:color w:val="000000"/>
                <w:sz w:val="20"/>
              </w:rPr>
              <w:t>ESO4.12</w:t>
            </w:r>
          </w:p>
        </w:tc>
        <w:tc>
          <w:tcPr>
            <w:tcW w:w="1160" w:type="dxa"/>
          </w:tcPr>
          <w:p w14:paraId="1B86A0EF" w14:textId="77777777" w:rsidR="00DD13BF" w:rsidRPr="003A5EF8" w:rsidRDefault="00DD13BF" w:rsidP="00355A56">
            <w:pPr>
              <w:pStyle w:val="TableParagraph"/>
              <w:rPr>
                <w:sz w:val="20"/>
              </w:rPr>
            </w:pPr>
            <w:r>
              <w:rPr>
                <w:sz w:val="20"/>
              </w:rPr>
              <w:t>33</w:t>
            </w:r>
          </w:p>
        </w:tc>
        <w:tc>
          <w:tcPr>
            <w:tcW w:w="2730" w:type="dxa"/>
          </w:tcPr>
          <w:p w14:paraId="16D8A713" w14:textId="77777777" w:rsidR="00DD13BF" w:rsidRPr="003A5EF8" w:rsidRDefault="00DD13BF" w:rsidP="00355A56">
            <w:pPr>
              <w:pStyle w:val="TableParagraph"/>
              <w:rPr>
                <w:sz w:val="20"/>
              </w:rPr>
            </w:pPr>
            <w:r>
              <w:rPr>
                <w:sz w:val="20"/>
              </w:rPr>
              <w:t>44,329,000</w:t>
            </w:r>
          </w:p>
        </w:tc>
      </w:tr>
      <w:tr w:rsidR="00DD13BF" w14:paraId="0E1D4773" w14:textId="77777777" w:rsidTr="00355A56">
        <w:trPr>
          <w:trHeight w:val="353"/>
        </w:trPr>
        <w:tc>
          <w:tcPr>
            <w:tcW w:w="2088" w:type="dxa"/>
          </w:tcPr>
          <w:p w14:paraId="3DDAB449" w14:textId="77777777" w:rsidR="00DD13BF" w:rsidRDefault="00DD13BF" w:rsidP="00355A56">
            <w:pPr>
              <w:pStyle w:val="TableParagraph"/>
              <w:rPr>
                <w:sz w:val="20"/>
              </w:rPr>
            </w:pPr>
            <w:r>
              <w:rPr>
                <w:sz w:val="20"/>
              </w:rPr>
              <w:lastRenderedPageBreak/>
              <w:t>7</w:t>
            </w:r>
          </w:p>
        </w:tc>
        <w:tc>
          <w:tcPr>
            <w:tcW w:w="1132" w:type="dxa"/>
          </w:tcPr>
          <w:p w14:paraId="0A43309C" w14:textId="77777777" w:rsidR="00DD13BF" w:rsidRDefault="00DD13BF" w:rsidP="00355A56">
            <w:pPr>
              <w:pStyle w:val="TableParagraph"/>
              <w:rPr>
                <w:sz w:val="20"/>
              </w:rPr>
            </w:pPr>
            <w:r>
              <w:rPr>
                <w:sz w:val="20"/>
              </w:rPr>
              <w:t>ESF+</w:t>
            </w:r>
          </w:p>
        </w:tc>
        <w:tc>
          <w:tcPr>
            <w:tcW w:w="3248" w:type="dxa"/>
          </w:tcPr>
          <w:p w14:paraId="4EAC8D37" w14:textId="77777777" w:rsidR="00DD13BF" w:rsidRDefault="00DD13BF" w:rsidP="00355A56">
            <w:pPr>
              <w:pStyle w:val="TableParagraph"/>
              <w:rPr>
                <w:sz w:val="20"/>
              </w:rPr>
            </w:pPr>
            <w:r>
              <w:rPr>
                <w:sz w:val="20"/>
              </w:rPr>
              <w:t>More developed</w:t>
            </w:r>
          </w:p>
        </w:tc>
        <w:tc>
          <w:tcPr>
            <w:tcW w:w="3098" w:type="dxa"/>
          </w:tcPr>
          <w:p w14:paraId="4CB247D4" w14:textId="77777777" w:rsidR="00DD13BF" w:rsidRDefault="00DD13BF" w:rsidP="00355A56">
            <w:pPr>
              <w:pStyle w:val="TableParagraph"/>
              <w:rPr>
                <w:sz w:val="20"/>
              </w:rPr>
            </w:pPr>
            <w:r>
              <w:rPr>
                <w:color w:val="000000"/>
                <w:sz w:val="20"/>
              </w:rPr>
              <w:t>ESO4.12</w:t>
            </w:r>
          </w:p>
        </w:tc>
        <w:tc>
          <w:tcPr>
            <w:tcW w:w="1160" w:type="dxa"/>
          </w:tcPr>
          <w:p w14:paraId="6E7A697A" w14:textId="77777777" w:rsidR="00DD13BF" w:rsidRPr="003A5EF8" w:rsidRDefault="00DD13BF" w:rsidP="00355A56">
            <w:pPr>
              <w:pStyle w:val="TableParagraph"/>
              <w:rPr>
                <w:sz w:val="20"/>
              </w:rPr>
            </w:pPr>
            <w:r>
              <w:rPr>
                <w:sz w:val="20"/>
              </w:rPr>
              <w:t>33</w:t>
            </w:r>
          </w:p>
        </w:tc>
        <w:tc>
          <w:tcPr>
            <w:tcW w:w="2730" w:type="dxa"/>
          </w:tcPr>
          <w:p w14:paraId="692D68E0" w14:textId="77777777" w:rsidR="00DD13BF" w:rsidRPr="003A5EF8" w:rsidRDefault="00DD13BF" w:rsidP="00355A56">
            <w:pPr>
              <w:pStyle w:val="TableParagraph"/>
              <w:rPr>
                <w:sz w:val="20"/>
              </w:rPr>
            </w:pPr>
            <w:r>
              <w:rPr>
                <w:sz w:val="20"/>
              </w:rPr>
              <w:t>16,559,482</w:t>
            </w:r>
          </w:p>
        </w:tc>
      </w:tr>
    </w:tbl>
    <w:p w14:paraId="144AB3BD" w14:textId="77777777" w:rsidR="00DD13BF" w:rsidRDefault="00DD13BF" w:rsidP="00DD13BF"/>
    <w:p w14:paraId="10DE0C8A" w14:textId="77777777" w:rsidR="00DD13BF" w:rsidRDefault="00DD13BF" w:rsidP="00DD13BF">
      <w:pPr>
        <w:ind w:left="339"/>
      </w:pPr>
      <w:r>
        <w:t>Table 7: Dimension 6 – ESF+ secondary themes</w:t>
      </w:r>
    </w:p>
    <w:p w14:paraId="3193CA6C"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0B2EC3D" w14:textId="77777777" w:rsidTr="00355A56">
        <w:trPr>
          <w:trHeight w:val="353"/>
        </w:trPr>
        <w:tc>
          <w:tcPr>
            <w:tcW w:w="2088" w:type="dxa"/>
          </w:tcPr>
          <w:p w14:paraId="0DC9653B" w14:textId="77777777" w:rsidR="00DD13BF" w:rsidRDefault="00DD13BF" w:rsidP="00355A56">
            <w:pPr>
              <w:pStyle w:val="TableParagraph"/>
              <w:ind w:left="115"/>
            </w:pPr>
            <w:r>
              <w:t>Priority no.</w:t>
            </w:r>
          </w:p>
        </w:tc>
        <w:tc>
          <w:tcPr>
            <w:tcW w:w="1132" w:type="dxa"/>
          </w:tcPr>
          <w:p w14:paraId="023D53AA" w14:textId="77777777" w:rsidR="00DD13BF" w:rsidRDefault="00DD13BF" w:rsidP="00355A56">
            <w:pPr>
              <w:pStyle w:val="TableParagraph"/>
              <w:ind w:left="321"/>
            </w:pPr>
            <w:r>
              <w:t>Fund</w:t>
            </w:r>
          </w:p>
        </w:tc>
        <w:tc>
          <w:tcPr>
            <w:tcW w:w="3248" w:type="dxa"/>
          </w:tcPr>
          <w:p w14:paraId="05BF6253" w14:textId="77777777" w:rsidR="00DD13BF" w:rsidRDefault="00DD13BF" w:rsidP="00355A56">
            <w:pPr>
              <w:pStyle w:val="TableParagraph"/>
              <w:ind w:left="909"/>
            </w:pPr>
            <w:r>
              <w:t>Category of region</w:t>
            </w:r>
          </w:p>
        </w:tc>
        <w:tc>
          <w:tcPr>
            <w:tcW w:w="3098" w:type="dxa"/>
          </w:tcPr>
          <w:p w14:paraId="1A2BBB29" w14:textId="77777777" w:rsidR="00DD13BF" w:rsidRDefault="00DD13BF" w:rsidP="00355A56">
            <w:pPr>
              <w:pStyle w:val="TableParagraph"/>
              <w:ind w:left="950"/>
            </w:pPr>
            <w:r>
              <w:t>Specific objective</w:t>
            </w:r>
          </w:p>
        </w:tc>
        <w:tc>
          <w:tcPr>
            <w:tcW w:w="1160" w:type="dxa"/>
          </w:tcPr>
          <w:p w14:paraId="1AB7D66D" w14:textId="77777777" w:rsidR="00DD13BF" w:rsidRDefault="00DD13BF" w:rsidP="00355A56">
            <w:pPr>
              <w:pStyle w:val="TableParagraph"/>
              <w:ind w:left="337"/>
            </w:pPr>
            <w:r>
              <w:t>Code</w:t>
            </w:r>
          </w:p>
        </w:tc>
        <w:tc>
          <w:tcPr>
            <w:tcW w:w="2730" w:type="dxa"/>
          </w:tcPr>
          <w:p w14:paraId="19A9C338" w14:textId="77777777" w:rsidR="00DD13BF" w:rsidRDefault="00DD13BF" w:rsidP="00355A56">
            <w:pPr>
              <w:pStyle w:val="TableParagraph"/>
              <w:ind w:left="665"/>
            </w:pPr>
            <w:r>
              <w:t>Amount (in EUR)</w:t>
            </w:r>
          </w:p>
        </w:tc>
      </w:tr>
      <w:tr w:rsidR="00DD13BF" w14:paraId="24D6F9CF" w14:textId="77777777" w:rsidTr="00355A56">
        <w:trPr>
          <w:trHeight w:val="353"/>
        </w:trPr>
        <w:tc>
          <w:tcPr>
            <w:tcW w:w="2088" w:type="dxa"/>
          </w:tcPr>
          <w:p w14:paraId="0B1D946D" w14:textId="77777777" w:rsidR="00DD13BF" w:rsidRDefault="00DD13BF" w:rsidP="00355A56">
            <w:pPr>
              <w:pStyle w:val="TableParagraph"/>
              <w:rPr>
                <w:sz w:val="20"/>
              </w:rPr>
            </w:pPr>
            <w:r>
              <w:rPr>
                <w:sz w:val="20"/>
              </w:rPr>
              <w:t>7</w:t>
            </w:r>
          </w:p>
        </w:tc>
        <w:tc>
          <w:tcPr>
            <w:tcW w:w="1132" w:type="dxa"/>
          </w:tcPr>
          <w:p w14:paraId="08D3D488" w14:textId="77777777" w:rsidR="00DD13BF" w:rsidRDefault="00DD13BF" w:rsidP="00355A56">
            <w:pPr>
              <w:pStyle w:val="TableParagraph"/>
              <w:rPr>
                <w:sz w:val="20"/>
              </w:rPr>
            </w:pPr>
            <w:r>
              <w:rPr>
                <w:sz w:val="20"/>
              </w:rPr>
              <w:t>ESF+</w:t>
            </w:r>
          </w:p>
        </w:tc>
        <w:tc>
          <w:tcPr>
            <w:tcW w:w="3248" w:type="dxa"/>
          </w:tcPr>
          <w:p w14:paraId="418D26B5" w14:textId="77777777" w:rsidR="00DD13BF" w:rsidRDefault="00DD13BF" w:rsidP="00355A56">
            <w:pPr>
              <w:pStyle w:val="TableParagraph"/>
              <w:rPr>
                <w:sz w:val="20"/>
              </w:rPr>
            </w:pPr>
            <w:r>
              <w:rPr>
                <w:sz w:val="20"/>
              </w:rPr>
              <w:t>Less developed</w:t>
            </w:r>
          </w:p>
        </w:tc>
        <w:tc>
          <w:tcPr>
            <w:tcW w:w="3098" w:type="dxa"/>
          </w:tcPr>
          <w:p w14:paraId="5F12BFE9" w14:textId="77777777" w:rsidR="00DD13BF" w:rsidRDefault="00DD13BF" w:rsidP="00355A56">
            <w:pPr>
              <w:pStyle w:val="TableParagraph"/>
              <w:rPr>
                <w:sz w:val="20"/>
              </w:rPr>
            </w:pPr>
            <w:r>
              <w:rPr>
                <w:color w:val="000000"/>
                <w:sz w:val="20"/>
              </w:rPr>
              <w:t>ESO4.12</w:t>
            </w:r>
          </w:p>
        </w:tc>
        <w:tc>
          <w:tcPr>
            <w:tcW w:w="1160" w:type="dxa"/>
          </w:tcPr>
          <w:p w14:paraId="6D59412E" w14:textId="77777777" w:rsidR="00DD13BF" w:rsidRDefault="00DD13BF" w:rsidP="00355A56">
            <w:pPr>
              <w:pStyle w:val="TableParagraph"/>
              <w:rPr>
                <w:sz w:val="20"/>
              </w:rPr>
            </w:pPr>
            <w:r>
              <w:rPr>
                <w:sz w:val="20"/>
              </w:rPr>
              <w:t>09</w:t>
            </w:r>
          </w:p>
        </w:tc>
        <w:tc>
          <w:tcPr>
            <w:tcW w:w="2730" w:type="dxa"/>
          </w:tcPr>
          <w:p w14:paraId="1426855D" w14:textId="77777777" w:rsidR="00DD13BF" w:rsidRPr="00CA48CE" w:rsidRDefault="00DD13BF" w:rsidP="00355A56">
            <w:pPr>
              <w:pStyle w:val="TableParagraph"/>
              <w:rPr>
                <w:sz w:val="20"/>
              </w:rPr>
            </w:pPr>
            <w:r>
              <w:rPr>
                <w:sz w:val="20"/>
              </w:rPr>
              <w:t>44,329,000</w:t>
            </w:r>
          </w:p>
        </w:tc>
      </w:tr>
      <w:tr w:rsidR="00DD13BF" w14:paraId="43FAE036" w14:textId="77777777" w:rsidTr="00355A56">
        <w:trPr>
          <w:trHeight w:val="353"/>
        </w:trPr>
        <w:tc>
          <w:tcPr>
            <w:tcW w:w="2088" w:type="dxa"/>
          </w:tcPr>
          <w:p w14:paraId="663A3671" w14:textId="77777777" w:rsidR="00DD13BF" w:rsidRDefault="00DD13BF" w:rsidP="00355A56">
            <w:pPr>
              <w:pStyle w:val="TableParagraph"/>
              <w:rPr>
                <w:sz w:val="20"/>
              </w:rPr>
            </w:pPr>
            <w:r>
              <w:rPr>
                <w:sz w:val="20"/>
              </w:rPr>
              <w:t>7</w:t>
            </w:r>
          </w:p>
        </w:tc>
        <w:tc>
          <w:tcPr>
            <w:tcW w:w="1132" w:type="dxa"/>
          </w:tcPr>
          <w:p w14:paraId="62476863" w14:textId="77777777" w:rsidR="00DD13BF" w:rsidRDefault="00DD13BF" w:rsidP="00355A56">
            <w:pPr>
              <w:pStyle w:val="TableParagraph"/>
              <w:rPr>
                <w:sz w:val="20"/>
              </w:rPr>
            </w:pPr>
            <w:r>
              <w:rPr>
                <w:sz w:val="20"/>
              </w:rPr>
              <w:t>ESF+</w:t>
            </w:r>
          </w:p>
        </w:tc>
        <w:tc>
          <w:tcPr>
            <w:tcW w:w="3248" w:type="dxa"/>
          </w:tcPr>
          <w:p w14:paraId="687C87E9" w14:textId="77777777" w:rsidR="00DD13BF" w:rsidRDefault="00DD13BF" w:rsidP="00355A56">
            <w:pPr>
              <w:pStyle w:val="TableParagraph"/>
              <w:rPr>
                <w:sz w:val="20"/>
              </w:rPr>
            </w:pPr>
            <w:r>
              <w:rPr>
                <w:sz w:val="20"/>
              </w:rPr>
              <w:t>More developed</w:t>
            </w:r>
          </w:p>
        </w:tc>
        <w:tc>
          <w:tcPr>
            <w:tcW w:w="3098" w:type="dxa"/>
          </w:tcPr>
          <w:p w14:paraId="0C76EFB5" w14:textId="77777777" w:rsidR="00DD13BF" w:rsidRDefault="00DD13BF" w:rsidP="00355A56">
            <w:pPr>
              <w:pStyle w:val="TableParagraph"/>
              <w:rPr>
                <w:sz w:val="20"/>
              </w:rPr>
            </w:pPr>
            <w:r>
              <w:rPr>
                <w:color w:val="000000"/>
                <w:sz w:val="20"/>
              </w:rPr>
              <w:t>ESO4.12</w:t>
            </w:r>
          </w:p>
        </w:tc>
        <w:tc>
          <w:tcPr>
            <w:tcW w:w="1160" w:type="dxa"/>
          </w:tcPr>
          <w:p w14:paraId="49D6A21C" w14:textId="77777777" w:rsidR="00DD13BF" w:rsidRDefault="00DD13BF" w:rsidP="00355A56">
            <w:pPr>
              <w:pStyle w:val="TableParagraph"/>
              <w:rPr>
                <w:sz w:val="20"/>
              </w:rPr>
            </w:pPr>
            <w:r>
              <w:rPr>
                <w:sz w:val="20"/>
              </w:rPr>
              <w:t>09</w:t>
            </w:r>
          </w:p>
        </w:tc>
        <w:tc>
          <w:tcPr>
            <w:tcW w:w="2730" w:type="dxa"/>
          </w:tcPr>
          <w:p w14:paraId="4A15DE38" w14:textId="77777777" w:rsidR="00DD13BF" w:rsidRPr="00CA48CE" w:rsidRDefault="00DD13BF" w:rsidP="00355A56">
            <w:pPr>
              <w:pStyle w:val="TableParagraph"/>
              <w:rPr>
                <w:sz w:val="20"/>
              </w:rPr>
            </w:pPr>
            <w:r>
              <w:rPr>
                <w:sz w:val="20"/>
              </w:rPr>
              <w:t>16,559,482</w:t>
            </w:r>
          </w:p>
        </w:tc>
      </w:tr>
    </w:tbl>
    <w:p w14:paraId="0A78579B" w14:textId="77777777" w:rsidR="00DD13BF" w:rsidRPr="00673ADB" w:rsidRDefault="00DD13BF" w:rsidP="00DD13BF"/>
    <w:p w14:paraId="45C57C92" w14:textId="77777777" w:rsidR="00DD13BF" w:rsidRDefault="00DD13BF" w:rsidP="00DD13BF">
      <w:pPr>
        <w:ind w:left="339"/>
      </w:pPr>
      <w:r>
        <w:t>Table 8: Dimension 7 – ESF+*, ERDF, Cohesion Fund and JTF gender equality dimension</w:t>
      </w:r>
    </w:p>
    <w:p w14:paraId="4448CDC6"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C6FD187" w14:textId="77777777" w:rsidTr="00355A56">
        <w:trPr>
          <w:trHeight w:val="353"/>
        </w:trPr>
        <w:tc>
          <w:tcPr>
            <w:tcW w:w="2088" w:type="dxa"/>
          </w:tcPr>
          <w:p w14:paraId="380AEB83" w14:textId="77777777" w:rsidR="00DD13BF" w:rsidRDefault="00DD13BF" w:rsidP="00355A56">
            <w:pPr>
              <w:pStyle w:val="TableParagraph"/>
              <w:ind w:left="115"/>
            </w:pPr>
            <w:r>
              <w:t>Priority no.</w:t>
            </w:r>
          </w:p>
        </w:tc>
        <w:tc>
          <w:tcPr>
            <w:tcW w:w="1132" w:type="dxa"/>
          </w:tcPr>
          <w:p w14:paraId="15F9DE7A" w14:textId="77777777" w:rsidR="00DD13BF" w:rsidRDefault="00DD13BF" w:rsidP="00355A56">
            <w:pPr>
              <w:pStyle w:val="TableParagraph"/>
              <w:ind w:left="320"/>
            </w:pPr>
            <w:r>
              <w:t>Fund</w:t>
            </w:r>
          </w:p>
        </w:tc>
        <w:tc>
          <w:tcPr>
            <w:tcW w:w="3248" w:type="dxa"/>
          </w:tcPr>
          <w:p w14:paraId="2DD8B8A7" w14:textId="77777777" w:rsidR="00DD13BF" w:rsidRDefault="00DD13BF" w:rsidP="00355A56">
            <w:pPr>
              <w:pStyle w:val="TableParagraph"/>
              <w:ind w:left="908"/>
            </w:pPr>
            <w:r>
              <w:t>Category of region</w:t>
            </w:r>
          </w:p>
        </w:tc>
        <w:tc>
          <w:tcPr>
            <w:tcW w:w="3098" w:type="dxa"/>
          </w:tcPr>
          <w:p w14:paraId="6E309956" w14:textId="77777777" w:rsidR="00DD13BF" w:rsidRDefault="00DD13BF" w:rsidP="00355A56">
            <w:pPr>
              <w:pStyle w:val="TableParagraph"/>
              <w:ind w:left="950"/>
            </w:pPr>
            <w:r>
              <w:t>Specific objective</w:t>
            </w:r>
          </w:p>
        </w:tc>
        <w:tc>
          <w:tcPr>
            <w:tcW w:w="1160" w:type="dxa"/>
          </w:tcPr>
          <w:p w14:paraId="59775AB2" w14:textId="77777777" w:rsidR="00DD13BF" w:rsidRDefault="00DD13BF" w:rsidP="00355A56">
            <w:pPr>
              <w:pStyle w:val="TableParagraph"/>
              <w:ind w:left="336"/>
            </w:pPr>
            <w:r>
              <w:t>Code</w:t>
            </w:r>
          </w:p>
        </w:tc>
        <w:tc>
          <w:tcPr>
            <w:tcW w:w="2730" w:type="dxa"/>
          </w:tcPr>
          <w:p w14:paraId="52DF5294" w14:textId="77777777" w:rsidR="00DD13BF" w:rsidRDefault="00DD13BF" w:rsidP="00355A56">
            <w:pPr>
              <w:pStyle w:val="TableParagraph"/>
              <w:ind w:left="664"/>
            </w:pPr>
            <w:r>
              <w:t>Amount (in EUR)</w:t>
            </w:r>
          </w:p>
        </w:tc>
      </w:tr>
      <w:tr w:rsidR="00DD13BF" w14:paraId="4987D766" w14:textId="77777777" w:rsidTr="00355A56">
        <w:trPr>
          <w:trHeight w:val="353"/>
        </w:trPr>
        <w:tc>
          <w:tcPr>
            <w:tcW w:w="2088" w:type="dxa"/>
          </w:tcPr>
          <w:p w14:paraId="48C6191C" w14:textId="77777777" w:rsidR="00DD13BF" w:rsidRDefault="00DD13BF" w:rsidP="00355A56">
            <w:pPr>
              <w:pStyle w:val="TableParagraph"/>
              <w:rPr>
                <w:sz w:val="20"/>
              </w:rPr>
            </w:pPr>
            <w:r>
              <w:rPr>
                <w:sz w:val="20"/>
              </w:rPr>
              <w:t>7</w:t>
            </w:r>
          </w:p>
        </w:tc>
        <w:tc>
          <w:tcPr>
            <w:tcW w:w="1132" w:type="dxa"/>
          </w:tcPr>
          <w:p w14:paraId="72BE24AE" w14:textId="77777777" w:rsidR="00DD13BF" w:rsidRDefault="00DD13BF" w:rsidP="00355A56">
            <w:pPr>
              <w:pStyle w:val="TableParagraph"/>
              <w:rPr>
                <w:sz w:val="20"/>
              </w:rPr>
            </w:pPr>
            <w:r>
              <w:rPr>
                <w:sz w:val="20"/>
              </w:rPr>
              <w:t>ESF+</w:t>
            </w:r>
          </w:p>
        </w:tc>
        <w:tc>
          <w:tcPr>
            <w:tcW w:w="3248" w:type="dxa"/>
          </w:tcPr>
          <w:p w14:paraId="03921B6E" w14:textId="77777777" w:rsidR="00DD13BF" w:rsidRDefault="00DD13BF" w:rsidP="00355A56">
            <w:pPr>
              <w:pStyle w:val="TableParagraph"/>
              <w:rPr>
                <w:sz w:val="20"/>
              </w:rPr>
            </w:pPr>
            <w:r>
              <w:rPr>
                <w:sz w:val="20"/>
              </w:rPr>
              <w:t>Less developed</w:t>
            </w:r>
          </w:p>
        </w:tc>
        <w:tc>
          <w:tcPr>
            <w:tcW w:w="3098" w:type="dxa"/>
          </w:tcPr>
          <w:p w14:paraId="1732F3F3" w14:textId="77777777" w:rsidR="00DD13BF" w:rsidRDefault="00DD13BF" w:rsidP="00355A56">
            <w:pPr>
              <w:pStyle w:val="TableParagraph"/>
              <w:rPr>
                <w:sz w:val="20"/>
              </w:rPr>
            </w:pPr>
            <w:r>
              <w:rPr>
                <w:color w:val="000000"/>
                <w:sz w:val="20"/>
              </w:rPr>
              <w:t>ESO4.12</w:t>
            </w:r>
          </w:p>
        </w:tc>
        <w:tc>
          <w:tcPr>
            <w:tcW w:w="1160" w:type="dxa"/>
          </w:tcPr>
          <w:p w14:paraId="18C57278" w14:textId="77777777" w:rsidR="00DD13BF" w:rsidRDefault="00DD13BF" w:rsidP="00355A56">
            <w:pPr>
              <w:pStyle w:val="TableParagraph"/>
              <w:rPr>
                <w:sz w:val="20"/>
              </w:rPr>
            </w:pPr>
            <w:r>
              <w:rPr>
                <w:sz w:val="20"/>
              </w:rPr>
              <w:t>02</w:t>
            </w:r>
          </w:p>
        </w:tc>
        <w:tc>
          <w:tcPr>
            <w:tcW w:w="2730" w:type="dxa"/>
          </w:tcPr>
          <w:p w14:paraId="69C51A1E" w14:textId="77777777" w:rsidR="00DD13BF" w:rsidRDefault="00DD13BF" w:rsidP="00355A56">
            <w:pPr>
              <w:pStyle w:val="TableParagraph"/>
              <w:rPr>
                <w:sz w:val="20"/>
              </w:rPr>
            </w:pPr>
            <w:r>
              <w:rPr>
                <w:sz w:val="20"/>
              </w:rPr>
              <w:t>44,329,000</w:t>
            </w:r>
          </w:p>
        </w:tc>
      </w:tr>
      <w:tr w:rsidR="00DD13BF" w14:paraId="644BCC6E" w14:textId="77777777" w:rsidTr="00355A56">
        <w:trPr>
          <w:trHeight w:val="353"/>
        </w:trPr>
        <w:tc>
          <w:tcPr>
            <w:tcW w:w="2088" w:type="dxa"/>
          </w:tcPr>
          <w:p w14:paraId="7B5F5079" w14:textId="77777777" w:rsidR="00DD13BF" w:rsidRDefault="00DD13BF" w:rsidP="00355A56">
            <w:pPr>
              <w:pStyle w:val="TableParagraph"/>
              <w:rPr>
                <w:sz w:val="20"/>
              </w:rPr>
            </w:pPr>
            <w:r>
              <w:rPr>
                <w:sz w:val="20"/>
              </w:rPr>
              <w:t>7</w:t>
            </w:r>
          </w:p>
        </w:tc>
        <w:tc>
          <w:tcPr>
            <w:tcW w:w="1132" w:type="dxa"/>
          </w:tcPr>
          <w:p w14:paraId="129F2BCB" w14:textId="77777777" w:rsidR="00DD13BF" w:rsidRDefault="00DD13BF" w:rsidP="00355A56">
            <w:pPr>
              <w:pStyle w:val="TableParagraph"/>
              <w:rPr>
                <w:sz w:val="20"/>
              </w:rPr>
            </w:pPr>
            <w:r>
              <w:rPr>
                <w:sz w:val="20"/>
              </w:rPr>
              <w:t>ESF+</w:t>
            </w:r>
          </w:p>
        </w:tc>
        <w:tc>
          <w:tcPr>
            <w:tcW w:w="3248" w:type="dxa"/>
          </w:tcPr>
          <w:p w14:paraId="7F5FCBB5" w14:textId="77777777" w:rsidR="00DD13BF" w:rsidRDefault="00DD13BF" w:rsidP="00355A56">
            <w:pPr>
              <w:pStyle w:val="TableParagraph"/>
              <w:rPr>
                <w:sz w:val="20"/>
              </w:rPr>
            </w:pPr>
            <w:r>
              <w:rPr>
                <w:sz w:val="20"/>
              </w:rPr>
              <w:t>More developed</w:t>
            </w:r>
          </w:p>
        </w:tc>
        <w:tc>
          <w:tcPr>
            <w:tcW w:w="3098" w:type="dxa"/>
          </w:tcPr>
          <w:p w14:paraId="1916CB1A" w14:textId="77777777" w:rsidR="00DD13BF" w:rsidRDefault="00DD13BF" w:rsidP="00355A56">
            <w:pPr>
              <w:pStyle w:val="TableParagraph"/>
              <w:rPr>
                <w:sz w:val="20"/>
              </w:rPr>
            </w:pPr>
            <w:r>
              <w:rPr>
                <w:color w:val="000000"/>
                <w:sz w:val="20"/>
              </w:rPr>
              <w:t>ESO4.12</w:t>
            </w:r>
          </w:p>
        </w:tc>
        <w:tc>
          <w:tcPr>
            <w:tcW w:w="1160" w:type="dxa"/>
          </w:tcPr>
          <w:p w14:paraId="1A7A7119" w14:textId="77777777" w:rsidR="00DD13BF" w:rsidRDefault="00DD13BF" w:rsidP="00355A56">
            <w:pPr>
              <w:pStyle w:val="TableParagraph"/>
              <w:rPr>
                <w:sz w:val="20"/>
              </w:rPr>
            </w:pPr>
            <w:r>
              <w:rPr>
                <w:sz w:val="20"/>
              </w:rPr>
              <w:t>02</w:t>
            </w:r>
          </w:p>
        </w:tc>
        <w:tc>
          <w:tcPr>
            <w:tcW w:w="2730" w:type="dxa"/>
          </w:tcPr>
          <w:p w14:paraId="66519EF3" w14:textId="77777777" w:rsidR="00DD13BF" w:rsidRDefault="00DD13BF" w:rsidP="00355A56">
            <w:pPr>
              <w:pStyle w:val="TableParagraph"/>
              <w:rPr>
                <w:sz w:val="20"/>
              </w:rPr>
            </w:pPr>
            <w:r>
              <w:rPr>
                <w:sz w:val="20"/>
              </w:rPr>
              <w:t>16,559,482</w:t>
            </w:r>
          </w:p>
        </w:tc>
      </w:tr>
    </w:tbl>
    <w:p w14:paraId="4AEE9757" w14:textId="77777777" w:rsidR="00DD13BF" w:rsidRDefault="00DD13BF" w:rsidP="00DD13BF">
      <w:pPr>
        <w:tabs>
          <w:tab w:val="left" w:pos="426"/>
        </w:tabs>
        <w:ind w:left="284"/>
        <w:rPr>
          <w:spacing w:val="-2"/>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E30B65A" w14:textId="77777777" w:rsidR="00DD13BF" w:rsidRDefault="00DD13BF" w:rsidP="00DD13BF">
      <w:pPr>
        <w:tabs>
          <w:tab w:val="left" w:pos="426"/>
        </w:tabs>
        <w:ind w:left="284"/>
        <w:rPr>
          <w:sz w:val="24"/>
        </w:rPr>
      </w:pPr>
    </w:p>
    <w:p w14:paraId="6DD07B0D" w14:textId="77777777" w:rsidR="00DD13BF" w:rsidRDefault="00DD13BF" w:rsidP="00DD13BF">
      <w:pPr>
        <w:tabs>
          <w:tab w:val="left" w:pos="426"/>
        </w:tabs>
        <w:ind w:left="284"/>
      </w:pPr>
      <w:r>
        <w:br w:type="page"/>
      </w:r>
    </w:p>
    <w:p w14:paraId="720D9230" w14:textId="77777777" w:rsidR="00DD13BF" w:rsidRPr="00BD3536" w:rsidRDefault="00DD13BF" w:rsidP="00DD13BF">
      <w:pPr>
        <w:pStyle w:val="Naslov4"/>
        <w:ind w:left="1134"/>
      </w:pPr>
      <w:bookmarkStart w:id="60" w:name="_Toc131161727"/>
      <w:r>
        <w:lastRenderedPageBreak/>
        <w:t>Specific objective RSO4.3. Promoting the socio-economic inclusion of marginalised communities, low income households and disadvantaged groups including people with special needs, through integrated actions including housing and social services (ERDF)</w:t>
      </w:r>
      <w:bookmarkEnd w:id="60"/>
    </w:p>
    <w:p w14:paraId="0DAE2E02" w14:textId="77777777" w:rsidR="00DD13BF" w:rsidRDefault="00DD13BF" w:rsidP="00DD13BF">
      <w:pPr>
        <w:rPr>
          <w:sz w:val="30"/>
        </w:rPr>
      </w:pPr>
    </w:p>
    <w:p w14:paraId="6E27ABDC" w14:textId="77777777" w:rsidR="00DD13BF" w:rsidRPr="00C10464" w:rsidRDefault="00DD13BF" w:rsidP="00DD13BF">
      <w:pPr>
        <w:pStyle w:val="Naslov5"/>
        <w:spacing w:before="0"/>
      </w:pPr>
      <w:r>
        <w:t>Interventions of the Funds</w:t>
      </w:r>
    </w:p>
    <w:p w14:paraId="02F90C6A" w14:textId="77777777" w:rsidR="00DD13BF" w:rsidRDefault="00DD13BF" w:rsidP="00DD13BF">
      <w:pPr>
        <w:rPr>
          <w:sz w:val="30"/>
        </w:rPr>
      </w:pPr>
    </w:p>
    <w:p w14:paraId="275DEACB" w14:textId="77777777" w:rsidR="00DD13BF" w:rsidRDefault="00DD13BF" w:rsidP="00DD13BF">
      <w:pPr>
        <w:ind w:left="1349"/>
        <w:rPr>
          <w:spacing w:val="-2"/>
        </w:rPr>
      </w:pPr>
      <w:r>
        <w:t>Related types of actions:</w:t>
      </w:r>
    </w:p>
    <w:p w14:paraId="59052EA3"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05B09D33" w14:textId="77777777" w:rsidTr="00355A56">
        <w:trPr>
          <w:trHeight w:val="316"/>
        </w:trPr>
        <w:tc>
          <w:tcPr>
            <w:tcW w:w="12758" w:type="dxa"/>
          </w:tcPr>
          <w:p w14:paraId="36DAF93C" w14:textId="77777777" w:rsidR="00DD13BF" w:rsidRDefault="00DD13BF" w:rsidP="00355A56">
            <w:pPr>
              <w:jc w:val="both"/>
            </w:pPr>
            <w:r>
              <w:t>Regarding the care for people who need the assistance of others for their daily life (elderly people, vulnerable groups and people with special needs), Slovenia is ranked among the more institutionalised countries characterised by a high level of formal care. This is a result of an increase in the capacity of institutional care, while the development of community-based social care stagnates. In recent years, the concept of deinstitutionalisation or care in the community has again become relevant for Slovenia on the basis of EU policies.</w:t>
            </w:r>
            <w:r>
              <w:rPr>
                <w:rStyle w:val="Sprotnaopomba-sklic"/>
              </w:rPr>
              <w:t xml:space="preserve"> </w:t>
            </w:r>
            <w:r>
              <w:rPr>
                <w:rStyle w:val="Sprotnaopomba-sklic"/>
              </w:rPr>
              <w:footnoteReference w:id="164"/>
            </w:r>
            <w:r>
              <w:t xml:space="preserve"> The objective of the Resolution on the national social assistance programme 2013–2020</w:t>
            </w:r>
            <w:r>
              <w:rPr>
                <w:rStyle w:val="Sprotnaopomba-sklic"/>
              </w:rPr>
              <w:footnoteReference w:id="165"/>
            </w:r>
            <w:r>
              <w:t xml:space="preserve"> is to change the ratio between users of community and institutional forms of social care, and to increase the share of users of community services and reduce the share of users of institutional forms of social care. The Resolution will be upgraded by the Strategy of the Republic of Slovenia for Deinstitutionalisation in Social Care 2023–2033, which will be person centred, and will aim to add new services adapted to the capabilities and needs of users and provide as many options for their provision at home or in the community as possible.</w:t>
            </w:r>
          </w:p>
          <w:p w14:paraId="09983A5B" w14:textId="77777777" w:rsidR="00DD13BF" w:rsidRDefault="00DD13BF" w:rsidP="00355A56">
            <w:pPr>
              <w:jc w:val="both"/>
              <w:rPr>
                <w:rFonts w:cstheme="minorHAnsi"/>
              </w:rPr>
            </w:pPr>
          </w:p>
          <w:p w14:paraId="30037A72" w14:textId="77777777" w:rsidR="00DD13BF" w:rsidRDefault="00DD13BF" w:rsidP="00355A56">
            <w:pPr>
              <w:jc w:val="both"/>
            </w:pPr>
            <w:r>
              <w:t xml:space="preserve">In line with the aforementioned, the measure planned under this specific objective will be designed in accordance with the gap analysis, and the results of the mapping of infrastructure, services and needs also at the microregional level with special attention paid to territorial inequalities, potential spatial segregation, and demographic changes. In accordance with the Convention on the Rights of Persons with Disabilities and the Optional Protocol to the Convention on the Rights of Persons with Disabilities (CRPD), a review of decisions for priority investments will be made based on an assessment of individual needs. Mapping will be based on a review of the current number of residential institutions (including residential institutions in the community) and non-residential family communities of services, taking into account territorial inequalities and demographic challenges. All investments in social infrastructure will fully comply with the requirements of the CRPD, including General Comment No. 5 and the conclusions of the CRPD Committee, while taking into account the principles of equality, freedom of choice, the right to live independently, accessibility, and the prohibition of all forms of segregation. In addition, each investment will ensure accessibility in line with the latest EU accessibility standards. Investments will have to demonstrate compliance with the deinstitutionalisation strategy, and the relevant EU political and legal frameworks for respect for human rights, i.e. the CRPD and General Comment No. 5, the European Pillar of Social Rights, and the Strategy for the rights of persons with disabilities 2021–2030. Investments will follow the deinstitutionalisation strategy, so that they do not contribute to the creation of new environments that are not fully in line with the CRPD. According to the partnership principle, independent bodies for fundamental rights and human rights organisations will be involved in all phases of programming, </w:t>
            </w:r>
            <w:r>
              <w:lastRenderedPageBreak/>
              <w:t>implementation, monitoring, and evaluation of investments in social and health infrastructure to ensure respect for the principles of independent living, non-segregation, and non-discrimination in accordance with the CRPD and the Charter.</w:t>
            </w:r>
          </w:p>
          <w:p w14:paraId="107D2289" w14:textId="77777777" w:rsidR="00DD13BF" w:rsidRDefault="00DD13BF" w:rsidP="00355A56">
            <w:pPr>
              <w:jc w:val="both"/>
            </w:pPr>
          </w:p>
          <w:p w14:paraId="2BA2A14F" w14:textId="77777777" w:rsidR="00DD13BF" w:rsidRDefault="00DD13BF" w:rsidP="00355A56">
            <w:pPr>
              <w:jc w:val="both"/>
              <w:rPr>
                <w:rFonts w:cstheme="minorHAnsi"/>
              </w:rPr>
            </w:pPr>
            <w:r>
              <w:t>Under the specific objective RSO4.3, measures will be supported that will focus on:</w:t>
            </w:r>
          </w:p>
          <w:p w14:paraId="19132EBD" w14:textId="77777777" w:rsidR="00DD13BF" w:rsidRPr="004A6983" w:rsidRDefault="00DD13BF" w:rsidP="00DD13BF">
            <w:pPr>
              <w:pStyle w:val="Odstavekseznama"/>
              <w:widowControl/>
              <w:numPr>
                <w:ilvl w:val="0"/>
                <w:numId w:val="41"/>
              </w:numPr>
              <w:autoSpaceDE/>
              <w:autoSpaceDN/>
              <w:jc w:val="both"/>
              <w:rPr>
                <w:rFonts w:ascii="Times New Roman" w:hAnsi="Times New Roman" w:cs="Times New Roman"/>
                <w:i/>
              </w:rPr>
            </w:pPr>
            <w:r>
              <w:rPr>
                <w:rFonts w:ascii="Times New Roman" w:hAnsi="Times New Roman"/>
                <w:i/>
                <w:iCs/>
              </w:rPr>
              <w:t>Investments in social infrastructure</w:t>
            </w:r>
            <w:r>
              <w:rPr>
                <w:rFonts w:ascii="Times New Roman" w:hAnsi="Times New Roman"/>
              </w:rPr>
              <w:t>, which will be intended for integrated community services and forms of care and will contribute to the inclusion of individuals in the community and, consequently, to a more independent life and ensuring a better quality of life for the target groups. Within the RRP, the measure “Ensuring a safe living environment for persons who depend on the assistance of others” will be implemented by investing in new institutional capacities for the care of elderly people, while within the framework of the ERDF funds, investments will be made in the purchase and adaptation of social infrastructure for adults and children with disabilities, including infrastructure in the field of long-term care, which will be implemented as a priority in the following fields:</w:t>
            </w:r>
          </w:p>
          <w:p w14:paraId="0FF4D6BD" w14:textId="77777777" w:rsidR="00DD13BF" w:rsidRPr="000F1C6C" w:rsidRDefault="00DD13BF" w:rsidP="00DD13BF">
            <w:pPr>
              <w:pStyle w:val="Odstavekseznama"/>
              <w:widowControl/>
              <w:numPr>
                <w:ilvl w:val="1"/>
                <w:numId w:val="39"/>
              </w:numPr>
              <w:autoSpaceDE/>
              <w:autoSpaceDN/>
              <w:jc w:val="both"/>
              <w:rPr>
                <w:rFonts w:ascii="Times New Roman" w:hAnsi="Times New Roman"/>
              </w:rPr>
            </w:pPr>
            <w:r>
              <w:rPr>
                <w:rFonts w:ascii="Times New Roman" w:hAnsi="Times New Roman"/>
              </w:rPr>
              <w:t>Establishing housing groups for the transition from institutions to independent living in the community: the measure will support providers of integrated community-based services that provide a transitional service of integrated care by accommodation in smaller residential units. The measure will be implemented in such a way that free housing capacities across the country will be used if they are suitable for accommodating people, and in accordance with the rules and guidelines of deinstitutionalisation with respect for the fundamental rights of individuals.</w:t>
            </w:r>
          </w:p>
          <w:p w14:paraId="3EDECE7A" w14:textId="77777777" w:rsidR="00DD13BF" w:rsidRPr="000F1C6C" w:rsidRDefault="00DD13BF" w:rsidP="00DD13BF">
            <w:pPr>
              <w:pStyle w:val="Odstavekseznama"/>
              <w:widowControl/>
              <w:numPr>
                <w:ilvl w:val="1"/>
                <w:numId w:val="39"/>
              </w:numPr>
              <w:autoSpaceDE/>
              <w:autoSpaceDN/>
              <w:jc w:val="both"/>
              <w:rPr>
                <w:rFonts w:ascii="Times New Roman" w:hAnsi="Times New Roman"/>
              </w:rPr>
            </w:pPr>
            <w:r>
              <w:rPr>
                <w:rFonts w:ascii="Times New Roman" w:hAnsi="Times New Roman"/>
              </w:rPr>
              <w:t xml:space="preserve">Day care centres for people with dementia and other forms of cognitive decline: the measure addresses the challenge of establishing centres that will provide day care for elderly people, in which individuals can join for any number of days and hours (eight hours or less), thus receiving the opportunity to stay in their home environment, which will reduce the need for them to go into institutions, and prevent deterioration of health and possible hospitalisation, etc., which complies with the objective of transitioning from institutional to community-based services. Consideration will also be given to the possibility of intergenerational integration and the integration of activities with the local environment. This measure will be linked to the measure of strengthening social care services under the SO ESO4.11, for which personnel training in day care centres and assistance to relatives will be provided. </w:t>
            </w:r>
          </w:p>
          <w:p w14:paraId="04A3F28B" w14:textId="77777777" w:rsidR="00DD13BF" w:rsidRPr="000F1C6C" w:rsidRDefault="00DD13BF" w:rsidP="00DD13BF">
            <w:pPr>
              <w:pStyle w:val="Odstavekseznama"/>
              <w:widowControl/>
              <w:numPr>
                <w:ilvl w:val="1"/>
                <w:numId w:val="39"/>
              </w:numPr>
              <w:autoSpaceDE/>
              <w:autoSpaceDN/>
              <w:jc w:val="both"/>
              <w:rPr>
                <w:rFonts w:ascii="Times New Roman" w:hAnsi="Times New Roman"/>
              </w:rPr>
            </w:pPr>
            <w:r>
              <w:rPr>
                <w:rFonts w:ascii="Times New Roman" w:hAnsi="Times New Roman"/>
              </w:rPr>
              <w:t>Permanent housing units for the temporary solution of the housing needs of vulnerable target groups will be intended to temporarily meet the housing needs of vulnerable groups, such as homeless people, evicted families and individuals, people with mental health problems, migrants, etc., who find themselves in a crisis and require immediate accommodation until the situation in the home environment is properly resolved. The measure will be implemented in accordance with the deinstitutionalisation guidelines with respect for the fundamental rights of individuals.</w:t>
            </w:r>
          </w:p>
          <w:p w14:paraId="209C7845" w14:textId="77777777" w:rsidR="00DD13BF" w:rsidRDefault="00DD13BF" w:rsidP="00355A56">
            <w:pPr>
              <w:pStyle w:val="TabelaO"/>
              <w:rPr>
                <w:rFonts w:cstheme="minorHAnsi"/>
              </w:rPr>
            </w:pPr>
          </w:p>
          <w:p w14:paraId="2DBEA444" w14:textId="77777777" w:rsidR="00DD13BF" w:rsidRPr="00676E33" w:rsidRDefault="00DD13BF" w:rsidP="00355A56">
            <w:pPr>
              <w:pStyle w:val="TabelaO"/>
              <w:rPr>
                <w:rFonts w:cstheme="minorHAnsi"/>
              </w:rPr>
            </w:pPr>
            <w:r>
              <w:rPr>
                <w:rFonts w:ascii="Times New Roman" w:hAnsi="Times New Roman"/>
                <w:sz w:val="22"/>
              </w:rPr>
              <w:t xml:space="preserve">To formulate the final content of the measures, and the criteria for their selection and implementation, the relevant mitigation measures and, to the greatest extent possible, the relevant recommendations in accordance with the </w:t>
            </w:r>
            <w:r>
              <w:rPr>
                <w:rFonts w:ascii="Times New Roman" w:hAnsi="Times New Roman"/>
              </w:rPr>
              <w:t>strategic</w:t>
            </w:r>
            <w:r>
              <w:rPr>
                <w:rFonts w:ascii="Times New Roman" w:hAnsi="Times New Roman"/>
                <w:sz w:val="22"/>
              </w:rPr>
              <w:t xml:space="preserve"> environmental assessment, which are listed in annex Mitigation Measures and Recommendations, will be taken into account. In accordance with the Technical guidance on the application of ‘do no significant harm’, it was concluded on the basis of responses to questions from the check list that none of the planned measures under this specific objective has a significant adverse impact on any of the six environmental objectives, taking into account the technical screening criteria listed in annex DNSH.</w:t>
            </w:r>
            <w:r>
              <w:t xml:space="preserve"> </w:t>
            </w:r>
            <w:r>
              <w:rPr>
                <w:rFonts w:ascii="Times New Roman" w:hAnsi="Times New Roman"/>
                <w:sz w:val="22"/>
              </w:rPr>
              <w:t>Where relevant, the implementation of measures will comply with the New European Bauhaus initiative.</w:t>
            </w:r>
          </w:p>
        </w:tc>
      </w:tr>
    </w:tbl>
    <w:p w14:paraId="638B4E7E" w14:textId="77777777" w:rsidR="00DD13BF" w:rsidRDefault="00DD13BF" w:rsidP="00DD13BF">
      <w:pPr>
        <w:ind w:left="1349"/>
        <w:rPr>
          <w:spacing w:val="-6"/>
        </w:rPr>
      </w:pPr>
    </w:p>
    <w:p w14:paraId="724F34FA" w14:textId="77777777" w:rsidR="00DD13BF" w:rsidRDefault="00DD13BF" w:rsidP="00DD13BF">
      <w:pPr>
        <w:ind w:left="1349"/>
      </w:pPr>
      <w:r>
        <w:t>Main target groups:</w:t>
      </w:r>
    </w:p>
    <w:p w14:paraId="63B048AA"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19E92FCA" w14:textId="77777777" w:rsidTr="00355A56">
        <w:tc>
          <w:tcPr>
            <w:tcW w:w="12763" w:type="dxa"/>
          </w:tcPr>
          <w:p w14:paraId="7CE086AF" w14:textId="77777777" w:rsidR="00DD13BF" w:rsidRDefault="00DD13BF" w:rsidP="00355A56">
            <w:pPr>
              <w:jc w:val="both"/>
              <w:rPr>
                <w:rFonts w:cstheme="minorHAnsi"/>
              </w:rPr>
            </w:pPr>
            <w:r>
              <w:t>Target groups are as follows:</w:t>
            </w:r>
          </w:p>
          <w:p w14:paraId="4C9BDB1D" w14:textId="77777777" w:rsidR="00DD13BF" w:rsidRPr="00082B8C" w:rsidRDefault="00DD13BF" w:rsidP="00DD13BF">
            <w:pPr>
              <w:pStyle w:val="Odstavekseznama"/>
              <w:widowControl/>
              <w:numPr>
                <w:ilvl w:val="0"/>
                <w:numId w:val="42"/>
              </w:numPr>
              <w:autoSpaceDE/>
              <w:autoSpaceDN/>
              <w:jc w:val="both"/>
              <w:rPr>
                <w:rFonts w:ascii="Times New Roman" w:hAnsi="Times New Roman" w:cs="Times New Roman"/>
              </w:rPr>
            </w:pPr>
            <w:r>
              <w:rPr>
                <w:rFonts w:ascii="Times New Roman" w:hAnsi="Times New Roman"/>
              </w:rPr>
              <w:t>individuals and families who are temporarily unable to live independently and cannot stay at home, and other vulnerable groups;</w:t>
            </w:r>
          </w:p>
          <w:p w14:paraId="1231C4F9" w14:textId="77777777" w:rsidR="00DD13BF" w:rsidRPr="00082B8C" w:rsidRDefault="00DD13BF" w:rsidP="00DD13BF">
            <w:pPr>
              <w:pStyle w:val="Odstavekseznama"/>
              <w:widowControl/>
              <w:numPr>
                <w:ilvl w:val="0"/>
                <w:numId w:val="42"/>
              </w:numPr>
              <w:autoSpaceDE/>
              <w:autoSpaceDN/>
              <w:jc w:val="both"/>
              <w:rPr>
                <w:rFonts w:ascii="Times New Roman" w:hAnsi="Times New Roman" w:cs="Times New Roman"/>
              </w:rPr>
            </w:pPr>
            <w:r>
              <w:rPr>
                <w:rFonts w:ascii="Times New Roman" w:hAnsi="Times New Roman"/>
              </w:rPr>
              <w:t>community service providers, special social care institutions, education, work and care centres, local communities, housing funds;</w:t>
            </w:r>
          </w:p>
          <w:p w14:paraId="1A5E4B58" w14:textId="77777777" w:rsidR="00DD13BF" w:rsidRDefault="00DD13BF" w:rsidP="00DD13BF">
            <w:pPr>
              <w:pStyle w:val="Odstavekseznama"/>
              <w:widowControl/>
              <w:numPr>
                <w:ilvl w:val="0"/>
                <w:numId w:val="42"/>
              </w:numPr>
              <w:autoSpaceDE/>
              <w:autoSpaceDN/>
              <w:jc w:val="both"/>
              <w:rPr>
                <w:rFonts w:cstheme="minorBidi"/>
              </w:rPr>
            </w:pPr>
            <w:r>
              <w:rPr>
                <w:rFonts w:ascii="Times New Roman" w:hAnsi="Times New Roman"/>
              </w:rPr>
              <w:t>persons with dementia and other forms of decline in cognitive functions and their relatives, users of home help and social services, employees of newly established day care centres.</w:t>
            </w:r>
          </w:p>
          <w:p w14:paraId="2E7D1C01" w14:textId="77777777" w:rsidR="00DD13BF" w:rsidRDefault="00DD13BF" w:rsidP="00355A56">
            <w:pPr>
              <w:jc w:val="both"/>
              <w:rPr>
                <w:rFonts w:cstheme="minorBidi"/>
              </w:rPr>
            </w:pPr>
          </w:p>
          <w:p w14:paraId="10A80C36" w14:textId="77777777" w:rsidR="00DD13BF" w:rsidRPr="0034581D" w:rsidRDefault="00DD13BF" w:rsidP="00355A56">
            <w:pPr>
              <w:jc w:val="both"/>
              <w:rPr>
                <w:rFonts w:cstheme="minorBidi"/>
              </w:rPr>
            </w:pPr>
            <w:r>
              <w:t>Beneficiaries: nursing homes, local communities, social care programme and service providers, community service providers, funds, etc.</w:t>
            </w:r>
          </w:p>
        </w:tc>
      </w:tr>
    </w:tbl>
    <w:p w14:paraId="21DB0664" w14:textId="77777777" w:rsidR="00DD13BF" w:rsidRPr="006B7178" w:rsidRDefault="00DD13BF" w:rsidP="00DD13BF">
      <w:pPr>
        <w:ind w:left="1349"/>
      </w:pPr>
    </w:p>
    <w:p w14:paraId="6A90F208" w14:textId="77777777" w:rsidR="00DD13BF" w:rsidRDefault="00DD13BF" w:rsidP="00DD13BF">
      <w:pPr>
        <w:ind w:left="1349"/>
        <w:rPr>
          <w:spacing w:val="-2"/>
        </w:rPr>
      </w:pPr>
      <w:r>
        <w:t>Measures to protect equality, inclusion and non-discrimination:</w:t>
      </w:r>
    </w:p>
    <w:p w14:paraId="55A21697"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543B2574" w14:textId="77777777" w:rsidTr="00355A56">
        <w:tc>
          <w:tcPr>
            <w:tcW w:w="12715" w:type="dxa"/>
          </w:tcPr>
          <w:p w14:paraId="46497818" w14:textId="77777777" w:rsidR="00DD13BF" w:rsidRPr="0005745E" w:rsidRDefault="00DD13BF" w:rsidP="00355A56">
            <w:pPr>
              <w:jc w:val="both"/>
              <w:rPr>
                <w:rFonts w:cs="Calibri"/>
              </w:rPr>
            </w:pPr>
            <w:r>
              <w:t xml:space="preserve">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use and implementation of the Charter of Fundamental Rights” and the Action Programme for Persons with Disabilities 2022–2030, the Strategy of the Republic of Slovenia for Deinstitutionalisation in Social Care 2023–2033 (being drafted), and other relevant documents that will be created as part of implementation. If necessary, administrative capacity training will be provided for their implementation. This principle will also be taken into account within the framework of the management and control system. </w:t>
            </w:r>
          </w:p>
          <w:p w14:paraId="0B911760" w14:textId="77777777" w:rsidR="00DD13BF" w:rsidRDefault="00DD13BF" w:rsidP="00355A56">
            <w:pPr>
              <w:jc w:val="both"/>
              <w:rPr>
                <w:rFonts w:cstheme="minorHAnsi"/>
              </w:rPr>
            </w:pPr>
          </w:p>
          <w:p w14:paraId="583A6B81" w14:textId="77777777" w:rsidR="00DD13BF" w:rsidRPr="00B3569A" w:rsidRDefault="00DD13BF" w:rsidP="00355A56">
            <w:pPr>
              <w:jc w:val="both"/>
              <w:rPr>
                <w:rFonts w:cstheme="minorHAnsi"/>
              </w:rPr>
            </w:pPr>
            <w:r>
              <w:t>Measures comply with the objective of the Sustainable Development Strategy “Social equality and cohesion”, as they promote the development of a democratic, socially inclusive, cohesive, healthy, safe and just society that respects fundamental rights and cultural diversity, creates equal opportunities, and combats all forms of discrimination. The activities within the measures will take into account the principle of non-discrimination and inclusion regardless of gender, race or ethnic origin, religion or belief, disability or sexual orientation. The measures contribute to the attainment of the targets stated in Chapter 3.3 of the European Pillar of Social Rights Action Plan, as they will ensure an efficient and sufficient scope of the social security network and access to support services and contribute to eliminating the intergenerational cycle of deprivation. The measures in the field of deinstitutionalisation and day centres for people with dementia will indirectly strengthen gender equality.</w:t>
            </w:r>
          </w:p>
        </w:tc>
      </w:tr>
    </w:tbl>
    <w:p w14:paraId="7C18BB10" w14:textId="77777777" w:rsidR="00DD13BF" w:rsidRDefault="00DD13BF" w:rsidP="00DD13BF">
      <w:pPr>
        <w:rPr>
          <w:sz w:val="20"/>
        </w:rPr>
      </w:pPr>
    </w:p>
    <w:p w14:paraId="5BCD528A" w14:textId="77777777" w:rsidR="00DD13BF" w:rsidRDefault="00DD13BF" w:rsidP="00DD13BF">
      <w:pPr>
        <w:ind w:left="1415"/>
        <w:rPr>
          <w:spacing w:val="-4"/>
        </w:rPr>
      </w:pPr>
      <w:r>
        <w:t>Indication of the specific territories targeted, including the planned use of territorial tools:</w:t>
      </w:r>
    </w:p>
    <w:p w14:paraId="6EE4708A"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3D9D81EB" w14:textId="77777777" w:rsidTr="00355A56">
        <w:tc>
          <w:tcPr>
            <w:tcW w:w="12763" w:type="dxa"/>
          </w:tcPr>
          <w:p w14:paraId="4CBE5A5D" w14:textId="77777777" w:rsidR="00DD13BF" w:rsidRPr="00B3569A" w:rsidRDefault="00DD13BF" w:rsidP="00355A56">
            <w:pPr>
              <w:jc w:val="both"/>
              <w:rPr>
                <w:rFonts w:cstheme="minorHAnsi"/>
              </w:rPr>
            </w:pPr>
            <w:r>
              <w:t>The use of territorial approaches is not foreseen under the specific objective. The measures under this specific objective will only be implemented in the Eastern Slovenia cohesion region as the latter lags behind the Western Slovenia cohesion region in terms of development, and is characterised by demographic, social and economic conditions that hinder the development of the region’s potential.</w:t>
            </w:r>
          </w:p>
        </w:tc>
      </w:tr>
    </w:tbl>
    <w:p w14:paraId="5E8DEFEF" w14:textId="77777777" w:rsidR="00DD13BF" w:rsidRDefault="00DD13BF" w:rsidP="00DD13BF">
      <w:pPr>
        <w:rPr>
          <w:sz w:val="18"/>
        </w:rPr>
      </w:pPr>
    </w:p>
    <w:p w14:paraId="063A7C52" w14:textId="77777777" w:rsidR="00DD13BF" w:rsidRDefault="00DD13BF" w:rsidP="00DD13BF">
      <w:pPr>
        <w:ind w:left="1415"/>
      </w:pPr>
      <w:r>
        <w:t>The interregional, cross-border and transnational actions:</w:t>
      </w:r>
    </w:p>
    <w:p w14:paraId="0CBFF6C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73EDC45" w14:textId="77777777" w:rsidTr="00355A56">
        <w:tc>
          <w:tcPr>
            <w:tcW w:w="12763" w:type="dxa"/>
          </w:tcPr>
          <w:p w14:paraId="3B6A4752" w14:textId="77777777" w:rsidR="00DD13BF" w:rsidRPr="00B3569A" w:rsidRDefault="00DD13BF" w:rsidP="00355A56">
            <w:pPr>
              <w:jc w:val="both"/>
              <w:rPr>
                <w:rFonts w:cstheme="minorHAnsi"/>
              </w:rPr>
            </w:pPr>
            <w:r>
              <w:t>The interregional, cross-border and transnational actions are not foreseen under this specific objective, as they include investments in public social infrastructure in the territory of Slovenia, which is intended for residents of Slovenia.</w:t>
            </w:r>
          </w:p>
        </w:tc>
      </w:tr>
    </w:tbl>
    <w:p w14:paraId="419527D8" w14:textId="77777777" w:rsidR="00DD13BF" w:rsidRDefault="00DD13BF" w:rsidP="00DD13BF">
      <w:pPr>
        <w:rPr>
          <w:sz w:val="17"/>
        </w:rPr>
      </w:pPr>
    </w:p>
    <w:p w14:paraId="12266F26" w14:textId="77777777" w:rsidR="00DD13BF" w:rsidRDefault="00DD13BF" w:rsidP="00DD13BF">
      <w:pPr>
        <w:ind w:left="1415"/>
        <w:rPr>
          <w:spacing w:val="-3"/>
        </w:rPr>
      </w:pPr>
      <w:r>
        <w:t>Planned use of financial instruments:</w:t>
      </w:r>
    </w:p>
    <w:p w14:paraId="6782CAEF"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45B9642E" w14:textId="77777777" w:rsidTr="00355A56">
        <w:tc>
          <w:tcPr>
            <w:tcW w:w="12758" w:type="dxa"/>
          </w:tcPr>
          <w:p w14:paraId="1FB033A1" w14:textId="77777777" w:rsidR="00DD13BF" w:rsidRPr="00B3569A" w:rsidRDefault="00DD13BF" w:rsidP="00355A56">
            <w:pPr>
              <w:jc w:val="both"/>
              <w:rPr>
                <w:rFonts w:cstheme="minorHAnsi"/>
              </w:rPr>
            </w:pPr>
            <w:r>
              <w:t xml:space="preserve">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w:t>
            </w:r>
          </w:p>
        </w:tc>
      </w:tr>
    </w:tbl>
    <w:p w14:paraId="7445177E" w14:textId="77777777" w:rsidR="00DD13BF" w:rsidRDefault="00DD13BF" w:rsidP="00DD13BF">
      <w:pPr>
        <w:rPr>
          <w:sz w:val="20"/>
        </w:rPr>
      </w:pPr>
    </w:p>
    <w:p w14:paraId="19A3345D" w14:textId="77777777" w:rsidR="00DD13BF" w:rsidRDefault="00DD13BF" w:rsidP="00DD13BF">
      <w:pPr>
        <w:rPr>
          <w:sz w:val="20"/>
        </w:rPr>
      </w:pPr>
    </w:p>
    <w:p w14:paraId="251C835E" w14:textId="77777777" w:rsidR="00DD13BF" w:rsidRDefault="00DD13BF" w:rsidP="00DD13BF">
      <w:pPr>
        <w:pStyle w:val="Naslov5"/>
        <w:spacing w:before="0"/>
      </w:pPr>
      <w:r>
        <w:t>Indicators</w:t>
      </w:r>
    </w:p>
    <w:p w14:paraId="51E86DBC" w14:textId="77777777" w:rsidR="00DD13BF" w:rsidRDefault="00DD13BF" w:rsidP="00DD13BF"/>
    <w:p w14:paraId="5CC6B52A" w14:textId="77777777" w:rsidR="00DD13BF" w:rsidRDefault="00DD13BF" w:rsidP="00DD13BF">
      <w:pPr>
        <w:ind w:left="379"/>
      </w:pPr>
      <w:r>
        <w:t>Table 2: Impact indicators</w:t>
      </w:r>
    </w:p>
    <w:p w14:paraId="4E20ED5D"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4"/>
        <w:gridCol w:w="1417"/>
        <w:gridCol w:w="708"/>
        <w:gridCol w:w="1701"/>
        <w:gridCol w:w="778"/>
        <w:gridCol w:w="3334"/>
        <w:gridCol w:w="1417"/>
        <w:gridCol w:w="1418"/>
        <w:gridCol w:w="1275"/>
      </w:tblGrid>
      <w:tr w:rsidR="00DD13BF" w14:paraId="7AD81FAF" w14:textId="77777777" w:rsidTr="00355A56">
        <w:trPr>
          <w:trHeight w:val="254"/>
        </w:trPr>
        <w:tc>
          <w:tcPr>
            <w:tcW w:w="1834" w:type="dxa"/>
            <w:vAlign w:val="center"/>
          </w:tcPr>
          <w:p w14:paraId="603EF235" w14:textId="77777777" w:rsidR="00DD13BF" w:rsidRDefault="00DD13BF" w:rsidP="00355A56">
            <w:pPr>
              <w:pStyle w:val="TableParagraph"/>
              <w:ind w:right="82"/>
            </w:pPr>
            <w:r>
              <w:t>Priority</w:t>
            </w:r>
          </w:p>
        </w:tc>
        <w:tc>
          <w:tcPr>
            <w:tcW w:w="1417" w:type="dxa"/>
            <w:vAlign w:val="center"/>
          </w:tcPr>
          <w:p w14:paraId="69DECAE5" w14:textId="77777777" w:rsidR="00DD13BF" w:rsidRDefault="00DD13BF" w:rsidP="00355A56">
            <w:pPr>
              <w:pStyle w:val="TableParagraph"/>
            </w:pPr>
            <w:r>
              <w:t>Specific objective</w:t>
            </w:r>
          </w:p>
        </w:tc>
        <w:tc>
          <w:tcPr>
            <w:tcW w:w="708" w:type="dxa"/>
            <w:vAlign w:val="center"/>
          </w:tcPr>
          <w:p w14:paraId="231AA5C2" w14:textId="77777777" w:rsidR="00DD13BF" w:rsidRDefault="00DD13BF" w:rsidP="00355A56">
            <w:pPr>
              <w:pStyle w:val="TableParagraph"/>
            </w:pPr>
            <w:r>
              <w:t>Fund</w:t>
            </w:r>
          </w:p>
        </w:tc>
        <w:tc>
          <w:tcPr>
            <w:tcW w:w="1701" w:type="dxa"/>
            <w:vAlign w:val="center"/>
          </w:tcPr>
          <w:p w14:paraId="5055D2E6" w14:textId="77777777" w:rsidR="00DD13BF" w:rsidRDefault="00DD13BF" w:rsidP="00355A56">
            <w:pPr>
              <w:pStyle w:val="TableParagraph"/>
            </w:pPr>
            <w:r>
              <w:t>Category of region</w:t>
            </w:r>
          </w:p>
        </w:tc>
        <w:tc>
          <w:tcPr>
            <w:tcW w:w="778" w:type="dxa"/>
            <w:vAlign w:val="center"/>
          </w:tcPr>
          <w:p w14:paraId="0788B014" w14:textId="77777777" w:rsidR="00DD13BF" w:rsidRPr="00347461" w:rsidRDefault="00DD13BF" w:rsidP="00355A56">
            <w:pPr>
              <w:pStyle w:val="TableParagraph"/>
              <w:rPr>
                <w:sz w:val="20"/>
              </w:rPr>
            </w:pPr>
            <w:r>
              <w:t>ID</w:t>
            </w:r>
          </w:p>
        </w:tc>
        <w:tc>
          <w:tcPr>
            <w:tcW w:w="3334" w:type="dxa"/>
            <w:vAlign w:val="center"/>
          </w:tcPr>
          <w:p w14:paraId="21D79FAC" w14:textId="77777777" w:rsidR="00DD13BF" w:rsidRPr="00347461" w:rsidRDefault="00DD13BF" w:rsidP="00355A56">
            <w:pPr>
              <w:pStyle w:val="TableParagraph"/>
              <w:rPr>
                <w:sz w:val="20"/>
              </w:rPr>
            </w:pPr>
            <w:r>
              <w:t>Indicators</w:t>
            </w:r>
          </w:p>
        </w:tc>
        <w:tc>
          <w:tcPr>
            <w:tcW w:w="1417" w:type="dxa"/>
            <w:vAlign w:val="center"/>
          </w:tcPr>
          <w:p w14:paraId="681549FF" w14:textId="77777777" w:rsidR="00DD13BF" w:rsidRPr="00347461" w:rsidRDefault="00DD13BF" w:rsidP="00355A56">
            <w:pPr>
              <w:pStyle w:val="TableParagraph"/>
              <w:rPr>
                <w:sz w:val="20"/>
              </w:rPr>
            </w:pPr>
            <w:r>
              <w:t>Measurement unit</w:t>
            </w:r>
          </w:p>
        </w:tc>
        <w:tc>
          <w:tcPr>
            <w:tcW w:w="1418" w:type="dxa"/>
            <w:vAlign w:val="center"/>
          </w:tcPr>
          <w:p w14:paraId="13C4A48A" w14:textId="77777777" w:rsidR="00DD13BF" w:rsidRPr="00347461" w:rsidRDefault="00DD13BF" w:rsidP="00355A56">
            <w:pPr>
              <w:pStyle w:val="TableParagraph"/>
              <w:rPr>
                <w:sz w:val="20"/>
              </w:rPr>
            </w:pPr>
            <w:r>
              <w:t>Milestone (2014)</w:t>
            </w:r>
          </w:p>
        </w:tc>
        <w:tc>
          <w:tcPr>
            <w:tcW w:w="1275" w:type="dxa"/>
            <w:vAlign w:val="center"/>
          </w:tcPr>
          <w:p w14:paraId="79E900FF" w14:textId="77777777" w:rsidR="00DD13BF" w:rsidRDefault="00DD13BF" w:rsidP="00355A56">
            <w:pPr>
              <w:pStyle w:val="TableParagraph"/>
            </w:pPr>
            <w:r>
              <w:t>Target (2029)</w:t>
            </w:r>
          </w:p>
        </w:tc>
      </w:tr>
      <w:tr w:rsidR="00DD13BF" w14:paraId="414B6E54" w14:textId="77777777" w:rsidTr="00355A56">
        <w:trPr>
          <w:trHeight w:val="367"/>
        </w:trPr>
        <w:tc>
          <w:tcPr>
            <w:tcW w:w="1834" w:type="dxa"/>
          </w:tcPr>
          <w:p w14:paraId="50446FE3" w14:textId="77777777" w:rsidR="00DD13BF" w:rsidRDefault="00DD13BF" w:rsidP="00355A56">
            <w:pPr>
              <w:pStyle w:val="TableParagraph"/>
              <w:rPr>
                <w:sz w:val="20"/>
              </w:rPr>
            </w:pPr>
            <w:r>
              <w:rPr>
                <w:sz w:val="20"/>
              </w:rPr>
              <w:t>7</w:t>
            </w:r>
          </w:p>
        </w:tc>
        <w:tc>
          <w:tcPr>
            <w:tcW w:w="1417" w:type="dxa"/>
          </w:tcPr>
          <w:p w14:paraId="6C854648" w14:textId="77777777" w:rsidR="00DD13BF" w:rsidRPr="00347461" w:rsidRDefault="00DD13BF" w:rsidP="00355A56">
            <w:pPr>
              <w:pStyle w:val="TableParagraph"/>
              <w:rPr>
                <w:sz w:val="20"/>
              </w:rPr>
            </w:pPr>
            <w:r>
              <w:rPr>
                <w:color w:val="000000"/>
                <w:sz w:val="20"/>
              </w:rPr>
              <w:t>RSO4.3</w:t>
            </w:r>
          </w:p>
        </w:tc>
        <w:tc>
          <w:tcPr>
            <w:tcW w:w="708" w:type="dxa"/>
          </w:tcPr>
          <w:p w14:paraId="4FE62ACC" w14:textId="77777777" w:rsidR="00DD13BF" w:rsidRDefault="00DD13BF" w:rsidP="00355A56">
            <w:pPr>
              <w:pStyle w:val="TableParagraph"/>
              <w:rPr>
                <w:sz w:val="20"/>
              </w:rPr>
            </w:pPr>
            <w:r>
              <w:rPr>
                <w:sz w:val="20"/>
              </w:rPr>
              <w:t>ERDF</w:t>
            </w:r>
          </w:p>
        </w:tc>
        <w:tc>
          <w:tcPr>
            <w:tcW w:w="1701" w:type="dxa"/>
          </w:tcPr>
          <w:p w14:paraId="4C04AAA7" w14:textId="77777777" w:rsidR="00DD13BF" w:rsidRDefault="00DD13BF" w:rsidP="00355A56">
            <w:pPr>
              <w:pStyle w:val="TableParagraph"/>
              <w:rPr>
                <w:sz w:val="20"/>
              </w:rPr>
            </w:pPr>
            <w:r>
              <w:rPr>
                <w:sz w:val="20"/>
              </w:rPr>
              <w:t>Less developed</w:t>
            </w:r>
          </w:p>
        </w:tc>
        <w:tc>
          <w:tcPr>
            <w:tcW w:w="778" w:type="dxa"/>
          </w:tcPr>
          <w:p w14:paraId="6A139AA3" w14:textId="77777777" w:rsidR="00DD13BF" w:rsidRPr="00347461" w:rsidRDefault="00DD13BF" w:rsidP="00355A56">
            <w:pPr>
              <w:pStyle w:val="TableParagraph"/>
              <w:rPr>
                <w:sz w:val="20"/>
              </w:rPr>
            </w:pPr>
            <w:r>
              <w:rPr>
                <w:sz w:val="20"/>
              </w:rPr>
              <w:t>13</w:t>
            </w:r>
          </w:p>
        </w:tc>
        <w:tc>
          <w:tcPr>
            <w:tcW w:w="3334" w:type="dxa"/>
          </w:tcPr>
          <w:p w14:paraId="0D20547B" w14:textId="77777777" w:rsidR="00DD13BF" w:rsidRPr="001A4442" w:rsidRDefault="00DD13BF" w:rsidP="00355A56">
            <w:pPr>
              <w:pStyle w:val="TableParagraph"/>
              <w:rPr>
                <w:sz w:val="20"/>
              </w:rPr>
            </w:pPr>
            <w:r>
              <w:rPr>
                <w:sz w:val="20"/>
              </w:rPr>
              <w:t>Number of units to be invested in</w:t>
            </w:r>
          </w:p>
        </w:tc>
        <w:tc>
          <w:tcPr>
            <w:tcW w:w="1417" w:type="dxa"/>
          </w:tcPr>
          <w:p w14:paraId="2C55B06D" w14:textId="77777777" w:rsidR="00DD13BF" w:rsidRPr="001A4442" w:rsidRDefault="00DD13BF" w:rsidP="00355A56">
            <w:pPr>
              <w:pStyle w:val="TableParagraph"/>
              <w:rPr>
                <w:sz w:val="20"/>
              </w:rPr>
            </w:pPr>
            <w:r>
              <w:rPr>
                <w:sz w:val="20"/>
              </w:rPr>
              <w:t>Units</w:t>
            </w:r>
          </w:p>
        </w:tc>
        <w:tc>
          <w:tcPr>
            <w:tcW w:w="1418" w:type="dxa"/>
          </w:tcPr>
          <w:p w14:paraId="6E5E12D9" w14:textId="77777777" w:rsidR="00DD13BF" w:rsidRPr="0005745E" w:rsidRDefault="00DD13BF" w:rsidP="00355A56">
            <w:pPr>
              <w:pStyle w:val="TableParagraph"/>
              <w:rPr>
                <w:sz w:val="20"/>
              </w:rPr>
            </w:pPr>
            <w:r>
              <w:rPr>
                <w:sz w:val="20"/>
              </w:rPr>
              <w:t>0</w:t>
            </w:r>
          </w:p>
        </w:tc>
        <w:tc>
          <w:tcPr>
            <w:tcW w:w="1275" w:type="dxa"/>
          </w:tcPr>
          <w:p w14:paraId="2A05F316" w14:textId="77777777" w:rsidR="00DD13BF" w:rsidRPr="0005745E" w:rsidRDefault="00DD13BF" w:rsidP="00355A56">
            <w:pPr>
              <w:pStyle w:val="TableParagraph"/>
              <w:rPr>
                <w:sz w:val="20"/>
              </w:rPr>
            </w:pPr>
            <w:r>
              <w:rPr>
                <w:sz w:val="20"/>
              </w:rPr>
              <w:t>50</w:t>
            </w:r>
          </w:p>
        </w:tc>
      </w:tr>
    </w:tbl>
    <w:p w14:paraId="05D47678" w14:textId="77777777" w:rsidR="00DD13BF" w:rsidRDefault="00DD13BF" w:rsidP="00DD13BF">
      <w:pPr>
        <w:rPr>
          <w:sz w:val="24"/>
        </w:rPr>
      </w:pPr>
    </w:p>
    <w:p w14:paraId="42D186ED" w14:textId="77777777" w:rsidR="00DD13BF" w:rsidRDefault="00DD13BF" w:rsidP="00DD13BF">
      <w:pPr>
        <w:ind w:left="379"/>
      </w:pPr>
      <w:r>
        <w:t>Table 3: Result indicators</w:t>
      </w:r>
    </w:p>
    <w:p w14:paraId="7B3207D0"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0"/>
        <w:gridCol w:w="1276"/>
        <w:gridCol w:w="696"/>
        <w:gridCol w:w="1572"/>
        <w:gridCol w:w="709"/>
        <w:gridCol w:w="2693"/>
        <w:gridCol w:w="850"/>
        <w:gridCol w:w="1134"/>
        <w:gridCol w:w="993"/>
        <w:gridCol w:w="708"/>
        <w:gridCol w:w="851"/>
        <w:gridCol w:w="850"/>
      </w:tblGrid>
      <w:tr w:rsidR="00DD13BF" w14:paraId="515BF55B" w14:textId="77777777" w:rsidTr="00355A56">
        <w:trPr>
          <w:trHeight w:val="353"/>
        </w:trPr>
        <w:tc>
          <w:tcPr>
            <w:tcW w:w="1550" w:type="dxa"/>
          </w:tcPr>
          <w:p w14:paraId="4962AEF9" w14:textId="77777777" w:rsidR="00DD13BF" w:rsidRPr="00347461" w:rsidRDefault="00DD13BF" w:rsidP="00355A56">
            <w:pPr>
              <w:pStyle w:val="TableParagraph"/>
              <w:rPr>
                <w:sz w:val="20"/>
              </w:rPr>
            </w:pPr>
            <w:r>
              <w:rPr>
                <w:sz w:val="20"/>
              </w:rPr>
              <w:t>Priority</w:t>
            </w:r>
          </w:p>
        </w:tc>
        <w:tc>
          <w:tcPr>
            <w:tcW w:w="1276" w:type="dxa"/>
          </w:tcPr>
          <w:p w14:paraId="69DF5C66" w14:textId="77777777" w:rsidR="00DD13BF" w:rsidRPr="00347461" w:rsidRDefault="00DD13BF" w:rsidP="00355A56">
            <w:pPr>
              <w:pStyle w:val="TableParagraph"/>
              <w:rPr>
                <w:sz w:val="20"/>
              </w:rPr>
            </w:pPr>
            <w:r>
              <w:rPr>
                <w:sz w:val="20"/>
              </w:rPr>
              <w:t>Specific objective</w:t>
            </w:r>
          </w:p>
        </w:tc>
        <w:tc>
          <w:tcPr>
            <w:tcW w:w="696" w:type="dxa"/>
          </w:tcPr>
          <w:p w14:paraId="38E89C02" w14:textId="77777777" w:rsidR="00DD13BF" w:rsidRPr="00347461" w:rsidRDefault="00DD13BF" w:rsidP="00355A56">
            <w:pPr>
              <w:pStyle w:val="TableParagraph"/>
              <w:rPr>
                <w:sz w:val="20"/>
              </w:rPr>
            </w:pPr>
            <w:r>
              <w:rPr>
                <w:sz w:val="20"/>
              </w:rPr>
              <w:t>Fund</w:t>
            </w:r>
          </w:p>
        </w:tc>
        <w:tc>
          <w:tcPr>
            <w:tcW w:w="1572" w:type="dxa"/>
          </w:tcPr>
          <w:p w14:paraId="4EB5C23B" w14:textId="77777777" w:rsidR="00DD13BF" w:rsidRPr="00347461" w:rsidRDefault="00DD13BF" w:rsidP="00355A56">
            <w:pPr>
              <w:pStyle w:val="TableParagraph"/>
              <w:rPr>
                <w:sz w:val="20"/>
              </w:rPr>
            </w:pPr>
            <w:r>
              <w:rPr>
                <w:sz w:val="20"/>
              </w:rPr>
              <w:t>Category of region</w:t>
            </w:r>
          </w:p>
        </w:tc>
        <w:tc>
          <w:tcPr>
            <w:tcW w:w="709" w:type="dxa"/>
          </w:tcPr>
          <w:p w14:paraId="2DE9328B" w14:textId="77777777" w:rsidR="00DD13BF" w:rsidRPr="00347461" w:rsidRDefault="00DD13BF" w:rsidP="00355A56">
            <w:pPr>
              <w:pStyle w:val="TableParagraph"/>
              <w:rPr>
                <w:sz w:val="20"/>
              </w:rPr>
            </w:pPr>
            <w:r>
              <w:rPr>
                <w:sz w:val="20"/>
              </w:rPr>
              <w:t>ID</w:t>
            </w:r>
          </w:p>
        </w:tc>
        <w:tc>
          <w:tcPr>
            <w:tcW w:w="2693" w:type="dxa"/>
          </w:tcPr>
          <w:p w14:paraId="6644C18E" w14:textId="77777777" w:rsidR="00DD13BF" w:rsidRPr="00347461" w:rsidRDefault="00DD13BF" w:rsidP="00355A56">
            <w:pPr>
              <w:pStyle w:val="TableParagraph"/>
              <w:rPr>
                <w:sz w:val="20"/>
              </w:rPr>
            </w:pPr>
            <w:r>
              <w:rPr>
                <w:sz w:val="20"/>
              </w:rPr>
              <w:t>Indicator</w:t>
            </w:r>
          </w:p>
        </w:tc>
        <w:tc>
          <w:tcPr>
            <w:tcW w:w="850" w:type="dxa"/>
          </w:tcPr>
          <w:p w14:paraId="76C2543A" w14:textId="77777777" w:rsidR="00DD13BF" w:rsidRPr="00347461" w:rsidRDefault="00DD13BF" w:rsidP="00355A56">
            <w:pPr>
              <w:pStyle w:val="TableParagraph"/>
              <w:rPr>
                <w:sz w:val="20"/>
              </w:rPr>
            </w:pPr>
            <w:r>
              <w:rPr>
                <w:sz w:val="20"/>
              </w:rPr>
              <w:t>Measurement unit</w:t>
            </w:r>
          </w:p>
        </w:tc>
        <w:tc>
          <w:tcPr>
            <w:tcW w:w="1134" w:type="dxa"/>
          </w:tcPr>
          <w:p w14:paraId="182627A3" w14:textId="77777777" w:rsidR="00DD13BF" w:rsidRPr="00347461" w:rsidRDefault="00DD13BF" w:rsidP="00355A56">
            <w:pPr>
              <w:pStyle w:val="TableParagraph"/>
              <w:rPr>
                <w:sz w:val="20"/>
              </w:rPr>
            </w:pPr>
            <w:r>
              <w:rPr>
                <w:sz w:val="20"/>
              </w:rPr>
              <w:t>Baseline or reference value</w:t>
            </w:r>
          </w:p>
        </w:tc>
        <w:tc>
          <w:tcPr>
            <w:tcW w:w="993" w:type="dxa"/>
          </w:tcPr>
          <w:p w14:paraId="0ACB67B8" w14:textId="77777777" w:rsidR="00DD13BF" w:rsidRPr="00347461" w:rsidRDefault="00DD13BF" w:rsidP="00355A56">
            <w:pPr>
              <w:pStyle w:val="TableParagraph"/>
              <w:rPr>
                <w:sz w:val="20"/>
              </w:rPr>
            </w:pPr>
            <w:r>
              <w:rPr>
                <w:sz w:val="20"/>
              </w:rPr>
              <w:t>Reference year</w:t>
            </w:r>
          </w:p>
        </w:tc>
        <w:tc>
          <w:tcPr>
            <w:tcW w:w="708" w:type="dxa"/>
          </w:tcPr>
          <w:p w14:paraId="3856A69B" w14:textId="77777777" w:rsidR="00DD13BF" w:rsidRPr="00347461" w:rsidRDefault="00DD13BF" w:rsidP="00355A56">
            <w:pPr>
              <w:pStyle w:val="TableParagraph"/>
              <w:rPr>
                <w:sz w:val="20"/>
              </w:rPr>
            </w:pPr>
            <w:r>
              <w:rPr>
                <w:sz w:val="20"/>
              </w:rPr>
              <w:t>Target (2029)</w:t>
            </w:r>
          </w:p>
        </w:tc>
        <w:tc>
          <w:tcPr>
            <w:tcW w:w="851" w:type="dxa"/>
          </w:tcPr>
          <w:p w14:paraId="6F425AF4" w14:textId="77777777" w:rsidR="00DD13BF" w:rsidRPr="00347461" w:rsidRDefault="00DD13BF" w:rsidP="00355A56">
            <w:pPr>
              <w:pStyle w:val="TableParagraph"/>
              <w:rPr>
                <w:sz w:val="20"/>
              </w:rPr>
            </w:pPr>
            <w:r>
              <w:rPr>
                <w:sz w:val="20"/>
              </w:rPr>
              <w:t>Source of data</w:t>
            </w:r>
          </w:p>
        </w:tc>
        <w:tc>
          <w:tcPr>
            <w:tcW w:w="850" w:type="dxa"/>
          </w:tcPr>
          <w:p w14:paraId="5FA829E4" w14:textId="77777777" w:rsidR="00DD13BF" w:rsidRPr="00347461" w:rsidRDefault="00DD13BF" w:rsidP="00355A56">
            <w:pPr>
              <w:pStyle w:val="TableParagraph"/>
              <w:rPr>
                <w:sz w:val="20"/>
              </w:rPr>
            </w:pPr>
            <w:r>
              <w:rPr>
                <w:sz w:val="20"/>
              </w:rPr>
              <w:t>Notes</w:t>
            </w:r>
          </w:p>
        </w:tc>
      </w:tr>
      <w:tr w:rsidR="00DD13BF" w14:paraId="1CD91403" w14:textId="77777777" w:rsidTr="00355A56">
        <w:trPr>
          <w:trHeight w:val="353"/>
        </w:trPr>
        <w:tc>
          <w:tcPr>
            <w:tcW w:w="1550" w:type="dxa"/>
          </w:tcPr>
          <w:p w14:paraId="4FE0829E" w14:textId="77777777" w:rsidR="00DD13BF" w:rsidRPr="00347461" w:rsidRDefault="00DD13BF" w:rsidP="00355A56">
            <w:pPr>
              <w:pStyle w:val="TableParagraph"/>
              <w:rPr>
                <w:sz w:val="20"/>
              </w:rPr>
            </w:pPr>
            <w:r>
              <w:rPr>
                <w:sz w:val="20"/>
              </w:rPr>
              <w:t>7</w:t>
            </w:r>
          </w:p>
        </w:tc>
        <w:tc>
          <w:tcPr>
            <w:tcW w:w="1276" w:type="dxa"/>
          </w:tcPr>
          <w:p w14:paraId="72FFCA14" w14:textId="77777777" w:rsidR="00DD13BF" w:rsidRPr="00347461" w:rsidRDefault="00DD13BF" w:rsidP="00355A56">
            <w:pPr>
              <w:pStyle w:val="TableParagraph"/>
              <w:rPr>
                <w:sz w:val="20"/>
              </w:rPr>
            </w:pPr>
            <w:r>
              <w:rPr>
                <w:color w:val="000000"/>
                <w:sz w:val="20"/>
              </w:rPr>
              <w:t>RSO4.3</w:t>
            </w:r>
          </w:p>
        </w:tc>
        <w:tc>
          <w:tcPr>
            <w:tcW w:w="696" w:type="dxa"/>
          </w:tcPr>
          <w:p w14:paraId="59F84392" w14:textId="77777777" w:rsidR="00DD13BF" w:rsidRPr="00347461" w:rsidRDefault="00DD13BF" w:rsidP="00355A56">
            <w:pPr>
              <w:pStyle w:val="TableParagraph"/>
              <w:rPr>
                <w:sz w:val="20"/>
              </w:rPr>
            </w:pPr>
            <w:r>
              <w:rPr>
                <w:sz w:val="20"/>
              </w:rPr>
              <w:t>ERDF</w:t>
            </w:r>
          </w:p>
        </w:tc>
        <w:tc>
          <w:tcPr>
            <w:tcW w:w="1572" w:type="dxa"/>
          </w:tcPr>
          <w:p w14:paraId="24451DDE" w14:textId="77777777" w:rsidR="00DD13BF" w:rsidRPr="00347461" w:rsidRDefault="00DD13BF" w:rsidP="00355A56">
            <w:pPr>
              <w:pStyle w:val="TableParagraph"/>
              <w:rPr>
                <w:sz w:val="20"/>
              </w:rPr>
            </w:pPr>
            <w:r>
              <w:rPr>
                <w:sz w:val="20"/>
              </w:rPr>
              <w:t>Less developed</w:t>
            </w:r>
          </w:p>
        </w:tc>
        <w:tc>
          <w:tcPr>
            <w:tcW w:w="709" w:type="dxa"/>
          </w:tcPr>
          <w:p w14:paraId="0A97A1B9" w14:textId="77777777" w:rsidR="00DD13BF" w:rsidRPr="00032174" w:rsidRDefault="00DD13BF" w:rsidP="00355A56">
            <w:pPr>
              <w:pStyle w:val="TableParagraph"/>
              <w:rPr>
                <w:sz w:val="20"/>
              </w:rPr>
            </w:pPr>
            <w:r>
              <w:rPr>
                <w:sz w:val="20"/>
              </w:rPr>
              <w:t>21</w:t>
            </w:r>
          </w:p>
        </w:tc>
        <w:tc>
          <w:tcPr>
            <w:tcW w:w="2693" w:type="dxa"/>
          </w:tcPr>
          <w:p w14:paraId="7623E209" w14:textId="77777777" w:rsidR="00DD13BF" w:rsidRPr="00032174" w:rsidRDefault="00DD13BF" w:rsidP="00355A56">
            <w:pPr>
              <w:pStyle w:val="TableParagraph"/>
              <w:rPr>
                <w:sz w:val="20"/>
              </w:rPr>
            </w:pPr>
            <w:r>
              <w:rPr>
                <w:sz w:val="20"/>
              </w:rPr>
              <w:t>Number of users per year using new units</w:t>
            </w:r>
          </w:p>
        </w:tc>
        <w:tc>
          <w:tcPr>
            <w:tcW w:w="850" w:type="dxa"/>
          </w:tcPr>
          <w:p w14:paraId="59A37D70" w14:textId="77777777" w:rsidR="00DD13BF" w:rsidRPr="006723D1" w:rsidRDefault="00DD13BF" w:rsidP="00355A56">
            <w:pPr>
              <w:pStyle w:val="TableParagraph"/>
              <w:rPr>
                <w:sz w:val="20"/>
              </w:rPr>
            </w:pPr>
            <w:r>
              <w:rPr>
                <w:sz w:val="20"/>
              </w:rPr>
              <w:t>Users/year</w:t>
            </w:r>
          </w:p>
        </w:tc>
        <w:tc>
          <w:tcPr>
            <w:tcW w:w="1134" w:type="dxa"/>
          </w:tcPr>
          <w:p w14:paraId="7010096D" w14:textId="77777777" w:rsidR="00DD13BF" w:rsidRPr="006723D1" w:rsidRDefault="00DD13BF" w:rsidP="00355A56">
            <w:pPr>
              <w:pStyle w:val="TableParagraph"/>
              <w:rPr>
                <w:sz w:val="20"/>
              </w:rPr>
            </w:pPr>
            <w:r>
              <w:rPr>
                <w:sz w:val="20"/>
              </w:rPr>
              <w:t>0</w:t>
            </w:r>
          </w:p>
        </w:tc>
        <w:tc>
          <w:tcPr>
            <w:tcW w:w="993" w:type="dxa"/>
          </w:tcPr>
          <w:p w14:paraId="32468F56" w14:textId="77777777" w:rsidR="00DD13BF" w:rsidRPr="006723D1" w:rsidRDefault="00DD13BF" w:rsidP="00355A56">
            <w:pPr>
              <w:pStyle w:val="TableParagraph"/>
              <w:rPr>
                <w:sz w:val="20"/>
              </w:rPr>
            </w:pPr>
            <w:r>
              <w:rPr>
                <w:sz w:val="20"/>
              </w:rPr>
              <w:t>2021</w:t>
            </w:r>
          </w:p>
        </w:tc>
        <w:tc>
          <w:tcPr>
            <w:tcW w:w="708" w:type="dxa"/>
          </w:tcPr>
          <w:p w14:paraId="57F5B014" w14:textId="77777777" w:rsidR="00DD13BF" w:rsidRPr="00347461" w:rsidRDefault="00DD13BF" w:rsidP="00355A56">
            <w:pPr>
              <w:pStyle w:val="TableParagraph"/>
              <w:rPr>
                <w:sz w:val="20"/>
              </w:rPr>
            </w:pPr>
            <w:r>
              <w:rPr>
                <w:sz w:val="20"/>
              </w:rPr>
              <w:t>2,386</w:t>
            </w:r>
          </w:p>
        </w:tc>
        <w:tc>
          <w:tcPr>
            <w:tcW w:w="851" w:type="dxa"/>
          </w:tcPr>
          <w:p w14:paraId="0770E74E" w14:textId="77777777" w:rsidR="00DD13BF" w:rsidRPr="00347461" w:rsidRDefault="00DD13BF" w:rsidP="00355A56">
            <w:pPr>
              <w:pStyle w:val="TableParagraph"/>
              <w:rPr>
                <w:sz w:val="20"/>
              </w:rPr>
            </w:pPr>
            <w:r>
              <w:rPr>
                <w:sz w:val="20"/>
              </w:rPr>
              <w:t>Beneficiary</w:t>
            </w:r>
          </w:p>
        </w:tc>
        <w:tc>
          <w:tcPr>
            <w:tcW w:w="850" w:type="dxa"/>
          </w:tcPr>
          <w:p w14:paraId="11664E5E" w14:textId="77777777" w:rsidR="00DD13BF" w:rsidRPr="00347461" w:rsidRDefault="00DD13BF" w:rsidP="00355A56">
            <w:pPr>
              <w:pStyle w:val="TableParagraph"/>
              <w:rPr>
                <w:sz w:val="20"/>
              </w:rPr>
            </w:pPr>
          </w:p>
        </w:tc>
      </w:tr>
    </w:tbl>
    <w:p w14:paraId="4EE182D7" w14:textId="77777777" w:rsidR="00DD13BF" w:rsidRPr="00F81084" w:rsidRDefault="00DD13BF" w:rsidP="00DD13BF">
      <w:pPr>
        <w:pStyle w:val="Telobesedila"/>
      </w:pPr>
    </w:p>
    <w:p w14:paraId="3C656472" w14:textId="77777777" w:rsidR="00DD13BF" w:rsidRPr="00F81084" w:rsidRDefault="00DD13BF" w:rsidP="00DD13BF">
      <w:pPr>
        <w:pStyle w:val="Telobesedila"/>
      </w:pPr>
    </w:p>
    <w:p w14:paraId="18CB4A4D" w14:textId="77777777" w:rsidR="00DD13BF" w:rsidRDefault="00DD13BF" w:rsidP="00DD13BF">
      <w:pPr>
        <w:pStyle w:val="Naslov5"/>
        <w:numPr>
          <w:ilvl w:val="4"/>
          <w:numId w:val="16"/>
        </w:numPr>
        <w:spacing w:before="0"/>
      </w:pPr>
      <w:r>
        <w:lastRenderedPageBreak/>
        <w:t>Indicative breakdown of the programme resources (EU) by type of intervention</w:t>
      </w:r>
    </w:p>
    <w:p w14:paraId="49EE1A21" w14:textId="77777777" w:rsidR="00DD13BF" w:rsidRDefault="00DD13BF" w:rsidP="00DD13BF">
      <w:pPr>
        <w:ind w:left="640"/>
        <w:rPr>
          <w:spacing w:val="-5"/>
        </w:rPr>
      </w:pPr>
    </w:p>
    <w:p w14:paraId="4E6D39A1" w14:textId="77777777" w:rsidR="00DD13BF" w:rsidRPr="00673ADB" w:rsidRDefault="00DD13BF" w:rsidP="00DD13BF">
      <w:pPr>
        <w:spacing w:before="89"/>
        <w:ind w:left="339"/>
        <w:rPr>
          <w:spacing w:val="-7"/>
        </w:rPr>
      </w:pPr>
      <w:r>
        <w:t>Table 4: Dimension 1 – intervention field</w:t>
      </w:r>
    </w:p>
    <w:p w14:paraId="4F48C6EE" w14:textId="77777777" w:rsidR="00DD13BF" w:rsidRDefault="00DD13BF" w:rsidP="00DD13BF">
      <w:pPr>
        <w:spacing w:before="8" w:after="1"/>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34B4213" w14:textId="77777777" w:rsidTr="00355A56">
        <w:trPr>
          <w:trHeight w:val="353"/>
        </w:trPr>
        <w:tc>
          <w:tcPr>
            <w:tcW w:w="2088" w:type="dxa"/>
          </w:tcPr>
          <w:p w14:paraId="36047273" w14:textId="77777777" w:rsidR="00DD13BF" w:rsidRDefault="00DD13BF" w:rsidP="00355A56">
            <w:pPr>
              <w:pStyle w:val="TableParagraph"/>
              <w:spacing w:before="39"/>
              <w:ind w:left="115"/>
            </w:pPr>
            <w:r>
              <w:t>Priority no.</w:t>
            </w:r>
          </w:p>
        </w:tc>
        <w:tc>
          <w:tcPr>
            <w:tcW w:w="1133" w:type="dxa"/>
          </w:tcPr>
          <w:p w14:paraId="63A78562" w14:textId="77777777" w:rsidR="00DD13BF" w:rsidRDefault="00DD13BF" w:rsidP="00355A56">
            <w:pPr>
              <w:pStyle w:val="TableParagraph"/>
              <w:spacing w:before="39"/>
              <w:ind w:left="320"/>
            </w:pPr>
            <w:r>
              <w:t>Fund</w:t>
            </w:r>
          </w:p>
        </w:tc>
        <w:tc>
          <w:tcPr>
            <w:tcW w:w="3249" w:type="dxa"/>
          </w:tcPr>
          <w:p w14:paraId="2CB4F81D" w14:textId="77777777" w:rsidR="00DD13BF" w:rsidRDefault="00DD13BF" w:rsidP="00355A56">
            <w:pPr>
              <w:pStyle w:val="TableParagraph"/>
              <w:spacing w:before="39"/>
              <w:ind w:left="907"/>
            </w:pPr>
            <w:r>
              <w:t>Category of region</w:t>
            </w:r>
          </w:p>
        </w:tc>
        <w:tc>
          <w:tcPr>
            <w:tcW w:w="3099" w:type="dxa"/>
          </w:tcPr>
          <w:p w14:paraId="359F3F83" w14:textId="77777777" w:rsidR="00DD13BF" w:rsidRDefault="00DD13BF" w:rsidP="00355A56">
            <w:pPr>
              <w:pStyle w:val="TableParagraph"/>
              <w:spacing w:before="39"/>
              <w:ind w:left="948"/>
            </w:pPr>
            <w:r>
              <w:t>Specific objective</w:t>
            </w:r>
          </w:p>
        </w:tc>
        <w:tc>
          <w:tcPr>
            <w:tcW w:w="1161" w:type="dxa"/>
          </w:tcPr>
          <w:p w14:paraId="3954494D" w14:textId="77777777" w:rsidR="00DD13BF" w:rsidRDefault="00DD13BF" w:rsidP="00355A56">
            <w:pPr>
              <w:pStyle w:val="TableParagraph"/>
              <w:spacing w:before="39"/>
              <w:ind w:left="333"/>
            </w:pPr>
            <w:r>
              <w:t>Code</w:t>
            </w:r>
          </w:p>
        </w:tc>
        <w:tc>
          <w:tcPr>
            <w:tcW w:w="2731" w:type="dxa"/>
          </w:tcPr>
          <w:p w14:paraId="718CD81A" w14:textId="77777777" w:rsidR="00DD13BF" w:rsidRDefault="00DD13BF" w:rsidP="00355A56">
            <w:pPr>
              <w:pStyle w:val="TableParagraph"/>
              <w:spacing w:before="39"/>
              <w:ind w:left="660"/>
            </w:pPr>
            <w:r>
              <w:t>Amount (in EUR)</w:t>
            </w:r>
          </w:p>
        </w:tc>
      </w:tr>
      <w:tr w:rsidR="00DD13BF" w14:paraId="1E942259" w14:textId="77777777" w:rsidTr="00355A56">
        <w:trPr>
          <w:trHeight w:val="353"/>
        </w:trPr>
        <w:tc>
          <w:tcPr>
            <w:tcW w:w="2088" w:type="dxa"/>
          </w:tcPr>
          <w:p w14:paraId="3932AAA5" w14:textId="77777777" w:rsidR="00DD13BF" w:rsidRDefault="00DD13BF" w:rsidP="00355A56">
            <w:pPr>
              <w:pStyle w:val="TableParagraph"/>
              <w:rPr>
                <w:sz w:val="20"/>
              </w:rPr>
            </w:pPr>
            <w:r>
              <w:rPr>
                <w:sz w:val="20"/>
              </w:rPr>
              <w:t>7</w:t>
            </w:r>
          </w:p>
        </w:tc>
        <w:tc>
          <w:tcPr>
            <w:tcW w:w="1133" w:type="dxa"/>
          </w:tcPr>
          <w:p w14:paraId="67C94A50" w14:textId="77777777" w:rsidR="00DD13BF" w:rsidRDefault="00DD13BF" w:rsidP="00355A56">
            <w:pPr>
              <w:pStyle w:val="TableParagraph"/>
              <w:rPr>
                <w:sz w:val="20"/>
              </w:rPr>
            </w:pPr>
            <w:r>
              <w:rPr>
                <w:sz w:val="20"/>
              </w:rPr>
              <w:t>ERDF</w:t>
            </w:r>
          </w:p>
        </w:tc>
        <w:tc>
          <w:tcPr>
            <w:tcW w:w="3249" w:type="dxa"/>
          </w:tcPr>
          <w:p w14:paraId="3034DF1E" w14:textId="77777777" w:rsidR="00DD13BF" w:rsidRDefault="00DD13BF" w:rsidP="00355A56">
            <w:pPr>
              <w:pStyle w:val="TableParagraph"/>
              <w:rPr>
                <w:sz w:val="20"/>
              </w:rPr>
            </w:pPr>
            <w:r>
              <w:rPr>
                <w:sz w:val="20"/>
              </w:rPr>
              <w:t>Less developed</w:t>
            </w:r>
          </w:p>
        </w:tc>
        <w:tc>
          <w:tcPr>
            <w:tcW w:w="3099" w:type="dxa"/>
          </w:tcPr>
          <w:p w14:paraId="776045A1" w14:textId="77777777" w:rsidR="00DD13BF" w:rsidRDefault="00DD13BF" w:rsidP="00355A56">
            <w:pPr>
              <w:pStyle w:val="TableParagraph"/>
              <w:rPr>
                <w:sz w:val="20"/>
              </w:rPr>
            </w:pPr>
            <w:r>
              <w:rPr>
                <w:color w:val="000000"/>
                <w:sz w:val="20"/>
              </w:rPr>
              <w:t>RSO4.3</w:t>
            </w:r>
          </w:p>
        </w:tc>
        <w:tc>
          <w:tcPr>
            <w:tcW w:w="1161" w:type="dxa"/>
          </w:tcPr>
          <w:p w14:paraId="435C397C" w14:textId="77777777" w:rsidR="00DD13BF" w:rsidRDefault="00DD13BF" w:rsidP="00355A56">
            <w:pPr>
              <w:pStyle w:val="TableParagraph"/>
              <w:rPr>
                <w:sz w:val="20"/>
              </w:rPr>
            </w:pPr>
            <w:r>
              <w:rPr>
                <w:sz w:val="20"/>
              </w:rPr>
              <w:t>127</w:t>
            </w:r>
          </w:p>
        </w:tc>
        <w:tc>
          <w:tcPr>
            <w:tcW w:w="2731" w:type="dxa"/>
          </w:tcPr>
          <w:p w14:paraId="44161799" w14:textId="77777777" w:rsidR="00DD13BF" w:rsidRDefault="00DD13BF" w:rsidP="00355A56">
            <w:pPr>
              <w:pStyle w:val="TableParagraph"/>
              <w:rPr>
                <w:sz w:val="20"/>
              </w:rPr>
            </w:pPr>
            <w:r>
              <w:rPr>
                <w:sz w:val="20"/>
              </w:rPr>
              <w:t>18,650,000</w:t>
            </w:r>
          </w:p>
        </w:tc>
      </w:tr>
    </w:tbl>
    <w:p w14:paraId="33F67B09" w14:textId="77777777" w:rsidR="00DD13BF" w:rsidRDefault="00DD13BF" w:rsidP="00DD13BF"/>
    <w:p w14:paraId="11DAE5C8" w14:textId="77777777" w:rsidR="00DD13BF" w:rsidRPr="00673ADB" w:rsidRDefault="00DD13BF" w:rsidP="00DD13BF">
      <w:pPr>
        <w:spacing w:before="89"/>
        <w:ind w:left="339"/>
        <w:rPr>
          <w:spacing w:val="-7"/>
        </w:rPr>
      </w:pPr>
      <w:r>
        <w:t>Table 5: Dimension 2 – form of financing</w:t>
      </w:r>
    </w:p>
    <w:p w14:paraId="15ADF782" w14:textId="77777777" w:rsidR="00DD13BF" w:rsidRDefault="00DD13BF" w:rsidP="00DD13BF">
      <w:pPr>
        <w:spacing w:before="9" w:after="1"/>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F44FE04" w14:textId="77777777" w:rsidTr="00355A56">
        <w:trPr>
          <w:trHeight w:val="353"/>
        </w:trPr>
        <w:tc>
          <w:tcPr>
            <w:tcW w:w="2088" w:type="dxa"/>
          </w:tcPr>
          <w:p w14:paraId="4DFD0580" w14:textId="77777777" w:rsidR="00DD13BF" w:rsidRDefault="00DD13BF" w:rsidP="00355A56">
            <w:pPr>
              <w:pStyle w:val="TableParagraph"/>
              <w:spacing w:before="39"/>
              <w:ind w:left="115"/>
            </w:pPr>
            <w:r>
              <w:t>Priority no.</w:t>
            </w:r>
          </w:p>
        </w:tc>
        <w:tc>
          <w:tcPr>
            <w:tcW w:w="1133" w:type="dxa"/>
          </w:tcPr>
          <w:p w14:paraId="7EC8E014" w14:textId="77777777" w:rsidR="00DD13BF" w:rsidRDefault="00DD13BF" w:rsidP="00355A56">
            <w:pPr>
              <w:pStyle w:val="TableParagraph"/>
              <w:spacing w:before="39"/>
              <w:ind w:left="320"/>
            </w:pPr>
            <w:r>
              <w:t>Fund</w:t>
            </w:r>
          </w:p>
        </w:tc>
        <w:tc>
          <w:tcPr>
            <w:tcW w:w="3249" w:type="dxa"/>
          </w:tcPr>
          <w:p w14:paraId="7B4964A2" w14:textId="77777777" w:rsidR="00DD13BF" w:rsidRDefault="00DD13BF" w:rsidP="00355A56">
            <w:pPr>
              <w:pStyle w:val="TableParagraph"/>
              <w:spacing w:before="39"/>
              <w:ind w:left="907"/>
            </w:pPr>
            <w:r>
              <w:t>Category of region</w:t>
            </w:r>
          </w:p>
        </w:tc>
        <w:tc>
          <w:tcPr>
            <w:tcW w:w="3099" w:type="dxa"/>
          </w:tcPr>
          <w:p w14:paraId="49A6A758" w14:textId="77777777" w:rsidR="00DD13BF" w:rsidRDefault="00DD13BF" w:rsidP="00355A56">
            <w:pPr>
              <w:pStyle w:val="TableParagraph"/>
              <w:spacing w:before="39"/>
              <w:ind w:left="948"/>
            </w:pPr>
            <w:r>
              <w:t>Specific objective</w:t>
            </w:r>
          </w:p>
        </w:tc>
        <w:tc>
          <w:tcPr>
            <w:tcW w:w="1161" w:type="dxa"/>
          </w:tcPr>
          <w:p w14:paraId="196EA4A0" w14:textId="77777777" w:rsidR="00DD13BF" w:rsidRDefault="00DD13BF" w:rsidP="00355A56">
            <w:pPr>
              <w:pStyle w:val="TableParagraph"/>
              <w:spacing w:before="39"/>
              <w:ind w:left="334"/>
            </w:pPr>
            <w:r>
              <w:t>Code</w:t>
            </w:r>
          </w:p>
        </w:tc>
        <w:tc>
          <w:tcPr>
            <w:tcW w:w="2731" w:type="dxa"/>
          </w:tcPr>
          <w:p w14:paraId="44AE56CE" w14:textId="77777777" w:rsidR="00DD13BF" w:rsidRDefault="00DD13BF" w:rsidP="00355A56">
            <w:pPr>
              <w:pStyle w:val="TableParagraph"/>
              <w:spacing w:before="39"/>
              <w:ind w:left="661"/>
            </w:pPr>
            <w:r>
              <w:t>Amount (in EUR)</w:t>
            </w:r>
          </w:p>
        </w:tc>
      </w:tr>
      <w:tr w:rsidR="00DD13BF" w14:paraId="0A37FF11" w14:textId="77777777" w:rsidTr="00355A56">
        <w:trPr>
          <w:trHeight w:val="353"/>
        </w:trPr>
        <w:tc>
          <w:tcPr>
            <w:tcW w:w="2088" w:type="dxa"/>
          </w:tcPr>
          <w:p w14:paraId="44D1CFD8" w14:textId="77777777" w:rsidR="00DD13BF" w:rsidRDefault="00DD13BF" w:rsidP="00355A56">
            <w:pPr>
              <w:pStyle w:val="TableParagraph"/>
              <w:rPr>
                <w:sz w:val="20"/>
              </w:rPr>
            </w:pPr>
            <w:r>
              <w:rPr>
                <w:sz w:val="20"/>
              </w:rPr>
              <w:t>7</w:t>
            </w:r>
          </w:p>
        </w:tc>
        <w:tc>
          <w:tcPr>
            <w:tcW w:w="1133" w:type="dxa"/>
          </w:tcPr>
          <w:p w14:paraId="401F7CFE" w14:textId="77777777" w:rsidR="00DD13BF" w:rsidRDefault="00DD13BF" w:rsidP="00355A56">
            <w:pPr>
              <w:pStyle w:val="TableParagraph"/>
              <w:rPr>
                <w:sz w:val="20"/>
              </w:rPr>
            </w:pPr>
            <w:r>
              <w:rPr>
                <w:sz w:val="20"/>
              </w:rPr>
              <w:t>ERDF</w:t>
            </w:r>
          </w:p>
        </w:tc>
        <w:tc>
          <w:tcPr>
            <w:tcW w:w="3249" w:type="dxa"/>
          </w:tcPr>
          <w:p w14:paraId="130AE8DA" w14:textId="77777777" w:rsidR="00DD13BF" w:rsidRDefault="00DD13BF" w:rsidP="00355A56">
            <w:pPr>
              <w:pStyle w:val="TableParagraph"/>
              <w:rPr>
                <w:sz w:val="20"/>
              </w:rPr>
            </w:pPr>
            <w:r>
              <w:rPr>
                <w:sz w:val="20"/>
              </w:rPr>
              <w:t>Less developed</w:t>
            </w:r>
          </w:p>
        </w:tc>
        <w:tc>
          <w:tcPr>
            <w:tcW w:w="3099" w:type="dxa"/>
          </w:tcPr>
          <w:p w14:paraId="2493BF1A" w14:textId="77777777" w:rsidR="00DD13BF" w:rsidRDefault="00DD13BF" w:rsidP="00355A56">
            <w:pPr>
              <w:pStyle w:val="TableParagraph"/>
              <w:rPr>
                <w:sz w:val="20"/>
              </w:rPr>
            </w:pPr>
            <w:r>
              <w:rPr>
                <w:color w:val="000000"/>
                <w:sz w:val="20"/>
              </w:rPr>
              <w:t>RSO4.3</w:t>
            </w:r>
          </w:p>
        </w:tc>
        <w:tc>
          <w:tcPr>
            <w:tcW w:w="1161" w:type="dxa"/>
          </w:tcPr>
          <w:p w14:paraId="5316FBFF" w14:textId="77777777" w:rsidR="00DD13BF" w:rsidRDefault="00DD13BF" w:rsidP="00355A56">
            <w:pPr>
              <w:pStyle w:val="TableParagraph"/>
              <w:rPr>
                <w:sz w:val="20"/>
              </w:rPr>
            </w:pPr>
            <w:r>
              <w:rPr>
                <w:sz w:val="20"/>
              </w:rPr>
              <w:t>01</w:t>
            </w:r>
          </w:p>
        </w:tc>
        <w:tc>
          <w:tcPr>
            <w:tcW w:w="2731" w:type="dxa"/>
          </w:tcPr>
          <w:p w14:paraId="33CE3E47" w14:textId="77777777" w:rsidR="00DD13BF" w:rsidRDefault="00DD13BF" w:rsidP="00355A56">
            <w:pPr>
              <w:pStyle w:val="TableParagraph"/>
              <w:rPr>
                <w:sz w:val="20"/>
              </w:rPr>
            </w:pPr>
            <w:r>
              <w:rPr>
                <w:sz w:val="20"/>
              </w:rPr>
              <w:t>18,650,000</w:t>
            </w:r>
          </w:p>
        </w:tc>
      </w:tr>
    </w:tbl>
    <w:p w14:paraId="2140D76A" w14:textId="77777777" w:rsidR="00DD13BF" w:rsidRDefault="00DD13BF" w:rsidP="00DD13BF">
      <w:pPr>
        <w:rPr>
          <w:sz w:val="20"/>
        </w:rPr>
        <w:sectPr w:rsidR="00DD13BF" w:rsidSect="00BD3536">
          <w:headerReference w:type="default" r:id="rId87"/>
          <w:footerReference w:type="first" r:id="rId88"/>
          <w:type w:val="continuous"/>
          <w:pgSz w:w="16840" w:h="11910" w:orient="landscape"/>
          <w:pgMar w:top="1417" w:right="1417" w:bottom="1417" w:left="1417" w:header="708" w:footer="708" w:gutter="0"/>
          <w:cols w:space="708"/>
          <w:titlePg/>
          <w:docGrid w:linePitch="299"/>
        </w:sectPr>
      </w:pPr>
    </w:p>
    <w:p w14:paraId="4F94C5BD" w14:textId="77777777" w:rsidR="00DD13BF" w:rsidRDefault="00DD13BF" w:rsidP="00DD13BF">
      <w:pPr>
        <w:spacing w:before="89"/>
        <w:ind w:left="339"/>
      </w:pPr>
      <w:r>
        <w:t>Table 6: Dimension 3 – territorial delivery mechanism and territorial focus</w:t>
      </w:r>
    </w:p>
    <w:p w14:paraId="1972C166"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80358E8" w14:textId="77777777" w:rsidTr="00355A56">
        <w:trPr>
          <w:trHeight w:val="353"/>
        </w:trPr>
        <w:tc>
          <w:tcPr>
            <w:tcW w:w="2088" w:type="dxa"/>
          </w:tcPr>
          <w:p w14:paraId="62722272" w14:textId="77777777" w:rsidR="00DD13BF" w:rsidRDefault="00DD13BF" w:rsidP="00355A56">
            <w:pPr>
              <w:pStyle w:val="TableParagraph"/>
              <w:spacing w:before="39"/>
              <w:ind w:left="115"/>
            </w:pPr>
            <w:r>
              <w:t>Priority no.</w:t>
            </w:r>
          </w:p>
        </w:tc>
        <w:tc>
          <w:tcPr>
            <w:tcW w:w="1132" w:type="dxa"/>
          </w:tcPr>
          <w:p w14:paraId="4FA058B0" w14:textId="77777777" w:rsidR="00DD13BF" w:rsidRDefault="00DD13BF" w:rsidP="00355A56">
            <w:pPr>
              <w:pStyle w:val="TableParagraph"/>
              <w:spacing w:before="39"/>
              <w:ind w:left="320"/>
            </w:pPr>
            <w:r>
              <w:t>Fund</w:t>
            </w:r>
          </w:p>
        </w:tc>
        <w:tc>
          <w:tcPr>
            <w:tcW w:w="3248" w:type="dxa"/>
          </w:tcPr>
          <w:p w14:paraId="557739A5" w14:textId="77777777" w:rsidR="00DD13BF" w:rsidRDefault="00DD13BF" w:rsidP="00355A56">
            <w:pPr>
              <w:pStyle w:val="TableParagraph"/>
              <w:spacing w:before="39"/>
              <w:ind w:left="908"/>
            </w:pPr>
            <w:r>
              <w:t>Category of region</w:t>
            </w:r>
          </w:p>
        </w:tc>
        <w:tc>
          <w:tcPr>
            <w:tcW w:w="3098" w:type="dxa"/>
          </w:tcPr>
          <w:p w14:paraId="59EB4362" w14:textId="77777777" w:rsidR="00DD13BF" w:rsidRDefault="00DD13BF" w:rsidP="00355A56">
            <w:pPr>
              <w:pStyle w:val="TableParagraph"/>
              <w:spacing w:before="39"/>
              <w:ind w:left="950"/>
            </w:pPr>
            <w:r>
              <w:t>Specific objective</w:t>
            </w:r>
          </w:p>
        </w:tc>
        <w:tc>
          <w:tcPr>
            <w:tcW w:w="1160" w:type="dxa"/>
          </w:tcPr>
          <w:p w14:paraId="3184FBA4" w14:textId="77777777" w:rsidR="00DD13BF" w:rsidRDefault="00DD13BF" w:rsidP="00355A56">
            <w:pPr>
              <w:pStyle w:val="TableParagraph"/>
              <w:spacing w:before="39"/>
              <w:ind w:left="336"/>
            </w:pPr>
            <w:r>
              <w:t>Code</w:t>
            </w:r>
          </w:p>
        </w:tc>
        <w:tc>
          <w:tcPr>
            <w:tcW w:w="2730" w:type="dxa"/>
          </w:tcPr>
          <w:p w14:paraId="55B691C7" w14:textId="77777777" w:rsidR="00DD13BF" w:rsidRDefault="00DD13BF" w:rsidP="00355A56">
            <w:pPr>
              <w:pStyle w:val="TableParagraph"/>
              <w:spacing w:before="39"/>
              <w:ind w:left="664"/>
            </w:pPr>
            <w:r>
              <w:t>Amount (in EUR)</w:t>
            </w:r>
          </w:p>
        </w:tc>
      </w:tr>
      <w:tr w:rsidR="00DD13BF" w14:paraId="3C88F46D" w14:textId="77777777" w:rsidTr="00355A56">
        <w:trPr>
          <w:trHeight w:val="353"/>
        </w:trPr>
        <w:tc>
          <w:tcPr>
            <w:tcW w:w="2088" w:type="dxa"/>
          </w:tcPr>
          <w:p w14:paraId="13769F6A" w14:textId="77777777" w:rsidR="00DD13BF" w:rsidRDefault="00DD13BF" w:rsidP="00355A56">
            <w:pPr>
              <w:pStyle w:val="TableParagraph"/>
              <w:rPr>
                <w:sz w:val="20"/>
              </w:rPr>
            </w:pPr>
            <w:r>
              <w:rPr>
                <w:sz w:val="20"/>
              </w:rPr>
              <w:t>7</w:t>
            </w:r>
          </w:p>
        </w:tc>
        <w:tc>
          <w:tcPr>
            <w:tcW w:w="1132" w:type="dxa"/>
          </w:tcPr>
          <w:p w14:paraId="48CE64E6" w14:textId="77777777" w:rsidR="00DD13BF" w:rsidRDefault="00DD13BF" w:rsidP="00355A56">
            <w:pPr>
              <w:pStyle w:val="TableParagraph"/>
              <w:rPr>
                <w:sz w:val="20"/>
              </w:rPr>
            </w:pPr>
            <w:r>
              <w:rPr>
                <w:sz w:val="20"/>
              </w:rPr>
              <w:t>ERDF</w:t>
            </w:r>
          </w:p>
        </w:tc>
        <w:tc>
          <w:tcPr>
            <w:tcW w:w="3248" w:type="dxa"/>
          </w:tcPr>
          <w:p w14:paraId="310198A8" w14:textId="77777777" w:rsidR="00DD13BF" w:rsidRDefault="00DD13BF" w:rsidP="00355A56">
            <w:pPr>
              <w:pStyle w:val="TableParagraph"/>
              <w:rPr>
                <w:sz w:val="20"/>
              </w:rPr>
            </w:pPr>
            <w:r>
              <w:rPr>
                <w:sz w:val="20"/>
              </w:rPr>
              <w:t>Less developed</w:t>
            </w:r>
          </w:p>
        </w:tc>
        <w:tc>
          <w:tcPr>
            <w:tcW w:w="3098" w:type="dxa"/>
          </w:tcPr>
          <w:p w14:paraId="254A3B5A" w14:textId="77777777" w:rsidR="00DD13BF" w:rsidRDefault="00DD13BF" w:rsidP="00355A56">
            <w:pPr>
              <w:pStyle w:val="TableParagraph"/>
              <w:rPr>
                <w:sz w:val="20"/>
              </w:rPr>
            </w:pPr>
            <w:r>
              <w:rPr>
                <w:color w:val="000000"/>
                <w:sz w:val="20"/>
              </w:rPr>
              <w:t>RSO4.3</w:t>
            </w:r>
          </w:p>
        </w:tc>
        <w:tc>
          <w:tcPr>
            <w:tcW w:w="1160" w:type="dxa"/>
          </w:tcPr>
          <w:p w14:paraId="2BD3A8C3" w14:textId="77777777" w:rsidR="00DD13BF" w:rsidRDefault="00DD13BF" w:rsidP="00355A56">
            <w:pPr>
              <w:pStyle w:val="TableParagraph"/>
              <w:rPr>
                <w:sz w:val="20"/>
              </w:rPr>
            </w:pPr>
            <w:r>
              <w:rPr>
                <w:sz w:val="20"/>
              </w:rPr>
              <w:t>33</w:t>
            </w:r>
          </w:p>
        </w:tc>
        <w:tc>
          <w:tcPr>
            <w:tcW w:w="2730" w:type="dxa"/>
          </w:tcPr>
          <w:p w14:paraId="71FE1C1A" w14:textId="77777777" w:rsidR="00DD13BF" w:rsidRDefault="00DD13BF" w:rsidP="00355A56">
            <w:pPr>
              <w:pStyle w:val="TableParagraph"/>
              <w:rPr>
                <w:sz w:val="20"/>
              </w:rPr>
            </w:pPr>
            <w:r>
              <w:rPr>
                <w:sz w:val="20"/>
              </w:rPr>
              <w:t>18,650,000</w:t>
            </w:r>
          </w:p>
        </w:tc>
      </w:tr>
    </w:tbl>
    <w:p w14:paraId="6D15D17C" w14:textId="77777777" w:rsidR="00DD13BF" w:rsidRDefault="00DD13BF" w:rsidP="00DD13BF"/>
    <w:p w14:paraId="791284B8" w14:textId="77777777" w:rsidR="00DD13BF" w:rsidRDefault="00DD13BF" w:rsidP="00DD13BF">
      <w:pPr>
        <w:ind w:left="339"/>
      </w:pPr>
      <w:r>
        <w:t>Table 7: Dimension 6 – ESF+ secondary themes</w:t>
      </w:r>
    </w:p>
    <w:p w14:paraId="567A7EA7"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5B2F5E5C" w14:textId="77777777" w:rsidTr="00355A56">
        <w:trPr>
          <w:trHeight w:val="353"/>
        </w:trPr>
        <w:tc>
          <w:tcPr>
            <w:tcW w:w="2088" w:type="dxa"/>
          </w:tcPr>
          <w:p w14:paraId="3459B797" w14:textId="77777777" w:rsidR="00DD13BF" w:rsidRDefault="00DD13BF" w:rsidP="00355A56">
            <w:pPr>
              <w:pStyle w:val="TableParagraph"/>
              <w:spacing w:before="40"/>
              <w:ind w:left="115"/>
            </w:pPr>
            <w:r>
              <w:t>Priority no.</w:t>
            </w:r>
          </w:p>
        </w:tc>
        <w:tc>
          <w:tcPr>
            <w:tcW w:w="1132" w:type="dxa"/>
          </w:tcPr>
          <w:p w14:paraId="70E4FD69" w14:textId="77777777" w:rsidR="00DD13BF" w:rsidRDefault="00DD13BF" w:rsidP="00355A56">
            <w:pPr>
              <w:pStyle w:val="TableParagraph"/>
              <w:spacing w:before="40"/>
              <w:ind w:left="321"/>
            </w:pPr>
            <w:r>
              <w:t>Fund</w:t>
            </w:r>
          </w:p>
        </w:tc>
        <w:tc>
          <w:tcPr>
            <w:tcW w:w="3248" w:type="dxa"/>
          </w:tcPr>
          <w:p w14:paraId="1BDA9205" w14:textId="77777777" w:rsidR="00DD13BF" w:rsidRDefault="00DD13BF" w:rsidP="00355A56">
            <w:pPr>
              <w:pStyle w:val="TableParagraph"/>
              <w:spacing w:before="40"/>
              <w:ind w:left="909"/>
            </w:pPr>
            <w:r>
              <w:t>Category of region</w:t>
            </w:r>
          </w:p>
        </w:tc>
        <w:tc>
          <w:tcPr>
            <w:tcW w:w="3098" w:type="dxa"/>
          </w:tcPr>
          <w:p w14:paraId="2B207A72" w14:textId="77777777" w:rsidR="00DD13BF" w:rsidRDefault="00DD13BF" w:rsidP="00355A56">
            <w:pPr>
              <w:pStyle w:val="TableParagraph"/>
              <w:spacing w:before="40"/>
              <w:ind w:left="950"/>
            </w:pPr>
            <w:r>
              <w:t>Specific objective</w:t>
            </w:r>
          </w:p>
        </w:tc>
        <w:tc>
          <w:tcPr>
            <w:tcW w:w="1160" w:type="dxa"/>
          </w:tcPr>
          <w:p w14:paraId="18063CD6" w14:textId="77777777" w:rsidR="00DD13BF" w:rsidRDefault="00DD13BF" w:rsidP="00355A56">
            <w:pPr>
              <w:pStyle w:val="TableParagraph"/>
              <w:spacing w:before="40"/>
              <w:ind w:left="337"/>
            </w:pPr>
            <w:r>
              <w:t>Code</w:t>
            </w:r>
          </w:p>
        </w:tc>
        <w:tc>
          <w:tcPr>
            <w:tcW w:w="2730" w:type="dxa"/>
          </w:tcPr>
          <w:p w14:paraId="425893EA" w14:textId="77777777" w:rsidR="00DD13BF" w:rsidRDefault="00DD13BF" w:rsidP="00355A56">
            <w:pPr>
              <w:pStyle w:val="TableParagraph"/>
              <w:spacing w:before="40"/>
              <w:ind w:left="665"/>
            </w:pPr>
            <w:r>
              <w:t>Amount (in EUR)</w:t>
            </w:r>
          </w:p>
        </w:tc>
      </w:tr>
    </w:tbl>
    <w:p w14:paraId="4343CDE8" w14:textId="77777777" w:rsidR="00DD13BF" w:rsidRDefault="00DD13BF" w:rsidP="00DD13BF">
      <w:pPr>
        <w:ind w:left="339"/>
        <w:rPr>
          <w:spacing w:val="-5"/>
        </w:rPr>
      </w:pPr>
    </w:p>
    <w:p w14:paraId="1B3F18FF" w14:textId="77777777" w:rsidR="00DD13BF" w:rsidRDefault="00DD13BF" w:rsidP="00DD13BF">
      <w:pPr>
        <w:ind w:left="339"/>
      </w:pPr>
      <w:r>
        <w:t>Table 8: Dimension 7 – ESF+*, ERDF, Cohesion Fund and JTF gender equality dimension</w:t>
      </w:r>
    </w:p>
    <w:p w14:paraId="5EAEAEB3" w14:textId="77777777" w:rsidR="00DD13BF" w:rsidRDefault="00DD13BF" w:rsidP="00DD13BF">
      <w:pPr>
        <w:spacing w:before="11"/>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02010F71" w14:textId="77777777" w:rsidTr="00355A56">
        <w:trPr>
          <w:trHeight w:val="353"/>
        </w:trPr>
        <w:tc>
          <w:tcPr>
            <w:tcW w:w="2088" w:type="dxa"/>
          </w:tcPr>
          <w:p w14:paraId="6E70EE7A" w14:textId="77777777" w:rsidR="00DD13BF" w:rsidRDefault="00DD13BF" w:rsidP="00355A56">
            <w:pPr>
              <w:pStyle w:val="TableParagraph"/>
              <w:spacing w:before="39"/>
              <w:ind w:left="115"/>
            </w:pPr>
            <w:r>
              <w:t>Priority no.</w:t>
            </w:r>
          </w:p>
        </w:tc>
        <w:tc>
          <w:tcPr>
            <w:tcW w:w="1132" w:type="dxa"/>
          </w:tcPr>
          <w:p w14:paraId="7D79BC45" w14:textId="77777777" w:rsidR="00DD13BF" w:rsidRDefault="00DD13BF" w:rsidP="00355A56">
            <w:pPr>
              <w:pStyle w:val="TableParagraph"/>
              <w:spacing w:before="39"/>
              <w:ind w:left="320"/>
            </w:pPr>
            <w:r>
              <w:t>Fund</w:t>
            </w:r>
          </w:p>
        </w:tc>
        <w:tc>
          <w:tcPr>
            <w:tcW w:w="3248" w:type="dxa"/>
          </w:tcPr>
          <w:p w14:paraId="4238B04E" w14:textId="77777777" w:rsidR="00DD13BF" w:rsidRDefault="00DD13BF" w:rsidP="00355A56">
            <w:pPr>
              <w:pStyle w:val="TableParagraph"/>
              <w:spacing w:before="39"/>
              <w:ind w:left="908"/>
            </w:pPr>
            <w:r>
              <w:t>Category of region</w:t>
            </w:r>
          </w:p>
        </w:tc>
        <w:tc>
          <w:tcPr>
            <w:tcW w:w="3098" w:type="dxa"/>
          </w:tcPr>
          <w:p w14:paraId="13D08950" w14:textId="77777777" w:rsidR="00DD13BF" w:rsidRDefault="00DD13BF" w:rsidP="00355A56">
            <w:pPr>
              <w:pStyle w:val="TableParagraph"/>
              <w:spacing w:before="39"/>
              <w:ind w:left="950"/>
            </w:pPr>
            <w:r>
              <w:t>Specific objective</w:t>
            </w:r>
          </w:p>
        </w:tc>
        <w:tc>
          <w:tcPr>
            <w:tcW w:w="1160" w:type="dxa"/>
          </w:tcPr>
          <w:p w14:paraId="423087E5" w14:textId="77777777" w:rsidR="00DD13BF" w:rsidRDefault="00DD13BF" w:rsidP="00355A56">
            <w:pPr>
              <w:pStyle w:val="TableParagraph"/>
              <w:spacing w:before="39"/>
              <w:ind w:left="336"/>
            </w:pPr>
            <w:r>
              <w:t>Code</w:t>
            </w:r>
          </w:p>
        </w:tc>
        <w:tc>
          <w:tcPr>
            <w:tcW w:w="2730" w:type="dxa"/>
          </w:tcPr>
          <w:p w14:paraId="5ADA411E" w14:textId="77777777" w:rsidR="00DD13BF" w:rsidRDefault="00DD13BF" w:rsidP="00355A56">
            <w:pPr>
              <w:pStyle w:val="TableParagraph"/>
              <w:spacing w:before="39"/>
              <w:ind w:left="664"/>
            </w:pPr>
            <w:r>
              <w:t>Amount (in EUR)</w:t>
            </w:r>
          </w:p>
        </w:tc>
      </w:tr>
      <w:tr w:rsidR="00DD13BF" w14:paraId="5B6A4AF7" w14:textId="77777777" w:rsidTr="00355A56">
        <w:trPr>
          <w:trHeight w:val="353"/>
        </w:trPr>
        <w:tc>
          <w:tcPr>
            <w:tcW w:w="2088" w:type="dxa"/>
          </w:tcPr>
          <w:p w14:paraId="7DBA18F8" w14:textId="77777777" w:rsidR="00DD13BF" w:rsidRDefault="00DD13BF" w:rsidP="00355A56">
            <w:pPr>
              <w:pStyle w:val="TableParagraph"/>
              <w:rPr>
                <w:sz w:val="20"/>
              </w:rPr>
            </w:pPr>
            <w:r>
              <w:rPr>
                <w:sz w:val="20"/>
              </w:rPr>
              <w:t>7</w:t>
            </w:r>
          </w:p>
        </w:tc>
        <w:tc>
          <w:tcPr>
            <w:tcW w:w="1132" w:type="dxa"/>
          </w:tcPr>
          <w:p w14:paraId="675CE7C4" w14:textId="77777777" w:rsidR="00DD13BF" w:rsidRDefault="00DD13BF" w:rsidP="00355A56">
            <w:pPr>
              <w:pStyle w:val="TableParagraph"/>
              <w:rPr>
                <w:sz w:val="20"/>
              </w:rPr>
            </w:pPr>
            <w:r>
              <w:rPr>
                <w:sz w:val="20"/>
              </w:rPr>
              <w:t>ERDF</w:t>
            </w:r>
          </w:p>
        </w:tc>
        <w:tc>
          <w:tcPr>
            <w:tcW w:w="3248" w:type="dxa"/>
          </w:tcPr>
          <w:p w14:paraId="72343CEA" w14:textId="77777777" w:rsidR="00DD13BF" w:rsidRDefault="00DD13BF" w:rsidP="00355A56">
            <w:pPr>
              <w:pStyle w:val="TableParagraph"/>
              <w:rPr>
                <w:sz w:val="20"/>
              </w:rPr>
            </w:pPr>
            <w:r>
              <w:rPr>
                <w:sz w:val="20"/>
              </w:rPr>
              <w:t>Less developed</w:t>
            </w:r>
          </w:p>
        </w:tc>
        <w:tc>
          <w:tcPr>
            <w:tcW w:w="3098" w:type="dxa"/>
          </w:tcPr>
          <w:p w14:paraId="5911E0BB" w14:textId="77777777" w:rsidR="00DD13BF" w:rsidRDefault="00DD13BF" w:rsidP="00355A56">
            <w:pPr>
              <w:pStyle w:val="TableParagraph"/>
              <w:rPr>
                <w:sz w:val="20"/>
              </w:rPr>
            </w:pPr>
            <w:r>
              <w:rPr>
                <w:color w:val="000000"/>
                <w:sz w:val="20"/>
              </w:rPr>
              <w:t>RSO4.3</w:t>
            </w:r>
          </w:p>
        </w:tc>
        <w:tc>
          <w:tcPr>
            <w:tcW w:w="1160" w:type="dxa"/>
          </w:tcPr>
          <w:p w14:paraId="1DE74C5D" w14:textId="77777777" w:rsidR="00DD13BF" w:rsidRDefault="00DD13BF" w:rsidP="00355A56">
            <w:pPr>
              <w:pStyle w:val="TableParagraph"/>
              <w:rPr>
                <w:sz w:val="20"/>
              </w:rPr>
            </w:pPr>
            <w:r>
              <w:rPr>
                <w:sz w:val="20"/>
              </w:rPr>
              <w:t>03</w:t>
            </w:r>
          </w:p>
        </w:tc>
        <w:tc>
          <w:tcPr>
            <w:tcW w:w="2730" w:type="dxa"/>
          </w:tcPr>
          <w:p w14:paraId="4D694AE0" w14:textId="77777777" w:rsidR="00DD13BF" w:rsidRDefault="00DD13BF" w:rsidP="00355A56">
            <w:pPr>
              <w:pStyle w:val="TableParagraph"/>
              <w:rPr>
                <w:sz w:val="20"/>
              </w:rPr>
            </w:pPr>
            <w:r>
              <w:rPr>
                <w:sz w:val="20"/>
              </w:rPr>
              <w:t>18,650,000</w:t>
            </w:r>
          </w:p>
        </w:tc>
      </w:tr>
    </w:tbl>
    <w:p w14:paraId="17CACC89" w14:textId="77777777" w:rsidR="00DD13BF" w:rsidRDefault="00DD13BF" w:rsidP="00DD13BF">
      <w:pPr>
        <w:tabs>
          <w:tab w:val="left" w:pos="426"/>
        </w:tabs>
        <w:spacing w:before="90" w:line="254" w:lineRule="exact"/>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5A155F56" w14:textId="77777777" w:rsidR="00DD13BF" w:rsidRDefault="00DD13BF" w:rsidP="00DD13BF">
      <w:pPr>
        <w:tabs>
          <w:tab w:val="left" w:pos="426"/>
        </w:tabs>
        <w:ind w:left="284"/>
        <w:rPr>
          <w:sz w:val="24"/>
        </w:rPr>
      </w:pPr>
      <w:r>
        <w:rPr>
          <w:sz w:val="16"/>
        </w:rPr>
        <w:t>.</w:t>
      </w:r>
    </w:p>
    <w:p w14:paraId="00F74F98" w14:textId="77777777" w:rsidR="00DD13BF" w:rsidRPr="00BD3536" w:rsidRDefault="00DD13BF" w:rsidP="00DD13BF">
      <w:pPr>
        <w:pStyle w:val="Naslov4"/>
        <w:ind w:left="1134"/>
      </w:pPr>
      <w:bookmarkStart w:id="61" w:name="_Toc131161728"/>
      <w:r>
        <w:lastRenderedPageBreak/>
        <w:t>Specific objective RSO4.5. Ensuring equal access to health care and fostering resilience of health systems, including primary care, and promoting the transition from institutional to family-based and community-based care (ERDF)</w:t>
      </w:r>
      <w:bookmarkEnd w:id="61"/>
    </w:p>
    <w:p w14:paraId="2AB53C88" w14:textId="77777777" w:rsidR="00DD13BF" w:rsidRDefault="00DD13BF" w:rsidP="00DD13BF">
      <w:pPr>
        <w:rPr>
          <w:sz w:val="30"/>
        </w:rPr>
      </w:pPr>
    </w:p>
    <w:p w14:paraId="05DFFDBC" w14:textId="77777777" w:rsidR="00DD13BF" w:rsidRPr="00C10464" w:rsidRDefault="00DD13BF" w:rsidP="00DD13BF">
      <w:pPr>
        <w:pStyle w:val="Naslov5"/>
        <w:spacing w:before="0"/>
      </w:pPr>
      <w:r>
        <w:t>Interventions of the Funds</w:t>
      </w:r>
    </w:p>
    <w:p w14:paraId="7D15C97B" w14:textId="77777777" w:rsidR="00DD13BF" w:rsidRDefault="00DD13BF" w:rsidP="00DD13BF">
      <w:pPr>
        <w:rPr>
          <w:sz w:val="30"/>
        </w:rPr>
      </w:pPr>
    </w:p>
    <w:p w14:paraId="47DF745F" w14:textId="77777777" w:rsidR="00DD13BF" w:rsidRDefault="00DD13BF" w:rsidP="00DD13BF">
      <w:pPr>
        <w:ind w:left="1349"/>
        <w:rPr>
          <w:spacing w:val="-2"/>
        </w:rPr>
      </w:pPr>
      <w:r>
        <w:t>Related types of actions:</w:t>
      </w:r>
    </w:p>
    <w:p w14:paraId="62804C55"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2B7F9C2B" w14:textId="77777777" w:rsidTr="00355A56">
        <w:trPr>
          <w:trHeight w:val="316"/>
        </w:trPr>
        <w:tc>
          <w:tcPr>
            <w:tcW w:w="12758" w:type="dxa"/>
          </w:tcPr>
          <w:p w14:paraId="6EFD4154" w14:textId="77777777" w:rsidR="00DD13BF" w:rsidRDefault="00DD13BF" w:rsidP="00355A56">
            <w:pPr>
              <w:jc w:val="both"/>
            </w:pPr>
            <w:r>
              <w:t>Investments in health care will cover the construction and reconstruction of public health care institutions, and the purchase of equipment. The purpose of the investments is to ensure better accessibility for residents to health care services and disease prevention to maintain the health and independent living of residents. The measures will particularly cover investments in satellite emergency centres and on-call positions, which continuously provide the most urgent health services, and mental health centres, and other investments in public health care institutions that provide health care services for health promotion and disease prevention. The investments will also cover the purchase of expensive medical equipment, which is crucial for providing optimal medical treatment to patients. The mapping of needs in health care and long-term care, and the “Together for a Healthy Society” Resolution indicate wider needs for investments than are made possible by the European Cohesion Policy funds; therefore, only some of them are addressed, which enable greater accessibility for the local population and are related to actions within the framework of the ESF funds</w:t>
            </w:r>
            <w:r>
              <w:rPr>
                <w:rStyle w:val="Sprotnaopomba-sklic"/>
              </w:rPr>
              <w:footnoteReference w:id="166"/>
            </w:r>
            <w:r>
              <w:t>.</w:t>
            </w:r>
          </w:p>
          <w:p w14:paraId="04C0154D" w14:textId="77777777" w:rsidR="00DD13BF" w:rsidRDefault="00DD13BF" w:rsidP="00355A56">
            <w:pPr>
              <w:jc w:val="both"/>
            </w:pPr>
          </w:p>
          <w:p w14:paraId="57FDE018" w14:textId="77777777" w:rsidR="00DD13BF" w:rsidRPr="009763B7" w:rsidRDefault="00DD13BF" w:rsidP="00355A56">
            <w:pPr>
              <w:jc w:val="both"/>
            </w:pPr>
            <w:r>
              <w:t>Satellite emergency centres are a form of outpatient emergency medical services (EMS) and are professionally and organisationally linked to the emergency centre operating in their area. Eleven satellite centres are planned to be established throughout Slovenia. Using the European Cohesion Policy funds, at least six satellite emergency centres are planned to be built or upgraded in existing public health care institutions.</w:t>
            </w:r>
          </w:p>
          <w:p w14:paraId="418AF09B" w14:textId="77777777" w:rsidR="00DD13BF" w:rsidRPr="009763B7" w:rsidRDefault="00DD13BF" w:rsidP="00355A56">
            <w:pPr>
              <w:jc w:val="both"/>
            </w:pPr>
          </w:p>
          <w:p w14:paraId="0A3D35C4" w14:textId="77777777" w:rsidR="00DD13BF" w:rsidRPr="009763B7" w:rsidRDefault="00DD13BF" w:rsidP="00355A56">
            <w:pPr>
              <w:jc w:val="both"/>
            </w:pPr>
            <w:r>
              <w:t xml:space="preserve">In addition to satellite emergency centres, the Republic of Slovenia needs medical care for residents in locations where, in addition to 24-hour EMS in the form of mobile units in emergency doctor vehicles, the initial care of emergency states is carried out in the EMS clinic and medical services are provided, for which residents would otherwise be forced to visit emergency centres and unnecessarily increase their workload. These are so-called out-of-hours services. The establishment of at least eight out-of-hours services is foreseen with the European Cohesion Policy funds. In certain cases, it will involve construction, and in others, existing public health are institutions will be extended. Both measures </w:t>
            </w:r>
            <w:r>
              <w:lastRenderedPageBreak/>
              <w:t>complement actions with the ESF funds under the SO ESO4.11, within which personnel competences will be enhanced in particular.</w:t>
            </w:r>
          </w:p>
          <w:p w14:paraId="6944504E" w14:textId="77777777" w:rsidR="00DD13BF" w:rsidRPr="009C4DF6" w:rsidRDefault="00DD13BF" w:rsidP="00355A56">
            <w:pPr>
              <w:jc w:val="both"/>
            </w:pPr>
          </w:p>
          <w:p w14:paraId="7CC9B1B3" w14:textId="77777777" w:rsidR="00DD13BF" w:rsidRPr="009763B7" w:rsidRDefault="00DD13BF" w:rsidP="00355A56">
            <w:pPr>
              <w:jc w:val="both"/>
            </w:pPr>
            <w:r>
              <w:t>Within the framework of the Resolution on the National Mental Health Programme 2018−2028, a network of mental health centres is being established, in which various expert teams work. Mental health centres for children and adolescents and mental health centres for adults are being established. The guiding principle of mental health centres is to ensure equal access to services and programmes for all groups of people in a certain area and it is a deinstitutionalisation approach. The network of multidisciplinary mental health centres for children and adolescents provides local accessibility, early, professional and multidisciplinary treatment of children and adolescents (0–19 years of age) with mental health problems and of their parents as part of basic health care and in close cooperation with other services, school professionals, teachers and professionals in social work centres. Mental health centres for adults (for people above 19 years of age) are an organisational structure that, through preventive and treatment services, improves access to mental health services and responds to the needs of the adult population, including elderly people. Through flexible and connected interventions, they reach individuals with common mental disorders, people with severe and recurrent mental disorders, people with dementia and other mental disorders in old age, people suffering from alcohol dependence, and the most vulnerable individuals who are at risk of suicide. The European Cohesion Policy funds are used to build or upgrade existing public health institutions to expand the network of mental health centres for children and adolescents, and adults. The action will be related to SO ESO4.11 and the RRP, and it will focus on the education of educators, the dissemination of established and effective programmes for the promotion of mental health and the prevention of mental disorders exclusively in children and adolescents and young adults.</w:t>
            </w:r>
          </w:p>
          <w:p w14:paraId="60B31969" w14:textId="77777777" w:rsidR="00DD13BF" w:rsidRPr="009763B7" w:rsidRDefault="00DD13BF" w:rsidP="00355A56">
            <w:pPr>
              <w:jc w:val="both"/>
            </w:pPr>
          </w:p>
          <w:p w14:paraId="51E2B4E0" w14:textId="77777777" w:rsidR="00DD13BF" w:rsidRPr="009763B7" w:rsidRDefault="00DD13BF" w:rsidP="00355A56">
            <w:pPr>
              <w:jc w:val="both"/>
            </w:pPr>
            <w:r>
              <w:t>By introducing new preventive approaches in all clinics at the primary level, equal access to preventive programmes is ensured for everyone with a special emphasis on the accessibility of programmes for vulnerable groups. Health care centres must provide comprehensive preventive and curative activities for the needs of the local population. Preventive programmes at the primary level were upgraded and expanded to a certain extent by means of the European cohesion funds in the 2014–2020 financial framework. To successfully prevent and manage chronic diseases and other conditions, particularly in light of the specific needs of vulnerable groups and elderly people, who do not benefit fully from preventive services, 25 health promotion centres were established. There are currently 28 active health promotion centres in the Republic of Slovenia. To strengthen primary health care, it is crucial to further expand health promotion centres. The actions will complement the ESF funds under the SO ESO4.11.</w:t>
            </w:r>
          </w:p>
          <w:p w14:paraId="0141C627" w14:textId="77777777" w:rsidR="00DD13BF" w:rsidRPr="009763B7" w:rsidRDefault="00DD13BF" w:rsidP="00355A56">
            <w:pPr>
              <w:jc w:val="both"/>
            </w:pPr>
          </w:p>
          <w:p w14:paraId="535B724D" w14:textId="77777777" w:rsidR="00DD13BF" w:rsidRDefault="00DD13BF" w:rsidP="00355A56">
            <w:pPr>
              <w:jc w:val="both"/>
            </w:pPr>
            <w:r>
              <w:t>In addition to personnel, medical equipment in public health care institutions is crucial for providing optimal medical care. Due to the outdated expensive medical equipment and lack thereof, the optimal implementation of health care activities is not possible. Such equipment includes particularly: magnetic resonance imaging, computerised topography, positron emission tomography, gamma camera or nuclear medicine device, diagnostic X-ray devices for mammography, radiotherapy devices, X-ray devices and ultrasound devices. Considering the fact that the need to purchase medical equipment is increasing, the Republic of Slovenia intends to purchase medical equipment for the specialist treatment of patients with the European Cohesion Policy funds.</w:t>
            </w:r>
          </w:p>
          <w:p w14:paraId="763CCD49" w14:textId="77777777" w:rsidR="00DD13BF" w:rsidRDefault="00DD13BF" w:rsidP="00355A56">
            <w:pPr>
              <w:jc w:val="both"/>
            </w:pPr>
          </w:p>
          <w:p w14:paraId="159C629B" w14:textId="77777777" w:rsidR="00DD13BF" w:rsidRPr="002C384C" w:rsidRDefault="00DD13BF" w:rsidP="00355A56">
            <w:pPr>
              <w:jc w:val="both"/>
            </w:pPr>
            <w:r>
              <w:t xml:space="preserve">Where relevant, the implementation of measures will comply with the New European Bauhaus initiative. To formulate the final content of the measures, and the criteria for their selection and implementation, the relevant mitigation measures and, to the greatest extent possible, the </w:t>
            </w:r>
            <w:r>
              <w:lastRenderedPageBreak/>
              <w:t>relevant recommendations in accordance with the strategic environmental assessment, which are listed in annex Mitigation Measures and Recommendations, will be taken into account. In accordance with the Technical guidance on the application of ‘do no significant harm’, it was concluded on the basis of responses to questions from the check list that none of the planned measures under the SO RSO4.5 has a significant adverse impact on any of the six environmental objectives, taking into account the technical screening criteria listed in annex DNSH.</w:t>
            </w:r>
          </w:p>
        </w:tc>
      </w:tr>
    </w:tbl>
    <w:p w14:paraId="5996D883" w14:textId="77777777" w:rsidR="00DD13BF" w:rsidRDefault="00DD13BF" w:rsidP="00DD13BF">
      <w:pPr>
        <w:ind w:left="1349"/>
        <w:rPr>
          <w:spacing w:val="-6"/>
        </w:rPr>
      </w:pPr>
    </w:p>
    <w:p w14:paraId="0AFD10F4" w14:textId="77777777" w:rsidR="00DD13BF" w:rsidRDefault="00DD13BF" w:rsidP="00DD13BF">
      <w:pPr>
        <w:ind w:left="1349"/>
      </w:pPr>
      <w:r>
        <w:t>Main target groups:</w:t>
      </w:r>
    </w:p>
    <w:p w14:paraId="298021AE"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A695CA4" w14:textId="77777777" w:rsidTr="00355A56">
        <w:tc>
          <w:tcPr>
            <w:tcW w:w="12763" w:type="dxa"/>
          </w:tcPr>
          <w:p w14:paraId="3398DD2A" w14:textId="77777777" w:rsidR="00DD13BF" w:rsidRPr="00B3569A" w:rsidRDefault="00DD13BF" w:rsidP="00355A56">
            <w:pPr>
              <w:rPr>
                <w:rFonts w:cstheme="minorHAnsi"/>
              </w:rPr>
            </w:pPr>
            <w:r>
              <w:t>Target groups and beneficiaries: Ministry of Health, public health care institutions, social care institutions and local communities.</w:t>
            </w:r>
          </w:p>
        </w:tc>
      </w:tr>
    </w:tbl>
    <w:p w14:paraId="0713C4E4" w14:textId="77777777" w:rsidR="00DD13BF" w:rsidRPr="006B7178" w:rsidRDefault="00DD13BF" w:rsidP="00DD13BF">
      <w:pPr>
        <w:ind w:left="1349"/>
      </w:pPr>
    </w:p>
    <w:p w14:paraId="1C7512FB" w14:textId="77777777" w:rsidR="00DD13BF" w:rsidRDefault="00DD13BF" w:rsidP="00DD13BF">
      <w:pPr>
        <w:ind w:left="1349"/>
        <w:rPr>
          <w:spacing w:val="-2"/>
        </w:rPr>
      </w:pPr>
      <w:r>
        <w:t>Measures to protect equality, inclusion and non-discrimination:</w:t>
      </w:r>
    </w:p>
    <w:p w14:paraId="5265EAD8"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79CB895F" w14:textId="77777777" w:rsidTr="00355A56">
        <w:tc>
          <w:tcPr>
            <w:tcW w:w="12715" w:type="dxa"/>
          </w:tcPr>
          <w:p w14:paraId="2AEF3B22" w14:textId="77777777" w:rsidR="00DD13BF" w:rsidRPr="003C09AB" w:rsidRDefault="00DD13BF" w:rsidP="00355A56">
            <w:pPr>
              <w:jc w:val="both"/>
              <w:rPr>
                <w:rFonts w:cs="Calibri"/>
              </w:rPr>
            </w:pPr>
            <w:r>
              <w:t xml:space="preserve">The principles of gender equality, inclusion and non-discrimination will be respected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Within the framework of the ECP 2021–2027 Programme, equal opportunities and the fight against discrimination based on various personal circumstances (e.g. gender, age, disability, race, ethnic origin, nationality and religion, sexual orientation) will be provided horizontally and vertically, as much as possible. This will also take into account the Procedural rules for providing the horizontal enabling condition “Effective application and implementation of the Charter of Fundamental Rights” and the Action Programme for Persons with Disabilities 2022–2030, and other relevant documents that will be created as part of implementation. This principle will also be taken into account within the framework of the management and control system. </w:t>
            </w:r>
          </w:p>
          <w:p w14:paraId="36BC58F3" w14:textId="77777777" w:rsidR="00DD13BF" w:rsidRDefault="00DD13BF" w:rsidP="00355A56">
            <w:pPr>
              <w:jc w:val="both"/>
              <w:rPr>
                <w:rFonts w:eastAsia="Calibri"/>
              </w:rPr>
            </w:pPr>
          </w:p>
          <w:p w14:paraId="72AD34B2" w14:textId="77777777" w:rsidR="00DD13BF" w:rsidRPr="00B3569A" w:rsidRDefault="00DD13BF" w:rsidP="00355A56">
            <w:pPr>
              <w:jc w:val="both"/>
              <w:rPr>
                <w:rFonts w:cstheme="minorHAnsi"/>
              </w:rPr>
            </w:pPr>
            <w:r>
              <w:t>The principles of gender equality, equal opportunities and non-discrimination will be respected in the planning, implementation and monitoring of the measures.</w:t>
            </w:r>
            <w:r>
              <w:rPr>
                <w:color w:val="000000"/>
              </w:rPr>
              <w:t xml:space="preserve"> At the same time, investments in health care infrastructure and equipment will ensure accessibility for everyone, particularly the most vulnerable people, in accordance with the basic principles. In accordance with national legislation and strategic documents, we will, by investing in the development of this infrastructure, contribute to the objectives of providing quality health care accessible to all EU citizens, as the measures are particularly focused on the established topics of solidarity, quality of work, social security, social cohesion, the inclusion of vulnerable and marginal groups, non-discrimination and similar. Above all, we provide access to the widest population by reaching out to residents in their local environment. During the implementation of structural measures, the facilities will also meet technical requirements, with which they are adapted to be non-discriminatory against all forms of temporary or permanent disability and are adapted to vulnerable population groups.</w:t>
            </w:r>
          </w:p>
        </w:tc>
      </w:tr>
    </w:tbl>
    <w:p w14:paraId="1061F355" w14:textId="77777777" w:rsidR="00DD13BF" w:rsidRDefault="00DD13BF" w:rsidP="00DD13BF">
      <w:pPr>
        <w:rPr>
          <w:sz w:val="20"/>
        </w:rPr>
      </w:pPr>
    </w:p>
    <w:p w14:paraId="18C0B40F" w14:textId="77777777" w:rsidR="00DD13BF" w:rsidRDefault="00DD13BF" w:rsidP="00DD13BF">
      <w:pPr>
        <w:ind w:left="1415"/>
        <w:rPr>
          <w:spacing w:val="-4"/>
        </w:rPr>
      </w:pPr>
      <w:r>
        <w:t>Indication of the specific territories targeted, including the planned use of territorial tools:</w:t>
      </w:r>
    </w:p>
    <w:p w14:paraId="33C8756C"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34131F75" w14:textId="77777777" w:rsidTr="00355A56">
        <w:tc>
          <w:tcPr>
            <w:tcW w:w="12763" w:type="dxa"/>
          </w:tcPr>
          <w:p w14:paraId="2C4D7F23" w14:textId="77777777" w:rsidR="00DD13BF" w:rsidRPr="00B3569A" w:rsidRDefault="00DD13BF" w:rsidP="00355A56">
            <w:pPr>
              <w:jc w:val="both"/>
              <w:rPr>
                <w:rFonts w:cstheme="minorHAnsi"/>
              </w:rPr>
            </w:pPr>
            <w:r>
              <w:lastRenderedPageBreak/>
              <w:t>The measures will be implemented only in the Eastern Slovenia cohesion region, since the lag of this region in development is greater than in the Western Slovenia cohesion region, and consequently, the health of the population is poorer in this region according to various determinants. Under this specific objective, the use of territorial approaches is not foreseen.</w:t>
            </w:r>
          </w:p>
        </w:tc>
      </w:tr>
    </w:tbl>
    <w:p w14:paraId="5CAA98C1" w14:textId="77777777" w:rsidR="00DD13BF" w:rsidRDefault="00DD13BF" w:rsidP="00DD13BF">
      <w:pPr>
        <w:rPr>
          <w:sz w:val="18"/>
        </w:rPr>
      </w:pPr>
    </w:p>
    <w:p w14:paraId="17B3085F" w14:textId="77777777" w:rsidR="00DD13BF" w:rsidRDefault="00DD13BF" w:rsidP="00DD13BF">
      <w:pPr>
        <w:ind w:left="1415"/>
      </w:pPr>
      <w:r>
        <w:t>The interregional, cross-border and transnational actions:</w:t>
      </w:r>
    </w:p>
    <w:p w14:paraId="4A54D956"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D9E5D8D" w14:textId="77777777" w:rsidTr="00355A56">
        <w:tc>
          <w:tcPr>
            <w:tcW w:w="12763" w:type="dxa"/>
          </w:tcPr>
          <w:p w14:paraId="34229441" w14:textId="77777777" w:rsidR="00DD13BF" w:rsidRPr="00B3569A" w:rsidRDefault="00DD13BF" w:rsidP="00355A56">
            <w:pPr>
              <w:jc w:val="both"/>
              <w:rPr>
                <w:rFonts w:cstheme="minorHAnsi"/>
              </w:rPr>
            </w:pPr>
            <w:r>
              <w:t>The interregional, cross-border and transnational actions under this specific objective are not planned, as these are investment measures in public health care institutions that operate in the territory of the Republic of Slovenia and are intended primarily for residents of Slovenia.</w:t>
            </w:r>
          </w:p>
        </w:tc>
      </w:tr>
    </w:tbl>
    <w:p w14:paraId="2F77BF31" w14:textId="77777777" w:rsidR="00DD13BF" w:rsidRDefault="00DD13BF" w:rsidP="00DD13BF">
      <w:pPr>
        <w:rPr>
          <w:sz w:val="17"/>
        </w:rPr>
      </w:pPr>
    </w:p>
    <w:p w14:paraId="1FEE93E5" w14:textId="77777777" w:rsidR="00DD13BF" w:rsidRDefault="00DD13BF" w:rsidP="00DD13BF">
      <w:pPr>
        <w:ind w:left="1415"/>
        <w:rPr>
          <w:spacing w:val="-3"/>
        </w:rPr>
      </w:pPr>
      <w:r>
        <w:t>Planned use of financial instruments:</w:t>
      </w:r>
    </w:p>
    <w:p w14:paraId="1EAC6A8C"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6C2720C6" w14:textId="77777777" w:rsidTr="00355A56">
        <w:tc>
          <w:tcPr>
            <w:tcW w:w="12758" w:type="dxa"/>
          </w:tcPr>
          <w:p w14:paraId="578032BB"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proposed measures do not generate revenues or savings, due to which the use of financial instruments is not sensible or appropriate. These are measures that refer to public health care institutions, most of which are state or municipality-owned and do not have market activity or it is very limited and dedicated, therefore, they cannot borrow money on the market.</w:t>
            </w:r>
          </w:p>
        </w:tc>
      </w:tr>
    </w:tbl>
    <w:p w14:paraId="34213AE6" w14:textId="77777777" w:rsidR="00DD13BF" w:rsidRDefault="00DD13BF" w:rsidP="00DD13BF">
      <w:pPr>
        <w:rPr>
          <w:sz w:val="20"/>
        </w:rPr>
      </w:pPr>
    </w:p>
    <w:p w14:paraId="79DD63D7" w14:textId="77777777" w:rsidR="00DD13BF" w:rsidRDefault="00DD13BF" w:rsidP="00DD13BF">
      <w:pPr>
        <w:rPr>
          <w:sz w:val="20"/>
        </w:rPr>
      </w:pPr>
    </w:p>
    <w:p w14:paraId="3D4C2A96" w14:textId="77777777" w:rsidR="00DD13BF" w:rsidRDefault="00DD13BF" w:rsidP="00DD13BF">
      <w:pPr>
        <w:pStyle w:val="Naslov5"/>
        <w:spacing w:before="0"/>
      </w:pPr>
      <w:r>
        <w:t>Indicators</w:t>
      </w:r>
    </w:p>
    <w:p w14:paraId="2E0AA385" w14:textId="77777777" w:rsidR="00DD13BF" w:rsidRDefault="00DD13BF" w:rsidP="00DD13BF"/>
    <w:p w14:paraId="692FF5CA" w14:textId="77777777" w:rsidR="00DD13BF" w:rsidRDefault="00DD13BF" w:rsidP="00DD13BF">
      <w:pPr>
        <w:ind w:left="379"/>
      </w:pPr>
      <w:r>
        <w:t>Table 2: Impact indicators</w:t>
      </w:r>
    </w:p>
    <w:p w14:paraId="6FF5235E"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1417"/>
        <w:gridCol w:w="708"/>
        <w:gridCol w:w="1701"/>
        <w:gridCol w:w="778"/>
        <w:gridCol w:w="4184"/>
        <w:gridCol w:w="1276"/>
        <w:gridCol w:w="1418"/>
        <w:gridCol w:w="1134"/>
      </w:tblGrid>
      <w:tr w:rsidR="00DD13BF" w14:paraId="3B31B7C8" w14:textId="77777777" w:rsidTr="00355A56">
        <w:trPr>
          <w:trHeight w:val="254"/>
        </w:trPr>
        <w:tc>
          <w:tcPr>
            <w:tcW w:w="1125" w:type="dxa"/>
            <w:vAlign w:val="center"/>
          </w:tcPr>
          <w:p w14:paraId="2A5AB6F3" w14:textId="77777777" w:rsidR="00DD13BF" w:rsidRDefault="00DD13BF" w:rsidP="00355A56">
            <w:pPr>
              <w:pStyle w:val="TableParagraph"/>
              <w:ind w:right="82"/>
            </w:pPr>
            <w:r>
              <w:t>Priority</w:t>
            </w:r>
          </w:p>
        </w:tc>
        <w:tc>
          <w:tcPr>
            <w:tcW w:w="1417" w:type="dxa"/>
            <w:vAlign w:val="center"/>
          </w:tcPr>
          <w:p w14:paraId="75294E08" w14:textId="77777777" w:rsidR="00DD13BF" w:rsidRDefault="00DD13BF" w:rsidP="00355A56">
            <w:pPr>
              <w:pStyle w:val="TableParagraph"/>
            </w:pPr>
            <w:r>
              <w:t>Specific objective</w:t>
            </w:r>
          </w:p>
        </w:tc>
        <w:tc>
          <w:tcPr>
            <w:tcW w:w="708" w:type="dxa"/>
            <w:vAlign w:val="center"/>
          </w:tcPr>
          <w:p w14:paraId="4CA38D3B" w14:textId="77777777" w:rsidR="00DD13BF" w:rsidRDefault="00DD13BF" w:rsidP="00355A56">
            <w:pPr>
              <w:pStyle w:val="TableParagraph"/>
            </w:pPr>
            <w:r>
              <w:t>Fund</w:t>
            </w:r>
          </w:p>
        </w:tc>
        <w:tc>
          <w:tcPr>
            <w:tcW w:w="1701" w:type="dxa"/>
            <w:vAlign w:val="center"/>
          </w:tcPr>
          <w:p w14:paraId="396DE1E2" w14:textId="77777777" w:rsidR="00DD13BF" w:rsidRDefault="00DD13BF" w:rsidP="00355A56">
            <w:pPr>
              <w:pStyle w:val="TableParagraph"/>
            </w:pPr>
            <w:r>
              <w:t>Category of region</w:t>
            </w:r>
          </w:p>
        </w:tc>
        <w:tc>
          <w:tcPr>
            <w:tcW w:w="778" w:type="dxa"/>
            <w:vAlign w:val="center"/>
          </w:tcPr>
          <w:p w14:paraId="477F5F96" w14:textId="77777777" w:rsidR="00DD13BF" w:rsidRPr="00347461" w:rsidRDefault="00DD13BF" w:rsidP="00355A56">
            <w:pPr>
              <w:pStyle w:val="TableParagraph"/>
              <w:rPr>
                <w:sz w:val="20"/>
              </w:rPr>
            </w:pPr>
            <w:r>
              <w:t>ID</w:t>
            </w:r>
          </w:p>
        </w:tc>
        <w:tc>
          <w:tcPr>
            <w:tcW w:w="4184" w:type="dxa"/>
            <w:vAlign w:val="center"/>
          </w:tcPr>
          <w:p w14:paraId="7C82D814" w14:textId="77777777" w:rsidR="00DD13BF" w:rsidRPr="00347461" w:rsidRDefault="00DD13BF" w:rsidP="00355A56">
            <w:pPr>
              <w:pStyle w:val="TableParagraph"/>
              <w:rPr>
                <w:sz w:val="20"/>
              </w:rPr>
            </w:pPr>
            <w:r>
              <w:t>Indicators</w:t>
            </w:r>
          </w:p>
        </w:tc>
        <w:tc>
          <w:tcPr>
            <w:tcW w:w="1276" w:type="dxa"/>
            <w:vAlign w:val="center"/>
          </w:tcPr>
          <w:p w14:paraId="42A86842" w14:textId="77777777" w:rsidR="00DD13BF" w:rsidRPr="00347461" w:rsidRDefault="00DD13BF" w:rsidP="00355A56">
            <w:pPr>
              <w:pStyle w:val="TableParagraph"/>
              <w:rPr>
                <w:sz w:val="20"/>
              </w:rPr>
            </w:pPr>
            <w:r>
              <w:t>Measurement unit</w:t>
            </w:r>
          </w:p>
        </w:tc>
        <w:tc>
          <w:tcPr>
            <w:tcW w:w="1418" w:type="dxa"/>
            <w:vAlign w:val="center"/>
          </w:tcPr>
          <w:p w14:paraId="51B48285" w14:textId="77777777" w:rsidR="00DD13BF" w:rsidRPr="00347461" w:rsidRDefault="00DD13BF" w:rsidP="00355A56">
            <w:pPr>
              <w:pStyle w:val="TableParagraph"/>
              <w:rPr>
                <w:sz w:val="20"/>
              </w:rPr>
            </w:pPr>
            <w:r>
              <w:t>Milestone (2014)</w:t>
            </w:r>
          </w:p>
        </w:tc>
        <w:tc>
          <w:tcPr>
            <w:tcW w:w="1134" w:type="dxa"/>
            <w:vAlign w:val="center"/>
          </w:tcPr>
          <w:p w14:paraId="14FFFA4A" w14:textId="77777777" w:rsidR="00DD13BF" w:rsidRDefault="00DD13BF" w:rsidP="00355A56">
            <w:pPr>
              <w:pStyle w:val="TableParagraph"/>
            </w:pPr>
            <w:r>
              <w:t>Target (2029)</w:t>
            </w:r>
          </w:p>
        </w:tc>
      </w:tr>
      <w:tr w:rsidR="00DD13BF" w14:paraId="2C80ADBE" w14:textId="77777777" w:rsidTr="00355A56">
        <w:trPr>
          <w:trHeight w:val="367"/>
        </w:trPr>
        <w:tc>
          <w:tcPr>
            <w:tcW w:w="1125" w:type="dxa"/>
          </w:tcPr>
          <w:p w14:paraId="7D6457C2" w14:textId="77777777" w:rsidR="00DD13BF" w:rsidRDefault="00DD13BF" w:rsidP="00355A56">
            <w:pPr>
              <w:pStyle w:val="TableParagraph"/>
              <w:rPr>
                <w:sz w:val="20"/>
              </w:rPr>
            </w:pPr>
            <w:r>
              <w:rPr>
                <w:sz w:val="20"/>
              </w:rPr>
              <w:t>7</w:t>
            </w:r>
          </w:p>
        </w:tc>
        <w:tc>
          <w:tcPr>
            <w:tcW w:w="1417" w:type="dxa"/>
          </w:tcPr>
          <w:p w14:paraId="0D87A118" w14:textId="77777777" w:rsidR="00DD13BF" w:rsidRPr="00347461" w:rsidRDefault="00DD13BF" w:rsidP="00355A56">
            <w:pPr>
              <w:pStyle w:val="TableParagraph"/>
              <w:rPr>
                <w:sz w:val="20"/>
              </w:rPr>
            </w:pPr>
            <w:r>
              <w:rPr>
                <w:color w:val="000000"/>
                <w:sz w:val="20"/>
              </w:rPr>
              <w:t>RSO4.5</w:t>
            </w:r>
          </w:p>
        </w:tc>
        <w:tc>
          <w:tcPr>
            <w:tcW w:w="708" w:type="dxa"/>
          </w:tcPr>
          <w:p w14:paraId="273BD3B0" w14:textId="77777777" w:rsidR="00DD13BF" w:rsidRDefault="00DD13BF" w:rsidP="00355A56">
            <w:pPr>
              <w:pStyle w:val="TableParagraph"/>
              <w:rPr>
                <w:sz w:val="20"/>
              </w:rPr>
            </w:pPr>
            <w:r>
              <w:rPr>
                <w:sz w:val="20"/>
              </w:rPr>
              <w:t>ERDF</w:t>
            </w:r>
          </w:p>
        </w:tc>
        <w:tc>
          <w:tcPr>
            <w:tcW w:w="1701" w:type="dxa"/>
          </w:tcPr>
          <w:p w14:paraId="3D34C2BB" w14:textId="77777777" w:rsidR="00DD13BF" w:rsidRDefault="00DD13BF" w:rsidP="00355A56">
            <w:pPr>
              <w:pStyle w:val="TableParagraph"/>
              <w:rPr>
                <w:sz w:val="20"/>
              </w:rPr>
            </w:pPr>
            <w:r>
              <w:rPr>
                <w:sz w:val="20"/>
              </w:rPr>
              <w:t>Less developed</w:t>
            </w:r>
          </w:p>
        </w:tc>
        <w:tc>
          <w:tcPr>
            <w:tcW w:w="778" w:type="dxa"/>
          </w:tcPr>
          <w:p w14:paraId="2C1F57D3" w14:textId="77777777" w:rsidR="00DD13BF" w:rsidRPr="00347461" w:rsidRDefault="00DD13BF" w:rsidP="00355A56">
            <w:pPr>
              <w:pStyle w:val="TableParagraph"/>
              <w:rPr>
                <w:sz w:val="20"/>
              </w:rPr>
            </w:pPr>
            <w:r>
              <w:rPr>
                <w:sz w:val="20"/>
              </w:rPr>
              <w:t>RCO69</w:t>
            </w:r>
          </w:p>
        </w:tc>
        <w:tc>
          <w:tcPr>
            <w:tcW w:w="4184" w:type="dxa"/>
          </w:tcPr>
          <w:p w14:paraId="497915F7" w14:textId="77777777" w:rsidR="00DD13BF" w:rsidRPr="00347461" w:rsidRDefault="00DD13BF" w:rsidP="00355A56">
            <w:pPr>
              <w:pStyle w:val="TableParagraph"/>
              <w:rPr>
                <w:sz w:val="20"/>
              </w:rPr>
            </w:pPr>
            <w:r>
              <w:rPr>
                <w:sz w:val="20"/>
              </w:rPr>
              <w:t>Capacity of new or modernised health care facilities</w:t>
            </w:r>
          </w:p>
        </w:tc>
        <w:tc>
          <w:tcPr>
            <w:tcW w:w="1276" w:type="dxa"/>
          </w:tcPr>
          <w:p w14:paraId="454C762D" w14:textId="77777777" w:rsidR="00DD13BF" w:rsidRPr="00347461" w:rsidRDefault="00DD13BF" w:rsidP="00355A56">
            <w:pPr>
              <w:pStyle w:val="TableParagraph"/>
              <w:rPr>
                <w:sz w:val="20"/>
              </w:rPr>
            </w:pPr>
            <w:r>
              <w:rPr>
                <w:sz w:val="20"/>
              </w:rPr>
              <w:t>Persons/year</w:t>
            </w:r>
          </w:p>
        </w:tc>
        <w:tc>
          <w:tcPr>
            <w:tcW w:w="1418" w:type="dxa"/>
          </w:tcPr>
          <w:p w14:paraId="215E8733" w14:textId="77777777" w:rsidR="00DD13BF" w:rsidRPr="0038166A" w:rsidRDefault="00DD13BF" w:rsidP="00355A56">
            <w:pPr>
              <w:pStyle w:val="TableParagraph"/>
              <w:rPr>
                <w:sz w:val="20"/>
              </w:rPr>
            </w:pPr>
            <w:r>
              <w:rPr>
                <w:sz w:val="20"/>
              </w:rPr>
              <w:t>0</w:t>
            </w:r>
          </w:p>
        </w:tc>
        <w:tc>
          <w:tcPr>
            <w:tcW w:w="1134" w:type="dxa"/>
          </w:tcPr>
          <w:p w14:paraId="427563C1" w14:textId="77777777" w:rsidR="00DD13BF" w:rsidRPr="0038166A" w:rsidRDefault="00DD13BF" w:rsidP="00355A56">
            <w:pPr>
              <w:pStyle w:val="TableParagraph"/>
              <w:rPr>
                <w:sz w:val="20"/>
              </w:rPr>
            </w:pPr>
            <w:r>
              <w:rPr>
                <w:sz w:val="20"/>
              </w:rPr>
              <w:t>123,000</w:t>
            </w:r>
          </w:p>
        </w:tc>
      </w:tr>
    </w:tbl>
    <w:p w14:paraId="5F962890" w14:textId="77777777" w:rsidR="00DD13BF" w:rsidRDefault="00DD13BF" w:rsidP="00DD13BF">
      <w:pPr>
        <w:rPr>
          <w:sz w:val="24"/>
        </w:rPr>
      </w:pPr>
    </w:p>
    <w:p w14:paraId="1E9F14A6" w14:textId="77777777" w:rsidR="00DD13BF" w:rsidRDefault="00DD13BF" w:rsidP="00DD13BF">
      <w:pPr>
        <w:ind w:left="379"/>
        <w:rPr>
          <w:spacing w:val="-6"/>
        </w:rPr>
      </w:pPr>
      <w:r>
        <w:t>Table 3: Result indicators</w:t>
      </w:r>
    </w:p>
    <w:p w14:paraId="57E7F334"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851"/>
        <w:gridCol w:w="567"/>
        <w:gridCol w:w="1572"/>
        <w:gridCol w:w="709"/>
        <w:gridCol w:w="3672"/>
        <w:gridCol w:w="992"/>
        <w:gridCol w:w="1134"/>
        <w:gridCol w:w="993"/>
        <w:gridCol w:w="838"/>
        <w:gridCol w:w="851"/>
        <w:gridCol w:w="720"/>
      </w:tblGrid>
      <w:tr w:rsidR="00DD13BF" w14:paraId="0B7CC3B2" w14:textId="77777777" w:rsidTr="00355A56">
        <w:trPr>
          <w:trHeight w:val="353"/>
        </w:trPr>
        <w:tc>
          <w:tcPr>
            <w:tcW w:w="983" w:type="dxa"/>
          </w:tcPr>
          <w:p w14:paraId="7869F5FE" w14:textId="77777777" w:rsidR="00DD13BF" w:rsidRPr="00347461" w:rsidRDefault="00DD13BF" w:rsidP="00355A56">
            <w:pPr>
              <w:pStyle w:val="TableParagraph"/>
              <w:rPr>
                <w:sz w:val="20"/>
              </w:rPr>
            </w:pPr>
            <w:r>
              <w:rPr>
                <w:sz w:val="20"/>
              </w:rPr>
              <w:t>Priority</w:t>
            </w:r>
          </w:p>
        </w:tc>
        <w:tc>
          <w:tcPr>
            <w:tcW w:w="851" w:type="dxa"/>
          </w:tcPr>
          <w:p w14:paraId="140F04E4" w14:textId="77777777" w:rsidR="00DD13BF" w:rsidRPr="00347461" w:rsidRDefault="00DD13BF" w:rsidP="00355A56">
            <w:pPr>
              <w:pStyle w:val="TableParagraph"/>
              <w:rPr>
                <w:sz w:val="20"/>
              </w:rPr>
            </w:pPr>
            <w:r>
              <w:rPr>
                <w:sz w:val="20"/>
              </w:rPr>
              <w:t>Specific objective</w:t>
            </w:r>
          </w:p>
        </w:tc>
        <w:tc>
          <w:tcPr>
            <w:tcW w:w="567" w:type="dxa"/>
          </w:tcPr>
          <w:p w14:paraId="1F3B5CCC" w14:textId="77777777" w:rsidR="00DD13BF" w:rsidRPr="00347461" w:rsidRDefault="00DD13BF" w:rsidP="00355A56">
            <w:pPr>
              <w:pStyle w:val="TableParagraph"/>
              <w:rPr>
                <w:sz w:val="20"/>
              </w:rPr>
            </w:pPr>
            <w:r>
              <w:rPr>
                <w:sz w:val="20"/>
              </w:rPr>
              <w:t>Fund</w:t>
            </w:r>
          </w:p>
        </w:tc>
        <w:tc>
          <w:tcPr>
            <w:tcW w:w="1572" w:type="dxa"/>
          </w:tcPr>
          <w:p w14:paraId="4363B9E7" w14:textId="77777777" w:rsidR="00DD13BF" w:rsidRPr="00347461" w:rsidRDefault="00DD13BF" w:rsidP="00355A56">
            <w:pPr>
              <w:pStyle w:val="TableParagraph"/>
              <w:rPr>
                <w:sz w:val="20"/>
              </w:rPr>
            </w:pPr>
            <w:r>
              <w:rPr>
                <w:sz w:val="20"/>
              </w:rPr>
              <w:t>Category of region</w:t>
            </w:r>
          </w:p>
        </w:tc>
        <w:tc>
          <w:tcPr>
            <w:tcW w:w="709" w:type="dxa"/>
          </w:tcPr>
          <w:p w14:paraId="63DFAACF" w14:textId="77777777" w:rsidR="00DD13BF" w:rsidRPr="00347461" w:rsidRDefault="00DD13BF" w:rsidP="00355A56">
            <w:pPr>
              <w:pStyle w:val="TableParagraph"/>
              <w:rPr>
                <w:sz w:val="20"/>
              </w:rPr>
            </w:pPr>
            <w:r>
              <w:rPr>
                <w:sz w:val="20"/>
              </w:rPr>
              <w:t>ID</w:t>
            </w:r>
          </w:p>
        </w:tc>
        <w:tc>
          <w:tcPr>
            <w:tcW w:w="3672" w:type="dxa"/>
          </w:tcPr>
          <w:p w14:paraId="16A8A384" w14:textId="77777777" w:rsidR="00DD13BF" w:rsidRPr="00347461" w:rsidRDefault="00DD13BF" w:rsidP="00355A56">
            <w:pPr>
              <w:pStyle w:val="TableParagraph"/>
              <w:rPr>
                <w:sz w:val="20"/>
              </w:rPr>
            </w:pPr>
            <w:r>
              <w:rPr>
                <w:sz w:val="20"/>
              </w:rPr>
              <w:t>Indicator</w:t>
            </w:r>
          </w:p>
        </w:tc>
        <w:tc>
          <w:tcPr>
            <w:tcW w:w="992" w:type="dxa"/>
          </w:tcPr>
          <w:p w14:paraId="5E95AA09" w14:textId="77777777" w:rsidR="00DD13BF" w:rsidRPr="00347461" w:rsidRDefault="00DD13BF" w:rsidP="00355A56">
            <w:pPr>
              <w:pStyle w:val="TableParagraph"/>
              <w:rPr>
                <w:sz w:val="20"/>
              </w:rPr>
            </w:pPr>
            <w:r>
              <w:rPr>
                <w:sz w:val="20"/>
              </w:rPr>
              <w:t>Measurement unit</w:t>
            </w:r>
          </w:p>
        </w:tc>
        <w:tc>
          <w:tcPr>
            <w:tcW w:w="1134" w:type="dxa"/>
          </w:tcPr>
          <w:p w14:paraId="2EA9061E" w14:textId="77777777" w:rsidR="00DD13BF" w:rsidRPr="00347461" w:rsidRDefault="00DD13BF" w:rsidP="00355A56">
            <w:pPr>
              <w:pStyle w:val="TableParagraph"/>
              <w:rPr>
                <w:sz w:val="20"/>
              </w:rPr>
            </w:pPr>
            <w:r>
              <w:rPr>
                <w:sz w:val="20"/>
              </w:rPr>
              <w:t>Baseline or reference value</w:t>
            </w:r>
          </w:p>
        </w:tc>
        <w:tc>
          <w:tcPr>
            <w:tcW w:w="993" w:type="dxa"/>
          </w:tcPr>
          <w:p w14:paraId="255C877D" w14:textId="77777777" w:rsidR="00DD13BF" w:rsidRPr="00347461" w:rsidRDefault="00DD13BF" w:rsidP="00355A56">
            <w:pPr>
              <w:pStyle w:val="TableParagraph"/>
              <w:rPr>
                <w:sz w:val="20"/>
              </w:rPr>
            </w:pPr>
            <w:r>
              <w:rPr>
                <w:sz w:val="20"/>
              </w:rPr>
              <w:t>Reference year</w:t>
            </w:r>
          </w:p>
        </w:tc>
        <w:tc>
          <w:tcPr>
            <w:tcW w:w="838" w:type="dxa"/>
          </w:tcPr>
          <w:p w14:paraId="69C69109" w14:textId="77777777" w:rsidR="00DD13BF" w:rsidRPr="00347461" w:rsidRDefault="00DD13BF" w:rsidP="00355A56">
            <w:pPr>
              <w:pStyle w:val="TableParagraph"/>
              <w:rPr>
                <w:sz w:val="20"/>
              </w:rPr>
            </w:pPr>
            <w:r>
              <w:rPr>
                <w:sz w:val="20"/>
              </w:rPr>
              <w:t>Target (2029)</w:t>
            </w:r>
          </w:p>
        </w:tc>
        <w:tc>
          <w:tcPr>
            <w:tcW w:w="851" w:type="dxa"/>
          </w:tcPr>
          <w:p w14:paraId="01B7032E" w14:textId="77777777" w:rsidR="00DD13BF" w:rsidRPr="00347461" w:rsidRDefault="00DD13BF" w:rsidP="00355A56">
            <w:pPr>
              <w:pStyle w:val="TableParagraph"/>
              <w:rPr>
                <w:sz w:val="20"/>
              </w:rPr>
            </w:pPr>
            <w:r>
              <w:rPr>
                <w:sz w:val="20"/>
              </w:rPr>
              <w:t>Source of data</w:t>
            </w:r>
          </w:p>
        </w:tc>
        <w:tc>
          <w:tcPr>
            <w:tcW w:w="720" w:type="dxa"/>
          </w:tcPr>
          <w:p w14:paraId="6501A751" w14:textId="77777777" w:rsidR="00DD13BF" w:rsidRPr="00347461" w:rsidRDefault="00DD13BF" w:rsidP="00355A56">
            <w:pPr>
              <w:pStyle w:val="TableParagraph"/>
              <w:rPr>
                <w:sz w:val="20"/>
              </w:rPr>
            </w:pPr>
            <w:r>
              <w:rPr>
                <w:sz w:val="20"/>
              </w:rPr>
              <w:t>Notes</w:t>
            </w:r>
          </w:p>
        </w:tc>
      </w:tr>
      <w:tr w:rsidR="00DD13BF" w:rsidRPr="00DA0614" w14:paraId="1B280340" w14:textId="77777777" w:rsidTr="00355A56">
        <w:trPr>
          <w:trHeight w:val="353"/>
        </w:trPr>
        <w:tc>
          <w:tcPr>
            <w:tcW w:w="983" w:type="dxa"/>
          </w:tcPr>
          <w:p w14:paraId="4C6C320B" w14:textId="77777777" w:rsidR="00DD13BF" w:rsidRPr="00DA0614" w:rsidRDefault="00DD13BF" w:rsidP="00355A56">
            <w:pPr>
              <w:pStyle w:val="TableParagraph"/>
              <w:rPr>
                <w:sz w:val="20"/>
              </w:rPr>
            </w:pPr>
            <w:r>
              <w:rPr>
                <w:sz w:val="20"/>
              </w:rPr>
              <w:t>7</w:t>
            </w:r>
          </w:p>
        </w:tc>
        <w:tc>
          <w:tcPr>
            <w:tcW w:w="851" w:type="dxa"/>
          </w:tcPr>
          <w:p w14:paraId="6DC8BA8B" w14:textId="77777777" w:rsidR="00DD13BF" w:rsidRPr="00DA0614" w:rsidRDefault="00DD13BF" w:rsidP="00355A56">
            <w:pPr>
              <w:pStyle w:val="TableParagraph"/>
              <w:rPr>
                <w:sz w:val="20"/>
              </w:rPr>
            </w:pPr>
            <w:r>
              <w:rPr>
                <w:color w:val="000000"/>
                <w:sz w:val="20"/>
              </w:rPr>
              <w:t>RSO4.5</w:t>
            </w:r>
          </w:p>
        </w:tc>
        <w:tc>
          <w:tcPr>
            <w:tcW w:w="567" w:type="dxa"/>
          </w:tcPr>
          <w:p w14:paraId="48A94B93" w14:textId="77777777" w:rsidR="00DD13BF" w:rsidRPr="00DA0614" w:rsidRDefault="00DD13BF" w:rsidP="00355A56">
            <w:pPr>
              <w:pStyle w:val="TableParagraph"/>
              <w:rPr>
                <w:sz w:val="20"/>
              </w:rPr>
            </w:pPr>
            <w:r>
              <w:rPr>
                <w:sz w:val="20"/>
              </w:rPr>
              <w:t>ERDF</w:t>
            </w:r>
          </w:p>
        </w:tc>
        <w:tc>
          <w:tcPr>
            <w:tcW w:w="1572" w:type="dxa"/>
          </w:tcPr>
          <w:p w14:paraId="21C52198" w14:textId="77777777" w:rsidR="00DD13BF" w:rsidRPr="00DA0614" w:rsidRDefault="00DD13BF" w:rsidP="00355A56">
            <w:pPr>
              <w:pStyle w:val="TableParagraph"/>
              <w:rPr>
                <w:sz w:val="20"/>
              </w:rPr>
            </w:pPr>
            <w:r>
              <w:rPr>
                <w:sz w:val="20"/>
              </w:rPr>
              <w:t>Less developed</w:t>
            </w:r>
          </w:p>
        </w:tc>
        <w:tc>
          <w:tcPr>
            <w:tcW w:w="709" w:type="dxa"/>
          </w:tcPr>
          <w:p w14:paraId="22A679DF" w14:textId="77777777" w:rsidR="00DD13BF" w:rsidRPr="00DA0614" w:rsidRDefault="00DD13BF" w:rsidP="00355A56">
            <w:pPr>
              <w:pStyle w:val="TableParagraph"/>
              <w:rPr>
                <w:sz w:val="20"/>
              </w:rPr>
            </w:pPr>
            <w:r>
              <w:rPr>
                <w:sz w:val="20"/>
              </w:rPr>
              <w:t>RCR73</w:t>
            </w:r>
          </w:p>
        </w:tc>
        <w:tc>
          <w:tcPr>
            <w:tcW w:w="3672" w:type="dxa"/>
          </w:tcPr>
          <w:p w14:paraId="679E1595" w14:textId="77777777" w:rsidR="00DD13BF" w:rsidRPr="00DA0614" w:rsidRDefault="00DD13BF" w:rsidP="00355A56">
            <w:pPr>
              <w:pStyle w:val="TableParagraph"/>
              <w:rPr>
                <w:bCs/>
                <w:sz w:val="20"/>
              </w:rPr>
            </w:pPr>
            <w:r>
              <w:rPr>
                <w:sz w:val="20"/>
              </w:rPr>
              <w:t>Annual users of new or modernised health care facilities</w:t>
            </w:r>
          </w:p>
        </w:tc>
        <w:tc>
          <w:tcPr>
            <w:tcW w:w="992" w:type="dxa"/>
          </w:tcPr>
          <w:p w14:paraId="36AEF076" w14:textId="77777777" w:rsidR="00DD13BF" w:rsidRPr="00DA0614" w:rsidRDefault="00DD13BF" w:rsidP="00355A56">
            <w:pPr>
              <w:pStyle w:val="TableParagraph"/>
              <w:rPr>
                <w:sz w:val="20"/>
              </w:rPr>
            </w:pPr>
            <w:r>
              <w:rPr>
                <w:sz w:val="20"/>
              </w:rPr>
              <w:t>Users/year</w:t>
            </w:r>
          </w:p>
        </w:tc>
        <w:tc>
          <w:tcPr>
            <w:tcW w:w="1134" w:type="dxa"/>
          </w:tcPr>
          <w:p w14:paraId="704BB7F4" w14:textId="77777777" w:rsidR="00DD13BF" w:rsidRPr="00DA0614" w:rsidRDefault="00DD13BF" w:rsidP="00355A56">
            <w:pPr>
              <w:pStyle w:val="TableParagraph"/>
              <w:rPr>
                <w:sz w:val="20"/>
              </w:rPr>
            </w:pPr>
            <w:r>
              <w:rPr>
                <w:sz w:val="20"/>
              </w:rPr>
              <w:t>0</w:t>
            </w:r>
          </w:p>
        </w:tc>
        <w:tc>
          <w:tcPr>
            <w:tcW w:w="993" w:type="dxa"/>
          </w:tcPr>
          <w:p w14:paraId="23DD0AB9" w14:textId="77777777" w:rsidR="00DD13BF" w:rsidRPr="00DA0614" w:rsidRDefault="00DD13BF" w:rsidP="00355A56">
            <w:pPr>
              <w:pStyle w:val="TableParagraph"/>
              <w:rPr>
                <w:sz w:val="20"/>
              </w:rPr>
            </w:pPr>
            <w:r>
              <w:rPr>
                <w:sz w:val="20"/>
              </w:rPr>
              <w:t>2021</w:t>
            </w:r>
          </w:p>
        </w:tc>
        <w:tc>
          <w:tcPr>
            <w:tcW w:w="838" w:type="dxa"/>
          </w:tcPr>
          <w:p w14:paraId="71F11114" w14:textId="77777777" w:rsidR="00DD13BF" w:rsidRPr="00DA0614" w:rsidRDefault="00DD13BF" w:rsidP="00355A56">
            <w:pPr>
              <w:pStyle w:val="TableParagraph"/>
              <w:rPr>
                <w:sz w:val="20"/>
              </w:rPr>
            </w:pPr>
            <w:r>
              <w:rPr>
                <w:sz w:val="20"/>
              </w:rPr>
              <w:t>112,000</w:t>
            </w:r>
          </w:p>
        </w:tc>
        <w:tc>
          <w:tcPr>
            <w:tcW w:w="851" w:type="dxa"/>
          </w:tcPr>
          <w:p w14:paraId="48291D1C" w14:textId="77777777" w:rsidR="00DD13BF" w:rsidRPr="00DA0614" w:rsidRDefault="00DD13BF" w:rsidP="00355A56">
            <w:pPr>
              <w:pStyle w:val="TableParagraph"/>
              <w:rPr>
                <w:sz w:val="20"/>
              </w:rPr>
            </w:pPr>
            <w:r>
              <w:rPr>
                <w:sz w:val="20"/>
              </w:rPr>
              <w:t>MZ</w:t>
            </w:r>
          </w:p>
        </w:tc>
        <w:tc>
          <w:tcPr>
            <w:tcW w:w="720" w:type="dxa"/>
          </w:tcPr>
          <w:p w14:paraId="6C4E83ED" w14:textId="77777777" w:rsidR="00DD13BF" w:rsidRPr="00DA0614" w:rsidRDefault="00DD13BF" w:rsidP="00355A56">
            <w:pPr>
              <w:pStyle w:val="TableParagraph"/>
              <w:rPr>
                <w:sz w:val="20"/>
              </w:rPr>
            </w:pPr>
          </w:p>
        </w:tc>
      </w:tr>
    </w:tbl>
    <w:p w14:paraId="6911744E" w14:textId="77777777" w:rsidR="00DD13BF" w:rsidRPr="00F81084" w:rsidRDefault="00DD13BF" w:rsidP="00DD13BF">
      <w:pPr>
        <w:pStyle w:val="Telobesedila"/>
      </w:pPr>
    </w:p>
    <w:p w14:paraId="5DA7CE2B" w14:textId="77777777" w:rsidR="00DD13BF" w:rsidRPr="00F81084" w:rsidRDefault="00DD13BF" w:rsidP="00DD13BF">
      <w:pPr>
        <w:pStyle w:val="Telobesedila"/>
      </w:pPr>
    </w:p>
    <w:p w14:paraId="099D2ECD" w14:textId="77777777" w:rsidR="00DD13BF" w:rsidRPr="00F81084" w:rsidRDefault="00DD13BF" w:rsidP="00DD13BF">
      <w:pPr>
        <w:pStyle w:val="Telobesedila"/>
      </w:pPr>
    </w:p>
    <w:p w14:paraId="6E192684" w14:textId="77777777" w:rsidR="00DD13BF" w:rsidRDefault="00DD13BF" w:rsidP="00DD13BF">
      <w:pPr>
        <w:pStyle w:val="Naslov5"/>
        <w:numPr>
          <w:ilvl w:val="4"/>
          <w:numId w:val="16"/>
        </w:numPr>
        <w:spacing w:before="0"/>
      </w:pPr>
      <w:r>
        <w:lastRenderedPageBreak/>
        <w:t>Indicative breakdown of the programme resources (EU) by type of intervention</w:t>
      </w:r>
    </w:p>
    <w:p w14:paraId="55E7910F" w14:textId="77777777" w:rsidR="00DD13BF" w:rsidRDefault="00DD13BF" w:rsidP="00DD13BF">
      <w:pPr>
        <w:ind w:left="640"/>
        <w:rPr>
          <w:spacing w:val="-5"/>
        </w:rPr>
      </w:pPr>
    </w:p>
    <w:p w14:paraId="2FB4D713" w14:textId="77777777" w:rsidR="00DD13BF" w:rsidRPr="00673ADB" w:rsidRDefault="00DD13BF" w:rsidP="00DD13BF">
      <w:pPr>
        <w:spacing w:before="89"/>
        <w:ind w:left="339"/>
        <w:rPr>
          <w:spacing w:val="-7"/>
        </w:rPr>
      </w:pPr>
      <w:r>
        <w:t>Table 4: Dimension 1 – intervention field</w:t>
      </w:r>
    </w:p>
    <w:p w14:paraId="47ABB996" w14:textId="77777777" w:rsidR="00DD13BF" w:rsidRDefault="00DD13BF" w:rsidP="00DD13BF">
      <w:pPr>
        <w:spacing w:before="8" w:after="1"/>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0999CF76" w14:textId="77777777" w:rsidTr="00355A56">
        <w:trPr>
          <w:trHeight w:val="353"/>
        </w:trPr>
        <w:tc>
          <w:tcPr>
            <w:tcW w:w="2088" w:type="dxa"/>
          </w:tcPr>
          <w:p w14:paraId="21FB867C" w14:textId="77777777" w:rsidR="00DD13BF" w:rsidRDefault="00DD13BF" w:rsidP="00355A56">
            <w:pPr>
              <w:pStyle w:val="TableParagraph"/>
              <w:spacing w:before="39"/>
              <w:ind w:left="115"/>
            </w:pPr>
            <w:r>
              <w:t>Priority no.</w:t>
            </w:r>
          </w:p>
        </w:tc>
        <w:tc>
          <w:tcPr>
            <w:tcW w:w="1133" w:type="dxa"/>
          </w:tcPr>
          <w:p w14:paraId="49631877" w14:textId="77777777" w:rsidR="00DD13BF" w:rsidRDefault="00DD13BF" w:rsidP="00355A56">
            <w:pPr>
              <w:pStyle w:val="TableParagraph"/>
              <w:spacing w:before="39"/>
              <w:ind w:left="320"/>
            </w:pPr>
            <w:r>
              <w:t>Fund</w:t>
            </w:r>
          </w:p>
        </w:tc>
        <w:tc>
          <w:tcPr>
            <w:tcW w:w="3249" w:type="dxa"/>
          </w:tcPr>
          <w:p w14:paraId="79AE69C4" w14:textId="77777777" w:rsidR="00DD13BF" w:rsidRDefault="00DD13BF" w:rsidP="00355A56">
            <w:pPr>
              <w:pStyle w:val="TableParagraph"/>
              <w:spacing w:before="39"/>
              <w:ind w:left="907"/>
            </w:pPr>
            <w:r>
              <w:t>Category of region</w:t>
            </w:r>
          </w:p>
        </w:tc>
        <w:tc>
          <w:tcPr>
            <w:tcW w:w="3099" w:type="dxa"/>
          </w:tcPr>
          <w:p w14:paraId="331C6A8E" w14:textId="77777777" w:rsidR="00DD13BF" w:rsidRDefault="00DD13BF" w:rsidP="00355A56">
            <w:pPr>
              <w:pStyle w:val="TableParagraph"/>
              <w:spacing w:before="39"/>
              <w:ind w:left="948"/>
            </w:pPr>
            <w:r>
              <w:t>Specific objective</w:t>
            </w:r>
          </w:p>
        </w:tc>
        <w:tc>
          <w:tcPr>
            <w:tcW w:w="1161" w:type="dxa"/>
          </w:tcPr>
          <w:p w14:paraId="6430A838" w14:textId="77777777" w:rsidR="00DD13BF" w:rsidRDefault="00DD13BF" w:rsidP="00355A56">
            <w:pPr>
              <w:pStyle w:val="TableParagraph"/>
              <w:spacing w:before="39"/>
              <w:ind w:left="333"/>
            </w:pPr>
            <w:r>
              <w:t>Code</w:t>
            </w:r>
          </w:p>
        </w:tc>
        <w:tc>
          <w:tcPr>
            <w:tcW w:w="2731" w:type="dxa"/>
          </w:tcPr>
          <w:p w14:paraId="39B255FE" w14:textId="77777777" w:rsidR="00DD13BF" w:rsidRDefault="00DD13BF" w:rsidP="00355A56">
            <w:pPr>
              <w:pStyle w:val="TableParagraph"/>
              <w:spacing w:before="39"/>
              <w:ind w:left="660"/>
            </w:pPr>
            <w:r>
              <w:t>Amount (in EUR)</w:t>
            </w:r>
          </w:p>
        </w:tc>
      </w:tr>
      <w:tr w:rsidR="00DD13BF" w14:paraId="135AE222" w14:textId="77777777" w:rsidTr="00355A56">
        <w:trPr>
          <w:trHeight w:val="353"/>
        </w:trPr>
        <w:tc>
          <w:tcPr>
            <w:tcW w:w="2088" w:type="dxa"/>
          </w:tcPr>
          <w:p w14:paraId="6CB8A1B4" w14:textId="77777777" w:rsidR="00DD13BF" w:rsidRDefault="00DD13BF" w:rsidP="00355A56">
            <w:pPr>
              <w:pStyle w:val="TableParagraph"/>
              <w:rPr>
                <w:sz w:val="20"/>
              </w:rPr>
            </w:pPr>
            <w:r>
              <w:rPr>
                <w:sz w:val="20"/>
              </w:rPr>
              <w:t>7</w:t>
            </w:r>
          </w:p>
        </w:tc>
        <w:tc>
          <w:tcPr>
            <w:tcW w:w="1133" w:type="dxa"/>
          </w:tcPr>
          <w:p w14:paraId="02206D4E" w14:textId="77777777" w:rsidR="00DD13BF" w:rsidRDefault="00DD13BF" w:rsidP="00355A56">
            <w:pPr>
              <w:pStyle w:val="TableParagraph"/>
              <w:rPr>
                <w:sz w:val="20"/>
              </w:rPr>
            </w:pPr>
            <w:r>
              <w:rPr>
                <w:sz w:val="20"/>
              </w:rPr>
              <w:t>ERDF</w:t>
            </w:r>
          </w:p>
        </w:tc>
        <w:tc>
          <w:tcPr>
            <w:tcW w:w="3249" w:type="dxa"/>
          </w:tcPr>
          <w:p w14:paraId="310E0701" w14:textId="77777777" w:rsidR="00DD13BF" w:rsidRDefault="00DD13BF" w:rsidP="00355A56">
            <w:pPr>
              <w:pStyle w:val="TableParagraph"/>
              <w:rPr>
                <w:sz w:val="20"/>
              </w:rPr>
            </w:pPr>
            <w:r>
              <w:rPr>
                <w:sz w:val="20"/>
              </w:rPr>
              <w:t>Less developed</w:t>
            </w:r>
          </w:p>
        </w:tc>
        <w:tc>
          <w:tcPr>
            <w:tcW w:w="3099" w:type="dxa"/>
          </w:tcPr>
          <w:p w14:paraId="022F77A7" w14:textId="77777777" w:rsidR="00DD13BF" w:rsidRDefault="00DD13BF" w:rsidP="00355A56">
            <w:pPr>
              <w:pStyle w:val="TableParagraph"/>
              <w:rPr>
                <w:sz w:val="20"/>
              </w:rPr>
            </w:pPr>
            <w:r>
              <w:rPr>
                <w:color w:val="000000"/>
                <w:sz w:val="20"/>
              </w:rPr>
              <w:t>RSO4.5</w:t>
            </w:r>
          </w:p>
        </w:tc>
        <w:tc>
          <w:tcPr>
            <w:tcW w:w="1161" w:type="dxa"/>
          </w:tcPr>
          <w:p w14:paraId="720DF451" w14:textId="77777777" w:rsidR="00DD13BF" w:rsidRDefault="00DD13BF" w:rsidP="00355A56">
            <w:pPr>
              <w:pStyle w:val="TableParagraph"/>
              <w:rPr>
                <w:sz w:val="20"/>
              </w:rPr>
            </w:pPr>
            <w:r>
              <w:rPr>
                <w:sz w:val="20"/>
              </w:rPr>
              <w:t>043</w:t>
            </w:r>
          </w:p>
        </w:tc>
        <w:tc>
          <w:tcPr>
            <w:tcW w:w="2731" w:type="dxa"/>
          </w:tcPr>
          <w:p w14:paraId="1C62BF8A" w14:textId="77777777" w:rsidR="00DD13BF" w:rsidRDefault="00DD13BF" w:rsidP="00355A56">
            <w:pPr>
              <w:pStyle w:val="TableParagraph"/>
              <w:rPr>
                <w:sz w:val="20"/>
              </w:rPr>
            </w:pPr>
            <w:r>
              <w:rPr>
                <w:sz w:val="20"/>
              </w:rPr>
              <w:t>17,500,000</w:t>
            </w:r>
          </w:p>
        </w:tc>
      </w:tr>
      <w:tr w:rsidR="00DD13BF" w14:paraId="3CEDE6BC" w14:textId="77777777" w:rsidTr="00355A56">
        <w:trPr>
          <w:trHeight w:val="353"/>
        </w:trPr>
        <w:tc>
          <w:tcPr>
            <w:tcW w:w="2088" w:type="dxa"/>
          </w:tcPr>
          <w:p w14:paraId="20A1F364" w14:textId="77777777" w:rsidR="00DD13BF" w:rsidRDefault="00DD13BF" w:rsidP="00355A56">
            <w:pPr>
              <w:pStyle w:val="TableParagraph"/>
              <w:rPr>
                <w:sz w:val="20"/>
              </w:rPr>
            </w:pPr>
            <w:r>
              <w:rPr>
                <w:sz w:val="20"/>
              </w:rPr>
              <w:t>7</w:t>
            </w:r>
          </w:p>
        </w:tc>
        <w:tc>
          <w:tcPr>
            <w:tcW w:w="1133" w:type="dxa"/>
          </w:tcPr>
          <w:p w14:paraId="00031049" w14:textId="77777777" w:rsidR="00DD13BF" w:rsidRDefault="00DD13BF" w:rsidP="00355A56">
            <w:pPr>
              <w:pStyle w:val="TableParagraph"/>
              <w:rPr>
                <w:sz w:val="20"/>
              </w:rPr>
            </w:pPr>
            <w:r>
              <w:rPr>
                <w:sz w:val="20"/>
              </w:rPr>
              <w:t>ERDF</w:t>
            </w:r>
          </w:p>
        </w:tc>
        <w:tc>
          <w:tcPr>
            <w:tcW w:w="3249" w:type="dxa"/>
          </w:tcPr>
          <w:p w14:paraId="1094628A" w14:textId="77777777" w:rsidR="00DD13BF" w:rsidRDefault="00DD13BF" w:rsidP="00355A56">
            <w:pPr>
              <w:pStyle w:val="TableParagraph"/>
              <w:rPr>
                <w:sz w:val="20"/>
              </w:rPr>
            </w:pPr>
            <w:r>
              <w:rPr>
                <w:sz w:val="20"/>
              </w:rPr>
              <w:t>Less developed</w:t>
            </w:r>
          </w:p>
        </w:tc>
        <w:tc>
          <w:tcPr>
            <w:tcW w:w="3099" w:type="dxa"/>
          </w:tcPr>
          <w:p w14:paraId="27950D72" w14:textId="77777777" w:rsidR="00DD13BF" w:rsidRDefault="00DD13BF" w:rsidP="00355A56">
            <w:pPr>
              <w:pStyle w:val="TableParagraph"/>
              <w:rPr>
                <w:sz w:val="20"/>
              </w:rPr>
            </w:pPr>
            <w:r>
              <w:rPr>
                <w:color w:val="000000"/>
                <w:sz w:val="20"/>
              </w:rPr>
              <w:t>RSO4.5</w:t>
            </w:r>
          </w:p>
        </w:tc>
        <w:tc>
          <w:tcPr>
            <w:tcW w:w="1161" w:type="dxa"/>
          </w:tcPr>
          <w:p w14:paraId="1C319064" w14:textId="77777777" w:rsidR="00DD13BF" w:rsidRPr="1F082729" w:rsidRDefault="00DD13BF" w:rsidP="00355A56">
            <w:pPr>
              <w:pStyle w:val="TableParagraph"/>
              <w:rPr>
                <w:sz w:val="20"/>
              </w:rPr>
            </w:pPr>
            <w:r>
              <w:rPr>
                <w:sz w:val="20"/>
              </w:rPr>
              <w:t>044</w:t>
            </w:r>
          </w:p>
        </w:tc>
        <w:tc>
          <w:tcPr>
            <w:tcW w:w="2731" w:type="dxa"/>
          </w:tcPr>
          <w:p w14:paraId="347D107A" w14:textId="77777777" w:rsidR="00DD13BF" w:rsidRDefault="00DD13BF" w:rsidP="00355A56">
            <w:pPr>
              <w:pStyle w:val="TableParagraph"/>
              <w:rPr>
                <w:sz w:val="20"/>
              </w:rPr>
            </w:pPr>
            <w:r>
              <w:rPr>
                <w:sz w:val="20"/>
              </w:rPr>
              <w:t>17,500,000</w:t>
            </w:r>
          </w:p>
        </w:tc>
      </w:tr>
      <w:tr w:rsidR="00DD13BF" w14:paraId="51A60D8B" w14:textId="77777777" w:rsidTr="00355A56">
        <w:trPr>
          <w:trHeight w:val="353"/>
        </w:trPr>
        <w:tc>
          <w:tcPr>
            <w:tcW w:w="2088" w:type="dxa"/>
          </w:tcPr>
          <w:p w14:paraId="0DB9844B" w14:textId="77777777" w:rsidR="00DD13BF" w:rsidRDefault="00DD13BF" w:rsidP="00355A56">
            <w:pPr>
              <w:pStyle w:val="TableParagraph"/>
              <w:rPr>
                <w:sz w:val="20"/>
              </w:rPr>
            </w:pPr>
            <w:r>
              <w:rPr>
                <w:sz w:val="20"/>
              </w:rPr>
              <w:t>7</w:t>
            </w:r>
          </w:p>
        </w:tc>
        <w:tc>
          <w:tcPr>
            <w:tcW w:w="1133" w:type="dxa"/>
          </w:tcPr>
          <w:p w14:paraId="2114DFB4" w14:textId="77777777" w:rsidR="00DD13BF" w:rsidRDefault="00DD13BF" w:rsidP="00355A56">
            <w:pPr>
              <w:pStyle w:val="TableParagraph"/>
              <w:rPr>
                <w:sz w:val="20"/>
              </w:rPr>
            </w:pPr>
            <w:r>
              <w:rPr>
                <w:sz w:val="20"/>
              </w:rPr>
              <w:t>ERDF</w:t>
            </w:r>
          </w:p>
        </w:tc>
        <w:tc>
          <w:tcPr>
            <w:tcW w:w="3249" w:type="dxa"/>
          </w:tcPr>
          <w:p w14:paraId="38D6C78B" w14:textId="77777777" w:rsidR="00DD13BF" w:rsidRDefault="00DD13BF" w:rsidP="00355A56">
            <w:pPr>
              <w:pStyle w:val="TableParagraph"/>
              <w:rPr>
                <w:sz w:val="20"/>
              </w:rPr>
            </w:pPr>
            <w:r>
              <w:rPr>
                <w:sz w:val="20"/>
              </w:rPr>
              <w:t>Less developed</w:t>
            </w:r>
          </w:p>
        </w:tc>
        <w:tc>
          <w:tcPr>
            <w:tcW w:w="3099" w:type="dxa"/>
          </w:tcPr>
          <w:p w14:paraId="22B20075" w14:textId="77777777" w:rsidR="00DD13BF" w:rsidRDefault="00DD13BF" w:rsidP="00355A56">
            <w:pPr>
              <w:pStyle w:val="TableParagraph"/>
              <w:rPr>
                <w:sz w:val="20"/>
              </w:rPr>
            </w:pPr>
            <w:r>
              <w:rPr>
                <w:color w:val="000000"/>
                <w:sz w:val="20"/>
              </w:rPr>
              <w:t>RSO4.5</w:t>
            </w:r>
          </w:p>
        </w:tc>
        <w:tc>
          <w:tcPr>
            <w:tcW w:w="1161" w:type="dxa"/>
          </w:tcPr>
          <w:p w14:paraId="21C83DA1" w14:textId="77777777" w:rsidR="00DD13BF" w:rsidRDefault="00DD13BF" w:rsidP="00355A56">
            <w:pPr>
              <w:pStyle w:val="TableParagraph"/>
              <w:rPr>
                <w:sz w:val="20"/>
              </w:rPr>
            </w:pPr>
            <w:r>
              <w:rPr>
                <w:sz w:val="20"/>
              </w:rPr>
              <w:t>129</w:t>
            </w:r>
          </w:p>
        </w:tc>
        <w:tc>
          <w:tcPr>
            <w:tcW w:w="2731" w:type="dxa"/>
          </w:tcPr>
          <w:p w14:paraId="19F11B03" w14:textId="77777777" w:rsidR="00DD13BF" w:rsidRDefault="00DD13BF" w:rsidP="00355A56">
            <w:pPr>
              <w:pStyle w:val="TableParagraph"/>
              <w:rPr>
                <w:sz w:val="20"/>
              </w:rPr>
            </w:pPr>
            <w:r>
              <w:rPr>
                <w:sz w:val="20"/>
              </w:rPr>
              <w:t xml:space="preserve">23,780,000 </w:t>
            </w:r>
          </w:p>
        </w:tc>
      </w:tr>
    </w:tbl>
    <w:p w14:paraId="6A6263F6" w14:textId="77777777" w:rsidR="00DD13BF" w:rsidRDefault="00DD13BF" w:rsidP="00DD13BF"/>
    <w:p w14:paraId="5BA1C5BB" w14:textId="77777777" w:rsidR="00DD13BF" w:rsidRPr="00673ADB" w:rsidRDefault="00DD13BF" w:rsidP="00DD13BF">
      <w:pPr>
        <w:spacing w:before="89"/>
        <w:ind w:left="339"/>
        <w:rPr>
          <w:spacing w:val="-7"/>
        </w:rPr>
      </w:pPr>
      <w:r>
        <w:t>Table 5: Dimension 2 – form of financing</w:t>
      </w:r>
    </w:p>
    <w:p w14:paraId="682B9051" w14:textId="77777777" w:rsidR="00DD13BF" w:rsidRDefault="00DD13BF" w:rsidP="00DD13BF">
      <w:pPr>
        <w:spacing w:before="9" w:after="1"/>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714E846" w14:textId="77777777" w:rsidTr="00355A56">
        <w:trPr>
          <w:trHeight w:val="353"/>
        </w:trPr>
        <w:tc>
          <w:tcPr>
            <w:tcW w:w="2088" w:type="dxa"/>
          </w:tcPr>
          <w:p w14:paraId="6A4C5727" w14:textId="77777777" w:rsidR="00DD13BF" w:rsidRDefault="00DD13BF" w:rsidP="00355A56">
            <w:pPr>
              <w:pStyle w:val="TableParagraph"/>
              <w:spacing w:before="39"/>
              <w:ind w:left="115"/>
            </w:pPr>
            <w:r>
              <w:t>Priority no.</w:t>
            </w:r>
          </w:p>
        </w:tc>
        <w:tc>
          <w:tcPr>
            <w:tcW w:w="1133" w:type="dxa"/>
          </w:tcPr>
          <w:p w14:paraId="0DB86A4F" w14:textId="77777777" w:rsidR="00DD13BF" w:rsidRDefault="00DD13BF" w:rsidP="00355A56">
            <w:pPr>
              <w:pStyle w:val="TableParagraph"/>
              <w:spacing w:before="39"/>
              <w:ind w:left="320"/>
            </w:pPr>
            <w:r>
              <w:t>Fund</w:t>
            </w:r>
          </w:p>
        </w:tc>
        <w:tc>
          <w:tcPr>
            <w:tcW w:w="3249" w:type="dxa"/>
          </w:tcPr>
          <w:p w14:paraId="76D304D4" w14:textId="77777777" w:rsidR="00DD13BF" w:rsidRDefault="00DD13BF" w:rsidP="00355A56">
            <w:pPr>
              <w:pStyle w:val="TableParagraph"/>
              <w:spacing w:before="39"/>
              <w:ind w:left="907"/>
            </w:pPr>
            <w:r>
              <w:t>Category of region</w:t>
            </w:r>
          </w:p>
        </w:tc>
        <w:tc>
          <w:tcPr>
            <w:tcW w:w="3099" w:type="dxa"/>
          </w:tcPr>
          <w:p w14:paraId="186D38B2" w14:textId="77777777" w:rsidR="00DD13BF" w:rsidRDefault="00DD13BF" w:rsidP="00355A56">
            <w:pPr>
              <w:pStyle w:val="TableParagraph"/>
              <w:spacing w:before="39"/>
              <w:ind w:left="948"/>
            </w:pPr>
            <w:r>
              <w:t>Specific objective</w:t>
            </w:r>
          </w:p>
        </w:tc>
        <w:tc>
          <w:tcPr>
            <w:tcW w:w="1161" w:type="dxa"/>
          </w:tcPr>
          <w:p w14:paraId="3124CBEC" w14:textId="77777777" w:rsidR="00DD13BF" w:rsidRDefault="00DD13BF" w:rsidP="00355A56">
            <w:pPr>
              <w:pStyle w:val="TableParagraph"/>
              <w:spacing w:before="39"/>
              <w:ind w:left="334"/>
            </w:pPr>
            <w:r>
              <w:t>Code</w:t>
            </w:r>
          </w:p>
        </w:tc>
        <w:tc>
          <w:tcPr>
            <w:tcW w:w="2731" w:type="dxa"/>
          </w:tcPr>
          <w:p w14:paraId="6BAFEC9B" w14:textId="77777777" w:rsidR="00DD13BF" w:rsidRDefault="00DD13BF" w:rsidP="00355A56">
            <w:pPr>
              <w:pStyle w:val="TableParagraph"/>
              <w:spacing w:before="39"/>
              <w:ind w:left="661"/>
            </w:pPr>
            <w:r>
              <w:t>Amount (in EUR)</w:t>
            </w:r>
          </w:p>
        </w:tc>
      </w:tr>
      <w:tr w:rsidR="00DD13BF" w14:paraId="78AD3BEA" w14:textId="77777777" w:rsidTr="00355A56">
        <w:trPr>
          <w:trHeight w:val="353"/>
        </w:trPr>
        <w:tc>
          <w:tcPr>
            <w:tcW w:w="2088" w:type="dxa"/>
          </w:tcPr>
          <w:p w14:paraId="581FA9E8" w14:textId="77777777" w:rsidR="00DD13BF" w:rsidRDefault="00DD13BF" w:rsidP="00355A56">
            <w:pPr>
              <w:pStyle w:val="TableParagraph"/>
              <w:rPr>
                <w:sz w:val="20"/>
              </w:rPr>
            </w:pPr>
            <w:r>
              <w:rPr>
                <w:sz w:val="20"/>
              </w:rPr>
              <w:t>7</w:t>
            </w:r>
          </w:p>
        </w:tc>
        <w:tc>
          <w:tcPr>
            <w:tcW w:w="1133" w:type="dxa"/>
          </w:tcPr>
          <w:p w14:paraId="51C61960" w14:textId="77777777" w:rsidR="00DD13BF" w:rsidRDefault="00DD13BF" w:rsidP="00355A56">
            <w:pPr>
              <w:pStyle w:val="TableParagraph"/>
              <w:rPr>
                <w:sz w:val="20"/>
              </w:rPr>
            </w:pPr>
            <w:r>
              <w:rPr>
                <w:sz w:val="20"/>
              </w:rPr>
              <w:t>ERDF</w:t>
            </w:r>
          </w:p>
        </w:tc>
        <w:tc>
          <w:tcPr>
            <w:tcW w:w="3249" w:type="dxa"/>
          </w:tcPr>
          <w:p w14:paraId="37C84786" w14:textId="77777777" w:rsidR="00DD13BF" w:rsidRDefault="00DD13BF" w:rsidP="00355A56">
            <w:pPr>
              <w:pStyle w:val="TableParagraph"/>
              <w:rPr>
                <w:sz w:val="20"/>
              </w:rPr>
            </w:pPr>
            <w:r>
              <w:rPr>
                <w:sz w:val="20"/>
              </w:rPr>
              <w:t>Less developed</w:t>
            </w:r>
          </w:p>
        </w:tc>
        <w:tc>
          <w:tcPr>
            <w:tcW w:w="3099" w:type="dxa"/>
          </w:tcPr>
          <w:p w14:paraId="196CBCBE" w14:textId="77777777" w:rsidR="00DD13BF" w:rsidRDefault="00DD13BF" w:rsidP="00355A56">
            <w:pPr>
              <w:pStyle w:val="TableParagraph"/>
              <w:rPr>
                <w:sz w:val="20"/>
              </w:rPr>
            </w:pPr>
            <w:r>
              <w:rPr>
                <w:color w:val="000000"/>
                <w:sz w:val="20"/>
              </w:rPr>
              <w:t>RSO4.5</w:t>
            </w:r>
          </w:p>
        </w:tc>
        <w:tc>
          <w:tcPr>
            <w:tcW w:w="1161" w:type="dxa"/>
          </w:tcPr>
          <w:p w14:paraId="7B918F6D" w14:textId="77777777" w:rsidR="00DD13BF" w:rsidRDefault="00DD13BF" w:rsidP="00355A56">
            <w:pPr>
              <w:pStyle w:val="TableParagraph"/>
              <w:rPr>
                <w:sz w:val="20"/>
              </w:rPr>
            </w:pPr>
            <w:r>
              <w:rPr>
                <w:sz w:val="20"/>
              </w:rPr>
              <w:t>01</w:t>
            </w:r>
          </w:p>
        </w:tc>
        <w:tc>
          <w:tcPr>
            <w:tcW w:w="2731" w:type="dxa"/>
          </w:tcPr>
          <w:p w14:paraId="1A38309A" w14:textId="77777777" w:rsidR="00DD13BF" w:rsidRDefault="00DD13BF" w:rsidP="00355A56">
            <w:pPr>
              <w:pStyle w:val="TableParagraph"/>
              <w:rPr>
                <w:sz w:val="20"/>
              </w:rPr>
            </w:pPr>
            <w:r>
              <w:rPr>
                <w:sz w:val="20"/>
              </w:rPr>
              <w:t>58,780,000</w:t>
            </w:r>
          </w:p>
        </w:tc>
      </w:tr>
    </w:tbl>
    <w:p w14:paraId="28E07426" w14:textId="77777777" w:rsidR="00DD13BF" w:rsidRDefault="00DD13BF" w:rsidP="00DD13BF">
      <w:pPr>
        <w:rPr>
          <w:sz w:val="20"/>
        </w:rPr>
        <w:sectPr w:rsidR="00DD13BF" w:rsidSect="00BD3536">
          <w:headerReference w:type="default" r:id="rId89"/>
          <w:footerReference w:type="first" r:id="rId90"/>
          <w:type w:val="continuous"/>
          <w:pgSz w:w="16840" w:h="11910" w:orient="landscape"/>
          <w:pgMar w:top="1417" w:right="1417" w:bottom="1417" w:left="1417" w:header="708" w:footer="708" w:gutter="0"/>
          <w:cols w:space="708"/>
          <w:titlePg/>
          <w:docGrid w:linePitch="299"/>
        </w:sectPr>
      </w:pPr>
    </w:p>
    <w:p w14:paraId="45D49E43" w14:textId="77777777" w:rsidR="00DD13BF" w:rsidRDefault="00DD13BF" w:rsidP="00DD13BF">
      <w:pPr>
        <w:spacing w:before="89"/>
        <w:ind w:left="339"/>
      </w:pPr>
      <w:r>
        <w:t>Table 6: Dimension 3 – territorial delivery mechanism and territorial focus</w:t>
      </w:r>
    </w:p>
    <w:p w14:paraId="08C83C9F"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0BA0608" w14:textId="77777777" w:rsidTr="00355A56">
        <w:trPr>
          <w:trHeight w:val="353"/>
        </w:trPr>
        <w:tc>
          <w:tcPr>
            <w:tcW w:w="2088" w:type="dxa"/>
          </w:tcPr>
          <w:p w14:paraId="04CA4FCB" w14:textId="77777777" w:rsidR="00DD13BF" w:rsidRDefault="00DD13BF" w:rsidP="00355A56">
            <w:pPr>
              <w:pStyle w:val="TableParagraph"/>
              <w:spacing w:before="39"/>
              <w:ind w:left="115"/>
            </w:pPr>
            <w:r>
              <w:t>Priority no.</w:t>
            </w:r>
          </w:p>
        </w:tc>
        <w:tc>
          <w:tcPr>
            <w:tcW w:w="1132" w:type="dxa"/>
          </w:tcPr>
          <w:p w14:paraId="6063E2C8" w14:textId="77777777" w:rsidR="00DD13BF" w:rsidRDefault="00DD13BF" w:rsidP="00355A56">
            <w:pPr>
              <w:pStyle w:val="TableParagraph"/>
              <w:spacing w:before="39"/>
              <w:ind w:left="320"/>
            </w:pPr>
            <w:r>
              <w:t>Fund</w:t>
            </w:r>
          </w:p>
        </w:tc>
        <w:tc>
          <w:tcPr>
            <w:tcW w:w="3248" w:type="dxa"/>
          </w:tcPr>
          <w:p w14:paraId="72FFE9CC" w14:textId="77777777" w:rsidR="00DD13BF" w:rsidRDefault="00DD13BF" w:rsidP="00355A56">
            <w:pPr>
              <w:pStyle w:val="TableParagraph"/>
              <w:spacing w:before="39"/>
              <w:ind w:left="908"/>
            </w:pPr>
            <w:r>
              <w:t>Category of region</w:t>
            </w:r>
          </w:p>
        </w:tc>
        <w:tc>
          <w:tcPr>
            <w:tcW w:w="3098" w:type="dxa"/>
          </w:tcPr>
          <w:p w14:paraId="5EB91A76" w14:textId="77777777" w:rsidR="00DD13BF" w:rsidRDefault="00DD13BF" w:rsidP="00355A56">
            <w:pPr>
              <w:pStyle w:val="TableParagraph"/>
              <w:spacing w:before="39"/>
              <w:ind w:left="950"/>
            </w:pPr>
            <w:r>
              <w:t>Specific objective</w:t>
            </w:r>
          </w:p>
        </w:tc>
        <w:tc>
          <w:tcPr>
            <w:tcW w:w="1160" w:type="dxa"/>
          </w:tcPr>
          <w:p w14:paraId="7E391BAC" w14:textId="77777777" w:rsidR="00DD13BF" w:rsidRDefault="00DD13BF" w:rsidP="00355A56">
            <w:pPr>
              <w:pStyle w:val="TableParagraph"/>
              <w:spacing w:before="39"/>
              <w:ind w:left="336"/>
            </w:pPr>
            <w:r>
              <w:t>Code</w:t>
            </w:r>
          </w:p>
        </w:tc>
        <w:tc>
          <w:tcPr>
            <w:tcW w:w="2730" w:type="dxa"/>
          </w:tcPr>
          <w:p w14:paraId="6FE78A85" w14:textId="77777777" w:rsidR="00DD13BF" w:rsidRDefault="00DD13BF" w:rsidP="00355A56">
            <w:pPr>
              <w:pStyle w:val="TableParagraph"/>
              <w:spacing w:before="39"/>
              <w:ind w:left="664"/>
            </w:pPr>
            <w:r>
              <w:t>Amount (in EUR)</w:t>
            </w:r>
          </w:p>
        </w:tc>
      </w:tr>
      <w:tr w:rsidR="00DD13BF" w14:paraId="724EC23C" w14:textId="77777777" w:rsidTr="00355A56">
        <w:trPr>
          <w:trHeight w:val="353"/>
        </w:trPr>
        <w:tc>
          <w:tcPr>
            <w:tcW w:w="2088" w:type="dxa"/>
          </w:tcPr>
          <w:p w14:paraId="1B86222C" w14:textId="77777777" w:rsidR="00DD13BF" w:rsidRDefault="00DD13BF" w:rsidP="00355A56">
            <w:pPr>
              <w:pStyle w:val="TableParagraph"/>
              <w:rPr>
                <w:sz w:val="20"/>
              </w:rPr>
            </w:pPr>
            <w:r>
              <w:rPr>
                <w:sz w:val="20"/>
              </w:rPr>
              <w:t>7</w:t>
            </w:r>
          </w:p>
        </w:tc>
        <w:tc>
          <w:tcPr>
            <w:tcW w:w="1132" w:type="dxa"/>
          </w:tcPr>
          <w:p w14:paraId="03D9AD7B" w14:textId="77777777" w:rsidR="00DD13BF" w:rsidRDefault="00DD13BF" w:rsidP="00355A56">
            <w:pPr>
              <w:pStyle w:val="TableParagraph"/>
              <w:rPr>
                <w:sz w:val="20"/>
              </w:rPr>
            </w:pPr>
            <w:r>
              <w:rPr>
                <w:sz w:val="20"/>
              </w:rPr>
              <w:t>ERDF</w:t>
            </w:r>
          </w:p>
        </w:tc>
        <w:tc>
          <w:tcPr>
            <w:tcW w:w="3248" w:type="dxa"/>
          </w:tcPr>
          <w:p w14:paraId="50E103B3" w14:textId="77777777" w:rsidR="00DD13BF" w:rsidRDefault="00DD13BF" w:rsidP="00355A56">
            <w:pPr>
              <w:pStyle w:val="TableParagraph"/>
              <w:rPr>
                <w:sz w:val="20"/>
              </w:rPr>
            </w:pPr>
            <w:r>
              <w:rPr>
                <w:sz w:val="20"/>
              </w:rPr>
              <w:t>Less developed</w:t>
            </w:r>
          </w:p>
        </w:tc>
        <w:tc>
          <w:tcPr>
            <w:tcW w:w="3098" w:type="dxa"/>
          </w:tcPr>
          <w:p w14:paraId="6357D6D2" w14:textId="77777777" w:rsidR="00DD13BF" w:rsidRDefault="00DD13BF" w:rsidP="00355A56">
            <w:pPr>
              <w:pStyle w:val="TableParagraph"/>
              <w:rPr>
                <w:sz w:val="20"/>
              </w:rPr>
            </w:pPr>
            <w:r>
              <w:rPr>
                <w:color w:val="000000"/>
                <w:sz w:val="20"/>
              </w:rPr>
              <w:t>RSO4.5</w:t>
            </w:r>
          </w:p>
        </w:tc>
        <w:tc>
          <w:tcPr>
            <w:tcW w:w="1160" w:type="dxa"/>
          </w:tcPr>
          <w:p w14:paraId="3BD92C9A" w14:textId="77777777" w:rsidR="00DD13BF" w:rsidRDefault="00DD13BF" w:rsidP="00355A56">
            <w:pPr>
              <w:pStyle w:val="TableParagraph"/>
              <w:rPr>
                <w:sz w:val="20"/>
              </w:rPr>
            </w:pPr>
            <w:r>
              <w:rPr>
                <w:sz w:val="20"/>
              </w:rPr>
              <w:t>33</w:t>
            </w:r>
          </w:p>
        </w:tc>
        <w:tc>
          <w:tcPr>
            <w:tcW w:w="2730" w:type="dxa"/>
          </w:tcPr>
          <w:p w14:paraId="1590E285" w14:textId="77777777" w:rsidR="00DD13BF" w:rsidRDefault="00DD13BF" w:rsidP="00355A56">
            <w:pPr>
              <w:pStyle w:val="TableParagraph"/>
              <w:rPr>
                <w:sz w:val="20"/>
              </w:rPr>
            </w:pPr>
            <w:r>
              <w:rPr>
                <w:sz w:val="20"/>
              </w:rPr>
              <w:t>58,780,000</w:t>
            </w:r>
          </w:p>
        </w:tc>
      </w:tr>
    </w:tbl>
    <w:p w14:paraId="527E614C" w14:textId="77777777" w:rsidR="00DD13BF" w:rsidRDefault="00DD13BF" w:rsidP="00DD13BF"/>
    <w:p w14:paraId="556770DB" w14:textId="77777777" w:rsidR="00DD13BF" w:rsidRDefault="00DD13BF" w:rsidP="00DD13BF">
      <w:pPr>
        <w:ind w:left="339"/>
      </w:pPr>
      <w:r>
        <w:t>Table 7: Dimension 6 – ESF+ secondary themes</w:t>
      </w:r>
    </w:p>
    <w:p w14:paraId="7C617000"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AA4956C" w14:textId="77777777" w:rsidTr="00355A56">
        <w:trPr>
          <w:trHeight w:val="353"/>
        </w:trPr>
        <w:tc>
          <w:tcPr>
            <w:tcW w:w="2088" w:type="dxa"/>
          </w:tcPr>
          <w:p w14:paraId="4112A62A" w14:textId="77777777" w:rsidR="00DD13BF" w:rsidRDefault="00DD13BF" w:rsidP="00355A56">
            <w:pPr>
              <w:pStyle w:val="TableParagraph"/>
              <w:spacing w:before="40"/>
              <w:ind w:left="115"/>
            </w:pPr>
            <w:r>
              <w:t>Priority no.</w:t>
            </w:r>
          </w:p>
        </w:tc>
        <w:tc>
          <w:tcPr>
            <w:tcW w:w="1132" w:type="dxa"/>
          </w:tcPr>
          <w:p w14:paraId="037D5DF9" w14:textId="77777777" w:rsidR="00DD13BF" w:rsidRDefault="00DD13BF" w:rsidP="00355A56">
            <w:pPr>
              <w:pStyle w:val="TableParagraph"/>
              <w:spacing w:before="40"/>
              <w:ind w:left="321"/>
            </w:pPr>
            <w:r>
              <w:t>Fund</w:t>
            </w:r>
          </w:p>
        </w:tc>
        <w:tc>
          <w:tcPr>
            <w:tcW w:w="3248" w:type="dxa"/>
          </w:tcPr>
          <w:p w14:paraId="7B8ABC38" w14:textId="77777777" w:rsidR="00DD13BF" w:rsidRDefault="00DD13BF" w:rsidP="00355A56">
            <w:pPr>
              <w:pStyle w:val="TableParagraph"/>
              <w:spacing w:before="40"/>
              <w:ind w:left="909"/>
            </w:pPr>
            <w:r>
              <w:t>Category of region</w:t>
            </w:r>
          </w:p>
        </w:tc>
        <w:tc>
          <w:tcPr>
            <w:tcW w:w="3098" w:type="dxa"/>
          </w:tcPr>
          <w:p w14:paraId="1463BB57" w14:textId="77777777" w:rsidR="00DD13BF" w:rsidRDefault="00DD13BF" w:rsidP="00355A56">
            <w:pPr>
              <w:pStyle w:val="TableParagraph"/>
              <w:spacing w:before="40"/>
              <w:ind w:left="950"/>
            </w:pPr>
            <w:r>
              <w:t>Specific objective</w:t>
            </w:r>
          </w:p>
        </w:tc>
        <w:tc>
          <w:tcPr>
            <w:tcW w:w="1160" w:type="dxa"/>
          </w:tcPr>
          <w:p w14:paraId="5116A9FC" w14:textId="77777777" w:rsidR="00DD13BF" w:rsidRDefault="00DD13BF" w:rsidP="00355A56">
            <w:pPr>
              <w:pStyle w:val="TableParagraph"/>
              <w:spacing w:before="40"/>
              <w:ind w:left="337"/>
            </w:pPr>
            <w:r>
              <w:t>Code</w:t>
            </w:r>
          </w:p>
        </w:tc>
        <w:tc>
          <w:tcPr>
            <w:tcW w:w="2730" w:type="dxa"/>
          </w:tcPr>
          <w:p w14:paraId="6D83F6EB" w14:textId="77777777" w:rsidR="00DD13BF" w:rsidRDefault="00DD13BF" w:rsidP="00355A56">
            <w:pPr>
              <w:pStyle w:val="TableParagraph"/>
              <w:spacing w:before="40"/>
              <w:ind w:left="665"/>
            </w:pPr>
            <w:r>
              <w:t>Amount (in EUR)</w:t>
            </w:r>
          </w:p>
        </w:tc>
      </w:tr>
    </w:tbl>
    <w:p w14:paraId="17053A69" w14:textId="77777777" w:rsidR="00DD13BF" w:rsidRPr="00673ADB" w:rsidRDefault="00DD13BF" w:rsidP="00DD13BF"/>
    <w:p w14:paraId="3E9E9075" w14:textId="77777777" w:rsidR="00DD13BF" w:rsidRDefault="00DD13BF" w:rsidP="00DD13BF">
      <w:pPr>
        <w:ind w:left="339"/>
      </w:pPr>
      <w:r>
        <w:t>Table 8: Dimension 7 – ESF+*, ERDF, Cohesion Fund and JTF gender equality dimension</w:t>
      </w:r>
    </w:p>
    <w:p w14:paraId="6418A8D3" w14:textId="77777777" w:rsidR="00DD13BF" w:rsidRDefault="00DD13BF" w:rsidP="00DD13BF">
      <w:pPr>
        <w:spacing w:before="11"/>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6392D64" w14:textId="77777777" w:rsidTr="00355A56">
        <w:trPr>
          <w:trHeight w:val="353"/>
        </w:trPr>
        <w:tc>
          <w:tcPr>
            <w:tcW w:w="2088" w:type="dxa"/>
          </w:tcPr>
          <w:p w14:paraId="21119C11" w14:textId="77777777" w:rsidR="00DD13BF" w:rsidRDefault="00DD13BF" w:rsidP="00355A56">
            <w:pPr>
              <w:pStyle w:val="TableParagraph"/>
              <w:spacing w:before="39"/>
              <w:ind w:left="115"/>
            </w:pPr>
            <w:r>
              <w:t>Priority no.</w:t>
            </w:r>
          </w:p>
        </w:tc>
        <w:tc>
          <w:tcPr>
            <w:tcW w:w="1132" w:type="dxa"/>
          </w:tcPr>
          <w:p w14:paraId="3B9D03DB" w14:textId="77777777" w:rsidR="00DD13BF" w:rsidRDefault="00DD13BF" w:rsidP="00355A56">
            <w:pPr>
              <w:pStyle w:val="TableParagraph"/>
              <w:spacing w:before="39"/>
              <w:ind w:left="320"/>
            </w:pPr>
            <w:r>
              <w:t>Fund</w:t>
            </w:r>
          </w:p>
        </w:tc>
        <w:tc>
          <w:tcPr>
            <w:tcW w:w="3248" w:type="dxa"/>
          </w:tcPr>
          <w:p w14:paraId="11A9AD92" w14:textId="77777777" w:rsidR="00DD13BF" w:rsidRDefault="00DD13BF" w:rsidP="00355A56">
            <w:pPr>
              <w:pStyle w:val="TableParagraph"/>
              <w:spacing w:before="39"/>
              <w:ind w:left="908"/>
            </w:pPr>
            <w:r>
              <w:t>Category of region</w:t>
            </w:r>
          </w:p>
        </w:tc>
        <w:tc>
          <w:tcPr>
            <w:tcW w:w="3098" w:type="dxa"/>
          </w:tcPr>
          <w:p w14:paraId="357478AE" w14:textId="77777777" w:rsidR="00DD13BF" w:rsidRDefault="00DD13BF" w:rsidP="00355A56">
            <w:pPr>
              <w:pStyle w:val="TableParagraph"/>
              <w:spacing w:before="39"/>
              <w:ind w:left="950"/>
            </w:pPr>
            <w:r>
              <w:t>Specific objective</w:t>
            </w:r>
          </w:p>
        </w:tc>
        <w:tc>
          <w:tcPr>
            <w:tcW w:w="1160" w:type="dxa"/>
          </w:tcPr>
          <w:p w14:paraId="50467F5B" w14:textId="77777777" w:rsidR="00DD13BF" w:rsidRDefault="00DD13BF" w:rsidP="00355A56">
            <w:pPr>
              <w:pStyle w:val="TableParagraph"/>
              <w:spacing w:before="39"/>
              <w:ind w:left="336"/>
            </w:pPr>
            <w:r>
              <w:t>Code</w:t>
            </w:r>
          </w:p>
        </w:tc>
        <w:tc>
          <w:tcPr>
            <w:tcW w:w="2730" w:type="dxa"/>
          </w:tcPr>
          <w:p w14:paraId="3B909F39" w14:textId="77777777" w:rsidR="00DD13BF" w:rsidRDefault="00DD13BF" w:rsidP="00355A56">
            <w:pPr>
              <w:pStyle w:val="TableParagraph"/>
              <w:spacing w:before="39"/>
              <w:ind w:left="664"/>
            </w:pPr>
            <w:r>
              <w:t>Amount (in EUR)</w:t>
            </w:r>
          </w:p>
        </w:tc>
      </w:tr>
      <w:tr w:rsidR="00DD13BF" w14:paraId="0733F04D" w14:textId="77777777" w:rsidTr="00355A56">
        <w:trPr>
          <w:trHeight w:val="353"/>
        </w:trPr>
        <w:tc>
          <w:tcPr>
            <w:tcW w:w="2088" w:type="dxa"/>
          </w:tcPr>
          <w:p w14:paraId="4A8F2D72" w14:textId="77777777" w:rsidR="00DD13BF" w:rsidRDefault="00DD13BF" w:rsidP="00355A56">
            <w:pPr>
              <w:pStyle w:val="TableParagraph"/>
              <w:rPr>
                <w:sz w:val="20"/>
              </w:rPr>
            </w:pPr>
            <w:r>
              <w:rPr>
                <w:sz w:val="20"/>
              </w:rPr>
              <w:t>7</w:t>
            </w:r>
          </w:p>
        </w:tc>
        <w:tc>
          <w:tcPr>
            <w:tcW w:w="1132" w:type="dxa"/>
          </w:tcPr>
          <w:p w14:paraId="71CF3944" w14:textId="77777777" w:rsidR="00DD13BF" w:rsidRDefault="00DD13BF" w:rsidP="00355A56">
            <w:pPr>
              <w:pStyle w:val="TableParagraph"/>
              <w:rPr>
                <w:sz w:val="20"/>
              </w:rPr>
            </w:pPr>
            <w:r>
              <w:rPr>
                <w:sz w:val="20"/>
              </w:rPr>
              <w:t>ERDF</w:t>
            </w:r>
          </w:p>
        </w:tc>
        <w:tc>
          <w:tcPr>
            <w:tcW w:w="3248" w:type="dxa"/>
          </w:tcPr>
          <w:p w14:paraId="35D4D127" w14:textId="77777777" w:rsidR="00DD13BF" w:rsidRDefault="00DD13BF" w:rsidP="00355A56">
            <w:pPr>
              <w:pStyle w:val="TableParagraph"/>
              <w:rPr>
                <w:sz w:val="20"/>
              </w:rPr>
            </w:pPr>
            <w:r>
              <w:rPr>
                <w:sz w:val="20"/>
              </w:rPr>
              <w:t>Less developed</w:t>
            </w:r>
          </w:p>
        </w:tc>
        <w:tc>
          <w:tcPr>
            <w:tcW w:w="3098" w:type="dxa"/>
          </w:tcPr>
          <w:p w14:paraId="40688AED" w14:textId="77777777" w:rsidR="00DD13BF" w:rsidRDefault="00DD13BF" w:rsidP="00355A56">
            <w:pPr>
              <w:pStyle w:val="TableParagraph"/>
              <w:rPr>
                <w:sz w:val="20"/>
              </w:rPr>
            </w:pPr>
            <w:r>
              <w:rPr>
                <w:color w:val="000000"/>
                <w:sz w:val="20"/>
              </w:rPr>
              <w:t>RSO4.5</w:t>
            </w:r>
          </w:p>
        </w:tc>
        <w:tc>
          <w:tcPr>
            <w:tcW w:w="1160" w:type="dxa"/>
          </w:tcPr>
          <w:p w14:paraId="05A68410" w14:textId="77777777" w:rsidR="00DD13BF" w:rsidRDefault="00DD13BF" w:rsidP="00355A56">
            <w:pPr>
              <w:pStyle w:val="TableParagraph"/>
              <w:rPr>
                <w:sz w:val="20"/>
              </w:rPr>
            </w:pPr>
            <w:r>
              <w:rPr>
                <w:sz w:val="20"/>
              </w:rPr>
              <w:t>03</w:t>
            </w:r>
          </w:p>
        </w:tc>
        <w:tc>
          <w:tcPr>
            <w:tcW w:w="2730" w:type="dxa"/>
          </w:tcPr>
          <w:p w14:paraId="602504BF" w14:textId="77777777" w:rsidR="00DD13BF" w:rsidRDefault="00DD13BF" w:rsidP="00355A56">
            <w:pPr>
              <w:pStyle w:val="TableParagraph"/>
              <w:rPr>
                <w:sz w:val="20"/>
              </w:rPr>
            </w:pPr>
            <w:r>
              <w:rPr>
                <w:sz w:val="20"/>
              </w:rPr>
              <w:t>58,780,000</w:t>
            </w:r>
          </w:p>
        </w:tc>
      </w:tr>
    </w:tbl>
    <w:p w14:paraId="6E967670" w14:textId="77777777" w:rsidR="00DD13BF" w:rsidRDefault="00DD13BF" w:rsidP="00DD13BF">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r>
        <w:br w:type="page"/>
      </w:r>
    </w:p>
    <w:p w14:paraId="1D4A96EF" w14:textId="77777777" w:rsidR="00DD13BF" w:rsidRDefault="00DD13BF" w:rsidP="00DD13BF">
      <w:pPr>
        <w:pStyle w:val="Naslov3"/>
      </w:pPr>
      <w:bookmarkStart w:id="62" w:name="_Toc131161729"/>
      <w:r>
        <w:lastRenderedPageBreak/>
        <w:t>Priority 8: Sustainable tourism and culture</w:t>
      </w:r>
      <w:bookmarkEnd w:id="62"/>
    </w:p>
    <w:p w14:paraId="518D0632"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16FEB6A6" w14:textId="77777777" w:rsidTr="00355A56">
        <w:tc>
          <w:tcPr>
            <w:tcW w:w="13994" w:type="dxa"/>
          </w:tcPr>
          <w:p w14:paraId="2A338EEC" w14:textId="77777777" w:rsidR="00DD13BF" w:rsidRPr="006A1DD0" w:rsidRDefault="00DD13BF" w:rsidP="00355A56">
            <w:pPr>
              <w:rPr>
                <w:rFonts w:eastAsia="Calibri"/>
              </w:rPr>
            </w:pPr>
            <w:r>
              <w:rPr>
                <w:noProof/>
                <w:lang w:val="sl-SI"/>
              </w:rPr>
              <w:drawing>
                <wp:inline distT="0" distB="0" distL="0" distR="0" wp14:anchorId="3848E339" wp14:editId="5F41D699">
                  <wp:extent cx="121920" cy="103505"/>
                  <wp:effectExtent l="0" t="0" r="0" b="0"/>
                  <wp:docPr id="1133" name="Slika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youth employment</w:t>
            </w:r>
          </w:p>
        </w:tc>
      </w:tr>
      <w:tr w:rsidR="00DD13BF" w:rsidRPr="006A1DD0" w14:paraId="712BE9BF" w14:textId="77777777" w:rsidTr="00355A56">
        <w:tc>
          <w:tcPr>
            <w:tcW w:w="13994" w:type="dxa"/>
          </w:tcPr>
          <w:p w14:paraId="44B1B9A6" w14:textId="77777777" w:rsidR="00DD13BF" w:rsidRPr="006A1DD0" w:rsidRDefault="00DD13BF" w:rsidP="00355A56">
            <w:pPr>
              <w:rPr>
                <w:rFonts w:eastAsia="Calibri"/>
              </w:rPr>
            </w:pPr>
            <w:r>
              <w:rPr>
                <w:noProof/>
                <w:lang w:val="sl-SI"/>
              </w:rPr>
              <w:drawing>
                <wp:inline distT="0" distB="0" distL="0" distR="0" wp14:anchorId="7BD2A410" wp14:editId="5AECFD03">
                  <wp:extent cx="121920" cy="103505"/>
                  <wp:effectExtent l="0" t="0" r="0" b="0"/>
                  <wp:docPr id="1134" name="Slika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social innovative actions</w:t>
            </w:r>
          </w:p>
        </w:tc>
      </w:tr>
      <w:tr w:rsidR="00DD13BF" w:rsidRPr="006A1DD0" w14:paraId="42AED9F2" w14:textId="77777777" w:rsidTr="00355A56">
        <w:tc>
          <w:tcPr>
            <w:tcW w:w="13994" w:type="dxa"/>
          </w:tcPr>
          <w:p w14:paraId="3CB3396D" w14:textId="77777777" w:rsidR="00DD13BF" w:rsidRPr="006A1DD0" w:rsidRDefault="00DD13BF" w:rsidP="00355A56">
            <w:pPr>
              <w:rPr>
                <w:rFonts w:eastAsia="Calibri"/>
              </w:rPr>
            </w:pPr>
            <w:r>
              <w:rPr>
                <w:noProof/>
                <w:lang w:val="sl-SI"/>
              </w:rPr>
              <w:drawing>
                <wp:inline distT="0" distB="0" distL="0" distR="0" wp14:anchorId="50B33807" wp14:editId="06793984">
                  <wp:extent cx="121920" cy="103505"/>
                  <wp:effectExtent l="0" t="0" r="0" b="0"/>
                  <wp:docPr id="1135" name="Slika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20DAB01F" w14:textId="77777777" w:rsidTr="00355A56">
        <w:tc>
          <w:tcPr>
            <w:tcW w:w="13994" w:type="dxa"/>
          </w:tcPr>
          <w:p w14:paraId="48EC0077" w14:textId="77777777" w:rsidR="00DD13BF" w:rsidRPr="006A1DD0" w:rsidRDefault="00DD13BF" w:rsidP="00355A56">
            <w:pPr>
              <w:rPr>
                <w:rFonts w:eastAsia="Calibri"/>
              </w:rPr>
            </w:pPr>
            <w:r>
              <w:rPr>
                <w:noProof/>
                <w:lang w:val="sl-SI"/>
              </w:rPr>
              <w:drawing>
                <wp:inline distT="0" distB="0" distL="0" distR="0" wp14:anchorId="73A02FAD" wp14:editId="6351FEED">
                  <wp:extent cx="121920" cy="103505"/>
                  <wp:effectExtent l="0" t="0" r="0" b="0"/>
                  <wp:docPr id="1136" name="Slika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253B19CB" w14:textId="77777777" w:rsidTr="00355A56">
        <w:tc>
          <w:tcPr>
            <w:tcW w:w="13994" w:type="dxa"/>
          </w:tcPr>
          <w:p w14:paraId="00A35568" w14:textId="77777777" w:rsidR="00DD13BF" w:rsidRPr="006A1DD0" w:rsidRDefault="00DD13BF" w:rsidP="00355A56">
            <w:pPr>
              <w:rPr>
                <w:rFonts w:eastAsia="Calibri"/>
              </w:rPr>
            </w:pPr>
            <w:r>
              <w:rPr>
                <w:noProof/>
                <w:lang w:val="sl-SI"/>
              </w:rPr>
              <w:drawing>
                <wp:inline distT="0" distB="0" distL="0" distR="0" wp14:anchorId="5BADA655" wp14:editId="2FD2FBB9">
                  <wp:extent cx="121920" cy="103505"/>
                  <wp:effectExtent l="0" t="0" r="0" b="0"/>
                  <wp:docPr id="1137" name="Slika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urban mobility specific objective set out in point (viii) of Article 3(1)(b) of the ERDF and Cohesion Fund Regulation</w:t>
            </w:r>
          </w:p>
          <w:p w14:paraId="1510167B" w14:textId="77777777" w:rsidR="00DD13BF" w:rsidRPr="006A1DD0" w:rsidRDefault="00DD13BF" w:rsidP="00355A56">
            <w:pPr>
              <w:rPr>
                <w:rFonts w:eastAsia="Calibri"/>
              </w:rPr>
            </w:pPr>
          </w:p>
        </w:tc>
      </w:tr>
      <w:tr w:rsidR="00DD13BF" w:rsidRPr="006A1DD0" w14:paraId="3621C159" w14:textId="77777777" w:rsidTr="00355A56">
        <w:trPr>
          <w:trHeight w:val="83"/>
        </w:trPr>
        <w:tc>
          <w:tcPr>
            <w:tcW w:w="13994" w:type="dxa"/>
          </w:tcPr>
          <w:p w14:paraId="67594D0F" w14:textId="77777777" w:rsidR="00DD13BF" w:rsidRPr="00DD1BF0" w:rsidRDefault="00DD13BF" w:rsidP="00355A56">
            <w:pPr>
              <w:rPr>
                <w:rFonts w:eastAsia="Calibri"/>
              </w:rPr>
            </w:pPr>
            <w:r>
              <w:rPr>
                <w:noProof/>
                <w:lang w:val="sl-SI"/>
              </w:rPr>
              <w:drawing>
                <wp:inline distT="0" distB="0" distL="0" distR="0" wp14:anchorId="4C0FB0D0" wp14:editId="10FEF5C8">
                  <wp:extent cx="121920" cy="103505"/>
                  <wp:effectExtent l="0" t="0" r="0" b="0"/>
                  <wp:docPr id="1138" name="Slika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digital connectivity specific objective set out in point (v) of Article 3(1)(a) of the ERDF and Cohesion Fund Regulation</w:t>
            </w:r>
          </w:p>
          <w:p w14:paraId="67EE2581" w14:textId="77777777" w:rsidR="00DD13BF" w:rsidRPr="006A1DD0" w:rsidRDefault="00DD13BF" w:rsidP="00355A56">
            <w:pPr>
              <w:rPr>
                <w:rFonts w:eastAsia="Calibri"/>
              </w:rPr>
            </w:pPr>
          </w:p>
        </w:tc>
      </w:tr>
    </w:tbl>
    <w:p w14:paraId="480333FF" w14:textId="77777777" w:rsidR="00DD13BF" w:rsidRPr="00633676" w:rsidRDefault="00DD13BF" w:rsidP="00DD13BF">
      <w:pPr>
        <w:tabs>
          <w:tab w:val="left" w:pos="709"/>
        </w:tabs>
        <w:ind w:left="530"/>
        <w:rPr>
          <w:sz w:val="16"/>
          <w:szCs w:val="16"/>
        </w:rPr>
      </w:pPr>
      <w:r>
        <w:rPr>
          <w:b/>
          <w:sz w:val="16"/>
        </w:rPr>
        <w:t>*</w:t>
      </w:r>
      <w:r>
        <w:rPr>
          <w:b/>
          <w:sz w:val="16"/>
        </w:rPr>
        <w:tab/>
      </w:r>
      <w:r>
        <w:rPr>
          <w:sz w:val="16"/>
        </w:rPr>
        <w:t>If marked, go to section 2.1.1.2.</w:t>
      </w:r>
    </w:p>
    <w:p w14:paraId="3DEE8E1C" w14:textId="77777777" w:rsidR="00DD13BF" w:rsidRPr="00BD3536" w:rsidRDefault="00DD13BF" w:rsidP="00DD13BF">
      <w:pPr>
        <w:pStyle w:val="Naslov4"/>
        <w:ind w:left="1134"/>
      </w:pPr>
      <w:bookmarkStart w:id="63" w:name="_Toc131161730"/>
      <w:r>
        <w:t>Specific objective RSO4.6. Enhancing the role of culture and sustainable tourism in economic development, social inclusion and social innovation (ERDF)</w:t>
      </w:r>
      <w:bookmarkEnd w:id="63"/>
    </w:p>
    <w:p w14:paraId="03CEA529" w14:textId="77777777" w:rsidR="00DD13BF" w:rsidRDefault="00DD13BF" w:rsidP="00DD13BF">
      <w:pPr>
        <w:rPr>
          <w:sz w:val="30"/>
        </w:rPr>
      </w:pPr>
    </w:p>
    <w:p w14:paraId="29A2D955" w14:textId="77777777" w:rsidR="00DD13BF" w:rsidRPr="00C10464" w:rsidRDefault="00DD13BF" w:rsidP="00DD13BF">
      <w:pPr>
        <w:pStyle w:val="Naslov5"/>
        <w:spacing w:before="0"/>
      </w:pPr>
      <w:r>
        <w:t>Interventions of the Funds</w:t>
      </w:r>
    </w:p>
    <w:p w14:paraId="677857A3" w14:textId="77777777" w:rsidR="00DD13BF" w:rsidRDefault="00DD13BF" w:rsidP="00DD13BF">
      <w:pPr>
        <w:rPr>
          <w:sz w:val="30"/>
        </w:rPr>
      </w:pPr>
    </w:p>
    <w:p w14:paraId="0EC6E62E" w14:textId="77777777" w:rsidR="00DD13BF" w:rsidRDefault="00DD13BF" w:rsidP="00DD13BF">
      <w:pPr>
        <w:ind w:left="1349"/>
        <w:rPr>
          <w:spacing w:val="-2"/>
        </w:rPr>
      </w:pPr>
      <w:r>
        <w:t>Related types of actions:</w:t>
      </w:r>
    </w:p>
    <w:p w14:paraId="7F791DA4"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17481BEC" w14:textId="77777777" w:rsidTr="00355A56">
        <w:trPr>
          <w:trHeight w:val="316"/>
        </w:trPr>
        <w:tc>
          <w:tcPr>
            <w:tcW w:w="12758" w:type="dxa"/>
          </w:tcPr>
          <w:p w14:paraId="64731FDA" w14:textId="77777777" w:rsidR="00DD13BF" w:rsidRPr="000C3924" w:rsidRDefault="00DD13BF" w:rsidP="00355A56">
            <w:pPr>
              <w:jc w:val="both"/>
            </w:pPr>
            <w:r>
              <w:rPr>
                <w:color w:val="000000"/>
              </w:rPr>
              <w:t xml:space="preserve">The measure is intended for investments in the revival of cultural heritage and its inclusion among tourism products and services Culture and cultural identity, evaluated in the image and products and services of Slovenian tourism, is the innovative factor that can crucially contribute to perfecting the value chain, and significantly increasing added value and sustainability in Slovenian tourism. </w:t>
            </w:r>
            <w:r>
              <w:t>Such measures are an important part of the structural changes required for a more productive and stable tourism ecosystem that will be able to adapt even in unexpected crises. The supported measures will strengthen social cohesion through greater accessibility to cultural heritage and contribute to greater added value of the tourism sector by adding to the cultural products and services and improving the living environment in the less developed region of Eastern Slovenia. Under this specific objective, we want to achieve the preservation, protection and revival of cultural heritage for future generations, ensure the accessibility of heritage for everyone, and create new jobs that will be attractive particularly to young people. We will enrich the cultural heritage with tourism products and services, which will accelerate tourism development in the less developed region, producing multiplier effects on economic development.</w:t>
            </w:r>
          </w:p>
          <w:p w14:paraId="2F99D107" w14:textId="77777777" w:rsidR="00DD13BF" w:rsidRPr="000C3924" w:rsidRDefault="00DD13BF" w:rsidP="00355A56">
            <w:pPr>
              <w:jc w:val="both"/>
            </w:pPr>
          </w:p>
          <w:p w14:paraId="3AF4C36C" w14:textId="77777777" w:rsidR="00DD13BF" w:rsidRPr="000C3924" w:rsidRDefault="00DD13BF" w:rsidP="00355A56">
            <w:pPr>
              <w:jc w:val="both"/>
            </w:pPr>
            <w:r>
              <w:rPr>
                <w:color w:val="000000"/>
              </w:rPr>
              <w:t>The measure addresses the following challenges identified in the evaluation of the past strategic period of tourism and culture, in the analysis of the state of Slovenian tourism and cultural heritage, and with a view to the future, i.e.:</w:t>
            </w:r>
          </w:p>
          <w:p w14:paraId="5AF9E3D2"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Insufficient added value is achieved in the Slovenian tourism industry and in the overall provision of tourism products and services.</w:t>
            </w:r>
          </w:p>
          <w:p w14:paraId="3FA5C41C"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The quality of services and experiences as part of tourism products and services is too low.</w:t>
            </w:r>
          </w:p>
          <w:p w14:paraId="55613153" w14:textId="77777777" w:rsidR="00DD13BF" w:rsidRPr="000C3924" w:rsidRDefault="00DD13BF" w:rsidP="00DD13BF">
            <w:pPr>
              <w:widowControl/>
              <w:numPr>
                <w:ilvl w:val="0"/>
                <w:numId w:val="50"/>
              </w:numPr>
              <w:autoSpaceDE/>
              <w:autoSpaceDN/>
              <w:jc w:val="both"/>
              <w:textAlignment w:val="baseline"/>
              <w:rPr>
                <w:color w:val="000000"/>
              </w:rPr>
            </w:pPr>
            <w:r>
              <w:rPr>
                <w:color w:val="000000"/>
              </w:rPr>
              <w:lastRenderedPageBreak/>
              <w:t>Tourism seasonality is increasing and exceeds the EU average.</w:t>
            </w:r>
          </w:p>
          <w:p w14:paraId="0CAE1E1D"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The volume and quality of personnel do not follow the development and market needs of the tourism industry.</w:t>
            </w:r>
          </w:p>
          <w:p w14:paraId="0EC5F3AA"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There is a noticeable lack of authentic cultural elements among tourism products and services and the image of tourist destinations.</w:t>
            </w:r>
          </w:p>
          <w:p w14:paraId="5B216BEA"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Slovenian tourism lags behind in international competitiveness.</w:t>
            </w:r>
          </w:p>
          <w:p w14:paraId="2C35E1D3" w14:textId="77777777" w:rsidR="00DD13BF" w:rsidRPr="000C3924" w:rsidRDefault="00DD13BF" w:rsidP="00DD13BF">
            <w:pPr>
              <w:widowControl/>
              <w:numPr>
                <w:ilvl w:val="0"/>
                <w:numId w:val="50"/>
              </w:numPr>
              <w:autoSpaceDE/>
              <w:autoSpaceDN/>
              <w:jc w:val="both"/>
              <w:textAlignment w:val="baseline"/>
              <w:rPr>
                <w:color w:val="000000"/>
              </w:rPr>
            </w:pPr>
            <w:r>
              <w:rPr>
                <w:color w:val="000000"/>
              </w:rPr>
              <w:t>Tourism depends on many other activities and the environment in terms of providing comprehensive and high-quality experiences and achieving results, which are not sufficiently included in the Slovenian tourism system and do not follow the requirements for the growth and competitiveness of Slovenian tourism.</w:t>
            </w:r>
          </w:p>
          <w:p w14:paraId="2A25321F" w14:textId="77777777" w:rsidR="00DD13BF" w:rsidRPr="002C1A07" w:rsidRDefault="00DD13BF" w:rsidP="00DD13BF">
            <w:pPr>
              <w:pStyle w:val="Odstavekseznama"/>
              <w:widowControl/>
              <w:numPr>
                <w:ilvl w:val="0"/>
                <w:numId w:val="50"/>
              </w:numPr>
              <w:autoSpaceDE/>
              <w:autoSpaceDN/>
              <w:jc w:val="both"/>
            </w:pPr>
            <w:r>
              <w:rPr>
                <w:rFonts w:ascii="Times New Roman" w:hAnsi="Times New Roman"/>
              </w:rPr>
              <w:t>Tangible and intangible cultural heritage constitutes an extraordinary development potential and a valuable resource for economic growth, employment and social cohesion in Slovenia. Investments in the reconstruction of Slovenian cultural heritage facilities affect the income of the Slovenian economy with a multiplication factor of 2.945. The impact on added value is 1.236. Activating the potential of cultural heritage as a strategic resource is based on the modern concept of cultural heritage, which recognises the tangible and intangible heritage of ancestors, and respectfully modernises it and places it in modern life, thus evaluating and interpreting it and giving it new contexts.</w:t>
            </w:r>
          </w:p>
          <w:p w14:paraId="70009A43" w14:textId="77777777" w:rsidR="00DD13BF" w:rsidRPr="007F2C55" w:rsidRDefault="00DD13BF" w:rsidP="00DD13BF">
            <w:pPr>
              <w:pStyle w:val="Odstavekseznama"/>
              <w:widowControl/>
              <w:numPr>
                <w:ilvl w:val="0"/>
                <w:numId w:val="50"/>
              </w:numPr>
              <w:autoSpaceDE/>
              <w:autoSpaceDN/>
              <w:jc w:val="both"/>
              <w:rPr>
                <w:rFonts w:ascii="Times New Roman" w:hAnsi="Times New Roman" w:cs="Times New Roman"/>
              </w:rPr>
            </w:pPr>
            <w:r>
              <w:rPr>
                <w:rFonts w:ascii="Times New Roman" w:hAnsi="Times New Roman"/>
              </w:rPr>
              <w:t>Heritage has a strong social component, is an important element of social inclusion, a common good, and a valuable feature of the living environment. Therefore, it is an important element of the public space. By reviving it, we increase the value of common spaces intended for all residents and visitors. Communities living with heritage can also recognise the original and marketable ways of dealing with it, which go beyond the importance of local and regional environments and contribute to the cultural diversity and richness in Europe and the world.</w:t>
            </w:r>
            <w:r>
              <w:t xml:space="preserve"> </w:t>
            </w:r>
            <w:r>
              <w:rPr>
                <w:rFonts w:ascii="Times New Roman" w:hAnsi="Times New Roman"/>
              </w:rPr>
              <w:t>Cultural heritage facilities and sites produce environmental and social capital, turning into drivers of economic activity, knowledge centres, focal points of creativity, spaces of cooperation between communities, and places of social inclusion.</w:t>
            </w:r>
            <w:r>
              <w:t xml:space="preserve"> </w:t>
            </w:r>
            <w:r>
              <w:rPr>
                <w:rFonts w:ascii="Times New Roman" w:hAnsi="Times New Roman"/>
              </w:rPr>
              <w:t>The carefully nurtured heritage creates a friendly environment for all kinds of activities. At the same time, its diversity is a source of new creativity.</w:t>
            </w:r>
          </w:p>
          <w:p w14:paraId="622AF5B9" w14:textId="77777777" w:rsidR="00DD13BF" w:rsidRPr="009214EC" w:rsidRDefault="00DD13BF" w:rsidP="00355A56">
            <w:pPr>
              <w:jc w:val="both"/>
            </w:pPr>
          </w:p>
          <w:p w14:paraId="25219DF0" w14:textId="77777777" w:rsidR="00DD13BF" w:rsidRDefault="00DD13BF" w:rsidP="00355A56">
            <w:pPr>
              <w:pStyle w:val="Odstavekseznama"/>
              <w:ind w:left="38"/>
              <w:jc w:val="both"/>
              <w:rPr>
                <w:rFonts w:ascii="Times New Roman" w:hAnsi="Times New Roman" w:cs="Times New Roman"/>
              </w:rPr>
            </w:pPr>
            <w:r>
              <w:rPr>
                <w:rFonts w:ascii="Times New Roman" w:hAnsi="Times New Roman"/>
              </w:rPr>
              <w:t xml:space="preserve">The key challenges are therefore to preserve and protect cultural heritage for future generations (including the preservation of knowledge and skills required for the preservation of cultural heritage), ensure the accessibility of heritage for all citizens and visitors (including vulnerable groups), and activate the potential of cultural heritage for sustainable development and increasing added value in Slovenian tourism. </w:t>
            </w:r>
          </w:p>
          <w:p w14:paraId="15B4D0F7" w14:textId="77777777" w:rsidR="00DD13BF" w:rsidRDefault="00DD13BF" w:rsidP="00355A56">
            <w:pPr>
              <w:pStyle w:val="Odstavekseznama"/>
              <w:ind w:left="38"/>
              <w:jc w:val="both"/>
              <w:rPr>
                <w:rFonts w:ascii="Times New Roman" w:hAnsi="Times New Roman" w:cs="Times New Roman"/>
              </w:rPr>
            </w:pPr>
          </w:p>
          <w:p w14:paraId="54C13FDD" w14:textId="77777777" w:rsidR="00DD13BF" w:rsidRPr="009214EC" w:rsidRDefault="00DD13BF" w:rsidP="00355A56">
            <w:pPr>
              <w:pStyle w:val="Odstavekseznama"/>
              <w:ind w:left="38"/>
              <w:jc w:val="both"/>
              <w:rPr>
                <w:rFonts w:ascii="Times New Roman" w:hAnsi="Times New Roman" w:cs="Times New Roman"/>
              </w:rPr>
            </w:pPr>
            <w:r>
              <w:rPr>
                <w:rFonts w:ascii="Times New Roman" w:hAnsi="Times New Roman"/>
              </w:rPr>
              <w:t xml:space="preserve">Measures will be implemented in the following fields: </w:t>
            </w:r>
          </w:p>
          <w:p w14:paraId="14BBDA9A" w14:textId="77777777" w:rsidR="00DD13BF" w:rsidRPr="009214EC" w:rsidRDefault="00DD13BF" w:rsidP="00DD13BF">
            <w:pPr>
              <w:pStyle w:val="Odstavekseznama"/>
              <w:widowControl/>
              <w:numPr>
                <w:ilvl w:val="0"/>
                <w:numId w:val="52"/>
              </w:numPr>
              <w:autoSpaceDE/>
              <w:autoSpaceDN/>
              <w:jc w:val="both"/>
              <w:rPr>
                <w:rFonts w:ascii="Times New Roman" w:hAnsi="Times New Roman" w:cs="Times New Roman"/>
              </w:rPr>
            </w:pPr>
            <w:r>
              <w:rPr>
                <w:rFonts w:ascii="Times New Roman" w:hAnsi="Times New Roman"/>
                <w:i/>
                <w:iCs/>
              </w:rPr>
              <w:t>Revitalisation and restoration of cultural heritage</w:t>
            </w:r>
            <w:r>
              <w:rPr>
                <w:rFonts w:ascii="Times New Roman" w:hAnsi="Times New Roman"/>
              </w:rPr>
              <w:t>: The restoration, preservation and revitalisation of cultural heritage, and the promotion of activities for better access to heritage. Support will be allocated to projects including: small-scale investments in the renovation, restoration, integral revitalisation of cultural monuments owned by the state or local communities with a work programme or management plan; activities to promote and enhance (cultural) tourism, and better (physical, informational) accessibility to heritage for all residents and visitors, including persons with various disabilities. The projects will comply with the guidelines of the European framework for action on cultural heritage and the ICOMOS European Quality Principles, pursue the objectives of the Cultural Heritage Strategy 2020–2023</w:t>
            </w:r>
            <w:r>
              <w:rPr>
                <w:rStyle w:val="Sprotnaopomba-sklic"/>
                <w:rFonts w:ascii="Times New Roman" w:hAnsi="Times New Roman" w:cs="Times New Roman"/>
              </w:rPr>
              <w:footnoteReference w:id="167"/>
            </w:r>
            <w:r>
              <w:rPr>
                <w:rFonts w:ascii="Times New Roman" w:hAnsi="Times New Roman"/>
              </w:rPr>
              <w:t>, and contribute to the key development policies and measures of the Slovenian Tourism Strategy 2022–2028</w:t>
            </w:r>
            <w:r>
              <w:rPr>
                <w:rStyle w:val="Sprotnaopomba-sklic"/>
                <w:rFonts w:ascii="Times New Roman" w:hAnsi="Times New Roman" w:cs="Times New Roman"/>
              </w:rPr>
              <w:footnoteReference w:id="168"/>
            </w:r>
            <w:r>
              <w:rPr>
                <w:rFonts w:ascii="Times New Roman" w:hAnsi="Times New Roman"/>
              </w:rPr>
              <w:t xml:space="preserve">.   </w:t>
            </w:r>
          </w:p>
          <w:p w14:paraId="05BE0D35" w14:textId="77777777" w:rsidR="00DD13BF" w:rsidRPr="00065021" w:rsidRDefault="00DD13BF" w:rsidP="00355A56">
            <w:pPr>
              <w:pStyle w:val="Odstavekseznama"/>
              <w:ind w:left="720"/>
              <w:jc w:val="both"/>
              <w:rPr>
                <w:rFonts w:ascii="Times New Roman" w:hAnsi="Times New Roman" w:cs="Times New Roman"/>
              </w:rPr>
            </w:pPr>
            <w:r>
              <w:rPr>
                <w:rFonts w:ascii="Times New Roman" w:hAnsi="Times New Roman"/>
              </w:rPr>
              <w:lastRenderedPageBreak/>
              <w:t>In the public tender for local communities, the delimitation between the RRP and the programme will be taken into account, i.e. projects of higher value (above EUR 1 million excluding VAT) are financed within the RRP while projects of lower value (up to EUR 1 million excluding VAT) are financed within the programme. The expected result is cultural heritage restored and revitalised, and accessible to the public.</w:t>
            </w:r>
          </w:p>
          <w:p w14:paraId="670D53C3" w14:textId="77777777" w:rsidR="00DD13BF" w:rsidRPr="00ED7078" w:rsidRDefault="00DD13BF" w:rsidP="00355A56">
            <w:pPr>
              <w:pStyle w:val="Odstavekseznama"/>
              <w:ind w:left="720"/>
              <w:jc w:val="both"/>
              <w:rPr>
                <w:rFonts w:ascii="Times New Roman" w:hAnsi="Times New Roman" w:cs="Times New Roman"/>
              </w:rPr>
            </w:pPr>
          </w:p>
          <w:p w14:paraId="055351CF" w14:textId="77777777" w:rsidR="00DD13BF" w:rsidRPr="00A709B9" w:rsidRDefault="00DD13BF" w:rsidP="00DD13BF">
            <w:pPr>
              <w:pStyle w:val="Odstavekseznama"/>
              <w:widowControl/>
              <w:numPr>
                <w:ilvl w:val="0"/>
                <w:numId w:val="52"/>
              </w:numPr>
              <w:autoSpaceDE/>
              <w:autoSpaceDN/>
              <w:jc w:val="both"/>
              <w:rPr>
                <w:rFonts w:ascii="Times New Roman" w:hAnsi="Times New Roman" w:cs="Times New Roman"/>
              </w:rPr>
            </w:pPr>
            <w:r>
              <w:rPr>
                <w:rFonts w:ascii="Times New Roman" w:hAnsi="Times New Roman"/>
                <w:i/>
              </w:rPr>
              <w:t>Investing in the development of comprehensive tourism products in the form of authentic tourist experiences</w:t>
            </w:r>
            <w:r>
              <w:rPr>
                <w:rStyle w:val="Sprotnaopomba-sklic"/>
                <w:rFonts w:ascii="Times New Roman" w:hAnsi="Times New Roman" w:cs="Times New Roman"/>
              </w:rPr>
              <w:footnoteReference w:id="169"/>
            </w:r>
            <w:r>
              <w:rPr>
                <w:rFonts w:ascii="Times New Roman" w:hAnsi="Times New Roman"/>
              </w:rPr>
              <w:t>:</w:t>
            </w:r>
          </w:p>
          <w:p w14:paraId="6876303D" w14:textId="77777777" w:rsidR="00DD13BF" w:rsidRPr="00A709B9" w:rsidRDefault="00DD13BF" w:rsidP="00DD13BF">
            <w:pPr>
              <w:pStyle w:val="Odstavekseznama"/>
              <w:widowControl/>
              <w:numPr>
                <w:ilvl w:val="1"/>
                <w:numId w:val="52"/>
              </w:numPr>
              <w:autoSpaceDE/>
              <w:autoSpaceDN/>
              <w:jc w:val="both"/>
              <w:rPr>
                <w:rFonts w:ascii="Times New Roman" w:hAnsi="Times New Roman" w:cs="Times New Roman"/>
              </w:rPr>
            </w:pPr>
            <w:r>
              <w:rPr>
                <w:rFonts w:ascii="Times New Roman" w:hAnsi="Times New Roman"/>
              </w:rPr>
              <w:t xml:space="preserve">Between 2022 and 2028, Slovenian tourism will develop and operate with the “a little more and much better” strategy, which leads to a moderate increase in capacities, and a significant improvement in the quality and added value of Slovenian tourism, taking into account sustainable aspects, the evaluation of cultural identity, effective digital transformation, and all limiting factors. </w:t>
            </w:r>
          </w:p>
          <w:p w14:paraId="19257D4A" w14:textId="77777777" w:rsidR="00DD13BF" w:rsidRPr="009214EC" w:rsidRDefault="00DD13BF" w:rsidP="00DD13BF">
            <w:pPr>
              <w:pStyle w:val="Odstavekseznama"/>
              <w:widowControl/>
              <w:numPr>
                <w:ilvl w:val="1"/>
                <w:numId w:val="52"/>
              </w:numPr>
              <w:autoSpaceDE/>
              <w:autoSpaceDN/>
              <w:jc w:val="both"/>
              <w:rPr>
                <w:rFonts w:ascii="Times New Roman" w:hAnsi="Times New Roman" w:cs="Times New Roman"/>
              </w:rPr>
            </w:pPr>
            <w:r>
              <w:rPr>
                <w:rFonts w:ascii="Times New Roman" w:hAnsi="Times New Roman"/>
              </w:rPr>
              <w:t xml:space="preserve">Investments in the development of comprehensive tourism products in the form of authentic tourist experiences will be promoted to improve the reputation and quality of tourist destinations in Eastern Slovenia. By investing in the creation of tourist content, the existing cultural heritage, and their inclusion among tourism products and services, new, more attractive jobs will be created, higher added value will be sustainably achieved, and the quality of services and experiences will increase. The development of year-round tourism products will contribute to reducing tourism seasonality. By ensuring the sustainable development of destinations, we will contribute to improving the quality of life of the local residents and the acceptability of tourism for the local environment by following the guidelines of the European Commission's proposal for the Transition Pathway for Tourism (TPT). </w:t>
            </w:r>
          </w:p>
          <w:p w14:paraId="4E442D4A" w14:textId="77777777" w:rsidR="00DD13BF" w:rsidRPr="009214EC" w:rsidRDefault="00DD13BF" w:rsidP="00355A56">
            <w:pPr>
              <w:pStyle w:val="Odstavekseznama"/>
              <w:ind w:left="1440"/>
              <w:jc w:val="both"/>
              <w:rPr>
                <w:rFonts w:ascii="Times New Roman" w:hAnsi="Times New Roman" w:cs="Times New Roman"/>
              </w:rPr>
            </w:pPr>
            <w:r>
              <w:rPr>
                <w:rFonts w:ascii="Times New Roman" w:hAnsi="Times New Roman"/>
              </w:rPr>
              <w:t>In parallel, knowledge and skills will be enhanced within PO 1 in the field of digitisation, green tourism, sustainable development and destination management based on the EU Pact for Skills in the field of tourism, and investments in public tourism infrastructure within the RRP will be supported.</w:t>
            </w:r>
          </w:p>
          <w:p w14:paraId="288A4C92" w14:textId="77777777" w:rsidR="00DD13BF" w:rsidRPr="00A709B9" w:rsidRDefault="00DD13BF" w:rsidP="00DD13BF">
            <w:pPr>
              <w:pStyle w:val="Odstavekseznama"/>
              <w:widowControl/>
              <w:numPr>
                <w:ilvl w:val="1"/>
                <w:numId w:val="52"/>
              </w:numPr>
              <w:autoSpaceDE/>
              <w:autoSpaceDN/>
              <w:jc w:val="both"/>
              <w:rPr>
                <w:rFonts w:ascii="Times New Roman" w:hAnsi="Times New Roman" w:cs="Times New Roman"/>
              </w:rPr>
            </w:pPr>
            <w:r>
              <w:rPr>
                <w:rFonts w:ascii="Times New Roman" w:hAnsi="Times New Roman"/>
              </w:rPr>
              <w:t>For tourists to have a high-quality user experience and to sustainably achieve a higher added value, permanent investments must be made in the preservation and evaluation of natural and cultural heritage in tourism, its effective management and marketing, and also in suitable financing sources, which is one of the most important challenges related to the attainment of the strategic objectives of tourism by 2028.</w:t>
            </w:r>
          </w:p>
          <w:p w14:paraId="5CA84AF7" w14:textId="77777777" w:rsidR="00DD13BF" w:rsidRDefault="00DD13BF" w:rsidP="00355A56">
            <w:pPr>
              <w:jc w:val="both"/>
            </w:pPr>
          </w:p>
          <w:p w14:paraId="3F50BBF9" w14:textId="77777777" w:rsidR="00DD13BF" w:rsidRPr="00676E33" w:rsidRDefault="00DD13BF" w:rsidP="00355A56">
            <w:pPr>
              <w:ind w:left="38"/>
              <w:jc w:val="both"/>
            </w:pPr>
            <w:r>
              <w:t>To formulate the final content of the measures, and the criteria for their selection and implementation, we will consider the relevant mitigation measures and, to the greatest extent possible, the relevant recommendations in accordance with the strategic environmental assessment, which are listed in the annex Mitigation measures and recommendations, and, where appropriate, New European Bauhaus guidelines for the development of more attractive, sustainable and inclusive forms of solutions to climate challenges. In accordance with the Technical guidance on the application of ‘do no significant harm’, it was concluded on the basis of responses to questions from the check list that none of the planned measures under this specific objective has a significant adverse impact on any of the six environmental objectives, taking into account the technical screening criteria listed in annex DNSH.</w:t>
            </w:r>
          </w:p>
        </w:tc>
      </w:tr>
    </w:tbl>
    <w:p w14:paraId="4463E5C1" w14:textId="77777777" w:rsidR="00DD13BF" w:rsidRDefault="00DD13BF" w:rsidP="00DD13BF">
      <w:pPr>
        <w:ind w:left="1349"/>
        <w:rPr>
          <w:spacing w:val="-6"/>
        </w:rPr>
      </w:pPr>
    </w:p>
    <w:p w14:paraId="4771FFB8" w14:textId="77777777" w:rsidR="00DD13BF" w:rsidRDefault="00DD13BF" w:rsidP="00DD13BF">
      <w:pPr>
        <w:ind w:left="1349"/>
      </w:pPr>
      <w:r>
        <w:t>Main target groups:</w:t>
      </w:r>
    </w:p>
    <w:p w14:paraId="7B6C112E"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45D0C99" w14:textId="77777777" w:rsidTr="00355A56">
        <w:tc>
          <w:tcPr>
            <w:tcW w:w="12763" w:type="dxa"/>
          </w:tcPr>
          <w:p w14:paraId="7BDBFBA8" w14:textId="77777777" w:rsidR="00DD13BF" w:rsidRDefault="00DD13BF" w:rsidP="00355A56">
            <w:pPr>
              <w:jc w:val="both"/>
              <w:rPr>
                <w:rFonts w:cstheme="minorHAnsi"/>
              </w:rPr>
            </w:pPr>
            <w:r>
              <w:t>Target groups: local communities, tourists and visitors (domestic and foreign), citizens, non-governmental organisations (private institutes, private institutions, societies and associations of societies), public institutes, economic operators, other stakeholders in culture and tourism.</w:t>
            </w:r>
          </w:p>
          <w:p w14:paraId="4152563D" w14:textId="77777777" w:rsidR="00DD13BF" w:rsidRDefault="00DD13BF" w:rsidP="00355A56">
            <w:pPr>
              <w:jc w:val="both"/>
              <w:rPr>
                <w:rFonts w:cstheme="minorHAnsi"/>
              </w:rPr>
            </w:pPr>
          </w:p>
          <w:p w14:paraId="0EC345E5" w14:textId="77777777" w:rsidR="00DD13BF" w:rsidRPr="00B3569A" w:rsidRDefault="00DD13BF" w:rsidP="00355A56">
            <w:pPr>
              <w:jc w:val="both"/>
              <w:rPr>
                <w:rFonts w:cstheme="minorHAnsi"/>
              </w:rPr>
            </w:pPr>
            <w:r>
              <w:t>Beneficiaries: ministries, local communities, public institutes, managers of cultural monuments, NGOs, local communities operating in the area of ​​leading tourist destinations or public institutes operating in tourism and established by local communities, associations of societies, public-private partnerships between local communities and economic operators in tourism or/and civil society organisations.</w:t>
            </w:r>
          </w:p>
        </w:tc>
      </w:tr>
    </w:tbl>
    <w:p w14:paraId="30B94271" w14:textId="77777777" w:rsidR="00DD13BF" w:rsidRPr="006B7178" w:rsidRDefault="00DD13BF" w:rsidP="00DD13BF">
      <w:pPr>
        <w:ind w:left="1349"/>
      </w:pPr>
    </w:p>
    <w:p w14:paraId="4E36C271" w14:textId="77777777" w:rsidR="00DD13BF" w:rsidRDefault="00DD13BF" w:rsidP="00DD13BF">
      <w:pPr>
        <w:ind w:left="1349"/>
        <w:rPr>
          <w:spacing w:val="-2"/>
        </w:rPr>
      </w:pPr>
      <w:r>
        <w:t>Measures to protect equality, inclusion and non-discrimination:</w:t>
      </w:r>
    </w:p>
    <w:p w14:paraId="25CE3747"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63A348D6" w14:textId="77777777" w:rsidTr="00355A56">
        <w:tc>
          <w:tcPr>
            <w:tcW w:w="12715" w:type="dxa"/>
          </w:tcPr>
          <w:p w14:paraId="732B6A8B" w14:textId="77777777" w:rsidR="00DD13BF" w:rsidRPr="00B3569A" w:rsidRDefault="00DD13BF" w:rsidP="00355A56">
            <w:pPr>
              <w:jc w:val="both"/>
              <w:rPr>
                <w:rFonts w:cstheme="minorHAnsi"/>
              </w:rPr>
            </w:pPr>
            <w:r>
              <w:t>Slovenia undertakes to respect the principles of gender equality, equal opportunities and non-discrimination during the implementation of all activities in accordance with national legislation (Equal Opportunities for Women and Men Act, Protection Against Discrimination Act, Equalisation of Opportunities for Persons with Disabilities Act), the EU legal order, in particular the Treaty on the Functioning of the EU, the EU Charter of Fundamental Rights and the principles of the European Pillar of Social Rights, and relevant international documents for the protection of human rights, in particular the UN Convention on the Rights of Persons with Disabilities and the UN Convention on the Rights of the Child, since gender equality is a fundamental value of the EU and a fundamental right and a key principle of the European Pillar of Social Rights. Pursuant to Article 12 of the Equal Opportunities for Women and Men Act (Official Gazette of the Republic of Slovenia [</w:t>
            </w:r>
            <w:r>
              <w:rPr>
                <w:i/>
                <w:iCs/>
              </w:rPr>
              <w:t>Uradni list RS</w:t>
            </w:r>
            <w:r>
              <w:t>], Nos. 59/02, 61/07 – ZUNEO-A, 33/16 – ZVarD and 59/19), all genders will be treated equally in all the foreseen fields. In the design and implementation of tenders and public procurement, transparency and respect for the legal orders of the EU and the Republic of Slovenia will be fully ensured by the use of clear, objective and non-discriminatory conditions and criteria for the selection of applications. The Procedural rules for providing the horizontal enabling condition “Effective use and implementation of the Charter of Fundamental Rights” and the Action Programme for Persons with Disabilities 2022–2030, and other relevant documents that will be created as part of implementation will also be taken into account.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tc>
      </w:tr>
    </w:tbl>
    <w:p w14:paraId="0A2E1AC7" w14:textId="77777777" w:rsidR="00DD13BF" w:rsidRDefault="00DD13BF" w:rsidP="00DD13BF">
      <w:pPr>
        <w:rPr>
          <w:sz w:val="20"/>
        </w:rPr>
      </w:pPr>
    </w:p>
    <w:p w14:paraId="25C60063" w14:textId="77777777" w:rsidR="00DD13BF" w:rsidRDefault="00DD13BF" w:rsidP="00DD13BF">
      <w:pPr>
        <w:ind w:left="1415"/>
        <w:rPr>
          <w:spacing w:val="-4"/>
        </w:rPr>
      </w:pPr>
      <w:r>
        <w:t>Indication of the specific territories targeted, including the planned use of territorial tools:</w:t>
      </w:r>
    </w:p>
    <w:p w14:paraId="3809A35E"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6B0498F6" w14:textId="77777777" w:rsidTr="00355A56">
        <w:tc>
          <w:tcPr>
            <w:tcW w:w="12763" w:type="dxa"/>
          </w:tcPr>
          <w:p w14:paraId="64CD18F9" w14:textId="77777777" w:rsidR="00DD13BF" w:rsidRDefault="00DD13BF" w:rsidP="00355A56">
            <w:pPr>
              <w:jc w:val="both"/>
              <w:rPr>
                <w:rFonts w:cstheme="minorHAnsi"/>
              </w:rPr>
            </w:pPr>
            <w:r>
              <w:t xml:space="preserve">The measures will be implemented only in the Eastern Slovenia cohesion region, since the lag of this region in development is greater than in the Western Slovenia cohesion region. Tourism is not equally developed in both cohesion regions, as more revenues from tourism is generated in the Western Slovenia cohesion region with attractive tourism products. The Eastern Slovenia cohesion region has a rich cultural heritage, which has not yet been successfully integrated among tourism products and services; therefore, the measures will be primarily aimed at strengthening the cooperation of culture and tourism in the Eastern Slovenia cohesion region to eliminate the said inequalities between the </w:t>
            </w:r>
            <w:r>
              <w:lastRenderedPageBreak/>
              <w:t>cohesion regions.</w:t>
            </w:r>
          </w:p>
          <w:p w14:paraId="2B4401C4" w14:textId="77777777" w:rsidR="00DD13BF" w:rsidRPr="00B3569A" w:rsidRDefault="00DD13BF" w:rsidP="00355A56">
            <w:pPr>
              <w:jc w:val="both"/>
              <w:rPr>
                <w:rFonts w:cstheme="minorHAnsi"/>
              </w:rPr>
            </w:pPr>
            <w:r>
              <w:t>Under this specific objective, the use of territorial approaches is not foreseen.</w:t>
            </w:r>
          </w:p>
        </w:tc>
      </w:tr>
    </w:tbl>
    <w:p w14:paraId="2A6D10A0" w14:textId="77777777" w:rsidR="00DD13BF" w:rsidRDefault="00DD13BF" w:rsidP="00DD13BF">
      <w:pPr>
        <w:rPr>
          <w:sz w:val="18"/>
        </w:rPr>
      </w:pPr>
    </w:p>
    <w:p w14:paraId="35239C53" w14:textId="77777777" w:rsidR="00DD13BF" w:rsidRDefault="00DD13BF" w:rsidP="00DD13BF">
      <w:pPr>
        <w:ind w:left="1415"/>
      </w:pPr>
      <w:r>
        <w:t>The interregional, cross-border and transnational actions:</w:t>
      </w:r>
    </w:p>
    <w:p w14:paraId="3230D998"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202572BF" w14:textId="77777777" w:rsidTr="00355A56">
        <w:tc>
          <w:tcPr>
            <w:tcW w:w="12763" w:type="dxa"/>
          </w:tcPr>
          <w:p w14:paraId="171873F6" w14:textId="77777777" w:rsidR="00DD13BF" w:rsidRPr="00B3569A" w:rsidRDefault="00DD13BF" w:rsidP="00355A56">
            <w:pPr>
              <w:jc w:val="both"/>
              <w:rPr>
                <w:rFonts w:cstheme="minorHAnsi"/>
              </w:rPr>
            </w:pPr>
            <w:r>
              <w:rPr>
                <w:color w:val="000000" w:themeColor="text1"/>
              </w:rPr>
              <w:t xml:space="preserve">To promote diverse tourism products and services, and sustainable and responsible tourism, FLAGSHIP 5: “Development of sustainable </w:t>
            </w:r>
            <w:r>
              <w:rPr>
                <w:color w:val="000000" w:themeColor="text1"/>
              </w:rPr>
              <w:cr/>
            </w:r>
            <w:r>
              <w:rPr>
                <w:color w:val="000000" w:themeColor="text1"/>
              </w:rPr>
              <w:br/>
              <w:t>and thematic cultural routes/connecting cultural routes in EUSAIR (AIR CULTURAL ROUTES)” within the macro-regional strategy (MRS) (EUSAIR) is supported. The MRS in cooperation with European Institute of Cultural Routes provides an implementation structure for the design of projects with contents verified by experts and stakeholders from the field of culture and tourism of all countries, whose objective will be certified cultural tourism products. In this way, projects grow from national to international projects, and gain quality and visibility. The measures under RSO4.6 have a similar substantive basis in the planned measures in all four cross-border and transnational programmes (e.g. TP Central Europe, Interreg IPA Adrion and Euro-MED). Cross-border cooperation programmes aim to support small-scale cultural heritage (owned by municipalities of local importance) restoration projects, which are upgraded in terms of content and connected into common cross-border tourism products or destinations. The purpose of revitalisation and restoration of cultural heritage under RSO4.6 is to support renovation, restoration and integrated revitalisation projects of cultural heritage owned by municipalities of local and national importance (with a work programme or management plan) in the Eastern Slovenia cohesion region. The planned measures of transnational programmes are a good basis for the promotion of cultural creative industries in the function of innovative cultural heritage revitalisation in cross-border programmes, the MRS and RSO4.6 through the drafting of strategies and action plans, which address solutions in the field of creative tourism in a wider geographical programme area. Synergies between the Interreg programmes and RSO4.6 will be promoted as part of two coordination mechanisms, i.e. management body networks the macro-regional level and within the framework of the programme monitoring committee, whose member will also be a representative of the Interreg programmes in which institutions from Slovenia take part.</w:t>
            </w:r>
          </w:p>
        </w:tc>
      </w:tr>
    </w:tbl>
    <w:p w14:paraId="57AFBCB6" w14:textId="77777777" w:rsidR="00DD13BF" w:rsidRDefault="00DD13BF" w:rsidP="00DD13BF">
      <w:pPr>
        <w:rPr>
          <w:sz w:val="17"/>
        </w:rPr>
      </w:pPr>
    </w:p>
    <w:p w14:paraId="0BE77C38" w14:textId="77777777" w:rsidR="00DD13BF" w:rsidRDefault="00DD13BF" w:rsidP="00DD13BF">
      <w:pPr>
        <w:ind w:left="1415"/>
        <w:rPr>
          <w:spacing w:val="-3"/>
        </w:rPr>
      </w:pPr>
      <w:r>
        <w:t>Planned use of financial instruments:</w:t>
      </w:r>
    </w:p>
    <w:p w14:paraId="4A952B9D"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20A8BB63" w14:textId="77777777" w:rsidTr="00355A56">
        <w:tc>
          <w:tcPr>
            <w:tcW w:w="12758" w:type="dxa"/>
          </w:tcPr>
          <w:p w14:paraId="57B6F383"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the stated specific objective is not foreseen. The proposed measures do not generate revenues or savings, due to which the use of financial instruments is not sensible or appropriate.</w:t>
            </w:r>
          </w:p>
        </w:tc>
      </w:tr>
    </w:tbl>
    <w:p w14:paraId="042993CB" w14:textId="77777777" w:rsidR="00DD13BF" w:rsidRDefault="00DD13BF" w:rsidP="00DD13BF">
      <w:pPr>
        <w:rPr>
          <w:sz w:val="20"/>
        </w:rPr>
      </w:pPr>
    </w:p>
    <w:p w14:paraId="4A178985" w14:textId="77777777" w:rsidR="00DD13BF" w:rsidRDefault="00DD13BF" w:rsidP="00DD13BF">
      <w:pPr>
        <w:rPr>
          <w:sz w:val="20"/>
        </w:rPr>
      </w:pPr>
    </w:p>
    <w:p w14:paraId="040384B1" w14:textId="77777777" w:rsidR="00DD13BF" w:rsidRDefault="00DD13BF" w:rsidP="00DD13BF">
      <w:pPr>
        <w:pStyle w:val="Naslov5"/>
        <w:spacing w:before="0"/>
      </w:pPr>
      <w:r>
        <w:t>Indicators</w:t>
      </w:r>
    </w:p>
    <w:p w14:paraId="160637D2" w14:textId="77777777" w:rsidR="00DD13BF" w:rsidRDefault="00DD13BF" w:rsidP="00DD13BF"/>
    <w:p w14:paraId="07982BA4" w14:textId="77777777" w:rsidR="00DD13BF" w:rsidRDefault="00DD13BF" w:rsidP="00DD13BF">
      <w:pPr>
        <w:ind w:left="379"/>
      </w:pPr>
      <w:r>
        <w:t>Table 2: Impact indicators</w:t>
      </w:r>
    </w:p>
    <w:p w14:paraId="73CED677"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8"/>
        <w:gridCol w:w="1276"/>
        <w:gridCol w:w="708"/>
        <w:gridCol w:w="1701"/>
        <w:gridCol w:w="778"/>
        <w:gridCol w:w="3475"/>
        <w:gridCol w:w="1843"/>
        <w:gridCol w:w="1418"/>
        <w:gridCol w:w="1134"/>
      </w:tblGrid>
      <w:tr w:rsidR="00DD13BF" w14:paraId="32306AE6" w14:textId="77777777" w:rsidTr="00355A56">
        <w:trPr>
          <w:trHeight w:val="254"/>
        </w:trPr>
        <w:tc>
          <w:tcPr>
            <w:tcW w:w="1408" w:type="dxa"/>
            <w:vAlign w:val="center"/>
          </w:tcPr>
          <w:p w14:paraId="610693A8" w14:textId="77777777" w:rsidR="00DD13BF" w:rsidRDefault="00DD13BF" w:rsidP="00355A56">
            <w:pPr>
              <w:pStyle w:val="TableParagraph"/>
              <w:ind w:right="82"/>
            </w:pPr>
            <w:r>
              <w:t>Priority</w:t>
            </w:r>
          </w:p>
        </w:tc>
        <w:tc>
          <w:tcPr>
            <w:tcW w:w="1276" w:type="dxa"/>
            <w:vAlign w:val="center"/>
          </w:tcPr>
          <w:p w14:paraId="545B7AC2" w14:textId="77777777" w:rsidR="00DD13BF" w:rsidRDefault="00DD13BF" w:rsidP="00355A56">
            <w:pPr>
              <w:pStyle w:val="TableParagraph"/>
            </w:pPr>
            <w:r>
              <w:t>Specific objective</w:t>
            </w:r>
          </w:p>
        </w:tc>
        <w:tc>
          <w:tcPr>
            <w:tcW w:w="708" w:type="dxa"/>
            <w:vAlign w:val="center"/>
          </w:tcPr>
          <w:p w14:paraId="54813F70" w14:textId="77777777" w:rsidR="00DD13BF" w:rsidRDefault="00DD13BF" w:rsidP="00355A56">
            <w:pPr>
              <w:pStyle w:val="TableParagraph"/>
            </w:pPr>
            <w:r>
              <w:t>Fund</w:t>
            </w:r>
          </w:p>
        </w:tc>
        <w:tc>
          <w:tcPr>
            <w:tcW w:w="1701" w:type="dxa"/>
            <w:vAlign w:val="center"/>
          </w:tcPr>
          <w:p w14:paraId="7D6B9928" w14:textId="77777777" w:rsidR="00DD13BF" w:rsidRDefault="00DD13BF" w:rsidP="00355A56">
            <w:pPr>
              <w:pStyle w:val="TableParagraph"/>
            </w:pPr>
            <w:r>
              <w:t>Category of region</w:t>
            </w:r>
          </w:p>
        </w:tc>
        <w:tc>
          <w:tcPr>
            <w:tcW w:w="778" w:type="dxa"/>
            <w:vAlign w:val="center"/>
          </w:tcPr>
          <w:p w14:paraId="23DF7BD5" w14:textId="77777777" w:rsidR="00DD13BF" w:rsidRPr="00347461" w:rsidRDefault="00DD13BF" w:rsidP="00355A56">
            <w:pPr>
              <w:pStyle w:val="TableParagraph"/>
              <w:rPr>
                <w:sz w:val="20"/>
              </w:rPr>
            </w:pPr>
            <w:r>
              <w:t>ID</w:t>
            </w:r>
          </w:p>
        </w:tc>
        <w:tc>
          <w:tcPr>
            <w:tcW w:w="3475" w:type="dxa"/>
            <w:vAlign w:val="center"/>
          </w:tcPr>
          <w:p w14:paraId="4F9E6E39" w14:textId="77777777" w:rsidR="00DD13BF" w:rsidRPr="00347461" w:rsidRDefault="00DD13BF" w:rsidP="00355A56">
            <w:pPr>
              <w:pStyle w:val="TableParagraph"/>
              <w:rPr>
                <w:sz w:val="20"/>
              </w:rPr>
            </w:pPr>
            <w:r>
              <w:t>Indicators</w:t>
            </w:r>
          </w:p>
        </w:tc>
        <w:tc>
          <w:tcPr>
            <w:tcW w:w="1843" w:type="dxa"/>
            <w:vAlign w:val="center"/>
          </w:tcPr>
          <w:p w14:paraId="0BF7645D" w14:textId="77777777" w:rsidR="00DD13BF" w:rsidRPr="00347461" w:rsidRDefault="00DD13BF" w:rsidP="00355A56">
            <w:pPr>
              <w:pStyle w:val="TableParagraph"/>
              <w:rPr>
                <w:sz w:val="20"/>
              </w:rPr>
            </w:pPr>
            <w:r>
              <w:t>Measurement unit</w:t>
            </w:r>
          </w:p>
        </w:tc>
        <w:tc>
          <w:tcPr>
            <w:tcW w:w="1418" w:type="dxa"/>
            <w:vAlign w:val="center"/>
          </w:tcPr>
          <w:p w14:paraId="2CD20D97" w14:textId="77777777" w:rsidR="00DD13BF" w:rsidRPr="00347461" w:rsidRDefault="00DD13BF" w:rsidP="00355A56">
            <w:pPr>
              <w:pStyle w:val="TableParagraph"/>
              <w:rPr>
                <w:sz w:val="20"/>
              </w:rPr>
            </w:pPr>
            <w:r>
              <w:t>Milestone (2014)</w:t>
            </w:r>
          </w:p>
        </w:tc>
        <w:tc>
          <w:tcPr>
            <w:tcW w:w="1134" w:type="dxa"/>
            <w:vAlign w:val="center"/>
          </w:tcPr>
          <w:p w14:paraId="1160307A" w14:textId="77777777" w:rsidR="00DD13BF" w:rsidRDefault="00DD13BF" w:rsidP="00355A56">
            <w:pPr>
              <w:pStyle w:val="TableParagraph"/>
            </w:pPr>
            <w:r>
              <w:t>Target (2029)</w:t>
            </w:r>
          </w:p>
        </w:tc>
      </w:tr>
      <w:tr w:rsidR="00DD13BF" w14:paraId="678CD94E" w14:textId="77777777" w:rsidTr="00355A56">
        <w:trPr>
          <w:trHeight w:val="371"/>
        </w:trPr>
        <w:tc>
          <w:tcPr>
            <w:tcW w:w="1408" w:type="dxa"/>
          </w:tcPr>
          <w:p w14:paraId="0681C456" w14:textId="77777777" w:rsidR="00DD13BF" w:rsidRDefault="00DD13BF" w:rsidP="00355A56">
            <w:pPr>
              <w:pStyle w:val="TableParagraph"/>
              <w:rPr>
                <w:sz w:val="20"/>
              </w:rPr>
            </w:pPr>
            <w:r>
              <w:rPr>
                <w:sz w:val="20"/>
              </w:rPr>
              <w:lastRenderedPageBreak/>
              <w:t>8</w:t>
            </w:r>
          </w:p>
        </w:tc>
        <w:tc>
          <w:tcPr>
            <w:tcW w:w="1276" w:type="dxa"/>
          </w:tcPr>
          <w:p w14:paraId="3B55D55C" w14:textId="77777777" w:rsidR="00DD13BF" w:rsidRPr="00347461" w:rsidRDefault="00DD13BF" w:rsidP="00355A56">
            <w:pPr>
              <w:pStyle w:val="TableParagraph"/>
              <w:rPr>
                <w:sz w:val="20"/>
              </w:rPr>
            </w:pPr>
            <w:r>
              <w:rPr>
                <w:color w:val="000000"/>
                <w:sz w:val="20"/>
              </w:rPr>
              <w:t>RSO4.6</w:t>
            </w:r>
          </w:p>
        </w:tc>
        <w:tc>
          <w:tcPr>
            <w:tcW w:w="708" w:type="dxa"/>
          </w:tcPr>
          <w:p w14:paraId="66E6F426" w14:textId="77777777" w:rsidR="00DD13BF" w:rsidRDefault="00DD13BF" w:rsidP="00355A56">
            <w:pPr>
              <w:pStyle w:val="TableParagraph"/>
              <w:rPr>
                <w:sz w:val="20"/>
              </w:rPr>
            </w:pPr>
            <w:r>
              <w:rPr>
                <w:sz w:val="20"/>
              </w:rPr>
              <w:t>ERDF</w:t>
            </w:r>
          </w:p>
        </w:tc>
        <w:tc>
          <w:tcPr>
            <w:tcW w:w="1701" w:type="dxa"/>
          </w:tcPr>
          <w:p w14:paraId="45314BD1" w14:textId="77777777" w:rsidR="00DD13BF" w:rsidRDefault="00DD13BF" w:rsidP="00355A56">
            <w:pPr>
              <w:pStyle w:val="TableParagraph"/>
              <w:rPr>
                <w:sz w:val="20"/>
              </w:rPr>
            </w:pPr>
            <w:r>
              <w:rPr>
                <w:sz w:val="20"/>
              </w:rPr>
              <w:t>Less developed</w:t>
            </w:r>
          </w:p>
        </w:tc>
        <w:tc>
          <w:tcPr>
            <w:tcW w:w="778" w:type="dxa"/>
          </w:tcPr>
          <w:p w14:paraId="0F366DFD" w14:textId="77777777" w:rsidR="00DD13BF" w:rsidRPr="00347461" w:rsidRDefault="00DD13BF" w:rsidP="00355A56">
            <w:pPr>
              <w:pStyle w:val="TableParagraph"/>
              <w:rPr>
                <w:sz w:val="20"/>
              </w:rPr>
            </w:pPr>
            <w:r>
              <w:rPr>
                <w:sz w:val="20"/>
              </w:rPr>
              <w:t>RCO77</w:t>
            </w:r>
          </w:p>
        </w:tc>
        <w:tc>
          <w:tcPr>
            <w:tcW w:w="3475" w:type="dxa"/>
          </w:tcPr>
          <w:p w14:paraId="36264D51" w14:textId="77777777" w:rsidR="00DD13BF" w:rsidRPr="00347461" w:rsidRDefault="00DD13BF" w:rsidP="00355A56">
            <w:pPr>
              <w:pStyle w:val="TableParagraph"/>
              <w:rPr>
                <w:sz w:val="20"/>
              </w:rPr>
            </w:pPr>
            <w:r>
              <w:rPr>
                <w:sz w:val="20"/>
              </w:rPr>
              <w:t>Number of cultural and tourism sites supported</w:t>
            </w:r>
          </w:p>
        </w:tc>
        <w:tc>
          <w:tcPr>
            <w:tcW w:w="1843" w:type="dxa"/>
          </w:tcPr>
          <w:p w14:paraId="7670DE0F" w14:textId="77777777" w:rsidR="00DD13BF" w:rsidRPr="00347461" w:rsidRDefault="00DD13BF" w:rsidP="00355A56">
            <w:pPr>
              <w:pStyle w:val="TableParagraph"/>
              <w:rPr>
                <w:sz w:val="20"/>
              </w:rPr>
            </w:pPr>
            <w:r>
              <w:rPr>
                <w:sz w:val="20"/>
              </w:rPr>
              <w:t>Cultural and tourism sites</w:t>
            </w:r>
          </w:p>
        </w:tc>
        <w:tc>
          <w:tcPr>
            <w:tcW w:w="1418" w:type="dxa"/>
          </w:tcPr>
          <w:p w14:paraId="6303EA25" w14:textId="77777777" w:rsidR="00DD13BF" w:rsidRPr="00347461" w:rsidRDefault="00DD13BF" w:rsidP="00355A56">
            <w:pPr>
              <w:pStyle w:val="TableParagraph"/>
              <w:rPr>
                <w:sz w:val="20"/>
              </w:rPr>
            </w:pPr>
            <w:r>
              <w:rPr>
                <w:sz w:val="20"/>
              </w:rPr>
              <w:t>0</w:t>
            </w:r>
          </w:p>
        </w:tc>
        <w:tc>
          <w:tcPr>
            <w:tcW w:w="1134" w:type="dxa"/>
          </w:tcPr>
          <w:p w14:paraId="283A81A8" w14:textId="77777777" w:rsidR="00DD13BF" w:rsidRDefault="00DD13BF" w:rsidP="00355A56">
            <w:pPr>
              <w:pStyle w:val="TableParagraph"/>
              <w:rPr>
                <w:sz w:val="20"/>
              </w:rPr>
            </w:pPr>
            <w:r>
              <w:rPr>
                <w:sz w:val="20"/>
              </w:rPr>
              <w:t>16</w:t>
            </w:r>
          </w:p>
        </w:tc>
      </w:tr>
    </w:tbl>
    <w:p w14:paraId="217965EC" w14:textId="77777777" w:rsidR="00DD13BF" w:rsidRDefault="00DD13BF" w:rsidP="00DD13BF">
      <w:pPr>
        <w:rPr>
          <w:sz w:val="24"/>
        </w:rPr>
      </w:pPr>
    </w:p>
    <w:p w14:paraId="4947C761" w14:textId="77777777" w:rsidR="00DD13BF" w:rsidRDefault="00DD13BF" w:rsidP="00DD13BF">
      <w:pPr>
        <w:ind w:left="379"/>
      </w:pPr>
      <w:r>
        <w:t>Table 3: Result indicators</w:t>
      </w:r>
    </w:p>
    <w:p w14:paraId="61B8BA5D" w14:textId="77777777" w:rsidR="00DD13BF" w:rsidRDefault="00DD13BF" w:rsidP="00DD13BF">
      <w:pPr>
        <w:rPr>
          <w:sz w:val="21"/>
        </w:rPr>
      </w:pPr>
    </w:p>
    <w:tbl>
      <w:tblPr>
        <w:tblStyle w:val="NormalTable0"/>
        <w:tblW w:w="13882"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3"/>
        <w:gridCol w:w="992"/>
        <w:gridCol w:w="696"/>
        <w:gridCol w:w="1572"/>
        <w:gridCol w:w="709"/>
        <w:gridCol w:w="3260"/>
        <w:gridCol w:w="993"/>
        <w:gridCol w:w="1134"/>
        <w:gridCol w:w="993"/>
        <w:gridCol w:w="993"/>
        <w:gridCol w:w="851"/>
        <w:gridCol w:w="706"/>
      </w:tblGrid>
      <w:tr w:rsidR="00DD13BF" w14:paraId="47D5B218" w14:textId="77777777" w:rsidTr="00355A56">
        <w:trPr>
          <w:trHeight w:val="353"/>
        </w:trPr>
        <w:tc>
          <w:tcPr>
            <w:tcW w:w="983" w:type="dxa"/>
          </w:tcPr>
          <w:p w14:paraId="06D271BB" w14:textId="77777777" w:rsidR="00DD13BF" w:rsidRPr="00347461" w:rsidRDefault="00DD13BF" w:rsidP="00355A56">
            <w:pPr>
              <w:pStyle w:val="TableParagraph"/>
              <w:rPr>
                <w:sz w:val="20"/>
              </w:rPr>
            </w:pPr>
            <w:r>
              <w:rPr>
                <w:sz w:val="20"/>
              </w:rPr>
              <w:t>Priority</w:t>
            </w:r>
          </w:p>
        </w:tc>
        <w:tc>
          <w:tcPr>
            <w:tcW w:w="992" w:type="dxa"/>
          </w:tcPr>
          <w:p w14:paraId="5261D4A5" w14:textId="77777777" w:rsidR="00DD13BF" w:rsidRPr="00347461" w:rsidRDefault="00DD13BF" w:rsidP="00355A56">
            <w:pPr>
              <w:pStyle w:val="TableParagraph"/>
              <w:rPr>
                <w:sz w:val="20"/>
              </w:rPr>
            </w:pPr>
            <w:r>
              <w:rPr>
                <w:sz w:val="20"/>
              </w:rPr>
              <w:t>Specific objective</w:t>
            </w:r>
          </w:p>
        </w:tc>
        <w:tc>
          <w:tcPr>
            <w:tcW w:w="696" w:type="dxa"/>
          </w:tcPr>
          <w:p w14:paraId="0E27A33F" w14:textId="77777777" w:rsidR="00DD13BF" w:rsidRPr="00347461" w:rsidRDefault="00DD13BF" w:rsidP="00355A56">
            <w:pPr>
              <w:pStyle w:val="TableParagraph"/>
              <w:rPr>
                <w:sz w:val="20"/>
              </w:rPr>
            </w:pPr>
            <w:r>
              <w:rPr>
                <w:sz w:val="20"/>
              </w:rPr>
              <w:t>Fund</w:t>
            </w:r>
          </w:p>
        </w:tc>
        <w:tc>
          <w:tcPr>
            <w:tcW w:w="1572" w:type="dxa"/>
          </w:tcPr>
          <w:p w14:paraId="21AE718B" w14:textId="77777777" w:rsidR="00DD13BF" w:rsidRPr="00347461" w:rsidRDefault="00DD13BF" w:rsidP="00355A56">
            <w:pPr>
              <w:pStyle w:val="TableParagraph"/>
              <w:rPr>
                <w:sz w:val="20"/>
              </w:rPr>
            </w:pPr>
            <w:r>
              <w:rPr>
                <w:sz w:val="20"/>
              </w:rPr>
              <w:t>Category of region</w:t>
            </w:r>
          </w:p>
        </w:tc>
        <w:tc>
          <w:tcPr>
            <w:tcW w:w="709" w:type="dxa"/>
          </w:tcPr>
          <w:p w14:paraId="3C46AA2D" w14:textId="77777777" w:rsidR="00DD13BF" w:rsidRPr="00347461" w:rsidRDefault="00DD13BF" w:rsidP="00355A56">
            <w:pPr>
              <w:pStyle w:val="TableParagraph"/>
              <w:rPr>
                <w:sz w:val="20"/>
              </w:rPr>
            </w:pPr>
            <w:r>
              <w:rPr>
                <w:sz w:val="20"/>
              </w:rPr>
              <w:t>ID</w:t>
            </w:r>
          </w:p>
        </w:tc>
        <w:tc>
          <w:tcPr>
            <w:tcW w:w="3260" w:type="dxa"/>
          </w:tcPr>
          <w:p w14:paraId="7DFB6187" w14:textId="77777777" w:rsidR="00DD13BF" w:rsidRPr="00347461" w:rsidRDefault="00DD13BF" w:rsidP="00355A56">
            <w:pPr>
              <w:pStyle w:val="TableParagraph"/>
              <w:rPr>
                <w:sz w:val="20"/>
              </w:rPr>
            </w:pPr>
            <w:r>
              <w:rPr>
                <w:sz w:val="20"/>
              </w:rPr>
              <w:t>Indicator</w:t>
            </w:r>
          </w:p>
        </w:tc>
        <w:tc>
          <w:tcPr>
            <w:tcW w:w="993" w:type="dxa"/>
          </w:tcPr>
          <w:p w14:paraId="2FD96870" w14:textId="77777777" w:rsidR="00DD13BF" w:rsidRPr="00347461" w:rsidRDefault="00DD13BF" w:rsidP="00355A56">
            <w:pPr>
              <w:pStyle w:val="TableParagraph"/>
              <w:rPr>
                <w:sz w:val="20"/>
              </w:rPr>
            </w:pPr>
            <w:r>
              <w:rPr>
                <w:sz w:val="20"/>
              </w:rPr>
              <w:t>Measurement unit</w:t>
            </w:r>
          </w:p>
        </w:tc>
        <w:tc>
          <w:tcPr>
            <w:tcW w:w="1134" w:type="dxa"/>
          </w:tcPr>
          <w:p w14:paraId="428855D9" w14:textId="77777777" w:rsidR="00DD13BF" w:rsidRPr="00347461" w:rsidRDefault="00DD13BF" w:rsidP="00355A56">
            <w:pPr>
              <w:pStyle w:val="TableParagraph"/>
              <w:rPr>
                <w:sz w:val="20"/>
              </w:rPr>
            </w:pPr>
            <w:r>
              <w:rPr>
                <w:sz w:val="20"/>
              </w:rPr>
              <w:t>Baseline or reference value</w:t>
            </w:r>
          </w:p>
        </w:tc>
        <w:tc>
          <w:tcPr>
            <w:tcW w:w="993" w:type="dxa"/>
          </w:tcPr>
          <w:p w14:paraId="0352326A" w14:textId="77777777" w:rsidR="00DD13BF" w:rsidRPr="00347461" w:rsidRDefault="00DD13BF" w:rsidP="00355A56">
            <w:pPr>
              <w:pStyle w:val="TableParagraph"/>
              <w:rPr>
                <w:sz w:val="20"/>
              </w:rPr>
            </w:pPr>
            <w:r>
              <w:rPr>
                <w:sz w:val="20"/>
              </w:rPr>
              <w:t>Reference year</w:t>
            </w:r>
          </w:p>
        </w:tc>
        <w:tc>
          <w:tcPr>
            <w:tcW w:w="993" w:type="dxa"/>
          </w:tcPr>
          <w:p w14:paraId="0364B20D" w14:textId="77777777" w:rsidR="00DD13BF" w:rsidRPr="00347461" w:rsidRDefault="00DD13BF" w:rsidP="00355A56">
            <w:pPr>
              <w:pStyle w:val="TableParagraph"/>
              <w:rPr>
                <w:sz w:val="20"/>
              </w:rPr>
            </w:pPr>
            <w:r>
              <w:rPr>
                <w:sz w:val="20"/>
              </w:rPr>
              <w:t>Target (2029)</w:t>
            </w:r>
          </w:p>
        </w:tc>
        <w:tc>
          <w:tcPr>
            <w:tcW w:w="851" w:type="dxa"/>
          </w:tcPr>
          <w:p w14:paraId="490F5047" w14:textId="77777777" w:rsidR="00DD13BF" w:rsidRPr="00347461" w:rsidRDefault="00DD13BF" w:rsidP="00355A56">
            <w:pPr>
              <w:pStyle w:val="TableParagraph"/>
              <w:rPr>
                <w:sz w:val="20"/>
              </w:rPr>
            </w:pPr>
            <w:r>
              <w:rPr>
                <w:sz w:val="20"/>
              </w:rPr>
              <w:t>Source of data</w:t>
            </w:r>
          </w:p>
        </w:tc>
        <w:tc>
          <w:tcPr>
            <w:tcW w:w="706" w:type="dxa"/>
          </w:tcPr>
          <w:p w14:paraId="6B877D10" w14:textId="77777777" w:rsidR="00DD13BF" w:rsidRPr="00347461" w:rsidRDefault="00DD13BF" w:rsidP="00355A56">
            <w:pPr>
              <w:pStyle w:val="TableParagraph"/>
              <w:rPr>
                <w:sz w:val="20"/>
              </w:rPr>
            </w:pPr>
            <w:r>
              <w:rPr>
                <w:sz w:val="20"/>
              </w:rPr>
              <w:t>Notes</w:t>
            </w:r>
          </w:p>
        </w:tc>
      </w:tr>
      <w:tr w:rsidR="00DD13BF" w14:paraId="631F69C7" w14:textId="77777777" w:rsidTr="00355A56">
        <w:trPr>
          <w:trHeight w:val="353"/>
        </w:trPr>
        <w:tc>
          <w:tcPr>
            <w:tcW w:w="983" w:type="dxa"/>
          </w:tcPr>
          <w:p w14:paraId="6C1E101E" w14:textId="77777777" w:rsidR="00DD13BF" w:rsidRPr="00347461" w:rsidRDefault="00DD13BF" w:rsidP="00355A56">
            <w:pPr>
              <w:pStyle w:val="TableParagraph"/>
              <w:rPr>
                <w:sz w:val="20"/>
              </w:rPr>
            </w:pPr>
            <w:r>
              <w:rPr>
                <w:sz w:val="20"/>
              </w:rPr>
              <w:t>8</w:t>
            </w:r>
          </w:p>
        </w:tc>
        <w:tc>
          <w:tcPr>
            <w:tcW w:w="992" w:type="dxa"/>
          </w:tcPr>
          <w:p w14:paraId="585D4117" w14:textId="77777777" w:rsidR="00DD13BF" w:rsidRPr="00347461" w:rsidRDefault="00DD13BF" w:rsidP="00355A56">
            <w:pPr>
              <w:pStyle w:val="TableParagraph"/>
              <w:rPr>
                <w:sz w:val="20"/>
              </w:rPr>
            </w:pPr>
            <w:r>
              <w:rPr>
                <w:color w:val="000000"/>
                <w:sz w:val="20"/>
              </w:rPr>
              <w:t>RSO4.6</w:t>
            </w:r>
          </w:p>
        </w:tc>
        <w:tc>
          <w:tcPr>
            <w:tcW w:w="696" w:type="dxa"/>
          </w:tcPr>
          <w:p w14:paraId="0C96E24E" w14:textId="77777777" w:rsidR="00DD13BF" w:rsidRPr="00347461" w:rsidRDefault="00DD13BF" w:rsidP="00355A56">
            <w:pPr>
              <w:pStyle w:val="TableParagraph"/>
              <w:rPr>
                <w:sz w:val="20"/>
              </w:rPr>
            </w:pPr>
            <w:r>
              <w:rPr>
                <w:sz w:val="20"/>
              </w:rPr>
              <w:t>ERDF</w:t>
            </w:r>
          </w:p>
        </w:tc>
        <w:tc>
          <w:tcPr>
            <w:tcW w:w="1572" w:type="dxa"/>
          </w:tcPr>
          <w:p w14:paraId="137480BD" w14:textId="77777777" w:rsidR="00DD13BF" w:rsidRPr="00347461" w:rsidRDefault="00DD13BF" w:rsidP="00355A56">
            <w:pPr>
              <w:pStyle w:val="TableParagraph"/>
              <w:rPr>
                <w:sz w:val="20"/>
              </w:rPr>
            </w:pPr>
            <w:r>
              <w:rPr>
                <w:sz w:val="20"/>
              </w:rPr>
              <w:t>Less developed</w:t>
            </w:r>
          </w:p>
        </w:tc>
        <w:tc>
          <w:tcPr>
            <w:tcW w:w="709" w:type="dxa"/>
          </w:tcPr>
          <w:p w14:paraId="777B8130" w14:textId="77777777" w:rsidR="00DD13BF" w:rsidRPr="00347461" w:rsidRDefault="00DD13BF" w:rsidP="00355A56">
            <w:pPr>
              <w:pStyle w:val="TableParagraph"/>
              <w:rPr>
                <w:sz w:val="20"/>
              </w:rPr>
            </w:pPr>
            <w:r>
              <w:rPr>
                <w:sz w:val="20"/>
              </w:rPr>
              <w:t>RCR77</w:t>
            </w:r>
          </w:p>
        </w:tc>
        <w:tc>
          <w:tcPr>
            <w:tcW w:w="3260" w:type="dxa"/>
          </w:tcPr>
          <w:p w14:paraId="581806EC" w14:textId="77777777" w:rsidR="00DD13BF" w:rsidRPr="00347461" w:rsidRDefault="00DD13BF" w:rsidP="00355A56">
            <w:pPr>
              <w:pStyle w:val="TableParagraph"/>
              <w:rPr>
                <w:sz w:val="20"/>
              </w:rPr>
            </w:pPr>
            <w:r>
              <w:rPr>
                <w:sz w:val="20"/>
              </w:rPr>
              <w:t>Visitors of cultural and tourism sites supported</w:t>
            </w:r>
          </w:p>
        </w:tc>
        <w:tc>
          <w:tcPr>
            <w:tcW w:w="993" w:type="dxa"/>
          </w:tcPr>
          <w:p w14:paraId="2CCE6892" w14:textId="77777777" w:rsidR="00DD13BF" w:rsidRPr="00347461" w:rsidRDefault="00DD13BF" w:rsidP="00355A56">
            <w:pPr>
              <w:pStyle w:val="TableParagraph"/>
              <w:rPr>
                <w:sz w:val="20"/>
              </w:rPr>
            </w:pPr>
            <w:r>
              <w:rPr>
                <w:sz w:val="20"/>
              </w:rPr>
              <w:t>Visitors/year</w:t>
            </w:r>
          </w:p>
        </w:tc>
        <w:tc>
          <w:tcPr>
            <w:tcW w:w="1134" w:type="dxa"/>
          </w:tcPr>
          <w:p w14:paraId="058E84E8" w14:textId="77777777" w:rsidR="00DD13BF" w:rsidRPr="00347461" w:rsidRDefault="00DD13BF" w:rsidP="00355A56">
            <w:pPr>
              <w:pStyle w:val="TableParagraph"/>
              <w:rPr>
                <w:sz w:val="20"/>
              </w:rPr>
            </w:pPr>
            <w:r>
              <w:rPr>
                <w:sz w:val="20"/>
              </w:rPr>
              <w:t>1,836,769</w:t>
            </w:r>
          </w:p>
        </w:tc>
        <w:tc>
          <w:tcPr>
            <w:tcW w:w="993" w:type="dxa"/>
          </w:tcPr>
          <w:p w14:paraId="478D5FEB" w14:textId="77777777" w:rsidR="00DD13BF" w:rsidRPr="00347461" w:rsidRDefault="00DD13BF" w:rsidP="00355A56">
            <w:pPr>
              <w:pStyle w:val="TableParagraph"/>
              <w:rPr>
                <w:sz w:val="20"/>
              </w:rPr>
            </w:pPr>
            <w:r>
              <w:rPr>
                <w:sz w:val="20"/>
              </w:rPr>
              <w:t>2019</w:t>
            </w:r>
          </w:p>
        </w:tc>
        <w:tc>
          <w:tcPr>
            <w:tcW w:w="993" w:type="dxa"/>
          </w:tcPr>
          <w:p w14:paraId="15A59796" w14:textId="77777777" w:rsidR="00DD13BF" w:rsidRPr="00347461" w:rsidRDefault="00DD13BF" w:rsidP="00355A56">
            <w:pPr>
              <w:pStyle w:val="TableParagraph"/>
              <w:rPr>
                <w:sz w:val="20"/>
              </w:rPr>
            </w:pPr>
            <w:r>
              <w:rPr>
                <w:sz w:val="20"/>
              </w:rPr>
              <w:t>1,928,607</w:t>
            </w:r>
          </w:p>
        </w:tc>
        <w:tc>
          <w:tcPr>
            <w:tcW w:w="851" w:type="dxa"/>
          </w:tcPr>
          <w:p w14:paraId="0CB50779" w14:textId="77777777" w:rsidR="00DD13BF" w:rsidRPr="00347461" w:rsidRDefault="00DD13BF" w:rsidP="00355A56">
            <w:pPr>
              <w:pStyle w:val="TableParagraph"/>
              <w:rPr>
                <w:sz w:val="20"/>
              </w:rPr>
            </w:pPr>
            <w:r>
              <w:rPr>
                <w:sz w:val="20"/>
              </w:rPr>
              <w:t xml:space="preserve"> SURS</w:t>
            </w:r>
          </w:p>
        </w:tc>
        <w:tc>
          <w:tcPr>
            <w:tcW w:w="706" w:type="dxa"/>
          </w:tcPr>
          <w:p w14:paraId="17EC665B" w14:textId="77777777" w:rsidR="00DD13BF" w:rsidRPr="00347461" w:rsidRDefault="00DD13BF" w:rsidP="00355A56">
            <w:pPr>
              <w:pStyle w:val="TableParagraph"/>
              <w:rPr>
                <w:sz w:val="20"/>
              </w:rPr>
            </w:pPr>
          </w:p>
        </w:tc>
      </w:tr>
    </w:tbl>
    <w:p w14:paraId="4729E463" w14:textId="77777777" w:rsidR="00DD13BF" w:rsidRPr="00F81084" w:rsidRDefault="00DD13BF" w:rsidP="00DD13BF">
      <w:pPr>
        <w:pStyle w:val="Telobesedila"/>
      </w:pPr>
    </w:p>
    <w:p w14:paraId="2D2B95CA" w14:textId="77777777" w:rsidR="00DD13BF" w:rsidRPr="00F81084" w:rsidRDefault="00DD13BF" w:rsidP="00DD13BF">
      <w:pPr>
        <w:pStyle w:val="Telobesedila"/>
      </w:pPr>
    </w:p>
    <w:p w14:paraId="7C1E2877" w14:textId="77777777" w:rsidR="00DD13BF" w:rsidRPr="00F356E9" w:rsidRDefault="00DD13BF" w:rsidP="00DD13BF">
      <w:pPr>
        <w:pStyle w:val="Naslov5"/>
        <w:numPr>
          <w:ilvl w:val="4"/>
          <w:numId w:val="16"/>
        </w:numPr>
        <w:spacing w:before="0"/>
      </w:pPr>
      <w:r>
        <w:t>Indicative breakdown of the programme resources (EU) by type of intervention</w:t>
      </w:r>
    </w:p>
    <w:p w14:paraId="2C036560" w14:textId="77777777" w:rsidR="00DD13BF" w:rsidRDefault="00DD13BF" w:rsidP="00DD13BF">
      <w:pPr>
        <w:ind w:left="640"/>
        <w:rPr>
          <w:spacing w:val="-5"/>
        </w:rPr>
      </w:pPr>
    </w:p>
    <w:p w14:paraId="1954EF5D" w14:textId="77777777" w:rsidR="00DD13BF" w:rsidRPr="00673ADB" w:rsidRDefault="00DD13BF" w:rsidP="00DD13BF">
      <w:pPr>
        <w:ind w:left="339"/>
        <w:rPr>
          <w:spacing w:val="-7"/>
        </w:rPr>
      </w:pPr>
      <w:r>
        <w:t>Table 4: Dimension 1 – intervention field</w:t>
      </w:r>
    </w:p>
    <w:p w14:paraId="6A6F944E"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6DEDBC44" w14:textId="77777777" w:rsidTr="00355A56">
        <w:trPr>
          <w:trHeight w:val="353"/>
        </w:trPr>
        <w:tc>
          <w:tcPr>
            <w:tcW w:w="2088" w:type="dxa"/>
          </w:tcPr>
          <w:p w14:paraId="55996627" w14:textId="77777777" w:rsidR="00DD13BF" w:rsidRDefault="00DD13BF" w:rsidP="00355A56">
            <w:pPr>
              <w:pStyle w:val="TableParagraph"/>
              <w:ind w:left="115"/>
            </w:pPr>
            <w:r>
              <w:t>Priority no.</w:t>
            </w:r>
          </w:p>
        </w:tc>
        <w:tc>
          <w:tcPr>
            <w:tcW w:w="1133" w:type="dxa"/>
          </w:tcPr>
          <w:p w14:paraId="78F0BCA2" w14:textId="77777777" w:rsidR="00DD13BF" w:rsidRDefault="00DD13BF" w:rsidP="00355A56">
            <w:pPr>
              <w:pStyle w:val="TableParagraph"/>
              <w:ind w:left="320"/>
            </w:pPr>
            <w:r>
              <w:t>Fund</w:t>
            </w:r>
          </w:p>
        </w:tc>
        <w:tc>
          <w:tcPr>
            <w:tcW w:w="3249" w:type="dxa"/>
          </w:tcPr>
          <w:p w14:paraId="46818438" w14:textId="77777777" w:rsidR="00DD13BF" w:rsidRDefault="00DD13BF" w:rsidP="00355A56">
            <w:pPr>
              <w:pStyle w:val="TableParagraph"/>
              <w:ind w:left="907"/>
            </w:pPr>
            <w:r>
              <w:t>Category of region</w:t>
            </w:r>
          </w:p>
        </w:tc>
        <w:tc>
          <w:tcPr>
            <w:tcW w:w="3099" w:type="dxa"/>
          </w:tcPr>
          <w:p w14:paraId="71BA2B70" w14:textId="77777777" w:rsidR="00DD13BF" w:rsidRDefault="00DD13BF" w:rsidP="00355A56">
            <w:pPr>
              <w:pStyle w:val="TableParagraph"/>
              <w:ind w:left="948"/>
            </w:pPr>
            <w:r>
              <w:t>Specific objective</w:t>
            </w:r>
          </w:p>
        </w:tc>
        <w:tc>
          <w:tcPr>
            <w:tcW w:w="1161" w:type="dxa"/>
          </w:tcPr>
          <w:p w14:paraId="0E215264" w14:textId="77777777" w:rsidR="00DD13BF" w:rsidRDefault="00DD13BF" w:rsidP="00355A56">
            <w:pPr>
              <w:pStyle w:val="TableParagraph"/>
              <w:ind w:left="333"/>
            </w:pPr>
            <w:r>
              <w:t>Code</w:t>
            </w:r>
          </w:p>
        </w:tc>
        <w:tc>
          <w:tcPr>
            <w:tcW w:w="2731" w:type="dxa"/>
          </w:tcPr>
          <w:p w14:paraId="2F626C9E" w14:textId="77777777" w:rsidR="00DD13BF" w:rsidRDefault="00DD13BF" w:rsidP="00355A56">
            <w:pPr>
              <w:pStyle w:val="TableParagraph"/>
              <w:ind w:left="660"/>
            </w:pPr>
            <w:r>
              <w:t>Amount (in EUR)</w:t>
            </w:r>
          </w:p>
        </w:tc>
      </w:tr>
      <w:tr w:rsidR="00DD13BF" w14:paraId="24E57578" w14:textId="77777777" w:rsidTr="00355A56">
        <w:trPr>
          <w:trHeight w:val="353"/>
        </w:trPr>
        <w:tc>
          <w:tcPr>
            <w:tcW w:w="2088" w:type="dxa"/>
          </w:tcPr>
          <w:p w14:paraId="545C78DC" w14:textId="77777777" w:rsidR="00DD13BF" w:rsidRDefault="00DD13BF" w:rsidP="00355A56">
            <w:pPr>
              <w:pStyle w:val="TableParagraph"/>
              <w:rPr>
                <w:sz w:val="20"/>
              </w:rPr>
            </w:pPr>
            <w:r>
              <w:rPr>
                <w:sz w:val="20"/>
              </w:rPr>
              <w:t>8</w:t>
            </w:r>
          </w:p>
        </w:tc>
        <w:tc>
          <w:tcPr>
            <w:tcW w:w="1133" w:type="dxa"/>
          </w:tcPr>
          <w:p w14:paraId="7A956902" w14:textId="77777777" w:rsidR="00DD13BF" w:rsidRDefault="00DD13BF" w:rsidP="00355A56">
            <w:pPr>
              <w:pStyle w:val="TableParagraph"/>
              <w:rPr>
                <w:sz w:val="20"/>
              </w:rPr>
            </w:pPr>
            <w:r>
              <w:rPr>
                <w:sz w:val="20"/>
              </w:rPr>
              <w:t>ERDF</w:t>
            </w:r>
          </w:p>
        </w:tc>
        <w:tc>
          <w:tcPr>
            <w:tcW w:w="3249" w:type="dxa"/>
          </w:tcPr>
          <w:p w14:paraId="50EA70CE" w14:textId="77777777" w:rsidR="00DD13BF" w:rsidRDefault="00DD13BF" w:rsidP="00355A56">
            <w:pPr>
              <w:pStyle w:val="TableParagraph"/>
              <w:rPr>
                <w:sz w:val="20"/>
              </w:rPr>
            </w:pPr>
            <w:r>
              <w:rPr>
                <w:sz w:val="20"/>
              </w:rPr>
              <w:t>Less developed</w:t>
            </w:r>
          </w:p>
        </w:tc>
        <w:tc>
          <w:tcPr>
            <w:tcW w:w="3099" w:type="dxa"/>
          </w:tcPr>
          <w:p w14:paraId="4CF66B12" w14:textId="77777777" w:rsidR="00DD13BF" w:rsidRDefault="00DD13BF" w:rsidP="00355A56">
            <w:pPr>
              <w:pStyle w:val="TableParagraph"/>
              <w:rPr>
                <w:sz w:val="20"/>
              </w:rPr>
            </w:pPr>
            <w:r>
              <w:rPr>
                <w:color w:val="000000"/>
                <w:sz w:val="20"/>
              </w:rPr>
              <w:t>RSO4.6</w:t>
            </w:r>
          </w:p>
        </w:tc>
        <w:tc>
          <w:tcPr>
            <w:tcW w:w="1161" w:type="dxa"/>
          </w:tcPr>
          <w:p w14:paraId="24768262" w14:textId="77777777" w:rsidR="00DD13BF" w:rsidRDefault="00DD13BF" w:rsidP="00355A56">
            <w:pPr>
              <w:pStyle w:val="TableParagraph"/>
              <w:rPr>
                <w:sz w:val="20"/>
              </w:rPr>
            </w:pPr>
            <w:r>
              <w:rPr>
                <w:sz w:val="20"/>
              </w:rPr>
              <w:t>165</w:t>
            </w:r>
          </w:p>
        </w:tc>
        <w:tc>
          <w:tcPr>
            <w:tcW w:w="2731" w:type="dxa"/>
          </w:tcPr>
          <w:p w14:paraId="7174B234" w14:textId="77777777" w:rsidR="00DD13BF" w:rsidRDefault="00DD13BF" w:rsidP="00355A56">
            <w:pPr>
              <w:pStyle w:val="TableParagraph"/>
              <w:rPr>
                <w:sz w:val="20"/>
              </w:rPr>
            </w:pPr>
            <w:r>
              <w:rPr>
                <w:sz w:val="20"/>
              </w:rPr>
              <w:t>5,857,100</w:t>
            </w:r>
          </w:p>
        </w:tc>
      </w:tr>
      <w:tr w:rsidR="00DD13BF" w14:paraId="0B3390FE" w14:textId="77777777" w:rsidTr="00355A56">
        <w:trPr>
          <w:trHeight w:val="353"/>
        </w:trPr>
        <w:tc>
          <w:tcPr>
            <w:tcW w:w="2088" w:type="dxa"/>
          </w:tcPr>
          <w:p w14:paraId="11D84ABF" w14:textId="77777777" w:rsidR="00DD13BF" w:rsidRDefault="00DD13BF" w:rsidP="00355A56">
            <w:pPr>
              <w:pStyle w:val="TableParagraph"/>
              <w:rPr>
                <w:sz w:val="20"/>
              </w:rPr>
            </w:pPr>
            <w:r>
              <w:rPr>
                <w:sz w:val="20"/>
              </w:rPr>
              <w:t>8</w:t>
            </w:r>
          </w:p>
        </w:tc>
        <w:tc>
          <w:tcPr>
            <w:tcW w:w="1133" w:type="dxa"/>
          </w:tcPr>
          <w:p w14:paraId="31B8462C" w14:textId="77777777" w:rsidR="00DD13BF" w:rsidRDefault="00DD13BF" w:rsidP="00355A56">
            <w:pPr>
              <w:pStyle w:val="TableParagraph"/>
              <w:rPr>
                <w:sz w:val="20"/>
              </w:rPr>
            </w:pPr>
            <w:r>
              <w:rPr>
                <w:sz w:val="20"/>
              </w:rPr>
              <w:t>ERDF</w:t>
            </w:r>
          </w:p>
        </w:tc>
        <w:tc>
          <w:tcPr>
            <w:tcW w:w="3249" w:type="dxa"/>
          </w:tcPr>
          <w:p w14:paraId="0568D616" w14:textId="77777777" w:rsidR="00DD13BF" w:rsidRDefault="00DD13BF" w:rsidP="00355A56">
            <w:pPr>
              <w:pStyle w:val="TableParagraph"/>
              <w:rPr>
                <w:sz w:val="20"/>
              </w:rPr>
            </w:pPr>
            <w:r>
              <w:rPr>
                <w:sz w:val="20"/>
              </w:rPr>
              <w:t>Less developed</w:t>
            </w:r>
          </w:p>
        </w:tc>
        <w:tc>
          <w:tcPr>
            <w:tcW w:w="3099" w:type="dxa"/>
          </w:tcPr>
          <w:p w14:paraId="21E9C424" w14:textId="77777777" w:rsidR="00DD13BF" w:rsidRDefault="00DD13BF" w:rsidP="00355A56">
            <w:pPr>
              <w:pStyle w:val="TableParagraph"/>
              <w:rPr>
                <w:sz w:val="20"/>
              </w:rPr>
            </w:pPr>
            <w:r>
              <w:rPr>
                <w:color w:val="000000"/>
                <w:sz w:val="20"/>
              </w:rPr>
              <w:t>RSO4.6</w:t>
            </w:r>
          </w:p>
        </w:tc>
        <w:tc>
          <w:tcPr>
            <w:tcW w:w="1161" w:type="dxa"/>
          </w:tcPr>
          <w:p w14:paraId="20164AC2" w14:textId="77777777" w:rsidR="00DD13BF" w:rsidRDefault="00DD13BF" w:rsidP="00355A56">
            <w:pPr>
              <w:pStyle w:val="TableParagraph"/>
              <w:rPr>
                <w:sz w:val="20"/>
              </w:rPr>
            </w:pPr>
            <w:r>
              <w:rPr>
                <w:sz w:val="20"/>
              </w:rPr>
              <w:t>166</w:t>
            </w:r>
          </w:p>
        </w:tc>
        <w:tc>
          <w:tcPr>
            <w:tcW w:w="2731" w:type="dxa"/>
          </w:tcPr>
          <w:p w14:paraId="123EB85D" w14:textId="77777777" w:rsidR="00DD13BF" w:rsidRDefault="00DD13BF" w:rsidP="00355A56">
            <w:pPr>
              <w:pStyle w:val="TableParagraph"/>
              <w:rPr>
                <w:sz w:val="20"/>
              </w:rPr>
            </w:pPr>
            <w:r>
              <w:rPr>
                <w:sz w:val="20"/>
              </w:rPr>
              <w:t>13,804,652</w:t>
            </w:r>
          </w:p>
        </w:tc>
      </w:tr>
    </w:tbl>
    <w:p w14:paraId="544E2582" w14:textId="77777777" w:rsidR="00DD13BF" w:rsidRDefault="00DD13BF" w:rsidP="00DD13BF"/>
    <w:p w14:paraId="5501BFC5" w14:textId="77777777" w:rsidR="00DD13BF" w:rsidRPr="00673ADB" w:rsidRDefault="00DD13BF" w:rsidP="00DD13BF">
      <w:pPr>
        <w:ind w:left="339"/>
        <w:rPr>
          <w:spacing w:val="-7"/>
        </w:rPr>
      </w:pPr>
      <w:r>
        <w:t>Table 5: Dimension 2 – form of financing</w:t>
      </w:r>
    </w:p>
    <w:p w14:paraId="3F26D6B6"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C411A08" w14:textId="77777777" w:rsidTr="00355A56">
        <w:trPr>
          <w:trHeight w:val="353"/>
        </w:trPr>
        <w:tc>
          <w:tcPr>
            <w:tcW w:w="2088" w:type="dxa"/>
          </w:tcPr>
          <w:p w14:paraId="5007DE68" w14:textId="77777777" w:rsidR="00DD13BF" w:rsidRDefault="00DD13BF" w:rsidP="00355A56">
            <w:pPr>
              <w:pStyle w:val="TableParagraph"/>
              <w:ind w:left="115"/>
            </w:pPr>
            <w:r>
              <w:t>Priority no.</w:t>
            </w:r>
          </w:p>
        </w:tc>
        <w:tc>
          <w:tcPr>
            <w:tcW w:w="1133" w:type="dxa"/>
          </w:tcPr>
          <w:p w14:paraId="58EC10E6" w14:textId="77777777" w:rsidR="00DD13BF" w:rsidRDefault="00DD13BF" w:rsidP="00355A56">
            <w:pPr>
              <w:pStyle w:val="TableParagraph"/>
              <w:ind w:left="320"/>
            </w:pPr>
            <w:r>
              <w:t>Fund</w:t>
            </w:r>
          </w:p>
        </w:tc>
        <w:tc>
          <w:tcPr>
            <w:tcW w:w="3249" w:type="dxa"/>
          </w:tcPr>
          <w:p w14:paraId="73512E94" w14:textId="77777777" w:rsidR="00DD13BF" w:rsidRDefault="00DD13BF" w:rsidP="00355A56">
            <w:pPr>
              <w:pStyle w:val="TableParagraph"/>
              <w:ind w:left="907"/>
            </w:pPr>
            <w:r>
              <w:t>Category of region</w:t>
            </w:r>
          </w:p>
        </w:tc>
        <w:tc>
          <w:tcPr>
            <w:tcW w:w="3099" w:type="dxa"/>
          </w:tcPr>
          <w:p w14:paraId="0C74DA9B" w14:textId="77777777" w:rsidR="00DD13BF" w:rsidRDefault="00DD13BF" w:rsidP="00355A56">
            <w:pPr>
              <w:pStyle w:val="TableParagraph"/>
              <w:ind w:left="948"/>
            </w:pPr>
            <w:r>
              <w:t>Specific objective</w:t>
            </w:r>
          </w:p>
        </w:tc>
        <w:tc>
          <w:tcPr>
            <w:tcW w:w="1161" w:type="dxa"/>
          </w:tcPr>
          <w:p w14:paraId="79F32314" w14:textId="77777777" w:rsidR="00DD13BF" w:rsidRDefault="00DD13BF" w:rsidP="00355A56">
            <w:pPr>
              <w:pStyle w:val="TableParagraph"/>
              <w:ind w:left="334"/>
            </w:pPr>
            <w:r>
              <w:t>Code</w:t>
            </w:r>
          </w:p>
        </w:tc>
        <w:tc>
          <w:tcPr>
            <w:tcW w:w="2731" w:type="dxa"/>
          </w:tcPr>
          <w:p w14:paraId="7F95ADFF" w14:textId="77777777" w:rsidR="00DD13BF" w:rsidRDefault="00DD13BF" w:rsidP="00355A56">
            <w:pPr>
              <w:pStyle w:val="TableParagraph"/>
              <w:ind w:left="661"/>
            </w:pPr>
            <w:r>
              <w:t>Amount (in EUR)</w:t>
            </w:r>
          </w:p>
        </w:tc>
      </w:tr>
      <w:tr w:rsidR="00DD13BF" w14:paraId="451270E4" w14:textId="77777777" w:rsidTr="00355A56">
        <w:trPr>
          <w:trHeight w:val="353"/>
        </w:trPr>
        <w:tc>
          <w:tcPr>
            <w:tcW w:w="2088" w:type="dxa"/>
          </w:tcPr>
          <w:p w14:paraId="58906B43" w14:textId="77777777" w:rsidR="00DD13BF" w:rsidRDefault="00DD13BF" w:rsidP="00355A56">
            <w:pPr>
              <w:pStyle w:val="TableParagraph"/>
              <w:rPr>
                <w:sz w:val="20"/>
              </w:rPr>
            </w:pPr>
            <w:r>
              <w:rPr>
                <w:sz w:val="20"/>
              </w:rPr>
              <w:t>8</w:t>
            </w:r>
          </w:p>
        </w:tc>
        <w:tc>
          <w:tcPr>
            <w:tcW w:w="1133" w:type="dxa"/>
          </w:tcPr>
          <w:p w14:paraId="376FD8AF" w14:textId="77777777" w:rsidR="00DD13BF" w:rsidRDefault="00DD13BF" w:rsidP="00355A56">
            <w:pPr>
              <w:pStyle w:val="TableParagraph"/>
              <w:rPr>
                <w:sz w:val="20"/>
              </w:rPr>
            </w:pPr>
            <w:r>
              <w:rPr>
                <w:sz w:val="20"/>
              </w:rPr>
              <w:t>ERDF</w:t>
            </w:r>
          </w:p>
        </w:tc>
        <w:tc>
          <w:tcPr>
            <w:tcW w:w="3249" w:type="dxa"/>
          </w:tcPr>
          <w:p w14:paraId="58D88844" w14:textId="77777777" w:rsidR="00DD13BF" w:rsidRDefault="00DD13BF" w:rsidP="00355A56">
            <w:pPr>
              <w:pStyle w:val="TableParagraph"/>
              <w:rPr>
                <w:sz w:val="20"/>
              </w:rPr>
            </w:pPr>
            <w:r>
              <w:rPr>
                <w:sz w:val="20"/>
              </w:rPr>
              <w:t>Less developed</w:t>
            </w:r>
          </w:p>
        </w:tc>
        <w:tc>
          <w:tcPr>
            <w:tcW w:w="3099" w:type="dxa"/>
          </w:tcPr>
          <w:p w14:paraId="05F0789D" w14:textId="77777777" w:rsidR="00DD13BF" w:rsidRDefault="00DD13BF" w:rsidP="00355A56">
            <w:pPr>
              <w:pStyle w:val="TableParagraph"/>
              <w:rPr>
                <w:sz w:val="20"/>
              </w:rPr>
            </w:pPr>
            <w:r>
              <w:rPr>
                <w:color w:val="000000"/>
                <w:sz w:val="20"/>
              </w:rPr>
              <w:t>RSO4.6</w:t>
            </w:r>
          </w:p>
        </w:tc>
        <w:tc>
          <w:tcPr>
            <w:tcW w:w="1161" w:type="dxa"/>
          </w:tcPr>
          <w:p w14:paraId="754FE5B1" w14:textId="77777777" w:rsidR="00DD13BF" w:rsidRDefault="00DD13BF" w:rsidP="00355A56">
            <w:pPr>
              <w:pStyle w:val="TableParagraph"/>
              <w:rPr>
                <w:sz w:val="20"/>
              </w:rPr>
            </w:pPr>
            <w:r>
              <w:rPr>
                <w:sz w:val="20"/>
              </w:rPr>
              <w:t>01</w:t>
            </w:r>
          </w:p>
        </w:tc>
        <w:tc>
          <w:tcPr>
            <w:tcW w:w="2731" w:type="dxa"/>
          </w:tcPr>
          <w:p w14:paraId="152B9C28" w14:textId="77777777" w:rsidR="00DD13BF" w:rsidRDefault="00DD13BF" w:rsidP="00355A56">
            <w:pPr>
              <w:pStyle w:val="TableParagraph"/>
              <w:rPr>
                <w:sz w:val="20"/>
              </w:rPr>
            </w:pPr>
            <w:r>
              <w:rPr>
                <w:sz w:val="20"/>
              </w:rPr>
              <w:t>19,661,752</w:t>
            </w:r>
          </w:p>
        </w:tc>
      </w:tr>
    </w:tbl>
    <w:p w14:paraId="6F81A3CE" w14:textId="77777777" w:rsidR="00DD13BF" w:rsidRDefault="00DD13BF" w:rsidP="00DD13BF">
      <w:pPr>
        <w:rPr>
          <w:sz w:val="20"/>
        </w:rPr>
        <w:sectPr w:rsidR="00DD13BF" w:rsidSect="00BD3536">
          <w:headerReference w:type="default" r:id="rId91"/>
          <w:footerReference w:type="first" r:id="rId92"/>
          <w:type w:val="continuous"/>
          <w:pgSz w:w="16840" w:h="11910" w:orient="landscape"/>
          <w:pgMar w:top="1417" w:right="1417" w:bottom="1417" w:left="1417" w:header="708" w:footer="708" w:gutter="0"/>
          <w:cols w:space="708"/>
          <w:titlePg/>
          <w:docGrid w:linePitch="299"/>
        </w:sectPr>
      </w:pPr>
    </w:p>
    <w:p w14:paraId="5B7612E4" w14:textId="77777777" w:rsidR="00DD13BF" w:rsidRDefault="00DD13BF" w:rsidP="00DD13BF">
      <w:pPr>
        <w:ind w:left="339"/>
        <w:rPr>
          <w:spacing w:val="-7"/>
        </w:rPr>
      </w:pPr>
    </w:p>
    <w:p w14:paraId="5BBF94CF" w14:textId="77777777" w:rsidR="00DD13BF" w:rsidRDefault="00DD13BF" w:rsidP="00DD13BF">
      <w:pPr>
        <w:ind w:left="339"/>
      </w:pPr>
      <w:r>
        <w:t>Table 6: Dimension 3 – territorial delivery mechanism and territorial focus</w:t>
      </w:r>
    </w:p>
    <w:p w14:paraId="5FBCBD30"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FAB1B7B" w14:textId="77777777" w:rsidTr="00355A56">
        <w:trPr>
          <w:trHeight w:val="353"/>
        </w:trPr>
        <w:tc>
          <w:tcPr>
            <w:tcW w:w="2088" w:type="dxa"/>
          </w:tcPr>
          <w:p w14:paraId="66B2BB2B" w14:textId="77777777" w:rsidR="00DD13BF" w:rsidRDefault="00DD13BF" w:rsidP="00355A56">
            <w:pPr>
              <w:pStyle w:val="TableParagraph"/>
              <w:ind w:left="115"/>
            </w:pPr>
            <w:r>
              <w:t>Priority no.</w:t>
            </w:r>
          </w:p>
        </w:tc>
        <w:tc>
          <w:tcPr>
            <w:tcW w:w="1132" w:type="dxa"/>
          </w:tcPr>
          <w:p w14:paraId="71C34D90" w14:textId="77777777" w:rsidR="00DD13BF" w:rsidRDefault="00DD13BF" w:rsidP="00355A56">
            <w:pPr>
              <w:pStyle w:val="TableParagraph"/>
              <w:ind w:left="320"/>
            </w:pPr>
            <w:r>
              <w:t>Fund</w:t>
            </w:r>
          </w:p>
        </w:tc>
        <w:tc>
          <w:tcPr>
            <w:tcW w:w="3248" w:type="dxa"/>
          </w:tcPr>
          <w:p w14:paraId="6C83918F" w14:textId="77777777" w:rsidR="00DD13BF" w:rsidRDefault="00DD13BF" w:rsidP="00355A56">
            <w:pPr>
              <w:pStyle w:val="TableParagraph"/>
              <w:ind w:left="908"/>
            </w:pPr>
            <w:r>
              <w:t>Category of region</w:t>
            </w:r>
          </w:p>
        </w:tc>
        <w:tc>
          <w:tcPr>
            <w:tcW w:w="3098" w:type="dxa"/>
          </w:tcPr>
          <w:p w14:paraId="0E740BB8" w14:textId="77777777" w:rsidR="00DD13BF" w:rsidRDefault="00DD13BF" w:rsidP="00355A56">
            <w:pPr>
              <w:pStyle w:val="TableParagraph"/>
              <w:ind w:left="950"/>
            </w:pPr>
            <w:r>
              <w:t>Specific objective</w:t>
            </w:r>
          </w:p>
        </w:tc>
        <w:tc>
          <w:tcPr>
            <w:tcW w:w="1160" w:type="dxa"/>
          </w:tcPr>
          <w:p w14:paraId="14F2538F" w14:textId="77777777" w:rsidR="00DD13BF" w:rsidRPr="00E229C9" w:rsidRDefault="00DD13BF" w:rsidP="00355A56">
            <w:pPr>
              <w:pStyle w:val="TableParagraph"/>
              <w:ind w:left="336"/>
            </w:pPr>
            <w:r>
              <w:t>Code</w:t>
            </w:r>
          </w:p>
        </w:tc>
        <w:tc>
          <w:tcPr>
            <w:tcW w:w="2730" w:type="dxa"/>
          </w:tcPr>
          <w:p w14:paraId="2F7C53E4" w14:textId="77777777" w:rsidR="00DD13BF" w:rsidRDefault="00DD13BF" w:rsidP="00355A56">
            <w:pPr>
              <w:pStyle w:val="TableParagraph"/>
              <w:ind w:left="664"/>
            </w:pPr>
            <w:r>
              <w:t>Amount (in EUR)</w:t>
            </w:r>
          </w:p>
        </w:tc>
      </w:tr>
      <w:tr w:rsidR="00DD13BF" w14:paraId="1F5B776A" w14:textId="77777777" w:rsidTr="00355A56">
        <w:trPr>
          <w:trHeight w:val="353"/>
        </w:trPr>
        <w:tc>
          <w:tcPr>
            <w:tcW w:w="2088" w:type="dxa"/>
          </w:tcPr>
          <w:p w14:paraId="724A2CB9" w14:textId="77777777" w:rsidR="00DD13BF" w:rsidRDefault="00DD13BF" w:rsidP="00355A56">
            <w:pPr>
              <w:pStyle w:val="TableParagraph"/>
              <w:rPr>
                <w:sz w:val="20"/>
              </w:rPr>
            </w:pPr>
            <w:r>
              <w:rPr>
                <w:sz w:val="20"/>
              </w:rPr>
              <w:t>8</w:t>
            </w:r>
          </w:p>
        </w:tc>
        <w:tc>
          <w:tcPr>
            <w:tcW w:w="1132" w:type="dxa"/>
          </w:tcPr>
          <w:p w14:paraId="22A2BCC1" w14:textId="77777777" w:rsidR="00DD13BF" w:rsidRDefault="00DD13BF" w:rsidP="00355A56">
            <w:pPr>
              <w:pStyle w:val="TableParagraph"/>
              <w:rPr>
                <w:sz w:val="20"/>
              </w:rPr>
            </w:pPr>
            <w:r>
              <w:rPr>
                <w:sz w:val="20"/>
              </w:rPr>
              <w:t>ERDF</w:t>
            </w:r>
          </w:p>
        </w:tc>
        <w:tc>
          <w:tcPr>
            <w:tcW w:w="3248" w:type="dxa"/>
          </w:tcPr>
          <w:p w14:paraId="58300237" w14:textId="77777777" w:rsidR="00DD13BF" w:rsidRDefault="00DD13BF" w:rsidP="00355A56">
            <w:pPr>
              <w:pStyle w:val="TableParagraph"/>
              <w:rPr>
                <w:sz w:val="20"/>
              </w:rPr>
            </w:pPr>
            <w:r>
              <w:rPr>
                <w:sz w:val="20"/>
              </w:rPr>
              <w:t>Less developed</w:t>
            </w:r>
          </w:p>
        </w:tc>
        <w:tc>
          <w:tcPr>
            <w:tcW w:w="3098" w:type="dxa"/>
          </w:tcPr>
          <w:p w14:paraId="44D1EA79" w14:textId="77777777" w:rsidR="00DD13BF" w:rsidRDefault="00DD13BF" w:rsidP="00355A56">
            <w:pPr>
              <w:pStyle w:val="TableParagraph"/>
              <w:rPr>
                <w:sz w:val="20"/>
              </w:rPr>
            </w:pPr>
            <w:r>
              <w:rPr>
                <w:color w:val="000000"/>
                <w:sz w:val="20"/>
              </w:rPr>
              <w:t>RSO4.6</w:t>
            </w:r>
          </w:p>
        </w:tc>
        <w:tc>
          <w:tcPr>
            <w:tcW w:w="1160" w:type="dxa"/>
          </w:tcPr>
          <w:p w14:paraId="441CEC6A" w14:textId="77777777" w:rsidR="00DD13BF" w:rsidRPr="00E229C9" w:rsidRDefault="00DD13BF" w:rsidP="00355A56">
            <w:pPr>
              <w:pStyle w:val="TableParagraph"/>
              <w:rPr>
                <w:sz w:val="20"/>
              </w:rPr>
            </w:pPr>
            <w:r>
              <w:rPr>
                <w:sz w:val="20"/>
              </w:rPr>
              <w:t>33</w:t>
            </w:r>
          </w:p>
        </w:tc>
        <w:tc>
          <w:tcPr>
            <w:tcW w:w="2730" w:type="dxa"/>
          </w:tcPr>
          <w:p w14:paraId="24A66AC9" w14:textId="77777777" w:rsidR="00DD13BF" w:rsidRPr="00E229C9" w:rsidRDefault="00DD13BF" w:rsidP="00355A56">
            <w:pPr>
              <w:pStyle w:val="TableParagraph"/>
              <w:rPr>
                <w:sz w:val="20"/>
              </w:rPr>
            </w:pPr>
            <w:r>
              <w:rPr>
                <w:sz w:val="20"/>
              </w:rPr>
              <w:t>19,661,752</w:t>
            </w:r>
          </w:p>
        </w:tc>
      </w:tr>
    </w:tbl>
    <w:p w14:paraId="1300E18C" w14:textId="77777777" w:rsidR="00DD13BF" w:rsidRDefault="00DD13BF" w:rsidP="00DD13BF"/>
    <w:p w14:paraId="23D968A4" w14:textId="77777777" w:rsidR="00DD13BF" w:rsidRDefault="00DD13BF" w:rsidP="00DD13BF">
      <w:pPr>
        <w:ind w:left="339"/>
      </w:pPr>
      <w:r>
        <w:t>Table 7: Dimension 6 – ESF+ secondary themes</w:t>
      </w:r>
    </w:p>
    <w:p w14:paraId="66901891"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D79D4FE" w14:textId="77777777" w:rsidTr="00355A56">
        <w:trPr>
          <w:trHeight w:val="353"/>
        </w:trPr>
        <w:tc>
          <w:tcPr>
            <w:tcW w:w="2088" w:type="dxa"/>
          </w:tcPr>
          <w:p w14:paraId="410B6D55" w14:textId="77777777" w:rsidR="00DD13BF" w:rsidRDefault="00DD13BF" w:rsidP="00355A56">
            <w:pPr>
              <w:pStyle w:val="TableParagraph"/>
              <w:ind w:left="115"/>
            </w:pPr>
            <w:r>
              <w:lastRenderedPageBreak/>
              <w:t>Priority no.</w:t>
            </w:r>
          </w:p>
        </w:tc>
        <w:tc>
          <w:tcPr>
            <w:tcW w:w="1132" w:type="dxa"/>
          </w:tcPr>
          <w:p w14:paraId="6E6E3CFA" w14:textId="77777777" w:rsidR="00DD13BF" w:rsidRDefault="00DD13BF" w:rsidP="00355A56">
            <w:pPr>
              <w:pStyle w:val="TableParagraph"/>
              <w:ind w:left="321"/>
            </w:pPr>
            <w:r>
              <w:t>Fund</w:t>
            </w:r>
          </w:p>
        </w:tc>
        <w:tc>
          <w:tcPr>
            <w:tcW w:w="3248" w:type="dxa"/>
          </w:tcPr>
          <w:p w14:paraId="162640A1" w14:textId="77777777" w:rsidR="00DD13BF" w:rsidRDefault="00DD13BF" w:rsidP="00355A56">
            <w:pPr>
              <w:pStyle w:val="TableParagraph"/>
              <w:ind w:left="909"/>
            </w:pPr>
            <w:r>
              <w:t>Category of region</w:t>
            </w:r>
          </w:p>
        </w:tc>
        <w:tc>
          <w:tcPr>
            <w:tcW w:w="3098" w:type="dxa"/>
          </w:tcPr>
          <w:p w14:paraId="548A1310" w14:textId="77777777" w:rsidR="00DD13BF" w:rsidRDefault="00DD13BF" w:rsidP="00355A56">
            <w:pPr>
              <w:pStyle w:val="TableParagraph"/>
              <w:ind w:left="950"/>
            </w:pPr>
            <w:r>
              <w:t>Specific objective</w:t>
            </w:r>
          </w:p>
        </w:tc>
        <w:tc>
          <w:tcPr>
            <w:tcW w:w="1160" w:type="dxa"/>
          </w:tcPr>
          <w:p w14:paraId="500A3DF4" w14:textId="77777777" w:rsidR="00DD13BF" w:rsidRDefault="00DD13BF" w:rsidP="00355A56">
            <w:pPr>
              <w:pStyle w:val="TableParagraph"/>
              <w:ind w:left="337"/>
            </w:pPr>
            <w:r>
              <w:t>Code</w:t>
            </w:r>
          </w:p>
        </w:tc>
        <w:tc>
          <w:tcPr>
            <w:tcW w:w="2730" w:type="dxa"/>
          </w:tcPr>
          <w:p w14:paraId="33F79E1F" w14:textId="77777777" w:rsidR="00DD13BF" w:rsidRDefault="00DD13BF" w:rsidP="00355A56">
            <w:pPr>
              <w:pStyle w:val="TableParagraph"/>
              <w:ind w:left="665"/>
            </w:pPr>
            <w:r>
              <w:t>Amount (in EUR)</w:t>
            </w:r>
          </w:p>
        </w:tc>
      </w:tr>
    </w:tbl>
    <w:p w14:paraId="05ECE3ED" w14:textId="77777777" w:rsidR="00DD13BF" w:rsidRPr="00673ADB" w:rsidRDefault="00DD13BF" w:rsidP="00DD13BF"/>
    <w:p w14:paraId="6BF0B1CB" w14:textId="77777777" w:rsidR="00DD13BF" w:rsidRDefault="00DD13BF" w:rsidP="00DD13BF">
      <w:pPr>
        <w:ind w:left="339"/>
      </w:pPr>
      <w:r>
        <w:t>Table 8: Dimension 7 – ESF+*, ERDF, Cohesion Fund and JTF gender equality dimension</w:t>
      </w:r>
    </w:p>
    <w:p w14:paraId="0BE1A984"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47EF055" w14:textId="77777777" w:rsidTr="00355A56">
        <w:trPr>
          <w:trHeight w:val="353"/>
        </w:trPr>
        <w:tc>
          <w:tcPr>
            <w:tcW w:w="2088" w:type="dxa"/>
          </w:tcPr>
          <w:p w14:paraId="6B30EEAA" w14:textId="77777777" w:rsidR="00DD13BF" w:rsidRDefault="00DD13BF" w:rsidP="00355A56">
            <w:pPr>
              <w:pStyle w:val="TableParagraph"/>
              <w:ind w:left="115"/>
            </w:pPr>
            <w:r>
              <w:t>Priority no.</w:t>
            </w:r>
          </w:p>
        </w:tc>
        <w:tc>
          <w:tcPr>
            <w:tcW w:w="1132" w:type="dxa"/>
          </w:tcPr>
          <w:p w14:paraId="4F40D50F" w14:textId="77777777" w:rsidR="00DD13BF" w:rsidRDefault="00DD13BF" w:rsidP="00355A56">
            <w:pPr>
              <w:pStyle w:val="TableParagraph"/>
              <w:ind w:left="320"/>
            </w:pPr>
            <w:r>
              <w:t>Fund</w:t>
            </w:r>
          </w:p>
        </w:tc>
        <w:tc>
          <w:tcPr>
            <w:tcW w:w="3248" w:type="dxa"/>
          </w:tcPr>
          <w:p w14:paraId="053A9079" w14:textId="77777777" w:rsidR="00DD13BF" w:rsidRDefault="00DD13BF" w:rsidP="00355A56">
            <w:pPr>
              <w:pStyle w:val="TableParagraph"/>
              <w:ind w:left="908"/>
            </w:pPr>
            <w:r>
              <w:t>Category of region</w:t>
            </w:r>
          </w:p>
        </w:tc>
        <w:tc>
          <w:tcPr>
            <w:tcW w:w="3098" w:type="dxa"/>
          </w:tcPr>
          <w:p w14:paraId="32C51446" w14:textId="77777777" w:rsidR="00DD13BF" w:rsidRDefault="00DD13BF" w:rsidP="00355A56">
            <w:pPr>
              <w:pStyle w:val="TableParagraph"/>
              <w:ind w:left="950"/>
            </w:pPr>
            <w:r>
              <w:t>Specific objective</w:t>
            </w:r>
          </w:p>
        </w:tc>
        <w:tc>
          <w:tcPr>
            <w:tcW w:w="1160" w:type="dxa"/>
          </w:tcPr>
          <w:p w14:paraId="4DA7A29C" w14:textId="77777777" w:rsidR="00DD13BF" w:rsidRDefault="00DD13BF" w:rsidP="00355A56">
            <w:pPr>
              <w:pStyle w:val="TableParagraph"/>
              <w:ind w:left="336"/>
            </w:pPr>
            <w:r>
              <w:t>Code</w:t>
            </w:r>
          </w:p>
        </w:tc>
        <w:tc>
          <w:tcPr>
            <w:tcW w:w="2730" w:type="dxa"/>
          </w:tcPr>
          <w:p w14:paraId="33162B11" w14:textId="77777777" w:rsidR="00DD13BF" w:rsidRDefault="00DD13BF" w:rsidP="00355A56">
            <w:pPr>
              <w:pStyle w:val="TableParagraph"/>
              <w:ind w:left="664"/>
            </w:pPr>
            <w:r>
              <w:t>Amount (in EUR)</w:t>
            </w:r>
          </w:p>
        </w:tc>
      </w:tr>
      <w:tr w:rsidR="00DD13BF" w14:paraId="233EE635" w14:textId="77777777" w:rsidTr="00355A56">
        <w:trPr>
          <w:trHeight w:val="353"/>
        </w:trPr>
        <w:tc>
          <w:tcPr>
            <w:tcW w:w="2088" w:type="dxa"/>
          </w:tcPr>
          <w:p w14:paraId="44D6DFD2" w14:textId="77777777" w:rsidR="00DD13BF" w:rsidRDefault="00DD13BF" w:rsidP="00355A56">
            <w:pPr>
              <w:pStyle w:val="TableParagraph"/>
              <w:rPr>
                <w:sz w:val="20"/>
              </w:rPr>
            </w:pPr>
            <w:r>
              <w:rPr>
                <w:sz w:val="20"/>
              </w:rPr>
              <w:t>8</w:t>
            </w:r>
          </w:p>
        </w:tc>
        <w:tc>
          <w:tcPr>
            <w:tcW w:w="1132" w:type="dxa"/>
          </w:tcPr>
          <w:p w14:paraId="02554758" w14:textId="77777777" w:rsidR="00DD13BF" w:rsidRDefault="00DD13BF" w:rsidP="00355A56">
            <w:pPr>
              <w:pStyle w:val="TableParagraph"/>
              <w:rPr>
                <w:sz w:val="20"/>
              </w:rPr>
            </w:pPr>
            <w:r>
              <w:rPr>
                <w:sz w:val="20"/>
              </w:rPr>
              <w:t>ERDF</w:t>
            </w:r>
          </w:p>
        </w:tc>
        <w:tc>
          <w:tcPr>
            <w:tcW w:w="3248" w:type="dxa"/>
          </w:tcPr>
          <w:p w14:paraId="1C9EBC75" w14:textId="77777777" w:rsidR="00DD13BF" w:rsidRDefault="00DD13BF" w:rsidP="00355A56">
            <w:pPr>
              <w:pStyle w:val="TableParagraph"/>
              <w:rPr>
                <w:sz w:val="20"/>
              </w:rPr>
            </w:pPr>
            <w:r>
              <w:rPr>
                <w:sz w:val="20"/>
              </w:rPr>
              <w:t>Less developed</w:t>
            </w:r>
          </w:p>
        </w:tc>
        <w:tc>
          <w:tcPr>
            <w:tcW w:w="3098" w:type="dxa"/>
          </w:tcPr>
          <w:p w14:paraId="10B0A4E8" w14:textId="77777777" w:rsidR="00DD13BF" w:rsidRDefault="00DD13BF" w:rsidP="00355A56">
            <w:pPr>
              <w:pStyle w:val="TableParagraph"/>
              <w:rPr>
                <w:sz w:val="20"/>
              </w:rPr>
            </w:pPr>
            <w:r>
              <w:rPr>
                <w:color w:val="000000"/>
                <w:sz w:val="20"/>
              </w:rPr>
              <w:t>RSO4.6</w:t>
            </w:r>
          </w:p>
        </w:tc>
        <w:tc>
          <w:tcPr>
            <w:tcW w:w="1160" w:type="dxa"/>
          </w:tcPr>
          <w:p w14:paraId="63B31EF0" w14:textId="77777777" w:rsidR="00DD13BF" w:rsidRDefault="00DD13BF" w:rsidP="00355A56">
            <w:pPr>
              <w:pStyle w:val="TableParagraph"/>
              <w:rPr>
                <w:sz w:val="20"/>
              </w:rPr>
            </w:pPr>
            <w:r>
              <w:rPr>
                <w:sz w:val="20"/>
              </w:rPr>
              <w:t>03</w:t>
            </w:r>
          </w:p>
        </w:tc>
        <w:tc>
          <w:tcPr>
            <w:tcW w:w="2730" w:type="dxa"/>
          </w:tcPr>
          <w:p w14:paraId="69B6C20A" w14:textId="77777777" w:rsidR="00DD13BF" w:rsidRDefault="00DD13BF" w:rsidP="00355A56">
            <w:pPr>
              <w:pStyle w:val="TableParagraph"/>
              <w:rPr>
                <w:sz w:val="20"/>
              </w:rPr>
            </w:pPr>
            <w:r>
              <w:rPr>
                <w:sz w:val="20"/>
              </w:rPr>
              <w:t>19,661,752</w:t>
            </w:r>
          </w:p>
        </w:tc>
      </w:tr>
    </w:tbl>
    <w:p w14:paraId="3F123A4C"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3953548B" w14:textId="77777777" w:rsidR="00DD13BF" w:rsidRDefault="00DD13BF" w:rsidP="00DD13BF">
      <w:pPr>
        <w:rPr>
          <w:spacing w:val="-2"/>
        </w:rPr>
      </w:pPr>
    </w:p>
    <w:p w14:paraId="4CDF37A8" w14:textId="77777777" w:rsidR="00DD13BF" w:rsidRDefault="00DD13BF" w:rsidP="00DD13BF">
      <w:r>
        <w:br w:type="page"/>
      </w:r>
    </w:p>
    <w:p w14:paraId="2A66F5BC" w14:textId="77777777" w:rsidR="00DD13BF" w:rsidRDefault="00DD13BF" w:rsidP="00DD13BF">
      <w:pPr>
        <w:pStyle w:val="Naslov3"/>
      </w:pPr>
      <w:bookmarkStart w:id="64" w:name="_Toc131161731"/>
      <w:r>
        <w:lastRenderedPageBreak/>
        <w:t>Priority 9: Sustainable development of local areas</w:t>
      </w:r>
      <w:bookmarkEnd w:id="64"/>
    </w:p>
    <w:p w14:paraId="4AEDEEA2"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0C28BC1C" w14:textId="77777777" w:rsidTr="00355A56">
        <w:tc>
          <w:tcPr>
            <w:tcW w:w="13994" w:type="dxa"/>
          </w:tcPr>
          <w:p w14:paraId="24E8A5AE" w14:textId="77777777" w:rsidR="00DD13BF" w:rsidRPr="006A1DD0" w:rsidRDefault="00DD13BF" w:rsidP="00355A56">
            <w:pPr>
              <w:rPr>
                <w:rFonts w:eastAsia="Calibri"/>
              </w:rPr>
            </w:pPr>
            <w:r>
              <w:rPr>
                <w:noProof/>
                <w:lang w:val="sl-SI"/>
              </w:rPr>
              <w:drawing>
                <wp:inline distT="0" distB="0" distL="0" distR="0" wp14:anchorId="2027A172" wp14:editId="2B695733">
                  <wp:extent cx="121920" cy="103505"/>
                  <wp:effectExtent l="0" t="0" r="0" b="0"/>
                  <wp:docPr id="1139" name="Slika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youth employment</w:t>
            </w:r>
          </w:p>
        </w:tc>
      </w:tr>
      <w:tr w:rsidR="00DD13BF" w:rsidRPr="006A1DD0" w14:paraId="57F41D9C" w14:textId="77777777" w:rsidTr="00355A56">
        <w:tc>
          <w:tcPr>
            <w:tcW w:w="13994" w:type="dxa"/>
          </w:tcPr>
          <w:p w14:paraId="11C544FB" w14:textId="77777777" w:rsidR="00DD13BF" w:rsidRPr="006A1DD0" w:rsidRDefault="00DD13BF" w:rsidP="00355A56">
            <w:pPr>
              <w:rPr>
                <w:rFonts w:eastAsia="Calibri"/>
              </w:rPr>
            </w:pPr>
            <w:r>
              <w:rPr>
                <w:noProof/>
                <w:lang w:val="sl-SI"/>
              </w:rPr>
              <w:drawing>
                <wp:inline distT="0" distB="0" distL="0" distR="0" wp14:anchorId="03430FA1" wp14:editId="3EBB4DA2">
                  <wp:extent cx="121920" cy="103505"/>
                  <wp:effectExtent l="0" t="0" r="0" b="0"/>
                  <wp:docPr id="1140" name="Slika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0"/>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social innovative actions</w:t>
            </w:r>
          </w:p>
        </w:tc>
      </w:tr>
      <w:tr w:rsidR="00DD13BF" w:rsidRPr="006A1DD0" w14:paraId="448BB828" w14:textId="77777777" w:rsidTr="00355A56">
        <w:tc>
          <w:tcPr>
            <w:tcW w:w="13994" w:type="dxa"/>
          </w:tcPr>
          <w:p w14:paraId="4B20CE00" w14:textId="77777777" w:rsidR="00DD13BF" w:rsidRPr="006A1DD0" w:rsidRDefault="00DD13BF" w:rsidP="00355A56">
            <w:pPr>
              <w:rPr>
                <w:rFonts w:eastAsia="Calibri"/>
              </w:rPr>
            </w:pPr>
            <w:r>
              <w:rPr>
                <w:noProof/>
                <w:lang w:val="sl-SI"/>
              </w:rPr>
              <w:drawing>
                <wp:inline distT="0" distB="0" distL="0" distR="0" wp14:anchorId="329E17E5" wp14:editId="76078714">
                  <wp:extent cx="121920" cy="103505"/>
                  <wp:effectExtent l="0" t="0" r="0" b="0"/>
                  <wp:docPr id="1141" name="Slika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1"/>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7D44418B" w14:textId="77777777" w:rsidTr="00355A56">
        <w:tc>
          <w:tcPr>
            <w:tcW w:w="13994" w:type="dxa"/>
          </w:tcPr>
          <w:p w14:paraId="3F24AE6C" w14:textId="77777777" w:rsidR="00DD13BF" w:rsidRPr="006A1DD0" w:rsidRDefault="00DD13BF" w:rsidP="00355A56">
            <w:pPr>
              <w:rPr>
                <w:rFonts w:eastAsia="Calibri"/>
              </w:rPr>
            </w:pPr>
            <w:r>
              <w:rPr>
                <w:noProof/>
                <w:lang w:val="sl-SI"/>
              </w:rPr>
              <w:drawing>
                <wp:inline distT="0" distB="0" distL="0" distR="0" wp14:anchorId="19D5F0C5" wp14:editId="3F827BA0">
                  <wp:extent cx="121920" cy="103505"/>
                  <wp:effectExtent l="0" t="0" r="0" b="0"/>
                  <wp:docPr id="1142" name="Slika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2"/>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674B8588" w14:textId="77777777" w:rsidTr="00355A56">
        <w:tc>
          <w:tcPr>
            <w:tcW w:w="13994" w:type="dxa"/>
          </w:tcPr>
          <w:p w14:paraId="3E93694F" w14:textId="77777777" w:rsidR="00DD13BF" w:rsidRPr="006A1DD0" w:rsidRDefault="00DD13BF" w:rsidP="00355A56">
            <w:pPr>
              <w:rPr>
                <w:rFonts w:eastAsia="Calibri"/>
              </w:rPr>
            </w:pPr>
            <w:r>
              <w:rPr>
                <w:noProof/>
                <w:lang w:val="sl-SI"/>
              </w:rPr>
              <w:drawing>
                <wp:inline distT="0" distB="0" distL="0" distR="0" wp14:anchorId="0BCD7C99" wp14:editId="6531BA65">
                  <wp:extent cx="121920" cy="103505"/>
                  <wp:effectExtent l="0" t="0" r="0" b="0"/>
                  <wp:docPr id="1143" name="Slika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urban mobility specific objective set out in point (viii) of Article 3(1)(b) of the ERDF and Cohesion Fund Regulation</w:t>
            </w:r>
          </w:p>
          <w:p w14:paraId="383BC042" w14:textId="77777777" w:rsidR="00DD13BF" w:rsidRPr="006A1DD0" w:rsidRDefault="00DD13BF" w:rsidP="00355A56">
            <w:pPr>
              <w:rPr>
                <w:rFonts w:eastAsia="Calibri"/>
              </w:rPr>
            </w:pPr>
          </w:p>
        </w:tc>
      </w:tr>
      <w:tr w:rsidR="00DD13BF" w:rsidRPr="006A1DD0" w14:paraId="27E93D92" w14:textId="77777777" w:rsidTr="00355A56">
        <w:trPr>
          <w:trHeight w:val="83"/>
        </w:trPr>
        <w:tc>
          <w:tcPr>
            <w:tcW w:w="13994" w:type="dxa"/>
          </w:tcPr>
          <w:p w14:paraId="574E9F47" w14:textId="77777777" w:rsidR="00DD13BF" w:rsidRPr="00DD1BF0" w:rsidRDefault="00DD13BF" w:rsidP="00355A56">
            <w:pPr>
              <w:rPr>
                <w:rFonts w:eastAsia="Calibri"/>
              </w:rPr>
            </w:pPr>
            <w:r>
              <w:rPr>
                <w:noProof/>
                <w:lang w:val="sl-SI"/>
              </w:rPr>
              <w:drawing>
                <wp:inline distT="0" distB="0" distL="0" distR="0" wp14:anchorId="3FC8931A" wp14:editId="0CC02131">
                  <wp:extent cx="121920" cy="103505"/>
                  <wp:effectExtent l="0" t="0" r="0" b="0"/>
                  <wp:docPr id="1144" name="Slika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digital connectivity specific objective set out in point (v) of Article 3(1)(a) of the ERDF and Cohesion Fund Regulation</w:t>
            </w:r>
          </w:p>
          <w:p w14:paraId="7E413DB5" w14:textId="77777777" w:rsidR="00DD13BF" w:rsidRPr="006A1DD0" w:rsidRDefault="00DD13BF" w:rsidP="00355A56">
            <w:pPr>
              <w:rPr>
                <w:rFonts w:eastAsia="Calibri"/>
              </w:rPr>
            </w:pPr>
          </w:p>
        </w:tc>
      </w:tr>
    </w:tbl>
    <w:p w14:paraId="39EBC469" w14:textId="77777777" w:rsidR="00DD13BF" w:rsidRPr="006D4DF3" w:rsidRDefault="00DD13BF" w:rsidP="00DD13BF">
      <w:pPr>
        <w:tabs>
          <w:tab w:val="left" w:pos="709"/>
        </w:tabs>
        <w:ind w:left="530"/>
        <w:rPr>
          <w:sz w:val="16"/>
          <w:szCs w:val="16"/>
        </w:rPr>
      </w:pPr>
      <w:r>
        <w:rPr>
          <w:b/>
          <w:sz w:val="16"/>
        </w:rPr>
        <w:t>*</w:t>
      </w:r>
      <w:r>
        <w:rPr>
          <w:b/>
          <w:sz w:val="16"/>
        </w:rPr>
        <w:tab/>
      </w:r>
      <w:r>
        <w:rPr>
          <w:sz w:val="16"/>
        </w:rPr>
        <w:t>If marked, go to section 2.1.1.2.</w:t>
      </w:r>
    </w:p>
    <w:p w14:paraId="24DAB6BB" w14:textId="77777777" w:rsidR="00DD13BF" w:rsidRDefault="00DD13BF" w:rsidP="00DD13BF"/>
    <w:p w14:paraId="75A0DB74" w14:textId="77777777" w:rsidR="00DD13BF" w:rsidRDefault="00DD13BF" w:rsidP="00DD13BF"/>
    <w:p w14:paraId="370FE1D5" w14:textId="77777777" w:rsidR="00DD13BF" w:rsidRPr="00BD3536" w:rsidRDefault="00DD13BF" w:rsidP="00DD13BF">
      <w:pPr>
        <w:pStyle w:val="Naslov4"/>
        <w:ind w:left="1134"/>
      </w:pPr>
      <w:bookmarkStart w:id="65" w:name="_Toc131161732"/>
      <w:r>
        <w:t>Specific objective RSO5.1. Fostering the integrated and inclusive social, economic and environmental development, culture, natural heritage, sustainable tourism, and security in urban areas (ERDF)</w:t>
      </w:r>
      <w:bookmarkEnd w:id="65"/>
    </w:p>
    <w:p w14:paraId="77578968" w14:textId="77777777" w:rsidR="00DD13BF" w:rsidRDefault="00DD13BF" w:rsidP="00DD13BF">
      <w:pPr>
        <w:rPr>
          <w:sz w:val="30"/>
        </w:rPr>
      </w:pPr>
    </w:p>
    <w:p w14:paraId="743F6399" w14:textId="77777777" w:rsidR="00DD13BF" w:rsidRPr="00C10464" w:rsidRDefault="00DD13BF" w:rsidP="00DD13BF">
      <w:pPr>
        <w:pStyle w:val="Naslov5"/>
        <w:spacing w:before="0"/>
      </w:pPr>
      <w:r>
        <w:t>Interventions of the Funds</w:t>
      </w:r>
    </w:p>
    <w:p w14:paraId="3EDCD87F" w14:textId="77777777" w:rsidR="00DD13BF" w:rsidRDefault="00DD13BF" w:rsidP="00DD13BF">
      <w:pPr>
        <w:rPr>
          <w:sz w:val="30"/>
        </w:rPr>
      </w:pPr>
    </w:p>
    <w:p w14:paraId="396A59FA" w14:textId="77777777" w:rsidR="00DD13BF" w:rsidRDefault="00DD13BF" w:rsidP="00DD13BF">
      <w:pPr>
        <w:ind w:left="1349"/>
        <w:rPr>
          <w:spacing w:val="-2"/>
        </w:rPr>
      </w:pPr>
      <w:r>
        <w:t>Related types of actions:</w:t>
      </w:r>
    </w:p>
    <w:p w14:paraId="400A9D7E"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4A101518" w14:textId="77777777" w:rsidTr="00355A56">
        <w:trPr>
          <w:trHeight w:val="316"/>
        </w:trPr>
        <w:tc>
          <w:tcPr>
            <w:tcW w:w="12758" w:type="dxa"/>
          </w:tcPr>
          <w:p w14:paraId="7248C429" w14:textId="77777777" w:rsidR="00DD13BF" w:rsidRPr="00E77FCD" w:rsidRDefault="00DD13BF" w:rsidP="00355A56">
            <w:pPr>
              <w:jc w:val="both"/>
            </w:pPr>
            <w:r>
              <w:t>Pursuant to the Spatial Management Act (ZUREP-3), bases set by the EU to achieve zero net growth of built-up land</w:t>
            </w:r>
            <w:r w:rsidRPr="00E77FCD">
              <w:rPr>
                <w:vertAlign w:val="superscript"/>
              </w:rPr>
              <w:footnoteReference w:id="170"/>
            </w:r>
            <w:r>
              <w:t>, dialogue with towns and cities, and the findings of partnerships of the Urban Agenda for the EU – on the sustainable use of space and nature-based solutions</w:t>
            </w:r>
            <w:r w:rsidRPr="00E77FCD">
              <w:rPr>
                <w:vertAlign w:val="superscript"/>
              </w:rPr>
              <w:footnoteReference w:id="171"/>
            </w:r>
            <w:r>
              <w:t xml:space="preserve"> and on culture and cultural heritage</w:t>
            </w:r>
            <w:r w:rsidRPr="00E77FCD">
              <w:rPr>
                <w:vertAlign w:val="superscript"/>
              </w:rPr>
              <w:footnoteReference w:id="172"/>
            </w:r>
            <w:r>
              <w:t>, investments must be made in renovation and revitalisation of built-up areas for greener, inclusive and productive</w:t>
            </w:r>
            <w:r w:rsidRPr="00E77FCD">
              <w:rPr>
                <w:vertAlign w:val="superscript"/>
              </w:rPr>
              <w:footnoteReference w:id="173"/>
            </w:r>
            <w:r>
              <w:t xml:space="preserve"> Slovenian towns and cities. Measures to renovate towns and cities are multidimensional – economic, environmental, climate, social. To promote the efficient use of space in towns and cities, measures stemming from the revised/new sustainable urban strategies of urban municipalities will be supported.</w:t>
            </w:r>
          </w:p>
          <w:p w14:paraId="6C9A4D7B" w14:textId="77777777" w:rsidR="00DD13BF" w:rsidRPr="00E77FCD" w:rsidRDefault="00DD13BF" w:rsidP="00355A56">
            <w:pPr>
              <w:jc w:val="both"/>
            </w:pPr>
          </w:p>
          <w:p w14:paraId="769B59CC" w14:textId="77777777" w:rsidR="00DD13BF" w:rsidRPr="00E77FCD" w:rsidRDefault="00DD13BF" w:rsidP="00355A56">
            <w:pPr>
              <w:jc w:val="both"/>
            </w:pPr>
            <w:r>
              <w:t xml:space="preserve">As part of measures to renovate and revitalise free and underutilised buildings in the public interest, renovate cultural heritage and other </w:t>
            </w:r>
            <w:r>
              <w:lastRenderedPageBreak/>
              <w:t>facilities, renovate and create new open public spaces, the following will be supported:</w:t>
            </w:r>
          </w:p>
          <w:p w14:paraId="40D0D986" w14:textId="77777777" w:rsidR="00DD13BF" w:rsidRPr="00E77FCD" w:rsidRDefault="00DD13BF" w:rsidP="00DD13BF">
            <w:pPr>
              <w:numPr>
                <w:ilvl w:val="0"/>
                <w:numId w:val="56"/>
              </w:numPr>
              <w:jc w:val="both"/>
              <w:rPr>
                <w:rFonts w:eastAsia="Cambria"/>
              </w:rPr>
            </w:pPr>
            <w:r>
              <w:t>the implementation of construction and other construction-related works, which include new construction, reconstruction, small-scale reconstruction, etc., and the demolition and construction of buildings and other construction engineering facilities, the arrangement of the physical surroundings of buildings, and the purchase of real estate and land, when necessary for the implementation of renovation and revitalisation projects of empty and underutilised buildings in the public interest, the renovation of cultural heritage and other facilities, and the renovation and creation of new open public spaces;</w:t>
            </w:r>
          </w:p>
          <w:p w14:paraId="2735D19B" w14:textId="77777777" w:rsidR="00DD13BF" w:rsidRPr="00E77FCD" w:rsidRDefault="00DD13BF" w:rsidP="00DD13BF">
            <w:pPr>
              <w:numPr>
                <w:ilvl w:val="0"/>
                <w:numId w:val="56"/>
              </w:numPr>
              <w:jc w:val="both"/>
              <w:rPr>
                <w:rFonts w:eastAsia="Cambria"/>
              </w:rPr>
            </w:pPr>
            <w:r>
              <w:t>the renovation of existing and the creation of new public spaces in accordance with nature-based solutions;</w:t>
            </w:r>
          </w:p>
          <w:p w14:paraId="56B6FEAD" w14:textId="77777777" w:rsidR="00DD13BF" w:rsidRPr="00E77FCD" w:rsidRDefault="00DD13BF" w:rsidP="00DD13BF">
            <w:pPr>
              <w:numPr>
                <w:ilvl w:val="0"/>
                <w:numId w:val="56"/>
              </w:numPr>
              <w:jc w:val="both"/>
              <w:rPr>
                <w:rFonts w:eastAsiaTheme="minorHAnsi"/>
                <w:iCs/>
              </w:rPr>
            </w:pPr>
            <w:r>
              <w:t>the preparation of expert bases, including a design competition or one of its alternative forms to find urban, landscape and architectural solutions, the preparation of project documentation and other documents required for the implementation of the investment;</w:t>
            </w:r>
          </w:p>
          <w:p w14:paraId="455504BF" w14:textId="77777777" w:rsidR="00DD13BF" w:rsidRPr="00E77FCD" w:rsidRDefault="00DD13BF" w:rsidP="00DD13BF">
            <w:pPr>
              <w:numPr>
                <w:ilvl w:val="0"/>
                <w:numId w:val="56"/>
              </w:numPr>
              <w:jc w:val="both"/>
              <w:rPr>
                <w:rFonts w:eastAsiaTheme="minorHAnsi"/>
                <w:iCs/>
              </w:rPr>
            </w:pPr>
            <w:r>
              <w:t>public involvement in the preparation and implementation of renovation investments.</w:t>
            </w:r>
          </w:p>
          <w:p w14:paraId="69A3DB51" w14:textId="77777777" w:rsidR="00DD13BF" w:rsidRPr="00E77FCD" w:rsidRDefault="00DD13BF" w:rsidP="00355A56">
            <w:pPr>
              <w:jc w:val="both"/>
              <w:rPr>
                <w:rFonts w:eastAsiaTheme="minorHAnsi"/>
                <w:iCs/>
              </w:rPr>
            </w:pPr>
          </w:p>
          <w:p w14:paraId="4E219AA7" w14:textId="77777777" w:rsidR="00DD13BF" w:rsidRPr="00E77FCD" w:rsidRDefault="00DD13BF" w:rsidP="00355A56">
            <w:pPr>
              <w:jc w:val="both"/>
              <w:rPr>
                <w:rFonts w:eastAsiaTheme="minorHAnsi"/>
                <w:iCs/>
              </w:rPr>
            </w:pPr>
            <w:r>
              <w:t>As part of the measures for the revitalisation of towns and cities, integrated urban development projects, which will address the comprehensive renovation of the selected area and will focus on preparing a new generation of urban renovation projects, will be supported. The measure is linked exclusively to integrated projects that derive from the RCO76 impact indicator, which is used for a comprehensive approach and the inclusion of local residents and the general public in the preparation of urban renovation projects with an emphasis on the revitalisation of free and underutilised areas. As part of these measures, the following will be supported:</w:t>
            </w:r>
          </w:p>
          <w:p w14:paraId="7A36C58B" w14:textId="77777777" w:rsidR="00DD13BF" w:rsidRPr="00E77FCD" w:rsidRDefault="00DD13BF" w:rsidP="00DD13BF">
            <w:pPr>
              <w:numPr>
                <w:ilvl w:val="0"/>
                <w:numId w:val="56"/>
              </w:numPr>
              <w:jc w:val="both"/>
              <w:rPr>
                <w:rFonts w:eastAsiaTheme="minorHAnsi"/>
                <w:iCs/>
              </w:rPr>
            </w:pPr>
            <w:r>
              <w:t>raising awareness and active involvement of local residents;</w:t>
            </w:r>
          </w:p>
          <w:p w14:paraId="22454D46" w14:textId="77777777" w:rsidR="00DD13BF" w:rsidRPr="00E77FCD" w:rsidRDefault="00DD13BF" w:rsidP="00DD13BF">
            <w:pPr>
              <w:numPr>
                <w:ilvl w:val="0"/>
                <w:numId w:val="56"/>
              </w:numPr>
              <w:jc w:val="both"/>
              <w:rPr>
                <w:rFonts w:eastAsiaTheme="minorHAnsi"/>
                <w:iCs/>
              </w:rPr>
            </w:pPr>
            <w:r>
              <w:t>the preparation of expert bases, including a design competition or one of its alternative forms to find urban, landscape and architectural solutions, the preparation of project documentation and other documents required for the implementation of the investment;</w:t>
            </w:r>
          </w:p>
          <w:p w14:paraId="57B23FEF" w14:textId="77777777" w:rsidR="00DD13BF" w:rsidRPr="00E77FCD" w:rsidRDefault="00DD13BF" w:rsidP="00DD13BF">
            <w:pPr>
              <w:numPr>
                <w:ilvl w:val="0"/>
                <w:numId w:val="56"/>
              </w:numPr>
              <w:jc w:val="both"/>
              <w:rPr>
                <w:rFonts w:eastAsiaTheme="minorHAnsi"/>
                <w:iCs/>
              </w:rPr>
            </w:pPr>
            <w:r>
              <w:t>small-scale activities for the ad-hoc revitalisation of the selected area with the involvement of local residents, including the rental and arrangement of premises and small-scale investments in urban equipment, such as the arrangement of community spaces and surroundings (e.g. benches, tables, etc.), the marking of spaces (e.g. boards, floor markings, etc.).</w:t>
            </w:r>
          </w:p>
          <w:p w14:paraId="6C4B94EE" w14:textId="77777777" w:rsidR="00DD13BF" w:rsidRPr="00E77FCD" w:rsidRDefault="00DD13BF" w:rsidP="00355A56"/>
          <w:p w14:paraId="2A9D57E3" w14:textId="77777777" w:rsidR="00DD13BF" w:rsidRPr="00E77FCD" w:rsidRDefault="00DD13BF" w:rsidP="00355A56">
            <w:pPr>
              <w:jc w:val="both"/>
              <w:rPr>
                <w:rFonts w:eastAsiaTheme="minorHAnsi"/>
                <w:iCs/>
              </w:rPr>
            </w:pPr>
            <w:r>
              <w:t>To select projects, the following general principles must be taken into account:</w:t>
            </w:r>
          </w:p>
          <w:p w14:paraId="714168D1" w14:textId="77777777" w:rsidR="00DD13BF" w:rsidRPr="00E77FCD" w:rsidRDefault="00DD13BF" w:rsidP="00DD13BF">
            <w:pPr>
              <w:numPr>
                <w:ilvl w:val="0"/>
                <w:numId w:val="56"/>
              </w:numPr>
              <w:jc w:val="both"/>
              <w:rPr>
                <w:rFonts w:eastAsiaTheme="minorHAnsi"/>
                <w:iCs/>
              </w:rPr>
            </w:pPr>
            <w:r>
              <w:t>In accordance with the principle of internal urban development, the renovation and revitalisation of free and underutilised, in some cases even environmentally degraded, built-up areas is carried out.</w:t>
            </w:r>
          </w:p>
          <w:p w14:paraId="755F1375" w14:textId="77777777" w:rsidR="00DD13BF" w:rsidRDefault="00DD13BF" w:rsidP="00DD13BF">
            <w:pPr>
              <w:numPr>
                <w:ilvl w:val="0"/>
                <w:numId w:val="56"/>
              </w:numPr>
              <w:jc w:val="both"/>
              <w:rPr>
                <w:rFonts w:eastAsiaTheme="minorHAnsi"/>
                <w:iCs/>
              </w:rPr>
            </w:pPr>
            <w:r>
              <w:t>Priority is given to projects that support activities for the economic and social revitalisation of urban areas and the creation of new creative and business centres.</w:t>
            </w:r>
          </w:p>
          <w:p w14:paraId="5B7A6152" w14:textId="77777777" w:rsidR="00DD13BF" w:rsidRPr="00E82DB8" w:rsidRDefault="00DD13BF" w:rsidP="00DD13BF">
            <w:pPr>
              <w:numPr>
                <w:ilvl w:val="0"/>
                <w:numId w:val="56"/>
              </w:numPr>
              <w:jc w:val="both"/>
              <w:rPr>
                <w:rFonts w:eastAsiaTheme="minorHAnsi"/>
                <w:iCs/>
              </w:rPr>
            </w:pPr>
            <w:r>
              <w:t>Projects must pursue the objectives of the sustainable urban strategies of urban municipalities.</w:t>
            </w:r>
          </w:p>
          <w:p w14:paraId="00F45D56" w14:textId="77777777" w:rsidR="00DD13BF" w:rsidRDefault="00DD13BF" w:rsidP="00355A56">
            <w:pPr>
              <w:ind w:left="720"/>
              <w:jc w:val="both"/>
              <w:rPr>
                <w:rFonts w:eastAsiaTheme="minorHAnsi"/>
                <w:iCs/>
              </w:rPr>
            </w:pPr>
          </w:p>
          <w:p w14:paraId="39AD57DA" w14:textId="77777777" w:rsidR="00DD13BF" w:rsidRPr="00EA339D" w:rsidRDefault="00DD13BF" w:rsidP="00355A56">
            <w:pPr>
              <w:jc w:val="both"/>
            </w:pPr>
            <w:r>
              <w:t xml:space="preserve">To formulate the final content of the measures, and the criteria for their selection and implementation, the relevant mitigation measures and, to the greatest extent possible, the relevant recommendations in accordance with the strategic environmental assessment, which are listed in annex Mitigation Measures and Recommendations, will be taken into account. The New European Bauhaus principles will also be taken into account. In accordance with the Technical guidance on the application of ‘do no significant harm’, a compliance assessment of the planned measures with the DNSH principle was carried out. It was established that none of the measures has a significant adverse impact on any of the six </w:t>
            </w:r>
            <w:r>
              <w:lastRenderedPageBreak/>
              <w:t>environmental objectives, taking into account the technical screening criteria listed in annex DNSH.</w:t>
            </w:r>
          </w:p>
        </w:tc>
      </w:tr>
    </w:tbl>
    <w:p w14:paraId="66062949" w14:textId="77777777" w:rsidR="00DD13BF" w:rsidRDefault="00DD13BF" w:rsidP="00DD13BF">
      <w:pPr>
        <w:ind w:left="1349"/>
        <w:rPr>
          <w:spacing w:val="-6"/>
        </w:rPr>
      </w:pPr>
    </w:p>
    <w:p w14:paraId="156AC11F" w14:textId="77777777" w:rsidR="00DD13BF" w:rsidRDefault="00DD13BF" w:rsidP="00DD13BF">
      <w:pPr>
        <w:ind w:left="1349"/>
      </w:pPr>
      <w:r>
        <w:t>Main target groups:</w:t>
      </w:r>
    </w:p>
    <w:p w14:paraId="3B7F6F72"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1D1BCE02" w14:textId="77777777" w:rsidTr="00355A56">
        <w:tc>
          <w:tcPr>
            <w:tcW w:w="12763" w:type="dxa"/>
          </w:tcPr>
          <w:p w14:paraId="22E33033" w14:textId="77777777" w:rsidR="00DD13BF" w:rsidRPr="00C81227" w:rsidRDefault="00DD13BF" w:rsidP="00355A56">
            <w:pPr>
              <w:jc w:val="both"/>
              <w:rPr>
                <w:rFonts w:cstheme="minorHAnsi"/>
              </w:rPr>
            </w:pPr>
            <w:r>
              <w:t>Target groups: residents and visitors of cities and towns, local communities, managers of public areas and buildings, non-governmental organisations in the field of promoting urban development and revitalisation of cities, knowledge institutions and the economy.</w:t>
            </w:r>
          </w:p>
          <w:p w14:paraId="00BCC875" w14:textId="77777777" w:rsidR="00DD13BF" w:rsidRPr="00C81227" w:rsidRDefault="00DD13BF" w:rsidP="00355A56">
            <w:pPr>
              <w:jc w:val="both"/>
              <w:rPr>
                <w:rFonts w:cstheme="minorHAnsi"/>
              </w:rPr>
            </w:pPr>
          </w:p>
          <w:p w14:paraId="6562DF42" w14:textId="77777777" w:rsidR="00DD13BF" w:rsidRPr="00B3569A" w:rsidRDefault="00DD13BF" w:rsidP="00355A56">
            <w:pPr>
              <w:jc w:val="both"/>
              <w:rPr>
                <w:rFonts w:cstheme="minorHAnsi"/>
              </w:rPr>
            </w:pPr>
            <w:r>
              <w:t>Beneficiaries: local communities, public institutes and other public bodies and institutions, public and private enterprises performing public functions.</w:t>
            </w:r>
          </w:p>
        </w:tc>
      </w:tr>
    </w:tbl>
    <w:p w14:paraId="4EBAD84D" w14:textId="77777777" w:rsidR="00DD13BF" w:rsidRPr="006B7178" w:rsidRDefault="00DD13BF" w:rsidP="00DD13BF">
      <w:pPr>
        <w:ind w:left="1349"/>
      </w:pPr>
    </w:p>
    <w:p w14:paraId="7108D6F0" w14:textId="77777777" w:rsidR="00DD13BF" w:rsidRDefault="00DD13BF" w:rsidP="00DD13BF">
      <w:pPr>
        <w:ind w:left="1349"/>
        <w:rPr>
          <w:spacing w:val="-2"/>
        </w:rPr>
      </w:pPr>
      <w:r>
        <w:t>Measures to protect equality, inclusion and non-discrimination:</w:t>
      </w:r>
    </w:p>
    <w:p w14:paraId="7B2AB4A3"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4AF7F1BE" w14:textId="77777777" w:rsidTr="00355A56">
        <w:tc>
          <w:tcPr>
            <w:tcW w:w="12715" w:type="dxa"/>
          </w:tcPr>
          <w:p w14:paraId="3060D05F" w14:textId="77777777" w:rsidR="00DD13BF" w:rsidRDefault="00DD13BF" w:rsidP="00355A56">
            <w:pPr>
              <w:jc w:val="both"/>
            </w:pPr>
            <w:r>
              <w:t>The principles of gender equality, equal opportunities and non-discrimination will be respected in all measures, since gender equality is a fundamental value of the EU and a fundamental right and a key principle of the European Pillar of Social Rights. Pursuant to Article 12 of the Equal Opportunities for Women and Men Act (Official Gazette of the Republic of Slovenia [</w:t>
            </w:r>
            <w:r>
              <w:rPr>
                <w:i/>
                <w:iCs/>
              </w:rPr>
              <w:t>Uradni list RS</w:t>
            </w:r>
            <w:r>
              <w:t xml:space="preserve">], Nos. 59/02, 61/07 – ZUNEO-A, 33/16 – ZVarD and 59/19), all genders will be treated equally in all the foreseen fields. In the design and implementation of tenders and public procurement, transparency and respect for the legal orders of the EU and the Republic of Slovenia will be fully ensured by the use of clear, objective and non-discriminatory conditions and criteria for the selection of applications. </w:t>
            </w:r>
          </w:p>
          <w:p w14:paraId="0D26896F" w14:textId="77777777" w:rsidR="00DD13BF" w:rsidRDefault="00DD13BF" w:rsidP="00355A56">
            <w:pPr>
              <w:jc w:val="both"/>
            </w:pPr>
          </w:p>
          <w:p w14:paraId="1A730E4A" w14:textId="77777777" w:rsidR="00DD13BF" w:rsidRPr="00B3569A" w:rsidRDefault="00DD13BF" w:rsidP="00355A56">
            <w:pPr>
              <w:jc w:val="both"/>
              <w:rPr>
                <w:rFonts w:cstheme="minorHAnsi"/>
              </w:rPr>
            </w:pPr>
            <w:r>
              <w:t>The Procedural rules for providing the horizontal enabling condition “Effective use and implementation of the Charter of Fundamental Rights” and the Action Programme for Persons with Disabilities 2022–2030, and other relevant documents that will be created as part of implementation will also be taken into account.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tc>
      </w:tr>
    </w:tbl>
    <w:p w14:paraId="2501DD18" w14:textId="77777777" w:rsidR="00DD13BF" w:rsidRDefault="00DD13BF" w:rsidP="00DD13BF">
      <w:pPr>
        <w:rPr>
          <w:sz w:val="20"/>
        </w:rPr>
      </w:pPr>
    </w:p>
    <w:p w14:paraId="538B97BE" w14:textId="77777777" w:rsidR="00DD13BF" w:rsidRDefault="00DD13BF" w:rsidP="00DD13BF">
      <w:pPr>
        <w:ind w:left="1415"/>
        <w:rPr>
          <w:spacing w:val="-4"/>
        </w:rPr>
      </w:pPr>
      <w:r>
        <w:t>Indication of the specific territories targeted, including the planned use of territorial tools:</w:t>
      </w:r>
    </w:p>
    <w:p w14:paraId="2D492C71"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44CEDC79" w14:textId="77777777" w:rsidTr="00355A56">
        <w:tc>
          <w:tcPr>
            <w:tcW w:w="12763" w:type="dxa"/>
          </w:tcPr>
          <w:p w14:paraId="6B3AAB69" w14:textId="77777777" w:rsidR="00DD13BF" w:rsidRPr="00B3569A" w:rsidRDefault="00DD13BF" w:rsidP="00355A56">
            <w:pPr>
              <w:jc w:val="both"/>
              <w:rPr>
                <w:rFonts w:cstheme="minorHAnsi"/>
              </w:rPr>
            </w:pPr>
            <w:r>
              <w:t xml:space="preserve">Under the specific objective, urban development will be addressed with territorial approaches, starting from the contents of territorial strategies (amended/new SUS) in 12 urban municipalities. In the first phase, representatives of towns and cities (within the ZMOS and city councils of urban municipalities) are included in the selection of operations. </w:t>
            </w:r>
          </w:p>
        </w:tc>
      </w:tr>
    </w:tbl>
    <w:p w14:paraId="4EECD537" w14:textId="77777777" w:rsidR="00DD13BF" w:rsidRDefault="00DD13BF" w:rsidP="00DD13BF">
      <w:pPr>
        <w:rPr>
          <w:sz w:val="18"/>
        </w:rPr>
      </w:pPr>
    </w:p>
    <w:p w14:paraId="6EBC6EDA" w14:textId="77777777" w:rsidR="00DD13BF" w:rsidRDefault="00DD13BF" w:rsidP="00DD13BF">
      <w:pPr>
        <w:ind w:left="1415"/>
      </w:pPr>
      <w:r>
        <w:t>The interregional, cross-border and transnational actions:</w:t>
      </w:r>
    </w:p>
    <w:p w14:paraId="4DF59329"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74B2DC9A" w14:textId="77777777" w:rsidTr="00355A56">
        <w:tc>
          <w:tcPr>
            <w:tcW w:w="12763" w:type="dxa"/>
          </w:tcPr>
          <w:p w14:paraId="611B705F" w14:textId="77777777" w:rsidR="00DD13BF" w:rsidRPr="00B3569A" w:rsidRDefault="00DD13BF" w:rsidP="00355A56">
            <w:pPr>
              <w:jc w:val="both"/>
              <w:rPr>
                <w:rFonts w:cstheme="minorHAnsi"/>
              </w:rPr>
            </w:pPr>
            <w:r>
              <w:t xml:space="preserve">Close cross-border cooperation is particularly important in towns and cities and urban areas bordering neighbouring countries, as it contributes to quality coexistence. Residents need diverse and high-quality contents, and new forms of socialising that makes the public aware of the wider </w:t>
            </w:r>
            <w:r>
              <w:lastRenderedPageBreak/>
              <w:t>potential of creative development. To this end, measures to facilitate access to public space, create new public spaces, and support cultural and other urban initiatives that promote multiculturalism and cross-border integration will be implemented. Conditions will be ensured for the preparation and implementation of connected cross-border territorial investments focusing on the urban regeneration of the common cross-border area and the establishment of infrastructures in the European Capital of Culture 2025. Synergies between the Interreg programmes and RSO5.1 will be promoted as part of a coordination mechanism, i.e. within the framework of the programme monitoring committee, whose member will also be a representative of the Interreg programmes in which institutions from Slovenia take part.</w:t>
            </w:r>
          </w:p>
        </w:tc>
      </w:tr>
    </w:tbl>
    <w:p w14:paraId="0CC5F5F6" w14:textId="77777777" w:rsidR="00DD13BF" w:rsidRDefault="00DD13BF" w:rsidP="00DD13BF">
      <w:pPr>
        <w:rPr>
          <w:sz w:val="17"/>
        </w:rPr>
      </w:pPr>
    </w:p>
    <w:p w14:paraId="21799524" w14:textId="77777777" w:rsidR="00DD13BF" w:rsidRDefault="00DD13BF" w:rsidP="00DD13BF">
      <w:pPr>
        <w:ind w:left="1415"/>
        <w:rPr>
          <w:spacing w:val="-3"/>
        </w:rPr>
      </w:pPr>
      <w:r>
        <w:t>Planned use of financial instruments:</w:t>
      </w:r>
    </w:p>
    <w:p w14:paraId="505B5773"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5DA39DBD" w14:textId="77777777" w:rsidTr="00355A56">
        <w:tc>
          <w:tcPr>
            <w:tcW w:w="12758" w:type="dxa"/>
          </w:tcPr>
          <w:p w14:paraId="5B36BAA8" w14:textId="77777777" w:rsidR="00DD13BF" w:rsidRPr="00B3569A" w:rsidRDefault="00DD13BF" w:rsidP="00355A56">
            <w:pPr>
              <w:jc w:val="both"/>
              <w:rPr>
                <w:rFonts w:cstheme="minorHAnsi"/>
              </w:rPr>
            </w:pPr>
            <w:r>
              <w:t xml:space="preserve">In accordance with the results of the analysis of the preliminary assessment of market needs and financing gaps in the market for the implementation of financial instruments in the 2021–2027 programming period (July 2022), it was found that the potential use of financial instruments (FI) in the field of urban development is sensible, which is based on the good experience of FI providers in the 2014-2020 period and the gap identified in the study “Proposal for the creation of an urban development fund”, which addresses the long-term financing of urban development projects and recommends the use of FI. The study found a gap in this thematic area for the target group of public and private entities that work for the public benefit. In line with the aforementioned, the use of FI is planned under this specific objective. In addition, the use of grants is proposed for projects in which the possibility of generating funds from stable cash flows during implementation will be demonstrated. </w:t>
            </w:r>
          </w:p>
        </w:tc>
      </w:tr>
    </w:tbl>
    <w:p w14:paraId="68E74C46" w14:textId="77777777" w:rsidR="00DD13BF" w:rsidRDefault="00DD13BF" w:rsidP="00DD13BF">
      <w:pPr>
        <w:rPr>
          <w:sz w:val="20"/>
        </w:rPr>
      </w:pPr>
    </w:p>
    <w:p w14:paraId="0C6619DC" w14:textId="77777777" w:rsidR="00DD13BF" w:rsidRDefault="00DD13BF" w:rsidP="00DD13BF">
      <w:pPr>
        <w:rPr>
          <w:sz w:val="20"/>
        </w:rPr>
      </w:pPr>
    </w:p>
    <w:p w14:paraId="43FACD23" w14:textId="77777777" w:rsidR="00DD13BF" w:rsidRDefault="00DD13BF" w:rsidP="00DD13BF">
      <w:pPr>
        <w:pStyle w:val="Naslov5"/>
        <w:spacing w:before="0"/>
      </w:pPr>
      <w:r>
        <w:t>Indicators</w:t>
      </w:r>
    </w:p>
    <w:p w14:paraId="079C84BF" w14:textId="77777777" w:rsidR="00DD13BF" w:rsidRDefault="00DD13BF" w:rsidP="00DD13BF"/>
    <w:p w14:paraId="1A9D3C60" w14:textId="77777777" w:rsidR="00DD13BF" w:rsidRDefault="00DD13BF" w:rsidP="00DD13BF">
      <w:pPr>
        <w:ind w:left="379"/>
      </w:pPr>
      <w:r>
        <w:t>Table 2: Impact indicators</w:t>
      </w:r>
    </w:p>
    <w:p w14:paraId="1D21F011"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4"/>
        <w:gridCol w:w="1417"/>
        <w:gridCol w:w="708"/>
        <w:gridCol w:w="1701"/>
        <w:gridCol w:w="778"/>
        <w:gridCol w:w="3475"/>
        <w:gridCol w:w="1276"/>
        <w:gridCol w:w="1418"/>
        <w:gridCol w:w="1134"/>
      </w:tblGrid>
      <w:tr w:rsidR="00DD13BF" w14:paraId="3A8EEF9E" w14:textId="77777777" w:rsidTr="00355A56">
        <w:trPr>
          <w:trHeight w:val="254"/>
        </w:trPr>
        <w:tc>
          <w:tcPr>
            <w:tcW w:w="1834" w:type="dxa"/>
            <w:vAlign w:val="center"/>
          </w:tcPr>
          <w:p w14:paraId="3A0370B4" w14:textId="77777777" w:rsidR="00DD13BF" w:rsidRDefault="00DD13BF" w:rsidP="00355A56">
            <w:pPr>
              <w:pStyle w:val="TableParagraph"/>
              <w:ind w:right="82"/>
            </w:pPr>
            <w:r>
              <w:t>Priority</w:t>
            </w:r>
          </w:p>
        </w:tc>
        <w:tc>
          <w:tcPr>
            <w:tcW w:w="1417" w:type="dxa"/>
            <w:vAlign w:val="center"/>
          </w:tcPr>
          <w:p w14:paraId="31076988" w14:textId="77777777" w:rsidR="00DD13BF" w:rsidRDefault="00DD13BF" w:rsidP="00355A56">
            <w:pPr>
              <w:pStyle w:val="TableParagraph"/>
            </w:pPr>
            <w:r>
              <w:t>Specific objective</w:t>
            </w:r>
          </w:p>
        </w:tc>
        <w:tc>
          <w:tcPr>
            <w:tcW w:w="708" w:type="dxa"/>
            <w:vAlign w:val="center"/>
          </w:tcPr>
          <w:p w14:paraId="04684C78" w14:textId="77777777" w:rsidR="00DD13BF" w:rsidRDefault="00DD13BF" w:rsidP="00355A56">
            <w:pPr>
              <w:pStyle w:val="TableParagraph"/>
            </w:pPr>
            <w:r>
              <w:t>Fund</w:t>
            </w:r>
          </w:p>
        </w:tc>
        <w:tc>
          <w:tcPr>
            <w:tcW w:w="1701" w:type="dxa"/>
            <w:vAlign w:val="center"/>
          </w:tcPr>
          <w:p w14:paraId="304A44B4" w14:textId="77777777" w:rsidR="00DD13BF" w:rsidRDefault="00DD13BF" w:rsidP="00355A56">
            <w:pPr>
              <w:pStyle w:val="TableParagraph"/>
            </w:pPr>
            <w:r>
              <w:t>Category of region</w:t>
            </w:r>
          </w:p>
        </w:tc>
        <w:tc>
          <w:tcPr>
            <w:tcW w:w="778" w:type="dxa"/>
            <w:vAlign w:val="center"/>
          </w:tcPr>
          <w:p w14:paraId="2C3A6E35" w14:textId="77777777" w:rsidR="00DD13BF" w:rsidRPr="00347461" w:rsidRDefault="00DD13BF" w:rsidP="00355A56">
            <w:pPr>
              <w:pStyle w:val="TableParagraph"/>
              <w:rPr>
                <w:sz w:val="20"/>
              </w:rPr>
            </w:pPr>
            <w:r>
              <w:t>ID</w:t>
            </w:r>
          </w:p>
        </w:tc>
        <w:tc>
          <w:tcPr>
            <w:tcW w:w="3475" w:type="dxa"/>
            <w:vAlign w:val="center"/>
          </w:tcPr>
          <w:p w14:paraId="58A29F4D" w14:textId="77777777" w:rsidR="00DD13BF" w:rsidRPr="00347461" w:rsidRDefault="00DD13BF" w:rsidP="00355A56">
            <w:pPr>
              <w:pStyle w:val="TableParagraph"/>
              <w:rPr>
                <w:sz w:val="20"/>
              </w:rPr>
            </w:pPr>
            <w:r>
              <w:t>Indicators</w:t>
            </w:r>
          </w:p>
        </w:tc>
        <w:tc>
          <w:tcPr>
            <w:tcW w:w="1276" w:type="dxa"/>
            <w:vAlign w:val="center"/>
          </w:tcPr>
          <w:p w14:paraId="71C621B7" w14:textId="77777777" w:rsidR="00DD13BF" w:rsidRPr="00347461" w:rsidRDefault="00DD13BF" w:rsidP="00355A56">
            <w:pPr>
              <w:pStyle w:val="TableParagraph"/>
              <w:rPr>
                <w:sz w:val="20"/>
              </w:rPr>
            </w:pPr>
            <w:r>
              <w:t>Measurement unit</w:t>
            </w:r>
          </w:p>
        </w:tc>
        <w:tc>
          <w:tcPr>
            <w:tcW w:w="1418" w:type="dxa"/>
            <w:vAlign w:val="center"/>
          </w:tcPr>
          <w:p w14:paraId="59085407" w14:textId="77777777" w:rsidR="00DD13BF" w:rsidRPr="00347461" w:rsidRDefault="00DD13BF" w:rsidP="00355A56">
            <w:pPr>
              <w:pStyle w:val="TableParagraph"/>
              <w:rPr>
                <w:sz w:val="20"/>
              </w:rPr>
            </w:pPr>
            <w:r>
              <w:t>Milestone (2014)</w:t>
            </w:r>
          </w:p>
        </w:tc>
        <w:tc>
          <w:tcPr>
            <w:tcW w:w="1134" w:type="dxa"/>
            <w:vAlign w:val="center"/>
          </w:tcPr>
          <w:p w14:paraId="2F8C75C6" w14:textId="77777777" w:rsidR="00DD13BF" w:rsidRDefault="00DD13BF" w:rsidP="00355A56">
            <w:pPr>
              <w:pStyle w:val="TableParagraph"/>
            </w:pPr>
            <w:r>
              <w:t>Target (2029)</w:t>
            </w:r>
          </w:p>
        </w:tc>
      </w:tr>
      <w:tr w:rsidR="00DD13BF" w14:paraId="3EC4B5CA" w14:textId="77777777" w:rsidTr="00355A56">
        <w:trPr>
          <w:trHeight w:val="367"/>
        </w:trPr>
        <w:tc>
          <w:tcPr>
            <w:tcW w:w="1834" w:type="dxa"/>
          </w:tcPr>
          <w:p w14:paraId="188B4D34" w14:textId="77777777" w:rsidR="00DD13BF" w:rsidRDefault="00DD13BF" w:rsidP="00355A56">
            <w:pPr>
              <w:pStyle w:val="TableParagraph"/>
              <w:rPr>
                <w:sz w:val="20"/>
              </w:rPr>
            </w:pPr>
            <w:r>
              <w:rPr>
                <w:sz w:val="20"/>
              </w:rPr>
              <w:t>9</w:t>
            </w:r>
          </w:p>
        </w:tc>
        <w:tc>
          <w:tcPr>
            <w:tcW w:w="1417" w:type="dxa"/>
          </w:tcPr>
          <w:p w14:paraId="331D7E56" w14:textId="77777777" w:rsidR="00DD13BF" w:rsidRPr="00347461" w:rsidRDefault="00DD13BF" w:rsidP="00355A56">
            <w:pPr>
              <w:pStyle w:val="TableParagraph"/>
              <w:rPr>
                <w:sz w:val="20"/>
              </w:rPr>
            </w:pPr>
            <w:r>
              <w:rPr>
                <w:color w:val="000000"/>
                <w:sz w:val="20"/>
              </w:rPr>
              <w:t>RSO5.1</w:t>
            </w:r>
          </w:p>
        </w:tc>
        <w:tc>
          <w:tcPr>
            <w:tcW w:w="708" w:type="dxa"/>
          </w:tcPr>
          <w:p w14:paraId="0D8476CC" w14:textId="77777777" w:rsidR="00DD13BF" w:rsidRDefault="00DD13BF" w:rsidP="00355A56">
            <w:pPr>
              <w:pStyle w:val="TableParagraph"/>
              <w:rPr>
                <w:sz w:val="20"/>
              </w:rPr>
            </w:pPr>
            <w:r>
              <w:rPr>
                <w:sz w:val="20"/>
              </w:rPr>
              <w:t>ERDF</w:t>
            </w:r>
          </w:p>
        </w:tc>
        <w:tc>
          <w:tcPr>
            <w:tcW w:w="1701" w:type="dxa"/>
          </w:tcPr>
          <w:p w14:paraId="2DCE2383" w14:textId="77777777" w:rsidR="00DD13BF" w:rsidRDefault="00DD13BF" w:rsidP="00355A56">
            <w:pPr>
              <w:pStyle w:val="TableParagraph"/>
              <w:rPr>
                <w:sz w:val="20"/>
              </w:rPr>
            </w:pPr>
            <w:r>
              <w:rPr>
                <w:sz w:val="20"/>
              </w:rPr>
              <w:t>Less developed</w:t>
            </w:r>
          </w:p>
        </w:tc>
        <w:tc>
          <w:tcPr>
            <w:tcW w:w="778" w:type="dxa"/>
          </w:tcPr>
          <w:p w14:paraId="5835234B" w14:textId="77777777" w:rsidR="00DD13BF" w:rsidRPr="00347461" w:rsidRDefault="00DD13BF" w:rsidP="00355A56">
            <w:pPr>
              <w:pStyle w:val="TableParagraph"/>
              <w:rPr>
                <w:sz w:val="20"/>
              </w:rPr>
            </w:pPr>
            <w:r>
              <w:rPr>
                <w:sz w:val="20"/>
              </w:rPr>
              <w:t>RCO76</w:t>
            </w:r>
          </w:p>
        </w:tc>
        <w:tc>
          <w:tcPr>
            <w:tcW w:w="3475" w:type="dxa"/>
          </w:tcPr>
          <w:p w14:paraId="0997D1C3" w14:textId="77777777" w:rsidR="00DD13BF" w:rsidRPr="008A5332" w:rsidRDefault="00DD13BF" w:rsidP="00355A56">
            <w:pPr>
              <w:pStyle w:val="Default"/>
              <w:rPr>
                <w:rFonts w:ascii="Times New Roman" w:hAnsi="Times New Roman" w:cs="Times New Roman"/>
                <w:sz w:val="20"/>
              </w:rPr>
            </w:pPr>
            <w:r>
              <w:rPr>
                <w:rFonts w:ascii="Times New Roman" w:hAnsi="Times New Roman"/>
                <w:sz w:val="20"/>
              </w:rPr>
              <w:t>Integrated projects for territorial development</w:t>
            </w:r>
          </w:p>
          <w:p w14:paraId="2056CD54" w14:textId="77777777" w:rsidR="00DD13BF" w:rsidRPr="002E782D" w:rsidRDefault="00DD13BF" w:rsidP="00355A56">
            <w:pPr>
              <w:pStyle w:val="TableParagraph"/>
              <w:rPr>
                <w:sz w:val="20"/>
              </w:rPr>
            </w:pPr>
          </w:p>
        </w:tc>
        <w:tc>
          <w:tcPr>
            <w:tcW w:w="1276" w:type="dxa"/>
          </w:tcPr>
          <w:p w14:paraId="3D0FDECA" w14:textId="77777777" w:rsidR="00DD13BF" w:rsidRPr="00347461" w:rsidRDefault="00DD13BF" w:rsidP="00355A56">
            <w:pPr>
              <w:pStyle w:val="TableParagraph"/>
              <w:rPr>
                <w:sz w:val="20"/>
              </w:rPr>
            </w:pPr>
            <w:r>
              <w:rPr>
                <w:color w:val="000000"/>
                <w:sz w:val="20"/>
              </w:rPr>
              <w:t>Projects</w:t>
            </w:r>
          </w:p>
        </w:tc>
        <w:tc>
          <w:tcPr>
            <w:tcW w:w="1418" w:type="dxa"/>
          </w:tcPr>
          <w:p w14:paraId="24E2CBF8" w14:textId="77777777" w:rsidR="00DD13BF" w:rsidRPr="00C81227" w:rsidRDefault="00DD13BF" w:rsidP="00355A56">
            <w:pPr>
              <w:pStyle w:val="TableParagraph"/>
              <w:rPr>
                <w:sz w:val="20"/>
              </w:rPr>
            </w:pPr>
            <w:r>
              <w:rPr>
                <w:sz w:val="20"/>
              </w:rPr>
              <w:t>0</w:t>
            </w:r>
          </w:p>
        </w:tc>
        <w:tc>
          <w:tcPr>
            <w:tcW w:w="1134" w:type="dxa"/>
          </w:tcPr>
          <w:p w14:paraId="2BB7A1BE" w14:textId="77777777" w:rsidR="00DD13BF" w:rsidRPr="00C81227" w:rsidRDefault="00DD13BF" w:rsidP="00355A56">
            <w:pPr>
              <w:pStyle w:val="TableParagraph"/>
              <w:rPr>
                <w:sz w:val="20"/>
              </w:rPr>
            </w:pPr>
            <w:r>
              <w:rPr>
                <w:sz w:val="20"/>
              </w:rPr>
              <w:t>4</w:t>
            </w:r>
          </w:p>
        </w:tc>
      </w:tr>
      <w:tr w:rsidR="00DD13BF" w14:paraId="42C21274" w14:textId="77777777" w:rsidTr="00355A56">
        <w:trPr>
          <w:trHeight w:val="367"/>
        </w:trPr>
        <w:tc>
          <w:tcPr>
            <w:tcW w:w="1834" w:type="dxa"/>
          </w:tcPr>
          <w:p w14:paraId="1B7ECFF7" w14:textId="77777777" w:rsidR="00DD13BF" w:rsidRDefault="00DD13BF" w:rsidP="00355A56">
            <w:pPr>
              <w:pStyle w:val="TableParagraph"/>
              <w:rPr>
                <w:sz w:val="20"/>
              </w:rPr>
            </w:pPr>
            <w:r>
              <w:rPr>
                <w:sz w:val="20"/>
              </w:rPr>
              <w:t>9</w:t>
            </w:r>
          </w:p>
        </w:tc>
        <w:tc>
          <w:tcPr>
            <w:tcW w:w="1417" w:type="dxa"/>
          </w:tcPr>
          <w:p w14:paraId="6AFCF871" w14:textId="77777777" w:rsidR="00DD13BF" w:rsidRDefault="00DD13BF" w:rsidP="00355A56">
            <w:pPr>
              <w:pStyle w:val="TableParagraph"/>
              <w:rPr>
                <w:sz w:val="20"/>
              </w:rPr>
            </w:pPr>
            <w:r>
              <w:rPr>
                <w:color w:val="000000"/>
                <w:sz w:val="20"/>
              </w:rPr>
              <w:t>RSO5.1</w:t>
            </w:r>
          </w:p>
        </w:tc>
        <w:tc>
          <w:tcPr>
            <w:tcW w:w="708" w:type="dxa"/>
          </w:tcPr>
          <w:p w14:paraId="05D3EC5C" w14:textId="77777777" w:rsidR="00DD13BF" w:rsidRDefault="00DD13BF" w:rsidP="00355A56">
            <w:pPr>
              <w:pStyle w:val="TableParagraph"/>
              <w:rPr>
                <w:sz w:val="20"/>
              </w:rPr>
            </w:pPr>
            <w:r>
              <w:rPr>
                <w:sz w:val="20"/>
              </w:rPr>
              <w:t>ERDF</w:t>
            </w:r>
          </w:p>
        </w:tc>
        <w:tc>
          <w:tcPr>
            <w:tcW w:w="1701" w:type="dxa"/>
          </w:tcPr>
          <w:p w14:paraId="2E1F28B7" w14:textId="77777777" w:rsidR="00DD13BF" w:rsidRDefault="00DD13BF" w:rsidP="00355A56">
            <w:pPr>
              <w:pStyle w:val="TableParagraph"/>
              <w:rPr>
                <w:sz w:val="20"/>
              </w:rPr>
            </w:pPr>
            <w:r>
              <w:rPr>
                <w:sz w:val="20"/>
              </w:rPr>
              <w:t>More developed</w:t>
            </w:r>
          </w:p>
        </w:tc>
        <w:tc>
          <w:tcPr>
            <w:tcW w:w="778" w:type="dxa"/>
          </w:tcPr>
          <w:p w14:paraId="7C69BD28" w14:textId="77777777" w:rsidR="00DD13BF" w:rsidRDefault="00DD13BF" w:rsidP="00355A56">
            <w:pPr>
              <w:pStyle w:val="TableParagraph"/>
              <w:rPr>
                <w:sz w:val="20"/>
              </w:rPr>
            </w:pPr>
            <w:r>
              <w:rPr>
                <w:sz w:val="20"/>
              </w:rPr>
              <w:t>RCO76</w:t>
            </w:r>
          </w:p>
        </w:tc>
        <w:tc>
          <w:tcPr>
            <w:tcW w:w="3475" w:type="dxa"/>
          </w:tcPr>
          <w:p w14:paraId="7F8AAF13" w14:textId="77777777" w:rsidR="00DD13BF" w:rsidRPr="008A5332" w:rsidRDefault="00DD13BF" w:rsidP="00355A56">
            <w:pPr>
              <w:pStyle w:val="Default"/>
              <w:rPr>
                <w:rFonts w:ascii="Times New Roman" w:hAnsi="Times New Roman" w:cs="Times New Roman"/>
                <w:sz w:val="20"/>
              </w:rPr>
            </w:pPr>
            <w:r>
              <w:rPr>
                <w:rFonts w:ascii="Times New Roman" w:hAnsi="Times New Roman"/>
                <w:sz w:val="20"/>
              </w:rPr>
              <w:t>Integrated projects for territorial development</w:t>
            </w:r>
          </w:p>
          <w:p w14:paraId="066B5C60" w14:textId="77777777" w:rsidR="00DD13BF" w:rsidRPr="002E782D" w:rsidRDefault="00DD13BF" w:rsidP="00355A56">
            <w:pPr>
              <w:pStyle w:val="TableParagraph"/>
              <w:rPr>
                <w:sz w:val="20"/>
              </w:rPr>
            </w:pPr>
          </w:p>
        </w:tc>
        <w:tc>
          <w:tcPr>
            <w:tcW w:w="1276" w:type="dxa"/>
          </w:tcPr>
          <w:p w14:paraId="5FC374B6" w14:textId="77777777" w:rsidR="00DD13BF" w:rsidRDefault="00DD13BF" w:rsidP="00355A56">
            <w:pPr>
              <w:pStyle w:val="TableParagraph"/>
              <w:rPr>
                <w:sz w:val="20"/>
              </w:rPr>
            </w:pPr>
            <w:r>
              <w:rPr>
                <w:color w:val="000000"/>
                <w:sz w:val="20"/>
              </w:rPr>
              <w:t>Projects</w:t>
            </w:r>
          </w:p>
        </w:tc>
        <w:tc>
          <w:tcPr>
            <w:tcW w:w="1418" w:type="dxa"/>
          </w:tcPr>
          <w:p w14:paraId="68615FE7" w14:textId="77777777" w:rsidR="00DD13BF" w:rsidRPr="00C81227" w:rsidRDefault="00DD13BF" w:rsidP="00355A56">
            <w:pPr>
              <w:pStyle w:val="TableParagraph"/>
              <w:rPr>
                <w:rFonts w:cstheme="minorHAnsi"/>
                <w:sz w:val="20"/>
              </w:rPr>
            </w:pPr>
            <w:r>
              <w:rPr>
                <w:sz w:val="20"/>
              </w:rPr>
              <w:t>0</w:t>
            </w:r>
          </w:p>
        </w:tc>
        <w:tc>
          <w:tcPr>
            <w:tcW w:w="1134" w:type="dxa"/>
          </w:tcPr>
          <w:p w14:paraId="7AA90F6F" w14:textId="77777777" w:rsidR="00DD13BF" w:rsidRPr="00C81227" w:rsidRDefault="00DD13BF" w:rsidP="00355A56">
            <w:pPr>
              <w:pStyle w:val="TableParagraph"/>
              <w:rPr>
                <w:rFonts w:cstheme="minorHAnsi"/>
                <w:sz w:val="20"/>
              </w:rPr>
            </w:pPr>
            <w:r>
              <w:rPr>
                <w:sz w:val="20"/>
              </w:rPr>
              <w:t>2</w:t>
            </w:r>
          </w:p>
        </w:tc>
      </w:tr>
      <w:tr w:rsidR="00DD13BF" w14:paraId="309A05CC" w14:textId="77777777" w:rsidTr="00355A56">
        <w:trPr>
          <w:trHeight w:val="367"/>
        </w:trPr>
        <w:tc>
          <w:tcPr>
            <w:tcW w:w="1834" w:type="dxa"/>
          </w:tcPr>
          <w:p w14:paraId="2A4AD32B" w14:textId="77777777" w:rsidR="00DD13BF" w:rsidRDefault="00DD13BF" w:rsidP="00355A56">
            <w:pPr>
              <w:pStyle w:val="TableParagraph"/>
              <w:rPr>
                <w:sz w:val="20"/>
              </w:rPr>
            </w:pPr>
            <w:r>
              <w:rPr>
                <w:sz w:val="20"/>
              </w:rPr>
              <w:t>9</w:t>
            </w:r>
          </w:p>
        </w:tc>
        <w:tc>
          <w:tcPr>
            <w:tcW w:w="1417" w:type="dxa"/>
          </w:tcPr>
          <w:p w14:paraId="1393E919" w14:textId="77777777" w:rsidR="00DD13BF" w:rsidRPr="00347461" w:rsidRDefault="00DD13BF" w:rsidP="00355A56">
            <w:pPr>
              <w:pStyle w:val="TableParagraph"/>
              <w:rPr>
                <w:sz w:val="20"/>
              </w:rPr>
            </w:pPr>
            <w:r>
              <w:rPr>
                <w:color w:val="000000"/>
                <w:sz w:val="20"/>
              </w:rPr>
              <w:t>RSO5.1</w:t>
            </w:r>
          </w:p>
        </w:tc>
        <w:tc>
          <w:tcPr>
            <w:tcW w:w="708" w:type="dxa"/>
          </w:tcPr>
          <w:p w14:paraId="2C621AB5" w14:textId="77777777" w:rsidR="00DD13BF" w:rsidRDefault="00DD13BF" w:rsidP="00355A56">
            <w:pPr>
              <w:pStyle w:val="TableParagraph"/>
              <w:rPr>
                <w:sz w:val="20"/>
              </w:rPr>
            </w:pPr>
            <w:r>
              <w:rPr>
                <w:sz w:val="20"/>
              </w:rPr>
              <w:t>ERDF</w:t>
            </w:r>
          </w:p>
        </w:tc>
        <w:tc>
          <w:tcPr>
            <w:tcW w:w="1701" w:type="dxa"/>
          </w:tcPr>
          <w:p w14:paraId="4AA75530" w14:textId="77777777" w:rsidR="00DD13BF" w:rsidRDefault="00DD13BF" w:rsidP="00355A56">
            <w:pPr>
              <w:pStyle w:val="TableParagraph"/>
              <w:rPr>
                <w:sz w:val="20"/>
              </w:rPr>
            </w:pPr>
            <w:r>
              <w:rPr>
                <w:sz w:val="20"/>
              </w:rPr>
              <w:t>Less developed</w:t>
            </w:r>
          </w:p>
        </w:tc>
        <w:tc>
          <w:tcPr>
            <w:tcW w:w="778" w:type="dxa"/>
          </w:tcPr>
          <w:p w14:paraId="107BFE90" w14:textId="77777777" w:rsidR="00DD13BF" w:rsidRPr="00347461" w:rsidRDefault="00DD13BF" w:rsidP="00355A56">
            <w:pPr>
              <w:pStyle w:val="TableParagraph"/>
              <w:rPr>
                <w:sz w:val="20"/>
              </w:rPr>
            </w:pPr>
            <w:r>
              <w:rPr>
                <w:sz w:val="20"/>
              </w:rPr>
              <w:t>RCO75</w:t>
            </w:r>
          </w:p>
        </w:tc>
        <w:tc>
          <w:tcPr>
            <w:tcW w:w="3475" w:type="dxa"/>
          </w:tcPr>
          <w:p w14:paraId="7FE191E8" w14:textId="77777777" w:rsidR="00DD13BF" w:rsidRPr="00347461" w:rsidRDefault="00DD13BF" w:rsidP="00355A56">
            <w:pPr>
              <w:pStyle w:val="TableParagraph"/>
              <w:rPr>
                <w:sz w:val="20"/>
              </w:rPr>
            </w:pPr>
            <w:r>
              <w:rPr>
                <w:sz w:val="20"/>
              </w:rPr>
              <w:t>Strategies for integrated territorial development supported</w:t>
            </w:r>
          </w:p>
        </w:tc>
        <w:tc>
          <w:tcPr>
            <w:tcW w:w="1276" w:type="dxa"/>
          </w:tcPr>
          <w:p w14:paraId="0BA768F2" w14:textId="77777777" w:rsidR="00DD13BF" w:rsidRPr="00347461" w:rsidRDefault="00DD13BF" w:rsidP="00355A56">
            <w:pPr>
              <w:pStyle w:val="TableParagraph"/>
              <w:rPr>
                <w:sz w:val="20"/>
              </w:rPr>
            </w:pPr>
            <w:r>
              <w:rPr>
                <w:color w:val="000000"/>
                <w:sz w:val="20"/>
              </w:rPr>
              <w:t>Contributions to strategies</w:t>
            </w:r>
          </w:p>
        </w:tc>
        <w:tc>
          <w:tcPr>
            <w:tcW w:w="1418" w:type="dxa"/>
          </w:tcPr>
          <w:p w14:paraId="3071C28A" w14:textId="77777777" w:rsidR="00DD13BF" w:rsidRPr="00C81227" w:rsidRDefault="00DD13BF" w:rsidP="00355A56">
            <w:pPr>
              <w:pStyle w:val="TableParagraph"/>
              <w:rPr>
                <w:sz w:val="20"/>
              </w:rPr>
            </w:pPr>
            <w:r>
              <w:rPr>
                <w:sz w:val="20"/>
              </w:rPr>
              <w:t>8</w:t>
            </w:r>
          </w:p>
        </w:tc>
        <w:tc>
          <w:tcPr>
            <w:tcW w:w="1134" w:type="dxa"/>
          </w:tcPr>
          <w:p w14:paraId="1740EB92" w14:textId="77777777" w:rsidR="00DD13BF" w:rsidRPr="00C81227" w:rsidRDefault="00DD13BF" w:rsidP="00355A56">
            <w:pPr>
              <w:pStyle w:val="TableParagraph"/>
              <w:rPr>
                <w:sz w:val="20"/>
              </w:rPr>
            </w:pPr>
            <w:r>
              <w:rPr>
                <w:sz w:val="20"/>
              </w:rPr>
              <w:t>8</w:t>
            </w:r>
          </w:p>
        </w:tc>
      </w:tr>
      <w:tr w:rsidR="00DD13BF" w14:paraId="408B9DAE" w14:textId="77777777" w:rsidTr="00355A56">
        <w:trPr>
          <w:trHeight w:val="367"/>
        </w:trPr>
        <w:tc>
          <w:tcPr>
            <w:tcW w:w="1834" w:type="dxa"/>
          </w:tcPr>
          <w:p w14:paraId="1FDD4112" w14:textId="77777777" w:rsidR="00DD13BF" w:rsidRDefault="00DD13BF" w:rsidP="00355A56">
            <w:pPr>
              <w:pStyle w:val="TableParagraph"/>
              <w:rPr>
                <w:sz w:val="20"/>
              </w:rPr>
            </w:pPr>
            <w:r>
              <w:rPr>
                <w:sz w:val="20"/>
              </w:rPr>
              <w:t>9</w:t>
            </w:r>
          </w:p>
        </w:tc>
        <w:tc>
          <w:tcPr>
            <w:tcW w:w="1417" w:type="dxa"/>
          </w:tcPr>
          <w:p w14:paraId="061620D7" w14:textId="77777777" w:rsidR="00DD13BF" w:rsidRDefault="00DD13BF" w:rsidP="00355A56">
            <w:pPr>
              <w:pStyle w:val="TableParagraph"/>
              <w:rPr>
                <w:sz w:val="20"/>
              </w:rPr>
            </w:pPr>
            <w:r>
              <w:rPr>
                <w:color w:val="000000"/>
                <w:sz w:val="20"/>
              </w:rPr>
              <w:t>RSO5.1</w:t>
            </w:r>
          </w:p>
        </w:tc>
        <w:tc>
          <w:tcPr>
            <w:tcW w:w="708" w:type="dxa"/>
          </w:tcPr>
          <w:p w14:paraId="19F68EA8" w14:textId="77777777" w:rsidR="00DD13BF" w:rsidRDefault="00DD13BF" w:rsidP="00355A56">
            <w:pPr>
              <w:pStyle w:val="TableParagraph"/>
              <w:rPr>
                <w:sz w:val="20"/>
              </w:rPr>
            </w:pPr>
            <w:r>
              <w:rPr>
                <w:sz w:val="20"/>
              </w:rPr>
              <w:t>ERDF</w:t>
            </w:r>
          </w:p>
        </w:tc>
        <w:tc>
          <w:tcPr>
            <w:tcW w:w="1701" w:type="dxa"/>
          </w:tcPr>
          <w:p w14:paraId="22CB7F80" w14:textId="77777777" w:rsidR="00DD13BF" w:rsidRDefault="00DD13BF" w:rsidP="00355A56">
            <w:pPr>
              <w:pStyle w:val="TableParagraph"/>
              <w:rPr>
                <w:sz w:val="20"/>
              </w:rPr>
            </w:pPr>
            <w:r>
              <w:rPr>
                <w:sz w:val="20"/>
              </w:rPr>
              <w:t>More developed</w:t>
            </w:r>
          </w:p>
        </w:tc>
        <w:tc>
          <w:tcPr>
            <w:tcW w:w="778" w:type="dxa"/>
          </w:tcPr>
          <w:p w14:paraId="73E71B60" w14:textId="77777777" w:rsidR="00DD13BF" w:rsidRDefault="00DD13BF" w:rsidP="00355A56">
            <w:pPr>
              <w:pStyle w:val="TableParagraph"/>
              <w:rPr>
                <w:sz w:val="20"/>
              </w:rPr>
            </w:pPr>
            <w:r>
              <w:rPr>
                <w:sz w:val="20"/>
              </w:rPr>
              <w:t>RCO75</w:t>
            </w:r>
          </w:p>
        </w:tc>
        <w:tc>
          <w:tcPr>
            <w:tcW w:w="3475" w:type="dxa"/>
          </w:tcPr>
          <w:p w14:paraId="041235D4" w14:textId="77777777" w:rsidR="00DD13BF" w:rsidRDefault="00DD13BF" w:rsidP="00355A56">
            <w:pPr>
              <w:pStyle w:val="TableParagraph"/>
              <w:rPr>
                <w:sz w:val="20"/>
              </w:rPr>
            </w:pPr>
            <w:r>
              <w:rPr>
                <w:sz w:val="20"/>
              </w:rPr>
              <w:t>Strategies for integrated territorial development supported</w:t>
            </w:r>
          </w:p>
        </w:tc>
        <w:tc>
          <w:tcPr>
            <w:tcW w:w="1276" w:type="dxa"/>
          </w:tcPr>
          <w:p w14:paraId="49A7B48C" w14:textId="77777777" w:rsidR="00DD13BF" w:rsidRDefault="00DD13BF" w:rsidP="00355A56">
            <w:pPr>
              <w:pStyle w:val="TableParagraph"/>
              <w:rPr>
                <w:sz w:val="20"/>
              </w:rPr>
            </w:pPr>
            <w:r>
              <w:rPr>
                <w:color w:val="000000"/>
                <w:sz w:val="20"/>
              </w:rPr>
              <w:t>Contributions to strategies</w:t>
            </w:r>
          </w:p>
        </w:tc>
        <w:tc>
          <w:tcPr>
            <w:tcW w:w="1418" w:type="dxa"/>
          </w:tcPr>
          <w:p w14:paraId="41C630FB" w14:textId="77777777" w:rsidR="00DD13BF" w:rsidRPr="00C81227" w:rsidRDefault="00DD13BF" w:rsidP="00355A56">
            <w:pPr>
              <w:pStyle w:val="TableParagraph"/>
              <w:rPr>
                <w:rFonts w:cstheme="minorHAnsi"/>
                <w:sz w:val="20"/>
              </w:rPr>
            </w:pPr>
            <w:r>
              <w:rPr>
                <w:sz w:val="20"/>
              </w:rPr>
              <w:t>4</w:t>
            </w:r>
          </w:p>
        </w:tc>
        <w:tc>
          <w:tcPr>
            <w:tcW w:w="1134" w:type="dxa"/>
          </w:tcPr>
          <w:p w14:paraId="6B51EA04" w14:textId="77777777" w:rsidR="00DD13BF" w:rsidRPr="00C81227" w:rsidRDefault="00DD13BF" w:rsidP="00355A56">
            <w:pPr>
              <w:pStyle w:val="TableParagraph"/>
              <w:rPr>
                <w:rFonts w:cstheme="minorHAnsi"/>
                <w:sz w:val="20"/>
              </w:rPr>
            </w:pPr>
            <w:r>
              <w:rPr>
                <w:sz w:val="20"/>
              </w:rPr>
              <w:t>4</w:t>
            </w:r>
          </w:p>
        </w:tc>
      </w:tr>
    </w:tbl>
    <w:p w14:paraId="472CEA5C" w14:textId="77777777" w:rsidR="00DD13BF" w:rsidRDefault="00DD13BF" w:rsidP="00DD13BF">
      <w:pPr>
        <w:rPr>
          <w:sz w:val="24"/>
        </w:rPr>
      </w:pPr>
    </w:p>
    <w:p w14:paraId="2127B692" w14:textId="77777777" w:rsidR="00DD13BF" w:rsidRDefault="00DD13BF" w:rsidP="00DD13BF">
      <w:pPr>
        <w:ind w:left="379"/>
      </w:pPr>
      <w:r>
        <w:lastRenderedPageBreak/>
        <w:t>Table 3: Result indicators</w:t>
      </w:r>
    </w:p>
    <w:p w14:paraId="0B93CF24" w14:textId="77777777" w:rsidR="00DD13BF" w:rsidRDefault="00DD13BF" w:rsidP="00DD13BF">
      <w:pPr>
        <w:rPr>
          <w:sz w:val="21"/>
        </w:rPr>
      </w:pPr>
    </w:p>
    <w:tbl>
      <w:tblPr>
        <w:tblStyle w:val="NormalTable0"/>
        <w:tblW w:w="13740"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2"/>
        <w:gridCol w:w="1417"/>
        <w:gridCol w:w="696"/>
        <w:gridCol w:w="1572"/>
        <w:gridCol w:w="709"/>
        <w:gridCol w:w="2410"/>
        <w:gridCol w:w="708"/>
        <w:gridCol w:w="1134"/>
        <w:gridCol w:w="993"/>
        <w:gridCol w:w="708"/>
        <w:gridCol w:w="851"/>
        <w:gridCol w:w="850"/>
      </w:tblGrid>
      <w:tr w:rsidR="00DD13BF" w14:paraId="6D0D521F" w14:textId="77777777" w:rsidTr="00355A56">
        <w:trPr>
          <w:trHeight w:val="353"/>
        </w:trPr>
        <w:tc>
          <w:tcPr>
            <w:tcW w:w="1692" w:type="dxa"/>
          </w:tcPr>
          <w:p w14:paraId="407E5239" w14:textId="77777777" w:rsidR="00DD13BF" w:rsidRPr="00347461" w:rsidRDefault="00DD13BF" w:rsidP="00355A56">
            <w:pPr>
              <w:pStyle w:val="TableParagraph"/>
              <w:rPr>
                <w:sz w:val="20"/>
              </w:rPr>
            </w:pPr>
            <w:r>
              <w:rPr>
                <w:sz w:val="20"/>
              </w:rPr>
              <w:t>Priority</w:t>
            </w:r>
          </w:p>
        </w:tc>
        <w:tc>
          <w:tcPr>
            <w:tcW w:w="1417" w:type="dxa"/>
          </w:tcPr>
          <w:p w14:paraId="49252CBF" w14:textId="77777777" w:rsidR="00DD13BF" w:rsidRPr="00347461" w:rsidRDefault="00DD13BF" w:rsidP="00355A56">
            <w:pPr>
              <w:pStyle w:val="TableParagraph"/>
              <w:rPr>
                <w:sz w:val="20"/>
              </w:rPr>
            </w:pPr>
            <w:r>
              <w:rPr>
                <w:sz w:val="20"/>
              </w:rPr>
              <w:t>Specific objective</w:t>
            </w:r>
          </w:p>
        </w:tc>
        <w:tc>
          <w:tcPr>
            <w:tcW w:w="696" w:type="dxa"/>
          </w:tcPr>
          <w:p w14:paraId="323285A3" w14:textId="77777777" w:rsidR="00DD13BF" w:rsidRPr="00347461" w:rsidRDefault="00DD13BF" w:rsidP="00355A56">
            <w:pPr>
              <w:pStyle w:val="TableParagraph"/>
              <w:rPr>
                <w:sz w:val="20"/>
              </w:rPr>
            </w:pPr>
            <w:r>
              <w:rPr>
                <w:sz w:val="20"/>
              </w:rPr>
              <w:t>Fund</w:t>
            </w:r>
          </w:p>
        </w:tc>
        <w:tc>
          <w:tcPr>
            <w:tcW w:w="1572" w:type="dxa"/>
          </w:tcPr>
          <w:p w14:paraId="573D876B" w14:textId="77777777" w:rsidR="00DD13BF" w:rsidRPr="00347461" w:rsidRDefault="00DD13BF" w:rsidP="00355A56">
            <w:pPr>
              <w:pStyle w:val="TableParagraph"/>
              <w:rPr>
                <w:sz w:val="20"/>
              </w:rPr>
            </w:pPr>
            <w:r>
              <w:rPr>
                <w:sz w:val="20"/>
              </w:rPr>
              <w:t>Category of region</w:t>
            </w:r>
          </w:p>
        </w:tc>
        <w:tc>
          <w:tcPr>
            <w:tcW w:w="709" w:type="dxa"/>
          </w:tcPr>
          <w:p w14:paraId="6E80FF77" w14:textId="77777777" w:rsidR="00DD13BF" w:rsidRPr="00347461" w:rsidRDefault="00DD13BF" w:rsidP="00355A56">
            <w:pPr>
              <w:pStyle w:val="TableParagraph"/>
              <w:rPr>
                <w:sz w:val="20"/>
              </w:rPr>
            </w:pPr>
            <w:r>
              <w:rPr>
                <w:sz w:val="20"/>
              </w:rPr>
              <w:t>ID</w:t>
            </w:r>
          </w:p>
        </w:tc>
        <w:tc>
          <w:tcPr>
            <w:tcW w:w="2410" w:type="dxa"/>
          </w:tcPr>
          <w:p w14:paraId="65D57223" w14:textId="77777777" w:rsidR="00DD13BF" w:rsidRPr="00347461" w:rsidRDefault="00DD13BF" w:rsidP="00355A56">
            <w:pPr>
              <w:pStyle w:val="TableParagraph"/>
              <w:rPr>
                <w:sz w:val="20"/>
              </w:rPr>
            </w:pPr>
            <w:r>
              <w:rPr>
                <w:sz w:val="20"/>
              </w:rPr>
              <w:t>Indicator</w:t>
            </w:r>
          </w:p>
        </w:tc>
        <w:tc>
          <w:tcPr>
            <w:tcW w:w="708" w:type="dxa"/>
          </w:tcPr>
          <w:p w14:paraId="488896EF" w14:textId="77777777" w:rsidR="00DD13BF" w:rsidRPr="00347461" w:rsidRDefault="00DD13BF" w:rsidP="00355A56">
            <w:pPr>
              <w:pStyle w:val="TableParagraph"/>
              <w:rPr>
                <w:sz w:val="20"/>
              </w:rPr>
            </w:pPr>
            <w:r>
              <w:rPr>
                <w:sz w:val="20"/>
              </w:rPr>
              <w:t>Measurement unit</w:t>
            </w:r>
          </w:p>
        </w:tc>
        <w:tc>
          <w:tcPr>
            <w:tcW w:w="1134" w:type="dxa"/>
          </w:tcPr>
          <w:p w14:paraId="3B133015" w14:textId="77777777" w:rsidR="00DD13BF" w:rsidRPr="00347461" w:rsidRDefault="00DD13BF" w:rsidP="00355A56">
            <w:pPr>
              <w:pStyle w:val="TableParagraph"/>
              <w:rPr>
                <w:sz w:val="20"/>
              </w:rPr>
            </w:pPr>
            <w:r>
              <w:rPr>
                <w:sz w:val="20"/>
              </w:rPr>
              <w:t>Baseline or reference value</w:t>
            </w:r>
          </w:p>
        </w:tc>
        <w:tc>
          <w:tcPr>
            <w:tcW w:w="993" w:type="dxa"/>
          </w:tcPr>
          <w:p w14:paraId="6A2866A0" w14:textId="77777777" w:rsidR="00DD13BF" w:rsidRPr="00347461" w:rsidRDefault="00DD13BF" w:rsidP="00355A56">
            <w:pPr>
              <w:pStyle w:val="TableParagraph"/>
              <w:rPr>
                <w:sz w:val="20"/>
              </w:rPr>
            </w:pPr>
            <w:r>
              <w:rPr>
                <w:sz w:val="20"/>
              </w:rPr>
              <w:t>Reference year</w:t>
            </w:r>
          </w:p>
        </w:tc>
        <w:tc>
          <w:tcPr>
            <w:tcW w:w="708" w:type="dxa"/>
          </w:tcPr>
          <w:p w14:paraId="2AF5EF87" w14:textId="77777777" w:rsidR="00DD13BF" w:rsidRPr="00347461" w:rsidRDefault="00DD13BF" w:rsidP="00355A56">
            <w:pPr>
              <w:pStyle w:val="TableParagraph"/>
              <w:rPr>
                <w:sz w:val="20"/>
              </w:rPr>
            </w:pPr>
            <w:r>
              <w:rPr>
                <w:sz w:val="20"/>
              </w:rPr>
              <w:t>Target (2029)</w:t>
            </w:r>
          </w:p>
        </w:tc>
        <w:tc>
          <w:tcPr>
            <w:tcW w:w="851" w:type="dxa"/>
          </w:tcPr>
          <w:p w14:paraId="37F2DAFF" w14:textId="77777777" w:rsidR="00DD13BF" w:rsidRPr="00347461" w:rsidRDefault="00DD13BF" w:rsidP="00355A56">
            <w:pPr>
              <w:pStyle w:val="TableParagraph"/>
              <w:rPr>
                <w:sz w:val="20"/>
              </w:rPr>
            </w:pPr>
            <w:r>
              <w:rPr>
                <w:sz w:val="20"/>
              </w:rPr>
              <w:t>Source of data</w:t>
            </w:r>
          </w:p>
        </w:tc>
        <w:tc>
          <w:tcPr>
            <w:tcW w:w="850" w:type="dxa"/>
          </w:tcPr>
          <w:p w14:paraId="7AC83104" w14:textId="77777777" w:rsidR="00DD13BF" w:rsidRPr="00347461" w:rsidRDefault="00DD13BF" w:rsidP="00355A56">
            <w:pPr>
              <w:pStyle w:val="TableParagraph"/>
              <w:rPr>
                <w:sz w:val="20"/>
              </w:rPr>
            </w:pPr>
            <w:r>
              <w:rPr>
                <w:sz w:val="20"/>
              </w:rPr>
              <w:t>Notes</w:t>
            </w:r>
          </w:p>
        </w:tc>
      </w:tr>
      <w:tr w:rsidR="00DD13BF" w14:paraId="78E3809C" w14:textId="77777777" w:rsidTr="00355A56">
        <w:trPr>
          <w:trHeight w:val="353"/>
        </w:trPr>
        <w:tc>
          <w:tcPr>
            <w:tcW w:w="1692" w:type="dxa"/>
          </w:tcPr>
          <w:p w14:paraId="33147037" w14:textId="77777777" w:rsidR="00DD13BF" w:rsidRPr="00347461" w:rsidRDefault="00DD13BF" w:rsidP="00355A56">
            <w:pPr>
              <w:pStyle w:val="TableParagraph"/>
              <w:rPr>
                <w:sz w:val="20"/>
              </w:rPr>
            </w:pPr>
            <w:r>
              <w:rPr>
                <w:sz w:val="20"/>
              </w:rPr>
              <w:t>9</w:t>
            </w:r>
          </w:p>
        </w:tc>
        <w:tc>
          <w:tcPr>
            <w:tcW w:w="1417" w:type="dxa"/>
          </w:tcPr>
          <w:p w14:paraId="3221B8AF" w14:textId="77777777" w:rsidR="00DD13BF" w:rsidRPr="00347461" w:rsidRDefault="00DD13BF" w:rsidP="00355A56">
            <w:pPr>
              <w:pStyle w:val="TableParagraph"/>
              <w:rPr>
                <w:sz w:val="20"/>
              </w:rPr>
            </w:pPr>
            <w:r>
              <w:rPr>
                <w:color w:val="000000"/>
                <w:sz w:val="20"/>
              </w:rPr>
              <w:t>RSO5.1</w:t>
            </w:r>
          </w:p>
        </w:tc>
        <w:tc>
          <w:tcPr>
            <w:tcW w:w="696" w:type="dxa"/>
          </w:tcPr>
          <w:p w14:paraId="52B6EF15" w14:textId="77777777" w:rsidR="00DD13BF" w:rsidRPr="00347461" w:rsidRDefault="00DD13BF" w:rsidP="00355A56">
            <w:pPr>
              <w:pStyle w:val="TableParagraph"/>
              <w:rPr>
                <w:sz w:val="20"/>
              </w:rPr>
            </w:pPr>
            <w:r>
              <w:rPr>
                <w:sz w:val="20"/>
              </w:rPr>
              <w:t>ERDF</w:t>
            </w:r>
          </w:p>
        </w:tc>
        <w:tc>
          <w:tcPr>
            <w:tcW w:w="1572" w:type="dxa"/>
          </w:tcPr>
          <w:p w14:paraId="4EFEECD8" w14:textId="77777777" w:rsidR="00DD13BF" w:rsidRPr="00347461" w:rsidRDefault="00DD13BF" w:rsidP="00355A56">
            <w:pPr>
              <w:pStyle w:val="TableParagraph"/>
              <w:rPr>
                <w:sz w:val="20"/>
              </w:rPr>
            </w:pPr>
            <w:r>
              <w:rPr>
                <w:sz w:val="20"/>
              </w:rPr>
              <w:t>Less developed</w:t>
            </w:r>
          </w:p>
        </w:tc>
        <w:tc>
          <w:tcPr>
            <w:tcW w:w="709" w:type="dxa"/>
          </w:tcPr>
          <w:p w14:paraId="24D0E9BF" w14:textId="77777777" w:rsidR="00DD13BF" w:rsidRPr="00347461" w:rsidRDefault="00DD13BF" w:rsidP="00355A56">
            <w:pPr>
              <w:pStyle w:val="TableParagraph"/>
              <w:rPr>
                <w:sz w:val="20"/>
              </w:rPr>
            </w:pPr>
            <w:r>
              <w:rPr>
                <w:sz w:val="20"/>
              </w:rPr>
              <w:t>22</w:t>
            </w:r>
          </w:p>
        </w:tc>
        <w:tc>
          <w:tcPr>
            <w:tcW w:w="2410" w:type="dxa"/>
          </w:tcPr>
          <w:p w14:paraId="7DA3FE9A" w14:textId="77777777" w:rsidR="00DD13BF" w:rsidRPr="00347461" w:rsidRDefault="00DD13BF" w:rsidP="00355A56">
            <w:pPr>
              <w:pStyle w:val="TableParagraph"/>
              <w:rPr>
                <w:sz w:val="20"/>
              </w:rPr>
            </w:pPr>
            <w:r>
              <w:rPr>
                <w:sz w:val="20"/>
              </w:rPr>
              <w:t>Area of ​​renovated free and underutilised areas</w:t>
            </w:r>
          </w:p>
        </w:tc>
        <w:tc>
          <w:tcPr>
            <w:tcW w:w="708" w:type="dxa"/>
          </w:tcPr>
          <w:p w14:paraId="176B5F52" w14:textId="77777777" w:rsidR="00DD13BF" w:rsidRPr="00347461" w:rsidRDefault="00DD13BF" w:rsidP="00355A56">
            <w:pPr>
              <w:pStyle w:val="TableParagraph"/>
              <w:rPr>
                <w:sz w:val="20"/>
              </w:rPr>
            </w:pPr>
            <w:r>
              <w:rPr>
                <w:sz w:val="20"/>
              </w:rPr>
              <w:t>Square metres</w:t>
            </w:r>
          </w:p>
        </w:tc>
        <w:tc>
          <w:tcPr>
            <w:tcW w:w="1134" w:type="dxa"/>
          </w:tcPr>
          <w:p w14:paraId="0D348C8E" w14:textId="77777777" w:rsidR="00DD13BF" w:rsidRPr="00347461" w:rsidRDefault="00DD13BF" w:rsidP="00355A56">
            <w:pPr>
              <w:pStyle w:val="TableParagraph"/>
              <w:rPr>
                <w:sz w:val="20"/>
              </w:rPr>
            </w:pPr>
            <w:r>
              <w:rPr>
                <w:sz w:val="20"/>
              </w:rPr>
              <w:t>0</w:t>
            </w:r>
          </w:p>
        </w:tc>
        <w:tc>
          <w:tcPr>
            <w:tcW w:w="993" w:type="dxa"/>
          </w:tcPr>
          <w:p w14:paraId="3400ED2B" w14:textId="77777777" w:rsidR="00DD13BF" w:rsidRPr="005A4E72" w:rsidRDefault="00DD13BF" w:rsidP="00355A56">
            <w:pPr>
              <w:pStyle w:val="TableParagraph"/>
              <w:rPr>
                <w:sz w:val="20"/>
              </w:rPr>
            </w:pPr>
            <w:r>
              <w:rPr>
                <w:sz w:val="20"/>
              </w:rPr>
              <w:t>2020</w:t>
            </w:r>
          </w:p>
        </w:tc>
        <w:tc>
          <w:tcPr>
            <w:tcW w:w="708" w:type="dxa"/>
          </w:tcPr>
          <w:p w14:paraId="22974C56" w14:textId="77777777" w:rsidR="00DD13BF" w:rsidRPr="00672BAF" w:rsidRDefault="00DD13BF" w:rsidP="00355A56">
            <w:pPr>
              <w:pStyle w:val="TableParagraph"/>
              <w:rPr>
                <w:sz w:val="20"/>
              </w:rPr>
            </w:pPr>
            <w:r>
              <w:rPr>
                <w:sz w:val="20"/>
              </w:rPr>
              <w:t>37,500</w:t>
            </w:r>
          </w:p>
        </w:tc>
        <w:tc>
          <w:tcPr>
            <w:tcW w:w="851" w:type="dxa"/>
          </w:tcPr>
          <w:p w14:paraId="21583E2F" w14:textId="77777777" w:rsidR="00DD13BF" w:rsidRPr="00347461" w:rsidRDefault="00DD13BF" w:rsidP="00355A56">
            <w:pPr>
              <w:pStyle w:val="TableParagraph"/>
              <w:rPr>
                <w:sz w:val="20"/>
              </w:rPr>
            </w:pPr>
            <w:r>
              <w:rPr>
                <w:sz w:val="20"/>
              </w:rPr>
              <w:t>MOP</w:t>
            </w:r>
          </w:p>
        </w:tc>
        <w:tc>
          <w:tcPr>
            <w:tcW w:w="850" w:type="dxa"/>
          </w:tcPr>
          <w:p w14:paraId="51565ABA" w14:textId="77777777" w:rsidR="00DD13BF" w:rsidRPr="00347461" w:rsidRDefault="00DD13BF" w:rsidP="00355A56">
            <w:pPr>
              <w:pStyle w:val="TableParagraph"/>
              <w:rPr>
                <w:sz w:val="20"/>
              </w:rPr>
            </w:pPr>
          </w:p>
        </w:tc>
      </w:tr>
      <w:tr w:rsidR="00DD13BF" w14:paraId="679E7300" w14:textId="77777777" w:rsidTr="00355A56">
        <w:trPr>
          <w:trHeight w:val="353"/>
        </w:trPr>
        <w:tc>
          <w:tcPr>
            <w:tcW w:w="1692" w:type="dxa"/>
          </w:tcPr>
          <w:p w14:paraId="4AC9E838" w14:textId="77777777" w:rsidR="00DD13BF" w:rsidRPr="00347461" w:rsidRDefault="00DD13BF" w:rsidP="00355A56">
            <w:pPr>
              <w:pStyle w:val="TableParagraph"/>
              <w:rPr>
                <w:sz w:val="20"/>
              </w:rPr>
            </w:pPr>
            <w:r>
              <w:rPr>
                <w:sz w:val="20"/>
              </w:rPr>
              <w:t>9</w:t>
            </w:r>
          </w:p>
        </w:tc>
        <w:tc>
          <w:tcPr>
            <w:tcW w:w="1417" w:type="dxa"/>
          </w:tcPr>
          <w:p w14:paraId="3EDE7673" w14:textId="77777777" w:rsidR="00DD13BF" w:rsidRPr="00347461" w:rsidRDefault="00DD13BF" w:rsidP="00355A56">
            <w:pPr>
              <w:pStyle w:val="TableParagraph"/>
              <w:rPr>
                <w:sz w:val="20"/>
              </w:rPr>
            </w:pPr>
            <w:r>
              <w:rPr>
                <w:color w:val="000000"/>
                <w:sz w:val="20"/>
              </w:rPr>
              <w:t>RSO5.1</w:t>
            </w:r>
          </w:p>
        </w:tc>
        <w:tc>
          <w:tcPr>
            <w:tcW w:w="696" w:type="dxa"/>
          </w:tcPr>
          <w:p w14:paraId="7772E5E7" w14:textId="77777777" w:rsidR="00DD13BF" w:rsidRPr="00347461" w:rsidRDefault="00DD13BF" w:rsidP="00355A56">
            <w:pPr>
              <w:pStyle w:val="TableParagraph"/>
              <w:rPr>
                <w:sz w:val="20"/>
              </w:rPr>
            </w:pPr>
            <w:r>
              <w:rPr>
                <w:sz w:val="20"/>
              </w:rPr>
              <w:t>ERDF</w:t>
            </w:r>
          </w:p>
        </w:tc>
        <w:tc>
          <w:tcPr>
            <w:tcW w:w="1572" w:type="dxa"/>
          </w:tcPr>
          <w:p w14:paraId="0DEABDBE" w14:textId="77777777" w:rsidR="00DD13BF" w:rsidRPr="00347461" w:rsidRDefault="00DD13BF" w:rsidP="00355A56">
            <w:pPr>
              <w:pStyle w:val="TableParagraph"/>
              <w:rPr>
                <w:sz w:val="20"/>
              </w:rPr>
            </w:pPr>
            <w:r>
              <w:rPr>
                <w:sz w:val="20"/>
              </w:rPr>
              <w:t>More developed</w:t>
            </w:r>
          </w:p>
        </w:tc>
        <w:tc>
          <w:tcPr>
            <w:tcW w:w="709" w:type="dxa"/>
          </w:tcPr>
          <w:p w14:paraId="017DC804" w14:textId="77777777" w:rsidR="00DD13BF" w:rsidRPr="00347461" w:rsidRDefault="00DD13BF" w:rsidP="00355A56">
            <w:pPr>
              <w:pStyle w:val="TableParagraph"/>
              <w:rPr>
                <w:sz w:val="20"/>
              </w:rPr>
            </w:pPr>
            <w:r>
              <w:rPr>
                <w:sz w:val="20"/>
              </w:rPr>
              <w:t>22</w:t>
            </w:r>
          </w:p>
        </w:tc>
        <w:tc>
          <w:tcPr>
            <w:tcW w:w="2410" w:type="dxa"/>
          </w:tcPr>
          <w:p w14:paraId="516EF873" w14:textId="77777777" w:rsidR="00DD13BF" w:rsidRPr="00347461" w:rsidRDefault="00DD13BF" w:rsidP="00355A56">
            <w:pPr>
              <w:pStyle w:val="TableParagraph"/>
              <w:rPr>
                <w:sz w:val="20"/>
              </w:rPr>
            </w:pPr>
            <w:r>
              <w:rPr>
                <w:sz w:val="20"/>
              </w:rPr>
              <w:t>Area of ​​renovated free and underutilised areas</w:t>
            </w:r>
          </w:p>
        </w:tc>
        <w:tc>
          <w:tcPr>
            <w:tcW w:w="708" w:type="dxa"/>
          </w:tcPr>
          <w:p w14:paraId="293E3A0F" w14:textId="77777777" w:rsidR="00DD13BF" w:rsidRPr="00347461" w:rsidRDefault="00DD13BF" w:rsidP="00355A56">
            <w:pPr>
              <w:pStyle w:val="TableParagraph"/>
              <w:rPr>
                <w:sz w:val="20"/>
              </w:rPr>
            </w:pPr>
            <w:r>
              <w:rPr>
                <w:sz w:val="20"/>
              </w:rPr>
              <w:t>Square metres</w:t>
            </w:r>
          </w:p>
        </w:tc>
        <w:tc>
          <w:tcPr>
            <w:tcW w:w="1134" w:type="dxa"/>
          </w:tcPr>
          <w:p w14:paraId="53460E11" w14:textId="77777777" w:rsidR="00DD13BF" w:rsidRPr="00347461" w:rsidRDefault="00DD13BF" w:rsidP="00355A56">
            <w:pPr>
              <w:pStyle w:val="TableParagraph"/>
              <w:rPr>
                <w:sz w:val="20"/>
              </w:rPr>
            </w:pPr>
            <w:r>
              <w:rPr>
                <w:sz w:val="20"/>
              </w:rPr>
              <w:t>0</w:t>
            </w:r>
          </w:p>
        </w:tc>
        <w:tc>
          <w:tcPr>
            <w:tcW w:w="993" w:type="dxa"/>
          </w:tcPr>
          <w:p w14:paraId="419679FE" w14:textId="77777777" w:rsidR="00DD13BF" w:rsidRPr="005A4E72" w:rsidRDefault="00DD13BF" w:rsidP="00355A56">
            <w:pPr>
              <w:pStyle w:val="TableParagraph"/>
              <w:rPr>
                <w:sz w:val="20"/>
              </w:rPr>
            </w:pPr>
            <w:r>
              <w:rPr>
                <w:sz w:val="20"/>
              </w:rPr>
              <w:t>2020</w:t>
            </w:r>
          </w:p>
        </w:tc>
        <w:tc>
          <w:tcPr>
            <w:tcW w:w="708" w:type="dxa"/>
          </w:tcPr>
          <w:p w14:paraId="44D2DA9E" w14:textId="77777777" w:rsidR="00DD13BF" w:rsidRPr="005A4E72" w:rsidRDefault="00DD13BF" w:rsidP="00355A56">
            <w:pPr>
              <w:pStyle w:val="TableParagraph"/>
              <w:rPr>
                <w:sz w:val="20"/>
              </w:rPr>
            </w:pPr>
            <w:r>
              <w:rPr>
                <w:sz w:val="20"/>
              </w:rPr>
              <w:t>6,500</w:t>
            </w:r>
          </w:p>
        </w:tc>
        <w:tc>
          <w:tcPr>
            <w:tcW w:w="851" w:type="dxa"/>
          </w:tcPr>
          <w:p w14:paraId="6819B4F7" w14:textId="77777777" w:rsidR="00DD13BF" w:rsidRPr="00347461" w:rsidRDefault="00DD13BF" w:rsidP="00355A56">
            <w:pPr>
              <w:pStyle w:val="TableParagraph"/>
              <w:rPr>
                <w:sz w:val="20"/>
              </w:rPr>
            </w:pPr>
            <w:r>
              <w:rPr>
                <w:sz w:val="20"/>
              </w:rPr>
              <w:t>MOP</w:t>
            </w:r>
          </w:p>
        </w:tc>
        <w:tc>
          <w:tcPr>
            <w:tcW w:w="850" w:type="dxa"/>
          </w:tcPr>
          <w:p w14:paraId="3D405234" w14:textId="77777777" w:rsidR="00DD13BF" w:rsidRPr="00347461" w:rsidRDefault="00DD13BF" w:rsidP="00355A56">
            <w:pPr>
              <w:pStyle w:val="TableParagraph"/>
              <w:rPr>
                <w:sz w:val="20"/>
              </w:rPr>
            </w:pPr>
          </w:p>
        </w:tc>
      </w:tr>
    </w:tbl>
    <w:p w14:paraId="44AEA63C" w14:textId="77777777" w:rsidR="00DD13BF" w:rsidRPr="00F81084" w:rsidRDefault="00DD13BF" w:rsidP="00DD13BF">
      <w:pPr>
        <w:pStyle w:val="Telobesedila"/>
      </w:pPr>
    </w:p>
    <w:p w14:paraId="7B2C2076" w14:textId="77777777" w:rsidR="00DD13BF" w:rsidRPr="00F81084" w:rsidRDefault="00DD13BF" w:rsidP="00DD13BF">
      <w:pPr>
        <w:pStyle w:val="Telobesedila"/>
      </w:pPr>
    </w:p>
    <w:p w14:paraId="66E658CF" w14:textId="77777777" w:rsidR="00DD13BF" w:rsidRDefault="00DD13BF" w:rsidP="00DD13BF">
      <w:pPr>
        <w:pStyle w:val="Naslov5"/>
        <w:numPr>
          <w:ilvl w:val="4"/>
          <w:numId w:val="16"/>
        </w:numPr>
        <w:spacing w:before="0"/>
      </w:pPr>
      <w:r>
        <w:t>Indicative breakdown of the programme resources (EU) by type of intervention</w:t>
      </w:r>
    </w:p>
    <w:p w14:paraId="2DE9E67A" w14:textId="77777777" w:rsidR="00DD13BF" w:rsidRDefault="00DD13BF" w:rsidP="00DD13BF">
      <w:pPr>
        <w:ind w:left="640"/>
        <w:rPr>
          <w:spacing w:val="-5"/>
        </w:rPr>
      </w:pPr>
    </w:p>
    <w:p w14:paraId="013B91AB" w14:textId="77777777" w:rsidR="00DD13BF" w:rsidRPr="00673ADB" w:rsidRDefault="00DD13BF" w:rsidP="00DD13BF">
      <w:pPr>
        <w:ind w:left="339"/>
        <w:rPr>
          <w:spacing w:val="-7"/>
        </w:rPr>
      </w:pPr>
      <w:r>
        <w:t>Table 4: Dimension 1 – intervention field</w:t>
      </w:r>
    </w:p>
    <w:p w14:paraId="654FFB33"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FE4CB2E" w14:textId="77777777" w:rsidTr="00355A56">
        <w:trPr>
          <w:trHeight w:val="353"/>
        </w:trPr>
        <w:tc>
          <w:tcPr>
            <w:tcW w:w="2088" w:type="dxa"/>
          </w:tcPr>
          <w:p w14:paraId="4864C891" w14:textId="77777777" w:rsidR="00DD13BF" w:rsidRDefault="00DD13BF" w:rsidP="00355A56">
            <w:pPr>
              <w:pStyle w:val="TableParagraph"/>
              <w:ind w:left="115"/>
            </w:pPr>
            <w:r>
              <w:t>Priority no.</w:t>
            </w:r>
          </w:p>
        </w:tc>
        <w:tc>
          <w:tcPr>
            <w:tcW w:w="1133" w:type="dxa"/>
          </w:tcPr>
          <w:p w14:paraId="5D6F3D56" w14:textId="77777777" w:rsidR="00DD13BF" w:rsidRDefault="00DD13BF" w:rsidP="00355A56">
            <w:pPr>
              <w:pStyle w:val="TableParagraph"/>
              <w:ind w:left="320"/>
            </w:pPr>
            <w:r>
              <w:t>Fund</w:t>
            </w:r>
          </w:p>
        </w:tc>
        <w:tc>
          <w:tcPr>
            <w:tcW w:w="3249" w:type="dxa"/>
          </w:tcPr>
          <w:p w14:paraId="0F910435" w14:textId="77777777" w:rsidR="00DD13BF" w:rsidRDefault="00DD13BF" w:rsidP="00355A56">
            <w:pPr>
              <w:pStyle w:val="TableParagraph"/>
              <w:ind w:left="907"/>
            </w:pPr>
            <w:r>
              <w:t>Category of region</w:t>
            </w:r>
          </w:p>
        </w:tc>
        <w:tc>
          <w:tcPr>
            <w:tcW w:w="3099" w:type="dxa"/>
          </w:tcPr>
          <w:p w14:paraId="495B1150" w14:textId="77777777" w:rsidR="00DD13BF" w:rsidRDefault="00DD13BF" w:rsidP="00355A56">
            <w:pPr>
              <w:pStyle w:val="TableParagraph"/>
              <w:ind w:left="948"/>
            </w:pPr>
            <w:r>
              <w:t>Specific objective</w:t>
            </w:r>
          </w:p>
        </w:tc>
        <w:tc>
          <w:tcPr>
            <w:tcW w:w="1161" w:type="dxa"/>
          </w:tcPr>
          <w:p w14:paraId="45B3FC69" w14:textId="77777777" w:rsidR="00DD13BF" w:rsidRDefault="00DD13BF" w:rsidP="00355A56">
            <w:pPr>
              <w:pStyle w:val="TableParagraph"/>
              <w:ind w:left="333"/>
            </w:pPr>
            <w:r>
              <w:t>Code</w:t>
            </w:r>
          </w:p>
        </w:tc>
        <w:tc>
          <w:tcPr>
            <w:tcW w:w="2731" w:type="dxa"/>
          </w:tcPr>
          <w:p w14:paraId="24E71386" w14:textId="77777777" w:rsidR="00DD13BF" w:rsidRDefault="00DD13BF" w:rsidP="00355A56">
            <w:pPr>
              <w:pStyle w:val="TableParagraph"/>
              <w:ind w:left="660"/>
            </w:pPr>
            <w:r>
              <w:t>Amount (in EUR)</w:t>
            </w:r>
          </w:p>
        </w:tc>
      </w:tr>
      <w:tr w:rsidR="00DD13BF" w14:paraId="253F2556" w14:textId="77777777" w:rsidTr="00355A56">
        <w:trPr>
          <w:trHeight w:val="353"/>
        </w:trPr>
        <w:tc>
          <w:tcPr>
            <w:tcW w:w="2088" w:type="dxa"/>
          </w:tcPr>
          <w:p w14:paraId="175372D7" w14:textId="77777777" w:rsidR="00DD13BF" w:rsidRDefault="00DD13BF" w:rsidP="00355A56">
            <w:pPr>
              <w:pStyle w:val="TableParagraph"/>
              <w:rPr>
                <w:sz w:val="20"/>
              </w:rPr>
            </w:pPr>
            <w:r>
              <w:rPr>
                <w:sz w:val="20"/>
              </w:rPr>
              <w:t>9</w:t>
            </w:r>
          </w:p>
        </w:tc>
        <w:tc>
          <w:tcPr>
            <w:tcW w:w="1133" w:type="dxa"/>
          </w:tcPr>
          <w:p w14:paraId="77694E63" w14:textId="77777777" w:rsidR="00DD13BF" w:rsidRDefault="00DD13BF" w:rsidP="00355A56">
            <w:pPr>
              <w:pStyle w:val="TableParagraph"/>
              <w:rPr>
                <w:sz w:val="20"/>
              </w:rPr>
            </w:pPr>
            <w:r>
              <w:rPr>
                <w:sz w:val="20"/>
              </w:rPr>
              <w:t>ERDF</w:t>
            </w:r>
          </w:p>
        </w:tc>
        <w:tc>
          <w:tcPr>
            <w:tcW w:w="3249" w:type="dxa"/>
          </w:tcPr>
          <w:p w14:paraId="1DF11338" w14:textId="77777777" w:rsidR="00DD13BF" w:rsidRDefault="00DD13BF" w:rsidP="00355A56">
            <w:pPr>
              <w:pStyle w:val="TableParagraph"/>
              <w:rPr>
                <w:sz w:val="20"/>
              </w:rPr>
            </w:pPr>
            <w:r>
              <w:rPr>
                <w:sz w:val="20"/>
              </w:rPr>
              <w:t>Less developed</w:t>
            </w:r>
          </w:p>
        </w:tc>
        <w:tc>
          <w:tcPr>
            <w:tcW w:w="3099" w:type="dxa"/>
          </w:tcPr>
          <w:p w14:paraId="447B0A82" w14:textId="77777777" w:rsidR="00DD13BF" w:rsidRDefault="00DD13BF" w:rsidP="00355A56">
            <w:pPr>
              <w:pStyle w:val="TableParagraph"/>
              <w:rPr>
                <w:sz w:val="20"/>
              </w:rPr>
            </w:pPr>
            <w:r>
              <w:rPr>
                <w:color w:val="000000"/>
                <w:sz w:val="20"/>
              </w:rPr>
              <w:t>RSO5.1</w:t>
            </w:r>
          </w:p>
        </w:tc>
        <w:tc>
          <w:tcPr>
            <w:tcW w:w="1161" w:type="dxa"/>
          </w:tcPr>
          <w:p w14:paraId="3F4EFBC9" w14:textId="77777777" w:rsidR="00DD13BF" w:rsidRDefault="00DD13BF" w:rsidP="00355A56">
            <w:pPr>
              <w:pStyle w:val="TableParagraph"/>
              <w:rPr>
                <w:sz w:val="20"/>
              </w:rPr>
            </w:pPr>
            <w:r>
              <w:rPr>
                <w:sz w:val="20"/>
              </w:rPr>
              <w:t>169</w:t>
            </w:r>
          </w:p>
        </w:tc>
        <w:tc>
          <w:tcPr>
            <w:tcW w:w="2731" w:type="dxa"/>
          </w:tcPr>
          <w:p w14:paraId="541E30B3" w14:textId="77777777" w:rsidR="00DD13BF" w:rsidRDefault="00DD13BF" w:rsidP="00355A56">
            <w:pPr>
              <w:pStyle w:val="TableParagraph"/>
              <w:rPr>
                <w:sz w:val="20"/>
              </w:rPr>
            </w:pPr>
            <w:r>
              <w:rPr>
                <w:sz w:val="20"/>
              </w:rPr>
              <w:t>44,760,000</w:t>
            </w:r>
          </w:p>
        </w:tc>
      </w:tr>
      <w:tr w:rsidR="00DD13BF" w14:paraId="7575902C" w14:textId="77777777" w:rsidTr="00355A56">
        <w:trPr>
          <w:trHeight w:val="353"/>
        </w:trPr>
        <w:tc>
          <w:tcPr>
            <w:tcW w:w="2088" w:type="dxa"/>
          </w:tcPr>
          <w:p w14:paraId="028813B6" w14:textId="77777777" w:rsidR="00DD13BF" w:rsidRDefault="00DD13BF" w:rsidP="00355A56">
            <w:pPr>
              <w:pStyle w:val="TableParagraph"/>
              <w:rPr>
                <w:sz w:val="20"/>
              </w:rPr>
            </w:pPr>
            <w:r>
              <w:rPr>
                <w:sz w:val="20"/>
              </w:rPr>
              <w:t>9</w:t>
            </w:r>
          </w:p>
        </w:tc>
        <w:tc>
          <w:tcPr>
            <w:tcW w:w="1133" w:type="dxa"/>
          </w:tcPr>
          <w:p w14:paraId="3968DAD3" w14:textId="77777777" w:rsidR="00DD13BF" w:rsidRDefault="00DD13BF" w:rsidP="00355A56">
            <w:pPr>
              <w:pStyle w:val="TableParagraph"/>
              <w:rPr>
                <w:sz w:val="20"/>
              </w:rPr>
            </w:pPr>
            <w:r>
              <w:rPr>
                <w:sz w:val="20"/>
              </w:rPr>
              <w:t>ERDF</w:t>
            </w:r>
          </w:p>
        </w:tc>
        <w:tc>
          <w:tcPr>
            <w:tcW w:w="3249" w:type="dxa"/>
          </w:tcPr>
          <w:p w14:paraId="069FA2DB" w14:textId="77777777" w:rsidR="00DD13BF" w:rsidRDefault="00DD13BF" w:rsidP="00355A56">
            <w:pPr>
              <w:pStyle w:val="TableParagraph"/>
              <w:rPr>
                <w:sz w:val="20"/>
              </w:rPr>
            </w:pPr>
            <w:r>
              <w:rPr>
                <w:sz w:val="20"/>
              </w:rPr>
              <w:t>More developed</w:t>
            </w:r>
          </w:p>
        </w:tc>
        <w:tc>
          <w:tcPr>
            <w:tcW w:w="3099" w:type="dxa"/>
          </w:tcPr>
          <w:p w14:paraId="353759A4" w14:textId="77777777" w:rsidR="00DD13BF" w:rsidRDefault="00DD13BF" w:rsidP="00355A56">
            <w:pPr>
              <w:pStyle w:val="TableParagraph"/>
              <w:rPr>
                <w:sz w:val="20"/>
              </w:rPr>
            </w:pPr>
            <w:r>
              <w:rPr>
                <w:color w:val="000000"/>
                <w:sz w:val="20"/>
              </w:rPr>
              <w:t>RSO5.1</w:t>
            </w:r>
          </w:p>
        </w:tc>
        <w:tc>
          <w:tcPr>
            <w:tcW w:w="1161" w:type="dxa"/>
          </w:tcPr>
          <w:p w14:paraId="2776B741" w14:textId="77777777" w:rsidR="00DD13BF" w:rsidRDefault="00DD13BF" w:rsidP="00355A56">
            <w:pPr>
              <w:pStyle w:val="TableParagraph"/>
              <w:rPr>
                <w:sz w:val="20"/>
              </w:rPr>
            </w:pPr>
            <w:r>
              <w:rPr>
                <w:sz w:val="20"/>
              </w:rPr>
              <w:t>169</w:t>
            </w:r>
          </w:p>
        </w:tc>
        <w:tc>
          <w:tcPr>
            <w:tcW w:w="2731" w:type="dxa"/>
          </w:tcPr>
          <w:p w14:paraId="106107D1" w14:textId="77777777" w:rsidR="00DD13BF" w:rsidRDefault="00DD13BF" w:rsidP="00355A56">
            <w:pPr>
              <w:pStyle w:val="TableParagraph"/>
              <w:rPr>
                <w:sz w:val="20"/>
              </w:rPr>
            </w:pPr>
            <w:r>
              <w:rPr>
                <w:sz w:val="20"/>
              </w:rPr>
              <w:t>12,330,000</w:t>
            </w:r>
          </w:p>
        </w:tc>
      </w:tr>
    </w:tbl>
    <w:p w14:paraId="3A28F17A" w14:textId="77777777" w:rsidR="00DD13BF" w:rsidRDefault="00DD13BF" w:rsidP="00DD13BF"/>
    <w:p w14:paraId="4FC4BB26" w14:textId="77777777" w:rsidR="00DD13BF" w:rsidRPr="00673ADB" w:rsidRDefault="00DD13BF" w:rsidP="00DD13BF">
      <w:pPr>
        <w:ind w:left="339"/>
        <w:rPr>
          <w:spacing w:val="-7"/>
        </w:rPr>
      </w:pPr>
      <w:r>
        <w:t>Table 5: Dimension 2 – form of financing</w:t>
      </w:r>
    </w:p>
    <w:p w14:paraId="494C74E0"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2D824DD" w14:textId="77777777" w:rsidTr="00355A56">
        <w:trPr>
          <w:trHeight w:val="353"/>
        </w:trPr>
        <w:tc>
          <w:tcPr>
            <w:tcW w:w="2088" w:type="dxa"/>
          </w:tcPr>
          <w:p w14:paraId="152C8793" w14:textId="77777777" w:rsidR="00DD13BF" w:rsidRDefault="00DD13BF" w:rsidP="00355A56">
            <w:pPr>
              <w:pStyle w:val="TableParagraph"/>
              <w:ind w:left="115"/>
            </w:pPr>
            <w:r>
              <w:t>Priority no.</w:t>
            </w:r>
          </w:p>
        </w:tc>
        <w:tc>
          <w:tcPr>
            <w:tcW w:w="1133" w:type="dxa"/>
          </w:tcPr>
          <w:p w14:paraId="6859CFD7" w14:textId="77777777" w:rsidR="00DD13BF" w:rsidRDefault="00DD13BF" w:rsidP="00355A56">
            <w:pPr>
              <w:pStyle w:val="TableParagraph"/>
              <w:ind w:left="320"/>
            </w:pPr>
            <w:r>
              <w:t>Fund</w:t>
            </w:r>
          </w:p>
        </w:tc>
        <w:tc>
          <w:tcPr>
            <w:tcW w:w="3249" w:type="dxa"/>
          </w:tcPr>
          <w:p w14:paraId="58876935" w14:textId="77777777" w:rsidR="00DD13BF" w:rsidRDefault="00DD13BF" w:rsidP="00355A56">
            <w:pPr>
              <w:pStyle w:val="TableParagraph"/>
              <w:ind w:left="907"/>
            </w:pPr>
            <w:r>
              <w:t>Category of region</w:t>
            </w:r>
          </w:p>
        </w:tc>
        <w:tc>
          <w:tcPr>
            <w:tcW w:w="3099" w:type="dxa"/>
          </w:tcPr>
          <w:p w14:paraId="5DDC0AFE" w14:textId="77777777" w:rsidR="00DD13BF" w:rsidRDefault="00DD13BF" w:rsidP="00355A56">
            <w:pPr>
              <w:pStyle w:val="TableParagraph"/>
              <w:ind w:left="948"/>
            </w:pPr>
            <w:r>
              <w:t>Specific objective</w:t>
            </w:r>
          </w:p>
        </w:tc>
        <w:tc>
          <w:tcPr>
            <w:tcW w:w="1161" w:type="dxa"/>
          </w:tcPr>
          <w:p w14:paraId="5D9E8BF6" w14:textId="77777777" w:rsidR="00DD13BF" w:rsidRDefault="00DD13BF" w:rsidP="00355A56">
            <w:pPr>
              <w:pStyle w:val="TableParagraph"/>
              <w:ind w:left="334"/>
            </w:pPr>
            <w:r>
              <w:t>Code</w:t>
            </w:r>
          </w:p>
        </w:tc>
        <w:tc>
          <w:tcPr>
            <w:tcW w:w="2731" w:type="dxa"/>
          </w:tcPr>
          <w:p w14:paraId="266C4678" w14:textId="77777777" w:rsidR="00DD13BF" w:rsidRDefault="00DD13BF" w:rsidP="00355A56">
            <w:pPr>
              <w:pStyle w:val="TableParagraph"/>
              <w:ind w:left="661"/>
            </w:pPr>
            <w:r>
              <w:t>Amount (in EUR)</w:t>
            </w:r>
          </w:p>
        </w:tc>
      </w:tr>
      <w:tr w:rsidR="00DD13BF" w14:paraId="62C7E7EB" w14:textId="77777777" w:rsidTr="00355A56">
        <w:trPr>
          <w:trHeight w:val="353"/>
        </w:trPr>
        <w:tc>
          <w:tcPr>
            <w:tcW w:w="2088" w:type="dxa"/>
          </w:tcPr>
          <w:p w14:paraId="590AFFC3" w14:textId="77777777" w:rsidR="00DD13BF" w:rsidRDefault="00DD13BF" w:rsidP="00355A56">
            <w:pPr>
              <w:pStyle w:val="TableParagraph"/>
              <w:rPr>
                <w:sz w:val="20"/>
              </w:rPr>
            </w:pPr>
            <w:r>
              <w:rPr>
                <w:sz w:val="20"/>
              </w:rPr>
              <w:t>9</w:t>
            </w:r>
          </w:p>
        </w:tc>
        <w:tc>
          <w:tcPr>
            <w:tcW w:w="1133" w:type="dxa"/>
          </w:tcPr>
          <w:p w14:paraId="1602AEA3" w14:textId="77777777" w:rsidR="00DD13BF" w:rsidRDefault="00DD13BF" w:rsidP="00355A56">
            <w:pPr>
              <w:pStyle w:val="TableParagraph"/>
              <w:rPr>
                <w:sz w:val="20"/>
              </w:rPr>
            </w:pPr>
            <w:r>
              <w:rPr>
                <w:sz w:val="20"/>
              </w:rPr>
              <w:t>ERDF</w:t>
            </w:r>
          </w:p>
        </w:tc>
        <w:tc>
          <w:tcPr>
            <w:tcW w:w="3249" w:type="dxa"/>
          </w:tcPr>
          <w:p w14:paraId="7FF27209" w14:textId="77777777" w:rsidR="00DD13BF" w:rsidRDefault="00DD13BF" w:rsidP="00355A56">
            <w:pPr>
              <w:pStyle w:val="TableParagraph"/>
              <w:rPr>
                <w:sz w:val="20"/>
              </w:rPr>
            </w:pPr>
            <w:r>
              <w:rPr>
                <w:sz w:val="20"/>
              </w:rPr>
              <w:t>Less developed</w:t>
            </w:r>
          </w:p>
          <w:p w14:paraId="130DC6C6" w14:textId="77777777" w:rsidR="00DD13BF" w:rsidRDefault="00DD13BF" w:rsidP="00355A56">
            <w:pPr>
              <w:pStyle w:val="TableParagraph"/>
              <w:rPr>
                <w:sz w:val="20"/>
              </w:rPr>
            </w:pPr>
          </w:p>
        </w:tc>
        <w:tc>
          <w:tcPr>
            <w:tcW w:w="3099" w:type="dxa"/>
          </w:tcPr>
          <w:p w14:paraId="128F4504" w14:textId="77777777" w:rsidR="00DD13BF" w:rsidRDefault="00DD13BF" w:rsidP="00355A56">
            <w:pPr>
              <w:pStyle w:val="TableParagraph"/>
              <w:rPr>
                <w:sz w:val="20"/>
              </w:rPr>
            </w:pPr>
            <w:r>
              <w:rPr>
                <w:color w:val="000000"/>
                <w:sz w:val="20"/>
              </w:rPr>
              <w:t>RSO5.1</w:t>
            </w:r>
          </w:p>
        </w:tc>
        <w:tc>
          <w:tcPr>
            <w:tcW w:w="1161" w:type="dxa"/>
          </w:tcPr>
          <w:p w14:paraId="1D576EF1" w14:textId="77777777" w:rsidR="00DD13BF" w:rsidRDefault="00DD13BF" w:rsidP="00355A56">
            <w:pPr>
              <w:pStyle w:val="TableParagraph"/>
              <w:rPr>
                <w:sz w:val="20"/>
              </w:rPr>
            </w:pPr>
            <w:r>
              <w:rPr>
                <w:sz w:val="20"/>
              </w:rPr>
              <w:t>01</w:t>
            </w:r>
          </w:p>
        </w:tc>
        <w:tc>
          <w:tcPr>
            <w:tcW w:w="2731" w:type="dxa"/>
          </w:tcPr>
          <w:p w14:paraId="3E47C7C7" w14:textId="77777777" w:rsidR="00DD13BF" w:rsidRDefault="00DD13BF" w:rsidP="00355A56">
            <w:pPr>
              <w:pStyle w:val="TableParagraph"/>
              <w:rPr>
                <w:sz w:val="20"/>
              </w:rPr>
            </w:pPr>
            <w:r>
              <w:rPr>
                <w:sz w:val="20"/>
              </w:rPr>
              <w:t>38,760,000</w:t>
            </w:r>
          </w:p>
        </w:tc>
      </w:tr>
      <w:tr w:rsidR="00DD13BF" w14:paraId="7D79A7D8" w14:textId="77777777" w:rsidTr="00355A56">
        <w:trPr>
          <w:trHeight w:val="353"/>
        </w:trPr>
        <w:tc>
          <w:tcPr>
            <w:tcW w:w="2088" w:type="dxa"/>
          </w:tcPr>
          <w:p w14:paraId="2A191F47" w14:textId="77777777" w:rsidR="00DD13BF" w:rsidRDefault="00DD13BF" w:rsidP="00355A56">
            <w:pPr>
              <w:pStyle w:val="TableParagraph"/>
              <w:rPr>
                <w:sz w:val="20"/>
              </w:rPr>
            </w:pPr>
            <w:r>
              <w:rPr>
                <w:sz w:val="20"/>
              </w:rPr>
              <w:t>9</w:t>
            </w:r>
          </w:p>
        </w:tc>
        <w:tc>
          <w:tcPr>
            <w:tcW w:w="1133" w:type="dxa"/>
          </w:tcPr>
          <w:p w14:paraId="20D1B8C4" w14:textId="77777777" w:rsidR="00DD13BF" w:rsidRDefault="00DD13BF" w:rsidP="00355A56">
            <w:pPr>
              <w:pStyle w:val="TableParagraph"/>
              <w:rPr>
                <w:sz w:val="20"/>
              </w:rPr>
            </w:pPr>
            <w:r>
              <w:rPr>
                <w:sz w:val="20"/>
              </w:rPr>
              <w:t>ERDF</w:t>
            </w:r>
          </w:p>
        </w:tc>
        <w:tc>
          <w:tcPr>
            <w:tcW w:w="3249" w:type="dxa"/>
          </w:tcPr>
          <w:p w14:paraId="28AA061B" w14:textId="77777777" w:rsidR="00DD13BF" w:rsidRDefault="00DD13BF" w:rsidP="00355A56">
            <w:pPr>
              <w:pStyle w:val="TableParagraph"/>
              <w:rPr>
                <w:sz w:val="20"/>
              </w:rPr>
            </w:pPr>
            <w:r>
              <w:rPr>
                <w:sz w:val="20"/>
              </w:rPr>
              <w:t>More developed</w:t>
            </w:r>
          </w:p>
          <w:p w14:paraId="1DB8F78D" w14:textId="77777777" w:rsidR="00DD13BF" w:rsidRDefault="00DD13BF" w:rsidP="00355A56">
            <w:pPr>
              <w:pStyle w:val="TableParagraph"/>
              <w:rPr>
                <w:sz w:val="20"/>
              </w:rPr>
            </w:pPr>
          </w:p>
        </w:tc>
        <w:tc>
          <w:tcPr>
            <w:tcW w:w="3099" w:type="dxa"/>
          </w:tcPr>
          <w:p w14:paraId="5BFDA979" w14:textId="77777777" w:rsidR="00DD13BF" w:rsidRDefault="00DD13BF" w:rsidP="00355A56">
            <w:pPr>
              <w:pStyle w:val="TableParagraph"/>
              <w:rPr>
                <w:sz w:val="20"/>
              </w:rPr>
            </w:pPr>
            <w:r>
              <w:rPr>
                <w:color w:val="000000"/>
                <w:sz w:val="20"/>
              </w:rPr>
              <w:t>RSO5.1</w:t>
            </w:r>
          </w:p>
        </w:tc>
        <w:tc>
          <w:tcPr>
            <w:tcW w:w="1161" w:type="dxa"/>
          </w:tcPr>
          <w:p w14:paraId="2D5B6B36" w14:textId="77777777" w:rsidR="00DD13BF" w:rsidRDefault="00DD13BF" w:rsidP="00355A56">
            <w:pPr>
              <w:pStyle w:val="TableParagraph"/>
              <w:rPr>
                <w:sz w:val="20"/>
              </w:rPr>
            </w:pPr>
            <w:r>
              <w:rPr>
                <w:sz w:val="20"/>
              </w:rPr>
              <w:t>01</w:t>
            </w:r>
          </w:p>
        </w:tc>
        <w:tc>
          <w:tcPr>
            <w:tcW w:w="2731" w:type="dxa"/>
          </w:tcPr>
          <w:p w14:paraId="272CD1CF" w14:textId="77777777" w:rsidR="00DD13BF" w:rsidRDefault="00DD13BF" w:rsidP="00355A56">
            <w:pPr>
              <w:pStyle w:val="TableParagraph"/>
              <w:rPr>
                <w:sz w:val="20"/>
              </w:rPr>
            </w:pPr>
            <w:r>
              <w:rPr>
                <w:sz w:val="20"/>
              </w:rPr>
              <w:t>10,330,000</w:t>
            </w:r>
          </w:p>
        </w:tc>
      </w:tr>
      <w:tr w:rsidR="00DD13BF" w14:paraId="4515B684" w14:textId="77777777" w:rsidTr="00355A56">
        <w:trPr>
          <w:trHeight w:val="353"/>
        </w:trPr>
        <w:tc>
          <w:tcPr>
            <w:tcW w:w="2088" w:type="dxa"/>
          </w:tcPr>
          <w:p w14:paraId="3F290BC5" w14:textId="77777777" w:rsidR="00DD13BF" w:rsidRDefault="00DD13BF" w:rsidP="00355A56">
            <w:pPr>
              <w:pStyle w:val="TableParagraph"/>
              <w:rPr>
                <w:sz w:val="20"/>
              </w:rPr>
            </w:pPr>
            <w:r>
              <w:rPr>
                <w:sz w:val="20"/>
              </w:rPr>
              <w:t>9</w:t>
            </w:r>
          </w:p>
        </w:tc>
        <w:tc>
          <w:tcPr>
            <w:tcW w:w="1133" w:type="dxa"/>
          </w:tcPr>
          <w:p w14:paraId="24B5599D" w14:textId="77777777" w:rsidR="00DD13BF" w:rsidRDefault="00DD13BF" w:rsidP="00355A56">
            <w:pPr>
              <w:pStyle w:val="TableParagraph"/>
              <w:rPr>
                <w:sz w:val="20"/>
              </w:rPr>
            </w:pPr>
            <w:r>
              <w:rPr>
                <w:sz w:val="20"/>
              </w:rPr>
              <w:t>ERDF</w:t>
            </w:r>
          </w:p>
        </w:tc>
        <w:tc>
          <w:tcPr>
            <w:tcW w:w="3249" w:type="dxa"/>
          </w:tcPr>
          <w:p w14:paraId="5C3B95BB" w14:textId="77777777" w:rsidR="00DD13BF" w:rsidRDefault="00DD13BF" w:rsidP="00355A56">
            <w:pPr>
              <w:pStyle w:val="TableParagraph"/>
              <w:rPr>
                <w:sz w:val="20"/>
              </w:rPr>
            </w:pPr>
            <w:r>
              <w:rPr>
                <w:sz w:val="20"/>
              </w:rPr>
              <w:t>Less developed</w:t>
            </w:r>
          </w:p>
          <w:p w14:paraId="74EBFB86" w14:textId="77777777" w:rsidR="00DD13BF" w:rsidRDefault="00DD13BF" w:rsidP="00355A56">
            <w:pPr>
              <w:pStyle w:val="TableParagraph"/>
              <w:rPr>
                <w:sz w:val="20"/>
              </w:rPr>
            </w:pPr>
          </w:p>
        </w:tc>
        <w:tc>
          <w:tcPr>
            <w:tcW w:w="3099" w:type="dxa"/>
          </w:tcPr>
          <w:p w14:paraId="1C1D46A8" w14:textId="77777777" w:rsidR="00DD13BF" w:rsidRDefault="00DD13BF" w:rsidP="00355A56">
            <w:pPr>
              <w:pStyle w:val="TableParagraph"/>
              <w:rPr>
                <w:sz w:val="20"/>
              </w:rPr>
            </w:pPr>
            <w:r>
              <w:rPr>
                <w:color w:val="000000"/>
                <w:sz w:val="20"/>
              </w:rPr>
              <w:t>RSO5.1</w:t>
            </w:r>
          </w:p>
        </w:tc>
        <w:tc>
          <w:tcPr>
            <w:tcW w:w="1161" w:type="dxa"/>
          </w:tcPr>
          <w:p w14:paraId="2A2C61FD" w14:textId="77777777" w:rsidR="00DD13BF" w:rsidRDefault="00DD13BF" w:rsidP="00355A56">
            <w:pPr>
              <w:pStyle w:val="TableParagraph"/>
              <w:rPr>
                <w:sz w:val="20"/>
              </w:rPr>
            </w:pPr>
            <w:r>
              <w:rPr>
                <w:sz w:val="20"/>
              </w:rPr>
              <w:t>03</w:t>
            </w:r>
          </w:p>
        </w:tc>
        <w:tc>
          <w:tcPr>
            <w:tcW w:w="2731" w:type="dxa"/>
          </w:tcPr>
          <w:p w14:paraId="03B80147" w14:textId="77777777" w:rsidR="00DD13BF" w:rsidRDefault="00DD13BF" w:rsidP="00355A56">
            <w:pPr>
              <w:pStyle w:val="TableParagraph"/>
              <w:rPr>
                <w:sz w:val="20"/>
              </w:rPr>
            </w:pPr>
            <w:r>
              <w:rPr>
                <w:sz w:val="20"/>
              </w:rPr>
              <w:t>6,000,000</w:t>
            </w:r>
          </w:p>
        </w:tc>
      </w:tr>
      <w:tr w:rsidR="00DD13BF" w14:paraId="5B118CA9" w14:textId="77777777" w:rsidTr="00355A56">
        <w:trPr>
          <w:trHeight w:val="353"/>
        </w:trPr>
        <w:tc>
          <w:tcPr>
            <w:tcW w:w="2088" w:type="dxa"/>
          </w:tcPr>
          <w:p w14:paraId="6D07C8DB" w14:textId="77777777" w:rsidR="00DD13BF" w:rsidRDefault="00DD13BF" w:rsidP="00355A56">
            <w:pPr>
              <w:pStyle w:val="TableParagraph"/>
              <w:rPr>
                <w:sz w:val="20"/>
              </w:rPr>
            </w:pPr>
            <w:r>
              <w:rPr>
                <w:sz w:val="20"/>
              </w:rPr>
              <w:t>9</w:t>
            </w:r>
          </w:p>
        </w:tc>
        <w:tc>
          <w:tcPr>
            <w:tcW w:w="1133" w:type="dxa"/>
          </w:tcPr>
          <w:p w14:paraId="5EB170C5" w14:textId="77777777" w:rsidR="00DD13BF" w:rsidRDefault="00DD13BF" w:rsidP="00355A56">
            <w:pPr>
              <w:pStyle w:val="TableParagraph"/>
              <w:rPr>
                <w:sz w:val="20"/>
              </w:rPr>
            </w:pPr>
            <w:r>
              <w:rPr>
                <w:sz w:val="20"/>
              </w:rPr>
              <w:t>ERDF</w:t>
            </w:r>
          </w:p>
        </w:tc>
        <w:tc>
          <w:tcPr>
            <w:tcW w:w="3249" w:type="dxa"/>
          </w:tcPr>
          <w:p w14:paraId="58400F1B" w14:textId="77777777" w:rsidR="00DD13BF" w:rsidRDefault="00DD13BF" w:rsidP="00355A56">
            <w:pPr>
              <w:pStyle w:val="TableParagraph"/>
              <w:rPr>
                <w:sz w:val="20"/>
              </w:rPr>
            </w:pPr>
            <w:r>
              <w:rPr>
                <w:sz w:val="20"/>
              </w:rPr>
              <w:t>More developed</w:t>
            </w:r>
          </w:p>
          <w:p w14:paraId="2C905AF9" w14:textId="77777777" w:rsidR="00DD13BF" w:rsidRDefault="00DD13BF" w:rsidP="00355A56">
            <w:pPr>
              <w:pStyle w:val="TableParagraph"/>
              <w:rPr>
                <w:sz w:val="20"/>
              </w:rPr>
            </w:pPr>
          </w:p>
        </w:tc>
        <w:tc>
          <w:tcPr>
            <w:tcW w:w="3099" w:type="dxa"/>
          </w:tcPr>
          <w:p w14:paraId="38FEC5F8" w14:textId="77777777" w:rsidR="00DD13BF" w:rsidRDefault="00DD13BF" w:rsidP="00355A56">
            <w:pPr>
              <w:pStyle w:val="TableParagraph"/>
              <w:rPr>
                <w:sz w:val="20"/>
              </w:rPr>
            </w:pPr>
            <w:r>
              <w:rPr>
                <w:color w:val="000000"/>
                <w:sz w:val="20"/>
              </w:rPr>
              <w:t>RSO5.1</w:t>
            </w:r>
          </w:p>
        </w:tc>
        <w:tc>
          <w:tcPr>
            <w:tcW w:w="1161" w:type="dxa"/>
          </w:tcPr>
          <w:p w14:paraId="20FD87D3" w14:textId="77777777" w:rsidR="00DD13BF" w:rsidRDefault="00DD13BF" w:rsidP="00355A56">
            <w:pPr>
              <w:pStyle w:val="TableParagraph"/>
              <w:rPr>
                <w:sz w:val="20"/>
              </w:rPr>
            </w:pPr>
            <w:r>
              <w:rPr>
                <w:sz w:val="20"/>
              </w:rPr>
              <w:t>03</w:t>
            </w:r>
          </w:p>
        </w:tc>
        <w:tc>
          <w:tcPr>
            <w:tcW w:w="2731" w:type="dxa"/>
          </w:tcPr>
          <w:p w14:paraId="39505D21" w14:textId="77777777" w:rsidR="00DD13BF" w:rsidRDefault="00DD13BF" w:rsidP="00355A56">
            <w:pPr>
              <w:pStyle w:val="TableParagraph"/>
              <w:rPr>
                <w:sz w:val="20"/>
              </w:rPr>
            </w:pPr>
            <w:r>
              <w:rPr>
                <w:sz w:val="20"/>
              </w:rPr>
              <w:t>2,000,000</w:t>
            </w:r>
          </w:p>
        </w:tc>
      </w:tr>
    </w:tbl>
    <w:p w14:paraId="4B4E08C9" w14:textId="77777777" w:rsidR="00DD13BF" w:rsidRDefault="00DD13BF" w:rsidP="00DD13BF">
      <w:pPr>
        <w:rPr>
          <w:sz w:val="20"/>
        </w:rPr>
        <w:sectPr w:rsidR="00DD13BF" w:rsidSect="00BD3536">
          <w:headerReference w:type="default" r:id="rId93"/>
          <w:footerReference w:type="first" r:id="rId94"/>
          <w:type w:val="continuous"/>
          <w:pgSz w:w="16840" w:h="11910" w:orient="landscape"/>
          <w:pgMar w:top="1417" w:right="1417" w:bottom="1417" w:left="1417" w:header="708" w:footer="708" w:gutter="0"/>
          <w:cols w:space="708"/>
          <w:titlePg/>
          <w:docGrid w:linePitch="299"/>
        </w:sectPr>
      </w:pPr>
    </w:p>
    <w:p w14:paraId="0BB3D540" w14:textId="77777777" w:rsidR="00DD13BF" w:rsidRDefault="00DD13BF" w:rsidP="00DD13BF">
      <w:pPr>
        <w:ind w:left="339"/>
        <w:rPr>
          <w:spacing w:val="-7"/>
        </w:rPr>
      </w:pPr>
    </w:p>
    <w:p w14:paraId="0D089DA5" w14:textId="77777777" w:rsidR="00DD13BF" w:rsidRDefault="00DD13BF" w:rsidP="00DD13BF">
      <w:pPr>
        <w:ind w:left="339"/>
      </w:pPr>
      <w:r>
        <w:t>Table 6: Dimension 3 – territorial delivery mechanism and territorial focus</w:t>
      </w:r>
    </w:p>
    <w:p w14:paraId="1E94688F"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6D4F269" w14:textId="77777777" w:rsidTr="00355A56">
        <w:trPr>
          <w:trHeight w:val="353"/>
        </w:trPr>
        <w:tc>
          <w:tcPr>
            <w:tcW w:w="2088" w:type="dxa"/>
          </w:tcPr>
          <w:p w14:paraId="3E7BF078" w14:textId="77777777" w:rsidR="00DD13BF" w:rsidRDefault="00DD13BF" w:rsidP="00355A56">
            <w:pPr>
              <w:pStyle w:val="TableParagraph"/>
              <w:ind w:left="115"/>
            </w:pPr>
            <w:r>
              <w:lastRenderedPageBreak/>
              <w:t>Priority no.</w:t>
            </w:r>
          </w:p>
        </w:tc>
        <w:tc>
          <w:tcPr>
            <w:tcW w:w="1132" w:type="dxa"/>
          </w:tcPr>
          <w:p w14:paraId="33C5001D" w14:textId="77777777" w:rsidR="00DD13BF" w:rsidRDefault="00DD13BF" w:rsidP="00355A56">
            <w:pPr>
              <w:pStyle w:val="TableParagraph"/>
              <w:ind w:left="320"/>
            </w:pPr>
            <w:r>
              <w:t>Fund</w:t>
            </w:r>
          </w:p>
        </w:tc>
        <w:tc>
          <w:tcPr>
            <w:tcW w:w="3248" w:type="dxa"/>
          </w:tcPr>
          <w:p w14:paraId="27A22E2E" w14:textId="77777777" w:rsidR="00DD13BF" w:rsidRDefault="00DD13BF" w:rsidP="00355A56">
            <w:pPr>
              <w:pStyle w:val="TableParagraph"/>
              <w:ind w:left="908"/>
            </w:pPr>
            <w:r>
              <w:t>Category of region</w:t>
            </w:r>
          </w:p>
        </w:tc>
        <w:tc>
          <w:tcPr>
            <w:tcW w:w="3098" w:type="dxa"/>
          </w:tcPr>
          <w:p w14:paraId="13D265CB" w14:textId="77777777" w:rsidR="00DD13BF" w:rsidRDefault="00DD13BF" w:rsidP="00355A56">
            <w:pPr>
              <w:pStyle w:val="TableParagraph"/>
              <w:ind w:left="950"/>
            </w:pPr>
            <w:r>
              <w:t>Specific objective</w:t>
            </w:r>
          </w:p>
        </w:tc>
        <w:tc>
          <w:tcPr>
            <w:tcW w:w="1160" w:type="dxa"/>
          </w:tcPr>
          <w:p w14:paraId="0997D060" w14:textId="77777777" w:rsidR="00DD13BF" w:rsidRDefault="00DD13BF" w:rsidP="00355A56">
            <w:pPr>
              <w:pStyle w:val="TableParagraph"/>
              <w:ind w:left="336"/>
            </w:pPr>
            <w:r>
              <w:t>Code</w:t>
            </w:r>
          </w:p>
        </w:tc>
        <w:tc>
          <w:tcPr>
            <w:tcW w:w="2730" w:type="dxa"/>
          </w:tcPr>
          <w:p w14:paraId="2021AC1F" w14:textId="77777777" w:rsidR="00DD13BF" w:rsidRDefault="00DD13BF" w:rsidP="00355A56">
            <w:pPr>
              <w:pStyle w:val="TableParagraph"/>
              <w:ind w:left="664"/>
            </w:pPr>
            <w:r>
              <w:t>Amount (in EUR)</w:t>
            </w:r>
          </w:p>
        </w:tc>
      </w:tr>
      <w:tr w:rsidR="00DD13BF" w14:paraId="5E32C222" w14:textId="77777777" w:rsidTr="00355A56">
        <w:trPr>
          <w:trHeight w:val="353"/>
        </w:trPr>
        <w:tc>
          <w:tcPr>
            <w:tcW w:w="2088" w:type="dxa"/>
          </w:tcPr>
          <w:p w14:paraId="7264751E" w14:textId="77777777" w:rsidR="00DD13BF" w:rsidRDefault="00DD13BF" w:rsidP="00355A56">
            <w:pPr>
              <w:pStyle w:val="TableParagraph"/>
              <w:rPr>
                <w:sz w:val="20"/>
              </w:rPr>
            </w:pPr>
            <w:r>
              <w:rPr>
                <w:sz w:val="20"/>
              </w:rPr>
              <w:t>9</w:t>
            </w:r>
          </w:p>
        </w:tc>
        <w:tc>
          <w:tcPr>
            <w:tcW w:w="1132" w:type="dxa"/>
          </w:tcPr>
          <w:p w14:paraId="12EDEAF9" w14:textId="77777777" w:rsidR="00DD13BF" w:rsidRDefault="00DD13BF" w:rsidP="00355A56">
            <w:pPr>
              <w:pStyle w:val="TableParagraph"/>
              <w:rPr>
                <w:sz w:val="20"/>
              </w:rPr>
            </w:pPr>
            <w:r>
              <w:rPr>
                <w:sz w:val="20"/>
              </w:rPr>
              <w:t>ERDF</w:t>
            </w:r>
          </w:p>
        </w:tc>
        <w:tc>
          <w:tcPr>
            <w:tcW w:w="3248" w:type="dxa"/>
          </w:tcPr>
          <w:p w14:paraId="4C5C1BA9" w14:textId="77777777" w:rsidR="00DD13BF" w:rsidRDefault="00DD13BF" w:rsidP="00355A56">
            <w:pPr>
              <w:pStyle w:val="TableParagraph"/>
              <w:rPr>
                <w:sz w:val="20"/>
              </w:rPr>
            </w:pPr>
            <w:r>
              <w:rPr>
                <w:sz w:val="20"/>
              </w:rPr>
              <w:t>More developed</w:t>
            </w:r>
          </w:p>
          <w:p w14:paraId="049E0DFF" w14:textId="77777777" w:rsidR="00DD13BF" w:rsidRDefault="00DD13BF" w:rsidP="00355A56">
            <w:pPr>
              <w:pStyle w:val="TableParagraph"/>
              <w:rPr>
                <w:sz w:val="20"/>
              </w:rPr>
            </w:pPr>
          </w:p>
        </w:tc>
        <w:tc>
          <w:tcPr>
            <w:tcW w:w="3098" w:type="dxa"/>
          </w:tcPr>
          <w:p w14:paraId="3E8B9CD2" w14:textId="77777777" w:rsidR="00DD13BF" w:rsidRDefault="00DD13BF" w:rsidP="00355A56">
            <w:pPr>
              <w:pStyle w:val="TableParagraph"/>
              <w:rPr>
                <w:sz w:val="20"/>
              </w:rPr>
            </w:pPr>
            <w:r>
              <w:rPr>
                <w:color w:val="000000"/>
                <w:sz w:val="20"/>
              </w:rPr>
              <w:t>RSO5.1</w:t>
            </w:r>
          </w:p>
        </w:tc>
        <w:tc>
          <w:tcPr>
            <w:tcW w:w="1160" w:type="dxa"/>
          </w:tcPr>
          <w:p w14:paraId="0D0BEC13" w14:textId="77777777" w:rsidR="00DD13BF" w:rsidRPr="000F45E1" w:rsidRDefault="00DD13BF" w:rsidP="00355A56">
            <w:pPr>
              <w:pStyle w:val="TableParagraph"/>
              <w:rPr>
                <w:sz w:val="20"/>
              </w:rPr>
            </w:pPr>
            <w:r>
              <w:rPr>
                <w:sz w:val="20"/>
              </w:rPr>
              <w:t>01</w:t>
            </w:r>
          </w:p>
        </w:tc>
        <w:tc>
          <w:tcPr>
            <w:tcW w:w="2730" w:type="dxa"/>
          </w:tcPr>
          <w:p w14:paraId="1D6C48D5" w14:textId="77777777" w:rsidR="00DD13BF" w:rsidRDefault="00DD13BF" w:rsidP="00355A56">
            <w:pPr>
              <w:pStyle w:val="TableParagraph"/>
              <w:rPr>
                <w:sz w:val="20"/>
              </w:rPr>
            </w:pPr>
            <w:r>
              <w:rPr>
                <w:sz w:val="20"/>
              </w:rPr>
              <w:t>4,000,000</w:t>
            </w:r>
          </w:p>
        </w:tc>
      </w:tr>
      <w:tr w:rsidR="00DD13BF" w14:paraId="2C090EE5" w14:textId="77777777" w:rsidTr="00355A56">
        <w:trPr>
          <w:trHeight w:val="353"/>
        </w:trPr>
        <w:tc>
          <w:tcPr>
            <w:tcW w:w="2088" w:type="dxa"/>
          </w:tcPr>
          <w:p w14:paraId="5C4E7960" w14:textId="77777777" w:rsidR="00DD13BF" w:rsidRDefault="00DD13BF" w:rsidP="00355A56">
            <w:pPr>
              <w:pStyle w:val="TableParagraph"/>
              <w:rPr>
                <w:sz w:val="20"/>
              </w:rPr>
            </w:pPr>
            <w:r>
              <w:rPr>
                <w:sz w:val="20"/>
              </w:rPr>
              <w:t>9</w:t>
            </w:r>
          </w:p>
        </w:tc>
        <w:tc>
          <w:tcPr>
            <w:tcW w:w="1132" w:type="dxa"/>
          </w:tcPr>
          <w:p w14:paraId="49934EB6" w14:textId="77777777" w:rsidR="00DD13BF" w:rsidRDefault="00DD13BF" w:rsidP="00355A56">
            <w:pPr>
              <w:pStyle w:val="TableParagraph"/>
              <w:rPr>
                <w:sz w:val="20"/>
              </w:rPr>
            </w:pPr>
            <w:r>
              <w:rPr>
                <w:sz w:val="20"/>
              </w:rPr>
              <w:t>ERDF</w:t>
            </w:r>
          </w:p>
        </w:tc>
        <w:tc>
          <w:tcPr>
            <w:tcW w:w="3248" w:type="dxa"/>
          </w:tcPr>
          <w:p w14:paraId="333F791B" w14:textId="77777777" w:rsidR="00DD13BF" w:rsidRDefault="00DD13BF" w:rsidP="00355A56">
            <w:pPr>
              <w:pStyle w:val="TableParagraph"/>
              <w:rPr>
                <w:sz w:val="20"/>
              </w:rPr>
            </w:pPr>
            <w:r>
              <w:rPr>
                <w:sz w:val="20"/>
              </w:rPr>
              <w:t>Less developed</w:t>
            </w:r>
          </w:p>
          <w:p w14:paraId="2515C43F" w14:textId="77777777" w:rsidR="00DD13BF" w:rsidRDefault="00DD13BF" w:rsidP="00355A56">
            <w:pPr>
              <w:pStyle w:val="TableParagraph"/>
              <w:rPr>
                <w:sz w:val="20"/>
              </w:rPr>
            </w:pPr>
          </w:p>
        </w:tc>
        <w:tc>
          <w:tcPr>
            <w:tcW w:w="3098" w:type="dxa"/>
          </w:tcPr>
          <w:p w14:paraId="4F166AA5" w14:textId="77777777" w:rsidR="00DD13BF" w:rsidRDefault="00DD13BF" w:rsidP="00355A56">
            <w:pPr>
              <w:pStyle w:val="TableParagraph"/>
              <w:rPr>
                <w:sz w:val="20"/>
              </w:rPr>
            </w:pPr>
            <w:r>
              <w:rPr>
                <w:color w:val="000000"/>
                <w:sz w:val="20"/>
              </w:rPr>
              <w:t>RSO5.1</w:t>
            </w:r>
          </w:p>
        </w:tc>
        <w:tc>
          <w:tcPr>
            <w:tcW w:w="1160" w:type="dxa"/>
          </w:tcPr>
          <w:p w14:paraId="2A0619E7" w14:textId="77777777" w:rsidR="00DD13BF" w:rsidRPr="000F45E1" w:rsidRDefault="00DD13BF" w:rsidP="00355A56">
            <w:pPr>
              <w:pStyle w:val="TableParagraph"/>
              <w:rPr>
                <w:sz w:val="20"/>
              </w:rPr>
            </w:pPr>
            <w:r>
              <w:rPr>
                <w:sz w:val="20"/>
              </w:rPr>
              <w:t>02</w:t>
            </w:r>
          </w:p>
        </w:tc>
        <w:tc>
          <w:tcPr>
            <w:tcW w:w="2730" w:type="dxa"/>
          </w:tcPr>
          <w:p w14:paraId="471C8437" w14:textId="77777777" w:rsidR="00DD13BF" w:rsidRDefault="00DD13BF" w:rsidP="00355A56">
            <w:pPr>
              <w:pStyle w:val="TableParagraph"/>
              <w:rPr>
                <w:sz w:val="20"/>
              </w:rPr>
            </w:pPr>
            <w:r>
              <w:rPr>
                <w:sz w:val="20"/>
              </w:rPr>
              <w:t>44,760,000</w:t>
            </w:r>
          </w:p>
        </w:tc>
      </w:tr>
      <w:tr w:rsidR="00DD13BF" w14:paraId="4363B705" w14:textId="77777777" w:rsidTr="00355A56">
        <w:trPr>
          <w:trHeight w:val="353"/>
        </w:trPr>
        <w:tc>
          <w:tcPr>
            <w:tcW w:w="2088" w:type="dxa"/>
          </w:tcPr>
          <w:p w14:paraId="728D23A8" w14:textId="77777777" w:rsidR="00DD13BF" w:rsidRDefault="00DD13BF" w:rsidP="00355A56">
            <w:pPr>
              <w:pStyle w:val="TableParagraph"/>
              <w:rPr>
                <w:sz w:val="20"/>
              </w:rPr>
            </w:pPr>
            <w:r>
              <w:rPr>
                <w:sz w:val="20"/>
              </w:rPr>
              <w:t>9</w:t>
            </w:r>
          </w:p>
        </w:tc>
        <w:tc>
          <w:tcPr>
            <w:tcW w:w="1132" w:type="dxa"/>
          </w:tcPr>
          <w:p w14:paraId="2B9DD447" w14:textId="77777777" w:rsidR="00DD13BF" w:rsidRDefault="00DD13BF" w:rsidP="00355A56">
            <w:pPr>
              <w:pStyle w:val="TableParagraph"/>
              <w:rPr>
                <w:sz w:val="20"/>
              </w:rPr>
            </w:pPr>
            <w:r>
              <w:rPr>
                <w:sz w:val="20"/>
              </w:rPr>
              <w:t>ERDF</w:t>
            </w:r>
          </w:p>
        </w:tc>
        <w:tc>
          <w:tcPr>
            <w:tcW w:w="3248" w:type="dxa"/>
          </w:tcPr>
          <w:p w14:paraId="60E55F2A" w14:textId="77777777" w:rsidR="00DD13BF" w:rsidRDefault="00DD13BF" w:rsidP="00355A56">
            <w:pPr>
              <w:pStyle w:val="TableParagraph"/>
              <w:rPr>
                <w:sz w:val="20"/>
              </w:rPr>
            </w:pPr>
            <w:r>
              <w:rPr>
                <w:sz w:val="20"/>
              </w:rPr>
              <w:t>More developed</w:t>
            </w:r>
          </w:p>
          <w:p w14:paraId="5A80B103" w14:textId="77777777" w:rsidR="00DD13BF" w:rsidRDefault="00DD13BF" w:rsidP="00355A56">
            <w:pPr>
              <w:pStyle w:val="TableParagraph"/>
              <w:rPr>
                <w:sz w:val="20"/>
              </w:rPr>
            </w:pPr>
          </w:p>
        </w:tc>
        <w:tc>
          <w:tcPr>
            <w:tcW w:w="3098" w:type="dxa"/>
          </w:tcPr>
          <w:p w14:paraId="1613A95E" w14:textId="77777777" w:rsidR="00DD13BF" w:rsidRDefault="00DD13BF" w:rsidP="00355A56">
            <w:pPr>
              <w:pStyle w:val="TableParagraph"/>
              <w:rPr>
                <w:sz w:val="20"/>
              </w:rPr>
            </w:pPr>
            <w:r>
              <w:rPr>
                <w:color w:val="000000"/>
                <w:sz w:val="20"/>
              </w:rPr>
              <w:t>RSO5.1</w:t>
            </w:r>
          </w:p>
        </w:tc>
        <w:tc>
          <w:tcPr>
            <w:tcW w:w="1160" w:type="dxa"/>
          </w:tcPr>
          <w:p w14:paraId="0B55367F" w14:textId="77777777" w:rsidR="00DD13BF" w:rsidRPr="000F45E1" w:rsidRDefault="00DD13BF" w:rsidP="00355A56">
            <w:pPr>
              <w:pStyle w:val="TableParagraph"/>
              <w:rPr>
                <w:sz w:val="20"/>
              </w:rPr>
            </w:pPr>
            <w:r>
              <w:rPr>
                <w:sz w:val="20"/>
              </w:rPr>
              <w:t>02</w:t>
            </w:r>
          </w:p>
        </w:tc>
        <w:tc>
          <w:tcPr>
            <w:tcW w:w="2730" w:type="dxa"/>
          </w:tcPr>
          <w:p w14:paraId="5F185437" w14:textId="77777777" w:rsidR="00DD13BF" w:rsidRDefault="00DD13BF" w:rsidP="00355A56">
            <w:pPr>
              <w:pStyle w:val="TableParagraph"/>
              <w:rPr>
                <w:sz w:val="20"/>
              </w:rPr>
            </w:pPr>
            <w:r>
              <w:rPr>
                <w:sz w:val="20"/>
              </w:rPr>
              <w:t>8,330,000</w:t>
            </w:r>
          </w:p>
        </w:tc>
      </w:tr>
    </w:tbl>
    <w:p w14:paraId="63710A04" w14:textId="77777777" w:rsidR="00DD13BF" w:rsidRDefault="00DD13BF" w:rsidP="00DD13BF"/>
    <w:p w14:paraId="029A1512" w14:textId="77777777" w:rsidR="00DD13BF" w:rsidRDefault="00DD13BF" w:rsidP="00DD13BF">
      <w:pPr>
        <w:ind w:left="339"/>
      </w:pPr>
      <w:r>
        <w:t>Table 7: Dimension 6 – ESF+ secondary themes</w:t>
      </w:r>
    </w:p>
    <w:p w14:paraId="6C27104E"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60EE3E75" w14:textId="77777777" w:rsidTr="00355A56">
        <w:trPr>
          <w:trHeight w:val="353"/>
        </w:trPr>
        <w:tc>
          <w:tcPr>
            <w:tcW w:w="2088" w:type="dxa"/>
          </w:tcPr>
          <w:p w14:paraId="31A96618" w14:textId="77777777" w:rsidR="00DD13BF" w:rsidRDefault="00DD13BF" w:rsidP="00355A56">
            <w:pPr>
              <w:pStyle w:val="TableParagraph"/>
              <w:ind w:left="115"/>
            </w:pPr>
            <w:r>
              <w:t>Priority no.</w:t>
            </w:r>
          </w:p>
        </w:tc>
        <w:tc>
          <w:tcPr>
            <w:tcW w:w="1132" w:type="dxa"/>
          </w:tcPr>
          <w:p w14:paraId="4ABE6489" w14:textId="77777777" w:rsidR="00DD13BF" w:rsidRDefault="00DD13BF" w:rsidP="00355A56">
            <w:pPr>
              <w:pStyle w:val="TableParagraph"/>
              <w:ind w:left="321"/>
            </w:pPr>
            <w:r>
              <w:t>Fund</w:t>
            </w:r>
          </w:p>
        </w:tc>
        <w:tc>
          <w:tcPr>
            <w:tcW w:w="3248" w:type="dxa"/>
          </w:tcPr>
          <w:p w14:paraId="0523AFFE" w14:textId="77777777" w:rsidR="00DD13BF" w:rsidRDefault="00DD13BF" w:rsidP="00355A56">
            <w:pPr>
              <w:pStyle w:val="TableParagraph"/>
              <w:ind w:left="909"/>
            </w:pPr>
            <w:r>
              <w:t>Category of region</w:t>
            </w:r>
          </w:p>
        </w:tc>
        <w:tc>
          <w:tcPr>
            <w:tcW w:w="3098" w:type="dxa"/>
          </w:tcPr>
          <w:p w14:paraId="45235D0B" w14:textId="77777777" w:rsidR="00DD13BF" w:rsidRDefault="00DD13BF" w:rsidP="00355A56">
            <w:pPr>
              <w:pStyle w:val="TableParagraph"/>
              <w:ind w:left="950"/>
            </w:pPr>
            <w:r>
              <w:t>Specific objective</w:t>
            </w:r>
          </w:p>
        </w:tc>
        <w:tc>
          <w:tcPr>
            <w:tcW w:w="1160" w:type="dxa"/>
          </w:tcPr>
          <w:p w14:paraId="78B54A8E" w14:textId="77777777" w:rsidR="00DD13BF" w:rsidRDefault="00DD13BF" w:rsidP="00355A56">
            <w:pPr>
              <w:pStyle w:val="TableParagraph"/>
              <w:ind w:left="337"/>
            </w:pPr>
            <w:r>
              <w:t>Code</w:t>
            </w:r>
          </w:p>
        </w:tc>
        <w:tc>
          <w:tcPr>
            <w:tcW w:w="2730" w:type="dxa"/>
          </w:tcPr>
          <w:p w14:paraId="5DFA2870" w14:textId="77777777" w:rsidR="00DD13BF" w:rsidRDefault="00DD13BF" w:rsidP="00355A56">
            <w:pPr>
              <w:pStyle w:val="TableParagraph"/>
              <w:ind w:left="665"/>
            </w:pPr>
            <w:r>
              <w:t>Amount (in EUR)</w:t>
            </w:r>
          </w:p>
        </w:tc>
      </w:tr>
    </w:tbl>
    <w:p w14:paraId="2EDEEC51" w14:textId="77777777" w:rsidR="00DD13BF" w:rsidRPr="00673ADB" w:rsidRDefault="00DD13BF" w:rsidP="00DD13BF"/>
    <w:p w14:paraId="391CA2C9" w14:textId="77777777" w:rsidR="00DD13BF" w:rsidRDefault="00DD13BF" w:rsidP="00DD13BF">
      <w:pPr>
        <w:ind w:left="339"/>
      </w:pPr>
      <w:r>
        <w:t>Table 8: Dimension 7 – ESF+*, ERDF, Cohesion Fund and JTF gender equality dimension</w:t>
      </w:r>
    </w:p>
    <w:p w14:paraId="1A9DDE2D"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2D335CD8" w14:textId="77777777" w:rsidTr="00355A56">
        <w:trPr>
          <w:trHeight w:val="353"/>
        </w:trPr>
        <w:tc>
          <w:tcPr>
            <w:tcW w:w="2088" w:type="dxa"/>
          </w:tcPr>
          <w:p w14:paraId="35612011" w14:textId="77777777" w:rsidR="00DD13BF" w:rsidRDefault="00DD13BF" w:rsidP="00355A56">
            <w:pPr>
              <w:pStyle w:val="TableParagraph"/>
              <w:ind w:left="115"/>
            </w:pPr>
            <w:r>
              <w:t>Priority no.</w:t>
            </w:r>
          </w:p>
        </w:tc>
        <w:tc>
          <w:tcPr>
            <w:tcW w:w="1132" w:type="dxa"/>
          </w:tcPr>
          <w:p w14:paraId="6A17FD19" w14:textId="77777777" w:rsidR="00DD13BF" w:rsidRDefault="00DD13BF" w:rsidP="00355A56">
            <w:pPr>
              <w:pStyle w:val="TableParagraph"/>
              <w:ind w:left="320"/>
            </w:pPr>
            <w:r>
              <w:t>Fund</w:t>
            </w:r>
          </w:p>
        </w:tc>
        <w:tc>
          <w:tcPr>
            <w:tcW w:w="3248" w:type="dxa"/>
          </w:tcPr>
          <w:p w14:paraId="35558884" w14:textId="77777777" w:rsidR="00DD13BF" w:rsidRDefault="00DD13BF" w:rsidP="00355A56">
            <w:pPr>
              <w:pStyle w:val="TableParagraph"/>
              <w:ind w:left="908"/>
            </w:pPr>
            <w:r>
              <w:t>Category of region</w:t>
            </w:r>
          </w:p>
        </w:tc>
        <w:tc>
          <w:tcPr>
            <w:tcW w:w="3098" w:type="dxa"/>
          </w:tcPr>
          <w:p w14:paraId="2D630107" w14:textId="77777777" w:rsidR="00DD13BF" w:rsidRDefault="00DD13BF" w:rsidP="00355A56">
            <w:pPr>
              <w:pStyle w:val="TableParagraph"/>
              <w:ind w:left="950"/>
            </w:pPr>
            <w:r>
              <w:t>Specific objective</w:t>
            </w:r>
          </w:p>
        </w:tc>
        <w:tc>
          <w:tcPr>
            <w:tcW w:w="1160" w:type="dxa"/>
          </w:tcPr>
          <w:p w14:paraId="4A2B318C" w14:textId="77777777" w:rsidR="00DD13BF" w:rsidRPr="004E070C" w:rsidRDefault="00DD13BF" w:rsidP="00355A56">
            <w:pPr>
              <w:pStyle w:val="TableParagraph"/>
              <w:ind w:left="336"/>
              <w:rPr>
                <w:highlight w:val="yellow"/>
              </w:rPr>
            </w:pPr>
            <w:r>
              <w:t>Code</w:t>
            </w:r>
          </w:p>
        </w:tc>
        <w:tc>
          <w:tcPr>
            <w:tcW w:w="2730" w:type="dxa"/>
          </w:tcPr>
          <w:p w14:paraId="7618B70D" w14:textId="77777777" w:rsidR="00DD13BF" w:rsidRDefault="00DD13BF" w:rsidP="00355A56">
            <w:pPr>
              <w:pStyle w:val="TableParagraph"/>
              <w:ind w:left="664"/>
            </w:pPr>
            <w:r>
              <w:t>Amount (in EUR)</w:t>
            </w:r>
          </w:p>
        </w:tc>
      </w:tr>
      <w:tr w:rsidR="00DD13BF" w14:paraId="42DAE17F" w14:textId="77777777" w:rsidTr="00355A56">
        <w:trPr>
          <w:trHeight w:val="353"/>
        </w:trPr>
        <w:tc>
          <w:tcPr>
            <w:tcW w:w="2088" w:type="dxa"/>
          </w:tcPr>
          <w:p w14:paraId="267D8C55" w14:textId="77777777" w:rsidR="00DD13BF" w:rsidRDefault="00DD13BF" w:rsidP="00355A56">
            <w:pPr>
              <w:pStyle w:val="TableParagraph"/>
              <w:rPr>
                <w:sz w:val="20"/>
              </w:rPr>
            </w:pPr>
            <w:r>
              <w:rPr>
                <w:sz w:val="20"/>
              </w:rPr>
              <w:t>9</w:t>
            </w:r>
          </w:p>
        </w:tc>
        <w:tc>
          <w:tcPr>
            <w:tcW w:w="1132" w:type="dxa"/>
          </w:tcPr>
          <w:p w14:paraId="397D65C2" w14:textId="77777777" w:rsidR="00DD13BF" w:rsidRDefault="00DD13BF" w:rsidP="00355A56">
            <w:pPr>
              <w:pStyle w:val="TableParagraph"/>
              <w:rPr>
                <w:sz w:val="20"/>
              </w:rPr>
            </w:pPr>
            <w:r>
              <w:rPr>
                <w:sz w:val="20"/>
              </w:rPr>
              <w:t>ERDF</w:t>
            </w:r>
          </w:p>
        </w:tc>
        <w:tc>
          <w:tcPr>
            <w:tcW w:w="3248" w:type="dxa"/>
          </w:tcPr>
          <w:p w14:paraId="1AB584E4" w14:textId="77777777" w:rsidR="00DD13BF" w:rsidRDefault="00DD13BF" w:rsidP="00355A56">
            <w:pPr>
              <w:pStyle w:val="TableParagraph"/>
              <w:rPr>
                <w:sz w:val="20"/>
              </w:rPr>
            </w:pPr>
            <w:r>
              <w:rPr>
                <w:sz w:val="20"/>
              </w:rPr>
              <w:t>Less developed</w:t>
            </w:r>
          </w:p>
          <w:p w14:paraId="40B7E842" w14:textId="77777777" w:rsidR="00DD13BF" w:rsidRDefault="00DD13BF" w:rsidP="00355A56">
            <w:pPr>
              <w:pStyle w:val="TableParagraph"/>
              <w:rPr>
                <w:sz w:val="20"/>
              </w:rPr>
            </w:pPr>
          </w:p>
        </w:tc>
        <w:tc>
          <w:tcPr>
            <w:tcW w:w="3098" w:type="dxa"/>
          </w:tcPr>
          <w:p w14:paraId="6A56061D" w14:textId="77777777" w:rsidR="00DD13BF" w:rsidRDefault="00DD13BF" w:rsidP="00355A56">
            <w:pPr>
              <w:pStyle w:val="TableParagraph"/>
              <w:rPr>
                <w:sz w:val="20"/>
              </w:rPr>
            </w:pPr>
            <w:r>
              <w:rPr>
                <w:color w:val="000000"/>
                <w:sz w:val="20"/>
              </w:rPr>
              <w:t>RSO5.1</w:t>
            </w:r>
          </w:p>
        </w:tc>
        <w:tc>
          <w:tcPr>
            <w:tcW w:w="1160" w:type="dxa"/>
          </w:tcPr>
          <w:p w14:paraId="01357416" w14:textId="77777777" w:rsidR="00DD13BF" w:rsidRPr="000F45E1" w:rsidRDefault="00DD13BF" w:rsidP="00355A56">
            <w:pPr>
              <w:pStyle w:val="TableParagraph"/>
              <w:rPr>
                <w:sz w:val="20"/>
              </w:rPr>
            </w:pPr>
            <w:r>
              <w:rPr>
                <w:sz w:val="20"/>
              </w:rPr>
              <w:t>03</w:t>
            </w:r>
          </w:p>
        </w:tc>
        <w:tc>
          <w:tcPr>
            <w:tcW w:w="2730" w:type="dxa"/>
          </w:tcPr>
          <w:p w14:paraId="7AB31288" w14:textId="77777777" w:rsidR="00DD13BF" w:rsidRDefault="00DD13BF" w:rsidP="00355A56">
            <w:pPr>
              <w:pStyle w:val="TableParagraph"/>
              <w:rPr>
                <w:sz w:val="20"/>
              </w:rPr>
            </w:pPr>
            <w:r>
              <w:rPr>
                <w:sz w:val="20"/>
              </w:rPr>
              <w:t>44,760,000</w:t>
            </w:r>
          </w:p>
        </w:tc>
      </w:tr>
      <w:tr w:rsidR="00DD13BF" w14:paraId="4C31690F" w14:textId="77777777" w:rsidTr="00355A56">
        <w:trPr>
          <w:trHeight w:val="353"/>
        </w:trPr>
        <w:tc>
          <w:tcPr>
            <w:tcW w:w="2088" w:type="dxa"/>
          </w:tcPr>
          <w:p w14:paraId="62098E57" w14:textId="77777777" w:rsidR="00DD13BF" w:rsidRDefault="00DD13BF" w:rsidP="00355A56">
            <w:pPr>
              <w:pStyle w:val="TableParagraph"/>
              <w:rPr>
                <w:sz w:val="20"/>
              </w:rPr>
            </w:pPr>
            <w:r>
              <w:rPr>
                <w:sz w:val="20"/>
              </w:rPr>
              <w:t>9</w:t>
            </w:r>
          </w:p>
        </w:tc>
        <w:tc>
          <w:tcPr>
            <w:tcW w:w="1132" w:type="dxa"/>
          </w:tcPr>
          <w:p w14:paraId="23A68B34" w14:textId="77777777" w:rsidR="00DD13BF" w:rsidRDefault="00DD13BF" w:rsidP="00355A56">
            <w:pPr>
              <w:pStyle w:val="TableParagraph"/>
              <w:rPr>
                <w:sz w:val="20"/>
              </w:rPr>
            </w:pPr>
            <w:r>
              <w:rPr>
                <w:sz w:val="20"/>
              </w:rPr>
              <w:t>ERDF</w:t>
            </w:r>
          </w:p>
        </w:tc>
        <w:tc>
          <w:tcPr>
            <w:tcW w:w="3248" w:type="dxa"/>
          </w:tcPr>
          <w:p w14:paraId="47371D70" w14:textId="77777777" w:rsidR="00DD13BF" w:rsidRDefault="00DD13BF" w:rsidP="00355A56">
            <w:pPr>
              <w:pStyle w:val="TableParagraph"/>
              <w:rPr>
                <w:sz w:val="20"/>
              </w:rPr>
            </w:pPr>
            <w:r>
              <w:rPr>
                <w:sz w:val="20"/>
              </w:rPr>
              <w:t>More developed</w:t>
            </w:r>
          </w:p>
          <w:p w14:paraId="28711978" w14:textId="77777777" w:rsidR="00DD13BF" w:rsidRDefault="00DD13BF" w:rsidP="00355A56">
            <w:pPr>
              <w:pStyle w:val="TableParagraph"/>
              <w:rPr>
                <w:sz w:val="20"/>
              </w:rPr>
            </w:pPr>
          </w:p>
        </w:tc>
        <w:tc>
          <w:tcPr>
            <w:tcW w:w="3098" w:type="dxa"/>
          </w:tcPr>
          <w:p w14:paraId="15EAEAE3" w14:textId="77777777" w:rsidR="00DD13BF" w:rsidRDefault="00DD13BF" w:rsidP="00355A56">
            <w:pPr>
              <w:pStyle w:val="TableParagraph"/>
              <w:rPr>
                <w:sz w:val="20"/>
              </w:rPr>
            </w:pPr>
            <w:r>
              <w:rPr>
                <w:color w:val="000000"/>
                <w:sz w:val="20"/>
              </w:rPr>
              <w:t>RSO5.1</w:t>
            </w:r>
          </w:p>
        </w:tc>
        <w:tc>
          <w:tcPr>
            <w:tcW w:w="1160" w:type="dxa"/>
          </w:tcPr>
          <w:p w14:paraId="7041B538" w14:textId="77777777" w:rsidR="00DD13BF" w:rsidRPr="000F45E1" w:rsidRDefault="00DD13BF" w:rsidP="00355A56">
            <w:pPr>
              <w:pStyle w:val="TableParagraph"/>
              <w:rPr>
                <w:sz w:val="20"/>
              </w:rPr>
            </w:pPr>
            <w:r>
              <w:rPr>
                <w:sz w:val="20"/>
              </w:rPr>
              <w:t>03</w:t>
            </w:r>
          </w:p>
        </w:tc>
        <w:tc>
          <w:tcPr>
            <w:tcW w:w="2730" w:type="dxa"/>
          </w:tcPr>
          <w:p w14:paraId="23D20C5F" w14:textId="77777777" w:rsidR="00DD13BF" w:rsidRDefault="00DD13BF" w:rsidP="00355A56">
            <w:pPr>
              <w:pStyle w:val="TableParagraph"/>
              <w:rPr>
                <w:sz w:val="20"/>
              </w:rPr>
            </w:pPr>
            <w:r>
              <w:rPr>
                <w:sz w:val="20"/>
              </w:rPr>
              <w:t>12,330,000</w:t>
            </w:r>
          </w:p>
        </w:tc>
      </w:tr>
    </w:tbl>
    <w:p w14:paraId="1E984868" w14:textId="77777777" w:rsidR="00DD13BF"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531E7D18" w14:textId="77777777" w:rsidR="00DD13BF" w:rsidRDefault="00DD13BF" w:rsidP="00DD13BF">
      <w:r>
        <w:br w:type="page"/>
      </w:r>
    </w:p>
    <w:p w14:paraId="53B1EE37" w14:textId="77777777" w:rsidR="00DD13BF" w:rsidRPr="00BD3536" w:rsidRDefault="00DD13BF" w:rsidP="00DD13BF">
      <w:pPr>
        <w:pStyle w:val="Naslov4"/>
        <w:ind w:left="1134"/>
      </w:pPr>
      <w:bookmarkStart w:id="66" w:name="_Toc131161733"/>
      <w:r>
        <w:lastRenderedPageBreak/>
        <w:t>Specific objective RSO5.2. Fostering the integrated and inclusive social, economic and environmental local development, culture, natural heritage, sustainable tourism and security, in areas other than urban areas (ERDF)</w:t>
      </w:r>
      <w:bookmarkEnd w:id="66"/>
    </w:p>
    <w:p w14:paraId="6C0C8E6B" w14:textId="77777777" w:rsidR="00DD13BF" w:rsidRDefault="00DD13BF" w:rsidP="00DD13BF">
      <w:pPr>
        <w:rPr>
          <w:sz w:val="30"/>
        </w:rPr>
      </w:pPr>
    </w:p>
    <w:p w14:paraId="38C081ED" w14:textId="77777777" w:rsidR="00DD13BF" w:rsidRPr="00C10464" w:rsidRDefault="00DD13BF" w:rsidP="00DD13BF">
      <w:pPr>
        <w:pStyle w:val="Naslov5"/>
        <w:spacing w:before="0"/>
      </w:pPr>
      <w:r>
        <w:t>Interventions of the Funds</w:t>
      </w:r>
    </w:p>
    <w:p w14:paraId="4C454008" w14:textId="77777777" w:rsidR="00DD13BF" w:rsidRDefault="00DD13BF" w:rsidP="00DD13BF">
      <w:pPr>
        <w:rPr>
          <w:sz w:val="30"/>
        </w:rPr>
      </w:pPr>
    </w:p>
    <w:p w14:paraId="17B65211" w14:textId="77777777" w:rsidR="00DD13BF" w:rsidRDefault="00DD13BF" w:rsidP="00DD13BF">
      <w:pPr>
        <w:ind w:left="1349"/>
        <w:rPr>
          <w:spacing w:val="-2"/>
        </w:rPr>
      </w:pPr>
      <w:r>
        <w:t>Related types of actions:</w:t>
      </w:r>
    </w:p>
    <w:p w14:paraId="487723E0"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15F441D3" w14:textId="77777777" w:rsidTr="00355A56">
        <w:trPr>
          <w:trHeight w:val="316"/>
        </w:trPr>
        <w:tc>
          <w:tcPr>
            <w:tcW w:w="12758" w:type="dxa"/>
          </w:tcPr>
          <w:p w14:paraId="1DA83014" w14:textId="77777777" w:rsidR="00DD13BF" w:rsidRDefault="00DD13BF" w:rsidP="00355A56">
            <w:pPr>
              <w:jc w:val="both"/>
              <w:rPr>
                <w:rFonts w:cstheme="minorHAnsi"/>
              </w:rPr>
            </w:pPr>
            <w:r>
              <w:t>Community-led local development (CLLD) will be implemented in the areas of established local action groups (LAGs) in accordance with local development strategies (LDSs), which will be supported by the ERDF funds. CLLD will be implemented as a joint approach of funds in the ERDF and the EAFRD throughout the country. This is an upgrade of measures from the 2014–2020 period, as it was found that, regardless of the fact that these are small-scale projects, the approach enables the realisation of numerous challenges in different environments and greater flexibility in attaining objectives and responds to the actual needs of local areas.</w:t>
            </w:r>
          </w:p>
          <w:p w14:paraId="584931BA" w14:textId="77777777" w:rsidR="00DD13BF" w:rsidRPr="00FA0677" w:rsidRDefault="00DD13BF" w:rsidP="00355A56">
            <w:pPr>
              <w:jc w:val="both"/>
              <w:rPr>
                <w:rFonts w:cstheme="minorHAnsi"/>
              </w:rPr>
            </w:pPr>
          </w:p>
          <w:p w14:paraId="0B058AD5" w14:textId="77777777" w:rsidR="00DD13BF" w:rsidRDefault="00DD13BF" w:rsidP="00355A56">
            <w:pPr>
              <w:jc w:val="both"/>
              <w:rPr>
                <w:rFonts w:cstheme="minorHAnsi"/>
              </w:rPr>
            </w:pPr>
            <w:r>
              <w:t xml:space="preserve">When preparing LDSs, the LAGs will have to stem from the key challenges identified in each homogeneous geographical area. Investments will be aimed at </w:t>
            </w:r>
            <w:r>
              <w:rPr>
                <w:i/>
                <w:iCs/>
              </w:rPr>
              <w:t>creating an inclusive society and further integrated socio-economic development in the areas of LAGs</w:t>
            </w:r>
            <w:r>
              <w:t xml:space="preserve"> with special attention paid to reducing differences between socio-economically disadvantaged persons and areas. Thematic areas of action will depend on the identification of the needs of the local partnership and will be justified in the LDS. In addition, measures will be prepared and implemented in accordance with the “bottom-up” principle. </w:t>
            </w:r>
          </w:p>
          <w:p w14:paraId="6EABD42F" w14:textId="77777777" w:rsidR="00DD13BF" w:rsidRPr="00FA0677" w:rsidRDefault="00DD13BF" w:rsidP="00355A56">
            <w:pPr>
              <w:jc w:val="both"/>
              <w:rPr>
                <w:rFonts w:cstheme="minorHAnsi"/>
              </w:rPr>
            </w:pPr>
          </w:p>
          <w:p w14:paraId="50F801DD" w14:textId="77777777" w:rsidR="00DD13BF" w:rsidRDefault="00DD13BF" w:rsidP="00355A56">
            <w:pPr>
              <w:jc w:val="both"/>
              <w:rPr>
                <w:rFonts w:cstheme="minorHAnsi"/>
              </w:rPr>
            </w:pPr>
            <w:r>
              <w:t>By involving stakeholders in the preparation, decision making and implementation of projects, the human potential and innovation of the residents of these areas will be developed and enhanced.</w:t>
            </w:r>
          </w:p>
          <w:p w14:paraId="556C5F9D" w14:textId="77777777" w:rsidR="00DD13BF" w:rsidRPr="00FA0677" w:rsidRDefault="00DD13BF" w:rsidP="00355A56">
            <w:pPr>
              <w:jc w:val="both"/>
              <w:rPr>
                <w:rFonts w:cstheme="minorHAnsi"/>
              </w:rPr>
            </w:pPr>
          </w:p>
          <w:p w14:paraId="399CEC31" w14:textId="77777777" w:rsidR="00DD13BF" w:rsidRDefault="00DD13BF" w:rsidP="00355A56">
            <w:pPr>
              <w:jc w:val="both"/>
              <w:rPr>
                <w:rFonts w:cstheme="minorBidi"/>
              </w:rPr>
            </w:pPr>
            <w:r>
              <w:t xml:space="preserve">LDSs are expected to address support for sustainable forms of local entrepreneurship, innovation in the use of local resources, tourism, the protection of natural and cultural heritage, the revitalisation of public areas for common use, prevention and health protection, intergenerational cooperation, the strengthening of competences, care for elderly people, young people and other disadvantaged groups, and social inclusion. </w:t>
            </w:r>
          </w:p>
          <w:p w14:paraId="541DEBB1" w14:textId="77777777" w:rsidR="00DD13BF" w:rsidRPr="00FA0677" w:rsidRDefault="00DD13BF" w:rsidP="00355A56">
            <w:pPr>
              <w:jc w:val="both"/>
              <w:rPr>
                <w:rFonts w:cstheme="minorHAnsi"/>
              </w:rPr>
            </w:pPr>
          </w:p>
          <w:p w14:paraId="1AE7C19D" w14:textId="77777777" w:rsidR="00DD13BF" w:rsidRDefault="00DD13BF" w:rsidP="00355A56">
            <w:pPr>
              <w:jc w:val="both"/>
              <w:rPr>
                <w:rFonts w:cstheme="minorHAnsi"/>
              </w:rPr>
            </w:pPr>
            <w:r>
              <w:t>With a “bottom-up” approach, stakeholders at lower levels will be actively involved due to their better knowledge of local challenges and potentials, which will be crucial for reducing development differences at the local level.</w:t>
            </w:r>
          </w:p>
          <w:p w14:paraId="47FB757B" w14:textId="77777777" w:rsidR="00DD13BF" w:rsidRDefault="00DD13BF" w:rsidP="00355A56">
            <w:pPr>
              <w:jc w:val="both"/>
              <w:rPr>
                <w:rFonts w:cstheme="minorHAnsi"/>
              </w:rPr>
            </w:pPr>
          </w:p>
          <w:p w14:paraId="14D6DA89" w14:textId="77777777" w:rsidR="00DD13BF" w:rsidRDefault="00DD13BF" w:rsidP="00355A56">
            <w:pPr>
              <w:jc w:val="both"/>
              <w:rPr>
                <w:rFonts w:cstheme="minorHAnsi"/>
              </w:rPr>
            </w:pPr>
            <w:r>
              <w:t>CLLD projects within the ERDF will improve the quality of life of local residents, provide suitable access to services in urban centres and in rural areas, improve long-term care and preventive health measures, and promote intergenerational cooperation, strengthening competences and care for disadvantaged groups. The areas of LAGs will also be more recognisable in the field of local entrepreneurship, the innovative use of local resources, (eco)tourism, and the preservation of natural diversity and cultural heritage.</w:t>
            </w:r>
          </w:p>
          <w:p w14:paraId="118A6DFF" w14:textId="77777777" w:rsidR="00DD13BF" w:rsidRDefault="00DD13BF" w:rsidP="00355A56">
            <w:pPr>
              <w:jc w:val="both"/>
              <w:rPr>
                <w:rFonts w:cstheme="minorHAnsi"/>
              </w:rPr>
            </w:pPr>
          </w:p>
          <w:p w14:paraId="06AA9A45" w14:textId="77777777" w:rsidR="00DD13BF" w:rsidRPr="007C360A" w:rsidRDefault="00DD13BF" w:rsidP="00355A56">
            <w:pPr>
              <w:jc w:val="both"/>
              <w:rPr>
                <w:rFonts w:cstheme="minorHAnsi"/>
              </w:rPr>
            </w:pPr>
            <w:r>
              <w:lastRenderedPageBreak/>
              <w:t xml:space="preserve">CLLD projects will contribute to the attainment of LDS objectives, environmental sustainability, social sustainability, innovation, equal involvement of various partners, and higher added value of the areas of LAGs. </w:t>
            </w:r>
          </w:p>
          <w:p w14:paraId="59ECF93E" w14:textId="77777777" w:rsidR="00DD13BF" w:rsidRPr="007C360A" w:rsidRDefault="00DD13BF" w:rsidP="00355A56">
            <w:pPr>
              <w:jc w:val="both"/>
              <w:rPr>
                <w:rFonts w:cstheme="minorHAnsi"/>
              </w:rPr>
            </w:pPr>
          </w:p>
          <w:p w14:paraId="7322B7DB" w14:textId="77777777" w:rsidR="00DD13BF" w:rsidRPr="00B3569A" w:rsidRDefault="00DD13BF" w:rsidP="00355A56">
            <w:pPr>
              <w:jc w:val="both"/>
              <w:rPr>
                <w:rFonts w:cstheme="minorHAnsi"/>
              </w:rPr>
            </w:pPr>
            <w:r>
              <w:t>To formulate the final content of the measures, and the criteria for their selection and implementation, the relevant mitigation measures and, to the greatest extent possible, the relevant recommendations in accordance with the strategic environmental assessment, which are listed in annex Mitigation Measures and Recommendations, will be taken into account. In accordance with the Technical guidance on the application of ‘do no significant harm’, a compliance assessment of the planned measures under this SO with the DNSH principle was carried out. It was established that none of the measures has a significant adverse impact on any of the six environmental, objectives, taking into account the technical screening criteria listed in annex DNSH.</w:t>
            </w:r>
          </w:p>
        </w:tc>
      </w:tr>
    </w:tbl>
    <w:p w14:paraId="568DF978" w14:textId="77777777" w:rsidR="00DD13BF" w:rsidRDefault="00DD13BF" w:rsidP="00DD13BF">
      <w:pPr>
        <w:ind w:left="1349"/>
        <w:rPr>
          <w:spacing w:val="-6"/>
        </w:rPr>
      </w:pPr>
    </w:p>
    <w:p w14:paraId="1FA844D1" w14:textId="77777777" w:rsidR="00DD13BF" w:rsidRDefault="00DD13BF" w:rsidP="00DD13BF">
      <w:pPr>
        <w:ind w:left="1349"/>
      </w:pPr>
      <w:r>
        <w:t>Main target groups:</w:t>
      </w:r>
    </w:p>
    <w:p w14:paraId="1564BFB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34EC7C8" w14:textId="77777777" w:rsidTr="00355A56">
        <w:tc>
          <w:tcPr>
            <w:tcW w:w="12763" w:type="dxa"/>
          </w:tcPr>
          <w:p w14:paraId="551AEB3A" w14:textId="77777777" w:rsidR="00DD13BF" w:rsidRDefault="00DD13BF" w:rsidP="00355A56">
            <w:pPr>
              <w:rPr>
                <w:rFonts w:cstheme="minorHAnsi"/>
              </w:rPr>
            </w:pPr>
            <w:r>
              <w:t>Target groups: individual entrepreneurs, legal entities under public and private law, young people (dropouts, addicts, juvenile delinquents, children and adolescents from families in which violence is present, etc.) and other vulnerable groups (elderly people, female victims of violence, migrants, members of ethnic minorities, etc.), long-term unemployed persons, elderly people, non-governmental organisations, local interest groups or other associations.</w:t>
            </w:r>
          </w:p>
          <w:p w14:paraId="04BEE891" w14:textId="77777777" w:rsidR="00DD13BF" w:rsidRDefault="00DD13BF" w:rsidP="00355A56">
            <w:pPr>
              <w:rPr>
                <w:rFonts w:cstheme="minorHAnsi"/>
              </w:rPr>
            </w:pPr>
          </w:p>
          <w:p w14:paraId="2AECA3A5" w14:textId="77777777" w:rsidR="00DD13BF" w:rsidRPr="00B3569A" w:rsidRDefault="00DD13BF" w:rsidP="00355A56">
            <w:pPr>
              <w:rPr>
                <w:rFonts w:cstheme="minorHAnsi"/>
              </w:rPr>
            </w:pPr>
            <w:r>
              <w:t>Beneficiaries: local action groups (LAG), individual entrepreneurs, legal entities under public and private law from the area of LAG.</w:t>
            </w:r>
          </w:p>
        </w:tc>
      </w:tr>
    </w:tbl>
    <w:p w14:paraId="10533181" w14:textId="77777777" w:rsidR="00DD13BF" w:rsidRPr="006B7178" w:rsidRDefault="00DD13BF" w:rsidP="00DD13BF">
      <w:pPr>
        <w:ind w:left="1349"/>
      </w:pPr>
    </w:p>
    <w:p w14:paraId="629EE047" w14:textId="77777777" w:rsidR="00DD13BF" w:rsidRDefault="00DD13BF" w:rsidP="00DD13BF">
      <w:pPr>
        <w:ind w:left="1349"/>
        <w:rPr>
          <w:spacing w:val="-2"/>
        </w:rPr>
      </w:pPr>
      <w:r>
        <w:t>Measures to protect equality, inclusion and non-discrimination:</w:t>
      </w:r>
    </w:p>
    <w:p w14:paraId="040EE966"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5E3E2550" w14:textId="77777777" w:rsidTr="00355A56">
        <w:tc>
          <w:tcPr>
            <w:tcW w:w="12715" w:type="dxa"/>
          </w:tcPr>
          <w:p w14:paraId="4B1CAD38" w14:textId="77777777" w:rsidR="00DD13BF" w:rsidRDefault="00DD13BF" w:rsidP="00355A56">
            <w:pPr>
              <w:jc w:val="both"/>
              <w:rPr>
                <w:rFonts w:cstheme="minorHAnsi"/>
              </w:rPr>
            </w:pPr>
            <w:r>
              <w:t>The principles of gender equality, equal opportunities and non-discrimination will be respected in all measures, since gender equality is a fundamental value of the EU and a fundamental right and a key principle of the European Pillar of Social Rights. Pursuant to Article 12 of the Equal Opportunities for Women and Men Act (Official Gazette of the Republic of Slovenia [</w:t>
            </w:r>
            <w:r>
              <w:rPr>
                <w:i/>
                <w:iCs/>
              </w:rPr>
              <w:t>Uradni list RS</w:t>
            </w:r>
            <w:r>
              <w:t>], Nos. 59/02, 61/07 – ZUNEO-A, 33/16 – ZVarD and 59/19), all genders will be treated equally in all the foreseen fields. In the design and implementation of tenders and public procurement, transparency and respect for the legal orders of the EU and the Republic of Slovenia will be fully ensured by the use of clear, objective and non-discriminatory conditions and criteria for the selection of applications.</w:t>
            </w:r>
          </w:p>
          <w:p w14:paraId="262E1BE8" w14:textId="77777777" w:rsidR="00DD13BF" w:rsidRDefault="00DD13BF" w:rsidP="00355A56">
            <w:pPr>
              <w:jc w:val="both"/>
              <w:rPr>
                <w:rFonts w:cstheme="minorHAnsi"/>
              </w:rPr>
            </w:pPr>
          </w:p>
          <w:p w14:paraId="51F14F99" w14:textId="77777777" w:rsidR="00DD13BF" w:rsidRDefault="00DD13BF" w:rsidP="00355A56">
            <w:pPr>
              <w:jc w:val="both"/>
              <w:rPr>
                <w:rFonts w:cstheme="minorHAnsi"/>
              </w:rPr>
            </w:pPr>
            <w:r>
              <w:t>The Procedural rules for providing the horizontal enabling condition “Effective use and implementation of the Charter of Fundamental Rights” and the Action Programme for Persons with Disabilities 2022–2030, and other relevant documents that will be created as part of implementation will also be taken into account. If necessary, administrative capacity training will be provided to implement the principles of equal opportunities and non-discrimination. This principle will also be taken into account within the framework of the management and control system. The Monitoring Committee will be notified of any identified discrepancies at least once a year.</w:t>
            </w:r>
          </w:p>
          <w:p w14:paraId="318782E4" w14:textId="77777777" w:rsidR="00DD13BF" w:rsidRDefault="00DD13BF" w:rsidP="00355A56">
            <w:pPr>
              <w:jc w:val="both"/>
              <w:rPr>
                <w:rFonts w:cstheme="minorHAnsi"/>
              </w:rPr>
            </w:pPr>
          </w:p>
          <w:p w14:paraId="36B5244B" w14:textId="77777777" w:rsidR="00DD13BF" w:rsidRPr="00B3569A" w:rsidRDefault="00DD13BF" w:rsidP="00355A56">
            <w:pPr>
              <w:jc w:val="both"/>
              <w:rPr>
                <w:rFonts w:cstheme="minorHAnsi"/>
              </w:rPr>
            </w:pPr>
            <w:r>
              <w:t xml:space="preserve">Considering the number of projects within a thematic area of ​​action concerning a greater involvement of young people, women and other </w:t>
            </w:r>
            <w:r>
              <w:lastRenderedPageBreak/>
              <w:t>vulnerable groups, it was found that the needs for the inclusion of these target groups also remain great and vital in the 2021–2027 period. The approach enables the realisation of numerous challenges in different environments and greater flexibility in attaining objectives, and responds to the actual needs of local areas, including the needs of female victims of violence, migrants, members of ethnic minorities.</w:t>
            </w:r>
          </w:p>
        </w:tc>
      </w:tr>
    </w:tbl>
    <w:p w14:paraId="112A66A0" w14:textId="77777777" w:rsidR="00DD13BF" w:rsidRDefault="00DD13BF" w:rsidP="00DD13BF">
      <w:pPr>
        <w:rPr>
          <w:sz w:val="20"/>
        </w:rPr>
      </w:pPr>
    </w:p>
    <w:p w14:paraId="22AFC591" w14:textId="77777777" w:rsidR="00DD13BF" w:rsidRDefault="00DD13BF" w:rsidP="00DD13BF">
      <w:pPr>
        <w:ind w:left="1415"/>
        <w:rPr>
          <w:spacing w:val="-4"/>
        </w:rPr>
      </w:pPr>
      <w:r>
        <w:t>Indication of the specific territories targeted, including the planned use of territorial tools:</w:t>
      </w:r>
    </w:p>
    <w:p w14:paraId="4C3B236B"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5CBFE093" w14:textId="77777777" w:rsidTr="00355A56">
        <w:tc>
          <w:tcPr>
            <w:tcW w:w="12763" w:type="dxa"/>
          </w:tcPr>
          <w:p w14:paraId="13CA8E40" w14:textId="77777777" w:rsidR="00DD13BF" w:rsidRPr="00B3569A" w:rsidRDefault="00DD13BF" w:rsidP="00355A56">
            <w:pPr>
              <w:jc w:val="both"/>
              <w:rPr>
                <w:rFonts w:cstheme="minorHAnsi"/>
              </w:rPr>
            </w:pPr>
            <w:r>
              <w:t>Community-led local development (CLLD) will be throughout Slovenia. All types of territories will be addressed. Representatives of LAGs are involved in the first phase of the selection of operations.</w:t>
            </w:r>
          </w:p>
        </w:tc>
      </w:tr>
    </w:tbl>
    <w:p w14:paraId="48175180" w14:textId="77777777" w:rsidR="00DD13BF" w:rsidRDefault="00DD13BF" w:rsidP="00DD13BF">
      <w:pPr>
        <w:rPr>
          <w:sz w:val="18"/>
        </w:rPr>
      </w:pPr>
    </w:p>
    <w:p w14:paraId="419E7D22" w14:textId="77777777" w:rsidR="00DD13BF" w:rsidRDefault="00DD13BF" w:rsidP="00DD13BF">
      <w:pPr>
        <w:ind w:left="1415"/>
      </w:pPr>
      <w:r>
        <w:t>The interregional, cross-border and transnational actions:</w:t>
      </w:r>
    </w:p>
    <w:p w14:paraId="78334ED3"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0BA71377" w14:textId="77777777" w:rsidTr="00355A56">
        <w:tc>
          <w:tcPr>
            <w:tcW w:w="12763" w:type="dxa"/>
          </w:tcPr>
          <w:p w14:paraId="6363EDCF" w14:textId="77777777" w:rsidR="00DD13BF" w:rsidRPr="00795271" w:rsidRDefault="00DD13BF" w:rsidP="00355A56">
            <w:pPr>
              <w:jc w:val="both"/>
            </w:pPr>
            <w:r>
              <w:t>The interregional and transnational actions may include cooperation projects between LAGs if this is cooperation between LAGs within the same country or from different countries. Cooperation projects are primarily intended for knowledge and experience exchange through the implementation of CLLD. Despite the fact that the projects are selected on the basis of LDSs and the needs of the local environment, cooperation projects can further support the implementation of CLLD.</w:t>
            </w:r>
          </w:p>
        </w:tc>
      </w:tr>
    </w:tbl>
    <w:p w14:paraId="23A279F9" w14:textId="77777777" w:rsidR="00DD13BF" w:rsidRDefault="00DD13BF" w:rsidP="00DD13BF">
      <w:pPr>
        <w:rPr>
          <w:sz w:val="17"/>
        </w:rPr>
      </w:pPr>
    </w:p>
    <w:p w14:paraId="2B2E12B6" w14:textId="77777777" w:rsidR="00DD13BF" w:rsidRDefault="00DD13BF" w:rsidP="00DD13BF">
      <w:pPr>
        <w:ind w:left="1415"/>
        <w:rPr>
          <w:spacing w:val="-3"/>
        </w:rPr>
      </w:pPr>
      <w:r>
        <w:t>Planned use of financial instruments:</w:t>
      </w:r>
    </w:p>
    <w:p w14:paraId="21908E03"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68169605" w14:textId="77777777" w:rsidTr="00355A56">
        <w:tc>
          <w:tcPr>
            <w:tcW w:w="12758" w:type="dxa"/>
          </w:tcPr>
          <w:p w14:paraId="41A4BDEA" w14:textId="77777777" w:rsidR="00DD13BF" w:rsidRPr="00B3569A" w:rsidRDefault="00DD13BF" w:rsidP="00355A56">
            <w:pPr>
              <w:jc w:val="both"/>
              <w:rPr>
                <w:rFonts w:cstheme="minorHAnsi"/>
              </w:rPr>
            </w:pPr>
            <w:r>
              <w:t>The use of grants is foreseen. In accordance with the results of the analysis of the preliminary assessment of market needs and financing gaps in the market for the implementation of financial instruments in the 2021–2027 programming period (July 2022), the use of financial instruments under this specific objective is not foreseen. The use of financial instruments under this specific objective is not suitable, as the instrument for the implementation of community-led local development (CLLD) will be used, within which grants are only expected to be used in projects suitable for financial instruments, similar to the 2014–2020 period. These are projects of lower value to meet the needs of the local environment, in which public institutions, municipalities and associations are involved. CLLD projects do not generate such revenues as would make refundable funds possible.</w:t>
            </w:r>
          </w:p>
        </w:tc>
      </w:tr>
    </w:tbl>
    <w:p w14:paraId="458619C1" w14:textId="77777777" w:rsidR="00DD13BF" w:rsidRDefault="00DD13BF" w:rsidP="00DD13BF">
      <w:pPr>
        <w:rPr>
          <w:sz w:val="20"/>
        </w:rPr>
      </w:pPr>
    </w:p>
    <w:p w14:paraId="4496D615" w14:textId="77777777" w:rsidR="00DD13BF" w:rsidRDefault="00DD13BF" w:rsidP="00DD13BF">
      <w:pPr>
        <w:rPr>
          <w:sz w:val="20"/>
        </w:rPr>
      </w:pPr>
    </w:p>
    <w:p w14:paraId="699FBCB7" w14:textId="77777777" w:rsidR="00DD13BF" w:rsidRDefault="00DD13BF" w:rsidP="00DD13BF">
      <w:pPr>
        <w:pStyle w:val="Naslov5"/>
        <w:spacing w:before="0"/>
      </w:pPr>
      <w:r>
        <w:t>Indicators</w:t>
      </w:r>
    </w:p>
    <w:p w14:paraId="3017B78F" w14:textId="77777777" w:rsidR="00DD13BF" w:rsidRDefault="00DD13BF" w:rsidP="00DD13BF"/>
    <w:p w14:paraId="18E9C530" w14:textId="77777777" w:rsidR="00DD13BF" w:rsidRDefault="00DD13BF" w:rsidP="00DD13BF">
      <w:pPr>
        <w:ind w:left="379"/>
      </w:pPr>
      <w:r>
        <w:t>Table 2: Impact indicators</w:t>
      </w:r>
    </w:p>
    <w:p w14:paraId="5B3E8CEA"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4"/>
        <w:gridCol w:w="1559"/>
        <w:gridCol w:w="708"/>
        <w:gridCol w:w="1701"/>
        <w:gridCol w:w="778"/>
        <w:gridCol w:w="3333"/>
        <w:gridCol w:w="1276"/>
        <w:gridCol w:w="1418"/>
        <w:gridCol w:w="1134"/>
      </w:tblGrid>
      <w:tr w:rsidR="00DD13BF" w14:paraId="5EB282B2" w14:textId="77777777" w:rsidTr="00355A56">
        <w:trPr>
          <w:trHeight w:val="254"/>
        </w:trPr>
        <w:tc>
          <w:tcPr>
            <w:tcW w:w="1834" w:type="dxa"/>
            <w:vAlign w:val="center"/>
          </w:tcPr>
          <w:p w14:paraId="09B0DBFB" w14:textId="77777777" w:rsidR="00DD13BF" w:rsidRDefault="00DD13BF" w:rsidP="00355A56">
            <w:pPr>
              <w:pStyle w:val="TableParagraph"/>
              <w:ind w:right="82"/>
            </w:pPr>
            <w:r>
              <w:t>Priority</w:t>
            </w:r>
          </w:p>
        </w:tc>
        <w:tc>
          <w:tcPr>
            <w:tcW w:w="1559" w:type="dxa"/>
            <w:vAlign w:val="center"/>
          </w:tcPr>
          <w:p w14:paraId="60F3E008" w14:textId="77777777" w:rsidR="00DD13BF" w:rsidRDefault="00DD13BF" w:rsidP="00355A56">
            <w:pPr>
              <w:pStyle w:val="TableParagraph"/>
            </w:pPr>
            <w:r>
              <w:t>Specific objective</w:t>
            </w:r>
          </w:p>
        </w:tc>
        <w:tc>
          <w:tcPr>
            <w:tcW w:w="708" w:type="dxa"/>
            <w:vAlign w:val="center"/>
          </w:tcPr>
          <w:p w14:paraId="06E6876C" w14:textId="77777777" w:rsidR="00DD13BF" w:rsidRDefault="00DD13BF" w:rsidP="00355A56">
            <w:pPr>
              <w:pStyle w:val="TableParagraph"/>
            </w:pPr>
            <w:r>
              <w:t>Fund</w:t>
            </w:r>
          </w:p>
        </w:tc>
        <w:tc>
          <w:tcPr>
            <w:tcW w:w="1701" w:type="dxa"/>
            <w:vAlign w:val="center"/>
          </w:tcPr>
          <w:p w14:paraId="54E5FF05" w14:textId="77777777" w:rsidR="00DD13BF" w:rsidRDefault="00DD13BF" w:rsidP="00355A56">
            <w:pPr>
              <w:pStyle w:val="TableParagraph"/>
            </w:pPr>
            <w:r>
              <w:t>Category of region</w:t>
            </w:r>
          </w:p>
        </w:tc>
        <w:tc>
          <w:tcPr>
            <w:tcW w:w="778" w:type="dxa"/>
            <w:vAlign w:val="center"/>
          </w:tcPr>
          <w:p w14:paraId="167532EB" w14:textId="77777777" w:rsidR="00DD13BF" w:rsidRPr="00347461" w:rsidRDefault="00DD13BF" w:rsidP="00355A56">
            <w:pPr>
              <w:pStyle w:val="TableParagraph"/>
              <w:rPr>
                <w:sz w:val="20"/>
              </w:rPr>
            </w:pPr>
            <w:r>
              <w:t>ID</w:t>
            </w:r>
          </w:p>
        </w:tc>
        <w:tc>
          <w:tcPr>
            <w:tcW w:w="3333" w:type="dxa"/>
            <w:vAlign w:val="center"/>
          </w:tcPr>
          <w:p w14:paraId="292F1B84" w14:textId="77777777" w:rsidR="00DD13BF" w:rsidRPr="00347461" w:rsidRDefault="00DD13BF" w:rsidP="00355A56">
            <w:pPr>
              <w:pStyle w:val="TableParagraph"/>
              <w:rPr>
                <w:sz w:val="20"/>
              </w:rPr>
            </w:pPr>
            <w:r>
              <w:t>Indicators</w:t>
            </w:r>
          </w:p>
        </w:tc>
        <w:tc>
          <w:tcPr>
            <w:tcW w:w="1276" w:type="dxa"/>
            <w:vAlign w:val="center"/>
          </w:tcPr>
          <w:p w14:paraId="0F3F6EFF" w14:textId="77777777" w:rsidR="00DD13BF" w:rsidRPr="00347461" w:rsidRDefault="00DD13BF" w:rsidP="00355A56">
            <w:pPr>
              <w:pStyle w:val="TableParagraph"/>
              <w:rPr>
                <w:sz w:val="20"/>
              </w:rPr>
            </w:pPr>
            <w:r>
              <w:t>Measurement unit</w:t>
            </w:r>
          </w:p>
        </w:tc>
        <w:tc>
          <w:tcPr>
            <w:tcW w:w="1418" w:type="dxa"/>
            <w:vAlign w:val="center"/>
          </w:tcPr>
          <w:p w14:paraId="0F91F086" w14:textId="77777777" w:rsidR="00DD13BF" w:rsidRPr="00347461" w:rsidRDefault="00DD13BF" w:rsidP="00355A56">
            <w:pPr>
              <w:pStyle w:val="TableParagraph"/>
              <w:rPr>
                <w:sz w:val="20"/>
              </w:rPr>
            </w:pPr>
            <w:r>
              <w:t>Milestone (2014)</w:t>
            </w:r>
          </w:p>
        </w:tc>
        <w:tc>
          <w:tcPr>
            <w:tcW w:w="1134" w:type="dxa"/>
            <w:vAlign w:val="center"/>
          </w:tcPr>
          <w:p w14:paraId="6CC50DE2" w14:textId="77777777" w:rsidR="00DD13BF" w:rsidRDefault="00DD13BF" w:rsidP="00355A56">
            <w:pPr>
              <w:pStyle w:val="TableParagraph"/>
            </w:pPr>
            <w:r>
              <w:t>Target (2029)</w:t>
            </w:r>
          </w:p>
        </w:tc>
      </w:tr>
      <w:tr w:rsidR="00DD13BF" w14:paraId="3B3A1F15" w14:textId="77777777" w:rsidTr="00355A56">
        <w:trPr>
          <w:trHeight w:val="367"/>
        </w:trPr>
        <w:tc>
          <w:tcPr>
            <w:tcW w:w="1834" w:type="dxa"/>
          </w:tcPr>
          <w:p w14:paraId="014CE094" w14:textId="77777777" w:rsidR="00DD13BF" w:rsidRPr="00FA0677" w:rsidRDefault="00DD13BF" w:rsidP="00355A56">
            <w:pPr>
              <w:pStyle w:val="TableParagraph"/>
              <w:rPr>
                <w:sz w:val="20"/>
              </w:rPr>
            </w:pPr>
            <w:r>
              <w:rPr>
                <w:sz w:val="20"/>
              </w:rPr>
              <w:t>9</w:t>
            </w:r>
          </w:p>
        </w:tc>
        <w:tc>
          <w:tcPr>
            <w:tcW w:w="1559" w:type="dxa"/>
          </w:tcPr>
          <w:p w14:paraId="7D502F2E" w14:textId="77777777" w:rsidR="00DD13BF" w:rsidRPr="00FA0677" w:rsidRDefault="00DD13BF" w:rsidP="00355A56">
            <w:pPr>
              <w:pStyle w:val="TableParagraph"/>
              <w:rPr>
                <w:sz w:val="20"/>
              </w:rPr>
            </w:pPr>
            <w:r>
              <w:rPr>
                <w:color w:val="000000"/>
                <w:sz w:val="20"/>
              </w:rPr>
              <w:t>RSO5.2</w:t>
            </w:r>
          </w:p>
        </w:tc>
        <w:tc>
          <w:tcPr>
            <w:tcW w:w="708" w:type="dxa"/>
          </w:tcPr>
          <w:p w14:paraId="082EF85E" w14:textId="77777777" w:rsidR="00DD13BF" w:rsidRPr="00FA0677" w:rsidRDefault="00DD13BF" w:rsidP="00355A56">
            <w:pPr>
              <w:pStyle w:val="TableParagraph"/>
              <w:rPr>
                <w:sz w:val="20"/>
              </w:rPr>
            </w:pPr>
            <w:r>
              <w:rPr>
                <w:sz w:val="20"/>
              </w:rPr>
              <w:t>ERDF</w:t>
            </w:r>
          </w:p>
        </w:tc>
        <w:tc>
          <w:tcPr>
            <w:tcW w:w="1701" w:type="dxa"/>
          </w:tcPr>
          <w:p w14:paraId="0CFAE885" w14:textId="77777777" w:rsidR="00DD13BF" w:rsidRPr="00FA0677" w:rsidRDefault="00DD13BF" w:rsidP="00355A56">
            <w:pPr>
              <w:pStyle w:val="TableParagraph"/>
              <w:rPr>
                <w:sz w:val="20"/>
              </w:rPr>
            </w:pPr>
            <w:r>
              <w:rPr>
                <w:sz w:val="20"/>
              </w:rPr>
              <w:t>Less developed</w:t>
            </w:r>
          </w:p>
        </w:tc>
        <w:tc>
          <w:tcPr>
            <w:tcW w:w="778" w:type="dxa"/>
            <w:shd w:val="clear" w:color="auto" w:fill="auto"/>
          </w:tcPr>
          <w:p w14:paraId="10B6FCE7" w14:textId="77777777" w:rsidR="00DD13BF" w:rsidRPr="00FA0677" w:rsidRDefault="00DD13BF" w:rsidP="00355A56">
            <w:pPr>
              <w:pStyle w:val="TableParagraph"/>
              <w:rPr>
                <w:sz w:val="20"/>
              </w:rPr>
            </w:pPr>
            <w:r>
              <w:rPr>
                <w:sz w:val="20"/>
              </w:rPr>
              <w:t>RCO80</w:t>
            </w:r>
          </w:p>
        </w:tc>
        <w:tc>
          <w:tcPr>
            <w:tcW w:w="3333" w:type="dxa"/>
            <w:shd w:val="clear" w:color="auto" w:fill="auto"/>
          </w:tcPr>
          <w:p w14:paraId="5710E170" w14:textId="77777777" w:rsidR="00DD13BF" w:rsidRPr="00FA0677" w:rsidRDefault="00DD13BF" w:rsidP="00355A56">
            <w:pPr>
              <w:pStyle w:val="TableParagraph"/>
              <w:rPr>
                <w:sz w:val="20"/>
              </w:rPr>
            </w:pPr>
            <w:r>
              <w:rPr>
                <w:color w:val="000000"/>
                <w:sz w:val="20"/>
              </w:rPr>
              <w:t>Community-led local development strategies supported</w:t>
            </w:r>
          </w:p>
        </w:tc>
        <w:tc>
          <w:tcPr>
            <w:tcW w:w="1276" w:type="dxa"/>
            <w:shd w:val="clear" w:color="auto" w:fill="auto"/>
          </w:tcPr>
          <w:p w14:paraId="3DA57661" w14:textId="77777777" w:rsidR="00DD13BF" w:rsidRPr="00FA0677" w:rsidRDefault="00DD13BF" w:rsidP="00355A56">
            <w:pPr>
              <w:pStyle w:val="TableParagraph"/>
              <w:rPr>
                <w:sz w:val="20"/>
              </w:rPr>
            </w:pPr>
            <w:r>
              <w:rPr>
                <w:sz w:val="20"/>
              </w:rPr>
              <w:t>Strategies</w:t>
            </w:r>
          </w:p>
        </w:tc>
        <w:tc>
          <w:tcPr>
            <w:tcW w:w="1418" w:type="dxa"/>
          </w:tcPr>
          <w:p w14:paraId="0FBB4846" w14:textId="77777777" w:rsidR="00DD13BF" w:rsidRPr="00FA0677" w:rsidRDefault="00DD13BF" w:rsidP="00355A56">
            <w:pPr>
              <w:pStyle w:val="TableParagraph"/>
              <w:rPr>
                <w:sz w:val="20"/>
              </w:rPr>
            </w:pPr>
            <w:r>
              <w:rPr>
                <w:sz w:val="20"/>
              </w:rPr>
              <w:t>25</w:t>
            </w:r>
          </w:p>
        </w:tc>
        <w:tc>
          <w:tcPr>
            <w:tcW w:w="1134" w:type="dxa"/>
          </w:tcPr>
          <w:p w14:paraId="1ED06186" w14:textId="77777777" w:rsidR="00DD13BF" w:rsidRPr="00FA0677" w:rsidRDefault="00DD13BF" w:rsidP="00355A56">
            <w:pPr>
              <w:pStyle w:val="TableParagraph"/>
              <w:rPr>
                <w:sz w:val="20"/>
              </w:rPr>
            </w:pPr>
            <w:r>
              <w:rPr>
                <w:sz w:val="20"/>
              </w:rPr>
              <w:t>25</w:t>
            </w:r>
          </w:p>
        </w:tc>
      </w:tr>
      <w:tr w:rsidR="00DD13BF" w14:paraId="343EA557" w14:textId="77777777" w:rsidTr="00355A56">
        <w:trPr>
          <w:trHeight w:val="367"/>
        </w:trPr>
        <w:tc>
          <w:tcPr>
            <w:tcW w:w="1834" w:type="dxa"/>
          </w:tcPr>
          <w:p w14:paraId="3FC73475" w14:textId="77777777" w:rsidR="00DD13BF" w:rsidRPr="00FA0677" w:rsidRDefault="00DD13BF" w:rsidP="00355A56">
            <w:pPr>
              <w:pStyle w:val="TableParagraph"/>
              <w:rPr>
                <w:sz w:val="20"/>
              </w:rPr>
            </w:pPr>
            <w:r>
              <w:rPr>
                <w:sz w:val="20"/>
              </w:rPr>
              <w:lastRenderedPageBreak/>
              <w:t>9</w:t>
            </w:r>
          </w:p>
        </w:tc>
        <w:tc>
          <w:tcPr>
            <w:tcW w:w="1559" w:type="dxa"/>
          </w:tcPr>
          <w:p w14:paraId="58343F73" w14:textId="77777777" w:rsidR="00DD13BF" w:rsidRPr="00FA0677" w:rsidRDefault="00DD13BF" w:rsidP="00355A56">
            <w:pPr>
              <w:pStyle w:val="TableParagraph"/>
              <w:rPr>
                <w:sz w:val="20"/>
              </w:rPr>
            </w:pPr>
            <w:r>
              <w:rPr>
                <w:color w:val="000000"/>
                <w:sz w:val="20"/>
              </w:rPr>
              <w:t>RSO5.2</w:t>
            </w:r>
          </w:p>
        </w:tc>
        <w:tc>
          <w:tcPr>
            <w:tcW w:w="708" w:type="dxa"/>
          </w:tcPr>
          <w:p w14:paraId="6772FB89" w14:textId="77777777" w:rsidR="00DD13BF" w:rsidRPr="00FA0677" w:rsidRDefault="00DD13BF" w:rsidP="00355A56">
            <w:pPr>
              <w:pStyle w:val="TableParagraph"/>
              <w:rPr>
                <w:sz w:val="20"/>
              </w:rPr>
            </w:pPr>
            <w:r>
              <w:rPr>
                <w:sz w:val="20"/>
              </w:rPr>
              <w:t>ERDF</w:t>
            </w:r>
          </w:p>
        </w:tc>
        <w:tc>
          <w:tcPr>
            <w:tcW w:w="1701" w:type="dxa"/>
          </w:tcPr>
          <w:p w14:paraId="4128B207" w14:textId="77777777" w:rsidR="00DD13BF" w:rsidRDefault="00DD13BF" w:rsidP="00355A56">
            <w:pPr>
              <w:pStyle w:val="TableParagraph"/>
              <w:rPr>
                <w:sz w:val="20"/>
              </w:rPr>
            </w:pPr>
            <w:r>
              <w:rPr>
                <w:sz w:val="20"/>
              </w:rPr>
              <w:t>More developed</w:t>
            </w:r>
          </w:p>
          <w:p w14:paraId="514288AA" w14:textId="77777777" w:rsidR="00DD13BF" w:rsidRPr="00FA0677" w:rsidRDefault="00DD13BF" w:rsidP="00355A56">
            <w:pPr>
              <w:pStyle w:val="TableParagraph"/>
              <w:rPr>
                <w:sz w:val="20"/>
              </w:rPr>
            </w:pPr>
          </w:p>
          <w:p w14:paraId="0081BE99" w14:textId="77777777" w:rsidR="00DD13BF" w:rsidRPr="00FA0677" w:rsidRDefault="00DD13BF" w:rsidP="00355A56">
            <w:pPr>
              <w:pStyle w:val="TableParagraph"/>
              <w:rPr>
                <w:sz w:val="20"/>
              </w:rPr>
            </w:pPr>
          </w:p>
        </w:tc>
        <w:tc>
          <w:tcPr>
            <w:tcW w:w="778" w:type="dxa"/>
            <w:shd w:val="clear" w:color="auto" w:fill="auto"/>
          </w:tcPr>
          <w:p w14:paraId="0C79A916" w14:textId="77777777" w:rsidR="00DD13BF" w:rsidRPr="00FA0677" w:rsidRDefault="00DD13BF" w:rsidP="00355A56">
            <w:pPr>
              <w:pStyle w:val="TableParagraph"/>
              <w:rPr>
                <w:sz w:val="20"/>
              </w:rPr>
            </w:pPr>
            <w:r>
              <w:rPr>
                <w:sz w:val="20"/>
              </w:rPr>
              <w:t>RCO80</w:t>
            </w:r>
          </w:p>
        </w:tc>
        <w:tc>
          <w:tcPr>
            <w:tcW w:w="3333" w:type="dxa"/>
            <w:shd w:val="clear" w:color="auto" w:fill="auto"/>
          </w:tcPr>
          <w:p w14:paraId="325858A2" w14:textId="77777777" w:rsidR="00DD13BF" w:rsidRPr="00FA0677" w:rsidRDefault="00DD13BF" w:rsidP="00355A56">
            <w:pPr>
              <w:pStyle w:val="TableParagraph"/>
              <w:rPr>
                <w:sz w:val="20"/>
              </w:rPr>
            </w:pPr>
            <w:r>
              <w:rPr>
                <w:color w:val="000000"/>
                <w:sz w:val="20"/>
              </w:rPr>
              <w:t>Community-led local development strategies supported</w:t>
            </w:r>
          </w:p>
        </w:tc>
        <w:tc>
          <w:tcPr>
            <w:tcW w:w="1276" w:type="dxa"/>
            <w:shd w:val="clear" w:color="auto" w:fill="auto"/>
          </w:tcPr>
          <w:p w14:paraId="024D0134" w14:textId="77777777" w:rsidR="00DD13BF" w:rsidRPr="00FA0677" w:rsidRDefault="00DD13BF" w:rsidP="00355A56">
            <w:pPr>
              <w:pStyle w:val="TableParagraph"/>
              <w:rPr>
                <w:sz w:val="20"/>
              </w:rPr>
            </w:pPr>
            <w:r>
              <w:rPr>
                <w:sz w:val="20"/>
              </w:rPr>
              <w:t>Strategies</w:t>
            </w:r>
          </w:p>
        </w:tc>
        <w:tc>
          <w:tcPr>
            <w:tcW w:w="1418" w:type="dxa"/>
          </w:tcPr>
          <w:p w14:paraId="5F33E884" w14:textId="77777777" w:rsidR="00DD13BF" w:rsidRDefault="00DD13BF" w:rsidP="00355A56">
            <w:pPr>
              <w:pStyle w:val="TableParagraph"/>
              <w:rPr>
                <w:sz w:val="20"/>
              </w:rPr>
            </w:pPr>
            <w:r>
              <w:rPr>
                <w:sz w:val="20"/>
              </w:rPr>
              <w:t>12</w:t>
            </w:r>
          </w:p>
          <w:p w14:paraId="656BF020" w14:textId="77777777" w:rsidR="00DD13BF" w:rsidRPr="00FA0677" w:rsidRDefault="00DD13BF" w:rsidP="00355A56">
            <w:pPr>
              <w:pStyle w:val="TableParagraph"/>
              <w:rPr>
                <w:sz w:val="20"/>
              </w:rPr>
            </w:pPr>
          </w:p>
        </w:tc>
        <w:tc>
          <w:tcPr>
            <w:tcW w:w="1134" w:type="dxa"/>
          </w:tcPr>
          <w:p w14:paraId="78E7DE74" w14:textId="77777777" w:rsidR="00DD13BF" w:rsidRDefault="00DD13BF" w:rsidP="00355A56">
            <w:pPr>
              <w:pStyle w:val="TableParagraph"/>
              <w:rPr>
                <w:sz w:val="20"/>
              </w:rPr>
            </w:pPr>
            <w:r>
              <w:rPr>
                <w:sz w:val="20"/>
              </w:rPr>
              <w:t>12</w:t>
            </w:r>
          </w:p>
          <w:p w14:paraId="724DF861" w14:textId="77777777" w:rsidR="00DD13BF" w:rsidRPr="00FA0677" w:rsidRDefault="00DD13BF" w:rsidP="00355A56">
            <w:pPr>
              <w:pStyle w:val="TableParagraph"/>
              <w:rPr>
                <w:sz w:val="20"/>
              </w:rPr>
            </w:pPr>
          </w:p>
        </w:tc>
      </w:tr>
    </w:tbl>
    <w:p w14:paraId="6259B712" w14:textId="77777777" w:rsidR="00DD13BF" w:rsidRDefault="00DD13BF" w:rsidP="00DD13BF">
      <w:pPr>
        <w:rPr>
          <w:sz w:val="24"/>
        </w:rPr>
      </w:pPr>
    </w:p>
    <w:p w14:paraId="26D11DC9" w14:textId="77777777" w:rsidR="00DD13BF" w:rsidRDefault="00DD13BF" w:rsidP="00DD13BF">
      <w:pPr>
        <w:ind w:left="379"/>
      </w:pPr>
      <w:r>
        <w:t>Table 3: Result indicators</w:t>
      </w:r>
    </w:p>
    <w:p w14:paraId="3F705F3E" w14:textId="77777777" w:rsidR="00DD13BF" w:rsidRDefault="00DD13BF" w:rsidP="00DD13BF">
      <w:pPr>
        <w:rPr>
          <w:sz w:val="21"/>
        </w:rPr>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0"/>
        <w:gridCol w:w="1276"/>
        <w:gridCol w:w="696"/>
        <w:gridCol w:w="1572"/>
        <w:gridCol w:w="709"/>
        <w:gridCol w:w="2551"/>
        <w:gridCol w:w="708"/>
        <w:gridCol w:w="1134"/>
        <w:gridCol w:w="993"/>
        <w:gridCol w:w="851"/>
        <w:gridCol w:w="851"/>
        <w:gridCol w:w="850"/>
      </w:tblGrid>
      <w:tr w:rsidR="00DD13BF" w14:paraId="083D74C8" w14:textId="77777777" w:rsidTr="00355A56">
        <w:trPr>
          <w:trHeight w:val="353"/>
        </w:trPr>
        <w:tc>
          <w:tcPr>
            <w:tcW w:w="1550" w:type="dxa"/>
          </w:tcPr>
          <w:p w14:paraId="5502A257" w14:textId="77777777" w:rsidR="00DD13BF" w:rsidRPr="00347461" w:rsidRDefault="00DD13BF" w:rsidP="00355A56">
            <w:pPr>
              <w:pStyle w:val="TableParagraph"/>
              <w:rPr>
                <w:sz w:val="20"/>
              </w:rPr>
            </w:pPr>
            <w:r>
              <w:rPr>
                <w:sz w:val="20"/>
              </w:rPr>
              <w:t>Priority</w:t>
            </w:r>
          </w:p>
        </w:tc>
        <w:tc>
          <w:tcPr>
            <w:tcW w:w="1276" w:type="dxa"/>
          </w:tcPr>
          <w:p w14:paraId="611AD51F" w14:textId="77777777" w:rsidR="00DD13BF" w:rsidRPr="00347461" w:rsidRDefault="00DD13BF" w:rsidP="00355A56">
            <w:pPr>
              <w:pStyle w:val="TableParagraph"/>
              <w:rPr>
                <w:sz w:val="20"/>
              </w:rPr>
            </w:pPr>
            <w:r>
              <w:rPr>
                <w:sz w:val="20"/>
              </w:rPr>
              <w:t>Specific objective</w:t>
            </w:r>
          </w:p>
        </w:tc>
        <w:tc>
          <w:tcPr>
            <w:tcW w:w="696" w:type="dxa"/>
          </w:tcPr>
          <w:p w14:paraId="5D6EE738" w14:textId="77777777" w:rsidR="00DD13BF" w:rsidRPr="00347461" w:rsidRDefault="00DD13BF" w:rsidP="00355A56">
            <w:pPr>
              <w:pStyle w:val="TableParagraph"/>
              <w:rPr>
                <w:sz w:val="20"/>
              </w:rPr>
            </w:pPr>
            <w:r>
              <w:rPr>
                <w:sz w:val="20"/>
              </w:rPr>
              <w:t>Fund</w:t>
            </w:r>
          </w:p>
        </w:tc>
        <w:tc>
          <w:tcPr>
            <w:tcW w:w="1572" w:type="dxa"/>
          </w:tcPr>
          <w:p w14:paraId="02A92AD6" w14:textId="77777777" w:rsidR="00DD13BF" w:rsidRPr="00347461" w:rsidRDefault="00DD13BF" w:rsidP="00355A56">
            <w:pPr>
              <w:pStyle w:val="TableParagraph"/>
              <w:rPr>
                <w:sz w:val="20"/>
              </w:rPr>
            </w:pPr>
            <w:r>
              <w:rPr>
                <w:sz w:val="20"/>
              </w:rPr>
              <w:t>Category of region</w:t>
            </w:r>
          </w:p>
        </w:tc>
        <w:tc>
          <w:tcPr>
            <w:tcW w:w="709" w:type="dxa"/>
          </w:tcPr>
          <w:p w14:paraId="2EDCFEE7" w14:textId="77777777" w:rsidR="00DD13BF" w:rsidRPr="00347461" w:rsidRDefault="00DD13BF" w:rsidP="00355A56">
            <w:pPr>
              <w:pStyle w:val="TableParagraph"/>
              <w:rPr>
                <w:sz w:val="20"/>
              </w:rPr>
            </w:pPr>
            <w:r>
              <w:rPr>
                <w:sz w:val="20"/>
              </w:rPr>
              <w:t>ID</w:t>
            </w:r>
          </w:p>
        </w:tc>
        <w:tc>
          <w:tcPr>
            <w:tcW w:w="2551" w:type="dxa"/>
          </w:tcPr>
          <w:p w14:paraId="6F2BAF5F" w14:textId="77777777" w:rsidR="00DD13BF" w:rsidRPr="00347461" w:rsidRDefault="00DD13BF" w:rsidP="00355A56">
            <w:pPr>
              <w:pStyle w:val="TableParagraph"/>
              <w:rPr>
                <w:sz w:val="20"/>
              </w:rPr>
            </w:pPr>
            <w:r>
              <w:rPr>
                <w:sz w:val="20"/>
              </w:rPr>
              <w:t>Indicator</w:t>
            </w:r>
          </w:p>
        </w:tc>
        <w:tc>
          <w:tcPr>
            <w:tcW w:w="708" w:type="dxa"/>
          </w:tcPr>
          <w:p w14:paraId="79F3BCFB" w14:textId="77777777" w:rsidR="00DD13BF" w:rsidRPr="00347461" w:rsidRDefault="00DD13BF" w:rsidP="00355A56">
            <w:pPr>
              <w:pStyle w:val="TableParagraph"/>
              <w:rPr>
                <w:sz w:val="20"/>
              </w:rPr>
            </w:pPr>
            <w:r>
              <w:rPr>
                <w:sz w:val="20"/>
              </w:rPr>
              <w:t>Measurement unit</w:t>
            </w:r>
          </w:p>
        </w:tc>
        <w:tc>
          <w:tcPr>
            <w:tcW w:w="1134" w:type="dxa"/>
          </w:tcPr>
          <w:p w14:paraId="16A5D190" w14:textId="77777777" w:rsidR="00DD13BF" w:rsidRPr="00347461" w:rsidRDefault="00DD13BF" w:rsidP="00355A56">
            <w:pPr>
              <w:pStyle w:val="TableParagraph"/>
              <w:rPr>
                <w:sz w:val="20"/>
              </w:rPr>
            </w:pPr>
            <w:r>
              <w:rPr>
                <w:sz w:val="20"/>
              </w:rPr>
              <w:t>Baseline or reference value</w:t>
            </w:r>
          </w:p>
        </w:tc>
        <w:tc>
          <w:tcPr>
            <w:tcW w:w="993" w:type="dxa"/>
          </w:tcPr>
          <w:p w14:paraId="726535D6" w14:textId="77777777" w:rsidR="00DD13BF" w:rsidRPr="00347461" w:rsidRDefault="00DD13BF" w:rsidP="00355A56">
            <w:pPr>
              <w:pStyle w:val="TableParagraph"/>
              <w:rPr>
                <w:sz w:val="20"/>
              </w:rPr>
            </w:pPr>
            <w:r>
              <w:rPr>
                <w:sz w:val="20"/>
              </w:rPr>
              <w:t>Reference year</w:t>
            </w:r>
          </w:p>
        </w:tc>
        <w:tc>
          <w:tcPr>
            <w:tcW w:w="851" w:type="dxa"/>
          </w:tcPr>
          <w:p w14:paraId="2FCF393F" w14:textId="77777777" w:rsidR="00DD13BF" w:rsidRPr="00347461" w:rsidRDefault="00DD13BF" w:rsidP="00355A56">
            <w:pPr>
              <w:pStyle w:val="TableParagraph"/>
              <w:rPr>
                <w:sz w:val="20"/>
              </w:rPr>
            </w:pPr>
            <w:r>
              <w:rPr>
                <w:sz w:val="20"/>
              </w:rPr>
              <w:t>Target (2029)</w:t>
            </w:r>
          </w:p>
        </w:tc>
        <w:tc>
          <w:tcPr>
            <w:tcW w:w="851" w:type="dxa"/>
          </w:tcPr>
          <w:p w14:paraId="3BD3EBF2" w14:textId="77777777" w:rsidR="00DD13BF" w:rsidRPr="00347461" w:rsidRDefault="00DD13BF" w:rsidP="00355A56">
            <w:pPr>
              <w:pStyle w:val="TableParagraph"/>
              <w:rPr>
                <w:sz w:val="20"/>
              </w:rPr>
            </w:pPr>
            <w:r>
              <w:rPr>
                <w:sz w:val="20"/>
              </w:rPr>
              <w:t>Source of data</w:t>
            </w:r>
          </w:p>
        </w:tc>
        <w:tc>
          <w:tcPr>
            <w:tcW w:w="850" w:type="dxa"/>
          </w:tcPr>
          <w:p w14:paraId="4C0F7662" w14:textId="77777777" w:rsidR="00DD13BF" w:rsidRPr="00347461" w:rsidRDefault="00DD13BF" w:rsidP="00355A56">
            <w:pPr>
              <w:pStyle w:val="TableParagraph"/>
              <w:rPr>
                <w:sz w:val="20"/>
              </w:rPr>
            </w:pPr>
            <w:r>
              <w:rPr>
                <w:sz w:val="20"/>
              </w:rPr>
              <w:t>Notes</w:t>
            </w:r>
          </w:p>
        </w:tc>
      </w:tr>
      <w:tr w:rsidR="00DD13BF" w14:paraId="211371A2" w14:textId="77777777" w:rsidTr="00355A56">
        <w:trPr>
          <w:trHeight w:val="353"/>
        </w:trPr>
        <w:tc>
          <w:tcPr>
            <w:tcW w:w="1550" w:type="dxa"/>
          </w:tcPr>
          <w:p w14:paraId="38B5D4B4" w14:textId="77777777" w:rsidR="00DD13BF" w:rsidRPr="00347461" w:rsidRDefault="00DD13BF" w:rsidP="00355A56">
            <w:pPr>
              <w:pStyle w:val="TableParagraph"/>
              <w:rPr>
                <w:sz w:val="20"/>
              </w:rPr>
            </w:pPr>
            <w:r>
              <w:rPr>
                <w:sz w:val="20"/>
              </w:rPr>
              <w:t>9</w:t>
            </w:r>
          </w:p>
        </w:tc>
        <w:tc>
          <w:tcPr>
            <w:tcW w:w="1276" w:type="dxa"/>
          </w:tcPr>
          <w:p w14:paraId="32ADD223" w14:textId="77777777" w:rsidR="00DD13BF" w:rsidRPr="00347461" w:rsidRDefault="00DD13BF" w:rsidP="00355A56">
            <w:pPr>
              <w:pStyle w:val="TableParagraph"/>
              <w:rPr>
                <w:sz w:val="20"/>
              </w:rPr>
            </w:pPr>
            <w:r>
              <w:rPr>
                <w:color w:val="000000"/>
                <w:sz w:val="20"/>
              </w:rPr>
              <w:t>RSO5.2</w:t>
            </w:r>
          </w:p>
        </w:tc>
        <w:tc>
          <w:tcPr>
            <w:tcW w:w="696" w:type="dxa"/>
          </w:tcPr>
          <w:p w14:paraId="51634CE6" w14:textId="77777777" w:rsidR="00DD13BF" w:rsidRPr="00347461" w:rsidRDefault="00DD13BF" w:rsidP="00355A56">
            <w:pPr>
              <w:pStyle w:val="TableParagraph"/>
              <w:rPr>
                <w:sz w:val="20"/>
              </w:rPr>
            </w:pPr>
            <w:r>
              <w:rPr>
                <w:sz w:val="20"/>
              </w:rPr>
              <w:t>ERDF</w:t>
            </w:r>
          </w:p>
        </w:tc>
        <w:tc>
          <w:tcPr>
            <w:tcW w:w="1572" w:type="dxa"/>
          </w:tcPr>
          <w:p w14:paraId="6989F8A1" w14:textId="77777777" w:rsidR="00DD13BF" w:rsidRPr="00347461" w:rsidRDefault="00DD13BF" w:rsidP="00355A56">
            <w:pPr>
              <w:pStyle w:val="TableParagraph"/>
              <w:rPr>
                <w:sz w:val="20"/>
              </w:rPr>
            </w:pPr>
            <w:r>
              <w:rPr>
                <w:sz w:val="20"/>
              </w:rPr>
              <w:t>Less developed</w:t>
            </w:r>
          </w:p>
        </w:tc>
        <w:tc>
          <w:tcPr>
            <w:tcW w:w="709" w:type="dxa"/>
          </w:tcPr>
          <w:p w14:paraId="6D1439F6" w14:textId="77777777" w:rsidR="00DD13BF" w:rsidRPr="00347461" w:rsidRDefault="00DD13BF" w:rsidP="00355A56">
            <w:pPr>
              <w:pStyle w:val="TableParagraph"/>
              <w:rPr>
                <w:sz w:val="20"/>
              </w:rPr>
            </w:pPr>
            <w:r>
              <w:rPr>
                <w:sz w:val="20"/>
              </w:rPr>
              <w:t>23</w:t>
            </w:r>
          </w:p>
        </w:tc>
        <w:tc>
          <w:tcPr>
            <w:tcW w:w="2551" w:type="dxa"/>
          </w:tcPr>
          <w:p w14:paraId="3C008DC6" w14:textId="77777777" w:rsidR="00DD13BF" w:rsidRPr="003B74EB" w:rsidRDefault="00DD13BF" w:rsidP="00355A56">
            <w:pPr>
              <w:pStyle w:val="TableParagraph"/>
              <w:rPr>
                <w:sz w:val="20"/>
              </w:rPr>
            </w:pPr>
            <w:r>
              <w:rPr>
                <w:sz w:val="20"/>
              </w:rPr>
              <w:t>Residents at the local level benefiting from improved and more balanced local development</w:t>
            </w:r>
          </w:p>
        </w:tc>
        <w:tc>
          <w:tcPr>
            <w:tcW w:w="708" w:type="dxa"/>
          </w:tcPr>
          <w:p w14:paraId="7C4BC50F" w14:textId="77777777" w:rsidR="00DD13BF" w:rsidRPr="003B74EB" w:rsidRDefault="00DD13BF" w:rsidP="00355A56">
            <w:pPr>
              <w:pStyle w:val="TableParagraph"/>
              <w:rPr>
                <w:sz w:val="20"/>
              </w:rPr>
            </w:pPr>
            <w:r>
              <w:rPr>
                <w:sz w:val="20"/>
              </w:rPr>
              <w:t>Number</w:t>
            </w:r>
          </w:p>
        </w:tc>
        <w:tc>
          <w:tcPr>
            <w:tcW w:w="1134" w:type="dxa"/>
          </w:tcPr>
          <w:p w14:paraId="01D3D261" w14:textId="77777777" w:rsidR="00DD13BF" w:rsidRPr="003B74EB" w:rsidRDefault="00DD13BF" w:rsidP="00355A56">
            <w:pPr>
              <w:pStyle w:val="TableParagraph"/>
              <w:rPr>
                <w:sz w:val="20"/>
              </w:rPr>
            </w:pPr>
            <w:r>
              <w:rPr>
                <w:sz w:val="20"/>
              </w:rPr>
              <w:t>0</w:t>
            </w:r>
          </w:p>
        </w:tc>
        <w:tc>
          <w:tcPr>
            <w:tcW w:w="993" w:type="dxa"/>
          </w:tcPr>
          <w:p w14:paraId="363A8584" w14:textId="77777777" w:rsidR="00DD13BF" w:rsidRPr="003B74EB" w:rsidRDefault="00DD13BF" w:rsidP="00355A56">
            <w:pPr>
              <w:pStyle w:val="TableParagraph"/>
              <w:rPr>
                <w:sz w:val="20"/>
              </w:rPr>
            </w:pPr>
            <w:r>
              <w:rPr>
                <w:sz w:val="20"/>
              </w:rPr>
              <w:t>2021</w:t>
            </w:r>
          </w:p>
        </w:tc>
        <w:tc>
          <w:tcPr>
            <w:tcW w:w="851" w:type="dxa"/>
          </w:tcPr>
          <w:p w14:paraId="7E20EE38" w14:textId="77777777" w:rsidR="00DD13BF" w:rsidRPr="003B74EB" w:rsidRDefault="00DD13BF" w:rsidP="00355A56">
            <w:pPr>
              <w:pStyle w:val="TableParagraph"/>
              <w:rPr>
                <w:sz w:val="20"/>
              </w:rPr>
            </w:pPr>
            <w:r>
              <w:rPr>
                <w:sz w:val="20"/>
              </w:rPr>
              <w:t>1,113,506</w:t>
            </w:r>
          </w:p>
        </w:tc>
        <w:tc>
          <w:tcPr>
            <w:tcW w:w="851" w:type="dxa"/>
          </w:tcPr>
          <w:p w14:paraId="505FE64F" w14:textId="77777777" w:rsidR="00DD13BF" w:rsidRPr="003B74EB" w:rsidRDefault="00DD13BF" w:rsidP="00355A56">
            <w:pPr>
              <w:pStyle w:val="TableParagraph"/>
              <w:rPr>
                <w:sz w:val="20"/>
              </w:rPr>
            </w:pPr>
            <w:r>
              <w:rPr>
                <w:sz w:val="20"/>
              </w:rPr>
              <w:t>SURS</w:t>
            </w:r>
          </w:p>
        </w:tc>
        <w:tc>
          <w:tcPr>
            <w:tcW w:w="850" w:type="dxa"/>
          </w:tcPr>
          <w:p w14:paraId="0A134A3B" w14:textId="77777777" w:rsidR="00DD13BF" w:rsidRPr="00347461" w:rsidRDefault="00DD13BF" w:rsidP="00355A56">
            <w:pPr>
              <w:pStyle w:val="TableParagraph"/>
              <w:rPr>
                <w:sz w:val="20"/>
              </w:rPr>
            </w:pPr>
          </w:p>
        </w:tc>
      </w:tr>
      <w:tr w:rsidR="00DD13BF" w14:paraId="61BDA9BF" w14:textId="77777777" w:rsidTr="00355A56">
        <w:trPr>
          <w:trHeight w:val="353"/>
        </w:trPr>
        <w:tc>
          <w:tcPr>
            <w:tcW w:w="1550" w:type="dxa"/>
          </w:tcPr>
          <w:p w14:paraId="01FB102C" w14:textId="77777777" w:rsidR="00DD13BF" w:rsidRPr="00347461" w:rsidRDefault="00DD13BF" w:rsidP="00355A56">
            <w:pPr>
              <w:pStyle w:val="TableParagraph"/>
              <w:rPr>
                <w:sz w:val="20"/>
              </w:rPr>
            </w:pPr>
            <w:r>
              <w:rPr>
                <w:sz w:val="20"/>
              </w:rPr>
              <w:t>9</w:t>
            </w:r>
          </w:p>
        </w:tc>
        <w:tc>
          <w:tcPr>
            <w:tcW w:w="1276" w:type="dxa"/>
          </w:tcPr>
          <w:p w14:paraId="17A823EE" w14:textId="77777777" w:rsidR="00DD13BF" w:rsidRPr="00347461" w:rsidRDefault="00DD13BF" w:rsidP="00355A56">
            <w:pPr>
              <w:pStyle w:val="TableParagraph"/>
              <w:rPr>
                <w:sz w:val="20"/>
              </w:rPr>
            </w:pPr>
            <w:r>
              <w:rPr>
                <w:color w:val="000000"/>
                <w:sz w:val="20"/>
              </w:rPr>
              <w:t>RSO5.2</w:t>
            </w:r>
          </w:p>
        </w:tc>
        <w:tc>
          <w:tcPr>
            <w:tcW w:w="696" w:type="dxa"/>
          </w:tcPr>
          <w:p w14:paraId="287720EE" w14:textId="77777777" w:rsidR="00DD13BF" w:rsidRPr="00347461" w:rsidRDefault="00DD13BF" w:rsidP="00355A56">
            <w:pPr>
              <w:pStyle w:val="TableParagraph"/>
              <w:rPr>
                <w:sz w:val="20"/>
              </w:rPr>
            </w:pPr>
            <w:r>
              <w:rPr>
                <w:sz w:val="20"/>
              </w:rPr>
              <w:t>ERDF</w:t>
            </w:r>
          </w:p>
        </w:tc>
        <w:tc>
          <w:tcPr>
            <w:tcW w:w="1572" w:type="dxa"/>
          </w:tcPr>
          <w:p w14:paraId="7D370F2B" w14:textId="77777777" w:rsidR="00DD13BF" w:rsidRDefault="00DD13BF" w:rsidP="00355A56">
            <w:pPr>
              <w:pStyle w:val="TableParagraph"/>
              <w:rPr>
                <w:sz w:val="20"/>
              </w:rPr>
            </w:pPr>
            <w:r>
              <w:rPr>
                <w:sz w:val="20"/>
              </w:rPr>
              <w:t>More developed</w:t>
            </w:r>
          </w:p>
          <w:p w14:paraId="444DD41D" w14:textId="77777777" w:rsidR="00DD13BF" w:rsidRPr="00FA0677" w:rsidRDefault="00DD13BF" w:rsidP="00355A56">
            <w:pPr>
              <w:pStyle w:val="TableParagraph"/>
              <w:rPr>
                <w:sz w:val="20"/>
              </w:rPr>
            </w:pPr>
          </w:p>
          <w:p w14:paraId="78CF4129" w14:textId="77777777" w:rsidR="00DD13BF" w:rsidRPr="00347461" w:rsidRDefault="00DD13BF" w:rsidP="00355A56">
            <w:pPr>
              <w:pStyle w:val="TableParagraph"/>
              <w:rPr>
                <w:sz w:val="20"/>
              </w:rPr>
            </w:pPr>
          </w:p>
        </w:tc>
        <w:tc>
          <w:tcPr>
            <w:tcW w:w="709" w:type="dxa"/>
          </w:tcPr>
          <w:p w14:paraId="4203BFED" w14:textId="77777777" w:rsidR="00DD13BF" w:rsidRPr="00347461" w:rsidRDefault="00DD13BF" w:rsidP="00355A56">
            <w:pPr>
              <w:pStyle w:val="TableParagraph"/>
              <w:rPr>
                <w:sz w:val="20"/>
              </w:rPr>
            </w:pPr>
            <w:r>
              <w:rPr>
                <w:sz w:val="20"/>
              </w:rPr>
              <w:t>23</w:t>
            </w:r>
          </w:p>
        </w:tc>
        <w:tc>
          <w:tcPr>
            <w:tcW w:w="2551" w:type="dxa"/>
          </w:tcPr>
          <w:p w14:paraId="24E6AEA8" w14:textId="77777777" w:rsidR="00DD13BF" w:rsidRPr="003B74EB" w:rsidRDefault="00DD13BF" w:rsidP="00355A56">
            <w:pPr>
              <w:pStyle w:val="TableParagraph"/>
              <w:rPr>
                <w:sz w:val="20"/>
              </w:rPr>
            </w:pPr>
            <w:r>
              <w:rPr>
                <w:sz w:val="20"/>
              </w:rPr>
              <w:t>Residents at the local level benefiting from improved and more balanced local development</w:t>
            </w:r>
          </w:p>
        </w:tc>
        <w:tc>
          <w:tcPr>
            <w:tcW w:w="708" w:type="dxa"/>
          </w:tcPr>
          <w:p w14:paraId="40C7286A" w14:textId="77777777" w:rsidR="00DD13BF" w:rsidRPr="003B74EB" w:rsidRDefault="00DD13BF" w:rsidP="00355A56">
            <w:pPr>
              <w:pStyle w:val="TableParagraph"/>
              <w:rPr>
                <w:sz w:val="20"/>
              </w:rPr>
            </w:pPr>
            <w:r>
              <w:rPr>
                <w:sz w:val="20"/>
              </w:rPr>
              <w:t>Number</w:t>
            </w:r>
          </w:p>
        </w:tc>
        <w:tc>
          <w:tcPr>
            <w:tcW w:w="1134" w:type="dxa"/>
          </w:tcPr>
          <w:p w14:paraId="33664BFE" w14:textId="77777777" w:rsidR="00DD13BF" w:rsidRPr="003B74EB" w:rsidRDefault="00DD13BF" w:rsidP="00355A56">
            <w:pPr>
              <w:pStyle w:val="TableParagraph"/>
              <w:rPr>
                <w:sz w:val="20"/>
              </w:rPr>
            </w:pPr>
            <w:r>
              <w:rPr>
                <w:sz w:val="20"/>
              </w:rPr>
              <w:t>0</w:t>
            </w:r>
          </w:p>
        </w:tc>
        <w:tc>
          <w:tcPr>
            <w:tcW w:w="993" w:type="dxa"/>
          </w:tcPr>
          <w:p w14:paraId="767E0ECF" w14:textId="77777777" w:rsidR="00DD13BF" w:rsidRPr="003B74EB" w:rsidRDefault="00DD13BF" w:rsidP="00355A56">
            <w:pPr>
              <w:pStyle w:val="TableParagraph"/>
              <w:rPr>
                <w:sz w:val="20"/>
              </w:rPr>
            </w:pPr>
            <w:r>
              <w:rPr>
                <w:sz w:val="20"/>
              </w:rPr>
              <w:t>2021</w:t>
            </w:r>
          </w:p>
        </w:tc>
        <w:tc>
          <w:tcPr>
            <w:tcW w:w="851" w:type="dxa"/>
          </w:tcPr>
          <w:p w14:paraId="5D0B1C99" w14:textId="77777777" w:rsidR="00DD13BF" w:rsidRPr="003B74EB" w:rsidRDefault="00DD13BF" w:rsidP="00355A56">
            <w:pPr>
              <w:pStyle w:val="TableParagraph"/>
              <w:rPr>
                <w:sz w:val="20"/>
              </w:rPr>
            </w:pPr>
            <w:r>
              <w:rPr>
                <w:sz w:val="20"/>
              </w:rPr>
              <w:t>993,492</w:t>
            </w:r>
          </w:p>
        </w:tc>
        <w:tc>
          <w:tcPr>
            <w:tcW w:w="851" w:type="dxa"/>
          </w:tcPr>
          <w:p w14:paraId="0E550E19" w14:textId="77777777" w:rsidR="00DD13BF" w:rsidRPr="003B74EB" w:rsidRDefault="00DD13BF" w:rsidP="00355A56">
            <w:pPr>
              <w:pStyle w:val="TableParagraph"/>
              <w:rPr>
                <w:sz w:val="20"/>
              </w:rPr>
            </w:pPr>
            <w:r>
              <w:rPr>
                <w:sz w:val="20"/>
              </w:rPr>
              <w:t>SURS</w:t>
            </w:r>
          </w:p>
        </w:tc>
        <w:tc>
          <w:tcPr>
            <w:tcW w:w="850" w:type="dxa"/>
          </w:tcPr>
          <w:p w14:paraId="700A99DD" w14:textId="77777777" w:rsidR="00DD13BF" w:rsidRPr="00347461" w:rsidRDefault="00DD13BF" w:rsidP="00355A56">
            <w:pPr>
              <w:pStyle w:val="TableParagraph"/>
              <w:rPr>
                <w:sz w:val="20"/>
              </w:rPr>
            </w:pPr>
          </w:p>
        </w:tc>
      </w:tr>
    </w:tbl>
    <w:p w14:paraId="4425E4F8" w14:textId="77777777" w:rsidR="00DD13BF" w:rsidRPr="00F81084" w:rsidRDefault="00DD13BF" w:rsidP="00DD13BF">
      <w:pPr>
        <w:pStyle w:val="Telobesedila"/>
      </w:pPr>
    </w:p>
    <w:p w14:paraId="7CCDDD19" w14:textId="77777777" w:rsidR="00DD13BF" w:rsidRPr="00F81084" w:rsidRDefault="00DD13BF" w:rsidP="00DD13BF">
      <w:pPr>
        <w:pStyle w:val="Telobesedila"/>
      </w:pPr>
    </w:p>
    <w:p w14:paraId="00A81494" w14:textId="77777777" w:rsidR="00DD13BF" w:rsidRDefault="00DD13BF" w:rsidP="00DD13BF">
      <w:pPr>
        <w:pStyle w:val="Naslov5"/>
        <w:numPr>
          <w:ilvl w:val="4"/>
          <w:numId w:val="16"/>
        </w:numPr>
        <w:spacing w:before="0"/>
      </w:pPr>
      <w:r>
        <w:t>Indicative breakdown of the programme resources (EU) by type of intervention</w:t>
      </w:r>
    </w:p>
    <w:p w14:paraId="4B2A150E" w14:textId="77777777" w:rsidR="00DD13BF" w:rsidRDefault="00DD13BF" w:rsidP="00DD13BF">
      <w:pPr>
        <w:ind w:left="640"/>
        <w:rPr>
          <w:spacing w:val="-5"/>
        </w:rPr>
      </w:pPr>
    </w:p>
    <w:p w14:paraId="2876A922" w14:textId="77777777" w:rsidR="00DD13BF" w:rsidRPr="00673ADB" w:rsidRDefault="00DD13BF" w:rsidP="00DD13BF">
      <w:pPr>
        <w:ind w:left="339"/>
        <w:rPr>
          <w:spacing w:val="-7"/>
        </w:rPr>
      </w:pPr>
      <w:r>
        <w:t>Table 4: Dimension 1 – intervention field</w:t>
      </w:r>
    </w:p>
    <w:p w14:paraId="6B4343A2"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21496967" w14:textId="77777777" w:rsidTr="00355A56">
        <w:trPr>
          <w:trHeight w:val="353"/>
        </w:trPr>
        <w:tc>
          <w:tcPr>
            <w:tcW w:w="2088" w:type="dxa"/>
          </w:tcPr>
          <w:p w14:paraId="0E86863B" w14:textId="77777777" w:rsidR="00DD13BF" w:rsidRDefault="00DD13BF" w:rsidP="00355A56">
            <w:pPr>
              <w:pStyle w:val="TableParagraph"/>
              <w:ind w:left="115"/>
            </w:pPr>
            <w:r>
              <w:t>Priority no.</w:t>
            </w:r>
          </w:p>
        </w:tc>
        <w:tc>
          <w:tcPr>
            <w:tcW w:w="1133" w:type="dxa"/>
          </w:tcPr>
          <w:p w14:paraId="59D839F5" w14:textId="77777777" w:rsidR="00DD13BF" w:rsidRDefault="00DD13BF" w:rsidP="00355A56">
            <w:pPr>
              <w:pStyle w:val="TableParagraph"/>
              <w:ind w:left="320"/>
            </w:pPr>
            <w:r>
              <w:t>Fund</w:t>
            </w:r>
          </w:p>
        </w:tc>
        <w:tc>
          <w:tcPr>
            <w:tcW w:w="3249" w:type="dxa"/>
          </w:tcPr>
          <w:p w14:paraId="57345281" w14:textId="77777777" w:rsidR="00DD13BF" w:rsidRDefault="00DD13BF" w:rsidP="00355A56">
            <w:pPr>
              <w:pStyle w:val="TableParagraph"/>
              <w:ind w:left="907"/>
            </w:pPr>
            <w:r>
              <w:t>Category of region</w:t>
            </w:r>
          </w:p>
        </w:tc>
        <w:tc>
          <w:tcPr>
            <w:tcW w:w="3099" w:type="dxa"/>
          </w:tcPr>
          <w:p w14:paraId="0D4E0B4A" w14:textId="77777777" w:rsidR="00DD13BF" w:rsidRDefault="00DD13BF" w:rsidP="00355A56">
            <w:pPr>
              <w:pStyle w:val="TableParagraph"/>
              <w:ind w:left="948"/>
            </w:pPr>
            <w:r>
              <w:t>Specific objective</w:t>
            </w:r>
          </w:p>
        </w:tc>
        <w:tc>
          <w:tcPr>
            <w:tcW w:w="1161" w:type="dxa"/>
          </w:tcPr>
          <w:p w14:paraId="0613C2FE" w14:textId="77777777" w:rsidR="00DD13BF" w:rsidRDefault="00DD13BF" w:rsidP="00355A56">
            <w:pPr>
              <w:pStyle w:val="TableParagraph"/>
              <w:ind w:left="333"/>
            </w:pPr>
            <w:r>
              <w:t>Code</w:t>
            </w:r>
          </w:p>
        </w:tc>
        <w:tc>
          <w:tcPr>
            <w:tcW w:w="2731" w:type="dxa"/>
          </w:tcPr>
          <w:p w14:paraId="3F2C4B16" w14:textId="77777777" w:rsidR="00DD13BF" w:rsidRDefault="00DD13BF" w:rsidP="00355A56">
            <w:pPr>
              <w:pStyle w:val="TableParagraph"/>
              <w:ind w:left="660"/>
            </w:pPr>
            <w:r>
              <w:t>Amount (in EUR)</w:t>
            </w:r>
          </w:p>
        </w:tc>
      </w:tr>
      <w:tr w:rsidR="00DD13BF" w14:paraId="254F6257" w14:textId="77777777" w:rsidTr="00355A56">
        <w:trPr>
          <w:trHeight w:val="353"/>
        </w:trPr>
        <w:tc>
          <w:tcPr>
            <w:tcW w:w="2088" w:type="dxa"/>
          </w:tcPr>
          <w:p w14:paraId="185D692A" w14:textId="77777777" w:rsidR="00DD13BF" w:rsidRDefault="00DD13BF" w:rsidP="00355A56">
            <w:pPr>
              <w:pStyle w:val="TableParagraph"/>
              <w:rPr>
                <w:sz w:val="20"/>
              </w:rPr>
            </w:pPr>
            <w:r>
              <w:rPr>
                <w:sz w:val="20"/>
              </w:rPr>
              <w:t>9</w:t>
            </w:r>
          </w:p>
        </w:tc>
        <w:tc>
          <w:tcPr>
            <w:tcW w:w="1133" w:type="dxa"/>
          </w:tcPr>
          <w:p w14:paraId="52983471" w14:textId="77777777" w:rsidR="00DD13BF" w:rsidRDefault="00DD13BF" w:rsidP="00355A56">
            <w:pPr>
              <w:pStyle w:val="TableParagraph"/>
              <w:rPr>
                <w:sz w:val="20"/>
              </w:rPr>
            </w:pPr>
            <w:r>
              <w:rPr>
                <w:sz w:val="20"/>
              </w:rPr>
              <w:t>ERDF</w:t>
            </w:r>
          </w:p>
        </w:tc>
        <w:tc>
          <w:tcPr>
            <w:tcW w:w="3249" w:type="dxa"/>
          </w:tcPr>
          <w:p w14:paraId="3420B821" w14:textId="77777777" w:rsidR="00DD13BF" w:rsidRDefault="00DD13BF" w:rsidP="00355A56">
            <w:pPr>
              <w:pStyle w:val="TableParagraph"/>
              <w:rPr>
                <w:sz w:val="20"/>
              </w:rPr>
            </w:pPr>
            <w:r>
              <w:rPr>
                <w:sz w:val="20"/>
              </w:rPr>
              <w:t>Less developed</w:t>
            </w:r>
          </w:p>
        </w:tc>
        <w:tc>
          <w:tcPr>
            <w:tcW w:w="3099" w:type="dxa"/>
          </w:tcPr>
          <w:p w14:paraId="6644A519" w14:textId="77777777" w:rsidR="00DD13BF" w:rsidRDefault="00DD13BF" w:rsidP="00355A56">
            <w:pPr>
              <w:pStyle w:val="TableParagraph"/>
              <w:rPr>
                <w:sz w:val="20"/>
              </w:rPr>
            </w:pPr>
            <w:r>
              <w:rPr>
                <w:color w:val="000000"/>
                <w:sz w:val="20"/>
              </w:rPr>
              <w:t>RSO5.2</w:t>
            </w:r>
          </w:p>
        </w:tc>
        <w:tc>
          <w:tcPr>
            <w:tcW w:w="1161" w:type="dxa"/>
          </w:tcPr>
          <w:p w14:paraId="727EAB7C" w14:textId="77777777" w:rsidR="00DD13BF" w:rsidRDefault="00DD13BF" w:rsidP="00355A56">
            <w:pPr>
              <w:pStyle w:val="TableParagraph"/>
              <w:rPr>
                <w:sz w:val="20"/>
              </w:rPr>
            </w:pPr>
            <w:r>
              <w:rPr>
                <w:sz w:val="20"/>
              </w:rPr>
              <w:t>169</w:t>
            </w:r>
          </w:p>
        </w:tc>
        <w:tc>
          <w:tcPr>
            <w:tcW w:w="2731" w:type="dxa"/>
          </w:tcPr>
          <w:p w14:paraId="0085BA79" w14:textId="77777777" w:rsidR="00DD13BF" w:rsidRDefault="00DD13BF" w:rsidP="00355A56">
            <w:pPr>
              <w:pStyle w:val="TableParagraph"/>
              <w:rPr>
                <w:sz w:val="20"/>
              </w:rPr>
            </w:pPr>
            <w:r>
              <w:rPr>
                <w:sz w:val="20"/>
              </w:rPr>
              <w:t>22,842,812</w:t>
            </w:r>
          </w:p>
        </w:tc>
      </w:tr>
      <w:tr w:rsidR="00DD13BF" w14:paraId="6BFA3CCD" w14:textId="77777777" w:rsidTr="00355A56">
        <w:trPr>
          <w:trHeight w:val="353"/>
        </w:trPr>
        <w:tc>
          <w:tcPr>
            <w:tcW w:w="2088" w:type="dxa"/>
          </w:tcPr>
          <w:p w14:paraId="717C67CA" w14:textId="77777777" w:rsidR="00DD13BF" w:rsidRDefault="00DD13BF" w:rsidP="00355A56">
            <w:pPr>
              <w:pStyle w:val="TableParagraph"/>
              <w:rPr>
                <w:sz w:val="20"/>
              </w:rPr>
            </w:pPr>
            <w:r>
              <w:rPr>
                <w:sz w:val="20"/>
              </w:rPr>
              <w:t>9</w:t>
            </w:r>
          </w:p>
        </w:tc>
        <w:tc>
          <w:tcPr>
            <w:tcW w:w="1133" w:type="dxa"/>
          </w:tcPr>
          <w:p w14:paraId="4CA6A0F6" w14:textId="77777777" w:rsidR="00DD13BF" w:rsidRDefault="00DD13BF" w:rsidP="00355A56">
            <w:pPr>
              <w:pStyle w:val="TableParagraph"/>
              <w:rPr>
                <w:sz w:val="20"/>
              </w:rPr>
            </w:pPr>
            <w:r>
              <w:rPr>
                <w:sz w:val="20"/>
              </w:rPr>
              <w:t>ERDF</w:t>
            </w:r>
          </w:p>
        </w:tc>
        <w:tc>
          <w:tcPr>
            <w:tcW w:w="3249" w:type="dxa"/>
          </w:tcPr>
          <w:p w14:paraId="2F79E73E" w14:textId="77777777" w:rsidR="00DD13BF" w:rsidRDefault="00DD13BF" w:rsidP="00355A56">
            <w:pPr>
              <w:pStyle w:val="TableParagraph"/>
              <w:rPr>
                <w:sz w:val="20"/>
              </w:rPr>
            </w:pPr>
            <w:r>
              <w:rPr>
                <w:sz w:val="20"/>
              </w:rPr>
              <w:t>More developed</w:t>
            </w:r>
          </w:p>
        </w:tc>
        <w:tc>
          <w:tcPr>
            <w:tcW w:w="3099" w:type="dxa"/>
          </w:tcPr>
          <w:p w14:paraId="72A9023F" w14:textId="77777777" w:rsidR="00DD13BF" w:rsidRDefault="00DD13BF" w:rsidP="00355A56">
            <w:pPr>
              <w:pStyle w:val="TableParagraph"/>
              <w:rPr>
                <w:sz w:val="20"/>
              </w:rPr>
            </w:pPr>
            <w:r>
              <w:rPr>
                <w:color w:val="000000"/>
                <w:sz w:val="20"/>
              </w:rPr>
              <w:t>RSO5.2</w:t>
            </w:r>
          </w:p>
        </w:tc>
        <w:tc>
          <w:tcPr>
            <w:tcW w:w="1161" w:type="dxa"/>
          </w:tcPr>
          <w:p w14:paraId="58C82B16" w14:textId="77777777" w:rsidR="00DD13BF" w:rsidRDefault="00DD13BF" w:rsidP="00355A56">
            <w:pPr>
              <w:pStyle w:val="TableParagraph"/>
              <w:rPr>
                <w:sz w:val="20"/>
              </w:rPr>
            </w:pPr>
            <w:r>
              <w:rPr>
                <w:sz w:val="20"/>
              </w:rPr>
              <w:t>169</w:t>
            </w:r>
          </w:p>
        </w:tc>
        <w:tc>
          <w:tcPr>
            <w:tcW w:w="2731" w:type="dxa"/>
          </w:tcPr>
          <w:p w14:paraId="1229E31B" w14:textId="77777777" w:rsidR="00DD13BF" w:rsidRDefault="00DD13BF" w:rsidP="00355A56">
            <w:pPr>
              <w:pStyle w:val="TableParagraph"/>
              <w:rPr>
                <w:sz w:val="20"/>
              </w:rPr>
            </w:pPr>
            <w:r>
              <w:rPr>
                <w:sz w:val="20"/>
              </w:rPr>
              <w:t>5,297,973</w:t>
            </w:r>
          </w:p>
        </w:tc>
      </w:tr>
    </w:tbl>
    <w:p w14:paraId="79FB74F0" w14:textId="77777777" w:rsidR="00DD13BF" w:rsidRDefault="00DD13BF" w:rsidP="00DD13BF"/>
    <w:p w14:paraId="3EC20DC1" w14:textId="77777777" w:rsidR="00DD13BF" w:rsidRPr="00673ADB" w:rsidRDefault="00DD13BF" w:rsidP="00DD13BF">
      <w:pPr>
        <w:ind w:left="339"/>
        <w:rPr>
          <w:spacing w:val="-7"/>
        </w:rPr>
      </w:pPr>
      <w:r>
        <w:t>Table 5: Dimension 2 – form of financing</w:t>
      </w:r>
    </w:p>
    <w:p w14:paraId="3596749D"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4802AC08" w14:textId="77777777" w:rsidTr="00355A56">
        <w:trPr>
          <w:trHeight w:val="353"/>
        </w:trPr>
        <w:tc>
          <w:tcPr>
            <w:tcW w:w="2088" w:type="dxa"/>
          </w:tcPr>
          <w:p w14:paraId="68047A28" w14:textId="77777777" w:rsidR="00DD13BF" w:rsidRDefault="00DD13BF" w:rsidP="00355A56">
            <w:pPr>
              <w:pStyle w:val="TableParagraph"/>
              <w:ind w:left="115"/>
            </w:pPr>
            <w:r>
              <w:t>Priority no.</w:t>
            </w:r>
          </w:p>
        </w:tc>
        <w:tc>
          <w:tcPr>
            <w:tcW w:w="1133" w:type="dxa"/>
          </w:tcPr>
          <w:p w14:paraId="0ECF498B" w14:textId="77777777" w:rsidR="00DD13BF" w:rsidRDefault="00DD13BF" w:rsidP="00355A56">
            <w:pPr>
              <w:pStyle w:val="TableParagraph"/>
              <w:ind w:left="320"/>
            </w:pPr>
            <w:r>
              <w:t>Fund</w:t>
            </w:r>
          </w:p>
        </w:tc>
        <w:tc>
          <w:tcPr>
            <w:tcW w:w="3249" w:type="dxa"/>
          </w:tcPr>
          <w:p w14:paraId="41451A62" w14:textId="77777777" w:rsidR="00DD13BF" w:rsidRDefault="00DD13BF" w:rsidP="00355A56">
            <w:pPr>
              <w:pStyle w:val="TableParagraph"/>
              <w:ind w:left="907"/>
            </w:pPr>
            <w:r>
              <w:t>Category of region</w:t>
            </w:r>
          </w:p>
        </w:tc>
        <w:tc>
          <w:tcPr>
            <w:tcW w:w="3099" w:type="dxa"/>
          </w:tcPr>
          <w:p w14:paraId="131206FC" w14:textId="77777777" w:rsidR="00DD13BF" w:rsidRDefault="00DD13BF" w:rsidP="00355A56">
            <w:pPr>
              <w:pStyle w:val="TableParagraph"/>
              <w:ind w:left="948"/>
            </w:pPr>
            <w:r>
              <w:t>Specific objective</w:t>
            </w:r>
          </w:p>
        </w:tc>
        <w:tc>
          <w:tcPr>
            <w:tcW w:w="1161" w:type="dxa"/>
          </w:tcPr>
          <w:p w14:paraId="35A29BCF" w14:textId="77777777" w:rsidR="00DD13BF" w:rsidRDefault="00DD13BF" w:rsidP="00355A56">
            <w:pPr>
              <w:pStyle w:val="TableParagraph"/>
              <w:ind w:left="334"/>
            </w:pPr>
            <w:r>
              <w:t>Code</w:t>
            </w:r>
          </w:p>
        </w:tc>
        <w:tc>
          <w:tcPr>
            <w:tcW w:w="2731" w:type="dxa"/>
          </w:tcPr>
          <w:p w14:paraId="3A4018C2" w14:textId="77777777" w:rsidR="00DD13BF" w:rsidRDefault="00DD13BF" w:rsidP="00355A56">
            <w:pPr>
              <w:pStyle w:val="TableParagraph"/>
              <w:ind w:left="661"/>
            </w:pPr>
            <w:r>
              <w:t>Amount (in EUR)</w:t>
            </w:r>
          </w:p>
        </w:tc>
      </w:tr>
      <w:tr w:rsidR="00DD13BF" w14:paraId="67AE1A00" w14:textId="77777777" w:rsidTr="00355A56">
        <w:trPr>
          <w:trHeight w:val="449"/>
        </w:trPr>
        <w:tc>
          <w:tcPr>
            <w:tcW w:w="2088" w:type="dxa"/>
          </w:tcPr>
          <w:p w14:paraId="298E9BC7" w14:textId="77777777" w:rsidR="00DD13BF" w:rsidRDefault="00DD13BF" w:rsidP="00355A56">
            <w:pPr>
              <w:pStyle w:val="TableParagraph"/>
              <w:rPr>
                <w:sz w:val="20"/>
              </w:rPr>
            </w:pPr>
            <w:r>
              <w:rPr>
                <w:sz w:val="20"/>
              </w:rPr>
              <w:t>9</w:t>
            </w:r>
          </w:p>
        </w:tc>
        <w:tc>
          <w:tcPr>
            <w:tcW w:w="1133" w:type="dxa"/>
          </w:tcPr>
          <w:p w14:paraId="5EFAF835" w14:textId="77777777" w:rsidR="00DD13BF" w:rsidRDefault="00DD13BF" w:rsidP="00355A56">
            <w:pPr>
              <w:pStyle w:val="TableParagraph"/>
              <w:rPr>
                <w:sz w:val="20"/>
              </w:rPr>
            </w:pPr>
            <w:r>
              <w:rPr>
                <w:sz w:val="20"/>
              </w:rPr>
              <w:t>ERDF</w:t>
            </w:r>
          </w:p>
        </w:tc>
        <w:tc>
          <w:tcPr>
            <w:tcW w:w="3249" w:type="dxa"/>
          </w:tcPr>
          <w:p w14:paraId="5D10FE11" w14:textId="77777777" w:rsidR="00DD13BF" w:rsidRDefault="00DD13BF" w:rsidP="00355A56">
            <w:pPr>
              <w:pStyle w:val="TableParagraph"/>
              <w:rPr>
                <w:sz w:val="20"/>
              </w:rPr>
            </w:pPr>
            <w:r>
              <w:rPr>
                <w:sz w:val="20"/>
              </w:rPr>
              <w:t>Less developed</w:t>
            </w:r>
          </w:p>
        </w:tc>
        <w:tc>
          <w:tcPr>
            <w:tcW w:w="3099" w:type="dxa"/>
          </w:tcPr>
          <w:p w14:paraId="6FEFB2D5" w14:textId="77777777" w:rsidR="00DD13BF" w:rsidRDefault="00DD13BF" w:rsidP="00355A56">
            <w:pPr>
              <w:pStyle w:val="TableParagraph"/>
              <w:rPr>
                <w:sz w:val="20"/>
              </w:rPr>
            </w:pPr>
            <w:r>
              <w:rPr>
                <w:color w:val="000000"/>
                <w:sz w:val="20"/>
              </w:rPr>
              <w:t>RSO5.2</w:t>
            </w:r>
          </w:p>
        </w:tc>
        <w:tc>
          <w:tcPr>
            <w:tcW w:w="1161" w:type="dxa"/>
          </w:tcPr>
          <w:p w14:paraId="59AC7B5B" w14:textId="77777777" w:rsidR="00DD13BF" w:rsidRDefault="00DD13BF" w:rsidP="00355A56">
            <w:pPr>
              <w:pStyle w:val="TableParagraph"/>
              <w:rPr>
                <w:sz w:val="20"/>
              </w:rPr>
            </w:pPr>
            <w:r>
              <w:rPr>
                <w:sz w:val="20"/>
              </w:rPr>
              <w:t>01</w:t>
            </w:r>
          </w:p>
        </w:tc>
        <w:tc>
          <w:tcPr>
            <w:tcW w:w="2731" w:type="dxa"/>
          </w:tcPr>
          <w:p w14:paraId="49053424" w14:textId="77777777" w:rsidR="00DD13BF" w:rsidRDefault="00DD13BF" w:rsidP="00355A56">
            <w:pPr>
              <w:pStyle w:val="TableParagraph"/>
              <w:rPr>
                <w:sz w:val="20"/>
              </w:rPr>
            </w:pPr>
            <w:r>
              <w:rPr>
                <w:sz w:val="20"/>
              </w:rPr>
              <w:t>22,842,812</w:t>
            </w:r>
          </w:p>
        </w:tc>
      </w:tr>
      <w:tr w:rsidR="00DD13BF" w14:paraId="4C362DFC" w14:textId="77777777" w:rsidTr="00355A56">
        <w:trPr>
          <w:trHeight w:val="427"/>
        </w:trPr>
        <w:tc>
          <w:tcPr>
            <w:tcW w:w="2088" w:type="dxa"/>
          </w:tcPr>
          <w:p w14:paraId="1D28526F" w14:textId="77777777" w:rsidR="00DD13BF" w:rsidRDefault="00DD13BF" w:rsidP="00355A56">
            <w:pPr>
              <w:pStyle w:val="TableParagraph"/>
              <w:rPr>
                <w:sz w:val="20"/>
              </w:rPr>
            </w:pPr>
            <w:r>
              <w:rPr>
                <w:sz w:val="20"/>
              </w:rPr>
              <w:t>9</w:t>
            </w:r>
          </w:p>
        </w:tc>
        <w:tc>
          <w:tcPr>
            <w:tcW w:w="1133" w:type="dxa"/>
          </w:tcPr>
          <w:p w14:paraId="2EEF3D66" w14:textId="77777777" w:rsidR="00DD13BF" w:rsidRDefault="00DD13BF" w:rsidP="00355A56">
            <w:pPr>
              <w:pStyle w:val="TableParagraph"/>
              <w:rPr>
                <w:sz w:val="20"/>
              </w:rPr>
            </w:pPr>
            <w:r>
              <w:rPr>
                <w:sz w:val="20"/>
              </w:rPr>
              <w:t>ERDF</w:t>
            </w:r>
          </w:p>
        </w:tc>
        <w:tc>
          <w:tcPr>
            <w:tcW w:w="3249" w:type="dxa"/>
          </w:tcPr>
          <w:p w14:paraId="2B133A10" w14:textId="77777777" w:rsidR="00DD13BF" w:rsidRDefault="00DD13BF" w:rsidP="00355A56">
            <w:pPr>
              <w:pStyle w:val="TableParagraph"/>
              <w:rPr>
                <w:sz w:val="20"/>
              </w:rPr>
            </w:pPr>
            <w:r>
              <w:rPr>
                <w:sz w:val="20"/>
              </w:rPr>
              <w:t>More developed</w:t>
            </w:r>
          </w:p>
        </w:tc>
        <w:tc>
          <w:tcPr>
            <w:tcW w:w="3099" w:type="dxa"/>
          </w:tcPr>
          <w:p w14:paraId="1BA740A5" w14:textId="77777777" w:rsidR="00DD13BF" w:rsidRDefault="00DD13BF" w:rsidP="00355A56">
            <w:pPr>
              <w:pStyle w:val="TableParagraph"/>
              <w:rPr>
                <w:sz w:val="20"/>
              </w:rPr>
            </w:pPr>
            <w:r>
              <w:rPr>
                <w:color w:val="000000"/>
                <w:sz w:val="20"/>
              </w:rPr>
              <w:t>RSO5.2</w:t>
            </w:r>
          </w:p>
        </w:tc>
        <w:tc>
          <w:tcPr>
            <w:tcW w:w="1161" w:type="dxa"/>
          </w:tcPr>
          <w:p w14:paraId="7A67C2B2" w14:textId="77777777" w:rsidR="00DD13BF" w:rsidRDefault="00DD13BF" w:rsidP="00355A56">
            <w:pPr>
              <w:pStyle w:val="TableParagraph"/>
              <w:rPr>
                <w:sz w:val="20"/>
              </w:rPr>
            </w:pPr>
            <w:r>
              <w:rPr>
                <w:sz w:val="20"/>
              </w:rPr>
              <w:t>01</w:t>
            </w:r>
          </w:p>
        </w:tc>
        <w:tc>
          <w:tcPr>
            <w:tcW w:w="2731" w:type="dxa"/>
          </w:tcPr>
          <w:p w14:paraId="79A50ED0" w14:textId="77777777" w:rsidR="00DD13BF" w:rsidRDefault="00DD13BF" w:rsidP="00355A56">
            <w:pPr>
              <w:pStyle w:val="TableParagraph"/>
              <w:rPr>
                <w:sz w:val="20"/>
              </w:rPr>
            </w:pPr>
            <w:r>
              <w:rPr>
                <w:sz w:val="20"/>
              </w:rPr>
              <w:t>5,297,973</w:t>
            </w:r>
          </w:p>
        </w:tc>
      </w:tr>
    </w:tbl>
    <w:p w14:paraId="558EF017" w14:textId="77777777" w:rsidR="00DD13BF" w:rsidRDefault="00DD13BF" w:rsidP="00DD13BF">
      <w:pPr>
        <w:rPr>
          <w:sz w:val="20"/>
        </w:rPr>
        <w:sectPr w:rsidR="00DD13BF" w:rsidSect="00BD3536">
          <w:headerReference w:type="default" r:id="rId95"/>
          <w:footerReference w:type="first" r:id="rId96"/>
          <w:type w:val="continuous"/>
          <w:pgSz w:w="16840" w:h="11910" w:orient="landscape"/>
          <w:pgMar w:top="1417" w:right="1417" w:bottom="1417" w:left="1417" w:header="708" w:footer="708" w:gutter="0"/>
          <w:cols w:space="708"/>
          <w:titlePg/>
          <w:docGrid w:linePitch="299"/>
        </w:sectPr>
      </w:pPr>
    </w:p>
    <w:p w14:paraId="679D907F" w14:textId="77777777" w:rsidR="00DD13BF" w:rsidRDefault="00DD13BF" w:rsidP="00DD13BF">
      <w:pPr>
        <w:ind w:left="339"/>
      </w:pPr>
      <w:r>
        <w:lastRenderedPageBreak/>
        <w:t>Table 6: Dimension 3 – territorial delivery mechanism and territorial focus</w:t>
      </w:r>
    </w:p>
    <w:p w14:paraId="22BD58CA"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7E995314" w14:textId="77777777" w:rsidTr="00355A56">
        <w:trPr>
          <w:trHeight w:val="353"/>
        </w:trPr>
        <w:tc>
          <w:tcPr>
            <w:tcW w:w="2088" w:type="dxa"/>
          </w:tcPr>
          <w:p w14:paraId="55041280" w14:textId="77777777" w:rsidR="00DD13BF" w:rsidRDefault="00DD13BF" w:rsidP="00355A56">
            <w:pPr>
              <w:pStyle w:val="TableParagraph"/>
              <w:ind w:left="115"/>
            </w:pPr>
            <w:r>
              <w:t>Priority no.</w:t>
            </w:r>
          </w:p>
        </w:tc>
        <w:tc>
          <w:tcPr>
            <w:tcW w:w="1132" w:type="dxa"/>
          </w:tcPr>
          <w:p w14:paraId="18469F87" w14:textId="77777777" w:rsidR="00DD13BF" w:rsidRDefault="00DD13BF" w:rsidP="00355A56">
            <w:pPr>
              <w:pStyle w:val="TableParagraph"/>
              <w:ind w:left="320"/>
            </w:pPr>
            <w:r>
              <w:t>Fund</w:t>
            </w:r>
          </w:p>
        </w:tc>
        <w:tc>
          <w:tcPr>
            <w:tcW w:w="3248" w:type="dxa"/>
          </w:tcPr>
          <w:p w14:paraId="6862CE84" w14:textId="77777777" w:rsidR="00DD13BF" w:rsidRDefault="00DD13BF" w:rsidP="00355A56">
            <w:pPr>
              <w:pStyle w:val="TableParagraph"/>
              <w:ind w:left="908"/>
            </w:pPr>
            <w:r>
              <w:t>Category of region</w:t>
            </w:r>
          </w:p>
        </w:tc>
        <w:tc>
          <w:tcPr>
            <w:tcW w:w="3098" w:type="dxa"/>
          </w:tcPr>
          <w:p w14:paraId="31997AF1" w14:textId="77777777" w:rsidR="00DD13BF" w:rsidRDefault="00DD13BF" w:rsidP="00355A56">
            <w:pPr>
              <w:pStyle w:val="TableParagraph"/>
              <w:ind w:left="950"/>
            </w:pPr>
            <w:r>
              <w:t>Specific objective</w:t>
            </w:r>
          </w:p>
        </w:tc>
        <w:tc>
          <w:tcPr>
            <w:tcW w:w="1160" w:type="dxa"/>
          </w:tcPr>
          <w:p w14:paraId="680E32FC" w14:textId="77777777" w:rsidR="00DD13BF" w:rsidRPr="000F45E1" w:rsidRDefault="00DD13BF" w:rsidP="00355A56">
            <w:pPr>
              <w:pStyle w:val="TableParagraph"/>
              <w:ind w:left="336"/>
            </w:pPr>
            <w:r>
              <w:t>Code</w:t>
            </w:r>
          </w:p>
        </w:tc>
        <w:tc>
          <w:tcPr>
            <w:tcW w:w="2730" w:type="dxa"/>
          </w:tcPr>
          <w:p w14:paraId="03C6D9AC" w14:textId="77777777" w:rsidR="00DD13BF" w:rsidRDefault="00DD13BF" w:rsidP="00355A56">
            <w:pPr>
              <w:pStyle w:val="TableParagraph"/>
              <w:ind w:left="664"/>
            </w:pPr>
            <w:r>
              <w:t>Amount (in EUR)</w:t>
            </w:r>
          </w:p>
        </w:tc>
      </w:tr>
      <w:tr w:rsidR="00DD13BF" w14:paraId="55ABBB01" w14:textId="77777777" w:rsidTr="00355A56">
        <w:trPr>
          <w:trHeight w:val="353"/>
        </w:trPr>
        <w:tc>
          <w:tcPr>
            <w:tcW w:w="2088" w:type="dxa"/>
          </w:tcPr>
          <w:p w14:paraId="5B151DED" w14:textId="77777777" w:rsidR="00DD13BF" w:rsidRDefault="00DD13BF" w:rsidP="00355A56">
            <w:pPr>
              <w:pStyle w:val="TableParagraph"/>
              <w:rPr>
                <w:sz w:val="20"/>
              </w:rPr>
            </w:pPr>
            <w:r>
              <w:rPr>
                <w:sz w:val="20"/>
              </w:rPr>
              <w:t>9</w:t>
            </w:r>
          </w:p>
        </w:tc>
        <w:tc>
          <w:tcPr>
            <w:tcW w:w="1132" w:type="dxa"/>
          </w:tcPr>
          <w:p w14:paraId="5429EA15" w14:textId="77777777" w:rsidR="00DD13BF" w:rsidRDefault="00DD13BF" w:rsidP="00355A56">
            <w:pPr>
              <w:pStyle w:val="TableParagraph"/>
              <w:rPr>
                <w:sz w:val="20"/>
              </w:rPr>
            </w:pPr>
            <w:r>
              <w:rPr>
                <w:sz w:val="20"/>
              </w:rPr>
              <w:t>ERDF</w:t>
            </w:r>
          </w:p>
        </w:tc>
        <w:tc>
          <w:tcPr>
            <w:tcW w:w="3248" w:type="dxa"/>
          </w:tcPr>
          <w:p w14:paraId="6706116D" w14:textId="77777777" w:rsidR="00DD13BF" w:rsidRDefault="00DD13BF" w:rsidP="00355A56">
            <w:pPr>
              <w:pStyle w:val="TableParagraph"/>
              <w:rPr>
                <w:sz w:val="20"/>
              </w:rPr>
            </w:pPr>
            <w:r>
              <w:rPr>
                <w:sz w:val="20"/>
              </w:rPr>
              <w:t>Less developed</w:t>
            </w:r>
          </w:p>
        </w:tc>
        <w:tc>
          <w:tcPr>
            <w:tcW w:w="3098" w:type="dxa"/>
          </w:tcPr>
          <w:p w14:paraId="6ED76EB7" w14:textId="77777777" w:rsidR="00DD13BF" w:rsidRDefault="00DD13BF" w:rsidP="00355A56">
            <w:pPr>
              <w:pStyle w:val="TableParagraph"/>
              <w:rPr>
                <w:sz w:val="20"/>
              </w:rPr>
            </w:pPr>
            <w:r>
              <w:rPr>
                <w:color w:val="000000"/>
                <w:sz w:val="20"/>
              </w:rPr>
              <w:t>RSO5.2</w:t>
            </w:r>
          </w:p>
        </w:tc>
        <w:tc>
          <w:tcPr>
            <w:tcW w:w="1160" w:type="dxa"/>
          </w:tcPr>
          <w:p w14:paraId="59BF66CD" w14:textId="77777777" w:rsidR="00DD13BF" w:rsidRPr="000F45E1" w:rsidRDefault="00DD13BF" w:rsidP="00355A56">
            <w:pPr>
              <w:pStyle w:val="TableParagraph"/>
              <w:rPr>
                <w:sz w:val="20"/>
              </w:rPr>
            </w:pPr>
            <w:r>
              <w:rPr>
                <w:sz w:val="20"/>
              </w:rPr>
              <w:t>16</w:t>
            </w:r>
          </w:p>
        </w:tc>
        <w:tc>
          <w:tcPr>
            <w:tcW w:w="2730" w:type="dxa"/>
          </w:tcPr>
          <w:p w14:paraId="1ED7BE49" w14:textId="77777777" w:rsidR="00DD13BF" w:rsidRDefault="00DD13BF" w:rsidP="00355A56">
            <w:pPr>
              <w:pStyle w:val="TableParagraph"/>
              <w:rPr>
                <w:sz w:val="20"/>
              </w:rPr>
            </w:pPr>
            <w:r>
              <w:rPr>
                <w:sz w:val="20"/>
              </w:rPr>
              <w:t>22,842,812</w:t>
            </w:r>
          </w:p>
        </w:tc>
      </w:tr>
      <w:tr w:rsidR="00DD13BF" w14:paraId="432D7612" w14:textId="77777777" w:rsidTr="00355A56">
        <w:trPr>
          <w:trHeight w:val="353"/>
        </w:trPr>
        <w:tc>
          <w:tcPr>
            <w:tcW w:w="2088" w:type="dxa"/>
          </w:tcPr>
          <w:p w14:paraId="3831EFF4" w14:textId="77777777" w:rsidR="00DD13BF" w:rsidRDefault="00DD13BF" w:rsidP="00355A56">
            <w:pPr>
              <w:pStyle w:val="TableParagraph"/>
              <w:rPr>
                <w:sz w:val="20"/>
              </w:rPr>
            </w:pPr>
            <w:r>
              <w:rPr>
                <w:sz w:val="20"/>
              </w:rPr>
              <w:t>9</w:t>
            </w:r>
          </w:p>
        </w:tc>
        <w:tc>
          <w:tcPr>
            <w:tcW w:w="1132" w:type="dxa"/>
          </w:tcPr>
          <w:p w14:paraId="6ECF2E44" w14:textId="77777777" w:rsidR="00DD13BF" w:rsidRDefault="00DD13BF" w:rsidP="00355A56">
            <w:pPr>
              <w:pStyle w:val="TableParagraph"/>
              <w:rPr>
                <w:sz w:val="20"/>
              </w:rPr>
            </w:pPr>
            <w:r>
              <w:rPr>
                <w:sz w:val="20"/>
              </w:rPr>
              <w:t>ERDF</w:t>
            </w:r>
          </w:p>
        </w:tc>
        <w:tc>
          <w:tcPr>
            <w:tcW w:w="3248" w:type="dxa"/>
          </w:tcPr>
          <w:p w14:paraId="1D2EE39C" w14:textId="77777777" w:rsidR="00DD13BF" w:rsidRDefault="00DD13BF" w:rsidP="00355A56">
            <w:pPr>
              <w:pStyle w:val="TableParagraph"/>
              <w:rPr>
                <w:sz w:val="20"/>
              </w:rPr>
            </w:pPr>
            <w:r>
              <w:rPr>
                <w:sz w:val="20"/>
              </w:rPr>
              <w:t>More developed</w:t>
            </w:r>
          </w:p>
        </w:tc>
        <w:tc>
          <w:tcPr>
            <w:tcW w:w="3098" w:type="dxa"/>
          </w:tcPr>
          <w:p w14:paraId="2ADEA9B8" w14:textId="77777777" w:rsidR="00DD13BF" w:rsidRPr="00FA0677" w:rsidRDefault="00DD13BF" w:rsidP="00355A56">
            <w:pPr>
              <w:pStyle w:val="TableParagraph"/>
              <w:rPr>
                <w:sz w:val="20"/>
              </w:rPr>
            </w:pPr>
            <w:r>
              <w:rPr>
                <w:color w:val="000000"/>
                <w:sz w:val="20"/>
              </w:rPr>
              <w:t>RSO5.2</w:t>
            </w:r>
          </w:p>
        </w:tc>
        <w:tc>
          <w:tcPr>
            <w:tcW w:w="1160" w:type="dxa"/>
          </w:tcPr>
          <w:p w14:paraId="3B21CDB6" w14:textId="77777777" w:rsidR="00DD13BF" w:rsidRPr="000F45E1" w:rsidRDefault="00DD13BF" w:rsidP="00355A56">
            <w:pPr>
              <w:pStyle w:val="TableParagraph"/>
              <w:rPr>
                <w:sz w:val="20"/>
              </w:rPr>
            </w:pPr>
            <w:r>
              <w:rPr>
                <w:sz w:val="20"/>
              </w:rPr>
              <w:t>16</w:t>
            </w:r>
          </w:p>
        </w:tc>
        <w:tc>
          <w:tcPr>
            <w:tcW w:w="2730" w:type="dxa"/>
          </w:tcPr>
          <w:p w14:paraId="1ADD9F1A" w14:textId="77777777" w:rsidR="00DD13BF" w:rsidRDefault="00DD13BF" w:rsidP="00355A56">
            <w:pPr>
              <w:pStyle w:val="TableParagraph"/>
              <w:rPr>
                <w:sz w:val="20"/>
              </w:rPr>
            </w:pPr>
            <w:r>
              <w:rPr>
                <w:sz w:val="20"/>
              </w:rPr>
              <w:t>5,297,973</w:t>
            </w:r>
          </w:p>
        </w:tc>
      </w:tr>
    </w:tbl>
    <w:p w14:paraId="42177146" w14:textId="77777777" w:rsidR="00DD13BF" w:rsidRDefault="00DD13BF" w:rsidP="00DD13BF"/>
    <w:p w14:paraId="18615104" w14:textId="77777777" w:rsidR="00DD13BF" w:rsidRDefault="00DD13BF" w:rsidP="00DD13BF">
      <w:pPr>
        <w:ind w:left="339"/>
      </w:pPr>
      <w:r>
        <w:t>Table 7: Dimension 6 – ESF+ secondary themes</w:t>
      </w:r>
    </w:p>
    <w:p w14:paraId="686DBDF9"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83DB9ED" w14:textId="77777777" w:rsidTr="00355A56">
        <w:trPr>
          <w:trHeight w:val="353"/>
        </w:trPr>
        <w:tc>
          <w:tcPr>
            <w:tcW w:w="2088" w:type="dxa"/>
          </w:tcPr>
          <w:p w14:paraId="551DEA26" w14:textId="77777777" w:rsidR="00DD13BF" w:rsidRDefault="00DD13BF" w:rsidP="00355A56">
            <w:pPr>
              <w:pStyle w:val="TableParagraph"/>
              <w:ind w:left="115"/>
            </w:pPr>
            <w:r>
              <w:t>Priority no.</w:t>
            </w:r>
          </w:p>
        </w:tc>
        <w:tc>
          <w:tcPr>
            <w:tcW w:w="1132" w:type="dxa"/>
          </w:tcPr>
          <w:p w14:paraId="77AC94D5" w14:textId="77777777" w:rsidR="00DD13BF" w:rsidRDefault="00DD13BF" w:rsidP="00355A56">
            <w:pPr>
              <w:pStyle w:val="TableParagraph"/>
              <w:ind w:left="321"/>
            </w:pPr>
            <w:r>
              <w:t>Fund</w:t>
            </w:r>
          </w:p>
        </w:tc>
        <w:tc>
          <w:tcPr>
            <w:tcW w:w="3248" w:type="dxa"/>
          </w:tcPr>
          <w:p w14:paraId="32D6B833" w14:textId="77777777" w:rsidR="00DD13BF" w:rsidRDefault="00DD13BF" w:rsidP="00355A56">
            <w:pPr>
              <w:pStyle w:val="TableParagraph"/>
              <w:ind w:left="909"/>
            </w:pPr>
            <w:r>
              <w:t>Category of region</w:t>
            </w:r>
          </w:p>
        </w:tc>
        <w:tc>
          <w:tcPr>
            <w:tcW w:w="3098" w:type="dxa"/>
          </w:tcPr>
          <w:p w14:paraId="72654A13" w14:textId="77777777" w:rsidR="00DD13BF" w:rsidRDefault="00DD13BF" w:rsidP="00355A56">
            <w:pPr>
              <w:pStyle w:val="TableParagraph"/>
              <w:ind w:left="950"/>
            </w:pPr>
            <w:r>
              <w:t>Specific objective</w:t>
            </w:r>
          </w:p>
        </w:tc>
        <w:tc>
          <w:tcPr>
            <w:tcW w:w="1160" w:type="dxa"/>
          </w:tcPr>
          <w:p w14:paraId="32D7BB08" w14:textId="77777777" w:rsidR="00DD13BF" w:rsidRDefault="00DD13BF" w:rsidP="00355A56">
            <w:pPr>
              <w:pStyle w:val="TableParagraph"/>
              <w:ind w:left="337"/>
            </w:pPr>
            <w:r>
              <w:t>Code</w:t>
            </w:r>
          </w:p>
        </w:tc>
        <w:tc>
          <w:tcPr>
            <w:tcW w:w="2730" w:type="dxa"/>
          </w:tcPr>
          <w:p w14:paraId="192EECC3" w14:textId="77777777" w:rsidR="00DD13BF" w:rsidRDefault="00DD13BF" w:rsidP="00355A56">
            <w:pPr>
              <w:pStyle w:val="TableParagraph"/>
              <w:ind w:left="665"/>
            </w:pPr>
            <w:r>
              <w:t>Amount (in EUR)</w:t>
            </w:r>
          </w:p>
        </w:tc>
      </w:tr>
    </w:tbl>
    <w:p w14:paraId="33127EB5" w14:textId="77777777" w:rsidR="00DD13BF" w:rsidRPr="00673ADB" w:rsidRDefault="00DD13BF" w:rsidP="00DD13BF"/>
    <w:p w14:paraId="6793B5C6" w14:textId="77777777" w:rsidR="00DD13BF" w:rsidRDefault="00DD13BF" w:rsidP="00DD13BF">
      <w:pPr>
        <w:ind w:left="339"/>
      </w:pPr>
      <w:r>
        <w:t>Table 8: Dimension 7 – ESF+*, ERDF, Cohesion Fund and JTF gender equality dimension</w:t>
      </w:r>
    </w:p>
    <w:p w14:paraId="28B16CD6"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7ECEB81" w14:textId="77777777" w:rsidTr="00355A56">
        <w:trPr>
          <w:trHeight w:val="353"/>
        </w:trPr>
        <w:tc>
          <w:tcPr>
            <w:tcW w:w="2088" w:type="dxa"/>
          </w:tcPr>
          <w:p w14:paraId="39A9038B" w14:textId="77777777" w:rsidR="00DD13BF" w:rsidRDefault="00DD13BF" w:rsidP="00355A56">
            <w:pPr>
              <w:pStyle w:val="TableParagraph"/>
              <w:ind w:left="115"/>
            </w:pPr>
            <w:r>
              <w:t>Priority no.</w:t>
            </w:r>
          </w:p>
        </w:tc>
        <w:tc>
          <w:tcPr>
            <w:tcW w:w="1132" w:type="dxa"/>
          </w:tcPr>
          <w:p w14:paraId="23F9AF02" w14:textId="77777777" w:rsidR="00DD13BF" w:rsidRDefault="00DD13BF" w:rsidP="00355A56">
            <w:pPr>
              <w:pStyle w:val="TableParagraph"/>
              <w:ind w:left="320"/>
            </w:pPr>
            <w:r>
              <w:t>Fund</w:t>
            </w:r>
          </w:p>
        </w:tc>
        <w:tc>
          <w:tcPr>
            <w:tcW w:w="3248" w:type="dxa"/>
          </w:tcPr>
          <w:p w14:paraId="3CBBAC74" w14:textId="77777777" w:rsidR="00DD13BF" w:rsidRDefault="00DD13BF" w:rsidP="00355A56">
            <w:pPr>
              <w:pStyle w:val="TableParagraph"/>
              <w:ind w:left="908"/>
            </w:pPr>
            <w:r>
              <w:t>Category of region</w:t>
            </w:r>
          </w:p>
        </w:tc>
        <w:tc>
          <w:tcPr>
            <w:tcW w:w="3098" w:type="dxa"/>
          </w:tcPr>
          <w:p w14:paraId="06D3B7FC" w14:textId="77777777" w:rsidR="00DD13BF" w:rsidRDefault="00DD13BF" w:rsidP="00355A56">
            <w:pPr>
              <w:pStyle w:val="TableParagraph"/>
              <w:ind w:left="950"/>
            </w:pPr>
            <w:r>
              <w:t>Specific objective</w:t>
            </w:r>
          </w:p>
        </w:tc>
        <w:tc>
          <w:tcPr>
            <w:tcW w:w="1160" w:type="dxa"/>
          </w:tcPr>
          <w:p w14:paraId="0345E9DC" w14:textId="77777777" w:rsidR="00DD13BF" w:rsidRDefault="00DD13BF" w:rsidP="00355A56">
            <w:pPr>
              <w:pStyle w:val="TableParagraph"/>
              <w:ind w:left="336"/>
            </w:pPr>
            <w:r>
              <w:t>Code</w:t>
            </w:r>
          </w:p>
        </w:tc>
        <w:tc>
          <w:tcPr>
            <w:tcW w:w="2730" w:type="dxa"/>
          </w:tcPr>
          <w:p w14:paraId="2C294FF3" w14:textId="77777777" w:rsidR="00DD13BF" w:rsidRDefault="00DD13BF" w:rsidP="00355A56">
            <w:pPr>
              <w:pStyle w:val="TableParagraph"/>
              <w:ind w:left="664"/>
            </w:pPr>
            <w:r>
              <w:t>Amount (in EUR)</w:t>
            </w:r>
          </w:p>
        </w:tc>
      </w:tr>
      <w:tr w:rsidR="00DD13BF" w14:paraId="65077134" w14:textId="77777777" w:rsidTr="00355A56">
        <w:trPr>
          <w:trHeight w:val="353"/>
        </w:trPr>
        <w:tc>
          <w:tcPr>
            <w:tcW w:w="2088" w:type="dxa"/>
          </w:tcPr>
          <w:p w14:paraId="6713969E" w14:textId="77777777" w:rsidR="00DD13BF" w:rsidRDefault="00DD13BF" w:rsidP="00355A56">
            <w:pPr>
              <w:pStyle w:val="TableParagraph"/>
              <w:rPr>
                <w:sz w:val="20"/>
              </w:rPr>
            </w:pPr>
            <w:r>
              <w:rPr>
                <w:sz w:val="20"/>
              </w:rPr>
              <w:t>9</w:t>
            </w:r>
          </w:p>
        </w:tc>
        <w:tc>
          <w:tcPr>
            <w:tcW w:w="1132" w:type="dxa"/>
          </w:tcPr>
          <w:p w14:paraId="758614AB" w14:textId="77777777" w:rsidR="00DD13BF" w:rsidRDefault="00DD13BF" w:rsidP="00355A56">
            <w:pPr>
              <w:pStyle w:val="TableParagraph"/>
              <w:rPr>
                <w:sz w:val="20"/>
              </w:rPr>
            </w:pPr>
            <w:r>
              <w:rPr>
                <w:sz w:val="20"/>
              </w:rPr>
              <w:t>ERDF</w:t>
            </w:r>
          </w:p>
        </w:tc>
        <w:tc>
          <w:tcPr>
            <w:tcW w:w="3248" w:type="dxa"/>
          </w:tcPr>
          <w:p w14:paraId="33D3EC31" w14:textId="77777777" w:rsidR="00DD13BF" w:rsidRDefault="00DD13BF" w:rsidP="00355A56">
            <w:pPr>
              <w:pStyle w:val="TableParagraph"/>
              <w:rPr>
                <w:sz w:val="20"/>
              </w:rPr>
            </w:pPr>
            <w:r>
              <w:rPr>
                <w:sz w:val="20"/>
              </w:rPr>
              <w:t>Less developed</w:t>
            </w:r>
          </w:p>
        </w:tc>
        <w:tc>
          <w:tcPr>
            <w:tcW w:w="3098" w:type="dxa"/>
          </w:tcPr>
          <w:p w14:paraId="6418E83E" w14:textId="77777777" w:rsidR="00DD13BF" w:rsidRDefault="00DD13BF" w:rsidP="00355A56">
            <w:pPr>
              <w:pStyle w:val="TableParagraph"/>
              <w:rPr>
                <w:sz w:val="20"/>
              </w:rPr>
            </w:pPr>
            <w:r>
              <w:rPr>
                <w:color w:val="000000"/>
                <w:sz w:val="20"/>
              </w:rPr>
              <w:t>RSO5.2</w:t>
            </w:r>
          </w:p>
        </w:tc>
        <w:tc>
          <w:tcPr>
            <w:tcW w:w="1160" w:type="dxa"/>
          </w:tcPr>
          <w:p w14:paraId="2A928790" w14:textId="77777777" w:rsidR="00DD13BF" w:rsidRDefault="00DD13BF" w:rsidP="00355A56">
            <w:pPr>
              <w:pStyle w:val="TableParagraph"/>
              <w:rPr>
                <w:sz w:val="20"/>
              </w:rPr>
            </w:pPr>
            <w:r>
              <w:rPr>
                <w:sz w:val="20"/>
              </w:rPr>
              <w:t>03</w:t>
            </w:r>
          </w:p>
        </w:tc>
        <w:tc>
          <w:tcPr>
            <w:tcW w:w="2730" w:type="dxa"/>
          </w:tcPr>
          <w:p w14:paraId="52676E83" w14:textId="77777777" w:rsidR="00DD13BF" w:rsidRDefault="00DD13BF" w:rsidP="00355A56">
            <w:pPr>
              <w:pStyle w:val="TableParagraph"/>
              <w:rPr>
                <w:sz w:val="20"/>
              </w:rPr>
            </w:pPr>
            <w:r>
              <w:rPr>
                <w:sz w:val="20"/>
              </w:rPr>
              <w:t>22,842,812</w:t>
            </w:r>
          </w:p>
        </w:tc>
      </w:tr>
      <w:tr w:rsidR="00DD13BF" w14:paraId="635E66A8" w14:textId="77777777" w:rsidTr="00355A56">
        <w:trPr>
          <w:trHeight w:val="353"/>
        </w:trPr>
        <w:tc>
          <w:tcPr>
            <w:tcW w:w="2088" w:type="dxa"/>
          </w:tcPr>
          <w:p w14:paraId="698EBB05" w14:textId="77777777" w:rsidR="00DD13BF" w:rsidRDefault="00DD13BF" w:rsidP="00355A56">
            <w:pPr>
              <w:pStyle w:val="TableParagraph"/>
              <w:rPr>
                <w:sz w:val="20"/>
              </w:rPr>
            </w:pPr>
            <w:r>
              <w:rPr>
                <w:sz w:val="20"/>
              </w:rPr>
              <w:t>9</w:t>
            </w:r>
          </w:p>
        </w:tc>
        <w:tc>
          <w:tcPr>
            <w:tcW w:w="1132" w:type="dxa"/>
          </w:tcPr>
          <w:p w14:paraId="23A99492" w14:textId="77777777" w:rsidR="00DD13BF" w:rsidRDefault="00DD13BF" w:rsidP="00355A56">
            <w:pPr>
              <w:pStyle w:val="TableParagraph"/>
              <w:rPr>
                <w:sz w:val="20"/>
              </w:rPr>
            </w:pPr>
            <w:r>
              <w:rPr>
                <w:sz w:val="20"/>
              </w:rPr>
              <w:t>ERDF</w:t>
            </w:r>
          </w:p>
        </w:tc>
        <w:tc>
          <w:tcPr>
            <w:tcW w:w="3248" w:type="dxa"/>
          </w:tcPr>
          <w:p w14:paraId="3BB57224" w14:textId="77777777" w:rsidR="00DD13BF" w:rsidRDefault="00DD13BF" w:rsidP="00355A56">
            <w:pPr>
              <w:pStyle w:val="TableParagraph"/>
              <w:rPr>
                <w:sz w:val="20"/>
              </w:rPr>
            </w:pPr>
            <w:r>
              <w:rPr>
                <w:sz w:val="20"/>
              </w:rPr>
              <w:t>More developed</w:t>
            </w:r>
          </w:p>
        </w:tc>
        <w:tc>
          <w:tcPr>
            <w:tcW w:w="3098" w:type="dxa"/>
          </w:tcPr>
          <w:p w14:paraId="3AE8A565" w14:textId="77777777" w:rsidR="00DD13BF" w:rsidRDefault="00DD13BF" w:rsidP="00355A56">
            <w:pPr>
              <w:pStyle w:val="TableParagraph"/>
              <w:rPr>
                <w:sz w:val="20"/>
              </w:rPr>
            </w:pPr>
            <w:r>
              <w:rPr>
                <w:color w:val="000000"/>
                <w:sz w:val="20"/>
              </w:rPr>
              <w:t>RSO5.2</w:t>
            </w:r>
          </w:p>
        </w:tc>
        <w:tc>
          <w:tcPr>
            <w:tcW w:w="1160" w:type="dxa"/>
          </w:tcPr>
          <w:p w14:paraId="0A1DF720" w14:textId="77777777" w:rsidR="00DD13BF" w:rsidRDefault="00DD13BF" w:rsidP="00355A56">
            <w:pPr>
              <w:pStyle w:val="TableParagraph"/>
              <w:rPr>
                <w:sz w:val="20"/>
              </w:rPr>
            </w:pPr>
            <w:r>
              <w:rPr>
                <w:sz w:val="20"/>
              </w:rPr>
              <w:t>03</w:t>
            </w:r>
          </w:p>
        </w:tc>
        <w:tc>
          <w:tcPr>
            <w:tcW w:w="2730" w:type="dxa"/>
          </w:tcPr>
          <w:p w14:paraId="3A9E3B86" w14:textId="77777777" w:rsidR="00DD13BF" w:rsidRDefault="00DD13BF" w:rsidP="00355A56">
            <w:pPr>
              <w:pStyle w:val="TableParagraph"/>
              <w:rPr>
                <w:sz w:val="20"/>
              </w:rPr>
            </w:pPr>
            <w:r>
              <w:rPr>
                <w:sz w:val="20"/>
              </w:rPr>
              <w:t>5,297,973</w:t>
            </w:r>
          </w:p>
        </w:tc>
      </w:tr>
    </w:tbl>
    <w:p w14:paraId="37953936" w14:textId="77777777" w:rsidR="00DD13BF" w:rsidRDefault="00DD13BF" w:rsidP="00DD13BF">
      <w:pPr>
        <w:tabs>
          <w:tab w:val="left" w:pos="426"/>
        </w:tabs>
        <w:ind w:left="284"/>
        <w:rPr>
          <w:spacing w:val="-2"/>
          <w:sz w:val="16"/>
          <w:szCs w:val="16"/>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p>
    <w:p w14:paraId="72C0A1F5" w14:textId="77777777" w:rsidR="00DD13BF" w:rsidRDefault="00DD13BF" w:rsidP="00DD13BF">
      <w:pPr>
        <w:rPr>
          <w:rFonts w:eastAsia="Cambria" w:cs="Cambria"/>
          <w:b/>
          <w:bCs/>
          <w:i/>
          <w:iCs/>
          <w:color w:val="5B9BD5" w:themeColor="accent1"/>
          <w:sz w:val="24"/>
          <w:szCs w:val="19"/>
        </w:rPr>
      </w:pPr>
      <w:r>
        <w:br w:type="page"/>
      </w:r>
    </w:p>
    <w:p w14:paraId="63122FEF" w14:textId="77777777" w:rsidR="00DD13BF" w:rsidRDefault="00DD13BF" w:rsidP="00DD13BF">
      <w:pPr>
        <w:pStyle w:val="Naslov3"/>
      </w:pPr>
      <w:bookmarkStart w:id="67" w:name="_Toc131161734"/>
      <w:r>
        <w:lastRenderedPageBreak/>
        <w:t>Priority 10: Restructuring of coal regions</w:t>
      </w:r>
      <w:bookmarkEnd w:id="67"/>
    </w:p>
    <w:p w14:paraId="4BC5CE72" w14:textId="77777777" w:rsidR="00DD13BF" w:rsidRDefault="00DD13BF" w:rsidP="00DD13BF">
      <w:pPr>
        <w:rPr>
          <w:sz w:val="21"/>
        </w:rPr>
      </w:pPr>
    </w:p>
    <w:tbl>
      <w:tblPr>
        <w:tblStyle w:val="Tabelamrea1"/>
        <w:tblW w:w="0" w:type="auto"/>
        <w:tblLook w:val="04A0" w:firstRow="1" w:lastRow="0" w:firstColumn="1" w:lastColumn="0" w:noHBand="0" w:noVBand="1"/>
      </w:tblPr>
      <w:tblGrid>
        <w:gridCol w:w="13994"/>
      </w:tblGrid>
      <w:tr w:rsidR="00DD13BF" w:rsidRPr="006A1DD0" w14:paraId="228FA0DC" w14:textId="77777777" w:rsidTr="00355A56">
        <w:tc>
          <w:tcPr>
            <w:tcW w:w="13994" w:type="dxa"/>
          </w:tcPr>
          <w:p w14:paraId="7E8DD775" w14:textId="77777777" w:rsidR="00DD13BF" w:rsidRPr="006A1DD0" w:rsidRDefault="00DD13BF" w:rsidP="00355A56">
            <w:pPr>
              <w:rPr>
                <w:rFonts w:eastAsia="Calibri"/>
              </w:rPr>
            </w:pPr>
            <w:r>
              <w:rPr>
                <w:noProof/>
                <w:lang w:val="sl-SI"/>
              </w:rPr>
              <w:drawing>
                <wp:inline distT="0" distB="0" distL="0" distR="0" wp14:anchorId="41C618FC" wp14:editId="67B9609F">
                  <wp:extent cx="121920" cy="103505"/>
                  <wp:effectExtent l="0" t="0" r="0" b="0"/>
                  <wp:docPr id="1145" name="Slika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03505"/>
                          </a:xfrm>
                          <a:prstGeom prst="rect">
                            <a:avLst/>
                          </a:prstGeom>
                          <a:noFill/>
                        </pic:spPr>
                      </pic:pic>
                    </a:graphicData>
                  </a:graphic>
                </wp:inline>
              </w:drawing>
            </w:r>
            <w:r>
              <w:t xml:space="preserve">  This is a priority dedicated to youth employment</w:t>
            </w:r>
          </w:p>
        </w:tc>
      </w:tr>
      <w:tr w:rsidR="00DD13BF" w:rsidRPr="006A1DD0" w14:paraId="5312DF03" w14:textId="77777777" w:rsidTr="00355A56">
        <w:tc>
          <w:tcPr>
            <w:tcW w:w="13994" w:type="dxa"/>
          </w:tcPr>
          <w:p w14:paraId="7B1AED69" w14:textId="77777777" w:rsidR="00DD13BF" w:rsidRPr="006A1DD0" w:rsidRDefault="00DD13BF" w:rsidP="00355A56">
            <w:pPr>
              <w:rPr>
                <w:rFonts w:eastAsia="Calibri"/>
              </w:rPr>
            </w:pPr>
            <w:r>
              <w:rPr>
                <w:noProof/>
                <w:lang w:val="sl-SI"/>
              </w:rPr>
              <w:drawing>
                <wp:inline distT="0" distB="0" distL="0" distR="0" wp14:anchorId="4DBCB53D" wp14:editId="5B81BA34">
                  <wp:extent cx="121920" cy="103505"/>
                  <wp:effectExtent l="0" t="0" r="0" b="0"/>
                  <wp:docPr id="1146" name="Slika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6"/>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social innovative actions</w:t>
            </w:r>
          </w:p>
        </w:tc>
      </w:tr>
      <w:tr w:rsidR="00DD13BF" w:rsidRPr="006A1DD0" w14:paraId="730320A5" w14:textId="77777777" w:rsidTr="00355A56">
        <w:tc>
          <w:tcPr>
            <w:tcW w:w="13994" w:type="dxa"/>
          </w:tcPr>
          <w:p w14:paraId="16025853" w14:textId="77777777" w:rsidR="00DD13BF" w:rsidRPr="006A1DD0" w:rsidRDefault="00DD13BF" w:rsidP="00355A56">
            <w:pPr>
              <w:rPr>
                <w:rFonts w:eastAsia="Calibri"/>
              </w:rPr>
            </w:pPr>
            <w:r>
              <w:rPr>
                <w:noProof/>
                <w:lang w:val="sl-SI"/>
              </w:rPr>
              <w:drawing>
                <wp:inline distT="0" distB="0" distL="0" distR="0" wp14:anchorId="1AD13CF4" wp14:editId="681C0ADF">
                  <wp:extent cx="121920" cy="103505"/>
                  <wp:effectExtent l="0" t="0" r="0" b="0"/>
                  <wp:docPr id="1147" name="Slika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7"/>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(m) of Article 4(1) of the ESF+ Regulation*</w:t>
            </w:r>
          </w:p>
        </w:tc>
      </w:tr>
      <w:tr w:rsidR="00DD13BF" w:rsidRPr="006A1DD0" w14:paraId="0D37D209" w14:textId="77777777" w:rsidTr="00355A56">
        <w:tc>
          <w:tcPr>
            <w:tcW w:w="13994" w:type="dxa"/>
          </w:tcPr>
          <w:p w14:paraId="5A08587E" w14:textId="77777777" w:rsidR="00DD13BF" w:rsidRPr="006A1DD0" w:rsidRDefault="00DD13BF" w:rsidP="00355A56">
            <w:pPr>
              <w:rPr>
                <w:rFonts w:eastAsia="Calibri"/>
              </w:rPr>
            </w:pPr>
            <w:r>
              <w:rPr>
                <w:noProof/>
                <w:lang w:val="sl-SI"/>
              </w:rPr>
              <w:drawing>
                <wp:inline distT="0" distB="0" distL="0" distR="0" wp14:anchorId="16D9E9A0" wp14:editId="40E46615">
                  <wp:extent cx="121920" cy="103505"/>
                  <wp:effectExtent l="0" t="0" r="0" b="0"/>
                  <wp:docPr id="1148" name="Slika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8"/>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support to the most deprived persons under the specific objective set out in point (l) of Article 4(1) of the ESF+ Regulation</w:t>
            </w:r>
          </w:p>
        </w:tc>
      </w:tr>
      <w:tr w:rsidR="00DD13BF" w:rsidRPr="006A1DD0" w14:paraId="3E0497FD" w14:textId="77777777" w:rsidTr="00355A56">
        <w:tc>
          <w:tcPr>
            <w:tcW w:w="13994" w:type="dxa"/>
          </w:tcPr>
          <w:p w14:paraId="31816B34" w14:textId="77777777" w:rsidR="00DD13BF" w:rsidRPr="006A1DD0" w:rsidRDefault="00DD13BF" w:rsidP="00355A56">
            <w:pPr>
              <w:rPr>
                <w:rFonts w:eastAsia="Calibri"/>
              </w:rPr>
            </w:pPr>
            <w:r>
              <w:rPr>
                <w:noProof/>
                <w:lang w:val="sl-SI"/>
              </w:rPr>
              <w:drawing>
                <wp:inline distT="0" distB="0" distL="0" distR="0" wp14:anchorId="152D0DFF" wp14:editId="7C7EA55B">
                  <wp:extent cx="121920" cy="103505"/>
                  <wp:effectExtent l="0" t="0" r="0" b="0"/>
                  <wp:docPr id="1149" name="Slika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49"/>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urban mobility specific objective set out in point (viii) of Article 3(1)(b) of the ERDF and Cohesion Fund Regulation</w:t>
            </w:r>
          </w:p>
          <w:p w14:paraId="4CFA6BC1" w14:textId="77777777" w:rsidR="00DD13BF" w:rsidRPr="006A1DD0" w:rsidRDefault="00DD13BF" w:rsidP="00355A56">
            <w:pPr>
              <w:rPr>
                <w:rFonts w:eastAsia="Calibri"/>
              </w:rPr>
            </w:pPr>
          </w:p>
        </w:tc>
      </w:tr>
      <w:tr w:rsidR="00DD13BF" w:rsidRPr="006A1DD0" w14:paraId="57ACE149" w14:textId="77777777" w:rsidTr="00355A56">
        <w:trPr>
          <w:trHeight w:val="83"/>
        </w:trPr>
        <w:tc>
          <w:tcPr>
            <w:tcW w:w="13994" w:type="dxa"/>
          </w:tcPr>
          <w:p w14:paraId="5147ACAF" w14:textId="77777777" w:rsidR="00DD13BF" w:rsidRPr="00DD1BF0" w:rsidRDefault="00DD13BF" w:rsidP="00355A56">
            <w:pPr>
              <w:rPr>
                <w:rFonts w:eastAsia="Calibri"/>
              </w:rPr>
            </w:pPr>
            <w:r>
              <w:rPr>
                <w:noProof/>
                <w:lang w:val="sl-SI"/>
              </w:rPr>
              <w:drawing>
                <wp:inline distT="0" distB="0" distL="0" distR="0" wp14:anchorId="219A9D54" wp14:editId="4392705D">
                  <wp:extent cx="121920" cy="103505"/>
                  <wp:effectExtent l="0" t="0" r="0" b="0"/>
                  <wp:docPr id="1568" name="Slika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68"/>
                          <pic:cNvPicPr/>
                        </pic:nvPicPr>
                        <pic:blipFill>
                          <a:blip r:embed="rId13">
                            <a:extLst>
                              <a:ext uri="{28A0092B-C50C-407E-A947-70E740481C1C}">
                                <a14:useLocalDpi xmlns:a14="http://schemas.microsoft.com/office/drawing/2010/main" val="0"/>
                              </a:ext>
                            </a:extLst>
                          </a:blip>
                          <a:stretch>
                            <a:fillRect/>
                          </a:stretch>
                        </pic:blipFill>
                        <pic:spPr>
                          <a:xfrm>
                            <a:off x="0" y="0"/>
                            <a:ext cx="121920" cy="103505"/>
                          </a:xfrm>
                          <a:prstGeom prst="rect">
                            <a:avLst/>
                          </a:prstGeom>
                        </pic:spPr>
                      </pic:pic>
                    </a:graphicData>
                  </a:graphic>
                </wp:inline>
              </w:drawing>
            </w:r>
            <w:r>
              <w:t xml:space="preserve">  This is a priority dedicated to digital connectivity specific objective set out in point (v) of Article 3(1)(a) of the ERDF and Cohesion Fund Regulation</w:t>
            </w:r>
          </w:p>
          <w:p w14:paraId="45B8A55E" w14:textId="77777777" w:rsidR="00DD13BF" w:rsidRPr="006A1DD0" w:rsidRDefault="00DD13BF" w:rsidP="00355A56">
            <w:pPr>
              <w:rPr>
                <w:rFonts w:eastAsia="Calibri"/>
              </w:rPr>
            </w:pPr>
          </w:p>
        </w:tc>
      </w:tr>
    </w:tbl>
    <w:p w14:paraId="1E4B9B11" w14:textId="77777777" w:rsidR="00DD13BF" w:rsidRPr="008B3657" w:rsidRDefault="00DD13BF" w:rsidP="00DD13BF">
      <w:pPr>
        <w:tabs>
          <w:tab w:val="left" w:pos="709"/>
        </w:tabs>
        <w:ind w:left="530"/>
        <w:rPr>
          <w:sz w:val="16"/>
          <w:szCs w:val="16"/>
        </w:rPr>
      </w:pPr>
      <w:r>
        <w:rPr>
          <w:b/>
          <w:sz w:val="16"/>
        </w:rPr>
        <w:t>*</w:t>
      </w:r>
      <w:r>
        <w:rPr>
          <w:b/>
          <w:sz w:val="16"/>
        </w:rPr>
        <w:tab/>
      </w:r>
      <w:r>
        <w:rPr>
          <w:sz w:val="16"/>
        </w:rPr>
        <w:t>If marked, go to section 2.1.1.2.</w:t>
      </w:r>
    </w:p>
    <w:p w14:paraId="5588A414" w14:textId="77777777" w:rsidR="00DD13BF" w:rsidRPr="00F02FB5" w:rsidRDefault="00DD13BF" w:rsidP="00DD13BF">
      <w:pPr>
        <w:pStyle w:val="Naslov4"/>
        <w:ind w:left="1134"/>
      </w:pPr>
      <w:bookmarkStart w:id="68" w:name="_Toc131161735"/>
      <w:r>
        <w:t>Specific objective JSO8.1.: Just Transition Fund</w:t>
      </w:r>
      <w:bookmarkEnd w:id="68"/>
    </w:p>
    <w:p w14:paraId="760B895A" w14:textId="77777777" w:rsidR="00DD13BF" w:rsidRDefault="00DD13BF" w:rsidP="00DD13BF">
      <w:pPr>
        <w:rPr>
          <w:sz w:val="30"/>
        </w:rPr>
      </w:pPr>
    </w:p>
    <w:p w14:paraId="33A125BA" w14:textId="77777777" w:rsidR="00DD13BF" w:rsidRPr="00C10464" w:rsidRDefault="00DD13BF" w:rsidP="00DD13BF">
      <w:pPr>
        <w:pStyle w:val="Naslov5"/>
        <w:spacing w:before="0"/>
      </w:pPr>
      <w:r>
        <w:t>Interventions of the Funds</w:t>
      </w:r>
    </w:p>
    <w:p w14:paraId="483116EE" w14:textId="77777777" w:rsidR="00DD13BF" w:rsidRDefault="00DD13BF" w:rsidP="00DD13BF">
      <w:pPr>
        <w:rPr>
          <w:sz w:val="30"/>
        </w:rPr>
      </w:pPr>
    </w:p>
    <w:p w14:paraId="1E497172" w14:textId="77777777" w:rsidR="00DD13BF" w:rsidRDefault="00DD13BF" w:rsidP="00DD13BF">
      <w:pPr>
        <w:ind w:left="1349"/>
        <w:rPr>
          <w:spacing w:val="-2"/>
        </w:rPr>
      </w:pPr>
      <w:r>
        <w:t>Related types of actions:</w:t>
      </w:r>
    </w:p>
    <w:p w14:paraId="0291D2BF" w14:textId="77777777" w:rsidR="00DD13BF" w:rsidRDefault="00DD13BF" w:rsidP="00DD13BF">
      <w:pPr>
        <w:ind w:left="1349"/>
      </w:pPr>
    </w:p>
    <w:tbl>
      <w:tblPr>
        <w:tblStyle w:val="Tabelamrea"/>
        <w:tblW w:w="12758" w:type="dxa"/>
        <w:tblInd w:w="1271" w:type="dxa"/>
        <w:tblLook w:val="04A0" w:firstRow="1" w:lastRow="0" w:firstColumn="1" w:lastColumn="0" w:noHBand="0" w:noVBand="1"/>
      </w:tblPr>
      <w:tblGrid>
        <w:gridCol w:w="12758"/>
      </w:tblGrid>
      <w:tr w:rsidR="00DD13BF" w:rsidRPr="00B3569A" w14:paraId="50FC9D19" w14:textId="77777777" w:rsidTr="00355A56">
        <w:trPr>
          <w:trHeight w:val="316"/>
        </w:trPr>
        <w:tc>
          <w:tcPr>
            <w:tcW w:w="12758" w:type="dxa"/>
          </w:tcPr>
          <w:p w14:paraId="2F4EA2EF" w14:textId="77777777" w:rsidR="00DD13BF" w:rsidRPr="00171939" w:rsidRDefault="00DD13BF" w:rsidP="00355A56">
            <w:pPr>
              <w:jc w:val="both"/>
              <w:rPr>
                <w:rFonts w:cstheme="minorHAnsi"/>
              </w:rPr>
            </w:pPr>
            <w:r>
              <w:t>The just transition concept is intended to help regions and people deal with the social, employment, economic and environmental impacts of the transition to the EU energy and climate targets by 2030 and the climate-neutral economy by 2050 based on the Paris Agreement. It deals with the balanced transition of four key areas, i.e. energy, the environment, human resources, and the economy. These are extremely complex, long-term and financially demanding projects, as they include changing the image of an entire region, not only environmentally and economically, but also from educational and social aspects.</w:t>
            </w:r>
          </w:p>
          <w:p w14:paraId="76CD717B" w14:textId="77777777" w:rsidR="00DD13BF" w:rsidRDefault="00DD13BF" w:rsidP="00355A56">
            <w:pPr>
              <w:jc w:val="both"/>
              <w:rPr>
                <w:rFonts w:cstheme="minorHAnsi"/>
              </w:rPr>
            </w:pPr>
          </w:p>
          <w:p w14:paraId="4287778A" w14:textId="77777777" w:rsidR="00DD13BF" w:rsidRPr="009C6321" w:rsidRDefault="00DD13BF" w:rsidP="00355A56">
            <w:pPr>
              <w:jc w:val="both"/>
              <w:rPr>
                <w:rFonts w:cstheme="minorHAnsi"/>
              </w:rPr>
            </w:pPr>
            <w:r>
              <w:t xml:space="preserve">On 13 January 2022, the Government of the Republic of Slovenia adopted the Coal Exit Strategy for the area of ​​both coal regions, i.e. Savinjska-Šaleška (hereinafter: </w:t>
            </w:r>
            <w:r>
              <w:rPr>
                <w:b/>
                <w:bCs/>
              </w:rPr>
              <w:t>SAŠA</w:t>
            </w:r>
            <w:r>
              <w:t xml:space="preserve">) and </w:t>
            </w:r>
            <w:r>
              <w:rPr>
                <w:b/>
                <w:bCs/>
              </w:rPr>
              <w:t>Zasavje</w:t>
            </w:r>
            <w:r>
              <w:t>.</w:t>
            </w:r>
            <w:r>
              <w:rPr>
                <w:b/>
              </w:rPr>
              <w:t xml:space="preserve"> </w:t>
            </w:r>
            <w:r>
              <w:t>It contains a more detailed analysis of needs in four identified areas: energy, ​​human resources and the establishment of social infrastructure, the economy, and the environment.</w:t>
            </w:r>
          </w:p>
          <w:p w14:paraId="6201CCB6" w14:textId="77777777" w:rsidR="00DD13BF" w:rsidRDefault="00DD13BF" w:rsidP="00355A56">
            <w:pPr>
              <w:jc w:val="both"/>
              <w:rPr>
                <w:rFonts w:cstheme="minorHAnsi"/>
              </w:rPr>
            </w:pPr>
          </w:p>
          <w:p w14:paraId="7A174B50" w14:textId="77777777" w:rsidR="00DD13BF" w:rsidRDefault="00DD13BF" w:rsidP="00355A56">
            <w:pPr>
              <w:jc w:val="both"/>
              <w:rPr>
                <w:rFonts w:cstheme="minorHAnsi"/>
              </w:rPr>
            </w:pPr>
            <w:r>
              <w:t xml:space="preserve">On this basis, a territorial just transition plan (hereafter: TJTP) for both regions was drafted and determines the types of planned operations to attain the objectives defined in accordance with the recorded development needs. </w:t>
            </w:r>
          </w:p>
          <w:p w14:paraId="6AB13D29" w14:textId="77777777" w:rsidR="00DD13BF" w:rsidRPr="006F22EB" w:rsidRDefault="00DD13BF" w:rsidP="00355A56">
            <w:pPr>
              <w:jc w:val="both"/>
            </w:pPr>
          </w:p>
          <w:p w14:paraId="2C844CE6" w14:textId="77777777" w:rsidR="00DD13BF" w:rsidRPr="00773F84" w:rsidRDefault="00DD13BF" w:rsidP="00355A56">
            <w:pPr>
              <w:jc w:val="both"/>
            </w:pPr>
            <w:r>
              <w:t xml:space="preserve">In the </w:t>
            </w:r>
            <w:r>
              <w:rPr>
                <w:b/>
                <w:bCs/>
                <w:u w:val="single"/>
              </w:rPr>
              <w:t>Territorial Just Transition Plan for the SAŠA Region</w:t>
            </w:r>
            <w:r>
              <w:t xml:space="preserve">, the energy restructuring of the region is one of the key challenges and also the basis for its decarbonisation. To attain the objective of a </w:t>
            </w:r>
            <w:r>
              <w:rPr>
                <w:b/>
                <w:bCs/>
              </w:rPr>
              <w:t>just energy transition</w:t>
            </w:r>
            <w:r>
              <w:t>, three sets of measures were identified:</w:t>
            </w:r>
          </w:p>
          <w:p w14:paraId="6A86E8D2" w14:textId="77777777" w:rsidR="00DD13BF" w:rsidRPr="00773F84" w:rsidRDefault="00DD13BF" w:rsidP="00DD13BF">
            <w:pPr>
              <w:widowControl/>
              <w:numPr>
                <w:ilvl w:val="0"/>
                <w:numId w:val="29"/>
              </w:numPr>
              <w:autoSpaceDE/>
              <w:autoSpaceDN/>
              <w:jc w:val="both"/>
              <w:rPr>
                <w:rFonts w:eastAsia="Cambria"/>
              </w:rPr>
            </w:pPr>
            <w:r>
              <w:lastRenderedPageBreak/>
              <w:t>reorganising the district heating system, which will provide an affordable source of energy for heating and cooling while maintaining air quality;</w:t>
            </w:r>
          </w:p>
          <w:p w14:paraId="549EB540" w14:textId="77777777" w:rsidR="00DD13BF" w:rsidRPr="00750EF1" w:rsidRDefault="00DD13BF" w:rsidP="00DD13BF">
            <w:pPr>
              <w:pStyle w:val="Odstavekseznama"/>
              <w:widowControl/>
              <w:numPr>
                <w:ilvl w:val="0"/>
                <w:numId w:val="29"/>
              </w:numPr>
              <w:autoSpaceDE/>
              <w:autoSpaceDN/>
              <w:jc w:val="both"/>
              <w:rPr>
                <w:rFonts w:ascii="Times New Roman" w:hAnsi="Times New Roman" w:cs="Times New Roman"/>
              </w:rPr>
            </w:pPr>
            <w:r>
              <w:rPr>
                <w:rFonts w:ascii="Times New Roman" w:hAnsi="Times New Roman"/>
              </w:rPr>
              <w:t>improving energy efficiency in the business sector, which will be supported within support for productive investments (Strategic objective 3) in combinations with activities for decarbonisation, material efficiency, job creation, etc.;</w:t>
            </w:r>
          </w:p>
          <w:p w14:paraId="679C46D8" w14:textId="77777777" w:rsidR="00DD13BF" w:rsidRPr="00773F84" w:rsidRDefault="00DD13BF" w:rsidP="00DD13BF">
            <w:pPr>
              <w:widowControl/>
              <w:numPr>
                <w:ilvl w:val="0"/>
                <w:numId w:val="29"/>
              </w:numPr>
              <w:autoSpaceDE/>
              <w:autoSpaceDN/>
              <w:jc w:val="both"/>
              <w:rPr>
                <w:rFonts w:eastAsia="Cambria"/>
              </w:rPr>
            </w:pPr>
            <w:r>
              <w:t>promoting the use of RES.</w:t>
            </w:r>
          </w:p>
          <w:p w14:paraId="7156AA34" w14:textId="77777777" w:rsidR="00DD13BF" w:rsidRPr="00773F84" w:rsidRDefault="00DD13BF" w:rsidP="00355A56">
            <w:pPr>
              <w:ind w:left="720"/>
              <w:jc w:val="both"/>
            </w:pPr>
          </w:p>
          <w:p w14:paraId="24CC6FA6" w14:textId="77777777" w:rsidR="00DD13BF" w:rsidRPr="00773F84" w:rsidRDefault="00DD13BF" w:rsidP="00355A56">
            <w:pPr>
              <w:jc w:val="both"/>
              <w:rPr>
                <w:b/>
              </w:rPr>
            </w:pPr>
            <w:r>
              <w:t xml:space="preserve">To attain the objective of </w:t>
            </w:r>
            <w:r>
              <w:rPr>
                <w:b/>
                <w:bCs/>
              </w:rPr>
              <w:t>employment and skills for all</w:t>
            </w:r>
            <w:r>
              <w:t>, the following measures were identified:</w:t>
            </w:r>
          </w:p>
          <w:p w14:paraId="51E3F65D" w14:textId="77777777" w:rsidR="00DD13BF" w:rsidRPr="00773F84" w:rsidRDefault="00DD13BF" w:rsidP="00DD13BF">
            <w:pPr>
              <w:widowControl/>
              <w:numPr>
                <w:ilvl w:val="0"/>
                <w:numId w:val="45"/>
              </w:numPr>
              <w:autoSpaceDE/>
              <w:autoSpaceDN/>
              <w:jc w:val="both"/>
              <w:rPr>
                <w:rFonts w:eastAsia="Cambria"/>
              </w:rPr>
            </w:pPr>
            <w:r>
              <w:t xml:space="preserve">enhanced implementation of quality and accessible learning; </w:t>
            </w:r>
          </w:p>
          <w:p w14:paraId="316F3D6E" w14:textId="77777777" w:rsidR="00DD13BF" w:rsidRPr="00773F84" w:rsidRDefault="00DD13BF" w:rsidP="00DD13BF">
            <w:pPr>
              <w:widowControl/>
              <w:numPr>
                <w:ilvl w:val="0"/>
                <w:numId w:val="45"/>
              </w:numPr>
              <w:autoSpaceDE/>
              <w:autoSpaceDN/>
              <w:jc w:val="both"/>
              <w:rPr>
                <w:rFonts w:eastAsia="Cambria"/>
              </w:rPr>
            </w:pPr>
            <w:r>
              <w:t>lifelong career orientation and training of unemployed persons and jobseekers;</w:t>
            </w:r>
          </w:p>
          <w:p w14:paraId="1394712B" w14:textId="77777777" w:rsidR="00DD13BF" w:rsidRPr="00750EF1" w:rsidRDefault="00DD13BF" w:rsidP="00DD13BF">
            <w:pPr>
              <w:numPr>
                <w:ilvl w:val="0"/>
                <w:numId w:val="45"/>
              </w:numPr>
              <w:jc w:val="both"/>
              <w:rPr>
                <w:rFonts w:eastAsia="Cambria"/>
              </w:rPr>
            </w:pPr>
            <w:r>
              <w:t>introducing circular contents into the educational system.</w:t>
            </w:r>
          </w:p>
          <w:p w14:paraId="40C627AF" w14:textId="77777777" w:rsidR="00DD13BF" w:rsidRPr="00773F84" w:rsidRDefault="00DD13BF" w:rsidP="00355A56">
            <w:pPr>
              <w:jc w:val="both"/>
            </w:pPr>
          </w:p>
          <w:p w14:paraId="0CED2CBC" w14:textId="77777777" w:rsidR="00DD13BF" w:rsidRPr="00773F84" w:rsidRDefault="00DD13BF" w:rsidP="00355A56">
            <w:pPr>
              <w:jc w:val="both"/>
            </w:pPr>
            <w:r>
              <w:t xml:space="preserve">The attainment of the objective of </w:t>
            </w:r>
            <w:r>
              <w:rPr>
                <w:b/>
                <w:bCs/>
              </w:rPr>
              <w:t>sustainable, flexible and diverse economic development</w:t>
            </w:r>
            <w:r>
              <w:t xml:space="preserve"> is the basis for a successful and fair restructuring of the region towards climate neutrality and the efficient use of raw materials. Funds from the Just Transition Fund (hereinafter: JTF) will therefore be allocated to support the following (sets of) measures: </w:t>
            </w:r>
          </w:p>
          <w:p w14:paraId="01D9D8B4" w14:textId="77777777" w:rsidR="00DD13BF" w:rsidRPr="00773F84" w:rsidRDefault="00DD13BF" w:rsidP="00DD13BF">
            <w:pPr>
              <w:widowControl/>
              <w:numPr>
                <w:ilvl w:val="0"/>
                <w:numId w:val="48"/>
              </w:numPr>
              <w:autoSpaceDE/>
              <w:autoSpaceDN/>
              <w:jc w:val="both"/>
              <w:rPr>
                <w:rFonts w:eastAsia="Cambria"/>
              </w:rPr>
            </w:pPr>
            <w:r>
              <w:t>investments in research, development and innovation, and production capacity in small and medium-sized enterprises (mainly the manufacturing sector). As part of this measure, support will be allocated to those strategic enterprises that will be a pillar of economic and social stability in the region due to coal exit;</w:t>
            </w:r>
          </w:p>
          <w:p w14:paraId="1D5B31E8" w14:textId="77777777" w:rsidR="00DD13BF" w:rsidRPr="002E782D" w:rsidRDefault="00DD13BF" w:rsidP="00DD13BF">
            <w:pPr>
              <w:widowControl/>
              <w:numPr>
                <w:ilvl w:val="0"/>
                <w:numId w:val="46"/>
              </w:numPr>
              <w:autoSpaceDE/>
              <w:autoSpaceDN/>
              <w:jc w:val="both"/>
              <w:rPr>
                <w:rFonts w:eastAsia="Cambria"/>
              </w:rPr>
            </w:pPr>
            <w:r>
              <w:t>developing a start-up ecosystem, and promoting enterprises with the potential for rapid growth, including economic business infrastructure; and</w:t>
            </w:r>
          </w:p>
          <w:p w14:paraId="4E9653D2" w14:textId="77777777" w:rsidR="00DD13BF" w:rsidRPr="00773F84" w:rsidRDefault="00DD13BF" w:rsidP="00DD13BF">
            <w:pPr>
              <w:widowControl/>
              <w:numPr>
                <w:ilvl w:val="0"/>
                <w:numId w:val="46"/>
              </w:numPr>
              <w:autoSpaceDE/>
              <w:autoSpaceDN/>
              <w:jc w:val="both"/>
              <w:rPr>
                <w:rFonts w:eastAsia="Cambria"/>
              </w:rPr>
            </w:pPr>
            <w:r>
              <w:t xml:space="preserve">productive investments other than investments in SMEs. </w:t>
            </w:r>
          </w:p>
          <w:p w14:paraId="781A7527" w14:textId="77777777" w:rsidR="00DD13BF" w:rsidRPr="00773F84" w:rsidRDefault="00DD13BF" w:rsidP="00355A56">
            <w:pPr>
              <w:jc w:val="both"/>
            </w:pPr>
          </w:p>
          <w:p w14:paraId="2A0D5F84" w14:textId="77777777" w:rsidR="00DD13BF" w:rsidRPr="00773F84" w:rsidRDefault="00DD13BF" w:rsidP="00355A56">
            <w:pPr>
              <w:jc w:val="both"/>
            </w:pPr>
            <w:r>
              <w:t xml:space="preserve">To attain the objective of the </w:t>
            </w:r>
            <w:r>
              <w:rPr>
                <w:b/>
                <w:bCs/>
              </w:rPr>
              <w:t>gradual rehabilitation and revitalisation of spatially and environmentally degraded areas</w:t>
            </w:r>
            <w:r>
              <w:t xml:space="preserve"> related to coal mining and the use of coal, the measures stated below will be implemented in compliance with the “polluter pays” principle and by carrying out mining rehabilitation works within the framework of mining legislation, which will be carried out in accordance with the act/ programme on closing the mine: </w:t>
            </w:r>
          </w:p>
          <w:p w14:paraId="5E1618A7" w14:textId="77777777" w:rsidR="00DD13BF" w:rsidRPr="00773F84" w:rsidRDefault="00DD13BF" w:rsidP="00DD13BF">
            <w:pPr>
              <w:widowControl/>
              <w:numPr>
                <w:ilvl w:val="0"/>
                <w:numId w:val="47"/>
              </w:numPr>
              <w:autoSpaceDE/>
              <w:autoSpaceDN/>
              <w:spacing w:line="276" w:lineRule="auto"/>
              <w:contextualSpacing/>
              <w:jc w:val="both"/>
            </w:pPr>
            <w:r>
              <w:t>dismantling and changing the purpose of facilities related to the use of coal required for investments in increasing the production capacity from RES (Stara elektrarna – Velenje, Block 1–3 – Šoštanj, Block 4 – Šoštanj, Cooling tower 4 – Šoštanj).</w:t>
            </w:r>
          </w:p>
          <w:p w14:paraId="10BCA65F" w14:textId="77777777" w:rsidR="00DD13BF" w:rsidRPr="00773F84" w:rsidRDefault="00DD13BF" w:rsidP="00355A56">
            <w:pPr>
              <w:jc w:val="both"/>
            </w:pPr>
          </w:p>
          <w:p w14:paraId="30474CF9" w14:textId="77777777" w:rsidR="00DD13BF" w:rsidRPr="00773F84" w:rsidRDefault="00DD13BF" w:rsidP="00355A56">
            <w:pPr>
              <w:jc w:val="both"/>
            </w:pPr>
            <w:r>
              <w:t>The planned measures are complemented by measures within the framework of the “investment for growth and jobs” objective, other financial instruments, and the other two pillars of the Just Transition Mechanism, and two acts that are being drafted: on the gradual closure of the Velenje Coal Mine and on the economic restructuring of the SAŠA region.</w:t>
            </w:r>
          </w:p>
          <w:p w14:paraId="3A60CAB8" w14:textId="77777777" w:rsidR="00DD13BF" w:rsidRDefault="00DD13BF" w:rsidP="00355A56">
            <w:pPr>
              <w:jc w:val="both"/>
            </w:pPr>
          </w:p>
          <w:p w14:paraId="2E4DBBA7" w14:textId="77777777" w:rsidR="00DD13BF" w:rsidRDefault="00DD13BF" w:rsidP="00355A56">
            <w:pPr>
              <w:jc w:val="both"/>
            </w:pPr>
            <w:r>
              <w:t>For better regional connectivity and sustainable mobility, funds from other programme funds and other resources will be allocated to implement measures:</w:t>
            </w:r>
          </w:p>
          <w:p w14:paraId="7724C217" w14:textId="77777777" w:rsidR="00DD13BF" w:rsidRPr="00F6587C" w:rsidRDefault="00DD13BF" w:rsidP="00DD13BF">
            <w:pPr>
              <w:pStyle w:val="Odstavekseznama"/>
              <w:widowControl/>
              <w:numPr>
                <w:ilvl w:val="0"/>
                <w:numId w:val="61"/>
              </w:numPr>
              <w:autoSpaceDE/>
              <w:autoSpaceDN/>
              <w:jc w:val="both"/>
              <w:rPr>
                <w:rFonts w:ascii="Times New Roman" w:eastAsiaTheme="minorEastAsia" w:hAnsi="Times New Roman" w:cs="Times New Roman"/>
              </w:rPr>
            </w:pPr>
            <w:r>
              <w:rPr>
                <w:rFonts w:ascii="Times New Roman" w:hAnsi="Times New Roman"/>
              </w:rPr>
              <w:t>sustainable local mobility with an emphasis on public passenger transport; and</w:t>
            </w:r>
          </w:p>
          <w:p w14:paraId="5836F70C" w14:textId="77777777" w:rsidR="00DD13BF" w:rsidRPr="00F6587C" w:rsidRDefault="00DD13BF" w:rsidP="00DD13BF">
            <w:pPr>
              <w:pStyle w:val="Odstavekseznama"/>
              <w:widowControl/>
              <w:numPr>
                <w:ilvl w:val="0"/>
                <w:numId w:val="61"/>
              </w:numPr>
              <w:autoSpaceDE/>
              <w:autoSpaceDN/>
              <w:jc w:val="both"/>
              <w:rPr>
                <w:rFonts w:ascii="Times New Roman" w:hAnsi="Times New Roman" w:cs="Times New Roman"/>
              </w:rPr>
            </w:pPr>
            <w:r>
              <w:rPr>
                <w:rFonts w:ascii="Times New Roman" w:hAnsi="Times New Roman"/>
              </w:rPr>
              <w:lastRenderedPageBreak/>
              <w:t>ensuring conditions for a better connectivity of the region.</w:t>
            </w:r>
          </w:p>
          <w:p w14:paraId="4FB06997" w14:textId="77777777" w:rsidR="00DD13BF" w:rsidRPr="00773F84" w:rsidRDefault="00DD13BF" w:rsidP="00355A56">
            <w:pPr>
              <w:jc w:val="both"/>
            </w:pPr>
          </w:p>
          <w:p w14:paraId="3DCFA4B7" w14:textId="77777777" w:rsidR="00DD13BF" w:rsidRPr="00773F84" w:rsidRDefault="00DD13BF" w:rsidP="00355A56">
            <w:pPr>
              <w:jc w:val="both"/>
            </w:pPr>
            <w:r>
              <w:t xml:space="preserve">In the </w:t>
            </w:r>
            <w:r>
              <w:rPr>
                <w:b/>
                <w:bCs/>
                <w:u w:val="single"/>
              </w:rPr>
              <w:t>Territorial Just Transition Plan for the Zasavje Region</w:t>
            </w:r>
            <w:r>
              <w:t>, the following types of measures were foreseen:</w:t>
            </w:r>
          </w:p>
          <w:p w14:paraId="61EED8AB" w14:textId="77777777" w:rsidR="00DD13BF" w:rsidRPr="00773F84" w:rsidRDefault="00DD13BF" w:rsidP="00355A56">
            <w:pPr>
              <w:jc w:val="both"/>
            </w:pPr>
          </w:p>
          <w:p w14:paraId="22FB104F" w14:textId="77777777" w:rsidR="00DD13BF" w:rsidRPr="00773F84" w:rsidRDefault="00DD13BF" w:rsidP="00355A56">
            <w:pPr>
              <w:jc w:val="both"/>
            </w:pPr>
            <w:r>
              <w:t xml:space="preserve">Reducing GHG emissions in the region will contribute to the decarbonisation of the entire business sector in the country. To achieve the greatest possible contribution to the national objectives, the funds from this fund will be used to support the activities of the measures below within the framework of the objective of </w:t>
            </w:r>
            <w:r>
              <w:rPr>
                <w:b/>
                <w:bCs/>
              </w:rPr>
              <w:t>exploiting the potential for decarbonisation of the region</w:t>
            </w:r>
            <w:r>
              <w:t>:</w:t>
            </w:r>
          </w:p>
          <w:p w14:paraId="14AD67AA" w14:textId="77777777" w:rsidR="00DD13BF" w:rsidRPr="00931A85" w:rsidRDefault="00DD13BF" w:rsidP="00DD13BF">
            <w:pPr>
              <w:widowControl/>
              <w:numPr>
                <w:ilvl w:val="0"/>
                <w:numId w:val="47"/>
              </w:numPr>
              <w:autoSpaceDE/>
              <w:autoSpaceDN/>
              <w:jc w:val="both"/>
              <w:rPr>
                <w:rFonts w:eastAsia="Cambria"/>
              </w:rPr>
            </w:pPr>
            <w:r>
              <w:t>producing various RES technologies;</w:t>
            </w:r>
          </w:p>
          <w:p w14:paraId="5B6EAABD" w14:textId="77777777" w:rsidR="00DD13BF" w:rsidRPr="00931A85" w:rsidRDefault="00DD13BF" w:rsidP="00DD13BF">
            <w:pPr>
              <w:widowControl/>
              <w:numPr>
                <w:ilvl w:val="0"/>
                <w:numId w:val="47"/>
              </w:numPr>
              <w:autoSpaceDE/>
              <w:autoSpaceDN/>
              <w:jc w:val="both"/>
              <w:rPr>
                <w:rFonts w:eastAsia="Cambria"/>
              </w:rPr>
            </w:pPr>
            <w:r>
              <w:t>improving energy efficiency in the business sector.</w:t>
            </w:r>
          </w:p>
          <w:p w14:paraId="3F990787" w14:textId="77777777" w:rsidR="00DD13BF" w:rsidRPr="00773F84" w:rsidRDefault="00DD13BF" w:rsidP="00355A56">
            <w:pPr>
              <w:jc w:val="both"/>
            </w:pPr>
          </w:p>
          <w:p w14:paraId="6CC28AF9" w14:textId="77777777" w:rsidR="00DD13BF" w:rsidRPr="00773F84" w:rsidRDefault="00DD13BF" w:rsidP="00355A56">
            <w:pPr>
              <w:jc w:val="both"/>
            </w:pPr>
            <w:r>
              <w:t xml:space="preserve">The attainment of the objective of </w:t>
            </w:r>
            <w:r>
              <w:rPr>
                <w:b/>
                <w:bCs/>
              </w:rPr>
              <w:t>sustainable, flexible and diverse economic development</w:t>
            </w:r>
            <w:r>
              <w:t xml:space="preserve"> is the basis for a successful and fair restructuring of the region towards climate neutrality and the efficient use of raw materials. The planned combination of measures will focus on the economic restructuring of the region in accordance with the NECP and the S5, and the regional development programme of Zasavje towards the transition to a low-carbon, circular, digitised economy by exploiting or transforming existing activities related to past coal-intensive economic activity. Funds from the JTF will therefore be allocated to support the following (sets of) measures: </w:t>
            </w:r>
          </w:p>
          <w:p w14:paraId="7E5A76DA" w14:textId="77777777" w:rsidR="00DD13BF" w:rsidRPr="00773F84" w:rsidRDefault="00DD13BF" w:rsidP="00DD13BF">
            <w:pPr>
              <w:widowControl/>
              <w:numPr>
                <w:ilvl w:val="0"/>
                <w:numId w:val="47"/>
              </w:numPr>
              <w:autoSpaceDE/>
              <w:autoSpaceDN/>
              <w:jc w:val="both"/>
              <w:rPr>
                <w:rFonts w:eastAsia="Cambria"/>
              </w:rPr>
            </w:pPr>
            <w:r>
              <w:t>investments in research, development and innovation, and production capacity in small and medium-sized enterprises (mainly the manufacturing sector);</w:t>
            </w:r>
          </w:p>
          <w:p w14:paraId="6F8E87E5" w14:textId="77777777" w:rsidR="00DD13BF" w:rsidRDefault="00DD13BF" w:rsidP="00DD13BF">
            <w:pPr>
              <w:widowControl/>
              <w:numPr>
                <w:ilvl w:val="0"/>
                <w:numId w:val="47"/>
              </w:numPr>
              <w:autoSpaceDE/>
              <w:autoSpaceDN/>
              <w:jc w:val="both"/>
              <w:rPr>
                <w:rFonts w:eastAsia="Cambria"/>
              </w:rPr>
            </w:pPr>
            <w:r>
              <w:t>developing a start-up ecosystem, and promoting enterprises with the potential for rapid growth, including economic business infrastructure; and</w:t>
            </w:r>
          </w:p>
          <w:p w14:paraId="4A006263" w14:textId="77777777" w:rsidR="00DD13BF" w:rsidRPr="00931A85" w:rsidRDefault="00DD13BF" w:rsidP="00DD13BF">
            <w:pPr>
              <w:widowControl/>
              <w:numPr>
                <w:ilvl w:val="0"/>
                <w:numId w:val="47"/>
              </w:numPr>
              <w:autoSpaceDE/>
              <w:autoSpaceDN/>
              <w:jc w:val="both"/>
              <w:rPr>
                <w:rFonts w:eastAsia="Cambria"/>
              </w:rPr>
            </w:pPr>
            <w:r>
              <w:t>productive investments other than investments in SMEs.</w:t>
            </w:r>
          </w:p>
          <w:p w14:paraId="0BCB5618" w14:textId="77777777" w:rsidR="00DD13BF" w:rsidRPr="00773F84" w:rsidRDefault="00DD13BF" w:rsidP="00355A56">
            <w:pPr>
              <w:jc w:val="both"/>
            </w:pPr>
          </w:p>
          <w:p w14:paraId="12B2A04D" w14:textId="77777777" w:rsidR="00DD13BF" w:rsidRPr="00773F84" w:rsidRDefault="00DD13BF" w:rsidP="00355A56">
            <w:pPr>
              <w:jc w:val="both"/>
            </w:pPr>
            <w:r>
              <w:t xml:space="preserve">To attain the objective of </w:t>
            </w:r>
            <w:r>
              <w:rPr>
                <w:b/>
                <w:bCs/>
              </w:rPr>
              <w:t>highly motivated and qualified residents</w:t>
            </w:r>
            <w:r>
              <w:t>, supports will be allocated to the following measures:</w:t>
            </w:r>
          </w:p>
          <w:p w14:paraId="69BC6BAF" w14:textId="77777777" w:rsidR="00DD13BF" w:rsidRPr="00277148" w:rsidRDefault="00DD13BF" w:rsidP="00DD13BF">
            <w:pPr>
              <w:widowControl/>
              <w:numPr>
                <w:ilvl w:val="0"/>
                <w:numId w:val="49"/>
              </w:numPr>
              <w:autoSpaceDE/>
              <w:autoSpaceDN/>
              <w:jc w:val="both"/>
              <w:rPr>
                <w:rFonts w:eastAsia="Cambria"/>
              </w:rPr>
            </w:pPr>
            <w:r>
              <w:t xml:space="preserve">enhanced implementation of quality and accessible learning; </w:t>
            </w:r>
          </w:p>
          <w:p w14:paraId="7C7BFDE0" w14:textId="77777777" w:rsidR="00DD13BF" w:rsidRPr="00277148" w:rsidRDefault="00DD13BF" w:rsidP="00DD13BF">
            <w:pPr>
              <w:widowControl/>
              <w:numPr>
                <w:ilvl w:val="0"/>
                <w:numId w:val="49"/>
              </w:numPr>
              <w:autoSpaceDE/>
              <w:autoSpaceDN/>
              <w:jc w:val="both"/>
              <w:rPr>
                <w:rFonts w:eastAsia="Cambria"/>
              </w:rPr>
            </w:pPr>
            <w:r>
              <w:t>lifelong career orientation;</w:t>
            </w:r>
          </w:p>
          <w:p w14:paraId="3BC76A65" w14:textId="77777777" w:rsidR="00DD13BF" w:rsidRPr="00277148" w:rsidRDefault="00DD13BF" w:rsidP="00DD13BF">
            <w:pPr>
              <w:widowControl/>
              <w:numPr>
                <w:ilvl w:val="0"/>
                <w:numId w:val="49"/>
              </w:numPr>
              <w:autoSpaceDE/>
              <w:autoSpaceDN/>
              <w:jc w:val="both"/>
              <w:rPr>
                <w:rFonts w:eastAsia="Cambria"/>
              </w:rPr>
            </w:pPr>
            <w:r>
              <w:t>introducing circular contents into the educational institutions.</w:t>
            </w:r>
          </w:p>
          <w:p w14:paraId="6C496D72" w14:textId="77777777" w:rsidR="00DD13BF" w:rsidRPr="00773F84" w:rsidRDefault="00DD13BF" w:rsidP="00355A56">
            <w:pPr>
              <w:jc w:val="both"/>
            </w:pPr>
          </w:p>
          <w:p w14:paraId="57F89690" w14:textId="77777777" w:rsidR="00DD13BF" w:rsidRDefault="00DD13BF" w:rsidP="00355A56">
            <w:pPr>
              <w:jc w:val="both"/>
            </w:pPr>
            <w:r>
              <w:t>The measures are complementary and linked to supporting measures under the relevant policy objectives within the framework of the “investment for growth and jobs” objective and other financial instruments, and the other two pillars of the Just Transition Mechanism.</w:t>
            </w:r>
          </w:p>
          <w:p w14:paraId="76B4FEBB" w14:textId="77777777" w:rsidR="00DD13BF" w:rsidRDefault="00DD13BF" w:rsidP="00355A56">
            <w:pPr>
              <w:jc w:val="both"/>
            </w:pPr>
          </w:p>
          <w:p w14:paraId="189D45C5" w14:textId="77777777" w:rsidR="00DD13BF" w:rsidRDefault="00DD13BF" w:rsidP="00355A56">
            <w:pPr>
              <w:jc w:val="both"/>
            </w:pPr>
            <w:r>
              <w:t xml:space="preserve">To </w:t>
            </w:r>
            <w:r>
              <w:rPr>
                <w:b/>
                <w:bCs/>
              </w:rPr>
              <w:t>improve intra- and extra-regional connectivity</w:t>
            </w:r>
            <w:r>
              <w:t>, funds from other funds of the programme and Pillar 3 of the Just Transition Mechanism will be used to support the following measures:</w:t>
            </w:r>
          </w:p>
          <w:p w14:paraId="648A5787" w14:textId="77777777" w:rsidR="00DD13BF" w:rsidRDefault="00DD13BF" w:rsidP="00DD13BF">
            <w:pPr>
              <w:pStyle w:val="Odstavekseznama"/>
              <w:widowControl/>
              <w:numPr>
                <w:ilvl w:val="0"/>
                <w:numId w:val="60"/>
              </w:numPr>
              <w:autoSpaceDE/>
              <w:autoSpaceDN/>
              <w:jc w:val="both"/>
              <w:rPr>
                <w:rFonts w:ascii="Times New Roman" w:hAnsi="Times New Roman" w:cs="Times New Roman"/>
              </w:rPr>
            </w:pPr>
            <w:r>
              <w:rPr>
                <w:rFonts w:ascii="Times New Roman" w:hAnsi="Times New Roman"/>
              </w:rPr>
              <w:t xml:space="preserve">promoting investments in sustainable local mobility with an emphasis on public passenger transport; and </w:t>
            </w:r>
          </w:p>
          <w:p w14:paraId="2A4CC264" w14:textId="77777777" w:rsidR="00DD13BF" w:rsidRDefault="00DD13BF" w:rsidP="00DD13BF">
            <w:pPr>
              <w:pStyle w:val="Odstavekseznama"/>
              <w:widowControl/>
              <w:numPr>
                <w:ilvl w:val="0"/>
                <w:numId w:val="60"/>
              </w:numPr>
              <w:autoSpaceDE/>
              <w:autoSpaceDN/>
              <w:jc w:val="both"/>
              <w:rPr>
                <w:rFonts w:ascii="Times New Roman" w:hAnsi="Times New Roman" w:cs="Times New Roman"/>
              </w:rPr>
            </w:pPr>
            <w:r>
              <w:rPr>
                <w:rFonts w:ascii="Times New Roman" w:hAnsi="Times New Roman"/>
              </w:rPr>
              <w:t>developing and modernising the region’s connections for the needs of economic growth.</w:t>
            </w:r>
          </w:p>
          <w:p w14:paraId="5DCA42D4" w14:textId="77777777" w:rsidR="00DD13BF" w:rsidRPr="00AE2E4A" w:rsidRDefault="00DD13BF" w:rsidP="00355A56">
            <w:pPr>
              <w:pStyle w:val="Odstavekseznama"/>
              <w:ind w:left="720"/>
              <w:jc w:val="both"/>
              <w:rPr>
                <w:rFonts w:ascii="Times New Roman" w:eastAsia="Times New Roman" w:hAnsi="Times New Roman" w:cs="Times New Roman"/>
              </w:rPr>
            </w:pPr>
          </w:p>
          <w:p w14:paraId="3372AA50" w14:textId="77777777" w:rsidR="00DD13BF" w:rsidRPr="003B5185" w:rsidRDefault="00DD13BF" w:rsidP="00355A56">
            <w:pPr>
              <w:pStyle w:val="Odstavekseznama"/>
              <w:ind w:left="38"/>
              <w:jc w:val="both"/>
              <w:rPr>
                <w:rFonts w:ascii="Times New Roman" w:hAnsi="Times New Roman" w:cs="Times New Roman"/>
              </w:rPr>
            </w:pPr>
            <w:r>
              <w:rPr>
                <w:rFonts w:ascii="Times New Roman" w:hAnsi="Times New Roman"/>
              </w:rPr>
              <w:t xml:space="preserve">Where relevant, the implementation of measures will comply with the New European Bauhaus initiative. To formulate the final content of the </w:t>
            </w:r>
            <w:r>
              <w:rPr>
                <w:rFonts w:ascii="Times New Roman" w:hAnsi="Times New Roman"/>
              </w:rPr>
              <w:lastRenderedPageBreak/>
              <w:t>measures, and the criteria for their selection and implementation, the relevant mitigation measures and, to the greatest extent possible, the relevant recommendations in accordance with the strategic environmental assessment, which are listed in annex Mitigation Measures and Recommendations, will be taken into account. It was established that none of the measures has a significant adverse impact on any of the six environmental objectives, taking into account the technical screening criteria listed in annex DNSH.</w:t>
            </w:r>
            <w:r>
              <w:t xml:space="preserve"> </w:t>
            </w:r>
            <w:r>
              <w:rPr>
                <w:rFonts w:ascii="Times New Roman" w:hAnsi="Times New Roman"/>
              </w:rPr>
              <w:t>Each investment/operation in the field of providing wood biomass for the production of thermal energy for district heating will be additionally evaluated through the DNSH rules for forest management and will ensure that the increased use of wood biomass will not increase felling in forests that would turn them into plantations or increase the import of wood biomass from other countries.</w:t>
            </w:r>
            <w:r>
              <w:t xml:space="preserve"> </w:t>
            </w:r>
          </w:p>
        </w:tc>
      </w:tr>
    </w:tbl>
    <w:p w14:paraId="0623A05A" w14:textId="77777777" w:rsidR="00DD13BF" w:rsidRDefault="00DD13BF" w:rsidP="00DD13BF">
      <w:pPr>
        <w:ind w:left="1349"/>
        <w:rPr>
          <w:spacing w:val="-6"/>
        </w:rPr>
      </w:pPr>
    </w:p>
    <w:p w14:paraId="1FCB4F20" w14:textId="77777777" w:rsidR="00DD13BF" w:rsidRDefault="00DD13BF" w:rsidP="00DD13BF">
      <w:pPr>
        <w:ind w:left="1349"/>
      </w:pPr>
      <w:r>
        <w:t>Main target groups:</w:t>
      </w:r>
    </w:p>
    <w:p w14:paraId="55A73B77"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4FC5D50C" w14:textId="77777777" w:rsidTr="00355A56">
        <w:tc>
          <w:tcPr>
            <w:tcW w:w="12763" w:type="dxa"/>
          </w:tcPr>
          <w:p w14:paraId="0BA130F4" w14:textId="77777777" w:rsidR="00DD13BF" w:rsidRDefault="00DD13BF" w:rsidP="00355A56">
            <w:pPr>
              <w:jc w:val="both"/>
              <w:rPr>
                <w:rFonts w:cstheme="minorHAnsi"/>
              </w:rPr>
            </w:pPr>
            <w:r>
              <w:t>Target groups: enterprises, regional development partnerships, the public sector, pupils, secondary school students, educational institutions and individuals in the areas specified in regional plans.</w:t>
            </w:r>
          </w:p>
          <w:p w14:paraId="41DFC99F" w14:textId="77777777" w:rsidR="00DD13BF" w:rsidRDefault="00DD13BF" w:rsidP="00355A56">
            <w:pPr>
              <w:jc w:val="both"/>
              <w:rPr>
                <w:rFonts w:cstheme="minorHAnsi"/>
              </w:rPr>
            </w:pPr>
          </w:p>
          <w:p w14:paraId="4146AF74" w14:textId="77777777" w:rsidR="00DD13BF" w:rsidRPr="00B3569A" w:rsidRDefault="00DD13BF" w:rsidP="00355A56">
            <w:pPr>
              <w:jc w:val="both"/>
              <w:rPr>
                <w:rFonts w:cstheme="minorHAnsi"/>
              </w:rPr>
            </w:pPr>
            <w:r>
              <w:t>Beneficiaries: enterprises, cooperatives, public institutes (educational institutions, public research institutes, ZRSZ), supporting environment institutions, regional development partnerships, non-profit organisations and local communities in the areas specified in regional plans.</w:t>
            </w:r>
          </w:p>
        </w:tc>
      </w:tr>
    </w:tbl>
    <w:p w14:paraId="738B1A61" w14:textId="77777777" w:rsidR="00DD13BF" w:rsidRPr="006B7178" w:rsidRDefault="00DD13BF" w:rsidP="00DD13BF">
      <w:pPr>
        <w:ind w:left="1349"/>
      </w:pPr>
    </w:p>
    <w:p w14:paraId="3A7FE018" w14:textId="77777777" w:rsidR="00DD13BF" w:rsidRDefault="00DD13BF" w:rsidP="00DD13BF">
      <w:pPr>
        <w:ind w:left="1349"/>
        <w:rPr>
          <w:spacing w:val="-2"/>
        </w:rPr>
      </w:pPr>
      <w:r>
        <w:t>Measures to protect equality, inclusion and non-discrimination:</w:t>
      </w:r>
    </w:p>
    <w:p w14:paraId="56C4BF13" w14:textId="77777777" w:rsidR="00DD13BF" w:rsidRDefault="00DD13BF" w:rsidP="00DD13BF"/>
    <w:tbl>
      <w:tblPr>
        <w:tblStyle w:val="Tabelamrea"/>
        <w:tblW w:w="12715" w:type="dxa"/>
        <w:tblInd w:w="1314" w:type="dxa"/>
        <w:tblLook w:val="04A0" w:firstRow="1" w:lastRow="0" w:firstColumn="1" w:lastColumn="0" w:noHBand="0" w:noVBand="1"/>
      </w:tblPr>
      <w:tblGrid>
        <w:gridCol w:w="12715"/>
      </w:tblGrid>
      <w:tr w:rsidR="00DD13BF" w:rsidRPr="00B3569A" w14:paraId="29FEE695" w14:textId="77777777" w:rsidTr="00355A56">
        <w:tc>
          <w:tcPr>
            <w:tcW w:w="12715" w:type="dxa"/>
          </w:tcPr>
          <w:p w14:paraId="54E32B3F" w14:textId="77777777" w:rsidR="00DD13BF" w:rsidRPr="00B3569A" w:rsidRDefault="00DD13BF" w:rsidP="00355A56">
            <w:pPr>
              <w:jc w:val="both"/>
              <w:rPr>
                <w:rFonts w:cstheme="minorHAnsi"/>
              </w:rPr>
            </w:pPr>
            <w:r>
              <w:t>The principles of gender equality, equal opportunities and non-discrimination will be respected in all measures, since gender equality is a fundamental value of the EU and a fundamental right and a key principle of the European Pillar of Social Rights. Pursuant to Article 12 of the Equal Opportunities for Women and Men Act (Official Gazette of the Republic of Slovenia [</w:t>
            </w:r>
            <w:r>
              <w:rPr>
                <w:i/>
                <w:iCs/>
              </w:rPr>
              <w:t>Uradni list RS</w:t>
            </w:r>
            <w:r>
              <w:t>], Nos. 59/02, 61/07 – ZUNEO-A, 33/16 – ZVarD and 59/19), all genders will be treated equally in all the foreseen fields. In the design and implementation of tenders and public procurement, transparency and respect for the legal orders of the EU and the Republic of Slovenia will be fully ensured by the use of clear, objective and non-discriminatory conditions and criteria for the selection of applications.</w:t>
            </w:r>
          </w:p>
        </w:tc>
      </w:tr>
    </w:tbl>
    <w:p w14:paraId="32E09BAD" w14:textId="77777777" w:rsidR="00DD13BF" w:rsidRDefault="00DD13BF" w:rsidP="00DD13BF">
      <w:pPr>
        <w:rPr>
          <w:sz w:val="20"/>
        </w:rPr>
      </w:pPr>
    </w:p>
    <w:p w14:paraId="6DC10281" w14:textId="77777777" w:rsidR="00DD13BF" w:rsidRDefault="00DD13BF" w:rsidP="00DD13BF">
      <w:pPr>
        <w:ind w:left="1415"/>
        <w:rPr>
          <w:spacing w:val="-4"/>
        </w:rPr>
      </w:pPr>
      <w:r>
        <w:t>Indication of the specific territories targeted, including the planned use of territorial tools:</w:t>
      </w:r>
    </w:p>
    <w:p w14:paraId="2089F3B8" w14:textId="77777777" w:rsidR="00DD13BF" w:rsidRDefault="00DD13BF" w:rsidP="00DD13BF"/>
    <w:tbl>
      <w:tblPr>
        <w:tblStyle w:val="Tabelamrea"/>
        <w:tblW w:w="12763" w:type="dxa"/>
        <w:tblInd w:w="1266" w:type="dxa"/>
        <w:tblLook w:val="04A0" w:firstRow="1" w:lastRow="0" w:firstColumn="1" w:lastColumn="0" w:noHBand="0" w:noVBand="1"/>
      </w:tblPr>
      <w:tblGrid>
        <w:gridCol w:w="12763"/>
      </w:tblGrid>
      <w:tr w:rsidR="00DD13BF" w:rsidRPr="00B3569A" w14:paraId="423EADA1" w14:textId="77777777" w:rsidTr="00355A56">
        <w:tc>
          <w:tcPr>
            <w:tcW w:w="12763" w:type="dxa"/>
          </w:tcPr>
          <w:p w14:paraId="6757A033" w14:textId="77777777" w:rsidR="00DD13BF" w:rsidRPr="000B6214" w:rsidRDefault="00DD13BF" w:rsidP="00355A56">
            <w:pPr>
              <w:jc w:val="both"/>
              <w:rPr>
                <w:rFonts w:cstheme="minorHAnsi"/>
              </w:rPr>
            </w:pPr>
            <w:r>
              <w:t xml:space="preserve">Under this specific objective, the use of territorial tools is not foreseen. </w:t>
            </w:r>
          </w:p>
          <w:p w14:paraId="27A9B3DF" w14:textId="77777777" w:rsidR="00DD13BF" w:rsidRPr="000B6214" w:rsidRDefault="00DD13BF" w:rsidP="00355A56">
            <w:pPr>
              <w:jc w:val="both"/>
              <w:rPr>
                <w:rFonts w:cstheme="minorHAnsi"/>
              </w:rPr>
            </w:pPr>
            <w:r>
              <w:t>Two coal regions are beneficiaries under the stated specific objective, i.e.:</w:t>
            </w:r>
          </w:p>
          <w:p w14:paraId="346648B4" w14:textId="77777777" w:rsidR="00DD13BF" w:rsidRPr="000B6214" w:rsidRDefault="00DD13BF" w:rsidP="00355A56">
            <w:pPr>
              <w:jc w:val="both"/>
              <w:rPr>
                <w:rFonts w:cstheme="minorHAnsi"/>
              </w:rPr>
            </w:pPr>
            <w:r>
              <w:t>- Savinjsko-Šaleška (SAŠA) – the narrower and wider areas are part of the NUTS 3 area (SI034 Savinjska). The municipalities in the narrower and wider area are defined in the TJTP SAŠA;</w:t>
            </w:r>
          </w:p>
          <w:p w14:paraId="5300014C" w14:textId="77777777" w:rsidR="00DD13BF" w:rsidRPr="00B3569A" w:rsidRDefault="00DD13BF" w:rsidP="00355A56">
            <w:pPr>
              <w:jc w:val="both"/>
              <w:rPr>
                <w:rFonts w:cstheme="minorHAnsi"/>
              </w:rPr>
            </w:pPr>
            <w:r>
              <w:t xml:space="preserve">- Zasavje the wider area is NUTS3 (SI035 Zasavje); the narrower area is part of the NUTS 3 area (SI035 Zasavje). The municipalities in the narrower area are defined in the TJTP Zasavje. </w:t>
            </w:r>
          </w:p>
        </w:tc>
      </w:tr>
    </w:tbl>
    <w:p w14:paraId="7997DE57" w14:textId="77777777" w:rsidR="00DD13BF" w:rsidRDefault="00DD13BF" w:rsidP="00DD13BF">
      <w:pPr>
        <w:rPr>
          <w:sz w:val="18"/>
        </w:rPr>
      </w:pPr>
    </w:p>
    <w:p w14:paraId="52399C2D" w14:textId="77777777" w:rsidR="00DD13BF" w:rsidRDefault="00DD13BF" w:rsidP="00DD13BF">
      <w:pPr>
        <w:ind w:left="1415"/>
      </w:pPr>
      <w:r>
        <w:t>The interregional, cross-border and transnational actions:</w:t>
      </w:r>
    </w:p>
    <w:p w14:paraId="07294BD5" w14:textId="77777777" w:rsidR="00DD13BF" w:rsidRDefault="00DD13BF" w:rsidP="00DD13BF">
      <w:pPr>
        <w:rPr>
          <w:sz w:val="17"/>
        </w:rPr>
      </w:pPr>
    </w:p>
    <w:tbl>
      <w:tblPr>
        <w:tblStyle w:val="Tabelamrea"/>
        <w:tblW w:w="12763" w:type="dxa"/>
        <w:tblInd w:w="1266" w:type="dxa"/>
        <w:tblLook w:val="04A0" w:firstRow="1" w:lastRow="0" w:firstColumn="1" w:lastColumn="0" w:noHBand="0" w:noVBand="1"/>
      </w:tblPr>
      <w:tblGrid>
        <w:gridCol w:w="12763"/>
      </w:tblGrid>
      <w:tr w:rsidR="00DD13BF" w:rsidRPr="00B3569A" w14:paraId="558A1986" w14:textId="77777777" w:rsidTr="00355A56">
        <w:tc>
          <w:tcPr>
            <w:tcW w:w="12763" w:type="dxa"/>
          </w:tcPr>
          <w:p w14:paraId="564EE9EB" w14:textId="77777777" w:rsidR="00DD13BF" w:rsidRDefault="00DD13BF" w:rsidP="00355A56">
            <w:pPr>
              <w:jc w:val="both"/>
            </w:pPr>
            <w:r>
              <w:lastRenderedPageBreak/>
              <w:t xml:space="preserve">Under this specific objective, the implementation of interregional, cross-border and transnational actions is not foreseen. In a broader sense, the investments that will be made in both TJTPs will contribute to the contents of macro-regional strategies in the fields of the economy, energy, the environment, and human resources. </w:t>
            </w:r>
          </w:p>
          <w:p w14:paraId="2C70B769" w14:textId="77777777" w:rsidR="00DD13BF" w:rsidRDefault="00DD13BF" w:rsidP="00355A56">
            <w:pPr>
              <w:jc w:val="both"/>
            </w:pPr>
          </w:p>
          <w:p w14:paraId="7B390537" w14:textId="77777777" w:rsidR="00DD13BF" w:rsidRPr="00B3569A" w:rsidRDefault="00DD13BF" w:rsidP="00355A56">
            <w:pPr>
              <w:jc w:val="both"/>
              <w:rPr>
                <w:rFonts w:cstheme="minorHAnsi"/>
              </w:rPr>
            </w:pPr>
            <w:r>
              <w:t>The two coal regions have been cooperating with each other throughout the preparation of documents for coal exit, and particularly during the preparation of TJTPs. Further cooperation is also foreseen; certain activities of the Just Transition Centre, which will operate in each region, will be common. Representatives of both regions actively participate on the Just Transition Platform.</w:t>
            </w:r>
          </w:p>
        </w:tc>
      </w:tr>
    </w:tbl>
    <w:p w14:paraId="2E01FDFA" w14:textId="77777777" w:rsidR="00DD13BF" w:rsidRDefault="00DD13BF" w:rsidP="00DD13BF">
      <w:pPr>
        <w:rPr>
          <w:sz w:val="17"/>
        </w:rPr>
      </w:pPr>
    </w:p>
    <w:p w14:paraId="1D792090" w14:textId="77777777" w:rsidR="00DD13BF" w:rsidRDefault="00DD13BF" w:rsidP="00DD13BF">
      <w:pPr>
        <w:ind w:left="1415"/>
        <w:rPr>
          <w:spacing w:val="-3"/>
        </w:rPr>
      </w:pPr>
      <w:r>
        <w:t>Planned use of financial instruments:</w:t>
      </w:r>
    </w:p>
    <w:p w14:paraId="4AE2E564" w14:textId="77777777" w:rsidR="00DD13BF" w:rsidRDefault="00DD13BF" w:rsidP="00DD13BF">
      <w:pPr>
        <w:rPr>
          <w:spacing w:val="-3"/>
        </w:rPr>
      </w:pPr>
    </w:p>
    <w:tbl>
      <w:tblPr>
        <w:tblStyle w:val="Tabelamrea"/>
        <w:tblW w:w="12758" w:type="dxa"/>
        <w:tblInd w:w="1271" w:type="dxa"/>
        <w:tblLook w:val="04A0" w:firstRow="1" w:lastRow="0" w:firstColumn="1" w:lastColumn="0" w:noHBand="0" w:noVBand="1"/>
      </w:tblPr>
      <w:tblGrid>
        <w:gridCol w:w="12758"/>
      </w:tblGrid>
      <w:tr w:rsidR="00DD13BF" w:rsidRPr="00B3569A" w14:paraId="40056FF9" w14:textId="77777777" w:rsidTr="00355A56">
        <w:tc>
          <w:tcPr>
            <w:tcW w:w="12758" w:type="dxa"/>
          </w:tcPr>
          <w:p w14:paraId="7D870631" w14:textId="77777777" w:rsidR="00DD13BF" w:rsidRPr="00B3569A" w:rsidRDefault="00DD13BF" w:rsidP="00355A56">
            <w:pPr>
              <w:jc w:val="both"/>
              <w:rPr>
                <w:rFonts w:cstheme="minorHAnsi"/>
              </w:rPr>
            </w:pPr>
            <w:r>
              <w:t>The use of financial instruments under this specific objective is not foreseen, as the JTF constitutes Pillar 1 of the Just Transition Mechanism, which is complemented by pillars 2 and 3, i.e. grants to support just transition projects.</w:t>
            </w:r>
          </w:p>
        </w:tc>
      </w:tr>
    </w:tbl>
    <w:p w14:paraId="2BA58C22" w14:textId="77777777" w:rsidR="00DD13BF" w:rsidRDefault="00DD13BF" w:rsidP="00DD13BF">
      <w:pPr>
        <w:rPr>
          <w:sz w:val="20"/>
        </w:rPr>
      </w:pPr>
    </w:p>
    <w:p w14:paraId="08FDC4AE" w14:textId="77777777" w:rsidR="00DD13BF" w:rsidRDefault="00DD13BF" w:rsidP="00DD13BF">
      <w:pPr>
        <w:rPr>
          <w:sz w:val="20"/>
        </w:rPr>
      </w:pPr>
    </w:p>
    <w:p w14:paraId="0A6EEFE7" w14:textId="77777777" w:rsidR="00DD13BF" w:rsidRDefault="00DD13BF" w:rsidP="00DD13BF">
      <w:pPr>
        <w:pStyle w:val="Naslov5"/>
        <w:spacing w:before="0"/>
      </w:pPr>
      <w:r>
        <w:t>Indicators</w:t>
      </w:r>
    </w:p>
    <w:p w14:paraId="5CF6163B" w14:textId="77777777" w:rsidR="00DD13BF" w:rsidRDefault="00DD13BF" w:rsidP="00DD13BF"/>
    <w:p w14:paraId="67BFC0CE" w14:textId="77777777" w:rsidR="00DD13BF" w:rsidRDefault="00DD13BF" w:rsidP="00DD13BF">
      <w:pPr>
        <w:ind w:left="379"/>
      </w:pPr>
      <w:r>
        <w:t>Table 2: Impact indicators</w:t>
      </w:r>
    </w:p>
    <w:p w14:paraId="425483D7" w14:textId="77777777" w:rsidR="00DD13BF" w:rsidRDefault="00DD13BF" w:rsidP="00DD13BF">
      <w:pPr>
        <w:rPr>
          <w:sz w:val="21"/>
        </w:rPr>
      </w:pPr>
    </w:p>
    <w:tbl>
      <w:tblPr>
        <w:tblStyle w:val="TableNormal5"/>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992"/>
        <w:gridCol w:w="708"/>
        <w:gridCol w:w="1701"/>
        <w:gridCol w:w="778"/>
        <w:gridCol w:w="4609"/>
        <w:gridCol w:w="1276"/>
        <w:gridCol w:w="1418"/>
        <w:gridCol w:w="1134"/>
      </w:tblGrid>
      <w:tr w:rsidR="00DD13BF" w:rsidRPr="00841B54" w14:paraId="50B6389A" w14:textId="77777777" w:rsidTr="00355A56">
        <w:trPr>
          <w:trHeight w:val="254"/>
        </w:trPr>
        <w:tc>
          <w:tcPr>
            <w:tcW w:w="1125" w:type="dxa"/>
            <w:vAlign w:val="center"/>
          </w:tcPr>
          <w:p w14:paraId="3F52A340" w14:textId="77777777" w:rsidR="00DD13BF" w:rsidRPr="00841B54" w:rsidRDefault="00DD13BF" w:rsidP="00355A56">
            <w:pPr>
              <w:ind w:right="82"/>
              <w:rPr>
                <w:sz w:val="20"/>
              </w:rPr>
            </w:pPr>
            <w:r>
              <w:rPr>
                <w:sz w:val="20"/>
              </w:rPr>
              <w:t>Priority</w:t>
            </w:r>
          </w:p>
        </w:tc>
        <w:tc>
          <w:tcPr>
            <w:tcW w:w="992" w:type="dxa"/>
            <w:vAlign w:val="center"/>
          </w:tcPr>
          <w:p w14:paraId="604DA76A" w14:textId="77777777" w:rsidR="00DD13BF" w:rsidRPr="00841B54" w:rsidRDefault="00DD13BF" w:rsidP="00355A56">
            <w:pPr>
              <w:rPr>
                <w:sz w:val="20"/>
              </w:rPr>
            </w:pPr>
            <w:r>
              <w:rPr>
                <w:sz w:val="20"/>
              </w:rPr>
              <w:t>Specific objective</w:t>
            </w:r>
          </w:p>
        </w:tc>
        <w:tc>
          <w:tcPr>
            <w:tcW w:w="708" w:type="dxa"/>
            <w:vAlign w:val="center"/>
          </w:tcPr>
          <w:p w14:paraId="1E1C6D32" w14:textId="77777777" w:rsidR="00DD13BF" w:rsidRPr="00841B54" w:rsidRDefault="00DD13BF" w:rsidP="00355A56">
            <w:pPr>
              <w:rPr>
                <w:sz w:val="20"/>
              </w:rPr>
            </w:pPr>
            <w:r>
              <w:rPr>
                <w:sz w:val="20"/>
              </w:rPr>
              <w:t>Fund</w:t>
            </w:r>
          </w:p>
        </w:tc>
        <w:tc>
          <w:tcPr>
            <w:tcW w:w="1701" w:type="dxa"/>
            <w:vAlign w:val="center"/>
          </w:tcPr>
          <w:p w14:paraId="4395C8EB" w14:textId="77777777" w:rsidR="00DD13BF" w:rsidRPr="00841B54" w:rsidRDefault="00DD13BF" w:rsidP="00355A56">
            <w:pPr>
              <w:rPr>
                <w:sz w:val="20"/>
              </w:rPr>
            </w:pPr>
            <w:r>
              <w:rPr>
                <w:sz w:val="20"/>
              </w:rPr>
              <w:t>Category of region</w:t>
            </w:r>
          </w:p>
        </w:tc>
        <w:tc>
          <w:tcPr>
            <w:tcW w:w="778" w:type="dxa"/>
            <w:vAlign w:val="center"/>
          </w:tcPr>
          <w:p w14:paraId="6449AA39" w14:textId="77777777" w:rsidR="00DD13BF" w:rsidRPr="00841B54" w:rsidRDefault="00DD13BF" w:rsidP="00355A56">
            <w:pPr>
              <w:rPr>
                <w:sz w:val="20"/>
              </w:rPr>
            </w:pPr>
            <w:r>
              <w:rPr>
                <w:sz w:val="20"/>
              </w:rPr>
              <w:t>ID</w:t>
            </w:r>
          </w:p>
        </w:tc>
        <w:tc>
          <w:tcPr>
            <w:tcW w:w="4609" w:type="dxa"/>
            <w:vAlign w:val="center"/>
          </w:tcPr>
          <w:p w14:paraId="79143827" w14:textId="77777777" w:rsidR="00DD13BF" w:rsidRPr="00841B54" w:rsidRDefault="00DD13BF" w:rsidP="00355A56">
            <w:pPr>
              <w:rPr>
                <w:sz w:val="20"/>
              </w:rPr>
            </w:pPr>
            <w:r>
              <w:rPr>
                <w:sz w:val="20"/>
              </w:rPr>
              <w:t>Indicators</w:t>
            </w:r>
          </w:p>
        </w:tc>
        <w:tc>
          <w:tcPr>
            <w:tcW w:w="1276" w:type="dxa"/>
            <w:vAlign w:val="center"/>
          </w:tcPr>
          <w:p w14:paraId="17BB1C24" w14:textId="77777777" w:rsidR="00DD13BF" w:rsidRPr="00841B54" w:rsidRDefault="00DD13BF" w:rsidP="00355A56">
            <w:pPr>
              <w:rPr>
                <w:sz w:val="20"/>
              </w:rPr>
            </w:pPr>
            <w:r>
              <w:rPr>
                <w:sz w:val="20"/>
              </w:rPr>
              <w:t>Measurement unit</w:t>
            </w:r>
          </w:p>
        </w:tc>
        <w:tc>
          <w:tcPr>
            <w:tcW w:w="1418" w:type="dxa"/>
            <w:vAlign w:val="center"/>
          </w:tcPr>
          <w:p w14:paraId="0033612E" w14:textId="77777777" w:rsidR="00DD13BF" w:rsidRPr="00841B54" w:rsidRDefault="00DD13BF" w:rsidP="00355A56">
            <w:pPr>
              <w:rPr>
                <w:sz w:val="20"/>
              </w:rPr>
            </w:pPr>
            <w:r>
              <w:rPr>
                <w:sz w:val="20"/>
              </w:rPr>
              <w:t>Milestone (2014)</w:t>
            </w:r>
          </w:p>
        </w:tc>
        <w:tc>
          <w:tcPr>
            <w:tcW w:w="1134" w:type="dxa"/>
            <w:vAlign w:val="center"/>
          </w:tcPr>
          <w:p w14:paraId="4E23DBDB" w14:textId="77777777" w:rsidR="00DD13BF" w:rsidRPr="00841B54" w:rsidRDefault="00DD13BF" w:rsidP="00355A56">
            <w:pPr>
              <w:rPr>
                <w:sz w:val="20"/>
              </w:rPr>
            </w:pPr>
            <w:r>
              <w:rPr>
                <w:sz w:val="20"/>
              </w:rPr>
              <w:t>Target (2029)</w:t>
            </w:r>
          </w:p>
        </w:tc>
      </w:tr>
      <w:tr w:rsidR="00DD13BF" w:rsidRPr="00841B54" w14:paraId="621A54D0" w14:textId="77777777" w:rsidTr="00355A56">
        <w:trPr>
          <w:trHeight w:val="367"/>
        </w:trPr>
        <w:tc>
          <w:tcPr>
            <w:tcW w:w="1125" w:type="dxa"/>
          </w:tcPr>
          <w:p w14:paraId="79A63E37" w14:textId="77777777" w:rsidR="00DD13BF" w:rsidRPr="00841B54" w:rsidRDefault="00DD13BF" w:rsidP="00355A56">
            <w:pPr>
              <w:rPr>
                <w:sz w:val="20"/>
              </w:rPr>
            </w:pPr>
            <w:r>
              <w:rPr>
                <w:sz w:val="20"/>
              </w:rPr>
              <w:t>10</w:t>
            </w:r>
          </w:p>
        </w:tc>
        <w:tc>
          <w:tcPr>
            <w:tcW w:w="992" w:type="dxa"/>
          </w:tcPr>
          <w:p w14:paraId="79ADAEC0" w14:textId="77777777" w:rsidR="00DD13BF" w:rsidRPr="00CA4D3D" w:rsidRDefault="00DD13BF" w:rsidP="00355A56">
            <w:pPr>
              <w:rPr>
                <w:sz w:val="20"/>
              </w:rPr>
            </w:pPr>
            <w:r>
              <w:rPr>
                <w:color w:val="000000"/>
                <w:sz w:val="20"/>
              </w:rPr>
              <w:t>JSO8.1</w:t>
            </w:r>
          </w:p>
        </w:tc>
        <w:tc>
          <w:tcPr>
            <w:tcW w:w="708" w:type="dxa"/>
          </w:tcPr>
          <w:p w14:paraId="1715F5D0" w14:textId="77777777" w:rsidR="00DD13BF" w:rsidRPr="00841B54" w:rsidRDefault="00DD13BF" w:rsidP="00355A56">
            <w:pPr>
              <w:rPr>
                <w:sz w:val="20"/>
              </w:rPr>
            </w:pPr>
            <w:r>
              <w:rPr>
                <w:sz w:val="20"/>
              </w:rPr>
              <w:t>JTF</w:t>
            </w:r>
          </w:p>
        </w:tc>
        <w:tc>
          <w:tcPr>
            <w:tcW w:w="1701" w:type="dxa"/>
          </w:tcPr>
          <w:p w14:paraId="4083DBFE" w14:textId="77777777" w:rsidR="00DD13BF" w:rsidRPr="00841B54" w:rsidRDefault="00DD13BF" w:rsidP="00355A56">
            <w:pPr>
              <w:rPr>
                <w:sz w:val="20"/>
              </w:rPr>
            </w:pPr>
            <w:r>
              <w:rPr>
                <w:color w:val="000000"/>
                <w:sz w:val="20"/>
              </w:rPr>
              <w:t>Entire Slovenia</w:t>
            </w:r>
          </w:p>
        </w:tc>
        <w:tc>
          <w:tcPr>
            <w:tcW w:w="778" w:type="dxa"/>
          </w:tcPr>
          <w:p w14:paraId="1D9B784A" w14:textId="77777777" w:rsidR="00DD13BF" w:rsidRPr="00841B54" w:rsidRDefault="00DD13BF" w:rsidP="00355A56">
            <w:pPr>
              <w:rPr>
                <w:sz w:val="20"/>
              </w:rPr>
            </w:pPr>
            <w:r>
              <w:rPr>
                <w:sz w:val="20"/>
              </w:rPr>
              <w:t>RCO01</w:t>
            </w:r>
          </w:p>
        </w:tc>
        <w:tc>
          <w:tcPr>
            <w:tcW w:w="4609" w:type="dxa"/>
          </w:tcPr>
          <w:p w14:paraId="706280A0" w14:textId="77777777" w:rsidR="00DD13BF" w:rsidRPr="00841B54" w:rsidRDefault="00DD13BF" w:rsidP="00355A56">
            <w:pPr>
              <w:spacing w:line="276" w:lineRule="auto"/>
              <w:rPr>
                <w:b/>
                <w:sz w:val="20"/>
              </w:rPr>
            </w:pPr>
            <w:r>
              <w:rPr>
                <w:sz w:val="20"/>
              </w:rPr>
              <w:t>Enterprises supported (of which: micro, small, medium, large)</w:t>
            </w:r>
          </w:p>
        </w:tc>
        <w:tc>
          <w:tcPr>
            <w:tcW w:w="1276" w:type="dxa"/>
          </w:tcPr>
          <w:p w14:paraId="0DED80D9" w14:textId="77777777" w:rsidR="00DD13BF" w:rsidRPr="00841B54" w:rsidRDefault="00DD13BF" w:rsidP="00355A56">
            <w:pPr>
              <w:spacing w:line="276" w:lineRule="auto"/>
              <w:rPr>
                <w:b/>
                <w:sz w:val="20"/>
              </w:rPr>
            </w:pPr>
            <w:r>
              <w:rPr>
                <w:color w:val="000000"/>
                <w:sz w:val="20"/>
              </w:rPr>
              <w:t>Enterprises</w:t>
            </w:r>
          </w:p>
        </w:tc>
        <w:tc>
          <w:tcPr>
            <w:tcW w:w="1418" w:type="dxa"/>
          </w:tcPr>
          <w:p w14:paraId="6B74CF15" w14:textId="77777777" w:rsidR="00DD13BF" w:rsidRPr="00841B54" w:rsidRDefault="00DD13BF" w:rsidP="00355A56">
            <w:pPr>
              <w:rPr>
                <w:sz w:val="20"/>
              </w:rPr>
            </w:pPr>
            <w:r>
              <w:rPr>
                <w:sz w:val="20"/>
              </w:rPr>
              <w:t>0</w:t>
            </w:r>
          </w:p>
        </w:tc>
        <w:tc>
          <w:tcPr>
            <w:tcW w:w="1134" w:type="dxa"/>
          </w:tcPr>
          <w:p w14:paraId="7B39590D" w14:textId="77777777" w:rsidR="00DD13BF" w:rsidRPr="00841B54" w:rsidRDefault="00DD13BF" w:rsidP="00355A56">
            <w:pPr>
              <w:rPr>
                <w:sz w:val="20"/>
              </w:rPr>
            </w:pPr>
            <w:r>
              <w:rPr>
                <w:sz w:val="20"/>
              </w:rPr>
              <w:t>60</w:t>
            </w:r>
          </w:p>
        </w:tc>
      </w:tr>
      <w:tr w:rsidR="00DD13BF" w:rsidRPr="00841B54" w14:paraId="2C6532F2" w14:textId="77777777" w:rsidTr="00355A56">
        <w:trPr>
          <w:trHeight w:val="367"/>
        </w:trPr>
        <w:tc>
          <w:tcPr>
            <w:tcW w:w="1125" w:type="dxa"/>
          </w:tcPr>
          <w:p w14:paraId="27348A9A" w14:textId="77777777" w:rsidR="00DD13BF" w:rsidRPr="00841B54" w:rsidRDefault="00DD13BF" w:rsidP="00355A56">
            <w:pPr>
              <w:rPr>
                <w:sz w:val="20"/>
              </w:rPr>
            </w:pPr>
            <w:r>
              <w:rPr>
                <w:sz w:val="20"/>
              </w:rPr>
              <w:t>10</w:t>
            </w:r>
          </w:p>
        </w:tc>
        <w:tc>
          <w:tcPr>
            <w:tcW w:w="992" w:type="dxa"/>
          </w:tcPr>
          <w:p w14:paraId="25B60406" w14:textId="77777777" w:rsidR="00DD13BF" w:rsidRPr="00CA4D3D" w:rsidRDefault="00DD13BF" w:rsidP="00355A56">
            <w:pPr>
              <w:rPr>
                <w:sz w:val="20"/>
              </w:rPr>
            </w:pPr>
            <w:r>
              <w:rPr>
                <w:color w:val="000000"/>
                <w:sz w:val="20"/>
              </w:rPr>
              <w:t>JSO8.1</w:t>
            </w:r>
          </w:p>
        </w:tc>
        <w:tc>
          <w:tcPr>
            <w:tcW w:w="708" w:type="dxa"/>
          </w:tcPr>
          <w:p w14:paraId="52C517FF" w14:textId="77777777" w:rsidR="00DD13BF" w:rsidRPr="00841B54" w:rsidRDefault="00DD13BF" w:rsidP="00355A56">
            <w:pPr>
              <w:rPr>
                <w:sz w:val="20"/>
              </w:rPr>
            </w:pPr>
            <w:r>
              <w:rPr>
                <w:sz w:val="20"/>
              </w:rPr>
              <w:t>JTF</w:t>
            </w:r>
          </w:p>
        </w:tc>
        <w:tc>
          <w:tcPr>
            <w:tcW w:w="1701" w:type="dxa"/>
          </w:tcPr>
          <w:p w14:paraId="6E3665DB" w14:textId="77777777" w:rsidR="00DD13BF" w:rsidRPr="00841B54" w:rsidRDefault="00DD13BF" w:rsidP="00355A56">
            <w:pPr>
              <w:rPr>
                <w:sz w:val="20"/>
              </w:rPr>
            </w:pPr>
            <w:r>
              <w:rPr>
                <w:color w:val="000000"/>
                <w:sz w:val="20"/>
              </w:rPr>
              <w:t>Entire Slovenia</w:t>
            </w:r>
          </w:p>
        </w:tc>
        <w:tc>
          <w:tcPr>
            <w:tcW w:w="778" w:type="dxa"/>
          </w:tcPr>
          <w:p w14:paraId="37EE62B1" w14:textId="77777777" w:rsidR="00DD13BF" w:rsidRPr="00841B54" w:rsidRDefault="00DD13BF" w:rsidP="00355A56">
            <w:pPr>
              <w:rPr>
                <w:sz w:val="20"/>
              </w:rPr>
            </w:pPr>
            <w:r>
              <w:rPr>
                <w:sz w:val="20"/>
              </w:rPr>
              <w:t>RCO02</w:t>
            </w:r>
          </w:p>
        </w:tc>
        <w:tc>
          <w:tcPr>
            <w:tcW w:w="4609" w:type="dxa"/>
          </w:tcPr>
          <w:p w14:paraId="4F4CFBF0" w14:textId="77777777" w:rsidR="00DD13BF" w:rsidRPr="00841B54" w:rsidRDefault="00DD13BF" w:rsidP="00355A56">
            <w:pPr>
              <w:spacing w:line="276" w:lineRule="auto"/>
              <w:rPr>
                <w:b/>
                <w:sz w:val="20"/>
              </w:rPr>
            </w:pPr>
            <w:r>
              <w:rPr>
                <w:color w:val="000000"/>
                <w:sz w:val="20"/>
              </w:rPr>
              <w:t>Enterprises supported by grants</w:t>
            </w:r>
          </w:p>
        </w:tc>
        <w:tc>
          <w:tcPr>
            <w:tcW w:w="1276" w:type="dxa"/>
          </w:tcPr>
          <w:p w14:paraId="576A05A5" w14:textId="77777777" w:rsidR="00DD13BF" w:rsidRPr="00841B54" w:rsidRDefault="00DD13BF" w:rsidP="00355A56">
            <w:pPr>
              <w:spacing w:line="276" w:lineRule="auto"/>
              <w:rPr>
                <w:b/>
                <w:sz w:val="20"/>
              </w:rPr>
            </w:pPr>
            <w:r>
              <w:rPr>
                <w:color w:val="000000"/>
                <w:sz w:val="20"/>
              </w:rPr>
              <w:t>Enterprises</w:t>
            </w:r>
          </w:p>
        </w:tc>
        <w:tc>
          <w:tcPr>
            <w:tcW w:w="1418" w:type="dxa"/>
          </w:tcPr>
          <w:p w14:paraId="19677485" w14:textId="77777777" w:rsidR="00DD13BF" w:rsidRPr="00841B54" w:rsidRDefault="00DD13BF" w:rsidP="00355A56">
            <w:pPr>
              <w:rPr>
                <w:sz w:val="20"/>
              </w:rPr>
            </w:pPr>
            <w:r>
              <w:rPr>
                <w:sz w:val="20"/>
              </w:rPr>
              <w:t>0</w:t>
            </w:r>
          </w:p>
        </w:tc>
        <w:tc>
          <w:tcPr>
            <w:tcW w:w="1134" w:type="dxa"/>
          </w:tcPr>
          <w:p w14:paraId="30EDC32C" w14:textId="77777777" w:rsidR="00DD13BF" w:rsidRPr="00841B54" w:rsidRDefault="00DD13BF" w:rsidP="00355A56">
            <w:pPr>
              <w:rPr>
                <w:sz w:val="20"/>
              </w:rPr>
            </w:pPr>
            <w:r>
              <w:rPr>
                <w:sz w:val="20"/>
              </w:rPr>
              <w:t>35</w:t>
            </w:r>
          </w:p>
        </w:tc>
      </w:tr>
      <w:tr w:rsidR="00DD13BF" w:rsidRPr="00841B54" w14:paraId="5A6B2F7E" w14:textId="77777777" w:rsidTr="00355A56">
        <w:trPr>
          <w:trHeight w:val="367"/>
        </w:trPr>
        <w:tc>
          <w:tcPr>
            <w:tcW w:w="1125" w:type="dxa"/>
          </w:tcPr>
          <w:p w14:paraId="41603E16" w14:textId="77777777" w:rsidR="00DD13BF" w:rsidRPr="00841B54" w:rsidRDefault="00DD13BF" w:rsidP="00355A56">
            <w:pPr>
              <w:rPr>
                <w:sz w:val="20"/>
              </w:rPr>
            </w:pPr>
            <w:r>
              <w:rPr>
                <w:sz w:val="20"/>
              </w:rPr>
              <w:t>10</w:t>
            </w:r>
          </w:p>
        </w:tc>
        <w:tc>
          <w:tcPr>
            <w:tcW w:w="992" w:type="dxa"/>
          </w:tcPr>
          <w:p w14:paraId="243AB978" w14:textId="77777777" w:rsidR="00DD13BF" w:rsidRPr="00CA4D3D" w:rsidRDefault="00DD13BF" w:rsidP="00355A56">
            <w:pPr>
              <w:rPr>
                <w:sz w:val="20"/>
              </w:rPr>
            </w:pPr>
            <w:r>
              <w:rPr>
                <w:color w:val="000000"/>
                <w:sz w:val="20"/>
              </w:rPr>
              <w:t>JSO8.1</w:t>
            </w:r>
          </w:p>
        </w:tc>
        <w:tc>
          <w:tcPr>
            <w:tcW w:w="708" w:type="dxa"/>
          </w:tcPr>
          <w:p w14:paraId="7BEA0483" w14:textId="77777777" w:rsidR="00DD13BF" w:rsidRPr="00841B54" w:rsidRDefault="00DD13BF" w:rsidP="00355A56">
            <w:pPr>
              <w:rPr>
                <w:sz w:val="20"/>
              </w:rPr>
            </w:pPr>
            <w:r>
              <w:rPr>
                <w:sz w:val="20"/>
              </w:rPr>
              <w:t>JTF</w:t>
            </w:r>
          </w:p>
        </w:tc>
        <w:tc>
          <w:tcPr>
            <w:tcW w:w="1701" w:type="dxa"/>
          </w:tcPr>
          <w:p w14:paraId="5BBC0036" w14:textId="77777777" w:rsidR="00DD13BF" w:rsidRPr="00841B54" w:rsidRDefault="00DD13BF" w:rsidP="00355A56">
            <w:pPr>
              <w:rPr>
                <w:sz w:val="20"/>
              </w:rPr>
            </w:pPr>
            <w:r>
              <w:rPr>
                <w:color w:val="000000"/>
                <w:sz w:val="20"/>
              </w:rPr>
              <w:t>Entire Slovenia</w:t>
            </w:r>
          </w:p>
        </w:tc>
        <w:tc>
          <w:tcPr>
            <w:tcW w:w="778" w:type="dxa"/>
          </w:tcPr>
          <w:p w14:paraId="566103BD" w14:textId="77777777" w:rsidR="00DD13BF" w:rsidRPr="00841B54" w:rsidRDefault="00DD13BF" w:rsidP="00355A56">
            <w:pPr>
              <w:rPr>
                <w:sz w:val="20"/>
              </w:rPr>
            </w:pPr>
            <w:r>
              <w:rPr>
                <w:sz w:val="20"/>
              </w:rPr>
              <w:t>RCO10</w:t>
            </w:r>
          </w:p>
        </w:tc>
        <w:tc>
          <w:tcPr>
            <w:tcW w:w="4609" w:type="dxa"/>
          </w:tcPr>
          <w:p w14:paraId="62D9479E" w14:textId="77777777" w:rsidR="00DD13BF" w:rsidRPr="00841B54" w:rsidRDefault="00DD13BF" w:rsidP="00355A56">
            <w:pPr>
              <w:spacing w:line="276" w:lineRule="auto"/>
              <w:rPr>
                <w:sz w:val="20"/>
              </w:rPr>
            </w:pPr>
            <w:r>
              <w:rPr>
                <w:sz w:val="20"/>
              </w:rPr>
              <w:t>Enterprises cooperating with research organisations</w:t>
            </w:r>
          </w:p>
        </w:tc>
        <w:tc>
          <w:tcPr>
            <w:tcW w:w="1276" w:type="dxa"/>
          </w:tcPr>
          <w:p w14:paraId="449D700F" w14:textId="77777777" w:rsidR="00DD13BF" w:rsidRPr="00841B54" w:rsidRDefault="00DD13BF" w:rsidP="00355A56">
            <w:pPr>
              <w:spacing w:line="276" w:lineRule="auto"/>
              <w:rPr>
                <w:sz w:val="20"/>
              </w:rPr>
            </w:pPr>
            <w:r>
              <w:rPr>
                <w:color w:val="000000"/>
                <w:sz w:val="20"/>
              </w:rPr>
              <w:t>Enterprises</w:t>
            </w:r>
          </w:p>
        </w:tc>
        <w:tc>
          <w:tcPr>
            <w:tcW w:w="1418" w:type="dxa"/>
          </w:tcPr>
          <w:p w14:paraId="66E0CC5C" w14:textId="77777777" w:rsidR="00DD13BF" w:rsidRPr="00841B54" w:rsidRDefault="00DD13BF" w:rsidP="00355A56">
            <w:pPr>
              <w:rPr>
                <w:sz w:val="20"/>
              </w:rPr>
            </w:pPr>
            <w:r>
              <w:rPr>
                <w:sz w:val="20"/>
              </w:rPr>
              <w:t>15</w:t>
            </w:r>
          </w:p>
        </w:tc>
        <w:tc>
          <w:tcPr>
            <w:tcW w:w="1134" w:type="dxa"/>
          </w:tcPr>
          <w:p w14:paraId="590CC840" w14:textId="77777777" w:rsidR="00DD13BF" w:rsidRPr="00841B54" w:rsidRDefault="00DD13BF" w:rsidP="00355A56">
            <w:pPr>
              <w:rPr>
                <w:sz w:val="20"/>
              </w:rPr>
            </w:pPr>
            <w:r>
              <w:rPr>
                <w:sz w:val="20"/>
              </w:rPr>
              <w:t>35</w:t>
            </w:r>
          </w:p>
        </w:tc>
      </w:tr>
      <w:tr w:rsidR="00DD13BF" w:rsidRPr="00841B54" w14:paraId="3B025F1B" w14:textId="77777777" w:rsidTr="00355A56">
        <w:trPr>
          <w:trHeight w:val="367"/>
        </w:trPr>
        <w:tc>
          <w:tcPr>
            <w:tcW w:w="1125" w:type="dxa"/>
          </w:tcPr>
          <w:p w14:paraId="5D09D25C" w14:textId="77777777" w:rsidR="00DD13BF" w:rsidRPr="00841B54" w:rsidRDefault="00DD13BF" w:rsidP="00355A56">
            <w:pPr>
              <w:rPr>
                <w:sz w:val="20"/>
              </w:rPr>
            </w:pPr>
            <w:r>
              <w:rPr>
                <w:sz w:val="20"/>
              </w:rPr>
              <w:t>10</w:t>
            </w:r>
          </w:p>
        </w:tc>
        <w:tc>
          <w:tcPr>
            <w:tcW w:w="992" w:type="dxa"/>
          </w:tcPr>
          <w:p w14:paraId="5CD7E83D" w14:textId="77777777" w:rsidR="00DD13BF" w:rsidRPr="00CA4D3D" w:rsidRDefault="00DD13BF" w:rsidP="00355A56">
            <w:pPr>
              <w:rPr>
                <w:sz w:val="20"/>
              </w:rPr>
            </w:pPr>
            <w:r>
              <w:rPr>
                <w:color w:val="000000"/>
                <w:sz w:val="20"/>
              </w:rPr>
              <w:t>JSO8.1</w:t>
            </w:r>
          </w:p>
        </w:tc>
        <w:tc>
          <w:tcPr>
            <w:tcW w:w="708" w:type="dxa"/>
          </w:tcPr>
          <w:p w14:paraId="61F55DAD" w14:textId="77777777" w:rsidR="00DD13BF" w:rsidRPr="00841B54" w:rsidRDefault="00DD13BF" w:rsidP="00355A56">
            <w:pPr>
              <w:rPr>
                <w:sz w:val="20"/>
              </w:rPr>
            </w:pPr>
            <w:r>
              <w:rPr>
                <w:sz w:val="20"/>
              </w:rPr>
              <w:t>JTF</w:t>
            </w:r>
          </w:p>
        </w:tc>
        <w:tc>
          <w:tcPr>
            <w:tcW w:w="1701" w:type="dxa"/>
          </w:tcPr>
          <w:p w14:paraId="1D1796CF" w14:textId="77777777" w:rsidR="00DD13BF" w:rsidRPr="00841B54" w:rsidRDefault="00DD13BF" w:rsidP="00355A56">
            <w:pPr>
              <w:rPr>
                <w:color w:val="000000"/>
                <w:sz w:val="20"/>
              </w:rPr>
            </w:pPr>
            <w:r>
              <w:rPr>
                <w:sz w:val="20"/>
              </w:rPr>
              <w:t>Entire Slovenia</w:t>
            </w:r>
          </w:p>
        </w:tc>
        <w:tc>
          <w:tcPr>
            <w:tcW w:w="778" w:type="dxa"/>
          </w:tcPr>
          <w:p w14:paraId="2D013853" w14:textId="77777777" w:rsidR="00DD13BF" w:rsidRPr="00841B54" w:rsidRDefault="00DD13BF" w:rsidP="00355A56">
            <w:pPr>
              <w:rPr>
                <w:sz w:val="20"/>
              </w:rPr>
            </w:pPr>
            <w:r>
              <w:rPr>
                <w:sz w:val="20"/>
              </w:rPr>
              <w:t>RCO20</w:t>
            </w:r>
          </w:p>
        </w:tc>
        <w:tc>
          <w:tcPr>
            <w:tcW w:w="4609" w:type="dxa"/>
          </w:tcPr>
          <w:p w14:paraId="22DA99AD" w14:textId="77777777" w:rsidR="00DD13BF" w:rsidRPr="00841B54" w:rsidRDefault="00DD13BF" w:rsidP="00355A56">
            <w:pPr>
              <w:spacing w:line="276" w:lineRule="auto"/>
              <w:rPr>
                <w:sz w:val="20"/>
              </w:rPr>
            </w:pPr>
            <w:r>
              <w:rPr>
                <w:sz w:val="20"/>
              </w:rPr>
              <w:t>District heating and cooling network lines newly constructed or improved</w:t>
            </w:r>
          </w:p>
        </w:tc>
        <w:tc>
          <w:tcPr>
            <w:tcW w:w="1276" w:type="dxa"/>
          </w:tcPr>
          <w:p w14:paraId="37464D4D" w14:textId="77777777" w:rsidR="00DD13BF" w:rsidRPr="00841B54" w:rsidRDefault="00DD13BF" w:rsidP="00355A56">
            <w:pPr>
              <w:spacing w:line="276" w:lineRule="auto"/>
              <w:rPr>
                <w:sz w:val="20"/>
              </w:rPr>
            </w:pPr>
            <w:r>
              <w:rPr>
                <w:sz w:val="20"/>
              </w:rPr>
              <w:t>km</w:t>
            </w:r>
          </w:p>
        </w:tc>
        <w:tc>
          <w:tcPr>
            <w:tcW w:w="1418" w:type="dxa"/>
          </w:tcPr>
          <w:p w14:paraId="1F105971" w14:textId="77777777" w:rsidR="00DD13BF" w:rsidRPr="00841B54" w:rsidRDefault="00DD13BF" w:rsidP="00355A56">
            <w:pPr>
              <w:rPr>
                <w:sz w:val="20"/>
              </w:rPr>
            </w:pPr>
            <w:r>
              <w:rPr>
                <w:sz w:val="20"/>
              </w:rPr>
              <w:t>0</w:t>
            </w:r>
          </w:p>
        </w:tc>
        <w:tc>
          <w:tcPr>
            <w:tcW w:w="1134" w:type="dxa"/>
          </w:tcPr>
          <w:p w14:paraId="51440F0E" w14:textId="77777777" w:rsidR="00DD13BF" w:rsidRPr="00841B54" w:rsidRDefault="00DD13BF" w:rsidP="00355A56">
            <w:pPr>
              <w:rPr>
                <w:sz w:val="20"/>
              </w:rPr>
            </w:pPr>
            <w:r>
              <w:rPr>
                <w:sz w:val="20"/>
              </w:rPr>
              <w:t>6.3</w:t>
            </w:r>
          </w:p>
        </w:tc>
      </w:tr>
      <w:tr w:rsidR="00DD13BF" w:rsidRPr="00841B54" w14:paraId="4CB576C8" w14:textId="77777777" w:rsidTr="00355A56">
        <w:trPr>
          <w:trHeight w:val="367"/>
        </w:trPr>
        <w:tc>
          <w:tcPr>
            <w:tcW w:w="1125" w:type="dxa"/>
          </w:tcPr>
          <w:p w14:paraId="65077289" w14:textId="77777777" w:rsidR="00DD13BF" w:rsidRPr="00841B54" w:rsidRDefault="00DD13BF" w:rsidP="00355A56">
            <w:pPr>
              <w:rPr>
                <w:sz w:val="20"/>
              </w:rPr>
            </w:pPr>
            <w:r>
              <w:rPr>
                <w:sz w:val="20"/>
              </w:rPr>
              <w:t>10</w:t>
            </w:r>
          </w:p>
        </w:tc>
        <w:tc>
          <w:tcPr>
            <w:tcW w:w="992" w:type="dxa"/>
          </w:tcPr>
          <w:p w14:paraId="69C1E8E7" w14:textId="77777777" w:rsidR="00DD13BF" w:rsidRPr="00CA4D3D" w:rsidRDefault="00DD13BF" w:rsidP="00355A56">
            <w:pPr>
              <w:rPr>
                <w:sz w:val="20"/>
              </w:rPr>
            </w:pPr>
            <w:r>
              <w:rPr>
                <w:color w:val="000000"/>
                <w:sz w:val="20"/>
              </w:rPr>
              <w:t>JSO8.1</w:t>
            </w:r>
          </w:p>
        </w:tc>
        <w:tc>
          <w:tcPr>
            <w:tcW w:w="708" w:type="dxa"/>
          </w:tcPr>
          <w:p w14:paraId="4F10DEC7" w14:textId="77777777" w:rsidR="00DD13BF" w:rsidRPr="00841B54" w:rsidRDefault="00DD13BF" w:rsidP="00355A56">
            <w:pPr>
              <w:rPr>
                <w:sz w:val="20"/>
              </w:rPr>
            </w:pPr>
            <w:r>
              <w:rPr>
                <w:sz w:val="20"/>
              </w:rPr>
              <w:t>JTF</w:t>
            </w:r>
          </w:p>
        </w:tc>
        <w:tc>
          <w:tcPr>
            <w:tcW w:w="1701" w:type="dxa"/>
          </w:tcPr>
          <w:p w14:paraId="553F519B" w14:textId="77777777" w:rsidR="00DD13BF" w:rsidRPr="00841B54" w:rsidRDefault="00DD13BF" w:rsidP="00355A56">
            <w:pPr>
              <w:rPr>
                <w:sz w:val="20"/>
              </w:rPr>
            </w:pPr>
            <w:r>
              <w:rPr>
                <w:color w:val="000000"/>
                <w:sz w:val="20"/>
              </w:rPr>
              <w:t>Entire Slovenia</w:t>
            </w:r>
          </w:p>
        </w:tc>
        <w:tc>
          <w:tcPr>
            <w:tcW w:w="778" w:type="dxa"/>
          </w:tcPr>
          <w:p w14:paraId="792A94ED" w14:textId="77777777" w:rsidR="00DD13BF" w:rsidRPr="00841B54" w:rsidRDefault="00DD13BF" w:rsidP="00355A56">
            <w:pPr>
              <w:rPr>
                <w:sz w:val="20"/>
              </w:rPr>
            </w:pPr>
            <w:r>
              <w:rPr>
                <w:sz w:val="20"/>
              </w:rPr>
              <w:t>RCO22</w:t>
            </w:r>
          </w:p>
        </w:tc>
        <w:tc>
          <w:tcPr>
            <w:tcW w:w="4609" w:type="dxa"/>
          </w:tcPr>
          <w:p w14:paraId="71A03E55" w14:textId="77777777" w:rsidR="00DD13BF" w:rsidRPr="00841B54" w:rsidRDefault="00DD13BF" w:rsidP="00355A56">
            <w:pPr>
              <w:spacing w:line="276" w:lineRule="auto"/>
              <w:rPr>
                <w:sz w:val="20"/>
              </w:rPr>
            </w:pPr>
            <w:r>
              <w:rPr>
                <w:sz w:val="20"/>
              </w:rPr>
              <w:t>Additional production capacity for renewable energy (of which: electricity, thermal)</w:t>
            </w:r>
          </w:p>
        </w:tc>
        <w:tc>
          <w:tcPr>
            <w:tcW w:w="1276" w:type="dxa"/>
          </w:tcPr>
          <w:p w14:paraId="2B8434FF" w14:textId="77777777" w:rsidR="00DD13BF" w:rsidRPr="00841B54" w:rsidRDefault="00DD13BF" w:rsidP="00355A56">
            <w:pPr>
              <w:spacing w:line="276" w:lineRule="auto"/>
              <w:rPr>
                <w:sz w:val="20"/>
              </w:rPr>
            </w:pPr>
            <w:r>
              <w:rPr>
                <w:sz w:val="20"/>
              </w:rPr>
              <w:t>MW</w:t>
            </w:r>
          </w:p>
        </w:tc>
        <w:tc>
          <w:tcPr>
            <w:tcW w:w="1418" w:type="dxa"/>
          </w:tcPr>
          <w:p w14:paraId="09F1E6B1" w14:textId="77777777" w:rsidR="00DD13BF" w:rsidRPr="00841B54" w:rsidRDefault="00DD13BF" w:rsidP="00355A56">
            <w:pPr>
              <w:rPr>
                <w:sz w:val="20"/>
              </w:rPr>
            </w:pPr>
            <w:r>
              <w:rPr>
                <w:sz w:val="20"/>
              </w:rPr>
              <w:t>0</w:t>
            </w:r>
          </w:p>
        </w:tc>
        <w:tc>
          <w:tcPr>
            <w:tcW w:w="1134" w:type="dxa"/>
          </w:tcPr>
          <w:p w14:paraId="202BD5CA" w14:textId="77777777" w:rsidR="00DD13BF" w:rsidRPr="00841B54" w:rsidRDefault="00DD13BF" w:rsidP="00355A56">
            <w:pPr>
              <w:rPr>
                <w:sz w:val="20"/>
              </w:rPr>
            </w:pPr>
            <w:r>
              <w:rPr>
                <w:sz w:val="20"/>
              </w:rPr>
              <w:t>82</w:t>
            </w:r>
          </w:p>
        </w:tc>
      </w:tr>
      <w:tr w:rsidR="00DD13BF" w:rsidRPr="00841B54" w14:paraId="31600E50" w14:textId="77777777" w:rsidTr="00355A56">
        <w:trPr>
          <w:trHeight w:val="367"/>
        </w:trPr>
        <w:tc>
          <w:tcPr>
            <w:tcW w:w="1125" w:type="dxa"/>
          </w:tcPr>
          <w:p w14:paraId="689AACAC" w14:textId="77777777" w:rsidR="00DD13BF" w:rsidRPr="00841B54" w:rsidRDefault="00DD13BF" w:rsidP="00355A56">
            <w:pPr>
              <w:rPr>
                <w:sz w:val="20"/>
              </w:rPr>
            </w:pPr>
            <w:r>
              <w:rPr>
                <w:sz w:val="20"/>
              </w:rPr>
              <w:t>10</w:t>
            </w:r>
          </w:p>
        </w:tc>
        <w:tc>
          <w:tcPr>
            <w:tcW w:w="992" w:type="dxa"/>
          </w:tcPr>
          <w:p w14:paraId="10DF3068" w14:textId="77777777" w:rsidR="00DD13BF" w:rsidRPr="00CA4D3D" w:rsidRDefault="00DD13BF" w:rsidP="00355A56">
            <w:pPr>
              <w:rPr>
                <w:sz w:val="20"/>
              </w:rPr>
            </w:pPr>
            <w:r>
              <w:rPr>
                <w:color w:val="000000"/>
                <w:sz w:val="20"/>
              </w:rPr>
              <w:t>JSO8.1</w:t>
            </w:r>
          </w:p>
        </w:tc>
        <w:tc>
          <w:tcPr>
            <w:tcW w:w="708" w:type="dxa"/>
          </w:tcPr>
          <w:p w14:paraId="5D50CB2A" w14:textId="77777777" w:rsidR="00DD13BF" w:rsidRPr="00841B54" w:rsidRDefault="00DD13BF" w:rsidP="00355A56">
            <w:pPr>
              <w:rPr>
                <w:sz w:val="20"/>
              </w:rPr>
            </w:pPr>
            <w:r>
              <w:rPr>
                <w:sz w:val="20"/>
              </w:rPr>
              <w:t>JTF</w:t>
            </w:r>
          </w:p>
        </w:tc>
        <w:tc>
          <w:tcPr>
            <w:tcW w:w="1701" w:type="dxa"/>
          </w:tcPr>
          <w:p w14:paraId="7F8EEBBC" w14:textId="77777777" w:rsidR="00DD13BF" w:rsidRPr="00841B54" w:rsidRDefault="00DD13BF" w:rsidP="00355A56">
            <w:pPr>
              <w:rPr>
                <w:sz w:val="20"/>
              </w:rPr>
            </w:pPr>
            <w:r>
              <w:rPr>
                <w:color w:val="000000"/>
                <w:sz w:val="20"/>
              </w:rPr>
              <w:t>Entire Slovenia</w:t>
            </w:r>
          </w:p>
        </w:tc>
        <w:tc>
          <w:tcPr>
            <w:tcW w:w="778" w:type="dxa"/>
          </w:tcPr>
          <w:p w14:paraId="28F69790" w14:textId="77777777" w:rsidR="00DD13BF" w:rsidRPr="00841B54" w:rsidRDefault="00DD13BF" w:rsidP="00355A56">
            <w:pPr>
              <w:rPr>
                <w:sz w:val="20"/>
              </w:rPr>
            </w:pPr>
            <w:r>
              <w:rPr>
                <w:sz w:val="20"/>
              </w:rPr>
              <w:t>RCO38</w:t>
            </w:r>
          </w:p>
        </w:tc>
        <w:tc>
          <w:tcPr>
            <w:tcW w:w="4609" w:type="dxa"/>
          </w:tcPr>
          <w:p w14:paraId="17214A5A" w14:textId="77777777" w:rsidR="00DD13BF" w:rsidRPr="00614AD5" w:rsidRDefault="00DD13BF" w:rsidP="00355A56">
            <w:pPr>
              <w:spacing w:line="276" w:lineRule="auto"/>
              <w:rPr>
                <w:sz w:val="20"/>
              </w:rPr>
            </w:pPr>
            <w:r>
              <w:rPr>
                <w:color w:val="000000"/>
                <w:sz w:val="20"/>
              </w:rPr>
              <w:t>Surface area of rehabilitated land supported</w:t>
            </w:r>
          </w:p>
        </w:tc>
        <w:tc>
          <w:tcPr>
            <w:tcW w:w="1276" w:type="dxa"/>
          </w:tcPr>
          <w:p w14:paraId="732E2CC5" w14:textId="77777777" w:rsidR="00DD13BF" w:rsidRPr="00614AD5" w:rsidRDefault="00DD13BF" w:rsidP="00355A56">
            <w:pPr>
              <w:spacing w:line="276" w:lineRule="auto"/>
              <w:rPr>
                <w:sz w:val="20"/>
              </w:rPr>
            </w:pPr>
            <w:r>
              <w:rPr>
                <w:color w:val="000000"/>
                <w:sz w:val="20"/>
              </w:rPr>
              <w:t>Hectares</w:t>
            </w:r>
          </w:p>
        </w:tc>
        <w:tc>
          <w:tcPr>
            <w:tcW w:w="1418" w:type="dxa"/>
          </w:tcPr>
          <w:p w14:paraId="4D7865BF" w14:textId="77777777" w:rsidR="00DD13BF" w:rsidRPr="00841B54" w:rsidRDefault="00DD13BF" w:rsidP="00355A56">
            <w:pPr>
              <w:rPr>
                <w:sz w:val="20"/>
              </w:rPr>
            </w:pPr>
            <w:r>
              <w:rPr>
                <w:sz w:val="20"/>
              </w:rPr>
              <w:t>0</w:t>
            </w:r>
          </w:p>
        </w:tc>
        <w:tc>
          <w:tcPr>
            <w:tcW w:w="1134" w:type="dxa"/>
          </w:tcPr>
          <w:p w14:paraId="1EE424AF" w14:textId="77777777" w:rsidR="00DD13BF" w:rsidRPr="00841B54" w:rsidRDefault="00DD13BF" w:rsidP="00355A56">
            <w:pPr>
              <w:rPr>
                <w:sz w:val="20"/>
              </w:rPr>
            </w:pPr>
            <w:r>
              <w:rPr>
                <w:sz w:val="20"/>
              </w:rPr>
              <w:t>2.955</w:t>
            </w:r>
          </w:p>
        </w:tc>
      </w:tr>
      <w:tr w:rsidR="00DD13BF" w:rsidRPr="00841B54" w14:paraId="4563256A" w14:textId="77777777" w:rsidTr="00355A56">
        <w:trPr>
          <w:trHeight w:val="367"/>
        </w:trPr>
        <w:tc>
          <w:tcPr>
            <w:tcW w:w="1125" w:type="dxa"/>
          </w:tcPr>
          <w:p w14:paraId="4D11EA81" w14:textId="77777777" w:rsidR="00DD13BF" w:rsidRPr="00841B54" w:rsidRDefault="00DD13BF" w:rsidP="00355A56">
            <w:pPr>
              <w:rPr>
                <w:sz w:val="20"/>
              </w:rPr>
            </w:pPr>
            <w:r>
              <w:rPr>
                <w:sz w:val="20"/>
              </w:rPr>
              <w:t>10</w:t>
            </w:r>
          </w:p>
        </w:tc>
        <w:tc>
          <w:tcPr>
            <w:tcW w:w="992" w:type="dxa"/>
          </w:tcPr>
          <w:p w14:paraId="435E2FBA" w14:textId="77777777" w:rsidR="00DD13BF" w:rsidRPr="00CA4D3D" w:rsidRDefault="00DD13BF" w:rsidP="00355A56">
            <w:pPr>
              <w:rPr>
                <w:sz w:val="20"/>
              </w:rPr>
            </w:pPr>
            <w:r>
              <w:rPr>
                <w:color w:val="000000"/>
                <w:sz w:val="20"/>
              </w:rPr>
              <w:t>JSO8.1</w:t>
            </w:r>
          </w:p>
        </w:tc>
        <w:tc>
          <w:tcPr>
            <w:tcW w:w="708" w:type="dxa"/>
          </w:tcPr>
          <w:p w14:paraId="0F59DCBF" w14:textId="77777777" w:rsidR="00DD13BF" w:rsidRPr="00841B54" w:rsidRDefault="00DD13BF" w:rsidP="00355A56">
            <w:pPr>
              <w:rPr>
                <w:sz w:val="20"/>
              </w:rPr>
            </w:pPr>
            <w:r>
              <w:rPr>
                <w:sz w:val="20"/>
              </w:rPr>
              <w:t>JTF</w:t>
            </w:r>
          </w:p>
        </w:tc>
        <w:tc>
          <w:tcPr>
            <w:tcW w:w="1701" w:type="dxa"/>
          </w:tcPr>
          <w:p w14:paraId="05764DA1" w14:textId="77777777" w:rsidR="00DD13BF" w:rsidRPr="00841B54" w:rsidRDefault="00DD13BF" w:rsidP="00355A56">
            <w:pPr>
              <w:rPr>
                <w:sz w:val="20"/>
              </w:rPr>
            </w:pPr>
            <w:r>
              <w:rPr>
                <w:color w:val="000000"/>
                <w:sz w:val="20"/>
              </w:rPr>
              <w:t>Entire Slovenia</w:t>
            </w:r>
          </w:p>
        </w:tc>
        <w:tc>
          <w:tcPr>
            <w:tcW w:w="778" w:type="dxa"/>
          </w:tcPr>
          <w:p w14:paraId="268CBC7B" w14:textId="77777777" w:rsidR="00DD13BF" w:rsidRPr="00841B54" w:rsidRDefault="00DD13BF" w:rsidP="00355A56">
            <w:pPr>
              <w:rPr>
                <w:sz w:val="20"/>
              </w:rPr>
            </w:pPr>
            <w:r w:rsidRPr="00F46D55">
              <w:rPr>
                <w:sz w:val="20"/>
                <w:highlight w:val="yellow"/>
              </w:rPr>
              <w:t>EECO02</w:t>
            </w:r>
            <w:r>
              <w:rPr>
                <w:sz w:val="20"/>
              </w:rPr>
              <w:t xml:space="preserve"> </w:t>
            </w:r>
          </w:p>
        </w:tc>
        <w:tc>
          <w:tcPr>
            <w:tcW w:w="4609" w:type="dxa"/>
          </w:tcPr>
          <w:p w14:paraId="00278DDC" w14:textId="77777777" w:rsidR="00DD13BF" w:rsidRPr="00841B54" w:rsidRDefault="00DD13BF" w:rsidP="00355A56">
            <w:pPr>
              <w:spacing w:line="276" w:lineRule="auto"/>
              <w:rPr>
                <w:sz w:val="20"/>
              </w:rPr>
            </w:pPr>
            <w:r>
              <w:rPr>
                <w:sz w:val="20"/>
              </w:rPr>
              <w:t>Unemployed, including long-term unemployed</w:t>
            </w:r>
          </w:p>
        </w:tc>
        <w:tc>
          <w:tcPr>
            <w:tcW w:w="1276" w:type="dxa"/>
          </w:tcPr>
          <w:p w14:paraId="0879D5DE" w14:textId="77777777" w:rsidR="00DD13BF" w:rsidRPr="00841B54" w:rsidRDefault="00DD13BF" w:rsidP="00355A56">
            <w:pPr>
              <w:spacing w:line="276" w:lineRule="auto"/>
              <w:rPr>
                <w:sz w:val="20"/>
              </w:rPr>
            </w:pPr>
            <w:r>
              <w:rPr>
                <w:color w:val="000000"/>
                <w:sz w:val="20"/>
              </w:rPr>
              <w:t>Persons</w:t>
            </w:r>
          </w:p>
        </w:tc>
        <w:tc>
          <w:tcPr>
            <w:tcW w:w="1418" w:type="dxa"/>
          </w:tcPr>
          <w:p w14:paraId="450E47D1" w14:textId="77777777" w:rsidR="00DD13BF" w:rsidRPr="00A454C0" w:rsidRDefault="00DD13BF" w:rsidP="00355A56">
            <w:pPr>
              <w:rPr>
                <w:sz w:val="20"/>
              </w:rPr>
            </w:pPr>
            <w:r>
              <w:rPr>
                <w:sz w:val="20"/>
              </w:rPr>
              <w:t>642</w:t>
            </w:r>
          </w:p>
        </w:tc>
        <w:tc>
          <w:tcPr>
            <w:tcW w:w="1134" w:type="dxa"/>
          </w:tcPr>
          <w:p w14:paraId="4FE5FE8C" w14:textId="77777777" w:rsidR="00DD13BF" w:rsidRPr="00841B54" w:rsidRDefault="00DD13BF" w:rsidP="00355A56">
            <w:pPr>
              <w:rPr>
                <w:sz w:val="20"/>
              </w:rPr>
            </w:pPr>
            <w:r>
              <w:rPr>
                <w:sz w:val="20"/>
              </w:rPr>
              <w:t>2,400</w:t>
            </w:r>
          </w:p>
        </w:tc>
      </w:tr>
      <w:tr w:rsidR="00DD13BF" w:rsidRPr="00841B54" w14:paraId="17F8EF7E" w14:textId="77777777" w:rsidTr="00355A56">
        <w:trPr>
          <w:trHeight w:val="367"/>
        </w:trPr>
        <w:tc>
          <w:tcPr>
            <w:tcW w:w="1125" w:type="dxa"/>
          </w:tcPr>
          <w:p w14:paraId="079F2436" w14:textId="77777777" w:rsidR="00DD13BF" w:rsidRPr="00841B54" w:rsidRDefault="00DD13BF" w:rsidP="00355A56">
            <w:pPr>
              <w:rPr>
                <w:sz w:val="20"/>
              </w:rPr>
            </w:pPr>
            <w:r>
              <w:rPr>
                <w:sz w:val="20"/>
              </w:rPr>
              <w:t>10</w:t>
            </w:r>
          </w:p>
        </w:tc>
        <w:tc>
          <w:tcPr>
            <w:tcW w:w="992" w:type="dxa"/>
          </w:tcPr>
          <w:p w14:paraId="7F3CD0C7" w14:textId="77777777" w:rsidR="00DD13BF" w:rsidRPr="00CA4D3D" w:rsidRDefault="00DD13BF" w:rsidP="00355A56">
            <w:pPr>
              <w:rPr>
                <w:sz w:val="20"/>
              </w:rPr>
            </w:pPr>
            <w:r>
              <w:rPr>
                <w:color w:val="000000"/>
                <w:sz w:val="20"/>
              </w:rPr>
              <w:t>JSO8.1</w:t>
            </w:r>
          </w:p>
        </w:tc>
        <w:tc>
          <w:tcPr>
            <w:tcW w:w="708" w:type="dxa"/>
          </w:tcPr>
          <w:p w14:paraId="5B226617" w14:textId="77777777" w:rsidR="00DD13BF" w:rsidRPr="00841B54" w:rsidRDefault="00DD13BF" w:rsidP="00355A56">
            <w:pPr>
              <w:rPr>
                <w:sz w:val="20"/>
              </w:rPr>
            </w:pPr>
            <w:r>
              <w:rPr>
                <w:sz w:val="20"/>
              </w:rPr>
              <w:t>JTF</w:t>
            </w:r>
          </w:p>
        </w:tc>
        <w:tc>
          <w:tcPr>
            <w:tcW w:w="1701" w:type="dxa"/>
          </w:tcPr>
          <w:p w14:paraId="51B36DAD" w14:textId="77777777" w:rsidR="00DD13BF" w:rsidRPr="00841B54" w:rsidRDefault="00DD13BF" w:rsidP="00355A56">
            <w:pPr>
              <w:rPr>
                <w:sz w:val="20"/>
              </w:rPr>
            </w:pPr>
            <w:r>
              <w:rPr>
                <w:color w:val="000000"/>
                <w:sz w:val="20"/>
              </w:rPr>
              <w:t>Entire Slovenia</w:t>
            </w:r>
          </w:p>
        </w:tc>
        <w:tc>
          <w:tcPr>
            <w:tcW w:w="778" w:type="dxa"/>
          </w:tcPr>
          <w:p w14:paraId="6B836035" w14:textId="77777777" w:rsidR="00DD13BF" w:rsidRPr="00841B54" w:rsidRDefault="00DD13BF" w:rsidP="00355A56">
            <w:pPr>
              <w:rPr>
                <w:sz w:val="20"/>
              </w:rPr>
            </w:pPr>
            <w:commentRangeStart w:id="69"/>
            <w:r>
              <w:rPr>
                <w:sz w:val="20"/>
              </w:rPr>
              <w:t>EECO03</w:t>
            </w:r>
            <w:commentRangeEnd w:id="69"/>
            <w:r>
              <w:rPr>
                <w:rStyle w:val="Pripombasklic"/>
                <w:rFonts w:asciiTheme="minorHAnsi" w:eastAsiaTheme="minorHAnsi" w:hAnsiTheme="minorHAnsi" w:cstheme="minorBidi"/>
              </w:rPr>
              <w:commentReference w:id="69"/>
            </w:r>
            <w:r>
              <w:rPr>
                <w:sz w:val="20"/>
              </w:rPr>
              <w:t xml:space="preserve"> </w:t>
            </w:r>
          </w:p>
        </w:tc>
        <w:tc>
          <w:tcPr>
            <w:tcW w:w="4609" w:type="dxa"/>
          </w:tcPr>
          <w:p w14:paraId="2A0ED3B5" w14:textId="77777777" w:rsidR="00DD13BF" w:rsidRPr="00841B54" w:rsidRDefault="00DD13BF" w:rsidP="00355A56">
            <w:pPr>
              <w:spacing w:line="276" w:lineRule="auto"/>
              <w:rPr>
                <w:sz w:val="20"/>
              </w:rPr>
            </w:pPr>
            <w:r>
              <w:rPr>
                <w:sz w:val="20"/>
              </w:rPr>
              <w:t>Long-term unemployed</w:t>
            </w:r>
          </w:p>
        </w:tc>
        <w:tc>
          <w:tcPr>
            <w:tcW w:w="1276" w:type="dxa"/>
          </w:tcPr>
          <w:p w14:paraId="15DC8360" w14:textId="77777777" w:rsidR="00DD13BF" w:rsidRPr="00841B54" w:rsidRDefault="00DD13BF" w:rsidP="00355A56">
            <w:pPr>
              <w:spacing w:line="276" w:lineRule="auto"/>
              <w:rPr>
                <w:sz w:val="20"/>
              </w:rPr>
            </w:pPr>
            <w:r>
              <w:rPr>
                <w:color w:val="000000"/>
                <w:sz w:val="20"/>
              </w:rPr>
              <w:t>Persons</w:t>
            </w:r>
          </w:p>
        </w:tc>
        <w:tc>
          <w:tcPr>
            <w:tcW w:w="1418" w:type="dxa"/>
          </w:tcPr>
          <w:p w14:paraId="47A8AB54" w14:textId="77777777" w:rsidR="00DD13BF" w:rsidRPr="00A454C0" w:rsidRDefault="00DD13BF" w:rsidP="00355A56">
            <w:pPr>
              <w:rPr>
                <w:sz w:val="20"/>
              </w:rPr>
            </w:pPr>
            <w:r>
              <w:rPr>
                <w:sz w:val="20"/>
              </w:rPr>
              <w:t>364</w:t>
            </w:r>
          </w:p>
        </w:tc>
        <w:tc>
          <w:tcPr>
            <w:tcW w:w="1134" w:type="dxa"/>
          </w:tcPr>
          <w:p w14:paraId="2CC18ADC" w14:textId="77777777" w:rsidR="00DD13BF" w:rsidRPr="00841B54" w:rsidRDefault="00DD13BF" w:rsidP="00355A56">
            <w:pPr>
              <w:rPr>
                <w:sz w:val="20"/>
              </w:rPr>
            </w:pPr>
            <w:r>
              <w:rPr>
                <w:sz w:val="20"/>
              </w:rPr>
              <w:t>1,296</w:t>
            </w:r>
          </w:p>
        </w:tc>
      </w:tr>
      <w:tr w:rsidR="00DD13BF" w:rsidRPr="00841B54" w14:paraId="677A8D8A" w14:textId="77777777" w:rsidTr="00355A56">
        <w:trPr>
          <w:trHeight w:val="367"/>
        </w:trPr>
        <w:tc>
          <w:tcPr>
            <w:tcW w:w="1125" w:type="dxa"/>
          </w:tcPr>
          <w:p w14:paraId="440878E2" w14:textId="77777777" w:rsidR="00DD13BF" w:rsidRPr="00841B54" w:rsidRDefault="00DD13BF" w:rsidP="00355A56">
            <w:pPr>
              <w:rPr>
                <w:sz w:val="20"/>
              </w:rPr>
            </w:pPr>
            <w:r>
              <w:rPr>
                <w:sz w:val="20"/>
              </w:rPr>
              <w:t>10</w:t>
            </w:r>
          </w:p>
        </w:tc>
        <w:tc>
          <w:tcPr>
            <w:tcW w:w="992" w:type="dxa"/>
          </w:tcPr>
          <w:p w14:paraId="14125437" w14:textId="77777777" w:rsidR="00DD13BF" w:rsidRPr="00CA4D3D" w:rsidRDefault="00DD13BF" w:rsidP="00355A56">
            <w:pPr>
              <w:rPr>
                <w:sz w:val="20"/>
              </w:rPr>
            </w:pPr>
            <w:r>
              <w:rPr>
                <w:color w:val="000000"/>
                <w:sz w:val="20"/>
              </w:rPr>
              <w:t>JSO8.1</w:t>
            </w:r>
          </w:p>
        </w:tc>
        <w:tc>
          <w:tcPr>
            <w:tcW w:w="708" w:type="dxa"/>
          </w:tcPr>
          <w:p w14:paraId="1E357ADA" w14:textId="77777777" w:rsidR="00DD13BF" w:rsidRPr="00841B54" w:rsidRDefault="00DD13BF" w:rsidP="00355A56">
            <w:pPr>
              <w:rPr>
                <w:sz w:val="20"/>
              </w:rPr>
            </w:pPr>
            <w:r>
              <w:rPr>
                <w:sz w:val="20"/>
              </w:rPr>
              <w:t>JTF</w:t>
            </w:r>
          </w:p>
        </w:tc>
        <w:tc>
          <w:tcPr>
            <w:tcW w:w="1701" w:type="dxa"/>
          </w:tcPr>
          <w:p w14:paraId="04B6D1DE" w14:textId="77777777" w:rsidR="00DD13BF" w:rsidRPr="00841B54" w:rsidRDefault="00DD13BF" w:rsidP="00355A56">
            <w:pPr>
              <w:rPr>
                <w:sz w:val="20"/>
              </w:rPr>
            </w:pPr>
            <w:r>
              <w:rPr>
                <w:color w:val="000000"/>
                <w:sz w:val="20"/>
              </w:rPr>
              <w:t>Entire Slovenia</w:t>
            </w:r>
          </w:p>
        </w:tc>
        <w:tc>
          <w:tcPr>
            <w:tcW w:w="778" w:type="dxa"/>
          </w:tcPr>
          <w:p w14:paraId="749DEEDD" w14:textId="77777777" w:rsidR="00DD13BF" w:rsidRPr="00841B54" w:rsidRDefault="00DD13BF" w:rsidP="00355A56">
            <w:pPr>
              <w:rPr>
                <w:sz w:val="20"/>
              </w:rPr>
            </w:pPr>
            <w:commentRangeStart w:id="70"/>
            <w:r>
              <w:rPr>
                <w:sz w:val="20"/>
              </w:rPr>
              <w:t>EECO06</w:t>
            </w:r>
            <w:commentRangeEnd w:id="70"/>
            <w:r>
              <w:rPr>
                <w:rStyle w:val="Pripombasklic"/>
                <w:rFonts w:asciiTheme="minorHAnsi" w:eastAsiaTheme="minorHAnsi" w:hAnsiTheme="minorHAnsi" w:cstheme="minorBidi"/>
              </w:rPr>
              <w:commentReference w:id="70"/>
            </w:r>
            <w:r>
              <w:rPr>
                <w:sz w:val="20"/>
              </w:rPr>
              <w:t xml:space="preserve"> </w:t>
            </w:r>
          </w:p>
        </w:tc>
        <w:tc>
          <w:tcPr>
            <w:tcW w:w="4609" w:type="dxa"/>
          </w:tcPr>
          <w:p w14:paraId="69E17D7B" w14:textId="77777777" w:rsidR="00DD13BF" w:rsidRPr="00841B54" w:rsidRDefault="00DD13BF" w:rsidP="00355A56">
            <w:pPr>
              <w:spacing w:line="276" w:lineRule="auto"/>
              <w:rPr>
                <w:sz w:val="20"/>
              </w:rPr>
            </w:pPr>
            <w:r>
              <w:rPr>
                <w:sz w:val="20"/>
              </w:rPr>
              <w:t>Number of children below 18 years of age</w:t>
            </w:r>
          </w:p>
        </w:tc>
        <w:tc>
          <w:tcPr>
            <w:tcW w:w="1276" w:type="dxa"/>
          </w:tcPr>
          <w:p w14:paraId="0A97D8CA" w14:textId="77777777" w:rsidR="00DD13BF" w:rsidRPr="00841B54" w:rsidRDefault="00DD13BF" w:rsidP="00355A56">
            <w:pPr>
              <w:spacing w:line="276" w:lineRule="auto"/>
              <w:rPr>
                <w:sz w:val="20"/>
              </w:rPr>
            </w:pPr>
            <w:r>
              <w:rPr>
                <w:color w:val="000000"/>
                <w:sz w:val="20"/>
              </w:rPr>
              <w:t>Persons</w:t>
            </w:r>
          </w:p>
        </w:tc>
        <w:tc>
          <w:tcPr>
            <w:tcW w:w="1418" w:type="dxa"/>
          </w:tcPr>
          <w:p w14:paraId="7E646F95" w14:textId="77777777" w:rsidR="00DD13BF" w:rsidRPr="00A454C0" w:rsidRDefault="00DD13BF" w:rsidP="00355A56">
            <w:pPr>
              <w:rPr>
                <w:sz w:val="20"/>
              </w:rPr>
            </w:pPr>
            <w:r>
              <w:rPr>
                <w:sz w:val="20"/>
              </w:rPr>
              <w:t>10</w:t>
            </w:r>
          </w:p>
        </w:tc>
        <w:tc>
          <w:tcPr>
            <w:tcW w:w="1134" w:type="dxa"/>
          </w:tcPr>
          <w:p w14:paraId="6E199BCA" w14:textId="77777777" w:rsidR="00DD13BF" w:rsidRPr="00841B54" w:rsidRDefault="00DD13BF" w:rsidP="00355A56">
            <w:pPr>
              <w:rPr>
                <w:sz w:val="20"/>
              </w:rPr>
            </w:pPr>
            <w:r>
              <w:rPr>
                <w:sz w:val="20"/>
              </w:rPr>
              <w:t>48</w:t>
            </w:r>
          </w:p>
        </w:tc>
      </w:tr>
      <w:tr w:rsidR="00DD13BF" w:rsidRPr="00841B54" w14:paraId="61A693A0" w14:textId="77777777" w:rsidTr="00355A56">
        <w:trPr>
          <w:trHeight w:val="367"/>
        </w:trPr>
        <w:tc>
          <w:tcPr>
            <w:tcW w:w="1125" w:type="dxa"/>
          </w:tcPr>
          <w:p w14:paraId="6394DC65" w14:textId="77777777" w:rsidR="00DD13BF" w:rsidRPr="00841B54" w:rsidRDefault="00DD13BF" w:rsidP="00355A56">
            <w:pPr>
              <w:rPr>
                <w:sz w:val="20"/>
              </w:rPr>
            </w:pPr>
            <w:r>
              <w:rPr>
                <w:sz w:val="20"/>
              </w:rPr>
              <w:lastRenderedPageBreak/>
              <w:t>10</w:t>
            </w:r>
          </w:p>
        </w:tc>
        <w:tc>
          <w:tcPr>
            <w:tcW w:w="992" w:type="dxa"/>
          </w:tcPr>
          <w:p w14:paraId="60D7F2CB" w14:textId="77777777" w:rsidR="00DD13BF" w:rsidRPr="00CA4D3D" w:rsidRDefault="00DD13BF" w:rsidP="00355A56">
            <w:pPr>
              <w:rPr>
                <w:sz w:val="20"/>
              </w:rPr>
            </w:pPr>
            <w:r>
              <w:rPr>
                <w:color w:val="000000"/>
                <w:sz w:val="20"/>
              </w:rPr>
              <w:t>JSO8.1</w:t>
            </w:r>
          </w:p>
        </w:tc>
        <w:tc>
          <w:tcPr>
            <w:tcW w:w="708" w:type="dxa"/>
          </w:tcPr>
          <w:p w14:paraId="578A495C" w14:textId="77777777" w:rsidR="00DD13BF" w:rsidRPr="00841B54" w:rsidRDefault="00DD13BF" w:rsidP="00355A56">
            <w:pPr>
              <w:rPr>
                <w:sz w:val="20"/>
              </w:rPr>
            </w:pPr>
            <w:r>
              <w:rPr>
                <w:sz w:val="20"/>
              </w:rPr>
              <w:t>JTF</w:t>
            </w:r>
          </w:p>
        </w:tc>
        <w:tc>
          <w:tcPr>
            <w:tcW w:w="1701" w:type="dxa"/>
          </w:tcPr>
          <w:p w14:paraId="6F2D32AC" w14:textId="77777777" w:rsidR="00DD13BF" w:rsidRPr="00841B54" w:rsidRDefault="00DD13BF" w:rsidP="00355A56">
            <w:pPr>
              <w:rPr>
                <w:sz w:val="20"/>
              </w:rPr>
            </w:pPr>
            <w:r>
              <w:rPr>
                <w:color w:val="000000"/>
                <w:sz w:val="20"/>
              </w:rPr>
              <w:t>Entire Slovenia</w:t>
            </w:r>
          </w:p>
        </w:tc>
        <w:tc>
          <w:tcPr>
            <w:tcW w:w="778" w:type="dxa"/>
          </w:tcPr>
          <w:p w14:paraId="33FDF209" w14:textId="77777777" w:rsidR="00DD13BF" w:rsidRPr="00841B54" w:rsidRDefault="00DD13BF" w:rsidP="00355A56">
            <w:pPr>
              <w:rPr>
                <w:sz w:val="20"/>
              </w:rPr>
            </w:pPr>
            <w:commentRangeStart w:id="71"/>
            <w:r>
              <w:rPr>
                <w:sz w:val="20"/>
              </w:rPr>
              <w:t>EECO08</w:t>
            </w:r>
            <w:commentRangeEnd w:id="71"/>
            <w:r>
              <w:rPr>
                <w:rStyle w:val="Pripombasklic"/>
                <w:rFonts w:asciiTheme="minorHAnsi" w:eastAsiaTheme="minorHAnsi" w:hAnsiTheme="minorHAnsi" w:cstheme="minorBidi"/>
              </w:rPr>
              <w:commentReference w:id="71"/>
            </w:r>
            <w:r>
              <w:rPr>
                <w:sz w:val="20"/>
              </w:rPr>
              <w:t xml:space="preserve"> </w:t>
            </w:r>
          </w:p>
        </w:tc>
        <w:tc>
          <w:tcPr>
            <w:tcW w:w="4609" w:type="dxa"/>
          </w:tcPr>
          <w:p w14:paraId="303B1F5C" w14:textId="77777777" w:rsidR="00DD13BF" w:rsidRPr="00841B54" w:rsidRDefault="00DD13BF" w:rsidP="00355A56">
            <w:pPr>
              <w:spacing w:line="276" w:lineRule="auto"/>
              <w:rPr>
                <w:sz w:val="20"/>
              </w:rPr>
            </w:pPr>
            <w:r>
              <w:rPr>
                <w:sz w:val="20"/>
              </w:rPr>
              <w:t>Number of participants of 55 years of age and above</w:t>
            </w:r>
          </w:p>
        </w:tc>
        <w:tc>
          <w:tcPr>
            <w:tcW w:w="1276" w:type="dxa"/>
          </w:tcPr>
          <w:p w14:paraId="672EC8F6" w14:textId="77777777" w:rsidR="00DD13BF" w:rsidRPr="00841B54" w:rsidRDefault="00DD13BF" w:rsidP="00355A56">
            <w:pPr>
              <w:spacing w:line="276" w:lineRule="auto"/>
              <w:rPr>
                <w:sz w:val="20"/>
              </w:rPr>
            </w:pPr>
            <w:r>
              <w:rPr>
                <w:color w:val="000000"/>
                <w:sz w:val="20"/>
              </w:rPr>
              <w:t>Persons</w:t>
            </w:r>
          </w:p>
        </w:tc>
        <w:tc>
          <w:tcPr>
            <w:tcW w:w="1418" w:type="dxa"/>
          </w:tcPr>
          <w:p w14:paraId="08E07C95" w14:textId="77777777" w:rsidR="00DD13BF" w:rsidRPr="00A454C0" w:rsidRDefault="00DD13BF" w:rsidP="00355A56">
            <w:pPr>
              <w:rPr>
                <w:sz w:val="20"/>
              </w:rPr>
            </w:pPr>
            <w:r>
              <w:rPr>
                <w:sz w:val="20"/>
              </w:rPr>
              <w:t>222</w:t>
            </w:r>
          </w:p>
        </w:tc>
        <w:tc>
          <w:tcPr>
            <w:tcW w:w="1134" w:type="dxa"/>
          </w:tcPr>
          <w:p w14:paraId="2718133B" w14:textId="77777777" w:rsidR="00DD13BF" w:rsidRPr="00841B54" w:rsidRDefault="00DD13BF" w:rsidP="00355A56">
            <w:pPr>
              <w:rPr>
                <w:sz w:val="20"/>
              </w:rPr>
            </w:pPr>
            <w:r>
              <w:rPr>
                <w:sz w:val="20"/>
              </w:rPr>
              <w:t>868</w:t>
            </w:r>
          </w:p>
        </w:tc>
      </w:tr>
      <w:tr w:rsidR="00DD13BF" w:rsidRPr="00841B54" w14:paraId="7A445201" w14:textId="77777777" w:rsidTr="00355A56">
        <w:trPr>
          <w:trHeight w:val="367"/>
        </w:trPr>
        <w:tc>
          <w:tcPr>
            <w:tcW w:w="1125" w:type="dxa"/>
          </w:tcPr>
          <w:p w14:paraId="4E7A4F1F" w14:textId="77777777" w:rsidR="00DD13BF" w:rsidRPr="00841B54" w:rsidRDefault="00DD13BF" w:rsidP="00355A56">
            <w:pPr>
              <w:rPr>
                <w:sz w:val="20"/>
              </w:rPr>
            </w:pPr>
            <w:r>
              <w:rPr>
                <w:sz w:val="20"/>
              </w:rPr>
              <w:t>10</w:t>
            </w:r>
          </w:p>
        </w:tc>
        <w:tc>
          <w:tcPr>
            <w:tcW w:w="992" w:type="dxa"/>
          </w:tcPr>
          <w:p w14:paraId="453A249D" w14:textId="77777777" w:rsidR="00DD13BF" w:rsidRPr="00CA4D3D" w:rsidRDefault="00DD13BF" w:rsidP="00355A56">
            <w:pPr>
              <w:rPr>
                <w:sz w:val="20"/>
              </w:rPr>
            </w:pPr>
            <w:r>
              <w:rPr>
                <w:color w:val="000000"/>
                <w:sz w:val="20"/>
              </w:rPr>
              <w:t>JSO8.1</w:t>
            </w:r>
          </w:p>
        </w:tc>
        <w:tc>
          <w:tcPr>
            <w:tcW w:w="708" w:type="dxa"/>
          </w:tcPr>
          <w:p w14:paraId="629B7865" w14:textId="77777777" w:rsidR="00DD13BF" w:rsidRPr="00841B54" w:rsidRDefault="00DD13BF" w:rsidP="00355A56">
            <w:pPr>
              <w:rPr>
                <w:sz w:val="20"/>
              </w:rPr>
            </w:pPr>
            <w:r>
              <w:rPr>
                <w:sz w:val="20"/>
              </w:rPr>
              <w:t>JTF</w:t>
            </w:r>
          </w:p>
        </w:tc>
        <w:tc>
          <w:tcPr>
            <w:tcW w:w="1701" w:type="dxa"/>
          </w:tcPr>
          <w:p w14:paraId="0166A0F9" w14:textId="77777777" w:rsidR="00DD13BF" w:rsidRPr="00841B54" w:rsidRDefault="00DD13BF" w:rsidP="00355A56">
            <w:pPr>
              <w:rPr>
                <w:sz w:val="20"/>
              </w:rPr>
            </w:pPr>
            <w:r>
              <w:rPr>
                <w:color w:val="000000"/>
                <w:sz w:val="20"/>
              </w:rPr>
              <w:t>Entire Slovenia</w:t>
            </w:r>
          </w:p>
        </w:tc>
        <w:tc>
          <w:tcPr>
            <w:tcW w:w="778" w:type="dxa"/>
          </w:tcPr>
          <w:p w14:paraId="593A219C" w14:textId="77777777" w:rsidR="00DD13BF" w:rsidRPr="00841B54" w:rsidRDefault="00DD13BF" w:rsidP="00355A56">
            <w:pPr>
              <w:rPr>
                <w:sz w:val="20"/>
              </w:rPr>
            </w:pPr>
            <w:commentRangeStart w:id="72"/>
            <w:r>
              <w:rPr>
                <w:sz w:val="20"/>
              </w:rPr>
              <w:t xml:space="preserve">EECO09 </w:t>
            </w:r>
            <w:commentRangeEnd w:id="72"/>
            <w:r>
              <w:rPr>
                <w:rStyle w:val="Pripombasklic"/>
                <w:rFonts w:asciiTheme="minorHAnsi" w:eastAsiaTheme="minorHAnsi" w:hAnsiTheme="minorHAnsi" w:cstheme="minorBidi"/>
              </w:rPr>
              <w:commentReference w:id="72"/>
            </w:r>
          </w:p>
        </w:tc>
        <w:tc>
          <w:tcPr>
            <w:tcW w:w="4609" w:type="dxa"/>
          </w:tcPr>
          <w:p w14:paraId="26283D82" w14:textId="77777777" w:rsidR="00DD13BF" w:rsidRPr="00841B54" w:rsidRDefault="00DD13BF" w:rsidP="00355A56">
            <w:pPr>
              <w:spacing w:line="276" w:lineRule="auto"/>
              <w:rPr>
                <w:sz w:val="20"/>
              </w:rPr>
            </w:pPr>
            <w:r>
              <w:rPr>
                <w:sz w:val="20"/>
              </w:rPr>
              <w:t xml:space="preserve"> With lower secondary education or less (ISCED 0-2)</w:t>
            </w:r>
          </w:p>
        </w:tc>
        <w:tc>
          <w:tcPr>
            <w:tcW w:w="1276" w:type="dxa"/>
          </w:tcPr>
          <w:p w14:paraId="70CC6F61" w14:textId="77777777" w:rsidR="00DD13BF" w:rsidRPr="00841B54" w:rsidRDefault="00DD13BF" w:rsidP="00355A56">
            <w:pPr>
              <w:spacing w:line="276" w:lineRule="auto"/>
              <w:rPr>
                <w:sz w:val="20"/>
              </w:rPr>
            </w:pPr>
            <w:r>
              <w:rPr>
                <w:color w:val="000000"/>
                <w:sz w:val="20"/>
              </w:rPr>
              <w:t>Persons</w:t>
            </w:r>
          </w:p>
        </w:tc>
        <w:tc>
          <w:tcPr>
            <w:tcW w:w="1418" w:type="dxa"/>
          </w:tcPr>
          <w:p w14:paraId="6DD9BD31" w14:textId="77777777" w:rsidR="00DD13BF" w:rsidRPr="00A454C0" w:rsidRDefault="00DD13BF" w:rsidP="00355A56">
            <w:pPr>
              <w:rPr>
                <w:sz w:val="20"/>
              </w:rPr>
            </w:pPr>
            <w:r>
              <w:rPr>
                <w:sz w:val="20"/>
              </w:rPr>
              <w:t>220</w:t>
            </w:r>
          </w:p>
        </w:tc>
        <w:tc>
          <w:tcPr>
            <w:tcW w:w="1134" w:type="dxa"/>
          </w:tcPr>
          <w:p w14:paraId="553C02CD" w14:textId="77777777" w:rsidR="00DD13BF" w:rsidRPr="00841B54" w:rsidRDefault="00DD13BF" w:rsidP="00355A56">
            <w:pPr>
              <w:rPr>
                <w:sz w:val="20"/>
              </w:rPr>
            </w:pPr>
            <w:r>
              <w:rPr>
                <w:sz w:val="20"/>
              </w:rPr>
              <w:t>840</w:t>
            </w:r>
          </w:p>
        </w:tc>
      </w:tr>
      <w:tr w:rsidR="00DD13BF" w:rsidRPr="00841B54" w14:paraId="0A86C28B" w14:textId="77777777" w:rsidTr="00355A56">
        <w:trPr>
          <w:trHeight w:val="367"/>
        </w:trPr>
        <w:tc>
          <w:tcPr>
            <w:tcW w:w="1125" w:type="dxa"/>
          </w:tcPr>
          <w:p w14:paraId="2A0AE0E8" w14:textId="77777777" w:rsidR="00DD13BF" w:rsidRPr="00841B54" w:rsidRDefault="00DD13BF" w:rsidP="00355A56">
            <w:pPr>
              <w:rPr>
                <w:sz w:val="20"/>
              </w:rPr>
            </w:pPr>
            <w:r>
              <w:rPr>
                <w:sz w:val="20"/>
              </w:rPr>
              <w:t>10</w:t>
            </w:r>
          </w:p>
        </w:tc>
        <w:tc>
          <w:tcPr>
            <w:tcW w:w="992" w:type="dxa"/>
          </w:tcPr>
          <w:p w14:paraId="7E62F786" w14:textId="77777777" w:rsidR="00DD13BF" w:rsidRPr="00CA4D3D" w:rsidRDefault="00DD13BF" w:rsidP="00355A56">
            <w:pPr>
              <w:rPr>
                <w:sz w:val="20"/>
              </w:rPr>
            </w:pPr>
            <w:r>
              <w:rPr>
                <w:color w:val="000000"/>
                <w:sz w:val="20"/>
              </w:rPr>
              <w:t>JSO8.1</w:t>
            </w:r>
          </w:p>
        </w:tc>
        <w:tc>
          <w:tcPr>
            <w:tcW w:w="708" w:type="dxa"/>
          </w:tcPr>
          <w:p w14:paraId="35BEC851" w14:textId="77777777" w:rsidR="00DD13BF" w:rsidRPr="00841B54" w:rsidRDefault="00DD13BF" w:rsidP="00355A56">
            <w:pPr>
              <w:rPr>
                <w:sz w:val="20"/>
              </w:rPr>
            </w:pPr>
            <w:r>
              <w:rPr>
                <w:sz w:val="20"/>
              </w:rPr>
              <w:t>JTF</w:t>
            </w:r>
          </w:p>
        </w:tc>
        <w:tc>
          <w:tcPr>
            <w:tcW w:w="1701" w:type="dxa"/>
          </w:tcPr>
          <w:p w14:paraId="73178FFB" w14:textId="77777777" w:rsidR="00DD13BF" w:rsidRPr="00841B54" w:rsidRDefault="00DD13BF" w:rsidP="00355A56">
            <w:pPr>
              <w:rPr>
                <w:sz w:val="20"/>
              </w:rPr>
            </w:pPr>
            <w:r>
              <w:rPr>
                <w:color w:val="000000"/>
                <w:sz w:val="20"/>
              </w:rPr>
              <w:t>Entire Slovenia</w:t>
            </w:r>
          </w:p>
        </w:tc>
        <w:tc>
          <w:tcPr>
            <w:tcW w:w="778" w:type="dxa"/>
          </w:tcPr>
          <w:p w14:paraId="69FB981A" w14:textId="77777777" w:rsidR="00DD13BF" w:rsidRPr="00841B54" w:rsidRDefault="00DD13BF" w:rsidP="00355A56">
            <w:pPr>
              <w:rPr>
                <w:sz w:val="20"/>
              </w:rPr>
            </w:pPr>
            <w:commentRangeStart w:id="73"/>
            <w:r>
              <w:rPr>
                <w:sz w:val="20"/>
              </w:rPr>
              <w:t>EECO10</w:t>
            </w:r>
            <w:commentRangeEnd w:id="73"/>
            <w:r>
              <w:rPr>
                <w:rStyle w:val="Pripombasklic"/>
                <w:rFonts w:asciiTheme="minorHAnsi" w:eastAsiaTheme="minorHAnsi" w:hAnsiTheme="minorHAnsi" w:cstheme="minorBidi"/>
              </w:rPr>
              <w:commentReference w:id="73"/>
            </w:r>
          </w:p>
        </w:tc>
        <w:tc>
          <w:tcPr>
            <w:tcW w:w="4609" w:type="dxa"/>
          </w:tcPr>
          <w:p w14:paraId="74070A77" w14:textId="77777777" w:rsidR="00DD13BF" w:rsidRPr="00841B54" w:rsidRDefault="00DD13BF" w:rsidP="00355A56">
            <w:pPr>
              <w:spacing w:line="276" w:lineRule="auto"/>
              <w:rPr>
                <w:sz w:val="20"/>
              </w:rPr>
            </w:pPr>
            <w:r>
              <w:rPr>
                <w:sz w:val="20"/>
              </w:rPr>
              <w:t>With upper secondary (ISCED 3) or post-secondary education (ISCED 4)</w:t>
            </w:r>
          </w:p>
        </w:tc>
        <w:tc>
          <w:tcPr>
            <w:tcW w:w="1276" w:type="dxa"/>
          </w:tcPr>
          <w:p w14:paraId="4D295C15" w14:textId="77777777" w:rsidR="00DD13BF" w:rsidRPr="00841B54" w:rsidRDefault="00DD13BF" w:rsidP="00355A56">
            <w:pPr>
              <w:spacing w:line="276" w:lineRule="auto"/>
              <w:rPr>
                <w:sz w:val="20"/>
              </w:rPr>
            </w:pPr>
            <w:r>
              <w:rPr>
                <w:color w:val="000000"/>
                <w:sz w:val="20"/>
              </w:rPr>
              <w:t>Persons</w:t>
            </w:r>
          </w:p>
        </w:tc>
        <w:tc>
          <w:tcPr>
            <w:tcW w:w="1418" w:type="dxa"/>
          </w:tcPr>
          <w:p w14:paraId="46BE7E5A" w14:textId="77777777" w:rsidR="00DD13BF" w:rsidRPr="00A454C0" w:rsidRDefault="00DD13BF" w:rsidP="00355A56">
            <w:pPr>
              <w:rPr>
                <w:sz w:val="20"/>
              </w:rPr>
            </w:pPr>
            <w:r>
              <w:rPr>
                <w:sz w:val="20"/>
              </w:rPr>
              <w:t>314</w:t>
            </w:r>
          </w:p>
        </w:tc>
        <w:tc>
          <w:tcPr>
            <w:tcW w:w="1134" w:type="dxa"/>
          </w:tcPr>
          <w:p w14:paraId="15020BAE" w14:textId="77777777" w:rsidR="00DD13BF" w:rsidRPr="00841B54" w:rsidRDefault="00DD13BF" w:rsidP="00355A56">
            <w:pPr>
              <w:rPr>
                <w:sz w:val="20"/>
              </w:rPr>
            </w:pPr>
            <w:r>
              <w:rPr>
                <w:sz w:val="20"/>
              </w:rPr>
              <w:t>1,224</w:t>
            </w:r>
          </w:p>
        </w:tc>
      </w:tr>
      <w:tr w:rsidR="00DD13BF" w:rsidRPr="00841B54" w14:paraId="6C2E85BF" w14:textId="77777777" w:rsidTr="00355A56">
        <w:trPr>
          <w:trHeight w:val="367"/>
        </w:trPr>
        <w:tc>
          <w:tcPr>
            <w:tcW w:w="1125" w:type="dxa"/>
          </w:tcPr>
          <w:p w14:paraId="6EE2080A" w14:textId="77777777" w:rsidR="00DD13BF" w:rsidRPr="00841B54" w:rsidRDefault="00DD13BF" w:rsidP="00355A56">
            <w:pPr>
              <w:rPr>
                <w:sz w:val="20"/>
              </w:rPr>
            </w:pPr>
            <w:r>
              <w:rPr>
                <w:sz w:val="20"/>
              </w:rPr>
              <w:t>10</w:t>
            </w:r>
          </w:p>
        </w:tc>
        <w:tc>
          <w:tcPr>
            <w:tcW w:w="992" w:type="dxa"/>
          </w:tcPr>
          <w:p w14:paraId="705B54A7" w14:textId="77777777" w:rsidR="00DD13BF" w:rsidRPr="00CA4D3D" w:rsidRDefault="00DD13BF" w:rsidP="00355A56">
            <w:pPr>
              <w:rPr>
                <w:sz w:val="20"/>
              </w:rPr>
            </w:pPr>
            <w:r>
              <w:rPr>
                <w:color w:val="000000"/>
                <w:sz w:val="20"/>
              </w:rPr>
              <w:t>JSO8.1</w:t>
            </w:r>
          </w:p>
        </w:tc>
        <w:tc>
          <w:tcPr>
            <w:tcW w:w="708" w:type="dxa"/>
          </w:tcPr>
          <w:p w14:paraId="7ACB6F98" w14:textId="77777777" w:rsidR="00DD13BF" w:rsidRPr="00841B54" w:rsidRDefault="00DD13BF" w:rsidP="00355A56">
            <w:pPr>
              <w:rPr>
                <w:sz w:val="20"/>
              </w:rPr>
            </w:pPr>
            <w:r>
              <w:rPr>
                <w:sz w:val="20"/>
              </w:rPr>
              <w:t>JTF</w:t>
            </w:r>
          </w:p>
        </w:tc>
        <w:tc>
          <w:tcPr>
            <w:tcW w:w="1701" w:type="dxa"/>
          </w:tcPr>
          <w:p w14:paraId="69850DD5" w14:textId="77777777" w:rsidR="00DD13BF" w:rsidRPr="00841B54" w:rsidRDefault="00DD13BF" w:rsidP="00355A56">
            <w:pPr>
              <w:rPr>
                <w:sz w:val="20"/>
              </w:rPr>
            </w:pPr>
            <w:r>
              <w:rPr>
                <w:color w:val="000000"/>
                <w:sz w:val="20"/>
              </w:rPr>
              <w:t>Entire Slovenia</w:t>
            </w:r>
          </w:p>
        </w:tc>
        <w:tc>
          <w:tcPr>
            <w:tcW w:w="778" w:type="dxa"/>
          </w:tcPr>
          <w:p w14:paraId="307088B6" w14:textId="77777777" w:rsidR="00DD13BF" w:rsidRPr="00841B54" w:rsidRDefault="00DD13BF" w:rsidP="00355A56">
            <w:pPr>
              <w:rPr>
                <w:sz w:val="20"/>
              </w:rPr>
            </w:pPr>
            <w:commentRangeStart w:id="74"/>
            <w:r>
              <w:rPr>
                <w:sz w:val="20"/>
              </w:rPr>
              <w:t>EECO11</w:t>
            </w:r>
            <w:commentRangeEnd w:id="74"/>
            <w:r>
              <w:rPr>
                <w:rStyle w:val="Pripombasklic"/>
                <w:rFonts w:asciiTheme="minorHAnsi" w:eastAsiaTheme="minorHAnsi" w:hAnsiTheme="minorHAnsi" w:cstheme="minorBidi"/>
              </w:rPr>
              <w:commentReference w:id="74"/>
            </w:r>
            <w:r>
              <w:rPr>
                <w:sz w:val="20"/>
              </w:rPr>
              <w:t xml:space="preserve"> </w:t>
            </w:r>
          </w:p>
        </w:tc>
        <w:tc>
          <w:tcPr>
            <w:tcW w:w="4609" w:type="dxa"/>
          </w:tcPr>
          <w:p w14:paraId="683969E8" w14:textId="77777777" w:rsidR="00DD13BF" w:rsidRPr="00841B54" w:rsidRDefault="00DD13BF" w:rsidP="00355A56">
            <w:pPr>
              <w:spacing w:line="276" w:lineRule="auto"/>
              <w:rPr>
                <w:sz w:val="20"/>
              </w:rPr>
            </w:pPr>
            <w:r>
              <w:rPr>
                <w:sz w:val="20"/>
              </w:rPr>
              <w:t>With tertiary education (ISCED 5 to 8)</w:t>
            </w:r>
          </w:p>
        </w:tc>
        <w:tc>
          <w:tcPr>
            <w:tcW w:w="1276" w:type="dxa"/>
          </w:tcPr>
          <w:p w14:paraId="7DA0E788" w14:textId="77777777" w:rsidR="00DD13BF" w:rsidRPr="00841B54" w:rsidRDefault="00DD13BF" w:rsidP="00355A56">
            <w:pPr>
              <w:spacing w:line="276" w:lineRule="auto"/>
              <w:rPr>
                <w:sz w:val="20"/>
              </w:rPr>
            </w:pPr>
            <w:r>
              <w:rPr>
                <w:color w:val="000000"/>
                <w:sz w:val="20"/>
              </w:rPr>
              <w:t>Persons</w:t>
            </w:r>
          </w:p>
        </w:tc>
        <w:tc>
          <w:tcPr>
            <w:tcW w:w="1418" w:type="dxa"/>
          </w:tcPr>
          <w:p w14:paraId="20DF4F15" w14:textId="77777777" w:rsidR="00DD13BF" w:rsidRPr="00A454C0" w:rsidRDefault="00DD13BF" w:rsidP="00355A56">
            <w:pPr>
              <w:rPr>
                <w:sz w:val="20"/>
              </w:rPr>
            </w:pPr>
            <w:r>
              <w:rPr>
                <w:sz w:val="20"/>
              </w:rPr>
              <w:t>84</w:t>
            </w:r>
          </w:p>
        </w:tc>
        <w:tc>
          <w:tcPr>
            <w:tcW w:w="1134" w:type="dxa"/>
          </w:tcPr>
          <w:p w14:paraId="31E9AA14" w14:textId="77777777" w:rsidR="00DD13BF" w:rsidRPr="00841B54" w:rsidRDefault="00DD13BF" w:rsidP="00355A56">
            <w:pPr>
              <w:rPr>
                <w:sz w:val="20"/>
              </w:rPr>
            </w:pPr>
            <w:r>
              <w:rPr>
                <w:sz w:val="20"/>
              </w:rPr>
              <w:t>312</w:t>
            </w:r>
          </w:p>
        </w:tc>
      </w:tr>
      <w:tr w:rsidR="00DD13BF" w:rsidRPr="00841B54" w14:paraId="5582A929" w14:textId="77777777" w:rsidTr="00355A56">
        <w:trPr>
          <w:trHeight w:val="367"/>
        </w:trPr>
        <w:tc>
          <w:tcPr>
            <w:tcW w:w="1125" w:type="dxa"/>
          </w:tcPr>
          <w:p w14:paraId="4FCDF156" w14:textId="77777777" w:rsidR="00DD13BF" w:rsidRPr="00841B54" w:rsidRDefault="00DD13BF" w:rsidP="00355A56">
            <w:pPr>
              <w:rPr>
                <w:sz w:val="20"/>
              </w:rPr>
            </w:pPr>
            <w:r>
              <w:rPr>
                <w:sz w:val="20"/>
              </w:rPr>
              <w:t>10</w:t>
            </w:r>
          </w:p>
        </w:tc>
        <w:tc>
          <w:tcPr>
            <w:tcW w:w="992" w:type="dxa"/>
          </w:tcPr>
          <w:p w14:paraId="2AB06150" w14:textId="77777777" w:rsidR="00DD13BF" w:rsidRPr="00F6534B" w:rsidRDefault="00DD13BF" w:rsidP="00355A56">
            <w:pPr>
              <w:rPr>
                <w:color w:val="000000"/>
                <w:sz w:val="20"/>
              </w:rPr>
            </w:pPr>
            <w:r>
              <w:rPr>
                <w:color w:val="000000"/>
                <w:sz w:val="20"/>
              </w:rPr>
              <w:t>JSO8.1</w:t>
            </w:r>
          </w:p>
        </w:tc>
        <w:tc>
          <w:tcPr>
            <w:tcW w:w="708" w:type="dxa"/>
          </w:tcPr>
          <w:p w14:paraId="4B91F136" w14:textId="77777777" w:rsidR="00DD13BF" w:rsidRPr="00841B54" w:rsidRDefault="00DD13BF" w:rsidP="00355A56">
            <w:pPr>
              <w:rPr>
                <w:sz w:val="20"/>
              </w:rPr>
            </w:pPr>
            <w:r>
              <w:rPr>
                <w:sz w:val="20"/>
              </w:rPr>
              <w:t>JTF</w:t>
            </w:r>
          </w:p>
        </w:tc>
        <w:tc>
          <w:tcPr>
            <w:tcW w:w="1701" w:type="dxa"/>
          </w:tcPr>
          <w:p w14:paraId="38DF7278" w14:textId="77777777" w:rsidR="00DD13BF" w:rsidRPr="00841B54" w:rsidRDefault="00DD13BF" w:rsidP="00355A56">
            <w:pPr>
              <w:rPr>
                <w:color w:val="000000"/>
                <w:sz w:val="20"/>
              </w:rPr>
            </w:pPr>
            <w:r>
              <w:rPr>
                <w:color w:val="000000"/>
                <w:sz w:val="20"/>
              </w:rPr>
              <w:t>Entire Slovenia</w:t>
            </w:r>
          </w:p>
        </w:tc>
        <w:tc>
          <w:tcPr>
            <w:tcW w:w="778" w:type="dxa"/>
          </w:tcPr>
          <w:p w14:paraId="6F3734DE" w14:textId="77777777" w:rsidR="00DD13BF" w:rsidRPr="00841B54" w:rsidRDefault="00DD13BF" w:rsidP="00355A56">
            <w:pPr>
              <w:rPr>
                <w:sz w:val="20"/>
              </w:rPr>
            </w:pPr>
          </w:p>
        </w:tc>
        <w:tc>
          <w:tcPr>
            <w:tcW w:w="4609" w:type="dxa"/>
          </w:tcPr>
          <w:p w14:paraId="33F4093B" w14:textId="77777777" w:rsidR="00DD13BF" w:rsidRPr="00841B54" w:rsidRDefault="00DD13BF" w:rsidP="00355A56">
            <w:pPr>
              <w:spacing w:line="276" w:lineRule="auto"/>
              <w:rPr>
                <w:sz w:val="20"/>
              </w:rPr>
            </w:pPr>
            <w:r>
              <w:rPr>
                <w:sz w:val="20"/>
              </w:rPr>
              <w:t>Number of organisations involved in development projects to improve knowledge, skills and competences</w:t>
            </w:r>
          </w:p>
        </w:tc>
        <w:tc>
          <w:tcPr>
            <w:tcW w:w="1276" w:type="dxa"/>
          </w:tcPr>
          <w:p w14:paraId="3412FB85" w14:textId="77777777" w:rsidR="00DD13BF" w:rsidRPr="00D51685" w:rsidRDefault="00DD13BF" w:rsidP="00355A56">
            <w:pPr>
              <w:spacing w:line="276" w:lineRule="auto"/>
              <w:rPr>
                <w:color w:val="000000"/>
                <w:sz w:val="20"/>
              </w:rPr>
            </w:pPr>
            <w:r>
              <w:rPr>
                <w:color w:val="000000"/>
                <w:sz w:val="20"/>
              </w:rPr>
              <w:t>Number</w:t>
            </w:r>
          </w:p>
        </w:tc>
        <w:tc>
          <w:tcPr>
            <w:tcW w:w="1418" w:type="dxa"/>
          </w:tcPr>
          <w:p w14:paraId="5747E40C" w14:textId="77777777" w:rsidR="00DD13BF" w:rsidRPr="00A454C0" w:rsidRDefault="00DD13BF" w:rsidP="00355A56">
            <w:pPr>
              <w:rPr>
                <w:sz w:val="20"/>
              </w:rPr>
            </w:pPr>
            <w:r>
              <w:rPr>
                <w:sz w:val="20"/>
              </w:rPr>
              <w:t>10</w:t>
            </w:r>
          </w:p>
        </w:tc>
        <w:tc>
          <w:tcPr>
            <w:tcW w:w="1134" w:type="dxa"/>
          </w:tcPr>
          <w:p w14:paraId="7C048C2E" w14:textId="77777777" w:rsidR="00DD13BF" w:rsidDel="00A454C0" w:rsidRDefault="00DD13BF" w:rsidP="00355A56">
            <w:pPr>
              <w:rPr>
                <w:sz w:val="20"/>
              </w:rPr>
            </w:pPr>
            <w:r>
              <w:rPr>
                <w:sz w:val="20"/>
              </w:rPr>
              <w:t>39</w:t>
            </w:r>
          </w:p>
        </w:tc>
      </w:tr>
      <w:tr w:rsidR="00DD13BF" w:rsidRPr="00841B54" w14:paraId="18D5FB2D" w14:textId="77777777" w:rsidTr="00355A56">
        <w:trPr>
          <w:trHeight w:val="367"/>
        </w:trPr>
        <w:tc>
          <w:tcPr>
            <w:tcW w:w="1125" w:type="dxa"/>
          </w:tcPr>
          <w:p w14:paraId="10A06BD4" w14:textId="77777777" w:rsidR="00DD13BF" w:rsidRPr="00841B54" w:rsidRDefault="00DD13BF" w:rsidP="00355A56">
            <w:pPr>
              <w:rPr>
                <w:sz w:val="20"/>
              </w:rPr>
            </w:pPr>
            <w:r>
              <w:rPr>
                <w:sz w:val="20"/>
              </w:rPr>
              <w:t>10</w:t>
            </w:r>
          </w:p>
        </w:tc>
        <w:tc>
          <w:tcPr>
            <w:tcW w:w="992" w:type="dxa"/>
          </w:tcPr>
          <w:p w14:paraId="75556700" w14:textId="77777777" w:rsidR="00DD13BF" w:rsidRPr="00F6534B" w:rsidRDefault="00DD13BF" w:rsidP="00355A56">
            <w:pPr>
              <w:rPr>
                <w:color w:val="000000"/>
                <w:sz w:val="20"/>
              </w:rPr>
            </w:pPr>
            <w:r>
              <w:rPr>
                <w:color w:val="000000"/>
                <w:sz w:val="20"/>
              </w:rPr>
              <w:t>JSO8.1</w:t>
            </w:r>
          </w:p>
        </w:tc>
        <w:tc>
          <w:tcPr>
            <w:tcW w:w="708" w:type="dxa"/>
          </w:tcPr>
          <w:p w14:paraId="685D53AC" w14:textId="77777777" w:rsidR="00DD13BF" w:rsidRPr="00841B54" w:rsidRDefault="00DD13BF" w:rsidP="00355A56">
            <w:pPr>
              <w:rPr>
                <w:sz w:val="20"/>
              </w:rPr>
            </w:pPr>
            <w:r>
              <w:rPr>
                <w:sz w:val="20"/>
              </w:rPr>
              <w:t>JTF</w:t>
            </w:r>
          </w:p>
        </w:tc>
        <w:tc>
          <w:tcPr>
            <w:tcW w:w="1701" w:type="dxa"/>
          </w:tcPr>
          <w:p w14:paraId="5F5FE43E" w14:textId="77777777" w:rsidR="00DD13BF" w:rsidRPr="00841B54" w:rsidRDefault="00DD13BF" w:rsidP="00355A56">
            <w:pPr>
              <w:rPr>
                <w:color w:val="000000"/>
                <w:sz w:val="20"/>
              </w:rPr>
            </w:pPr>
            <w:r>
              <w:rPr>
                <w:color w:val="000000"/>
                <w:sz w:val="20"/>
              </w:rPr>
              <w:t>Entire Slovenia</w:t>
            </w:r>
          </w:p>
        </w:tc>
        <w:tc>
          <w:tcPr>
            <w:tcW w:w="778" w:type="dxa"/>
          </w:tcPr>
          <w:p w14:paraId="7CC41AE7" w14:textId="77777777" w:rsidR="00DD13BF" w:rsidRPr="00841B54" w:rsidRDefault="00DD13BF" w:rsidP="00355A56">
            <w:pPr>
              <w:rPr>
                <w:sz w:val="20"/>
              </w:rPr>
            </w:pPr>
          </w:p>
        </w:tc>
        <w:tc>
          <w:tcPr>
            <w:tcW w:w="4609" w:type="dxa"/>
          </w:tcPr>
          <w:p w14:paraId="0A48FDD7" w14:textId="77777777" w:rsidR="00DD13BF" w:rsidRPr="00343BD1" w:rsidRDefault="00DD13BF" w:rsidP="00355A56">
            <w:pPr>
              <w:spacing w:line="276" w:lineRule="auto"/>
              <w:rPr>
                <w:sz w:val="20"/>
              </w:rPr>
            </w:pPr>
            <w:r>
              <w:rPr>
                <w:sz w:val="20"/>
              </w:rPr>
              <w:t>Maintained areas for economic activity</w:t>
            </w:r>
          </w:p>
        </w:tc>
        <w:tc>
          <w:tcPr>
            <w:tcW w:w="1276" w:type="dxa"/>
          </w:tcPr>
          <w:p w14:paraId="2D3EE691" w14:textId="77777777" w:rsidR="00DD13BF" w:rsidRDefault="00DD13BF" w:rsidP="00355A56">
            <w:pPr>
              <w:spacing w:line="276" w:lineRule="auto"/>
              <w:rPr>
                <w:color w:val="000000"/>
                <w:sz w:val="20"/>
              </w:rPr>
            </w:pPr>
            <w:r>
              <w:rPr>
                <w:color w:val="000000"/>
                <w:sz w:val="20"/>
              </w:rPr>
              <w:t>ha</w:t>
            </w:r>
          </w:p>
        </w:tc>
        <w:tc>
          <w:tcPr>
            <w:tcW w:w="1418" w:type="dxa"/>
          </w:tcPr>
          <w:p w14:paraId="61200AC3" w14:textId="77777777" w:rsidR="00DD13BF" w:rsidRDefault="00DD13BF" w:rsidP="00355A56">
            <w:pPr>
              <w:rPr>
                <w:sz w:val="20"/>
              </w:rPr>
            </w:pPr>
            <w:r>
              <w:rPr>
                <w:sz w:val="20"/>
              </w:rPr>
              <w:t>0</w:t>
            </w:r>
          </w:p>
        </w:tc>
        <w:tc>
          <w:tcPr>
            <w:tcW w:w="1134" w:type="dxa"/>
          </w:tcPr>
          <w:p w14:paraId="2549BCA0" w14:textId="77777777" w:rsidR="00DD13BF" w:rsidRDefault="00DD13BF" w:rsidP="00355A56">
            <w:pPr>
              <w:rPr>
                <w:sz w:val="20"/>
              </w:rPr>
            </w:pPr>
            <w:r>
              <w:rPr>
                <w:sz w:val="20"/>
              </w:rPr>
              <w:t>33.6</w:t>
            </w:r>
          </w:p>
        </w:tc>
      </w:tr>
    </w:tbl>
    <w:p w14:paraId="6411B7E6" w14:textId="77777777" w:rsidR="00DD13BF" w:rsidRDefault="00DD13BF" w:rsidP="00DD13BF">
      <w:pPr>
        <w:ind w:left="379"/>
        <w:rPr>
          <w:spacing w:val="-6"/>
        </w:rPr>
      </w:pPr>
    </w:p>
    <w:p w14:paraId="16C8E87F" w14:textId="77777777" w:rsidR="00DD13BF" w:rsidRDefault="00DD13BF" w:rsidP="00DD13BF">
      <w:pPr>
        <w:ind w:left="379"/>
      </w:pPr>
      <w:r>
        <w:t>Table 3: Result indicators</w:t>
      </w:r>
    </w:p>
    <w:p w14:paraId="348BFFDE" w14:textId="77777777" w:rsidR="00DD13BF" w:rsidRDefault="00DD13BF" w:rsidP="00DD13BF">
      <w:pPr>
        <w:pStyle w:val="Telobesedila"/>
      </w:pPr>
    </w:p>
    <w:tbl>
      <w:tblPr>
        <w:tblStyle w:val="NormalTable0"/>
        <w:tblW w:w="13741" w:type="dxa"/>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992"/>
        <w:gridCol w:w="567"/>
        <w:gridCol w:w="1572"/>
        <w:gridCol w:w="838"/>
        <w:gridCol w:w="2126"/>
        <w:gridCol w:w="992"/>
        <w:gridCol w:w="1134"/>
        <w:gridCol w:w="993"/>
        <w:gridCol w:w="708"/>
        <w:gridCol w:w="1134"/>
        <w:gridCol w:w="1560"/>
      </w:tblGrid>
      <w:tr w:rsidR="00DD13BF" w:rsidRPr="0022021F" w14:paraId="7DA87D56" w14:textId="77777777" w:rsidTr="00355A56">
        <w:trPr>
          <w:trHeight w:val="353"/>
        </w:trPr>
        <w:tc>
          <w:tcPr>
            <w:tcW w:w="1125" w:type="dxa"/>
          </w:tcPr>
          <w:p w14:paraId="79E3B62C" w14:textId="77777777" w:rsidR="00DD13BF" w:rsidRPr="0022021F" w:rsidRDefault="00DD13BF" w:rsidP="00355A56">
            <w:pPr>
              <w:pStyle w:val="TableParagraph"/>
              <w:rPr>
                <w:sz w:val="20"/>
              </w:rPr>
            </w:pPr>
            <w:r>
              <w:rPr>
                <w:sz w:val="20"/>
              </w:rPr>
              <w:t>Priority</w:t>
            </w:r>
          </w:p>
        </w:tc>
        <w:tc>
          <w:tcPr>
            <w:tcW w:w="992" w:type="dxa"/>
          </w:tcPr>
          <w:p w14:paraId="2FD09D9D" w14:textId="77777777" w:rsidR="00DD13BF" w:rsidRPr="0022021F" w:rsidRDefault="00DD13BF" w:rsidP="00355A56">
            <w:pPr>
              <w:pStyle w:val="TableParagraph"/>
              <w:rPr>
                <w:sz w:val="20"/>
              </w:rPr>
            </w:pPr>
            <w:r>
              <w:rPr>
                <w:sz w:val="20"/>
              </w:rPr>
              <w:t>Specific objective</w:t>
            </w:r>
          </w:p>
        </w:tc>
        <w:tc>
          <w:tcPr>
            <w:tcW w:w="567" w:type="dxa"/>
          </w:tcPr>
          <w:p w14:paraId="713B4B9A" w14:textId="77777777" w:rsidR="00DD13BF" w:rsidRPr="0022021F" w:rsidRDefault="00DD13BF" w:rsidP="00355A56">
            <w:pPr>
              <w:pStyle w:val="TableParagraph"/>
              <w:rPr>
                <w:sz w:val="20"/>
              </w:rPr>
            </w:pPr>
            <w:r>
              <w:rPr>
                <w:sz w:val="20"/>
              </w:rPr>
              <w:t>Fund</w:t>
            </w:r>
          </w:p>
        </w:tc>
        <w:tc>
          <w:tcPr>
            <w:tcW w:w="1572" w:type="dxa"/>
          </w:tcPr>
          <w:p w14:paraId="0AD03C4C" w14:textId="77777777" w:rsidR="00DD13BF" w:rsidRPr="0022021F" w:rsidRDefault="00DD13BF" w:rsidP="00355A56">
            <w:pPr>
              <w:pStyle w:val="TableParagraph"/>
              <w:rPr>
                <w:sz w:val="20"/>
              </w:rPr>
            </w:pPr>
            <w:r>
              <w:rPr>
                <w:sz w:val="20"/>
              </w:rPr>
              <w:t>Category of region</w:t>
            </w:r>
          </w:p>
        </w:tc>
        <w:tc>
          <w:tcPr>
            <w:tcW w:w="838" w:type="dxa"/>
          </w:tcPr>
          <w:p w14:paraId="71A5F211" w14:textId="77777777" w:rsidR="00DD13BF" w:rsidRPr="0022021F" w:rsidRDefault="00DD13BF" w:rsidP="00355A56">
            <w:pPr>
              <w:pStyle w:val="TableParagraph"/>
              <w:rPr>
                <w:sz w:val="20"/>
              </w:rPr>
            </w:pPr>
            <w:r>
              <w:rPr>
                <w:sz w:val="20"/>
              </w:rPr>
              <w:t>ID</w:t>
            </w:r>
          </w:p>
        </w:tc>
        <w:tc>
          <w:tcPr>
            <w:tcW w:w="2126" w:type="dxa"/>
          </w:tcPr>
          <w:p w14:paraId="06447ACD" w14:textId="77777777" w:rsidR="00DD13BF" w:rsidRPr="0022021F" w:rsidRDefault="00DD13BF" w:rsidP="00355A56">
            <w:pPr>
              <w:pStyle w:val="TableParagraph"/>
              <w:rPr>
                <w:sz w:val="20"/>
              </w:rPr>
            </w:pPr>
            <w:r>
              <w:rPr>
                <w:sz w:val="20"/>
              </w:rPr>
              <w:t>Indicator</w:t>
            </w:r>
          </w:p>
        </w:tc>
        <w:tc>
          <w:tcPr>
            <w:tcW w:w="992" w:type="dxa"/>
          </w:tcPr>
          <w:p w14:paraId="0C27D16F" w14:textId="77777777" w:rsidR="00DD13BF" w:rsidRPr="0022021F" w:rsidRDefault="00DD13BF" w:rsidP="00355A56">
            <w:pPr>
              <w:pStyle w:val="TableParagraph"/>
              <w:rPr>
                <w:sz w:val="20"/>
              </w:rPr>
            </w:pPr>
            <w:r>
              <w:rPr>
                <w:sz w:val="20"/>
              </w:rPr>
              <w:t>Measurement unit</w:t>
            </w:r>
          </w:p>
        </w:tc>
        <w:tc>
          <w:tcPr>
            <w:tcW w:w="1134" w:type="dxa"/>
          </w:tcPr>
          <w:p w14:paraId="6E9A4352" w14:textId="77777777" w:rsidR="00DD13BF" w:rsidRPr="0022021F" w:rsidRDefault="00DD13BF" w:rsidP="00355A56">
            <w:pPr>
              <w:pStyle w:val="TableParagraph"/>
              <w:rPr>
                <w:sz w:val="20"/>
              </w:rPr>
            </w:pPr>
            <w:r>
              <w:rPr>
                <w:sz w:val="20"/>
              </w:rPr>
              <w:t>Baseline or reference value</w:t>
            </w:r>
          </w:p>
        </w:tc>
        <w:tc>
          <w:tcPr>
            <w:tcW w:w="993" w:type="dxa"/>
          </w:tcPr>
          <w:p w14:paraId="2F15A33E" w14:textId="77777777" w:rsidR="00DD13BF" w:rsidRPr="0022021F" w:rsidRDefault="00DD13BF" w:rsidP="00355A56">
            <w:pPr>
              <w:pStyle w:val="TableParagraph"/>
              <w:rPr>
                <w:sz w:val="20"/>
              </w:rPr>
            </w:pPr>
            <w:r>
              <w:rPr>
                <w:sz w:val="20"/>
              </w:rPr>
              <w:t>Reference year</w:t>
            </w:r>
          </w:p>
        </w:tc>
        <w:tc>
          <w:tcPr>
            <w:tcW w:w="708" w:type="dxa"/>
          </w:tcPr>
          <w:p w14:paraId="6C243E23" w14:textId="77777777" w:rsidR="00DD13BF" w:rsidRPr="0022021F" w:rsidRDefault="00DD13BF" w:rsidP="00355A56">
            <w:pPr>
              <w:pStyle w:val="TableParagraph"/>
              <w:rPr>
                <w:sz w:val="20"/>
              </w:rPr>
            </w:pPr>
            <w:r>
              <w:rPr>
                <w:sz w:val="20"/>
              </w:rPr>
              <w:t>Target (2029)</w:t>
            </w:r>
          </w:p>
        </w:tc>
        <w:tc>
          <w:tcPr>
            <w:tcW w:w="1134" w:type="dxa"/>
          </w:tcPr>
          <w:p w14:paraId="4570C2E5" w14:textId="77777777" w:rsidR="00DD13BF" w:rsidRPr="0022021F" w:rsidRDefault="00DD13BF" w:rsidP="00355A56">
            <w:pPr>
              <w:pStyle w:val="TableParagraph"/>
              <w:rPr>
                <w:sz w:val="20"/>
              </w:rPr>
            </w:pPr>
            <w:r>
              <w:rPr>
                <w:sz w:val="20"/>
              </w:rPr>
              <w:t>Source of data</w:t>
            </w:r>
          </w:p>
        </w:tc>
        <w:tc>
          <w:tcPr>
            <w:tcW w:w="1560" w:type="dxa"/>
          </w:tcPr>
          <w:p w14:paraId="11F1A08A" w14:textId="77777777" w:rsidR="00DD13BF" w:rsidRPr="0022021F" w:rsidRDefault="00DD13BF" w:rsidP="00355A56">
            <w:pPr>
              <w:pStyle w:val="TableParagraph"/>
              <w:rPr>
                <w:sz w:val="20"/>
              </w:rPr>
            </w:pPr>
            <w:r>
              <w:rPr>
                <w:sz w:val="20"/>
              </w:rPr>
              <w:t>Notes</w:t>
            </w:r>
          </w:p>
        </w:tc>
      </w:tr>
      <w:tr w:rsidR="00DD13BF" w:rsidRPr="0022021F" w14:paraId="1D27B59B" w14:textId="77777777" w:rsidTr="00355A56">
        <w:trPr>
          <w:trHeight w:val="353"/>
        </w:trPr>
        <w:tc>
          <w:tcPr>
            <w:tcW w:w="1125" w:type="dxa"/>
          </w:tcPr>
          <w:p w14:paraId="43DD36B7" w14:textId="77777777" w:rsidR="00DD13BF" w:rsidRPr="0022021F" w:rsidRDefault="00DD13BF" w:rsidP="00355A56">
            <w:pPr>
              <w:rPr>
                <w:sz w:val="20"/>
              </w:rPr>
            </w:pPr>
            <w:r>
              <w:rPr>
                <w:sz w:val="20"/>
              </w:rPr>
              <w:t>10</w:t>
            </w:r>
          </w:p>
        </w:tc>
        <w:tc>
          <w:tcPr>
            <w:tcW w:w="992" w:type="dxa"/>
          </w:tcPr>
          <w:p w14:paraId="1888E8AB" w14:textId="77777777" w:rsidR="00DD13BF" w:rsidRPr="00CA4D3D" w:rsidRDefault="00DD13BF" w:rsidP="00355A56">
            <w:pPr>
              <w:rPr>
                <w:sz w:val="20"/>
              </w:rPr>
            </w:pPr>
            <w:r>
              <w:rPr>
                <w:color w:val="000000"/>
                <w:sz w:val="20"/>
              </w:rPr>
              <w:t>JSO8.1</w:t>
            </w:r>
          </w:p>
        </w:tc>
        <w:tc>
          <w:tcPr>
            <w:tcW w:w="567" w:type="dxa"/>
          </w:tcPr>
          <w:p w14:paraId="5752A7F5" w14:textId="77777777" w:rsidR="00DD13BF" w:rsidRPr="0022021F" w:rsidRDefault="00DD13BF" w:rsidP="00355A56">
            <w:pPr>
              <w:rPr>
                <w:sz w:val="20"/>
              </w:rPr>
            </w:pPr>
            <w:r>
              <w:rPr>
                <w:sz w:val="20"/>
              </w:rPr>
              <w:t>JTF</w:t>
            </w:r>
          </w:p>
        </w:tc>
        <w:tc>
          <w:tcPr>
            <w:tcW w:w="1572" w:type="dxa"/>
          </w:tcPr>
          <w:p w14:paraId="190258EB" w14:textId="77777777" w:rsidR="00DD13BF" w:rsidRPr="0022021F" w:rsidRDefault="00DD13BF" w:rsidP="00355A56">
            <w:pPr>
              <w:pStyle w:val="TableParagraph"/>
              <w:rPr>
                <w:sz w:val="20"/>
              </w:rPr>
            </w:pPr>
            <w:r>
              <w:rPr>
                <w:color w:val="000000"/>
                <w:sz w:val="20"/>
              </w:rPr>
              <w:t>Entire Slovenia</w:t>
            </w:r>
          </w:p>
        </w:tc>
        <w:tc>
          <w:tcPr>
            <w:tcW w:w="838" w:type="dxa"/>
          </w:tcPr>
          <w:p w14:paraId="0A19ECF7" w14:textId="77777777" w:rsidR="00DD13BF" w:rsidRPr="0022021F" w:rsidRDefault="00DD13BF" w:rsidP="00355A56">
            <w:pPr>
              <w:spacing w:line="276" w:lineRule="auto"/>
              <w:rPr>
                <w:sz w:val="20"/>
              </w:rPr>
            </w:pPr>
            <w:r>
              <w:rPr>
                <w:sz w:val="20"/>
              </w:rPr>
              <w:t>RCR01</w:t>
            </w:r>
          </w:p>
        </w:tc>
        <w:tc>
          <w:tcPr>
            <w:tcW w:w="2126" w:type="dxa"/>
          </w:tcPr>
          <w:p w14:paraId="1FA47F0C" w14:textId="77777777" w:rsidR="00DD13BF" w:rsidRPr="00614AD5" w:rsidRDefault="00DD13BF" w:rsidP="00355A56">
            <w:pPr>
              <w:spacing w:line="276" w:lineRule="auto"/>
              <w:rPr>
                <w:sz w:val="20"/>
              </w:rPr>
            </w:pPr>
            <w:r>
              <w:rPr>
                <w:color w:val="000000"/>
                <w:sz w:val="20"/>
              </w:rPr>
              <w:t>Jobs created in supported entities</w:t>
            </w:r>
          </w:p>
        </w:tc>
        <w:tc>
          <w:tcPr>
            <w:tcW w:w="992" w:type="dxa"/>
          </w:tcPr>
          <w:p w14:paraId="04AAB57F" w14:textId="77777777" w:rsidR="00DD13BF" w:rsidRPr="00614AD5" w:rsidRDefault="00DD13BF" w:rsidP="00355A56">
            <w:pPr>
              <w:spacing w:line="276" w:lineRule="auto"/>
              <w:rPr>
                <w:sz w:val="20"/>
              </w:rPr>
            </w:pPr>
            <w:r>
              <w:rPr>
                <w:color w:val="000000"/>
                <w:sz w:val="20"/>
              </w:rPr>
              <w:t>Annual FTE</w:t>
            </w:r>
          </w:p>
        </w:tc>
        <w:tc>
          <w:tcPr>
            <w:tcW w:w="1134" w:type="dxa"/>
          </w:tcPr>
          <w:p w14:paraId="24017D37" w14:textId="77777777" w:rsidR="00DD13BF" w:rsidRPr="0022021F" w:rsidRDefault="00DD13BF" w:rsidP="00355A56">
            <w:pPr>
              <w:pStyle w:val="TableParagraph"/>
              <w:rPr>
                <w:sz w:val="20"/>
              </w:rPr>
            </w:pPr>
            <w:r>
              <w:rPr>
                <w:sz w:val="20"/>
              </w:rPr>
              <w:t>0</w:t>
            </w:r>
          </w:p>
        </w:tc>
        <w:tc>
          <w:tcPr>
            <w:tcW w:w="993" w:type="dxa"/>
          </w:tcPr>
          <w:p w14:paraId="682D63AC" w14:textId="77777777" w:rsidR="00DD13BF" w:rsidRPr="0022021F" w:rsidRDefault="00DD13BF" w:rsidP="00355A56">
            <w:pPr>
              <w:pStyle w:val="TableParagraph"/>
              <w:rPr>
                <w:sz w:val="20"/>
              </w:rPr>
            </w:pPr>
            <w:r>
              <w:rPr>
                <w:sz w:val="20"/>
              </w:rPr>
              <w:t>2022</w:t>
            </w:r>
          </w:p>
        </w:tc>
        <w:tc>
          <w:tcPr>
            <w:tcW w:w="708" w:type="dxa"/>
          </w:tcPr>
          <w:p w14:paraId="30559C45" w14:textId="77777777" w:rsidR="00DD13BF" w:rsidRPr="0022021F" w:rsidRDefault="00DD13BF" w:rsidP="00355A56">
            <w:pPr>
              <w:pStyle w:val="TableParagraph"/>
              <w:rPr>
                <w:sz w:val="20"/>
              </w:rPr>
            </w:pPr>
            <w:r>
              <w:rPr>
                <w:sz w:val="20"/>
              </w:rPr>
              <w:t>395</w:t>
            </w:r>
          </w:p>
        </w:tc>
        <w:tc>
          <w:tcPr>
            <w:tcW w:w="1134" w:type="dxa"/>
          </w:tcPr>
          <w:p w14:paraId="5F58D449" w14:textId="77777777" w:rsidR="00DD13BF" w:rsidRPr="0022021F" w:rsidRDefault="00DD13BF" w:rsidP="00355A56">
            <w:pPr>
              <w:pStyle w:val="TableParagraph"/>
              <w:rPr>
                <w:sz w:val="20"/>
              </w:rPr>
            </w:pPr>
            <w:r>
              <w:rPr>
                <w:sz w:val="20"/>
              </w:rPr>
              <w:t>Monitoring, MGRT, MIZŠ, MZI</w:t>
            </w:r>
          </w:p>
        </w:tc>
        <w:tc>
          <w:tcPr>
            <w:tcW w:w="1560" w:type="dxa"/>
          </w:tcPr>
          <w:p w14:paraId="6DD4F0D3" w14:textId="77777777" w:rsidR="00DD13BF" w:rsidRPr="0022021F" w:rsidRDefault="00DD13BF" w:rsidP="00355A56">
            <w:pPr>
              <w:pStyle w:val="TableParagraph"/>
              <w:rPr>
                <w:sz w:val="20"/>
              </w:rPr>
            </w:pPr>
          </w:p>
        </w:tc>
      </w:tr>
      <w:tr w:rsidR="00DD13BF" w:rsidRPr="0022021F" w14:paraId="248615CD" w14:textId="77777777" w:rsidTr="00355A56">
        <w:trPr>
          <w:trHeight w:val="353"/>
        </w:trPr>
        <w:tc>
          <w:tcPr>
            <w:tcW w:w="1125" w:type="dxa"/>
            <w:vAlign w:val="center"/>
          </w:tcPr>
          <w:p w14:paraId="176EC4F7" w14:textId="77777777" w:rsidR="00DD13BF" w:rsidRPr="0022021F" w:rsidRDefault="00DD13BF" w:rsidP="00355A56">
            <w:pPr>
              <w:rPr>
                <w:sz w:val="20"/>
              </w:rPr>
            </w:pPr>
            <w:r>
              <w:rPr>
                <w:color w:val="000000"/>
                <w:sz w:val="20"/>
              </w:rPr>
              <w:t>10</w:t>
            </w:r>
          </w:p>
        </w:tc>
        <w:tc>
          <w:tcPr>
            <w:tcW w:w="992" w:type="dxa"/>
            <w:vAlign w:val="center"/>
          </w:tcPr>
          <w:p w14:paraId="0F87006A" w14:textId="77777777" w:rsidR="00DD13BF" w:rsidRPr="001C4363" w:rsidRDefault="00DD13BF" w:rsidP="00355A56">
            <w:pPr>
              <w:rPr>
                <w:color w:val="000000"/>
                <w:sz w:val="20"/>
              </w:rPr>
            </w:pPr>
            <w:r>
              <w:rPr>
                <w:color w:val="000000"/>
                <w:sz w:val="20"/>
              </w:rPr>
              <w:t>JSO8.1</w:t>
            </w:r>
          </w:p>
        </w:tc>
        <w:tc>
          <w:tcPr>
            <w:tcW w:w="567" w:type="dxa"/>
            <w:vAlign w:val="center"/>
          </w:tcPr>
          <w:p w14:paraId="49279D54" w14:textId="77777777" w:rsidR="00DD13BF" w:rsidRPr="0022021F" w:rsidRDefault="00DD13BF" w:rsidP="00355A56">
            <w:pPr>
              <w:rPr>
                <w:sz w:val="20"/>
              </w:rPr>
            </w:pPr>
            <w:r>
              <w:rPr>
                <w:color w:val="000000"/>
                <w:sz w:val="20"/>
              </w:rPr>
              <w:t>JTF</w:t>
            </w:r>
          </w:p>
        </w:tc>
        <w:tc>
          <w:tcPr>
            <w:tcW w:w="1572" w:type="dxa"/>
            <w:vAlign w:val="center"/>
          </w:tcPr>
          <w:p w14:paraId="0FCB698C" w14:textId="77777777" w:rsidR="00DD13BF" w:rsidRPr="0022021F" w:rsidRDefault="00DD13BF" w:rsidP="00355A56">
            <w:pPr>
              <w:pStyle w:val="TableParagraph"/>
              <w:rPr>
                <w:color w:val="000000"/>
                <w:sz w:val="20"/>
              </w:rPr>
            </w:pPr>
            <w:r>
              <w:rPr>
                <w:color w:val="000000"/>
                <w:sz w:val="20"/>
              </w:rPr>
              <w:t>Entire Slovenia</w:t>
            </w:r>
          </w:p>
        </w:tc>
        <w:tc>
          <w:tcPr>
            <w:tcW w:w="838" w:type="dxa"/>
            <w:vAlign w:val="center"/>
          </w:tcPr>
          <w:p w14:paraId="099CE506" w14:textId="77777777" w:rsidR="00DD13BF" w:rsidRPr="0022021F" w:rsidRDefault="00DD13BF" w:rsidP="00355A56">
            <w:pPr>
              <w:spacing w:line="276" w:lineRule="auto"/>
              <w:rPr>
                <w:sz w:val="20"/>
              </w:rPr>
            </w:pPr>
            <w:r>
              <w:rPr>
                <w:color w:val="000000"/>
                <w:sz w:val="20"/>
              </w:rPr>
              <w:t>RCR32</w:t>
            </w:r>
          </w:p>
        </w:tc>
        <w:tc>
          <w:tcPr>
            <w:tcW w:w="2126" w:type="dxa"/>
            <w:vAlign w:val="center"/>
          </w:tcPr>
          <w:p w14:paraId="630ABD64" w14:textId="77777777" w:rsidR="00DD13BF" w:rsidRPr="00614AD5" w:rsidRDefault="00DD13BF" w:rsidP="00355A56">
            <w:pPr>
              <w:spacing w:line="276" w:lineRule="auto"/>
              <w:rPr>
                <w:color w:val="000000"/>
                <w:sz w:val="20"/>
              </w:rPr>
            </w:pPr>
            <w:r>
              <w:rPr>
                <w:color w:val="000000"/>
                <w:sz w:val="20"/>
              </w:rPr>
              <w:t>Additional operational capacity installed for renewable energy</w:t>
            </w:r>
          </w:p>
        </w:tc>
        <w:tc>
          <w:tcPr>
            <w:tcW w:w="992" w:type="dxa"/>
            <w:vAlign w:val="center"/>
          </w:tcPr>
          <w:p w14:paraId="2E109798" w14:textId="77777777" w:rsidR="00DD13BF" w:rsidRPr="00614AD5" w:rsidRDefault="00DD13BF" w:rsidP="00355A56">
            <w:pPr>
              <w:spacing w:line="276" w:lineRule="auto"/>
              <w:rPr>
                <w:color w:val="000000"/>
                <w:sz w:val="20"/>
              </w:rPr>
            </w:pPr>
            <w:r>
              <w:rPr>
                <w:color w:val="000000"/>
                <w:sz w:val="20"/>
              </w:rPr>
              <w:t>MW</w:t>
            </w:r>
          </w:p>
        </w:tc>
        <w:tc>
          <w:tcPr>
            <w:tcW w:w="1134" w:type="dxa"/>
            <w:vAlign w:val="center"/>
          </w:tcPr>
          <w:p w14:paraId="4D947C22" w14:textId="77777777" w:rsidR="00DD13BF" w:rsidRPr="0022021F" w:rsidRDefault="00DD13BF" w:rsidP="00355A56">
            <w:pPr>
              <w:pStyle w:val="TableParagraph"/>
              <w:rPr>
                <w:sz w:val="20"/>
              </w:rPr>
            </w:pPr>
            <w:r>
              <w:rPr>
                <w:color w:val="000000"/>
                <w:sz w:val="20"/>
              </w:rPr>
              <w:t>0</w:t>
            </w:r>
          </w:p>
        </w:tc>
        <w:tc>
          <w:tcPr>
            <w:tcW w:w="993" w:type="dxa"/>
            <w:vAlign w:val="center"/>
          </w:tcPr>
          <w:p w14:paraId="546AFCFE" w14:textId="77777777" w:rsidR="00DD13BF" w:rsidRPr="0022021F" w:rsidRDefault="00DD13BF" w:rsidP="00355A56">
            <w:pPr>
              <w:pStyle w:val="TableParagraph"/>
              <w:rPr>
                <w:sz w:val="20"/>
              </w:rPr>
            </w:pPr>
            <w:r>
              <w:rPr>
                <w:color w:val="000000"/>
                <w:sz w:val="20"/>
              </w:rPr>
              <w:t>2022</w:t>
            </w:r>
          </w:p>
        </w:tc>
        <w:tc>
          <w:tcPr>
            <w:tcW w:w="708" w:type="dxa"/>
            <w:vAlign w:val="center"/>
          </w:tcPr>
          <w:p w14:paraId="2778718B" w14:textId="77777777" w:rsidR="00DD13BF" w:rsidDel="00A454C0" w:rsidRDefault="00DD13BF" w:rsidP="00355A56">
            <w:pPr>
              <w:pStyle w:val="TableParagraph"/>
              <w:rPr>
                <w:sz w:val="20"/>
              </w:rPr>
            </w:pPr>
            <w:r>
              <w:rPr>
                <w:color w:val="000000"/>
                <w:sz w:val="20"/>
              </w:rPr>
              <w:t>82</w:t>
            </w:r>
          </w:p>
        </w:tc>
        <w:tc>
          <w:tcPr>
            <w:tcW w:w="1134" w:type="dxa"/>
            <w:vAlign w:val="center"/>
          </w:tcPr>
          <w:p w14:paraId="52A8B018" w14:textId="77777777" w:rsidR="00DD13BF" w:rsidRPr="0022021F" w:rsidRDefault="00DD13BF" w:rsidP="00355A56">
            <w:pPr>
              <w:pStyle w:val="TableParagraph"/>
              <w:rPr>
                <w:sz w:val="20"/>
              </w:rPr>
            </w:pPr>
            <w:r>
              <w:rPr>
                <w:color w:val="000000"/>
                <w:sz w:val="20"/>
              </w:rPr>
              <w:t>MZI</w:t>
            </w:r>
          </w:p>
        </w:tc>
        <w:tc>
          <w:tcPr>
            <w:tcW w:w="1560" w:type="dxa"/>
          </w:tcPr>
          <w:p w14:paraId="2C787750" w14:textId="77777777" w:rsidR="00DD13BF" w:rsidRPr="0022021F" w:rsidRDefault="00DD13BF" w:rsidP="00355A56">
            <w:pPr>
              <w:pStyle w:val="TableParagraph"/>
              <w:rPr>
                <w:sz w:val="20"/>
              </w:rPr>
            </w:pPr>
          </w:p>
        </w:tc>
      </w:tr>
      <w:tr w:rsidR="00DD13BF" w:rsidRPr="0022021F" w14:paraId="03754456" w14:textId="77777777" w:rsidTr="00355A56">
        <w:trPr>
          <w:trHeight w:val="353"/>
        </w:trPr>
        <w:tc>
          <w:tcPr>
            <w:tcW w:w="1125" w:type="dxa"/>
          </w:tcPr>
          <w:p w14:paraId="46FF15DD" w14:textId="77777777" w:rsidR="00DD13BF" w:rsidRPr="0022021F" w:rsidRDefault="00DD13BF" w:rsidP="00355A56">
            <w:pPr>
              <w:rPr>
                <w:sz w:val="20"/>
              </w:rPr>
            </w:pPr>
            <w:r>
              <w:rPr>
                <w:sz w:val="20"/>
              </w:rPr>
              <w:t>10</w:t>
            </w:r>
          </w:p>
        </w:tc>
        <w:tc>
          <w:tcPr>
            <w:tcW w:w="992" w:type="dxa"/>
          </w:tcPr>
          <w:p w14:paraId="42F6A88F" w14:textId="77777777" w:rsidR="00DD13BF" w:rsidRPr="00CA4D3D" w:rsidRDefault="00DD13BF" w:rsidP="00355A56">
            <w:pPr>
              <w:rPr>
                <w:sz w:val="20"/>
              </w:rPr>
            </w:pPr>
            <w:r>
              <w:rPr>
                <w:color w:val="000000"/>
                <w:sz w:val="20"/>
              </w:rPr>
              <w:t>JSO8.1</w:t>
            </w:r>
          </w:p>
        </w:tc>
        <w:tc>
          <w:tcPr>
            <w:tcW w:w="567" w:type="dxa"/>
          </w:tcPr>
          <w:p w14:paraId="0BAD57A9" w14:textId="77777777" w:rsidR="00DD13BF" w:rsidRPr="0022021F" w:rsidRDefault="00DD13BF" w:rsidP="00355A56">
            <w:pPr>
              <w:rPr>
                <w:sz w:val="20"/>
              </w:rPr>
            </w:pPr>
            <w:r>
              <w:rPr>
                <w:sz w:val="20"/>
              </w:rPr>
              <w:t>JTF</w:t>
            </w:r>
          </w:p>
        </w:tc>
        <w:tc>
          <w:tcPr>
            <w:tcW w:w="1572" w:type="dxa"/>
          </w:tcPr>
          <w:p w14:paraId="14089C7A" w14:textId="77777777" w:rsidR="00DD13BF" w:rsidRPr="0022021F" w:rsidRDefault="00DD13BF" w:rsidP="00355A56">
            <w:pPr>
              <w:pStyle w:val="TableParagraph"/>
              <w:rPr>
                <w:sz w:val="20"/>
              </w:rPr>
            </w:pPr>
            <w:r>
              <w:rPr>
                <w:color w:val="000000"/>
                <w:sz w:val="20"/>
              </w:rPr>
              <w:t>Entire Slovenia</w:t>
            </w:r>
          </w:p>
        </w:tc>
        <w:tc>
          <w:tcPr>
            <w:tcW w:w="838" w:type="dxa"/>
          </w:tcPr>
          <w:p w14:paraId="2967C2FF" w14:textId="77777777" w:rsidR="00DD13BF" w:rsidRPr="0022021F" w:rsidRDefault="00DD13BF" w:rsidP="00355A56">
            <w:pPr>
              <w:spacing w:line="276" w:lineRule="auto"/>
              <w:rPr>
                <w:sz w:val="20"/>
              </w:rPr>
            </w:pPr>
            <w:r>
              <w:rPr>
                <w:sz w:val="20"/>
              </w:rPr>
              <w:t>EECR01</w:t>
            </w:r>
          </w:p>
        </w:tc>
        <w:tc>
          <w:tcPr>
            <w:tcW w:w="2126" w:type="dxa"/>
          </w:tcPr>
          <w:p w14:paraId="0CB07FD7" w14:textId="77777777" w:rsidR="00DD13BF" w:rsidRPr="0022021F" w:rsidRDefault="00DD13BF" w:rsidP="00355A56">
            <w:pPr>
              <w:spacing w:line="276" w:lineRule="auto"/>
              <w:rPr>
                <w:b/>
                <w:sz w:val="20"/>
              </w:rPr>
            </w:pPr>
            <w:r>
              <w:rPr>
                <w:sz w:val="20"/>
              </w:rPr>
              <w:t>Participants engaged in job searching upon leaving</w:t>
            </w:r>
          </w:p>
        </w:tc>
        <w:tc>
          <w:tcPr>
            <w:tcW w:w="992" w:type="dxa"/>
          </w:tcPr>
          <w:p w14:paraId="6A250E5B" w14:textId="77777777" w:rsidR="00DD13BF" w:rsidRPr="0022021F" w:rsidRDefault="00DD13BF" w:rsidP="00355A56">
            <w:pPr>
              <w:spacing w:line="276" w:lineRule="auto"/>
              <w:rPr>
                <w:b/>
                <w:sz w:val="20"/>
              </w:rPr>
            </w:pPr>
            <w:r>
              <w:rPr>
                <w:color w:val="000000"/>
                <w:sz w:val="20"/>
              </w:rPr>
              <w:t>Persons</w:t>
            </w:r>
          </w:p>
        </w:tc>
        <w:tc>
          <w:tcPr>
            <w:tcW w:w="1134" w:type="dxa"/>
          </w:tcPr>
          <w:p w14:paraId="2AA49C31" w14:textId="77777777" w:rsidR="00DD13BF" w:rsidRPr="0022021F" w:rsidRDefault="00DD13BF" w:rsidP="00355A56">
            <w:pPr>
              <w:pStyle w:val="TableParagraph"/>
              <w:rPr>
                <w:sz w:val="20"/>
              </w:rPr>
            </w:pPr>
            <w:r>
              <w:rPr>
                <w:sz w:val="20"/>
              </w:rPr>
              <w:t>0</w:t>
            </w:r>
          </w:p>
        </w:tc>
        <w:tc>
          <w:tcPr>
            <w:tcW w:w="993" w:type="dxa"/>
          </w:tcPr>
          <w:p w14:paraId="0808C332" w14:textId="77777777" w:rsidR="00DD13BF" w:rsidRPr="0022021F" w:rsidRDefault="00DD13BF" w:rsidP="00355A56">
            <w:pPr>
              <w:pStyle w:val="TableParagraph"/>
              <w:rPr>
                <w:sz w:val="20"/>
              </w:rPr>
            </w:pPr>
            <w:r>
              <w:rPr>
                <w:sz w:val="20"/>
              </w:rPr>
              <w:t>2022</w:t>
            </w:r>
          </w:p>
        </w:tc>
        <w:tc>
          <w:tcPr>
            <w:tcW w:w="708" w:type="dxa"/>
          </w:tcPr>
          <w:p w14:paraId="5334FBE7" w14:textId="77777777" w:rsidR="00DD13BF" w:rsidRPr="0022021F" w:rsidRDefault="00DD13BF" w:rsidP="00355A56">
            <w:pPr>
              <w:pStyle w:val="TableParagraph"/>
              <w:rPr>
                <w:sz w:val="20"/>
              </w:rPr>
            </w:pPr>
            <w:r>
              <w:rPr>
                <w:sz w:val="20"/>
              </w:rPr>
              <w:t>1,440</w:t>
            </w:r>
          </w:p>
        </w:tc>
        <w:tc>
          <w:tcPr>
            <w:tcW w:w="1134" w:type="dxa"/>
          </w:tcPr>
          <w:p w14:paraId="32B0A33D" w14:textId="77777777" w:rsidR="00DD13BF" w:rsidRPr="0022021F" w:rsidRDefault="00DD13BF" w:rsidP="00355A56">
            <w:pPr>
              <w:pStyle w:val="TableParagraph"/>
              <w:rPr>
                <w:sz w:val="20"/>
              </w:rPr>
            </w:pPr>
            <w:r>
              <w:rPr>
                <w:sz w:val="20"/>
              </w:rPr>
              <w:t>Monitoring, MDDSZ</w:t>
            </w:r>
          </w:p>
        </w:tc>
        <w:tc>
          <w:tcPr>
            <w:tcW w:w="1560" w:type="dxa"/>
          </w:tcPr>
          <w:p w14:paraId="3D73183A" w14:textId="77777777" w:rsidR="00DD13BF" w:rsidRPr="00237439" w:rsidRDefault="00DD13BF" w:rsidP="00355A56">
            <w:pPr>
              <w:pStyle w:val="TableParagraph"/>
              <w:rPr>
                <w:sz w:val="20"/>
              </w:rPr>
            </w:pPr>
            <w:r>
              <w:rPr>
                <w:sz w:val="20"/>
              </w:rPr>
              <w:t>Final indicator (increased for inactive and other participants) provided by ZRSZ</w:t>
            </w:r>
          </w:p>
        </w:tc>
      </w:tr>
      <w:tr w:rsidR="00DD13BF" w:rsidRPr="0022021F" w14:paraId="450CBCF8" w14:textId="77777777" w:rsidTr="00355A56">
        <w:trPr>
          <w:trHeight w:val="353"/>
        </w:trPr>
        <w:tc>
          <w:tcPr>
            <w:tcW w:w="1125" w:type="dxa"/>
          </w:tcPr>
          <w:p w14:paraId="44CB53DC" w14:textId="77777777" w:rsidR="00DD13BF" w:rsidRPr="0022021F" w:rsidRDefault="00DD13BF" w:rsidP="00355A56">
            <w:pPr>
              <w:rPr>
                <w:sz w:val="20"/>
              </w:rPr>
            </w:pPr>
            <w:r>
              <w:rPr>
                <w:sz w:val="20"/>
              </w:rPr>
              <w:t>10</w:t>
            </w:r>
          </w:p>
        </w:tc>
        <w:tc>
          <w:tcPr>
            <w:tcW w:w="992" w:type="dxa"/>
          </w:tcPr>
          <w:p w14:paraId="475CF6BD" w14:textId="77777777" w:rsidR="00DD13BF" w:rsidRPr="00CA4D3D" w:rsidRDefault="00DD13BF" w:rsidP="00355A56">
            <w:pPr>
              <w:rPr>
                <w:sz w:val="20"/>
              </w:rPr>
            </w:pPr>
            <w:r>
              <w:rPr>
                <w:color w:val="000000"/>
                <w:sz w:val="20"/>
              </w:rPr>
              <w:t>JSO8.1</w:t>
            </w:r>
          </w:p>
        </w:tc>
        <w:tc>
          <w:tcPr>
            <w:tcW w:w="567" w:type="dxa"/>
          </w:tcPr>
          <w:p w14:paraId="54728601" w14:textId="77777777" w:rsidR="00DD13BF" w:rsidRPr="0022021F" w:rsidRDefault="00DD13BF" w:rsidP="00355A56">
            <w:pPr>
              <w:rPr>
                <w:sz w:val="20"/>
              </w:rPr>
            </w:pPr>
            <w:r>
              <w:rPr>
                <w:sz w:val="20"/>
              </w:rPr>
              <w:t>JTF</w:t>
            </w:r>
          </w:p>
        </w:tc>
        <w:tc>
          <w:tcPr>
            <w:tcW w:w="1572" w:type="dxa"/>
          </w:tcPr>
          <w:p w14:paraId="488BA9EE" w14:textId="77777777" w:rsidR="00DD13BF" w:rsidRPr="0022021F" w:rsidRDefault="00DD13BF" w:rsidP="00355A56">
            <w:pPr>
              <w:pStyle w:val="TableParagraph"/>
              <w:rPr>
                <w:sz w:val="20"/>
              </w:rPr>
            </w:pPr>
            <w:r>
              <w:rPr>
                <w:color w:val="000000"/>
                <w:sz w:val="20"/>
              </w:rPr>
              <w:t>Entire Slovenia</w:t>
            </w:r>
          </w:p>
        </w:tc>
        <w:tc>
          <w:tcPr>
            <w:tcW w:w="838" w:type="dxa"/>
          </w:tcPr>
          <w:p w14:paraId="3102F9EF" w14:textId="77777777" w:rsidR="00DD13BF" w:rsidRPr="0022021F" w:rsidRDefault="00DD13BF" w:rsidP="00355A56">
            <w:pPr>
              <w:spacing w:line="276" w:lineRule="auto"/>
              <w:rPr>
                <w:sz w:val="20"/>
              </w:rPr>
            </w:pPr>
            <w:r>
              <w:rPr>
                <w:sz w:val="20"/>
              </w:rPr>
              <w:t>EECR02</w:t>
            </w:r>
          </w:p>
        </w:tc>
        <w:tc>
          <w:tcPr>
            <w:tcW w:w="2126" w:type="dxa"/>
          </w:tcPr>
          <w:p w14:paraId="5A3B23EF" w14:textId="77777777" w:rsidR="00DD13BF" w:rsidRPr="0022021F" w:rsidRDefault="00DD13BF" w:rsidP="00355A56">
            <w:pPr>
              <w:spacing w:line="276" w:lineRule="auto"/>
              <w:rPr>
                <w:sz w:val="20"/>
              </w:rPr>
            </w:pPr>
            <w:r>
              <w:rPr>
                <w:sz w:val="20"/>
              </w:rPr>
              <w:t>Participants in education or training upon leaving</w:t>
            </w:r>
          </w:p>
        </w:tc>
        <w:tc>
          <w:tcPr>
            <w:tcW w:w="992" w:type="dxa"/>
          </w:tcPr>
          <w:p w14:paraId="29DE670F" w14:textId="77777777" w:rsidR="00DD13BF" w:rsidRPr="0022021F" w:rsidRDefault="00DD13BF" w:rsidP="00355A56">
            <w:pPr>
              <w:spacing w:line="276" w:lineRule="auto"/>
              <w:rPr>
                <w:sz w:val="20"/>
              </w:rPr>
            </w:pPr>
            <w:r>
              <w:rPr>
                <w:color w:val="000000"/>
                <w:sz w:val="20"/>
              </w:rPr>
              <w:t>Persons</w:t>
            </w:r>
          </w:p>
        </w:tc>
        <w:tc>
          <w:tcPr>
            <w:tcW w:w="1134" w:type="dxa"/>
          </w:tcPr>
          <w:p w14:paraId="54247F1E" w14:textId="77777777" w:rsidR="00DD13BF" w:rsidRPr="0022021F" w:rsidRDefault="00DD13BF" w:rsidP="00355A56">
            <w:pPr>
              <w:pStyle w:val="TableParagraph"/>
              <w:rPr>
                <w:sz w:val="20"/>
              </w:rPr>
            </w:pPr>
            <w:r>
              <w:rPr>
                <w:sz w:val="20"/>
              </w:rPr>
              <w:t>0</w:t>
            </w:r>
          </w:p>
        </w:tc>
        <w:tc>
          <w:tcPr>
            <w:tcW w:w="993" w:type="dxa"/>
          </w:tcPr>
          <w:p w14:paraId="172D857B" w14:textId="77777777" w:rsidR="00DD13BF" w:rsidRPr="0022021F" w:rsidRDefault="00DD13BF" w:rsidP="00355A56">
            <w:pPr>
              <w:pStyle w:val="TableParagraph"/>
              <w:rPr>
                <w:sz w:val="20"/>
              </w:rPr>
            </w:pPr>
            <w:r>
              <w:rPr>
                <w:sz w:val="20"/>
              </w:rPr>
              <w:t>2022</w:t>
            </w:r>
          </w:p>
        </w:tc>
        <w:tc>
          <w:tcPr>
            <w:tcW w:w="708" w:type="dxa"/>
          </w:tcPr>
          <w:p w14:paraId="48668285" w14:textId="77777777" w:rsidR="00DD13BF" w:rsidRPr="0022021F" w:rsidRDefault="00DD13BF" w:rsidP="00355A56">
            <w:pPr>
              <w:pStyle w:val="TableParagraph"/>
              <w:rPr>
                <w:sz w:val="20"/>
              </w:rPr>
            </w:pPr>
            <w:r>
              <w:rPr>
                <w:sz w:val="20"/>
              </w:rPr>
              <w:t>600</w:t>
            </w:r>
          </w:p>
        </w:tc>
        <w:tc>
          <w:tcPr>
            <w:tcW w:w="1134" w:type="dxa"/>
          </w:tcPr>
          <w:p w14:paraId="1FAA030F" w14:textId="77777777" w:rsidR="00DD13BF" w:rsidRPr="0022021F" w:rsidRDefault="00DD13BF" w:rsidP="00355A56">
            <w:pPr>
              <w:pStyle w:val="TableParagraph"/>
              <w:rPr>
                <w:sz w:val="20"/>
              </w:rPr>
            </w:pPr>
            <w:r>
              <w:rPr>
                <w:sz w:val="20"/>
              </w:rPr>
              <w:t>Monitoring, MDDSZ</w:t>
            </w:r>
          </w:p>
        </w:tc>
        <w:tc>
          <w:tcPr>
            <w:tcW w:w="1560" w:type="dxa"/>
          </w:tcPr>
          <w:p w14:paraId="584408A6" w14:textId="77777777" w:rsidR="00DD13BF" w:rsidRPr="00237439" w:rsidRDefault="00DD13BF" w:rsidP="00355A56">
            <w:pPr>
              <w:pStyle w:val="TableParagraph"/>
              <w:rPr>
                <w:sz w:val="20"/>
              </w:rPr>
            </w:pPr>
            <w:r>
              <w:rPr>
                <w:sz w:val="20"/>
              </w:rPr>
              <w:t>Final indicator (increased for inactive and other participants) of ZRSZ</w:t>
            </w:r>
          </w:p>
        </w:tc>
      </w:tr>
      <w:tr w:rsidR="00DD13BF" w:rsidRPr="0022021F" w14:paraId="7FB9FE9B" w14:textId="77777777" w:rsidTr="00355A56">
        <w:trPr>
          <w:trHeight w:val="353"/>
        </w:trPr>
        <w:tc>
          <w:tcPr>
            <w:tcW w:w="1125" w:type="dxa"/>
          </w:tcPr>
          <w:p w14:paraId="14BA48D1" w14:textId="77777777" w:rsidR="00DD13BF" w:rsidRPr="0022021F" w:rsidRDefault="00DD13BF" w:rsidP="00355A56">
            <w:pPr>
              <w:rPr>
                <w:sz w:val="20"/>
              </w:rPr>
            </w:pPr>
            <w:r>
              <w:rPr>
                <w:sz w:val="20"/>
              </w:rPr>
              <w:t>10</w:t>
            </w:r>
          </w:p>
        </w:tc>
        <w:tc>
          <w:tcPr>
            <w:tcW w:w="992" w:type="dxa"/>
          </w:tcPr>
          <w:p w14:paraId="498841C8" w14:textId="77777777" w:rsidR="00DD13BF" w:rsidRPr="00CA4D3D" w:rsidRDefault="00DD13BF" w:rsidP="00355A56">
            <w:pPr>
              <w:rPr>
                <w:sz w:val="20"/>
              </w:rPr>
            </w:pPr>
            <w:r>
              <w:rPr>
                <w:color w:val="000000"/>
                <w:sz w:val="20"/>
              </w:rPr>
              <w:t>JSO8.1</w:t>
            </w:r>
          </w:p>
        </w:tc>
        <w:tc>
          <w:tcPr>
            <w:tcW w:w="567" w:type="dxa"/>
          </w:tcPr>
          <w:p w14:paraId="0B5076EB" w14:textId="77777777" w:rsidR="00DD13BF" w:rsidRPr="0022021F" w:rsidRDefault="00DD13BF" w:rsidP="00355A56">
            <w:pPr>
              <w:rPr>
                <w:sz w:val="20"/>
              </w:rPr>
            </w:pPr>
            <w:r>
              <w:rPr>
                <w:sz w:val="20"/>
              </w:rPr>
              <w:t>JTF</w:t>
            </w:r>
          </w:p>
        </w:tc>
        <w:tc>
          <w:tcPr>
            <w:tcW w:w="1572" w:type="dxa"/>
          </w:tcPr>
          <w:p w14:paraId="28EEC002" w14:textId="77777777" w:rsidR="00DD13BF" w:rsidRPr="0022021F" w:rsidRDefault="00DD13BF" w:rsidP="00355A56">
            <w:pPr>
              <w:pStyle w:val="TableParagraph"/>
              <w:rPr>
                <w:sz w:val="20"/>
              </w:rPr>
            </w:pPr>
            <w:r>
              <w:rPr>
                <w:color w:val="000000"/>
                <w:sz w:val="20"/>
              </w:rPr>
              <w:t>Entire Slovenia</w:t>
            </w:r>
          </w:p>
        </w:tc>
        <w:tc>
          <w:tcPr>
            <w:tcW w:w="838" w:type="dxa"/>
          </w:tcPr>
          <w:p w14:paraId="6A48CDC3" w14:textId="77777777" w:rsidR="00DD13BF" w:rsidRPr="0022021F" w:rsidRDefault="00DD13BF" w:rsidP="00355A56">
            <w:pPr>
              <w:spacing w:line="276" w:lineRule="auto"/>
              <w:rPr>
                <w:sz w:val="20"/>
              </w:rPr>
            </w:pPr>
            <w:r>
              <w:rPr>
                <w:sz w:val="20"/>
              </w:rPr>
              <w:t>EECR03</w:t>
            </w:r>
          </w:p>
        </w:tc>
        <w:tc>
          <w:tcPr>
            <w:tcW w:w="2126" w:type="dxa"/>
          </w:tcPr>
          <w:p w14:paraId="060AA529" w14:textId="77777777" w:rsidR="00DD13BF" w:rsidRPr="0022021F" w:rsidRDefault="00DD13BF" w:rsidP="00355A56">
            <w:pPr>
              <w:spacing w:line="276" w:lineRule="auto"/>
              <w:rPr>
                <w:sz w:val="20"/>
              </w:rPr>
            </w:pPr>
            <w:r>
              <w:rPr>
                <w:sz w:val="20"/>
              </w:rPr>
              <w:t xml:space="preserve">Participants gaining a qualification upon leaving </w:t>
            </w:r>
          </w:p>
        </w:tc>
        <w:tc>
          <w:tcPr>
            <w:tcW w:w="992" w:type="dxa"/>
          </w:tcPr>
          <w:p w14:paraId="616EB7E9" w14:textId="77777777" w:rsidR="00DD13BF" w:rsidRPr="0022021F" w:rsidRDefault="00DD13BF" w:rsidP="00355A56">
            <w:pPr>
              <w:spacing w:line="276" w:lineRule="auto"/>
              <w:rPr>
                <w:sz w:val="20"/>
              </w:rPr>
            </w:pPr>
            <w:r>
              <w:rPr>
                <w:color w:val="000000"/>
                <w:sz w:val="20"/>
              </w:rPr>
              <w:t>Persons</w:t>
            </w:r>
          </w:p>
        </w:tc>
        <w:tc>
          <w:tcPr>
            <w:tcW w:w="1134" w:type="dxa"/>
          </w:tcPr>
          <w:p w14:paraId="6F925150" w14:textId="77777777" w:rsidR="00DD13BF" w:rsidRPr="0022021F" w:rsidRDefault="00DD13BF" w:rsidP="00355A56">
            <w:pPr>
              <w:pStyle w:val="TableParagraph"/>
              <w:rPr>
                <w:sz w:val="20"/>
              </w:rPr>
            </w:pPr>
            <w:r>
              <w:rPr>
                <w:sz w:val="20"/>
              </w:rPr>
              <w:t>0</w:t>
            </w:r>
          </w:p>
        </w:tc>
        <w:tc>
          <w:tcPr>
            <w:tcW w:w="993" w:type="dxa"/>
          </w:tcPr>
          <w:p w14:paraId="5B466AF0" w14:textId="77777777" w:rsidR="00DD13BF" w:rsidRPr="0022021F" w:rsidRDefault="00DD13BF" w:rsidP="00355A56">
            <w:pPr>
              <w:pStyle w:val="TableParagraph"/>
              <w:rPr>
                <w:sz w:val="20"/>
              </w:rPr>
            </w:pPr>
            <w:r>
              <w:rPr>
                <w:sz w:val="20"/>
              </w:rPr>
              <w:t>2022</w:t>
            </w:r>
          </w:p>
        </w:tc>
        <w:tc>
          <w:tcPr>
            <w:tcW w:w="708" w:type="dxa"/>
          </w:tcPr>
          <w:p w14:paraId="37816336" w14:textId="77777777" w:rsidR="00DD13BF" w:rsidRPr="0022021F" w:rsidRDefault="00DD13BF" w:rsidP="00355A56">
            <w:pPr>
              <w:pStyle w:val="TableParagraph"/>
              <w:rPr>
                <w:sz w:val="20"/>
              </w:rPr>
            </w:pPr>
            <w:r>
              <w:rPr>
                <w:sz w:val="20"/>
              </w:rPr>
              <w:t>96</w:t>
            </w:r>
          </w:p>
        </w:tc>
        <w:tc>
          <w:tcPr>
            <w:tcW w:w="1134" w:type="dxa"/>
          </w:tcPr>
          <w:p w14:paraId="79C7E947" w14:textId="77777777" w:rsidR="00DD13BF" w:rsidRPr="0022021F" w:rsidRDefault="00DD13BF" w:rsidP="00355A56">
            <w:pPr>
              <w:pStyle w:val="TableParagraph"/>
              <w:rPr>
                <w:sz w:val="20"/>
              </w:rPr>
            </w:pPr>
            <w:r>
              <w:rPr>
                <w:sz w:val="20"/>
              </w:rPr>
              <w:t>Monitoring, MDDSZ</w:t>
            </w:r>
          </w:p>
        </w:tc>
        <w:tc>
          <w:tcPr>
            <w:tcW w:w="1560" w:type="dxa"/>
          </w:tcPr>
          <w:p w14:paraId="054D40C2" w14:textId="77777777" w:rsidR="00DD13BF" w:rsidRPr="0022021F" w:rsidRDefault="00DD13BF" w:rsidP="00355A56">
            <w:pPr>
              <w:pStyle w:val="TableParagraph"/>
              <w:rPr>
                <w:sz w:val="20"/>
              </w:rPr>
            </w:pPr>
          </w:p>
        </w:tc>
      </w:tr>
      <w:tr w:rsidR="00DD13BF" w:rsidRPr="0022021F" w14:paraId="61435B97" w14:textId="77777777" w:rsidTr="00355A56">
        <w:trPr>
          <w:trHeight w:val="353"/>
        </w:trPr>
        <w:tc>
          <w:tcPr>
            <w:tcW w:w="1125" w:type="dxa"/>
          </w:tcPr>
          <w:p w14:paraId="1D697FFD" w14:textId="77777777" w:rsidR="00DD13BF" w:rsidRPr="0022021F" w:rsidRDefault="00DD13BF" w:rsidP="00355A56">
            <w:pPr>
              <w:rPr>
                <w:sz w:val="20"/>
              </w:rPr>
            </w:pPr>
            <w:r>
              <w:rPr>
                <w:sz w:val="20"/>
              </w:rPr>
              <w:t>10</w:t>
            </w:r>
          </w:p>
        </w:tc>
        <w:tc>
          <w:tcPr>
            <w:tcW w:w="992" w:type="dxa"/>
          </w:tcPr>
          <w:p w14:paraId="735FD42A" w14:textId="77777777" w:rsidR="00DD13BF" w:rsidRPr="00CA4D3D" w:rsidRDefault="00DD13BF" w:rsidP="00355A56">
            <w:pPr>
              <w:rPr>
                <w:sz w:val="20"/>
              </w:rPr>
            </w:pPr>
            <w:r>
              <w:rPr>
                <w:color w:val="000000"/>
                <w:sz w:val="20"/>
              </w:rPr>
              <w:t>JSO8.1</w:t>
            </w:r>
          </w:p>
        </w:tc>
        <w:tc>
          <w:tcPr>
            <w:tcW w:w="567" w:type="dxa"/>
          </w:tcPr>
          <w:p w14:paraId="3E5B457F" w14:textId="77777777" w:rsidR="00DD13BF" w:rsidRPr="0022021F" w:rsidRDefault="00DD13BF" w:rsidP="00355A56">
            <w:pPr>
              <w:rPr>
                <w:sz w:val="20"/>
              </w:rPr>
            </w:pPr>
            <w:r>
              <w:rPr>
                <w:sz w:val="20"/>
              </w:rPr>
              <w:t>JTF</w:t>
            </w:r>
          </w:p>
        </w:tc>
        <w:tc>
          <w:tcPr>
            <w:tcW w:w="1572" w:type="dxa"/>
          </w:tcPr>
          <w:p w14:paraId="4E85E4E3" w14:textId="77777777" w:rsidR="00DD13BF" w:rsidRPr="0022021F" w:rsidRDefault="00DD13BF" w:rsidP="00355A56">
            <w:pPr>
              <w:pStyle w:val="TableParagraph"/>
              <w:rPr>
                <w:sz w:val="20"/>
              </w:rPr>
            </w:pPr>
            <w:r>
              <w:rPr>
                <w:color w:val="000000"/>
                <w:sz w:val="20"/>
              </w:rPr>
              <w:t>Entire Slovenia</w:t>
            </w:r>
          </w:p>
        </w:tc>
        <w:tc>
          <w:tcPr>
            <w:tcW w:w="838" w:type="dxa"/>
          </w:tcPr>
          <w:p w14:paraId="01AACACF" w14:textId="77777777" w:rsidR="00DD13BF" w:rsidRPr="0022021F" w:rsidRDefault="00DD13BF" w:rsidP="00355A56">
            <w:pPr>
              <w:spacing w:line="276" w:lineRule="auto"/>
              <w:rPr>
                <w:sz w:val="20"/>
              </w:rPr>
            </w:pPr>
            <w:r>
              <w:rPr>
                <w:sz w:val="20"/>
              </w:rPr>
              <w:t>EECR04</w:t>
            </w:r>
          </w:p>
        </w:tc>
        <w:tc>
          <w:tcPr>
            <w:tcW w:w="2126" w:type="dxa"/>
          </w:tcPr>
          <w:p w14:paraId="103321B9" w14:textId="77777777" w:rsidR="00DD13BF" w:rsidRPr="0022021F" w:rsidRDefault="00DD13BF" w:rsidP="00355A56">
            <w:pPr>
              <w:spacing w:line="276" w:lineRule="auto"/>
              <w:rPr>
                <w:sz w:val="20"/>
              </w:rPr>
            </w:pPr>
            <w:r>
              <w:rPr>
                <w:sz w:val="20"/>
              </w:rPr>
              <w:t xml:space="preserve">Participants in </w:t>
            </w:r>
            <w:r>
              <w:rPr>
                <w:sz w:val="20"/>
              </w:rPr>
              <w:lastRenderedPageBreak/>
              <w:t>employment, including self-employment, upon leaving</w:t>
            </w:r>
          </w:p>
        </w:tc>
        <w:tc>
          <w:tcPr>
            <w:tcW w:w="992" w:type="dxa"/>
          </w:tcPr>
          <w:p w14:paraId="14A1645E" w14:textId="77777777" w:rsidR="00DD13BF" w:rsidRPr="0022021F" w:rsidRDefault="00DD13BF" w:rsidP="00355A56">
            <w:pPr>
              <w:spacing w:line="276" w:lineRule="auto"/>
              <w:rPr>
                <w:sz w:val="20"/>
              </w:rPr>
            </w:pPr>
            <w:r>
              <w:rPr>
                <w:color w:val="000000"/>
                <w:sz w:val="20"/>
              </w:rPr>
              <w:lastRenderedPageBreak/>
              <w:t>Persons</w:t>
            </w:r>
          </w:p>
        </w:tc>
        <w:tc>
          <w:tcPr>
            <w:tcW w:w="1134" w:type="dxa"/>
          </w:tcPr>
          <w:p w14:paraId="0E94306F" w14:textId="77777777" w:rsidR="00DD13BF" w:rsidRPr="0022021F" w:rsidRDefault="00DD13BF" w:rsidP="00355A56">
            <w:pPr>
              <w:pStyle w:val="TableParagraph"/>
              <w:rPr>
                <w:sz w:val="20"/>
              </w:rPr>
            </w:pPr>
            <w:r>
              <w:rPr>
                <w:sz w:val="20"/>
              </w:rPr>
              <w:t>0</w:t>
            </w:r>
          </w:p>
        </w:tc>
        <w:tc>
          <w:tcPr>
            <w:tcW w:w="993" w:type="dxa"/>
          </w:tcPr>
          <w:p w14:paraId="6612D456" w14:textId="77777777" w:rsidR="00DD13BF" w:rsidRPr="0022021F" w:rsidRDefault="00DD13BF" w:rsidP="00355A56">
            <w:pPr>
              <w:pStyle w:val="TableParagraph"/>
              <w:rPr>
                <w:sz w:val="20"/>
              </w:rPr>
            </w:pPr>
            <w:r>
              <w:rPr>
                <w:sz w:val="20"/>
              </w:rPr>
              <w:t>2022</w:t>
            </w:r>
          </w:p>
        </w:tc>
        <w:tc>
          <w:tcPr>
            <w:tcW w:w="708" w:type="dxa"/>
          </w:tcPr>
          <w:p w14:paraId="7B68C20D" w14:textId="77777777" w:rsidR="00DD13BF" w:rsidRPr="0022021F" w:rsidRDefault="00DD13BF" w:rsidP="00355A56">
            <w:pPr>
              <w:pStyle w:val="TableParagraph"/>
              <w:rPr>
                <w:sz w:val="20"/>
              </w:rPr>
            </w:pPr>
            <w:r>
              <w:rPr>
                <w:sz w:val="20"/>
              </w:rPr>
              <w:t>480</w:t>
            </w:r>
          </w:p>
        </w:tc>
        <w:tc>
          <w:tcPr>
            <w:tcW w:w="1134" w:type="dxa"/>
          </w:tcPr>
          <w:p w14:paraId="7CE9729E" w14:textId="77777777" w:rsidR="00DD13BF" w:rsidRPr="0022021F" w:rsidRDefault="00DD13BF" w:rsidP="00355A56">
            <w:pPr>
              <w:pStyle w:val="TableParagraph"/>
              <w:rPr>
                <w:sz w:val="20"/>
              </w:rPr>
            </w:pPr>
            <w:r>
              <w:rPr>
                <w:sz w:val="20"/>
              </w:rPr>
              <w:t xml:space="preserve">Monitoring, </w:t>
            </w:r>
            <w:r>
              <w:rPr>
                <w:sz w:val="20"/>
              </w:rPr>
              <w:lastRenderedPageBreak/>
              <w:t>MDDSZ</w:t>
            </w:r>
          </w:p>
        </w:tc>
        <w:tc>
          <w:tcPr>
            <w:tcW w:w="1560" w:type="dxa"/>
          </w:tcPr>
          <w:p w14:paraId="22DF0805" w14:textId="77777777" w:rsidR="00DD13BF" w:rsidRPr="0022021F" w:rsidRDefault="00DD13BF" w:rsidP="00355A56">
            <w:pPr>
              <w:pStyle w:val="TableParagraph"/>
              <w:rPr>
                <w:sz w:val="20"/>
              </w:rPr>
            </w:pPr>
          </w:p>
        </w:tc>
      </w:tr>
    </w:tbl>
    <w:p w14:paraId="701D9D66" w14:textId="77777777" w:rsidR="00DD13BF" w:rsidRPr="00F81084" w:rsidRDefault="00DD13BF" w:rsidP="00DD13BF">
      <w:pPr>
        <w:pStyle w:val="Telobesedila"/>
      </w:pPr>
    </w:p>
    <w:p w14:paraId="3B2C4153" w14:textId="77777777" w:rsidR="00DD13BF" w:rsidRPr="00F81084" w:rsidRDefault="00DD13BF" w:rsidP="00DD13BF">
      <w:pPr>
        <w:pStyle w:val="Telobesedila"/>
      </w:pPr>
    </w:p>
    <w:p w14:paraId="2BD2DCF4" w14:textId="77777777" w:rsidR="00DD13BF" w:rsidRDefault="00DD13BF" w:rsidP="00DD13BF">
      <w:pPr>
        <w:pStyle w:val="Naslov5"/>
        <w:numPr>
          <w:ilvl w:val="4"/>
          <w:numId w:val="16"/>
        </w:numPr>
        <w:spacing w:before="0"/>
      </w:pPr>
      <w:r>
        <w:t>Indicative breakdown of the programme resources (EU) by type of intervention</w:t>
      </w:r>
    </w:p>
    <w:p w14:paraId="53734146" w14:textId="77777777" w:rsidR="00DD13BF" w:rsidRDefault="00DD13BF" w:rsidP="00DD13BF">
      <w:pPr>
        <w:ind w:left="640"/>
        <w:rPr>
          <w:spacing w:val="-5"/>
        </w:rPr>
      </w:pPr>
    </w:p>
    <w:p w14:paraId="079C02F5" w14:textId="77777777" w:rsidR="00DD13BF" w:rsidRPr="00673ADB" w:rsidRDefault="00DD13BF" w:rsidP="00DD13BF">
      <w:pPr>
        <w:ind w:left="339"/>
        <w:rPr>
          <w:spacing w:val="-7"/>
        </w:rPr>
      </w:pPr>
      <w:r>
        <w:t>Table 4: Dimension 1 – intervention field</w:t>
      </w:r>
    </w:p>
    <w:p w14:paraId="072A3365" w14:textId="77777777" w:rsidR="00DD13BF" w:rsidRDefault="00DD13BF" w:rsidP="00DD13BF"/>
    <w:tbl>
      <w:tblPr>
        <w:tblW w:w="1196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5"/>
        <w:gridCol w:w="860"/>
        <w:gridCol w:w="2757"/>
        <w:gridCol w:w="2358"/>
        <w:gridCol w:w="959"/>
        <w:gridCol w:w="2907"/>
      </w:tblGrid>
      <w:tr w:rsidR="00DD13BF" w:rsidRPr="008D7254" w14:paraId="3B568C32" w14:textId="77777777" w:rsidTr="00355A56">
        <w:trPr>
          <w:trHeight w:val="384"/>
        </w:trPr>
        <w:tc>
          <w:tcPr>
            <w:tcW w:w="2125" w:type="dxa"/>
            <w:shd w:val="clear" w:color="auto" w:fill="auto"/>
            <w:vAlign w:val="center"/>
            <w:hideMark/>
          </w:tcPr>
          <w:p w14:paraId="79025A9E" w14:textId="77777777" w:rsidR="00DD13BF" w:rsidRPr="008D7254" w:rsidRDefault="00DD13BF" w:rsidP="00355A56">
            <w:pPr>
              <w:widowControl/>
              <w:autoSpaceDE/>
              <w:autoSpaceDN/>
              <w:jc w:val="center"/>
              <w:rPr>
                <w:color w:val="000000"/>
                <w:sz w:val="20"/>
              </w:rPr>
            </w:pPr>
            <w:r>
              <w:rPr>
                <w:color w:val="000000"/>
                <w:sz w:val="20"/>
              </w:rPr>
              <w:t>Priority no.</w:t>
            </w:r>
          </w:p>
        </w:tc>
        <w:tc>
          <w:tcPr>
            <w:tcW w:w="860" w:type="dxa"/>
            <w:shd w:val="clear" w:color="auto" w:fill="auto"/>
            <w:vAlign w:val="center"/>
            <w:hideMark/>
          </w:tcPr>
          <w:p w14:paraId="6A5B50B0" w14:textId="77777777" w:rsidR="00DD13BF" w:rsidRPr="008D7254" w:rsidRDefault="00DD13BF" w:rsidP="00355A56">
            <w:pPr>
              <w:widowControl/>
              <w:autoSpaceDE/>
              <w:autoSpaceDN/>
              <w:jc w:val="center"/>
              <w:rPr>
                <w:color w:val="000000"/>
                <w:sz w:val="20"/>
              </w:rPr>
            </w:pPr>
            <w:r>
              <w:rPr>
                <w:color w:val="000000"/>
                <w:sz w:val="20"/>
              </w:rPr>
              <w:t>Fund</w:t>
            </w:r>
          </w:p>
        </w:tc>
        <w:tc>
          <w:tcPr>
            <w:tcW w:w="2757" w:type="dxa"/>
            <w:shd w:val="clear" w:color="auto" w:fill="auto"/>
            <w:vAlign w:val="center"/>
            <w:hideMark/>
          </w:tcPr>
          <w:p w14:paraId="4C33625A" w14:textId="77777777" w:rsidR="00DD13BF" w:rsidRPr="008D7254" w:rsidRDefault="00DD13BF" w:rsidP="00355A56">
            <w:pPr>
              <w:widowControl/>
              <w:autoSpaceDE/>
              <w:autoSpaceDN/>
              <w:jc w:val="center"/>
              <w:rPr>
                <w:color w:val="000000"/>
                <w:sz w:val="20"/>
              </w:rPr>
            </w:pPr>
            <w:r>
              <w:rPr>
                <w:color w:val="000000"/>
                <w:sz w:val="20"/>
              </w:rPr>
              <w:t>Category of region</w:t>
            </w:r>
          </w:p>
        </w:tc>
        <w:tc>
          <w:tcPr>
            <w:tcW w:w="2358" w:type="dxa"/>
            <w:shd w:val="clear" w:color="auto" w:fill="auto"/>
            <w:vAlign w:val="center"/>
            <w:hideMark/>
          </w:tcPr>
          <w:p w14:paraId="6A50FE8B" w14:textId="77777777" w:rsidR="00DD13BF" w:rsidRPr="008D7254" w:rsidRDefault="00DD13BF" w:rsidP="00355A56">
            <w:pPr>
              <w:widowControl/>
              <w:autoSpaceDE/>
              <w:autoSpaceDN/>
              <w:jc w:val="center"/>
              <w:rPr>
                <w:color w:val="000000"/>
                <w:sz w:val="20"/>
              </w:rPr>
            </w:pPr>
            <w:r>
              <w:rPr>
                <w:color w:val="000000"/>
                <w:sz w:val="20"/>
              </w:rPr>
              <w:t>Specific objective</w:t>
            </w:r>
          </w:p>
        </w:tc>
        <w:tc>
          <w:tcPr>
            <w:tcW w:w="959" w:type="dxa"/>
            <w:shd w:val="clear" w:color="auto" w:fill="auto"/>
            <w:vAlign w:val="center"/>
            <w:hideMark/>
          </w:tcPr>
          <w:p w14:paraId="40421142" w14:textId="77777777" w:rsidR="00DD13BF" w:rsidRPr="008D7254" w:rsidRDefault="00DD13BF" w:rsidP="00355A56">
            <w:pPr>
              <w:widowControl/>
              <w:autoSpaceDE/>
              <w:autoSpaceDN/>
              <w:jc w:val="center"/>
              <w:rPr>
                <w:color w:val="000000"/>
                <w:sz w:val="20"/>
              </w:rPr>
            </w:pPr>
            <w:r>
              <w:rPr>
                <w:color w:val="000000"/>
                <w:sz w:val="20"/>
              </w:rPr>
              <w:t>Code</w:t>
            </w:r>
          </w:p>
        </w:tc>
        <w:tc>
          <w:tcPr>
            <w:tcW w:w="2907" w:type="dxa"/>
            <w:shd w:val="clear" w:color="auto" w:fill="auto"/>
            <w:vAlign w:val="center"/>
            <w:hideMark/>
          </w:tcPr>
          <w:p w14:paraId="419CE6FF" w14:textId="77777777" w:rsidR="00DD13BF" w:rsidRPr="008D7254" w:rsidRDefault="00DD13BF" w:rsidP="00355A56">
            <w:pPr>
              <w:widowControl/>
              <w:autoSpaceDE/>
              <w:autoSpaceDN/>
              <w:jc w:val="center"/>
              <w:rPr>
                <w:color w:val="000000"/>
                <w:sz w:val="20"/>
              </w:rPr>
            </w:pPr>
            <w:r>
              <w:rPr>
                <w:color w:val="000000"/>
                <w:sz w:val="20"/>
              </w:rPr>
              <w:t>Amount (in EUR)</w:t>
            </w:r>
          </w:p>
        </w:tc>
      </w:tr>
      <w:tr w:rsidR="00DD13BF" w:rsidRPr="008D7254" w14:paraId="2386306E" w14:textId="77777777" w:rsidTr="00355A56">
        <w:trPr>
          <w:trHeight w:val="315"/>
        </w:trPr>
        <w:tc>
          <w:tcPr>
            <w:tcW w:w="2125" w:type="dxa"/>
            <w:shd w:val="clear" w:color="auto" w:fill="auto"/>
            <w:vAlign w:val="center"/>
            <w:hideMark/>
          </w:tcPr>
          <w:p w14:paraId="024D1F8D"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63C01F57"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5C7F3282"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16C19745"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1BD4F714" w14:textId="77777777" w:rsidR="00DD13BF" w:rsidRPr="008D7254" w:rsidRDefault="00DD13BF" w:rsidP="00355A56">
            <w:pPr>
              <w:widowControl/>
              <w:autoSpaceDE/>
              <w:autoSpaceDN/>
              <w:rPr>
                <w:color w:val="000000"/>
                <w:sz w:val="20"/>
              </w:rPr>
            </w:pPr>
            <w:r>
              <w:rPr>
                <w:color w:val="000000"/>
                <w:sz w:val="20"/>
              </w:rPr>
              <w:t>004</w:t>
            </w:r>
          </w:p>
        </w:tc>
        <w:tc>
          <w:tcPr>
            <w:tcW w:w="2907" w:type="dxa"/>
            <w:shd w:val="clear" w:color="auto" w:fill="auto"/>
            <w:vAlign w:val="center"/>
            <w:hideMark/>
          </w:tcPr>
          <w:p w14:paraId="541778E8" w14:textId="77777777" w:rsidR="00DD13BF" w:rsidRPr="008D7254" w:rsidRDefault="00DD13BF" w:rsidP="00355A56">
            <w:pPr>
              <w:widowControl/>
              <w:autoSpaceDE/>
              <w:autoSpaceDN/>
              <w:rPr>
                <w:color w:val="000000"/>
                <w:sz w:val="20"/>
              </w:rPr>
            </w:pPr>
            <w:r>
              <w:rPr>
                <w:color w:val="000000"/>
                <w:sz w:val="20"/>
              </w:rPr>
              <w:t>40,258,600</w:t>
            </w:r>
          </w:p>
        </w:tc>
      </w:tr>
      <w:tr w:rsidR="00DD13BF" w:rsidRPr="008D7254" w14:paraId="731FB029" w14:textId="77777777" w:rsidTr="00355A56">
        <w:trPr>
          <w:trHeight w:val="315"/>
        </w:trPr>
        <w:tc>
          <w:tcPr>
            <w:tcW w:w="2125" w:type="dxa"/>
            <w:shd w:val="clear" w:color="auto" w:fill="auto"/>
            <w:vAlign w:val="center"/>
            <w:hideMark/>
          </w:tcPr>
          <w:p w14:paraId="6DFC9EC3"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0F637E87"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76F9B2DE"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644FE6D5"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685760B4" w14:textId="77777777" w:rsidR="00DD13BF" w:rsidRPr="008D7254" w:rsidRDefault="00DD13BF" w:rsidP="00355A56">
            <w:pPr>
              <w:widowControl/>
              <w:autoSpaceDE/>
              <w:autoSpaceDN/>
              <w:rPr>
                <w:color w:val="000000"/>
                <w:sz w:val="20"/>
              </w:rPr>
            </w:pPr>
            <w:r>
              <w:rPr>
                <w:color w:val="000000"/>
                <w:sz w:val="20"/>
              </w:rPr>
              <w:t>010</w:t>
            </w:r>
          </w:p>
        </w:tc>
        <w:tc>
          <w:tcPr>
            <w:tcW w:w="2907" w:type="dxa"/>
            <w:shd w:val="clear" w:color="auto" w:fill="auto"/>
            <w:vAlign w:val="center"/>
            <w:hideMark/>
          </w:tcPr>
          <w:p w14:paraId="7B25C5BC" w14:textId="77777777" w:rsidR="00DD13BF" w:rsidRPr="008D7254" w:rsidRDefault="00DD13BF" w:rsidP="00355A56">
            <w:pPr>
              <w:widowControl/>
              <w:autoSpaceDE/>
              <w:autoSpaceDN/>
              <w:rPr>
                <w:color w:val="000000"/>
                <w:sz w:val="20"/>
              </w:rPr>
            </w:pPr>
            <w:r>
              <w:rPr>
                <w:color w:val="000000"/>
                <w:sz w:val="20"/>
              </w:rPr>
              <w:t>9,210,000</w:t>
            </w:r>
          </w:p>
        </w:tc>
      </w:tr>
      <w:tr w:rsidR="00DD13BF" w:rsidRPr="008D7254" w14:paraId="6999FFA7" w14:textId="77777777" w:rsidTr="00355A56">
        <w:trPr>
          <w:trHeight w:val="315"/>
        </w:trPr>
        <w:tc>
          <w:tcPr>
            <w:tcW w:w="2125" w:type="dxa"/>
            <w:shd w:val="clear" w:color="auto" w:fill="auto"/>
            <w:vAlign w:val="center"/>
            <w:hideMark/>
          </w:tcPr>
          <w:p w14:paraId="21B60045"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5E3515C8"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359174C5"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28397E9D"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40BB06BB" w14:textId="77777777" w:rsidR="00DD13BF" w:rsidRPr="008D7254" w:rsidRDefault="00DD13BF" w:rsidP="00355A56">
            <w:pPr>
              <w:widowControl/>
              <w:autoSpaceDE/>
              <w:autoSpaceDN/>
              <w:rPr>
                <w:color w:val="000000"/>
                <w:sz w:val="20"/>
              </w:rPr>
            </w:pPr>
            <w:r>
              <w:rPr>
                <w:color w:val="000000"/>
                <w:sz w:val="20"/>
              </w:rPr>
              <w:t>011</w:t>
            </w:r>
          </w:p>
        </w:tc>
        <w:tc>
          <w:tcPr>
            <w:tcW w:w="2907" w:type="dxa"/>
            <w:shd w:val="clear" w:color="auto" w:fill="auto"/>
            <w:vAlign w:val="center"/>
            <w:hideMark/>
          </w:tcPr>
          <w:p w14:paraId="61FE0887" w14:textId="77777777" w:rsidR="00DD13BF" w:rsidRPr="008D7254" w:rsidRDefault="00DD13BF" w:rsidP="00355A56">
            <w:pPr>
              <w:widowControl/>
              <w:autoSpaceDE/>
              <w:autoSpaceDN/>
              <w:rPr>
                <w:color w:val="000000"/>
                <w:sz w:val="20"/>
              </w:rPr>
            </w:pPr>
            <w:r>
              <w:rPr>
                <w:color w:val="000000"/>
                <w:sz w:val="20"/>
              </w:rPr>
              <w:t>5,210,000</w:t>
            </w:r>
          </w:p>
        </w:tc>
      </w:tr>
      <w:tr w:rsidR="00DD13BF" w:rsidRPr="008D7254" w14:paraId="082BF862" w14:textId="77777777" w:rsidTr="00355A56">
        <w:trPr>
          <w:trHeight w:val="315"/>
        </w:trPr>
        <w:tc>
          <w:tcPr>
            <w:tcW w:w="2125" w:type="dxa"/>
            <w:shd w:val="clear" w:color="auto" w:fill="auto"/>
            <w:vAlign w:val="center"/>
            <w:hideMark/>
          </w:tcPr>
          <w:p w14:paraId="53F196FD"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763A4245"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340D5385"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7E49D1EE"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710795A3" w14:textId="77777777" w:rsidR="00DD13BF" w:rsidRPr="008D7254" w:rsidRDefault="00DD13BF" w:rsidP="00355A56">
            <w:pPr>
              <w:widowControl/>
              <w:autoSpaceDE/>
              <w:autoSpaceDN/>
              <w:rPr>
                <w:color w:val="000000"/>
                <w:sz w:val="20"/>
              </w:rPr>
            </w:pPr>
            <w:r>
              <w:rPr>
                <w:color w:val="000000"/>
                <w:sz w:val="20"/>
              </w:rPr>
              <w:t>020</w:t>
            </w:r>
          </w:p>
        </w:tc>
        <w:tc>
          <w:tcPr>
            <w:tcW w:w="2907" w:type="dxa"/>
            <w:shd w:val="clear" w:color="auto" w:fill="auto"/>
            <w:vAlign w:val="center"/>
            <w:hideMark/>
          </w:tcPr>
          <w:p w14:paraId="4B0489EC" w14:textId="77777777" w:rsidR="00DD13BF" w:rsidRPr="008D7254" w:rsidRDefault="00DD13BF" w:rsidP="00355A56">
            <w:pPr>
              <w:widowControl/>
              <w:autoSpaceDE/>
              <w:autoSpaceDN/>
              <w:rPr>
                <w:color w:val="000000"/>
                <w:sz w:val="20"/>
              </w:rPr>
            </w:pPr>
            <w:r>
              <w:rPr>
                <w:color w:val="000000"/>
                <w:sz w:val="20"/>
              </w:rPr>
              <w:t>29,320,000</w:t>
            </w:r>
          </w:p>
        </w:tc>
      </w:tr>
      <w:tr w:rsidR="00DD13BF" w:rsidRPr="008D7254" w14:paraId="018F6EC6" w14:textId="77777777" w:rsidTr="00355A56">
        <w:trPr>
          <w:trHeight w:val="315"/>
        </w:trPr>
        <w:tc>
          <w:tcPr>
            <w:tcW w:w="2125" w:type="dxa"/>
            <w:shd w:val="clear" w:color="auto" w:fill="auto"/>
            <w:vAlign w:val="center"/>
            <w:hideMark/>
          </w:tcPr>
          <w:p w14:paraId="19E46C52"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6B1C396A"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34D3771E"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2F8D8B0C"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641C1A55" w14:textId="77777777" w:rsidR="00DD13BF" w:rsidRPr="008D7254" w:rsidRDefault="00DD13BF" w:rsidP="00355A56">
            <w:pPr>
              <w:widowControl/>
              <w:autoSpaceDE/>
              <w:autoSpaceDN/>
              <w:rPr>
                <w:color w:val="000000"/>
                <w:sz w:val="20"/>
              </w:rPr>
            </w:pPr>
            <w:r>
              <w:rPr>
                <w:color w:val="000000"/>
                <w:sz w:val="20"/>
              </w:rPr>
              <w:t>021</w:t>
            </w:r>
          </w:p>
        </w:tc>
        <w:tc>
          <w:tcPr>
            <w:tcW w:w="2907" w:type="dxa"/>
            <w:shd w:val="clear" w:color="auto" w:fill="auto"/>
            <w:vAlign w:val="center"/>
            <w:hideMark/>
          </w:tcPr>
          <w:p w14:paraId="252B19F4" w14:textId="77777777" w:rsidR="00DD13BF" w:rsidRPr="008D7254" w:rsidRDefault="00DD13BF" w:rsidP="00355A56">
            <w:pPr>
              <w:widowControl/>
              <w:autoSpaceDE/>
              <w:autoSpaceDN/>
              <w:rPr>
                <w:color w:val="000000"/>
                <w:sz w:val="20"/>
              </w:rPr>
            </w:pPr>
            <w:r>
              <w:rPr>
                <w:color w:val="000000"/>
                <w:sz w:val="20"/>
              </w:rPr>
              <w:t>40,230,000</w:t>
            </w:r>
          </w:p>
        </w:tc>
      </w:tr>
      <w:tr w:rsidR="00DD13BF" w:rsidRPr="008D7254" w14:paraId="3F393E90" w14:textId="77777777" w:rsidTr="00355A56">
        <w:trPr>
          <w:trHeight w:val="315"/>
        </w:trPr>
        <w:tc>
          <w:tcPr>
            <w:tcW w:w="2125" w:type="dxa"/>
            <w:shd w:val="clear" w:color="auto" w:fill="auto"/>
            <w:vAlign w:val="center"/>
          </w:tcPr>
          <w:p w14:paraId="76996031"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tcPr>
          <w:p w14:paraId="750C35D4"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tcPr>
          <w:p w14:paraId="7079FF52"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tcPr>
          <w:p w14:paraId="1344EFFE" w14:textId="77777777" w:rsidR="00DD13BF" w:rsidRPr="00BD04A2" w:rsidRDefault="00DD13BF" w:rsidP="00355A56">
            <w:pPr>
              <w:widowControl/>
              <w:autoSpaceDE/>
              <w:autoSpaceDN/>
              <w:rPr>
                <w:color w:val="000000"/>
                <w:sz w:val="20"/>
              </w:rPr>
            </w:pPr>
            <w:r>
              <w:rPr>
                <w:color w:val="000000"/>
                <w:sz w:val="20"/>
              </w:rPr>
              <w:t>JSO8.1</w:t>
            </w:r>
          </w:p>
        </w:tc>
        <w:tc>
          <w:tcPr>
            <w:tcW w:w="959" w:type="dxa"/>
            <w:shd w:val="clear" w:color="auto" w:fill="auto"/>
            <w:vAlign w:val="center"/>
          </w:tcPr>
          <w:p w14:paraId="56B798D9" w14:textId="77777777" w:rsidR="00DD13BF" w:rsidRDefault="00DD13BF" w:rsidP="00355A56">
            <w:pPr>
              <w:widowControl/>
              <w:autoSpaceDE/>
              <w:autoSpaceDN/>
              <w:rPr>
                <w:color w:val="000000"/>
                <w:sz w:val="20"/>
              </w:rPr>
            </w:pPr>
            <w:r>
              <w:rPr>
                <w:color w:val="000000"/>
                <w:sz w:val="20"/>
              </w:rPr>
              <w:t>022</w:t>
            </w:r>
          </w:p>
        </w:tc>
        <w:tc>
          <w:tcPr>
            <w:tcW w:w="2907" w:type="dxa"/>
            <w:shd w:val="clear" w:color="auto" w:fill="auto"/>
            <w:vAlign w:val="center"/>
          </w:tcPr>
          <w:p w14:paraId="5C6F91CD" w14:textId="77777777" w:rsidR="00DD13BF" w:rsidRPr="004C7933" w:rsidRDefault="00DD13BF" w:rsidP="00355A56">
            <w:pPr>
              <w:widowControl/>
              <w:autoSpaceDE/>
              <w:autoSpaceDN/>
              <w:rPr>
                <w:color w:val="000000"/>
                <w:sz w:val="20"/>
              </w:rPr>
            </w:pPr>
            <w:r>
              <w:rPr>
                <w:color w:val="000000"/>
                <w:sz w:val="20"/>
              </w:rPr>
              <w:t>28,470,000</w:t>
            </w:r>
          </w:p>
        </w:tc>
      </w:tr>
      <w:tr w:rsidR="00DD13BF" w:rsidRPr="008D7254" w14:paraId="3D8F4DD0" w14:textId="77777777" w:rsidTr="00355A56">
        <w:trPr>
          <w:trHeight w:val="315"/>
        </w:trPr>
        <w:tc>
          <w:tcPr>
            <w:tcW w:w="2125" w:type="dxa"/>
            <w:shd w:val="clear" w:color="auto" w:fill="auto"/>
            <w:vAlign w:val="center"/>
            <w:hideMark/>
          </w:tcPr>
          <w:p w14:paraId="1221F308"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3B752FC8"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19B6D623"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1641C553"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743BB500" w14:textId="77777777" w:rsidR="00DD13BF" w:rsidRPr="008D7254" w:rsidRDefault="00DD13BF" w:rsidP="00355A56">
            <w:pPr>
              <w:widowControl/>
              <w:autoSpaceDE/>
              <w:autoSpaceDN/>
              <w:rPr>
                <w:color w:val="000000"/>
                <w:sz w:val="20"/>
              </w:rPr>
            </w:pPr>
            <w:r>
              <w:rPr>
                <w:color w:val="000000"/>
                <w:sz w:val="20"/>
              </w:rPr>
              <w:t>048</w:t>
            </w:r>
          </w:p>
        </w:tc>
        <w:tc>
          <w:tcPr>
            <w:tcW w:w="2907" w:type="dxa"/>
            <w:shd w:val="clear" w:color="auto" w:fill="auto"/>
            <w:vAlign w:val="center"/>
            <w:hideMark/>
          </w:tcPr>
          <w:p w14:paraId="319BB584" w14:textId="77777777" w:rsidR="00DD13BF" w:rsidRPr="008D7254" w:rsidRDefault="00DD13BF" w:rsidP="00355A56">
            <w:pPr>
              <w:widowControl/>
              <w:autoSpaceDE/>
              <w:autoSpaceDN/>
              <w:rPr>
                <w:color w:val="000000"/>
                <w:sz w:val="20"/>
              </w:rPr>
            </w:pPr>
            <w:r>
              <w:rPr>
                <w:color w:val="000000"/>
                <w:sz w:val="20"/>
              </w:rPr>
              <w:t>19,800,000</w:t>
            </w:r>
          </w:p>
        </w:tc>
      </w:tr>
      <w:tr w:rsidR="00DD13BF" w:rsidRPr="008D7254" w14:paraId="758ACA96" w14:textId="77777777" w:rsidTr="00355A56">
        <w:trPr>
          <w:trHeight w:val="315"/>
        </w:trPr>
        <w:tc>
          <w:tcPr>
            <w:tcW w:w="2125" w:type="dxa"/>
            <w:shd w:val="clear" w:color="auto" w:fill="auto"/>
            <w:vAlign w:val="center"/>
            <w:hideMark/>
          </w:tcPr>
          <w:p w14:paraId="3DA8FBA1"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16CA2BE1"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650208CA"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1A18141D"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28C85123" w14:textId="77777777" w:rsidR="00DD13BF" w:rsidRPr="008D7254" w:rsidRDefault="00DD13BF" w:rsidP="00355A56">
            <w:pPr>
              <w:widowControl/>
              <w:autoSpaceDE/>
              <w:autoSpaceDN/>
              <w:rPr>
                <w:color w:val="000000"/>
                <w:sz w:val="20"/>
              </w:rPr>
            </w:pPr>
            <w:r>
              <w:rPr>
                <w:color w:val="000000"/>
                <w:sz w:val="20"/>
              </w:rPr>
              <w:t>052</w:t>
            </w:r>
          </w:p>
        </w:tc>
        <w:tc>
          <w:tcPr>
            <w:tcW w:w="2907" w:type="dxa"/>
            <w:shd w:val="clear" w:color="auto" w:fill="auto"/>
            <w:vAlign w:val="center"/>
            <w:hideMark/>
          </w:tcPr>
          <w:p w14:paraId="27DD72D3" w14:textId="77777777" w:rsidR="00DD13BF" w:rsidRPr="008D7254" w:rsidRDefault="00DD13BF" w:rsidP="00355A56">
            <w:pPr>
              <w:widowControl/>
              <w:autoSpaceDE/>
              <w:autoSpaceDN/>
              <w:rPr>
                <w:color w:val="000000"/>
                <w:sz w:val="20"/>
              </w:rPr>
            </w:pPr>
            <w:r>
              <w:rPr>
                <w:color w:val="000000"/>
                <w:sz w:val="20"/>
              </w:rPr>
              <w:t>2,600,000</w:t>
            </w:r>
          </w:p>
        </w:tc>
      </w:tr>
      <w:tr w:rsidR="00DD13BF" w:rsidRPr="008D7254" w14:paraId="0717832F" w14:textId="77777777" w:rsidTr="00355A56">
        <w:trPr>
          <w:trHeight w:val="315"/>
        </w:trPr>
        <w:tc>
          <w:tcPr>
            <w:tcW w:w="2125" w:type="dxa"/>
            <w:shd w:val="clear" w:color="auto" w:fill="auto"/>
            <w:vAlign w:val="center"/>
            <w:hideMark/>
          </w:tcPr>
          <w:p w14:paraId="688AD6B3"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315B74C2"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1C9B0740"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0271F4C0"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68C71CB3" w14:textId="77777777" w:rsidR="00DD13BF" w:rsidRPr="008D7254" w:rsidRDefault="00DD13BF" w:rsidP="00355A56">
            <w:pPr>
              <w:widowControl/>
              <w:autoSpaceDE/>
              <w:autoSpaceDN/>
              <w:rPr>
                <w:color w:val="000000"/>
                <w:sz w:val="20"/>
              </w:rPr>
            </w:pPr>
            <w:r>
              <w:rPr>
                <w:color w:val="000000"/>
                <w:sz w:val="20"/>
              </w:rPr>
              <w:t>053</w:t>
            </w:r>
          </w:p>
        </w:tc>
        <w:tc>
          <w:tcPr>
            <w:tcW w:w="2907" w:type="dxa"/>
            <w:shd w:val="clear" w:color="auto" w:fill="auto"/>
            <w:vAlign w:val="center"/>
            <w:hideMark/>
          </w:tcPr>
          <w:p w14:paraId="39A4ECA7" w14:textId="77777777" w:rsidR="00DD13BF" w:rsidRPr="008D7254" w:rsidRDefault="00DD13BF" w:rsidP="00355A56">
            <w:pPr>
              <w:widowControl/>
              <w:autoSpaceDE/>
              <w:autoSpaceDN/>
              <w:rPr>
                <w:color w:val="000000"/>
                <w:sz w:val="20"/>
              </w:rPr>
            </w:pPr>
            <w:r>
              <w:rPr>
                <w:color w:val="000000"/>
                <w:sz w:val="20"/>
              </w:rPr>
              <w:t>5,200,000</w:t>
            </w:r>
          </w:p>
        </w:tc>
      </w:tr>
      <w:tr w:rsidR="00DD13BF" w:rsidRPr="008D7254" w14:paraId="3079D210" w14:textId="77777777" w:rsidTr="00355A56">
        <w:trPr>
          <w:trHeight w:val="315"/>
        </w:trPr>
        <w:tc>
          <w:tcPr>
            <w:tcW w:w="2125" w:type="dxa"/>
            <w:shd w:val="clear" w:color="auto" w:fill="auto"/>
            <w:vAlign w:val="center"/>
            <w:hideMark/>
          </w:tcPr>
          <w:p w14:paraId="2C10649D"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0BF099E7"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284CF59B"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2B77081D"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107EFAFC" w14:textId="77777777" w:rsidR="00DD13BF" w:rsidRPr="008D7254" w:rsidRDefault="00DD13BF" w:rsidP="00355A56">
            <w:pPr>
              <w:widowControl/>
              <w:autoSpaceDE/>
              <w:autoSpaceDN/>
              <w:rPr>
                <w:color w:val="000000"/>
                <w:sz w:val="20"/>
              </w:rPr>
            </w:pPr>
            <w:r>
              <w:rPr>
                <w:color w:val="000000"/>
                <w:sz w:val="20"/>
              </w:rPr>
              <w:t>054</w:t>
            </w:r>
          </w:p>
        </w:tc>
        <w:tc>
          <w:tcPr>
            <w:tcW w:w="2907" w:type="dxa"/>
            <w:shd w:val="clear" w:color="auto" w:fill="auto"/>
            <w:vAlign w:val="center"/>
            <w:hideMark/>
          </w:tcPr>
          <w:p w14:paraId="726F3CBB" w14:textId="77777777" w:rsidR="00DD13BF" w:rsidRPr="008D7254" w:rsidRDefault="00DD13BF" w:rsidP="00355A56">
            <w:pPr>
              <w:widowControl/>
              <w:autoSpaceDE/>
              <w:autoSpaceDN/>
              <w:rPr>
                <w:color w:val="000000"/>
                <w:sz w:val="20"/>
              </w:rPr>
            </w:pPr>
            <w:r>
              <w:rPr>
                <w:color w:val="000000"/>
                <w:sz w:val="20"/>
              </w:rPr>
              <w:t>9,200,000</w:t>
            </w:r>
          </w:p>
        </w:tc>
      </w:tr>
      <w:tr w:rsidR="00DD13BF" w:rsidRPr="008D7254" w14:paraId="43610AAA" w14:textId="77777777" w:rsidTr="00355A56">
        <w:trPr>
          <w:trHeight w:val="315"/>
        </w:trPr>
        <w:tc>
          <w:tcPr>
            <w:tcW w:w="2125" w:type="dxa"/>
            <w:shd w:val="clear" w:color="auto" w:fill="auto"/>
            <w:vAlign w:val="center"/>
            <w:hideMark/>
          </w:tcPr>
          <w:p w14:paraId="4C7C7AAA"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5E7AB734"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24D331DD"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552CBB4F"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301A9F3D" w14:textId="77777777" w:rsidR="00DD13BF" w:rsidRPr="008D7254" w:rsidRDefault="00DD13BF" w:rsidP="00355A56">
            <w:pPr>
              <w:widowControl/>
              <w:autoSpaceDE/>
              <w:autoSpaceDN/>
              <w:rPr>
                <w:color w:val="000000"/>
                <w:sz w:val="20"/>
              </w:rPr>
            </w:pPr>
            <w:r>
              <w:rPr>
                <w:color w:val="000000"/>
                <w:sz w:val="20"/>
              </w:rPr>
              <w:t>055</w:t>
            </w:r>
          </w:p>
        </w:tc>
        <w:tc>
          <w:tcPr>
            <w:tcW w:w="2907" w:type="dxa"/>
            <w:shd w:val="clear" w:color="auto" w:fill="auto"/>
            <w:vAlign w:val="center"/>
            <w:hideMark/>
          </w:tcPr>
          <w:p w14:paraId="085BC353" w14:textId="77777777" w:rsidR="00DD13BF" w:rsidRPr="008D7254" w:rsidRDefault="00DD13BF" w:rsidP="00355A56">
            <w:pPr>
              <w:widowControl/>
              <w:autoSpaceDE/>
              <w:autoSpaceDN/>
              <w:rPr>
                <w:color w:val="000000"/>
                <w:sz w:val="20"/>
              </w:rPr>
            </w:pPr>
            <w:r>
              <w:rPr>
                <w:color w:val="000000"/>
                <w:sz w:val="20"/>
              </w:rPr>
              <w:t>9,250,000</w:t>
            </w:r>
          </w:p>
        </w:tc>
      </w:tr>
      <w:tr w:rsidR="00DD13BF" w:rsidRPr="008D7254" w14:paraId="2D7AB066" w14:textId="77777777" w:rsidTr="00355A56">
        <w:trPr>
          <w:trHeight w:val="390"/>
        </w:trPr>
        <w:tc>
          <w:tcPr>
            <w:tcW w:w="2125" w:type="dxa"/>
            <w:shd w:val="clear" w:color="auto" w:fill="auto"/>
            <w:vAlign w:val="center"/>
            <w:hideMark/>
          </w:tcPr>
          <w:p w14:paraId="7CE2E87B"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27FDB6E3"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4B5DF436"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6E6E9BF9"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24628FED" w14:textId="77777777" w:rsidR="00DD13BF" w:rsidRPr="008D7254" w:rsidRDefault="00DD13BF" w:rsidP="00355A56">
            <w:pPr>
              <w:widowControl/>
              <w:autoSpaceDE/>
              <w:autoSpaceDN/>
              <w:rPr>
                <w:bCs/>
                <w:color w:val="000000"/>
                <w:sz w:val="20"/>
              </w:rPr>
            </w:pPr>
            <w:r>
              <w:rPr>
                <w:color w:val="000000"/>
                <w:sz w:val="20"/>
              </w:rPr>
              <w:t>073</w:t>
            </w:r>
          </w:p>
        </w:tc>
        <w:tc>
          <w:tcPr>
            <w:tcW w:w="2907" w:type="dxa"/>
            <w:shd w:val="clear" w:color="auto" w:fill="auto"/>
            <w:vAlign w:val="center"/>
            <w:hideMark/>
          </w:tcPr>
          <w:p w14:paraId="7438434C" w14:textId="77777777" w:rsidR="00DD13BF" w:rsidRPr="008D7254" w:rsidRDefault="00DD13BF" w:rsidP="00355A56">
            <w:pPr>
              <w:widowControl/>
              <w:autoSpaceDE/>
              <w:autoSpaceDN/>
              <w:rPr>
                <w:color w:val="000000"/>
                <w:sz w:val="20"/>
              </w:rPr>
            </w:pPr>
            <w:r>
              <w:rPr>
                <w:color w:val="000000"/>
                <w:sz w:val="20"/>
              </w:rPr>
              <w:t>15,640,000</w:t>
            </w:r>
          </w:p>
        </w:tc>
      </w:tr>
      <w:tr w:rsidR="00DD13BF" w:rsidRPr="008D7254" w14:paraId="6B24CC28" w14:textId="77777777" w:rsidTr="00355A56">
        <w:trPr>
          <w:trHeight w:val="315"/>
        </w:trPr>
        <w:tc>
          <w:tcPr>
            <w:tcW w:w="2125" w:type="dxa"/>
            <w:shd w:val="clear" w:color="auto" w:fill="auto"/>
            <w:vAlign w:val="center"/>
            <w:hideMark/>
          </w:tcPr>
          <w:p w14:paraId="56CE0136"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38114B63"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0A85D57B"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4B5B9238"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13055393" w14:textId="77777777" w:rsidR="00DD13BF" w:rsidRPr="008D7254" w:rsidRDefault="00DD13BF" w:rsidP="00355A56">
            <w:pPr>
              <w:widowControl/>
              <w:autoSpaceDE/>
              <w:autoSpaceDN/>
              <w:rPr>
                <w:color w:val="000000"/>
                <w:sz w:val="20"/>
              </w:rPr>
            </w:pPr>
            <w:r>
              <w:rPr>
                <w:color w:val="000000"/>
                <w:sz w:val="20"/>
              </w:rPr>
              <w:t>074</w:t>
            </w:r>
          </w:p>
        </w:tc>
        <w:tc>
          <w:tcPr>
            <w:tcW w:w="2907" w:type="dxa"/>
            <w:shd w:val="clear" w:color="auto" w:fill="auto"/>
            <w:vAlign w:val="center"/>
            <w:hideMark/>
          </w:tcPr>
          <w:p w14:paraId="4E63F117" w14:textId="77777777" w:rsidR="00DD13BF" w:rsidRPr="008D7254" w:rsidRDefault="00DD13BF" w:rsidP="00355A56">
            <w:pPr>
              <w:widowControl/>
              <w:autoSpaceDE/>
              <w:autoSpaceDN/>
              <w:rPr>
                <w:color w:val="000000"/>
                <w:sz w:val="20"/>
              </w:rPr>
            </w:pPr>
            <w:r>
              <w:rPr>
                <w:color w:val="000000"/>
                <w:sz w:val="20"/>
              </w:rPr>
              <w:t>14,000,000</w:t>
            </w:r>
          </w:p>
        </w:tc>
      </w:tr>
      <w:tr w:rsidR="00DD13BF" w:rsidRPr="008D7254" w14:paraId="1FF5BB42" w14:textId="77777777" w:rsidTr="00355A56">
        <w:trPr>
          <w:trHeight w:val="315"/>
        </w:trPr>
        <w:tc>
          <w:tcPr>
            <w:tcW w:w="2125" w:type="dxa"/>
            <w:shd w:val="clear" w:color="auto" w:fill="auto"/>
            <w:vAlign w:val="center"/>
            <w:hideMark/>
          </w:tcPr>
          <w:p w14:paraId="7DB8FB56"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3C8F0628"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55EC065F"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5ABD3C2F"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28BAB077" w14:textId="77777777" w:rsidR="00DD13BF" w:rsidRPr="008D7254" w:rsidRDefault="00DD13BF" w:rsidP="00355A56">
            <w:pPr>
              <w:widowControl/>
              <w:autoSpaceDE/>
              <w:autoSpaceDN/>
              <w:rPr>
                <w:color w:val="000000"/>
                <w:sz w:val="20"/>
              </w:rPr>
            </w:pPr>
            <w:r>
              <w:rPr>
                <w:color w:val="000000"/>
                <w:sz w:val="20"/>
              </w:rPr>
              <w:t>086</w:t>
            </w:r>
          </w:p>
        </w:tc>
        <w:tc>
          <w:tcPr>
            <w:tcW w:w="2907" w:type="dxa"/>
            <w:shd w:val="clear" w:color="auto" w:fill="auto"/>
            <w:vAlign w:val="center"/>
            <w:hideMark/>
          </w:tcPr>
          <w:p w14:paraId="1D109375" w14:textId="77777777" w:rsidR="00DD13BF" w:rsidRPr="008D7254" w:rsidRDefault="00DD13BF" w:rsidP="00355A56">
            <w:pPr>
              <w:widowControl/>
              <w:autoSpaceDE/>
              <w:autoSpaceDN/>
              <w:rPr>
                <w:color w:val="000000"/>
                <w:sz w:val="20"/>
              </w:rPr>
            </w:pPr>
            <w:r>
              <w:rPr>
                <w:color w:val="000000"/>
                <w:sz w:val="20"/>
              </w:rPr>
              <w:t>10,400,000</w:t>
            </w:r>
          </w:p>
        </w:tc>
      </w:tr>
      <w:tr w:rsidR="00DD13BF" w:rsidRPr="008D7254" w14:paraId="76B8DC27" w14:textId="77777777" w:rsidTr="00355A56">
        <w:trPr>
          <w:trHeight w:val="315"/>
        </w:trPr>
        <w:tc>
          <w:tcPr>
            <w:tcW w:w="2125" w:type="dxa"/>
            <w:shd w:val="clear" w:color="auto" w:fill="auto"/>
            <w:vAlign w:val="center"/>
            <w:hideMark/>
          </w:tcPr>
          <w:p w14:paraId="311D9EF5"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5867D786"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22C40433"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54E1EE2B"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7A7AD90F" w14:textId="77777777" w:rsidR="00DD13BF" w:rsidRPr="008D7254" w:rsidRDefault="00DD13BF" w:rsidP="00355A56">
            <w:pPr>
              <w:widowControl/>
              <w:autoSpaceDE/>
              <w:autoSpaceDN/>
              <w:rPr>
                <w:color w:val="000000"/>
                <w:sz w:val="20"/>
              </w:rPr>
            </w:pPr>
            <w:r>
              <w:rPr>
                <w:color w:val="000000"/>
                <w:sz w:val="20"/>
              </w:rPr>
              <w:t>134</w:t>
            </w:r>
          </w:p>
        </w:tc>
        <w:tc>
          <w:tcPr>
            <w:tcW w:w="2907" w:type="dxa"/>
            <w:shd w:val="clear" w:color="auto" w:fill="auto"/>
            <w:vAlign w:val="center"/>
            <w:hideMark/>
          </w:tcPr>
          <w:p w14:paraId="55E614CD" w14:textId="77777777" w:rsidR="00DD13BF" w:rsidRPr="008D7254" w:rsidRDefault="00DD13BF" w:rsidP="00355A56">
            <w:pPr>
              <w:widowControl/>
              <w:autoSpaceDE/>
              <w:autoSpaceDN/>
              <w:rPr>
                <w:color w:val="000000"/>
                <w:sz w:val="20"/>
              </w:rPr>
            </w:pPr>
            <w:r>
              <w:rPr>
                <w:color w:val="000000"/>
                <w:sz w:val="20"/>
              </w:rPr>
              <w:t xml:space="preserve"> 3,030,000</w:t>
            </w:r>
          </w:p>
        </w:tc>
      </w:tr>
      <w:tr w:rsidR="00DD13BF" w:rsidRPr="008D7254" w14:paraId="66498BDC" w14:textId="77777777" w:rsidTr="00355A56">
        <w:trPr>
          <w:trHeight w:val="315"/>
        </w:trPr>
        <w:tc>
          <w:tcPr>
            <w:tcW w:w="2125" w:type="dxa"/>
            <w:shd w:val="clear" w:color="auto" w:fill="auto"/>
            <w:vAlign w:val="center"/>
            <w:hideMark/>
          </w:tcPr>
          <w:p w14:paraId="2CE2C2A6"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12522529"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74685AFA"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627714CA"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0D657FD9" w14:textId="77777777" w:rsidR="00DD13BF" w:rsidRPr="008D7254" w:rsidRDefault="00DD13BF" w:rsidP="00355A56">
            <w:pPr>
              <w:widowControl/>
              <w:autoSpaceDE/>
              <w:autoSpaceDN/>
              <w:rPr>
                <w:color w:val="000000"/>
                <w:sz w:val="20"/>
              </w:rPr>
            </w:pPr>
            <w:r>
              <w:rPr>
                <w:color w:val="000000"/>
                <w:sz w:val="20"/>
              </w:rPr>
              <w:t>145</w:t>
            </w:r>
          </w:p>
        </w:tc>
        <w:tc>
          <w:tcPr>
            <w:tcW w:w="2907" w:type="dxa"/>
            <w:shd w:val="clear" w:color="auto" w:fill="auto"/>
            <w:vAlign w:val="center"/>
            <w:hideMark/>
          </w:tcPr>
          <w:p w14:paraId="09E661FB" w14:textId="77777777" w:rsidR="00DD13BF" w:rsidRPr="008D7254" w:rsidRDefault="00DD13BF" w:rsidP="00355A56">
            <w:pPr>
              <w:widowControl/>
              <w:autoSpaceDE/>
              <w:autoSpaceDN/>
              <w:rPr>
                <w:color w:val="000000"/>
                <w:sz w:val="20"/>
              </w:rPr>
            </w:pPr>
            <w:r>
              <w:rPr>
                <w:color w:val="000000"/>
                <w:sz w:val="20"/>
              </w:rPr>
              <w:t xml:space="preserve"> 1,987,500</w:t>
            </w:r>
          </w:p>
        </w:tc>
      </w:tr>
      <w:tr w:rsidR="00DD13BF" w:rsidRPr="008D7254" w14:paraId="4CBD7CEE" w14:textId="77777777" w:rsidTr="00355A56">
        <w:trPr>
          <w:trHeight w:val="315"/>
        </w:trPr>
        <w:tc>
          <w:tcPr>
            <w:tcW w:w="2125" w:type="dxa"/>
            <w:shd w:val="clear" w:color="auto" w:fill="auto"/>
            <w:vAlign w:val="center"/>
            <w:hideMark/>
          </w:tcPr>
          <w:p w14:paraId="2E87612C" w14:textId="77777777" w:rsidR="00DD13BF" w:rsidRPr="008D7254" w:rsidRDefault="00DD13BF" w:rsidP="00355A56">
            <w:pPr>
              <w:widowControl/>
              <w:autoSpaceDE/>
              <w:autoSpaceDN/>
              <w:rPr>
                <w:color w:val="000000"/>
                <w:sz w:val="20"/>
              </w:rPr>
            </w:pPr>
            <w:r>
              <w:rPr>
                <w:color w:val="000000"/>
                <w:sz w:val="20"/>
              </w:rPr>
              <w:t>10</w:t>
            </w:r>
          </w:p>
        </w:tc>
        <w:tc>
          <w:tcPr>
            <w:tcW w:w="860" w:type="dxa"/>
            <w:shd w:val="clear" w:color="auto" w:fill="auto"/>
            <w:vAlign w:val="center"/>
            <w:hideMark/>
          </w:tcPr>
          <w:p w14:paraId="1AA79E31" w14:textId="77777777" w:rsidR="00DD13BF" w:rsidRPr="008D7254" w:rsidRDefault="00DD13BF" w:rsidP="00355A56">
            <w:pPr>
              <w:widowControl/>
              <w:autoSpaceDE/>
              <w:autoSpaceDN/>
              <w:rPr>
                <w:color w:val="000000"/>
                <w:sz w:val="20"/>
              </w:rPr>
            </w:pPr>
            <w:r>
              <w:rPr>
                <w:color w:val="000000"/>
                <w:sz w:val="20"/>
              </w:rPr>
              <w:t>JTF</w:t>
            </w:r>
          </w:p>
        </w:tc>
        <w:tc>
          <w:tcPr>
            <w:tcW w:w="2757" w:type="dxa"/>
            <w:shd w:val="clear" w:color="auto" w:fill="auto"/>
            <w:vAlign w:val="center"/>
            <w:hideMark/>
          </w:tcPr>
          <w:p w14:paraId="2B6C8309" w14:textId="77777777" w:rsidR="00DD13BF" w:rsidRPr="008D7254" w:rsidRDefault="00DD13BF" w:rsidP="00355A56">
            <w:pPr>
              <w:widowControl/>
              <w:autoSpaceDE/>
              <w:autoSpaceDN/>
              <w:rPr>
                <w:color w:val="000000"/>
                <w:sz w:val="20"/>
              </w:rPr>
            </w:pPr>
            <w:r>
              <w:rPr>
                <w:color w:val="000000"/>
                <w:sz w:val="20"/>
              </w:rPr>
              <w:t>Entire Slovenia</w:t>
            </w:r>
          </w:p>
        </w:tc>
        <w:tc>
          <w:tcPr>
            <w:tcW w:w="2358" w:type="dxa"/>
            <w:shd w:val="clear" w:color="auto" w:fill="auto"/>
            <w:hideMark/>
          </w:tcPr>
          <w:p w14:paraId="7CEBC3D0" w14:textId="77777777" w:rsidR="00DD13BF" w:rsidRPr="008D7254" w:rsidRDefault="00DD13BF" w:rsidP="00355A56">
            <w:pPr>
              <w:widowControl/>
              <w:autoSpaceDE/>
              <w:autoSpaceDN/>
              <w:rPr>
                <w:color w:val="000000"/>
                <w:sz w:val="20"/>
              </w:rPr>
            </w:pPr>
            <w:r>
              <w:rPr>
                <w:color w:val="000000"/>
                <w:sz w:val="20"/>
              </w:rPr>
              <w:t>JSO8.1</w:t>
            </w:r>
          </w:p>
        </w:tc>
        <w:tc>
          <w:tcPr>
            <w:tcW w:w="959" w:type="dxa"/>
            <w:shd w:val="clear" w:color="auto" w:fill="auto"/>
            <w:vAlign w:val="center"/>
            <w:hideMark/>
          </w:tcPr>
          <w:p w14:paraId="7BC3F0B4" w14:textId="77777777" w:rsidR="00DD13BF" w:rsidRPr="008D7254" w:rsidRDefault="00DD13BF" w:rsidP="00355A56">
            <w:pPr>
              <w:widowControl/>
              <w:autoSpaceDE/>
              <w:autoSpaceDN/>
              <w:rPr>
                <w:color w:val="000000"/>
                <w:sz w:val="20"/>
              </w:rPr>
            </w:pPr>
            <w:r>
              <w:rPr>
                <w:color w:val="000000"/>
                <w:sz w:val="20"/>
              </w:rPr>
              <w:t>149</w:t>
            </w:r>
          </w:p>
        </w:tc>
        <w:tc>
          <w:tcPr>
            <w:tcW w:w="2907" w:type="dxa"/>
            <w:shd w:val="clear" w:color="auto" w:fill="auto"/>
            <w:vAlign w:val="center"/>
            <w:hideMark/>
          </w:tcPr>
          <w:p w14:paraId="26F62A32" w14:textId="77777777" w:rsidR="00DD13BF" w:rsidRPr="008D7254" w:rsidRDefault="00DD13BF" w:rsidP="00355A56">
            <w:pPr>
              <w:widowControl/>
              <w:autoSpaceDE/>
              <w:autoSpaceDN/>
              <w:rPr>
                <w:color w:val="000000"/>
                <w:sz w:val="20"/>
              </w:rPr>
            </w:pPr>
            <w:r>
              <w:rPr>
                <w:color w:val="000000"/>
                <w:sz w:val="20"/>
              </w:rPr>
              <w:t xml:space="preserve"> 4,967,500</w:t>
            </w:r>
          </w:p>
        </w:tc>
      </w:tr>
    </w:tbl>
    <w:p w14:paraId="1C6E9C37" w14:textId="77777777" w:rsidR="00DD13BF" w:rsidRDefault="00DD13BF" w:rsidP="00DD13BF"/>
    <w:p w14:paraId="5A6BB715" w14:textId="77777777" w:rsidR="00DD13BF" w:rsidRDefault="00DD13BF" w:rsidP="00DD13BF">
      <w:pPr>
        <w:ind w:left="339"/>
        <w:rPr>
          <w:spacing w:val="-7"/>
        </w:rPr>
      </w:pPr>
    </w:p>
    <w:p w14:paraId="715B76F2" w14:textId="77777777" w:rsidR="00DD13BF" w:rsidRDefault="00DD13BF" w:rsidP="00DD13BF">
      <w:pPr>
        <w:ind w:left="339"/>
        <w:rPr>
          <w:spacing w:val="-7"/>
        </w:rPr>
      </w:pPr>
    </w:p>
    <w:p w14:paraId="5CEF0558" w14:textId="77777777" w:rsidR="00DD13BF" w:rsidRPr="00673ADB" w:rsidRDefault="00DD13BF" w:rsidP="00DD13BF">
      <w:pPr>
        <w:ind w:left="339"/>
        <w:rPr>
          <w:spacing w:val="-7"/>
        </w:rPr>
      </w:pPr>
      <w:r>
        <w:lastRenderedPageBreak/>
        <w:t>Table 5: Dimension 2 – form of financing</w:t>
      </w:r>
    </w:p>
    <w:p w14:paraId="58ACDC4E"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3"/>
        <w:gridCol w:w="3249"/>
        <w:gridCol w:w="3099"/>
        <w:gridCol w:w="1161"/>
        <w:gridCol w:w="2731"/>
      </w:tblGrid>
      <w:tr w:rsidR="00DD13BF" w14:paraId="5B91154F" w14:textId="77777777" w:rsidTr="00355A56">
        <w:trPr>
          <w:trHeight w:val="353"/>
        </w:trPr>
        <w:tc>
          <w:tcPr>
            <w:tcW w:w="2088" w:type="dxa"/>
          </w:tcPr>
          <w:p w14:paraId="7A8C8648" w14:textId="77777777" w:rsidR="00DD13BF" w:rsidRDefault="00DD13BF" w:rsidP="00355A56">
            <w:pPr>
              <w:pStyle w:val="TableParagraph"/>
              <w:ind w:left="115"/>
            </w:pPr>
            <w:r>
              <w:t>Priority no.</w:t>
            </w:r>
          </w:p>
        </w:tc>
        <w:tc>
          <w:tcPr>
            <w:tcW w:w="1133" w:type="dxa"/>
          </w:tcPr>
          <w:p w14:paraId="7C087236" w14:textId="77777777" w:rsidR="00DD13BF" w:rsidRDefault="00DD13BF" w:rsidP="00355A56">
            <w:pPr>
              <w:pStyle w:val="TableParagraph"/>
              <w:ind w:left="320"/>
            </w:pPr>
            <w:r>
              <w:t>Fund</w:t>
            </w:r>
          </w:p>
        </w:tc>
        <w:tc>
          <w:tcPr>
            <w:tcW w:w="3249" w:type="dxa"/>
          </w:tcPr>
          <w:p w14:paraId="6B127DC5" w14:textId="77777777" w:rsidR="00DD13BF" w:rsidRDefault="00DD13BF" w:rsidP="00355A56">
            <w:pPr>
              <w:pStyle w:val="TableParagraph"/>
              <w:ind w:left="907"/>
            </w:pPr>
            <w:r>
              <w:t>Category of region</w:t>
            </w:r>
          </w:p>
        </w:tc>
        <w:tc>
          <w:tcPr>
            <w:tcW w:w="3099" w:type="dxa"/>
          </w:tcPr>
          <w:p w14:paraId="3F6FEE05" w14:textId="77777777" w:rsidR="00DD13BF" w:rsidRDefault="00DD13BF" w:rsidP="00355A56">
            <w:pPr>
              <w:pStyle w:val="TableParagraph"/>
              <w:ind w:left="948"/>
            </w:pPr>
            <w:r>
              <w:t>Specific objective</w:t>
            </w:r>
          </w:p>
        </w:tc>
        <w:tc>
          <w:tcPr>
            <w:tcW w:w="1161" w:type="dxa"/>
          </w:tcPr>
          <w:p w14:paraId="440B0E9B" w14:textId="77777777" w:rsidR="00DD13BF" w:rsidRDefault="00DD13BF" w:rsidP="00355A56">
            <w:pPr>
              <w:pStyle w:val="TableParagraph"/>
              <w:ind w:left="334"/>
            </w:pPr>
            <w:r>
              <w:t>Code</w:t>
            </w:r>
          </w:p>
        </w:tc>
        <w:tc>
          <w:tcPr>
            <w:tcW w:w="2731" w:type="dxa"/>
          </w:tcPr>
          <w:p w14:paraId="773C3383" w14:textId="77777777" w:rsidR="00DD13BF" w:rsidRDefault="00DD13BF" w:rsidP="00355A56">
            <w:pPr>
              <w:pStyle w:val="TableParagraph"/>
              <w:ind w:left="661"/>
            </w:pPr>
            <w:r>
              <w:t>Amount (in EUR)</w:t>
            </w:r>
          </w:p>
        </w:tc>
      </w:tr>
      <w:tr w:rsidR="00DD13BF" w:rsidRPr="00881AE0" w14:paraId="50184B35" w14:textId="77777777" w:rsidTr="00355A56">
        <w:trPr>
          <w:trHeight w:val="353"/>
        </w:trPr>
        <w:tc>
          <w:tcPr>
            <w:tcW w:w="2088" w:type="dxa"/>
          </w:tcPr>
          <w:p w14:paraId="67EB671E" w14:textId="77777777" w:rsidR="00DD13BF" w:rsidRPr="00881AE0" w:rsidRDefault="00DD13BF" w:rsidP="00355A56">
            <w:pPr>
              <w:pStyle w:val="TableParagraph"/>
              <w:rPr>
                <w:sz w:val="20"/>
              </w:rPr>
            </w:pPr>
            <w:r>
              <w:rPr>
                <w:sz w:val="20"/>
              </w:rPr>
              <w:t>10</w:t>
            </w:r>
          </w:p>
        </w:tc>
        <w:tc>
          <w:tcPr>
            <w:tcW w:w="1133" w:type="dxa"/>
          </w:tcPr>
          <w:p w14:paraId="4CDFC78F" w14:textId="77777777" w:rsidR="00DD13BF" w:rsidRPr="00881AE0" w:rsidRDefault="00DD13BF" w:rsidP="00355A56">
            <w:pPr>
              <w:pStyle w:val="TableParagraph"/>
              <w:rPr>
                <w:sz w:val="20"/>
              </w:rPr>
            </w:pPr>
            <w:r>
              <w:rPr>
                <w:sz w:val="20"/>
              </w:rPr>
              <w:t>JTF</w:t>
            </w:r>
          </w:p>
        </w:tc>
        <w:tc>
          <w:tcPr>
            <w:tcW w:w="3249" w:type="dxa"/>
          </w:tcPr>
          <w:p w14:paraId="3FF794BD" w14:textId="77777777" w:rsidR="00DD13BF" w:rsidRPr="00881AE0" w:rsidRDefault="00DD13BF" w:rsidP="00355A56">
            <w:pPr>
              <w:pStyle w:val="TableParagraph"/>
              <w:rPr>
                <w:sz w:val="20"/>
              </w:rPr>
            </w:pPr>
            <w:r>
              <w:rPr>
                <w:sz w:val="20"/>
              </w:rPr>
              <w:t>Entire Slovenia.</w:t>
            </w:r>
          </w:p>
        </w:tc>
        <w:tc>
          <w:tcPr>
            <w:tcW w:w="3099" w:type="dxa"/>
          </w:tcPr>
          <w:p w14:paraId="1811DDB2" w14:textId="77777777" w:rsidR="00DD13BF" w:rsidRPr="00881AE0" w:rsidRDefault="00DD13BF" w:rsidP="00355A56">
            <w:pPr>
              <w:pStyle w:val="TableParagraph"/>
              <w:rPr>
                <w:sz w:val="20"/>
              </w:rPr>
            </w:pPr>
            <w:r>
              <w:rPr>
                <w:color w:val="000000"/>
                <w:sz w:val="20"/>
              </w:rPr>
              <w:t>JSO8.1</w:t>
            </w:r>
          </w:p>
        </w:tc>
        <w:tc>
          <w:tcPr>
            <w:tcW w:w="1161" w:type="dxa"/>
          </w:tcPr>
          <w:p w14:paraId="0072B0A3" w14:textId="77777777" w:rsidR="00DD13BF" w:rsidRPr="00881AE0" w:rsidRDefault="00DD13BF" w:rsidP="00355A56">
            <w:pPr>
              <w:pStyle w:val="TableParagraph"/>
              <w:rPr>
                <w:sz w:val="20"/>
              </w:rPr>
            </w:pPr>
            <w:r>
              <w:rPr>
                <w:sz w:val="20"/>
              </w:rPr>
              <w:t>01</w:t>
            </w:r>
          </w:p>
        </w:tc>
        <w:tc>
          <w:tcPr>
            <w:tcW w:w="2731" w:type="dxa"/>
          </w:tcPr>
          <w:p w14:paraId="4AEF0ED1" w14:textId="77777777" w:rsidR="00DD13BF" w:rsidRPr="00881AE0" w:rsidRDefault="00DD13BF" w:rsidP="00355A56">
            <w:pPr>
              <w:pStyle w:val="TableParagraph"/>
              <w:rPr>
                <w:sz w:val="20"/>
              </w:rPr>
            </w:pPr>
            <w:r>
              <w:rPr>
                <w:color w:val="000000"/>
                <w:sz w:val="20"/>
              </w:rPr>
              <w:t>248,773,600</w:t>
            </w:r>
          </w:p>
        </w:tc>
      </w:tr>
    </w:tbl>
    <w:p w14:paraId="4F0A090B" w14:textId="77777777" w:rsidR="00DD13BF" w:rsidRDefault="00DD13BF" w:rsidP="00DD13BF">
      <w:pPr>
        <w:rPr>
          <w:sz w:val="20"/>
        </w:rPr>
        <w:sectPr w:rsidR="00DD13BF" w:rsidSect="00BD3536">
          <w:headerReference w:type="default" r:id="rId97"/>
          <w:footerReference w:type="first" r:id="rId98"/>
          <w:type w:val="continuous"/>
          <w:pgSz w:w="16840" w:h="11910" w:orient="landscape"/>
          <w:pgMar w:top="1417" w:right="1417" w:bottom="1417" w:left="1417" w:header="708" w:footer="708" w:gutter="0"/>
          <w:cols w:space="708"/>
          <w:titlePg/>
          <w:docGrid w:linePitch="299"/>
        </w:sectPr>
      </w:pPr>
    </w:p>
    <w:p w14:paraId="4F09CE33" w14:textId="77777777" w:rsidR="00DD13BF" w:rsidRDefault="00DD13BF" w:rsidP="00DD13BF">
      <w:pPr>
        <w:ind w:left="339"/>
        <w:rPr>
          <w:spacing w:val="-7"/>
        </w:rPr>
      </w:pPr>
    </w:p>
    <w:p w14:paraId="46386740" w14:textId="77777777" w:rsidR="00DD13BF" w:rsidRDefault="00DD13BF" w:rsidP="00DD13BF">
      <w:pPr>
        <w:ind w:left="339"/>
      </w:pPr>
      <w:r>
        <w:t>Table 6: Dimension 3 – territorial delivery mechanism and territorial focus</w:t>
      </w:r>
    </w:p>
    <w:p w14:paraId="7CDDCB3A" w14:textId="77777777" w:rsidR="00DD13BF" w:rsidRDefault="00DD13BF" w:rsidP="00DD13BF"/>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192D9B81" w14:textId="77777777" w:rsidTr="00355A56">
        <w:trPr>
          <w:trHeight w:val="353"/>
        </w:trPr>
        <w:tc>
          <w:tcPr>
            <w:tcW w:w="2088" w:type="dxa"/>
          </w:tcPr>
          <w:p w14:paraId="63CA6D20" w14:textId="77777777" w:rsidR="00DD13BF" w:rsidRDefault="00DD13BF" w:rsidP="00355A56">
            <w:pPr>
              <w:pStyle w:val="TableParagraph"/>
              <w:ind w:left="115"/>
            </w:pPr>
            <w:r>
              <w:t>Priority no.</w:t>
            </w:r>
          </w:p>
        </w:tc>
        <w:tc>
          <w:tcPr>
            <w:tcW w:w="1132" w:type="dxa"/>
          </w:tcPr>
          <w:p w14:paraId="67C9449B" w14:textId="77777777" w:rsidR="00DD13BF" w:rsidRDefault="00DD13BF" w:rsidP="00355A56">
            <w:pPr>
              <w:pStyle w:val="TableParagraph"/>
              <w:ind w:left="320"/>
            </w:pPr>
            <w:r>
              <w:t>Fund</w:t>
            </w:r>
          </w:p>
        </w:tc>
        <w:tc>
          <w:tcPr>
            <w:tcW w:w="3248" w:type="dxa"/>
          </w:tcPr>
          <w:p w14:paraId="2F59E24D" w14:textId="77777777" w:rsidR="00DD13BF" w:rsidRDefault="00DD13BF" w:rsidP="00355A56">
            <w:pPr>
              <w:pStyle w:val="TableParagraph"/>
              <w:ind w:left="908"/>
            </w:pPr>
            <w:r>
              <w:t>Category of region</w:t>
            </w:r>
          </w:p>
        </w:tc>
        <w:tc>
          <w:tcPr>
            <w:tcW w:w="3098" w:type="dxa"/>
          </w:tcPr>
          <w:p w14:paraId="264B5E58" w14:textId="77777777" w:rsidR="00DD13BF" w:rsidRDefault="00DD13BF" w:rsidP="00355A56">
            <w:pPr>
              <w:pStyle w:val="TableParagraph"/>
              <w:ind w:left="950"/>
            </w:pPr>
            <w:r>
              <w:t>Specific objective</w:t>
            </w:r>
          </w:p>
        </w:tc>
        <w:tc>
          <w:tcPr>
            <w:tcW w:w="1160" w:type="dxa"/>
          </w:tcPr>
          <w:p w14:paraId="346F1C8D" w14:textId="77777777" w:rsidR="00DD13BF" w:rsidRDefault="00DD13BF" w:rsidP="00355A56">
            <w:pPr>
              <w:pStyle w:val="TableParagraph"/>
              <w:ind w:left="336"/>
            </w:pPr>
            <w:r>
              <w:t>Code</w:t>
            </w:r>
          </w:p>
        </w:tc>
        <w:tc>
          <w:tcPr>
            <w:tcW w:w="2730" w:type="dxa"/>
          </w:tcPr>
          <w:p w14:paraId="25A72B1C" w14:textId="77777777" w:rsidR="00DD13BF" w:rsidRDefault="00DD13BF" w:rsidP="00355A56">
            <w:pPr>
              <w:pStyle w:val="TableParagraph"/>
              <w:ind w:left="664"/>
            </w:pPr>
            <w:r>
              <w:t>Amount (in EUR)</w:t>
            </w:r>
          </w:p>
        </w:tc>
      </w:tr>
      <w:tr w:rsidR="00DD13BF" w14:paraId="4D484E92" w14:textId="77777777" w:rsidTr="00355A56">
        <w:trPr>
          <w:trHeight w:val="353"/>
        </w:trPr>
        <w:tc>
          <w:tcPr>
            <w:tcW w:w="2088" w:type="dxa"/>
          </w:tcPr>
          <w:p w14:paraId="05B35E89" w14:textId="77777777" w:rsidR="00DD13BF" w:rsidRPr="00A70F1B" w:rsidRDefault="00DD13BF" w:rsidP="00355A56">
            <w:pPr>
              <w:pStyle w:val="TableParagraph"/>
              <w:rPr>
                <w:sz w:val="20"/>
              </w:rPr>
            </w:pPr>
            <w:r>
              <w:rPr>
                <w:sz w:val="20"/>
              </w:rPr>
              <w:t>10</w:t>
            </w:r>
          </w:p>
        </w:tc>
        <w:tc>
          <w:tcPr>
            <w:tcW w:w="1132" w:type="dxa"/>
          </w:tcPr>
          <w:p w14:paraId="4D3E69DD" w14:textId="77777777" w:rsidR="00DD13BF" w:rsidRPr="00A70F1B" w:rsidRDefault="00DD13BF" w:rsidP="00355A56">
            <w:pPr>
              <w:pStyle w:val="TableParagraph"/>
              <w:rPr>
                <w:sz w:val="20"/>
              </w:rPr>
            </w:pPr>
            <w:r>
              <w:rPr>
                <w:sz w:val="20"/>
              </w:rPr>
              <w:t>JTF</w:t>
            </w:r>
          </w:p>
        </w:tc>
        <w:tc>
          <w:tcPr>
            <w:tcW w:w="3248" w:type="dxa"/>
          </w:tcPr>
          <w:p w14:paraId="6E7010AF" w14:textId="77777777" w:rsidR="00DD13BF" w:rsidRDefault="00DD13BF" w:rsidP="00355A56">
            <w:pPr>
              <w:pStyle w:val="TableParagraph"/>
              <w:rPr>
                <w:sz w:val="20"/>
              </w:rPr>
            </w:pPr>
            <w:r>
              <w:rPr>
                <w:color w:val="000000"/>
                <w:sz w:val="20"/>
              </w:rPr>
              <w:t>Entire Slovenia.</w:t>
            </w:r>
          </w:p>
        </w:tc>
        <w:tc>
          <w:tcPr>
            <w:tcW w:w="3098" w:type="dxa"/>
          </w:tcPr>
          <w:p w14:paraId="5C3CFBC3" w14:textId="77777777" w:rsidR="00DD13BF" w:rsidRDefault="00DD13BF" w:rsidP="00355A56">
            <w:pPr>
              <w:pStyle w:val="TableParagraph"/>
              <w:rPr>
                <w:sz w:val="20"/>
              </w:rPr>
            </w:pPr>
            <w:r>
              <w:rPr>
                <w:color w:val="000000"/>
                <w:sz w:val="20"/>
              </w:rPr>
              <w:t>JSO8.1</w:t>
            </w:r>
          </w:p>
        </w:tc>
        <w:tc>
          <w:tcPr>
            <w:tcW w:w="1160" w:type="dxa"/>
          </w:tcPr>
          <w:p w14:paraId="2A936126" w14:textId="77777777" w:rsidR="00DD13BF" w:rsidRDefault="00DD13BF" w:rsidP="00355A56">
            <w:pPr>
              <w:pStyle w:val="TableParagraph"/>
              <w:rPr>
                <w:sz w:val="20"/>
              </w:rPr>
            </w:pPr>
            <w:r>
              <w:rPr>
                <w:sz w:val="20"/>
              </w:rPr>
              <w:t>33</w:t>
            </w:r>
          </w:p>
        </w:tc>
        <w:tc>
          <w:tcPr>
            <w:tcW w:w="2730" w:type="dxa"/>
          </w:tcPr>
          <w:p w14:paraId="7302CB90" w14:textId="77777777" w:rsidR="00DD13BF" w:rsidRDefault="00DD13BF" w:rsidP="00355A56">
            <w:pPr>
              <w:pStyle w:val="TableParagraph"/>
              <w:rPr>
                <w:sz w:val="20"/>
              </w:rPr>
            </w:pPr>
            <w:r>
              <w:rPr>
                <w:color w:val="000000"/>
                <w:sz w:val="20"/>
              </w:rPr>
              <w:t>248,773,600</w:t>
            </w:r>
          </w:p>
        </w:tc>
      </w:tr>
    </w:tbl>
    <w:p w14:paraId="69FB093C" w14:textId="77777777" w:rsidR="00DD13BF" w:rsidRDefault="00DD13BF" w:rsidP="00DD13BF"/>
    <w:p w14:paraId="5E9E269A" w14:textId="77777777" w:rsidR="00DD13BF" w:rsidRDefault="00DD13BF" w:rsidP="00DD13BF">
      <w:pPr>
        <w:ind w:left="339"/>
      </w:pPr>
      <w:r>
        <w:t>Table 7: Dimension 6 – ESF+ secondary themes</w:t>
      </w:r>
    </w:p>
    <w:p w14:paraId="743BB9AF" w14:textId="77777777" w:rsidR="00DD13BF" w:rsidRDefault="00DD13BF" w:rsidP="00DD13BF"/>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425F37DC" w14:textId="77777777" w:rsidTr="00355A56">
        <w:trPr>
          <w:trHeight w:val="353"/>
        </w:trPr>
        <w:tc>
          <w:tcPr>
            <w:tcW w:w="2088" w:type="dxa"/>
          </w:tcPr>
          <w:p w14:paraId="324F6350" w14:textId="77777777" w:rsidR="00DD13BF" w:rsidRDefault="00DD13BF" w:rsidP="00355A56">
            <w:pPr>
              <w:pStyle w:val="TableParagraph"/>
              <w:ind w:left="115"/>
            </w:pPr>
            <w:r>
              <w:t>Priority no.</w:t>
            </w:r>
          </w:p>
        </w:tc>
        <w:tc>
          <w:tcPr>
            <w:tcW w:w="1132" w:type="dxa"/>
          </w:tcPr>
          <w:p w14:paraId="2AA1CDE7" w14:textId="77777777" w:rsidR="00DD13BF" w:rsidRDefault="00DD13BF" w:rsidP="00355A56">
            <w:pPr>
              <w:pStyle w:val="TableParagraph"/>
              <w:ind w:left="321"/>
            </w:pPr>
            <w:r>
              <w:t>Fund</w:t>
            </w:r>
          </w:p>
        </w:tc>
        <w:tc>
          <w:tcPr>
            <w:tcW w:w="3248" w:type="dxa"/>
          </w:tcPr>
          <w:p w14:paraId="1C64E898" w14:textId="77777777" w:rsidR="00DD13BF" w:rsidRDefault="00DD13BF" w:rsidP="00355A56">
            <w:pPr>
              <w:pStyle w:val="TableParagraph"/>
              <w:ind w:left="909"/>
            </w:pPr>
            <w:r>
              <w:t>Category of region</w:t>
            </w:r>
          </w:p>
        </w:tc>
        <w:tc>
          <w:tcPr>
            <w:tcW w:w="3098" w:type="dxa"/>
          </w:tcPr>
          <w:p w14:paraId="663BC23E" w14:textId="77777777" w:rsidR="00DD13BF" w:rsidRDefault="00DD13BF" w:rsidP="00355A56">
            <w:pPr>
              <w:pStyle w:val="TableParagraph"/>
              <w:ind w:left="950"/>
            </w:pPr>
            <w:r>
              <w:t>Specific objective</w:t>
            </w:r>
          </w:p>
        </w:tc>
        <w:tc>
          <w:tcPr>
            <w:tcW w:w="1160" w:type="dxa"/>
          </w:tcPr>
          <w:p w14:paraId="1D97B91D" w14:textId="77777777" w:rsidR="00DD13BF" w:rsidRDefault="00DD13BF" w:rsidP="00355A56">
            <w:pPr>
              <w:pStyle w:val="TableParagraph"/>
              <w:ind w:left="337"/>
            </w:pPr>
            <w:r>
              <w:t>Code</w:t>
            </w:r>
          </w:p>
        </w:tc>
        <w:tc>
          <w:tcPr>
            <w:tcW w:w="2730" w:type="dxa"/>
          </w:tcPr>
          <w:p w14:paraId="60A55949" w14:textId="77777777" w:rsidR="00DD13BF" w:rsidRDefault="00DD13BF" w:rsidP="00355A56">
            <w:pPr>
              <w:pStyle w:val="TableParagraph"/>
              <w:ind w:left="665"/>
            </w:pPr>
            <w:r>
              <w:t>Amount (in EUR)</w:t>
            </w:r>
          </w:p>
        </w:tc>
      </w:tr>
      <w:tr w:rsidR="00DD13BF" w14:paraId="717105CE" w14:textId="77777777" w:rsidTr="00355A56">
        <w:trPr>
          <w:trHeight w:val="353"/>
        </w:trPr>
        <w:tc>
          <w:tcPr>
            <w:tcW w:w="2088" w:type="dxa"/>
          </w:tcPr>
          <w:p w14:paraId="59EED3CE" w14:textId="77777777" w:rsidR="00DD13BF" w:rsidRDefault="00DD13BF" w:rsidP="00355A56">
            <w:pPr>
              <w:pStyle w:val="TableParagraph"/>
              <w:rPr>
                <w:sz w:val="20"/>
              </w:rPr>
            </w:pPr>
            <w:r>
              <w:rPr>
                <w:color w:val="000000"/>
                <w:sz w:val="20"/>
              </w:rPr>
              <w:t>10</w:t>
            </w:r>
          </w:p>
        </w:tc>
        <w:tc>
          <w:tcPr>
            <w:tcW w:w="1132" w:type="dxa"/>
          </w:tcPr>
          <w:p w14:paraId="3A405A5B" w14:textId="77777777" w:rsidR="00DD13BF" w:rsidRDefault="00DD13BF" w:rsidP="00355A56">
            <w:pPr>
              <w:pStyle w:val="TableParagraph"/>
              <w:rPr>
                <w:sz w:val="20"/>
              </w:rPr>
            </w:pPr>
            <w:r>
              <w:rPr>
                <w:color w:val="000000"/>
                <w:sz w:val="20"/>
              </w:rPr>
              <w:t>JTF</w:t>
            </w:r>
          </w:p>
        </w:tc>
        <w:tc>
          <w:tcPr>
            <w:tcW w:w="3248" w:type="dxa"/>
          </w:tcPr>
          <w:p w14:paraId="51D72AB3" w14:textId="77777777" w:rsidR="00DD13BF" w:rsidRDefault="00DD13BF" w:rsidP="00355A56">
            <w:pPr>
              <w:pStyle w:val="TableParagraph"/>
              <w:rPr>
                <w:sz w:val="20"/>
              </w:rPr>
            </w:pPr>
            <w:r>
              <w:rPr>
                <w:color w:val="000000"/>
                <w:sz w:val="20"/>
              </w:rPr>
              <w:t>Entire Slovenia.</w:t>
            </w:r>
          </w:p>
        </w:tc>
        <w:tc>
          <w:tcPr>
            <w:tcW w:w="3098" w:type="dxa"/>
          </w:tcPr>
          <w:p w14:paraId="468E0678" w14:textId="77777777" w:rsidR="00DD13BF" w:rsidRDefault="00DD13BF" w:rsidP="00355A56">
            <w:pPr>
              <w:pStyle w:val="TableParagraph"/>
              <w:rPr>
                <w:sz w:val="20"/>
              </w:rPr>
            </w:pPr>
            <w:r>
              <w:rPr>
                <w:color w:val="000000"/>
                <w:sz w:val="20"/>
              </w:rPr>
              <w:t>JSO8.1</w:t>
            </w:r>
          </w:p>
        </w:tc>
        <w:tc>
          <w:tcPr>
            <w:tcW w:w="1160" w:type="dxa"/>
          </w:tcPr>
          <w:p w14:paraId="519B0395" w14:textId="77777777" w:rsidR="00DD13BF" w:rsidRDefault="00DD13BF" w:rsidP="00355A56">
            <w:pPr>
              <w:pStyle w:val="TableParagraph"/>
              <w:rPr>
                <w:sz w:val="20"/>
              </w:rPr>
            </w:pPr>
            <w:r>
              <w:rPr>
                <w:sz w:val="20"/>
              </w:rPr>
              <w:t>01</w:t>
            </w:r>
          </w:p>
        </w:tc>
        <w:tc>
          <w:tcPr>
            <w:tcW w:w="2730" w:type="dxa"/>
          </w:tcPr>
          <w:p w14:paraId="42E54ABD" w14:textId="77777777" w:rsidR="00DD13BF" w:rsidRDefault="00DD13BF" w:rsidP="00355A56">
            <w:pPr>
              <w:pStyle w:val="TableParagraph"/>
              <w:rPr>
                <w:sz w:val="20"/>
              </w:rPr>
            </w:pPr>
            <w:r>
              <w:rPr>
                <w:sz w:val="20"/>
              </w:rPr>
              <w:t>170,000</w:t>
            </w:r>
          </w:p>
        </w:tc>
      </w:tr>
      <w:tr w:rsidR="00DD13BF" w14:paraId="596208B6" w14:textId="77777777" w:rsidTr="00355A56">
        <w:trPr>
          <w:trHeight w:val="353"/>
        </w:trPr>
        <w:tc>
          <w:tcPr>
            <w:tcW w:w="2088" w:type="dxa"/>
          </w:tcPr>
          <w:p w14:paraId="17F8A52D" w14:textId="77777777" w:rsidR="00DD13BF" w:rsidRPr="008D7254" w:rsidRDefault="00DD13BF" w:rsidP="00355A56">
            <w:pPr>
              <w:pStyle w:val="TableParagraph"/>
              <w:rPr>
                <w:color w:val="000000"/>
                <w:sz w:val="20"/>
              </w:rPr>
            </w:pPr>
            <w:r>
              <w:rPr>
                <w:color w:val="000000"/>
                <w:sz w:val="20"/>
              </w:rPr>
              <w:t>10</w:t>
            </w:r>
          </w:p>
        </w:tc>
        <w:tc>
          <w:tcPr>
            <w:tcW w:w="1132" w:type="dxa"/>
          </w:tcPr>
          <w:p w14:paraId="38E57435" w14:textId="77777777" w:rsidR="00DD13BF" w:rsidRPr="008D7254" w:rsidRDefault="00DD13BF" w:rsidP="00355A56">
            <w:pPr>
              <w:pStyle w:val="TableParagraph"/>
              <w:rPr>
                <w:color w:val="000000"/>
                <w:sz w:val="20"/>
              </w:rPr>
            </w:pPr>
            <w:r>
              <w:rPr>
                <w:color w:val="000000"/>
                <w:sz w:val="20"/>
              </w:rPr>
              <w:t>JTF</w:t>
            </w:r>
          </w:p>
        </w:tc>
        <w:tc>
          <w:tcPr>
            <w:tcW w:w="3248" w:type="dxa"/>
          </w:tcPr>
          <w:p w14:paraId="55A7EC52" w14:textId="77777777" w:rsidR="00DD13BF" w:rsidRPr="008D7254" w:rsidRDefault="00DD13BF" w:rsidP="00355A56">
            <w:pPr>
              <w:pStyle w:val="TableParagraph"/>
              <w:rPr>
                <w:color w:val="000000"/>
                <w:sz w:val="20"/>
              </w:rPr>
            </w:pPr>
            <w:r>
              <w:rPr>
                <w:color w:val="000000"/>
                <w:sz w:val="20"/>
              </w:rPr>
              <w:t>Entire Slovenia.</w:t>
            </w:r>
          </w:p>
        </w:tc>
        <w:tc>
          <w:tcPr>
            <w:tcW w:w="3098" w:type="dxa"/>
          </w:tcPr>
          <w:p w14:paraId="2621E22D" w14:textId="77777777" w:rsidR="00DD13BF" w:rsidRPr="00CA4D3D" w:rsidRDefault="00DD13BF" w:rsidP="00355A56">
            <w:pPr>
              <w:pStyle w:val="TableParagraph"/>
              <w:rPr>
                <w:color w:val="000000"/>
                <w:sz w:val="20"/>
              </w:rPr>
            </w:pPr>
            <w:r>
              <w:rPr>
                <w:color w:val="000000"/>
                <w:sz w:val="20"/>
              </w:rPr>
              <w:t>JSO8.1</w:t>
            </w:r>
          </w:p>
        </w:tc>
        <w:tc>
          <w:tcPr>
            <w:tcW w:w="1160" w:type="dxa"/>
          </w:tcPr>
          <w:p w14:paraId="7CEEB0C2" w14:textId="77777777" w:rsidR="00DD13BF" w:rsidRDefault="00DD13BF" w:rsidP="00355A56">
            <w:pPr>
              <w:pStyle w:val="TableParagraph"/>
              <w:rPr>
                <w:sz w:val="20"/>
              </w:rPr>
            </w:pPr>
            <w:r>
              <w:rPr>
                <w:sz w:val="20"/>
              </w:rPr>
              <w:t>09</w:t>
            </w:r>
          </w:p>
        </w:tc>
        <w:tc>
          <w:tcPr>
            <w:tcW w:w="2730" w:type="dxa"/>
          </w:tcPr>
          <w:p w14:paraId="6C000F90" w14:textId="77777777" w:rsidR="00DD13BF" w:rsidRDefault="00DD13BF" w:rsidP="00355A56">
            <w:pPr>
              <w:pStyle w:val="TableParagraph"/>
              <w:rPr>
                <w:sz w:val="20"/>
              </w:rPr>
            </w:pPr>
            <w:r>
              <w:rPr>
                <w:sz w:val="20"/>
              </w:rPr>
              <w:t>2,860,000</w:t>
            </w:r>
          </w:p>
        </w:tc>
      </w:tr>
      <w:tr w:rsidR="00DD13BF" w14:paraId="04A8665D" w14:textId="77777777" w:rsidTr="00355A56">
        <w:trPr>
          <w:trHeight w:val="353"/>
        </w:trPr>
        <w:tc>
          <w:tcPr>
            <w:tcW w:w="2088" w:type="dxa"/>
          </w:tcPr>
          <w:p w14:paraId="20F522A2" w14:textId="77777777" w:rsidR="00DD13BF" w:rsidRPr="008D7254" w:rsidRDefault="00DD13BF" w:rsidP="00355A56">
            <w:pPr>
              <w:pStyle w:val="TableParagraph"/>
              <w:rPr>
                <w:color w:val="000000"/>
                <w:sz w:val="20"/>
              </w:rPr>
            </w:pPr>
            <w:r>
              <w:rPr>
                <w:color w:val="000000"/>
                <w:sz w:val="20"/>
              </w:rPr>
              <w:t>10</w:t>
            </w:r>
          </w:p>
        </w:tc>
        <w:tc>
          <w:tcPr>
            <w:tcW w:w="1132" w:type="dxa"/>
          </w:tcPr>
          <w:p w14:paraId="773E65A2" w14:textId="77777777" w:rsidR="00DD13BF" w:rsidRPr="008D7254" w:rsidRDefault="00DD13BF" w:rsidP="00355A56">
            <w:pPr>
              <w:pStyle w:val="TableParagraph"/>
              <w:rPr>
                <w:color w:val="000000"/>
                <w:sz w:val="20"/>
              </w:rPr>
            </w:pPr>
            <w:r>
              <w:rPr>
                <w:color w:val="000000"/>
                <w:sz w:val="20"/>
              </w:rPr>
              <w:t>JTF</w:t>
            </w:r>
          </w:p>
        </w:tc>
        <w:tc>
          <w:tcPr>
            <w:tcW w:w="3248" w:type="dxa"/>
          </w:tcPr>
          <w:p w14:paraId="2FCDEE51" w14:textId="77777777" w:rsidR="00DD13BF" w:rsidRPr="008D7254" w:rsidRDefault="00DD13BF" w:rsidP="00355A56">
            <w:pPr>
              <w:pStyle w:val="TableParagraph"/>
              <w:rPr>
                <w:color w:val="000000"/>
                <w:sz w:val="20"/>
              </w:rPr>
            </w:pPr>
            <w:r>
              <w:rPr>
                <w:color w:val="000000"/>
                <w:sz w:val="20"/>
              </w:rPr>
              <w:t>Entire Slovenia.</w:t>
            </w:r>
          </w:p>
        </w:tc>
        <w:tc>
          <w:tcPr>
            <w:tcW w:w="3098" w:type="dxa"/>
          </w:tcPr>
          <w:p w14:paraId="0A3C53A6" w14:textId="77777777" w:rsidR="00DD13BF" w:rsidRPr="00CA4D3D" w:rsidRDefault="00DD13BF" w:rsidP="00355A56">
            <w:pPr>
              <w:pStyle w:val="TableParagraph"/>
              <w:rPr>
                <w:color w:val="000000"/>
                <w:sz w:val="20"/>
              </w:rPr>
            </w:pPr>
            <w:r>
              <w:rPr>
                <w:color w:val="000000"/>
                <w:sz w:val="20"/>
              </w:rPr>
              <w:t>JSO8.1</w:t>
            </w:r>
          </w:p>
        </w:tc>
        <w:tc>
          <w:tcPr>
            <w:tcW w:w="1160" w:type="dxa"/>
          </w:tcPr>
          <w:p w14:paraId="4761BFF3" w14:textId="77777777" w:rsidR="00DD13BF" w:rsidRDefault="00DD13BF" w:rsidP="00355A56">
            <w:pPr>
              <w:pStyle w:val="TableParagraph"/>
              <w:rPr>
                <w:sz w:val="20"/>
              </w:rPr>
            </w:pPr>
            <w:r>
              <w:rPr>
                <w:sz w:val="20"/>
              </w:rPr>
              <w:t>10</w:t>
            </w:r>
          </w:p>
        </w:tc>
        <w:tc>
          <w:tcPr>
            <w:tcW w:w="2730" w:type="dxa"/>
          </w:tcPr>
          <w:p w14:paraId="0C0DB368" w14:textId="77777777" w:rsidR="00DD13BF" w:rsidRDefault="00DD13BF" w:rsidP="00355A56">
            <w:pPr>
              <w:pStyle w:val="TableParagraph"/>
              <w:rPr>
                <w:sz w:val="20"/>
              </w:rPr>
            </w:pPr>
            <w:r>
              <w:rPr>
                <w:sz w:val="20"/>
              </w:rPr>
              <w:t>4,675,000</w:t>
            </w:r>
          </w:p>
        </w:tc>
      </w:tr>
    </w:tbl>
    <w:p w14:paraId="4B6BBF7F" w14:textId="77777777" w:rsidR="00DD13BF" w:rsidRPr="00673ADB" w:rsidRDefault="00DD13BF" w:rsidP="00DD13BF"/>
    <w:p w14:paraId="7F9E5070" w14:textId="77777777" w:rsidR="00DD13BF" w:rsidRDefault="00DD13BF" w:rsidP="00DD13BF">
      <w:pPr>
        <w:ind w:left="339"/>
      </w:pPr>
      <w:r>
        <w:t>Table 8: Dimension 7 – ESF+*, ERDF, Cohesion Fund and JTF gender equality dimension</w:t>
      </w:r>
    </w:p>
    <w:p w14:paraId="7780C8B4" w14:textId="77777777" w:rsidR="00DD13BF" w:rsidRDefault="00DD13BF" w:rsidP="00DD13BF">
      <w:pPr>
        <w:rPr>
          <w:sz w:val="21"/>
        </w:rPr>
      </w:pPr>
    </w:p>
    <w:tbl>
      <w:tblPr>
        <w:tblStyle w:val="NormalTable0"/>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8"/>
        <w:gridCol w:w="1132"/>
        <w:gridCol w:w="3248"/>
        <w:gridCol w:w="3098"/>
        <w:gridCol w:w="1160"/>
        <w:gridCol w:w="2730"/>
      </w:tblGrid>
      <w:tr w:rsidR="00DD13BF" w14:paraId="3CF7D9AC" w14:textId="77777777" w:rsidTr="00355A56">
        <w:trPr>
          <w:trHeight w:val="353"/>
        </w:trPr>
        <w:tc>
          <w:tcPr>
            <w:tcW w:w="2088" w:type="dxa"/>
          </w:tcPr>
          <w:p w14:paraId="22A09083" w14:textId="77777777" w:rsidR="00DD13BF" w:rsidRDefault="00DD13BF" w:rsidP="00355A56">
            <w:pPr>
              <w:pStyle w:val="TableParagraph"/>
              <w:ind w:left="115"/>
            </w:pPr>
            <w:r>
              <w:t>Priority no.</w:t>
            </w:r>
          </w:p>
        </w:tc>
        <w:tc>
          <w:tcPr>
            <w:tcW w:w="1132" w:type="dxa"/>
          </w:tcPr>
          <w:p w14:paraId="04D4B375" w14:textId="77777777" w:rsidR="00DD13BF" w:rsidRDefault="00DD13BF" w:rsidP="00355A56">
            <w:pPr>
              <w:pStyle w:val="TableParagraph"/>
              <w:ind w:left="320"/>
            </w:pPr>
            <w:r>
              <w:t>Fund</w:t>
            </w:r>
          </w:p>
        </w:tc>
        <w:tc>
          <w:tcPr>
            <w:tcW w:w="3248" w:type="dxa"/>
          </w:tcPr>
          <w:p w14:paraId="6EF53604" w14:textId="77777777" w:rsidR="00DD13BF" w:rsidRDefault="00DD13BF" w:rsidP="00355A56">
            <w:pPr>
              <w:pStyle w:val="TableParagraph"/>
              <w:ind w:left="908"/>
            </w:pPr>
            <w:r>
              <w:t>Category of region</w:t>
            </w:r>
          </w:p>
        </w:tc>
        <w:tc>
          <w:tcPr>
            <w:tcW w:w="3098" w:type="dxa"/>
          </w:tcPr>
          <w:p w14:paraId="50261F3A" w14:textId="77777777" w:rsidR="00DD13BF" w:rsidRDefault="00DD13BF" w:rsidP="00355A56">
            <w:pPr>
              <w:pStyle w:val="TableParagraph"/>
              <w:ind w:left="950"/>
            </w:pPr>
            <w:r>
              <w:t>Specific objective</w:t>
            </w:r>
          </w:p>
        </w:tc>
        <w:tc>
          <w:tcPr>
            <w:tcW w:w="1160" w:type="dxa"/>
          </w:tcPr>
          <w:p w14:paraId="6188E3F0" w14:textId="77777777" w:rsidR="00DD13BF" w:rsidRDefault="00DD13BF" w:rsidP="00355A56">
            <w:pPr>
              <w:pStyle w:val="TableParagraph"/>
              <w:ind w:left="336"/>
            </w:pPr>
            <w:r>
              <w:t>Code</w:t>
            </w:r>
          </w:p>
        </w:tc>
        <w:tc>
          <w:tcPr>
            <w:tcW w:w="2730" w:type="dxa"/>
          </w:tcPr>
          <w:p w14:paraId="5B9D4F4B" w14:textId="77777777" w:rsidR="00DD13BF" w:rsidRDefault="00DD13BF" w:rsidP="00355A56">
            <w:pPr>
              <w:pStyle w:val="TableParagraph"/>
              <w:ind w:left="664"/>
            </w:pPr>
            <w:r>
              <w:t>Amount (in EUR)</w:t>
            </w:r>
          </w:p>
        </w:tc>
      </w:tr>
      <w:tr w:rsidR="00DD13BF" w14:paraId="5F5D0B37" w14:textId="77777777" w:rsidTr="00355A56">
        <w:trPr>
          <w:trHeight w:val="353"/>
        </w:trPr>
        <w:tc>
          <w:tcPr>
            <w:tcW w:w="2088" w:type="dxa"/>
          </w:tcPr>
          <w:p w14:paraId="0B6664C5" w14:textId="77777777" w:rsidR="00DD13BF" w:rsidRPr="00A70F1B" w:rsidRDefault="00DD13BF" w:rsidP="00355A56">
            <w:pPr>
              <w:pStyle w:val="TableParagraph"/>
              <w:rPr>
                <w:sz w:val="20"/>
              </w:rPr>
            </w:pPr>
            <w:r>
              <w:rPr>
                <w:sz w:val="20"/>
              </w:rPr>
              <w:t>10</w:t>
            </w:r>
          </w:p>
        </w:tc>
        <w:tc>
          <w:tcPr>
            <w:tcW w:w="1132" w:type="dxa"/>
          </w:tcPr>
          <w:p w14:paraId="72347F67" w14:textId="77777777" w:rsidR="00DD13BF" w:rsidRPr="00A70F1B" w:rsidRDefault="00DD13BF" w:rsidP="00355A56">
            <w:pPr>
              <w:pStyle w:val="TableParagraph"/>
              <w:rPr>
                <w:sz w:val="20"/>
              </w:rPr>
            </w:pPr>
            <w:r>
              <w:rPr>
                <w:sz w:val="20"/>
              </w:rPr>
              <w:t>JTF</w:t>
            </w:r>
          </w:p>
        </w:tc>
        <w:tc>
          <w:tcPr>
            <w:tcW w:w="3248" w:type="dxa"/>
          </w:tcPr>
          <w:p w14:paraId="63088834" w14:textId="77777777" w:rsidR="00DD13BF" w:rsidRDefault="00DD13BF" w:rsidP="00355A56">
            <w:pPr>
              <w:pStyle w:val="TableParagraph"/>
              <w:rPr>
                <w:sz w:val="20"/>
              </w:rPr>
            </w:pPr>
            <w:r>
              <w:rPr>
                <w:color w:val="000000"/>
                <w:sz w:val="20"/>
              </w:rPr>
              <w:t>Entire Slovenia.</w:t>
            </w:r>
          </w:p>
        </w:tc>
        <w:tc>
          <w:tcPr>
            <w:tcW w:w="3098" w:type="dxa"/>
          </w:tcPr>
          <w:p w14:paraId="595E2169" w14:textId="77777777" w:rsidR="00DD13BF" w:rsidRDefault="00DD13BF" w:rsidP="00355A56">
            <w:pPr>
              <w:pStyle w:val="TableParagraph"/>
              <w:rPr>
                <w:sz w:val="20"/>
              </w:rPr>
            </w:pPr>
            <w:r>
              <w:rPr>
                <w:color w:val="000000"/>
                <w:sz w:val="20"/>
              </w:rPr>
              <w:t>JSO8.1</w:t>
            </w:r>
          </w:p>
        </w:tc>
        <w:tc>
          <w:tcPr>
            <w:tcW w:w="1160" w:type="dxa"/>
          </w:tcPr>
          <w:p w14:paraId="0B348FEA" w14:textId="77777777" w:rsidR="00DD13BF" w:rsidRDefault="00DD13BF" w:rsidP="00355A56">
            <w:pPr>
              <w:pStyle w:val="TableParagraph"/>
              <w:rPr>
                <w:sz w:val="20"/>
              </w:rPr>
            </w:pPr>
            <w:r>
              <w:rPr>
                <w:sz w:val="20"/>
              </w:rPr>
              <w:t>03</w:t>
            </w:r>
          </w:p>
        </w:tc>
        <w:tc>
          <w:tcPr>
            <w:tcW w:w="2730" w:type="dxa"/>
          </w:tcPr>
          <w:p w14:paraId="7A81C485" w14:textId="77777777" w:rsidR="00DD13BF" w:rsidRDefault="00DD13BF" w:rsidP="00355A56">
            <w:pPr>
              <w:pStyle w:val="TableParagraph"/>
              <w:rPr>
                <w:sz w:val="20"/>
              </w:rPr>
            </w:pPr>
            <w:r>
              <w:rPr>
                <w:color w:val="000000"/>
                <w:sz w:val="20"/>
              </w:rPr>
              <w:t>241,068,600</w:t>
            </w:r>
          </w:p>
        </w:tc>
      </w:tr>
      <w:tr w:rsidR="00DD13BF" w14:paraId="49B2DA1A" w14:textId="77777777" w:rsidTr="00355A56">
        <w:trPr>
          <w:trHeight w:val="353"/>
        </w:trPr>
        <w:tc>
          <w:tcPr>
            <w:tcW w:w="2088" w:type="dxa"/>
          </w:tcPr>
          <w:p w14:paraId="0F842236" w14:textId="77777777" w:rsidR="00DD13BF" w:rsidRPr="00601BA5" w:rsidRDefault="00DD13BF" w:rsidP="00355A56">
            <w:pPr>
              <w:pStyle w:val="TableParagraph"/>
            </w:pPr>
            <w:r>
              <w:rPr>
                <w:sz w:val="20"/>
              </w:rPr>
              <w:t>10</w:t>
            </w:r>
          </w:p>
        </w:tc>
        <w:tc>
          <w:tcPr>
            <w:tcW w:w="1132" w:type="dxa"/>
          </w:tcPr>
          <w:p w14:paraId="5B21344D" w14:textId="77777777" w:rsidR="00DD13BF" w:rsidRPr="00601BA5" w:rsidRDefault="00DD13BF" w:rsidP="00355A56">
            <w:pPr>
              <w:pStyle w:val="TableParagraph"/>
            </w:pPr>
            <w:r>
              <w:rPr>
                <w:sz w:val="20"/>
              </w:rPr>
              <w:t>JTF</w:t>
            </w:r>
          </w:p>
        </w:tc>
        <w:tc>
          <w:tcPr>
            <w:tcW w:w="3248" w:type="dxa"/>
          </w:tcPr>
          <w:p w14:paraId="23E06124" w14:textId="77777777" w:rsidR="00DD13BF" w:rsidRDefault="00DD13BF" w:rsidP="00355A56">
            <w:pPr>
              <w:pStyle w:val="TableParagraph"/>
              <w:rPr>
                <w:color w:val="000000"/>
                <w:sz w:val="20"/>
              </w:rPr>
            </w:pPr>
            <w:r>
              <w:rPr>
                <w:color w:val="000000"/>
                <w:sz w:val="20"/>
              </w:rPr>
              <w:t>Entire Slovenia.</w:t>
            </w:r>
          </w:p>
        </w:tc>
        <w:tc>
          <w:tcPr>
            <w:tcW w:w="3098" w:type="dxa"/>
          </w:tcPr>
          <w:p w14:paraId="71FB5C85" w14:textId="77777777" w:rsidR="00DD13BF" w:rsidRPr="00CA4D3D" w:rsidRDefault="00DD13BF" w:rsidP="00355A56">
            <w:pPr>
              <w:pStyle w:val="TableParagraph"/>
              <w:rPr>
                <w:color w:val="000000"/>
                <w:sz w:val="20"/>
              </w:rPr>
            </w:pPr>
            <w:r>
              <w:rPr>
                <w:color w:val="000000"/>
                <w:sz w:val="20"/>
              </w:rPr>
              <w:t>JSO8.1</w:t>
            </w:r>
          </w:p>
        </w:tc>
        <w:tc>
          <w:tcPr>
            <w:tcW w:w="1160" w:type="dxa"/>
          </w:tcPr>
          <w:p w14:paraId="53194E3B" w14:textId="77777777" w:rsidR="00DD13BF" w:rsidRDefault="00DD13BF" w:rsidP="00355A56">
            <w:pPr>
              <w:pStyle w:val="TableParagraph"/>
              <w:rPr>
                <w:sz w:val="20"/>
              </w:rPr>
            </w:pPr>
            <w:r>
              <w:rPr>
                <w:sz w:val="20"/>
              </w:rPr>
              <w:t>02</w:t>
            </w:r>
          </w:p>
        </w:tc>
        <w:tc>
          <w:tcPr>
            <w:tcW w:w="2730" w:type="dxa"/>
          </w:tcPr>
          <w:p w14:paraId="0CDB0747" w14:textId="77777777" w:rsidR="00DD13BF" w:rsidRPr="008D7254" w:rsidRDefault="00DD13BF" w:rsidP="00355A56">
            <w:pPr>
              <w:pStyle w:val="TableParagraph"/>
              <w:rPr>
                <w:color w:val="000000"/>
                <w:sz w:val="20"/>
              </w:rPr>
            </w:pPr>
            <w:r>
              <w:rPr>
                <w:color w:val="000000"/>
                <w:sz w:val="20"/>
              </w:rPr>
              <w:t>7,705,000</w:t>
            </w:r>
          </w:p>
        </w:tc>
      </w:tr>
    </w:tbl>
    <w:p w14:paraId="6D65F0D5" w14:textId="77777777" w:rsidR="00DD13BF" w:rsidRPr="00DD1BF0" w:rsidRDefault="00DD13BF" w:rsidP="00DD13BF">
      <w:pPr>
        <w:tabs>
          <w:tab w:val="left" w:pos="426"/>
        </w:tabs>
        <w:ind w:left="284"/>
        <w:rPr>
          <w:sz w:val="24"/>
        </w:rPr>
      </w:pPr>
      <w:r>
        <w:rPr>
          <w:b/>
          <w:sz w:val="15"/>
        </w:rPr>
        <w:t>*</w:t>
      </w:r>
      <w:r>
        <w:rPr>
          <w:b/>
          <w:sz w:val="15"/>
        </w:rPr>
        <w:tab/>
      </w:r>
      <w:r>
        <w:rPr>
          <w:sz w:val="16"/>
        </w:rPr>
        <w:t>In principle, 40% for the ESF+ contributes to gender tracking. 100% is applicable when Member State chooses to use Article 6 ESF+ Regulation as well as programme specific actions in gender equality.</w:t>
      </w:r>
      <w:r>
        <w:br w:type="page"/>
      </w:r>
    </w:p>
    <w:p w14:paraId="7AD50FF7" w14:textId="77777777" w:rsidR="00DD13BF" w:rsidRDefault="00DD13BF" w:rsidP="00DD13BF">
      <w:pPr>
        <w:pStyle w:val="Naslov1"/>
        <w:spacing w:before="0"/>
      </w:pPr>
      <w:bookmarkStart w:id="75" w:name="_Toc131161736"/>
      <w:r>
        <w:lastRenderedPageBreak/>
        <w:t>Financial plan</w:t>
      </w:r>
      <w:bookmarkEnd w:id="75"/>
    </w:p>
    <w:p w14:paraId="5AD268D8" w14:textId="77777777" w:rsidR="00DD13BF" w:rsidRDefault="00DD13BF" w:rsidP="00DD13BF">
      <w:pPr>
        <w:rPr>
          <w:sz w:val="30"/>
        </w:rPr>
      </w:pPr>
    </w:p>
    <w:p w14:paraId="550D18E2" w14:textId="77777777" w:rsidR="00DD13BF" w:rsidRPr="00D37612" w:rsidRDefault="00DD13BF" w:rsidP="00DD13BF">
      <w:pPr>
        <w:pStyle w:val="Naslov2"/>
      </w:pPr>
      <w:bookmarkStart w:id="76" w:name="_Toc131161737"/>
      <w:r>
        <w:t>Transfers and contributions</w:t>
      </w:r>
      <w:bookmarkEnd w:id="76"/>
    </w:p>
    <w:p w14:paraId="72807DF3" w14:textId="77777777" w:rsidR="00DD13BF" w:rsidRDefault="00DD13BF" w:rsidP="00DD13BF"/>
    <w:p w14:paraId="466CCA0A" w14:textId="77777777" w:rsidR="00DD13BF" w:rsidRDefault="00DD13BF" w:rsidP="00DD13BF">
      <w:r>
        <w:t>Programme changes and transfers are not foreseen.</w:t>
      </w:r>
    </w:p>
    <w:p w14:paraId="568FB7B9" w14:textId="77777777" w:rsidR="00DD13BF" w:rsidRDefault="00DD13BF" w:rsidP="00DD13BF"/>
    <w:p w14:paraId="62882918" w14:textId="77777777" w:rsidR="00DD13BF" w:rsidRPr="00A546DF" w:rsidRDefault="00DD13BF" w:rsidP="00DD13BF">
      <w:pPr>
        <w:pStyle w:val="Naslov2"/>
      </w:pPr>
      <w:bookmarkStart w:id="77" w:name="_Toc131161738"/>
      <w:r>
        <w:t>JTF: allocation in the programme and transfers</w:t>
      </w:r>
      <w:bookmarkEnd w:id="77"/>
    </w:p>
    <w:p w14:paraId="1C9D6559" w14:textId="77777777" w:rsidR="00DD13BF" w:rsidRDefault="00DD13BF" w:rsidP="00DD13BF">
      <w:pPr>
        <w:rPr>
          <w:b/>
          <w:sz w:val="29"/>
        </w:rPr>
      </w:pPr>
    </w:p>
    <w:p w14:paraId="5D45C2D3" w14:textId="77777777" w:rsidR="00DD13BF" w:rsidRPr="00A546DF" w:rsidRDefault="00DD13BF" w:rsidP="00DD13BF">
      <w:pPr>
        <w:pStyle w:val="Naslov3"/>
      </w:pPr>
      <w:bookmarkStart w:id="78" w:name="_Toc131161739"/>
      <w:r>
        <w:t>JTF allocation to the programme prior to transfers by priority</w:t>
      </w:r>
      <w:bookmarkEnd w:id="78"/>
    </w:p>
    <w:p w14:paraId="584FFB08" w14:textId="77777777" w:rsidR="00DD13BF" w:rsidRDefault="00DD13BF" w:rsidP="00DD13BF"/>
    <w:p w14:paraId="0F5E4EB5" w14:textId="77777777" w:rsidR="00DD13BF" w:rsidRDefault="00DD13BF" w:rsidP="00DD13BF">
      <w:r>
        <w:t>Transfers from the JTF are not foreseen.</w:t>
      </w:r>
    </w:p>
    <w:p w14:paraId="2FFE1F57" w14:textId="77777777" w:rsidR="00DD13BF" w:rsidRDefault="00DD13BF" w:rsidP="00DD13BF">
      <w:pPr>
        <w:rPr>
          <w:sz w:val="34"/>
        </w:rPr>
      </w:pPr>
    </w:p>
    <w:p w14:paraId="43051F2D" w14:textId="77777777" w:rsidR="00DD13BF" w:rsidRDefault="00DD13BF" w:rsidP="00DD13BF">
      <w:pPr>
        <w:pStyle w:val="Naslov3"/>
      </w:pPr>
      <w:bookmarkStart w:id="79" w:name="_Toc131161740"/>
      <w:r>
        <w:t>Transfers to the JTF as complementary support</w:t>
      </w:r>
      <w:bookmarkEnd w:id="79"/>
    </w:p>
    <w:p w14:paraId="3689E1A2" w14:textId="77777777" w:rsidR="00DD13BF" w:rsidRDefault="00DD13BF" w:rsidP="00DD13BF">
      <w:pPr>
        <w:rPr>
          <w:sz w:val="21"/>
        </w:rPr>
      </w:pPr>
    </w:p>
    <w:p w14:paraId="62A1C6FC" w14:textId="77777777" w:rsidR="00DD13BF" w:rsidRDefault="00DD13BF" w:rsidP="00DD13BF">
      <w:pPr>
        <w:rPr>
          <w:sz w:val="21"/>
        </w:rPr>
      </w:pPr>
      <w:r>
        <w:rPr>
          <w:sz w:val="21"/>
        </w:rPr>
        <w:t>Transfers to the JTF as complementary support are not foreseen.</w:t>
      </w:r>
    </w:p>
    <w:p w14:paraId="735BA828" w14:textId="77777777" w:rsidR="00DD13BF" w:rsidRDefault="00DD13BF" w:rsidP="00DD13BF">
      <w:pPr>
        <w:rPr>
          <w:sz w:val="29"/>
        </w:rPr>
      </w:pPr>
    </w:p>
    <w:p w14:paraId="1E4EF4FA" w14:textId="77777777" w:rsidR="00DD13BF" w:rsidRDefault="00DD13BF" w:rsidP="00DD13BF">
      <w:pPr>
        <w:pStyle w:val="Naslov2"/>
      </w:pPr>
      <w:bookmarkStart w:id="80" w:name="_Toc131161741"/>
      <w:r>
        <w:t>Transfers between categories of region resulting from the mid-term review</w:t>
      </w:r>
      <w:bookmarkEnd w:id="80"/>
    </w:p>
    <w:p w14:paraId="5618EAC5" w14:textId="77777777" w:rsidR="00DD13BF" w:rsidRDefault="00DD13BF" w:rsidP="00DD13BF">
      <w:pPr>
        <w:rPr>
          <w:sz w:val="30"/>
        </w:rPr>
      </w:pPr>
    </w:p>
    <w:p w14:paraId="14F35A24" w14:textId="77777777" w:rsidR="00DD13BF" w:rsidRDefault="00DD13BF" w:rsidP="00DD13BF">
      <w:r>
        <w:t>Transfers between categories of region within the programme are not foreseen.</w:t>
      </w:r>
    </w:p>
    <w:p w14:paraId="56D5D0FF" w14:textId="77777777" w:rsidR="00DD13BF" w:rsidRDefault="00DD13BF" w:rsidP="00DD13BF">
      <w:pPr>
        <w:rPr>
          <w:sz w:val="16"/>
        </w:rPr>
      </w:pPr>
    </w:p>
    <w:p w14:paraId="63BFB022" w14:textId="77777777" w:rsidR="00DD13BF" w:rsidRDefault="00DD13BF" w:rsidP="00DD13BF">
      <w:pPr>
        <w:pStyle w:val="Naslov2"/>
        <w:rPr>
          <w:sz w:val="15"/>
        </w:rPr>
      </w:pPr>
      <w:bookmarkStart w:id="81" w:name="_Toc131161742"/>
      <w:r>
        <w:t>Transfers back</w:t>
      </w:r>
      <w:bookmarkEnd w:id="81"/>
    </w:p>
    <w:p w14:paraId="4BD4FEF6" w14:textId="77777777" w:rsidR="00DD13BF" w:rsidRDefault="00DD13BF" w:rsidP="00DD13BF"/>
    <w:p w14:paraId="454611D0" w14:textId="77777777" w:rsidR="00DD13BF" w:rsidRDefault="00DD13BF" w:rsidP="00DD13BF">
      <w:r>
        <w:t>Transfers back are not foreseen.</w:t>
      </w:r>
    </w:p>
    <w:p w14:paraId="2C26285D" w14:textId="77777777" w:rsidR="00DD13BF" w:rsidRDefault="00DD13BF" w:rsidP="00DD13BF"/>
    <w:p w14:paraId="4EE73C6B" w14:textId="77777777" w:rsidR="00DD13BF" w:rsidRDefault="00DD13BF" w:rsidP="00DD13BF">
      <w:r>
        <w:br w:type="page"/>
      </w:r>
    </w:p>
    <w:p w14:paraId="1805BD66" w14:textId="77777777" w:rsidR="00DD13BF" w:rsidRDefault="00DD13BF" w:rsidP="00DD13BF">
      <w:pPr>
        <w:pStyle w:val="Naslov2"/>
      </w:pPr>
      <w:bookmarkStart w:id="82" w:name="_Toc131161743"/>
      <w:r>
        <w:lastRenderedPageBreak/>
        <w:t>Financial appropriations by year</w:t>
      </w:r>
      <w:bookmarkEnd w:id="82"/>
    </w:p>
    <w:p w14:paraId="2F3FB471" w14:textId="77777777" w:rsidR="00DD13BF" w:rsidRDefault="00DD13BF" w:rsidP="00DD13BF">
      <w:pPr>
        <w:ind w:right="4378"/>
      </w:pPr>
    </w:p>
    <w:p w14:paraId="39FA2A58" w14:textId="77777777" w:rsidR="00DD13BF" w:rsidRDefault="00DD13BF" w:rsidP="00DD13BF">
      <w:pPr>
        <w:ind w:left="709" w:right="4378"/>
      </w:pPr>
      <w:r>
        <w:t>Table 10: Financial appropriations by year</w:t>
      </w:r>
    </w:p>
    <w:tbl>
      <w:tblPr>
        <w:tblW w:w="5000" w:type="pct"/>
        <w:tblCellMar>
          <w:left w:w="70" w:type="dxa"/>
          <w:right w:w="70" w:type="dxa"/>
        </w:tblCellMar>
        <w:tblLook w:val="04A0" w:firstRow="1" w:lastRow="0" w:firstColumn="1" w:lastColumn="0" w:noHBand="0" w:noVBand="1"/>
      </w:tblPr>
      <w:tblGrid>
        <w:gridCol w:w="389"/>
        <w:gridCol w:w="1311"/>
        <w:gridCol w:w="1132"/>
        <w:gridCol w:w="1135"/>
        <w:gridCol w:w="1275"/>
        <w:gridCol w:w="1132"/>
        <w:gridCol w:w="992"/>
        <w:gridCol w:w="1165"/>
        <w:gridCol w:w="1096"/>
        <w:gridCol w:w="1096"/>
        <w:gridCol w:w="1096"/>
        <w:gridCol w:w="1096"/>
        <w:gridCol w:w="1071"/>
      </w:tblGrid>
      <w:tr w:rsidR="00DD13BF" w:rsidRPr="005C3041" w14:paraId="0844AF85" w14:textId="77777777" w:rsidTr="00355A56">
        <w:trPr>
          <w:trHeight w:val="315"/>
        </w:trPr>
        <w:tc>
          <w:tcPr>
            <w:tcW w:w="60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373CE6" w14:textId="77777777" w:rsidR="00DD13BF" w:rsidRPr="005C3041" w:rsidRDefault="00DD13BF" w:rsidP="00355A56">
            <w:pPr>
              <w:jc w:val="center"/>
              <w:rPr>
                <w:color w:val="000000"/>
                <w:sz w:val="16"/>
                <w:szCs w:val="16"/>
              </w:rPr>
            </w:pPr>
            <w:r>
              <w:rPr>
                <w:color w:val="000000"/>
                <w:sz w:val="16"/>
              </w:rPr>
              <w:t>Fund</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80F9B" w14:textId="77777777" w:rsidR="00DD13BF" w:rsidRPr="005C3041" w:rsidRDefault="00DD13BF" w:rsidP="00355A56">
            <w:pPr>
              <w:rPr>
                <w:color w:val="000000"/>
                <w:sz w:val="16"/>
                <w:szCs w:val="16"/>
              </w:rPr>
            </w:pPr>
            <w:r>
              <w:rPr>
                <w:color w:val="000000"/>
                <w:sz w:val="16"/>
              </w:rPr>
              <w:t>Category of region</w:t>
            </w:r>
          </w:p>
        </w:tc>
        <w:tc>
          <w:tcPr>
            <w:tcW w:w="4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EB9529" w14:textId="77777777" w:rsidR="00DD13BF" w:rsidRPr="005C3041" w:rsidRDefault="00DD13BF" w:rsidP="00355A56">
            <w:pPr>
              <w:jc w:val="center"/>
              <w:rPr>
                <w:color w:val="000000"/>
                <w:sz w:val="16"/>
                <w:szCs w:val="16"/>
              </w:rPr>
            </w:pPr>
            <w:r>
              <w:rPr>
                <w:color w:val="000000"/>
                <w:sz w:val="16"/>
              </w:rPr>
              <w:t>2021</w:t>
            </w:r>
          </w:p>
        </w:tc>
        <w:tc>
          <w:tcPr>
            <w:tcW w:w="4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C6164B" w14:textId="77777777" w:rsidR="00DD13BF" w:rsidRPr="005C3041" w:rsidRDefault="00DD13BF" w:rsidP="00355A56">
            <w:pPr>
              <w:jc w:val="center"/>
              <w:rPr>
                <w:color w:val="000000"/>
                <w:sz w:val="16"/>
                <w:szCs w:val="16"/>
              </w:rPr>
            </w:pPr>
            <w:r>
              <w:rPr>
                <w:color w:val="000000"/>
                <w:sz w:val="16"/>
              </w:rPr>
              <w:t>2022</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521144" w14:textId="77777777" w:rsidR="00DD13BF" w:rsidRPr="005C3041" w:rsidRDefault="00DD13BF" w:rsidP="00355A56">
            <w:pPr>
              <w:jc w:val="center"/>
              <w:rPr>
                <w:color w:val="000000"/>
                <w:sz w:val="16"/>
                <w:szCs w:val="16"/>
              </w:rPr>
            </w:pPr>
            <w:r>
              <w:rPr>
                <w:color w:val="000000"/>
                <w:sz w:val="16"/>
              </w:rPr>
              <w:t>2023</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6D2542" w14:textId="77777777" w:rsidR="00DD13BF" w:rsidRPr="005C3041" w:rsidRDefault="00DD13BF" w:rsidP="00355A56">
            <w:pPr>
              <w:jc w:val="center"/>
              <w:rPr>
                <w:color w:val="000000"/>
                <w:sz w:val="16"/>
                <w:szCs w:val="16"/>
              </w:rPr>
            </w:pPr>
            <w:r>
              <w:rPr>
                <w:color w:val="000000"/>
                <w:sz w:val="16"/>
              </w:rPr>
              <w:t>2024</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3B40B9" w14:textId="77777777" w:rsidR="00DD13BF" w:rsidRPr="005C3041" w:rsidRDefault="00DD13BF" w:rsidP="00355A56">
            <w:pPr>
              <w:jc w:val="center"/>
              <w:rPr>
                <w:color w:val="000000"/>
                <w:sz w:val="16"/>
                <w:szCs w:val="16"/>
              </w:rPr>
            </w:pPr>
            <w:r>
              <w:rPr>
                <w:color w:val="000000"/>
                <w:sz w:val="16"/>
              </w:rPr>
              <w:t>2025</w:t>
            </w:r>
          </w:p>
        </w:tc>
        <w:tc>
          <w:tcPr>
            <w:tcW w:w="784" w:type="pct"/>
            <w:gridSpan w:val="2"/>
            <w:tcBorders>
              <w:top w:val="single" w:sz="8" w:space="0" w:color="auto"/>
              <w:left w:val="nil"/>
              <w:bottom w:val="single" w:sz="8" w:space="0" w:color="auto"/>
              <w:right w:val="single" w:sz="8" w:space="0" w:color="000000"/>
            </w:tcBorders>
            <w:shd w:val="clear" w:color="auto" w:fill="auto"/>
            <w:vAlign w:val="center"/>
            <w:hideMark/>
          </w:tcPr>
          <w:p w14:paraId="752EDAB0" w14:textId="77777777" w:rsidR="00DD13BF" w:rsidRPr="005C3041" w:rsidRDefault="00DD13BF" w:rsidP="00355A56">
            <w:pPr>
              <w:jc w:val="center"/>
              <w:rPr>
                <w:color w:val="000000"/>
                <w:sz w:val="16"/>
                <w:szCs w:val="16"/>
              </w:rPr>
            </w:pPr>
            <w:r>
              <w:rPr>
                <w:color w:val="000000"/>
                <w:sz w:val="16"/>
              </w:rPr>
              <w:t>2026</w:t>
            </w:r>
          </w:p>
        </w:tc>
        <w:tc>
          <w:tcPr>
            <w:tcW w:w="784" w:type="pct"/>
            <w:gridSpan w:val="2"/>
            <w:tcBorders>
              <w:top w:val="single" w:sz="8" w:space="0" w:color="auto"/>
              <w:left w:val="nil"/>
              <w:bottom w:val="single" w:sz="8" w:space="0" w:color="auto"/>
              <w:right w:val="single" w:sz="8" w:space="0" w:color="000000"/>
            </w:tcBorders>
            <w:shd w:val="clear" w:color="auto" w:fill="auto"/>
            <w:vAlign w:val="center"/>
            <w:hideMark/>
          </w:tcPr>
          <w:p w14:paraId="218877D8" w14:textId="77777777" w:rsidR="00DD13BF" w:rsidRPr="005C3041" w:rsidRDefault="00DD13BF" w:rsidP="00355A56">
            <w:pPr>
              <w:jc w:val="center"/>
              <w:rPr>
                <w:color w:val="000000"/>
                <w:sz w:val="16"/>
                <w:szCs w:val="16"/>
              </w:rPr>
            </w:pPr>
            <w:r>
              <w:rPr>
                <w:color w:val="000000"/>
                <w:sz w:val="16"/>
              </w:rPr>
              <w:t>2027</w:t>
            </w:r>
          </w:p>
        </w:tc>
        <w:tc>
          <w:tcPr>
            <w:tcW w:w="3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6A4E26" w14:textId="77777777" w:rsidR="00DD13BF" w:rsidRPr="005C3041" w:rsidRDefault="00DD13BF" w:rsidP="00355A56">
            <w:pPr>
              <w:jc w:val="center"/>
              <w:rPr>
                <w:color w:val="000000"/>
                <w:sz w:val="16"/>
                <w:szCs w:val="16"/>
              </w:rPr>
            </w:pPr>
            <w:r>
              <w:rPr>
                <w:color w:val="000000"/>
                <w:sz w:val="16"/>
              </w:rPr>
              <w:t>Total</w:t>
            </w:r>
          </w:p>
        </w:tc>
      </w:tr>
      <w:tr w:rsidR="00DD13BF" w:rsidRPr="005C3041" w14:paraId="6AAAA025" w14:textId="77777777" w:rsidTr="00355A56">
        <w:trPr>
          <w:trHeight w:val="916"/>
        </w:trPr>
        <w:tc>
          <w:tcPr>
            <w:tcW w:w="605" w:type="pct"/>
            <w:gridSpan w:val="2"/>
            <w:vMerge/>
            <w:tcBorders>
              <w:top w:val="single" w:sz="8" w:space="0" w:color="auto"/>
              <w:left w:val="single" w:sz="8" w:space="0" w:color="auto"/>
              <w:bottom w:val="single" w:sz="8" w:space="0" w:color="000000"/>
              <w:right w:val="single" w:sz="8" w:space="0" w:color="000000"/>
            </w:tcBorders>
            <w:vAlign w:val="center"/>
            <w:hideMark/>
          </w:tcPr>
          <w:p w14:paraId="4E0E3F22" w14:textId="77777777" w:rsidR="00DD13BF" w:rsidRPr="005C3041" w:rsidRDefault="00DD13BF" w:rsidP="00355A56">
            <w:pPr>
              <w:rPr>
                <w:color w:val="000000"/>
                <w:sz w:val="16"/>
                <w:szCs w:val="16"/>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14:paraId="1398CF93" w14:textId="77777777" w:rsidR="00DD13BF" w:rsidRPr="005C3041" w:rsidRDefault="00DD13BF" w:rsidP="00355A56">
            <w:pPr>
              <w:rPr>
                <w:color w:val="000000"/>
                <w:sz w:val="16"/>
                <w:szCs w:val="16"/>
              </w:rPr>
            </w:pPr>
          </w:p>
        </w:tc>
        <w:tc>
          <w:tcPr>
            <w:tcW w:w="406" w:type="pct"/>
            <w:vMerge/>
            <w:tcBorders>
              <w:top w:val="single" w:sz="8" w:space="0" w:color="auto"/>
              <w:left w:val="single" w:sz="8" w:space="0" w:color="auto"/>
              <w:bottom w:val="single" w:sz="8" w:space="0" w:color="000000"/>
              <w:right w:val="single" w:sz="8" w:space="0" w:color="auto"/>
            </w:tcBorders>
            <w:vAlign w:val="center"/>
            <w:hideMark/>
          </w:tcPr>
          <w:p w14:paraId="685FF42C" w14:textId="77777777" w:rsidR="00DD13BF" w:rsidRPr="005C3041" w:rsidRDefault="00DD13BF" w:rsidP="00355A56">
            <w:pPr>
              <w:rPr>
                <w:color w:val="000000"/>
                <w:sz w:val="16"/>
                <w:szCs w:val="16"/>
              </w:rPr>
            </w:pP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4427178C" w14:textId="77777777" w:rsidR="00DD13BF" w:rsidRPr="005C3041" w:rsidRDefault="00DD13BF" w:rsidP="00355A56">
            <w:pPr>
              <w:rPr>
                <w:color w:val="000000"/>
                <w:sz w:val="16"/>
                <w:szCs w:val="16"/>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14:paraId="2ABF2E5A" w14:textId="77777777" w:rsidR="00DD13BF" w:rsidRPr="005C3041" w:rsidRDefault="00DD13BF" w:rsidP="00355A56">
            <w:pPr>
              <w:rPr>
                <w:color w:val="000000"/>
                <w:sz w:val="16"/>
                <w:szCs w:val="16"/>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361FA08" w14:textId="77777777" w:rsidR="00DD13BF" w:rsidRPr="005C3041" w:rsidRDefault="00DD13BF" w:rsidP="00355A56">
            <w:pPr>
              <w:rPr>
                <w:color w:val="000000"/>
                <w:sz w:val="16"/>
                <w:szCs w:val="16"/>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14:paraId="60C1B562" w14:textId="77777777" w:rsidR="00DD13BF" w:rsidRPr="005C3041" w:rsidRDefault="00DD13BF" w:rsidP="00355A56">
            <w:pPr>
              <w:rPr>
                <w:color w:val="000000"/>
                <w:sz w:val="16"/>
                <w:szCs w:val="16"/>
              </w:rPr>
            </w:pPr>
          </w:p>
        </w:tc>
        <w:tc>
          <w:tcPr>
            <w:tcW w:w="392" w:type="pct"/>
            <w:tcBorders>
              <w:top w:val="nil"/>
              <w:left w:val="nil"/>
              <w:bottom w:val="single" w:sz="8" w:space="0" w:color="auto"/>
              <w:right w:val="single" w:sz="8" w:space="0" w:color="auto"/>
            </w:tcBorders>
            <w:shd w:val="clear" w:color="auto" w:fill="auto"/>
            <w:vAlign w:val="center"/>
            <w:hideMark/>
          </w:tcPr>
          <w:p w14:paraId="02585E73" w14:textId="77777777" w:rsidR="00DD13BF" w:rsidRPr="005C3041" w:rsidRDefault="00DD13BF" w:rsidP="00355A56">
            <w:pPr>
              <w:jc w:val="center"/>
              <w:rPr>
                <w:color w:val="000000"/>
                <w:sz w:val="16"/>
                <w:szCs w:val="16"/>
              </w:rPr>
            </w:pPr>
            <w:r>
              <w:rPr>
                <w:color w:val="000000"/>
                <w:sz w:val="16"/>
              </w:rPr>
              <w:t xml:space="preserve">Financial appropriation without flexibility amount </w:t>
            </w:r>
          </w:p>
        </w:tc>
        <w:tc>
          <w:tcPr>
            <w:tcW w:w="392" w:type="pct"/>
            <w:tcBorders>
              <w:top w:val="nil"/>
              <w:left w:val="nil"/>
              <w:bottom w:val="single" w:sz="8" w:space="0" w:color="auto"/>
              <w:right w:val="single" w:sz="8" w:space="0" w:color="auto"/>
            </w:tcBorders>
            <w:shd w:val="clear" w:color="auto" w:fill="auto"/>
            <w:vAlign w:val="center"/>
            <w:hideMark/>
          </w:tcPr>
          <w:p w14:paraId="132C2032" w14:textId="77777777" w:rsidR="00DD13BF" w:rsidRPr="005C3041" w:rsidRDefault="00DD13BF" w:rsidP="00355A56">
            <w:pPr>
              <w:jc w:val="center"/>
              <w:rPr>
                <w:color w:val="000000"/>
                <w:sz w:val="16"/>
                <w:szCs w:val="16"/>
              </w:rPr>
            </w:pPr>
            <w:r>
              <w:rPr>
                <w:color w:val="000000"/>
                <w:sz w:val="16"/>
              </w:rPr>
              <w:t>Flexibility amount</w:t>
            </w:r>
          </w:p>
        </w:tc>
        <w:tc>
          <w:tcPr>
            <w:tcW w:w="392" w:type="pct"/>
            <w:tcBorders>
              <w:top w:val="nil"/>
              <w:left w:val="nil"/>
              <w:bottom w:val="single" w:sz="8" w:space="0" w:color="auto"/>
              <w:right w:val="single" w:sz="8" w:space="0" w:color="auto"/>
            </w:tcBorders>
            <w:shd w:val="clear" w:color="auto" w:fill="auto"/>
            <w:vAlign w:val="center"/>
            <w:hideMark/>
          </w:tcPr>
          <w:p w14:paraId="1EDBDD69" w14:textId="77777777" w:rsidR="00DD13BF" w:rsidRPr="005C3041" w:rsidRDefault="00DD13BF" w:rsidP="00355A56">
            <w:pPr>
              <w:jc w:val="center"/>
              <w:rPr>
                <w:color w:val="000000"/>
                <w:sz w:val="16"/>
                <w:szCs w:val="16"/>
              </w:rPr>
            </w:pPr>
            <w:r>
              <w:rPr>
                <w:color w:val="000000"/>
                <w:sz w:val="16"/>
              </w:rPr>
              <w:t>Financial appropriation without flexibility amount</w:t>
            </w:r>
          </w:p>
        </w:tc>
        <w:tc>
          <w:tcPr>
            <w:tcW w:w="392" w:type="pct"/>
            <w:tcBorders>
              <w:top w:val="nil"/>
              <w:left w:val="nil"/>
              <w:bottom w:val="single" w:sz="8" w:space="0" w:color="auto"/>
              <w:right w:val="single" w:sz="8" w:space="0" w:color="auto"/>
            </w:tcBorders>
            <w:shd w:val="clear" w:color="auto" w:fill="auto"/>
            <w:vAlign w:val="center"/>
            <w:hideMark/>
          </w:tcPr>
          <w:p w14:paraId="73C9B4F2" w14:textId="77777777" w:rsidR="00DD13BF" w:rsidRPr="005C3041" w:rsidRDefault="00DD13BF" w:rsidP="00355A56">
            <w:pPr>
              <w:jc w:val="center"/>
              <w:rPr>
                <w:color w:val="000000"/>
                <w:sz w:val="16"/>
                <w:szCs w:val="16"/>
              </w:rPr>
            </w:pPr>
            <w:r>
              <w:rPr>
                <w:color w:val="000000"/>
                <w:sz w:val="16"/>
              </w:rPr>
              <w:t>Flexibility amount</w:t>
            </w:r>
          </w:p>
        </w:tc>
        <w:tc>
          <w:tcPr>
            <w:tcW w:w="384" w:type="pct"/>
            <w:vMerge/>
            <w:tcBorders>
              <w:top w:val="single" w:sz="8" w:space="0" w:color="auto"/>
              <w:left w:val="single" w:sz="8" w:space="0" w:color="auto"/>
              <w:bottom w:val="single" w:sz="8" w:space="0" w:color="000000"/>
              <w:right w:val="single" w:sz="8" w:space="0" w:color="auto"/>
            </w:tcBorders>
            <w:vAlign w:val="center"/>
            <w:hideMark/>
          </w:tcPr>
          <w:p w14:paraId="1C2FA3C6" w14:textId="77777777" w:rsidR="00DD13BF" w:rsidRPr="005C3041" w:rsidRDefault="00DD13BF" w:rsidP="00355A56">
            <w:pPr>
              <w:rPr>
                <w:color w:val="000000"/>
                <w:sz w:val="16"/>
                <w:szCs w:val="16"/>
              </w:rPr>
            </w:pPr>
          </w:p>
        </w:tc>
      </w:tr>
      <w:tr w:rsidR="00DD13BF" w:rsidRPr="005C3041" w14:paraId="77CC089F" w14:textId="77777777" w:rsidTr="00355A56">
        <w:trPr>
          <w:trHeight w:val="315"/>
        </w:trPr>
        <w:tc>
          <w:tcPr>
            <w:tcW w:w="605"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2ECE94A4" w14:textId="77777777" w:rsidR="00DD13BF" w:rsidRPr="005C3041" w:rsidRDefault="00DD13BF" w:rsidP="00355A56">
            <w:pPr>
              <w:rPr>
                <w:color w:val="000000"/>
                <w:sz w:val="16"/>
                <w:szCs w:val="16"/>
              </w:rPr>
            </w:pPr>
            <w:r>
              <w:rPr>
                <w:color w:val="000000"/>
                <w:sz w:val="16"/>
              </w:rPr>
              <w:t>ERDF</w:t>
            </w:r>
          </w:p>
        </w:tc>
        <w:tc>
          <w:tcPr>
            <w:tcW w:w="405" w:type="pct"/>
            <w:tcBorders>
              <w:top w:val="nil"/>
              <w:left w:val="nil"/>
              <w:bottom w:val="single" w:sz="8" w:space="0" w:color="auto"/>
              <w:right w:val="single" w:sz="8" w:space="0" w:color="auto"/>
            </w:tcBorders>
            <w:shd w:val="clear" w:color="auto" w:fill="auto"/>
            <w:vAlign w:val="center"/>
            <w:hideMark/>
          </w:tcPr>
          <w:p w14:paraId="46293251" w14:textId="77777777" w:rsidR="00DD13BF" w:rsidRPr="005C3041" w:rsidRDefault="00DD13BF" w:rsidP="00355A56">
            <w:pPr>
              <w:rPr>
                <w:color w:val="000000"/>
                <w:sz w:val="16"/>
                <w:szCs w:val="16"/>
              </w:rPr>
            </w:pPr>
            <w:r>
              <w:rPr>
                <w:color w:val="000000"/>
                <w:sz w:val="16"/>
              </w:rPr>
              <w:t>More developed</w:t>
            </w:r>
          </w:p>
        </w:tc>
        <w:tc>
          <w:tcPr>
            <w:tcW w:w="406" w:type="pct"/>
            <w:tcBorders>
              <w:top w:val="nil"/>
              <w:left w:val="nil"/>
              <w:bottom w:val="single" w:sz="8" w:space="0" w:color="auto"/>
              <w:right w:val="single" w:sz="8" w:space="0" w:color="auto"/>
            </w:tcBorders>
            <w:shd w:val="clear" w:color="auto" w:fill="auto"/>
            <w:vAlign w:val="center"/>
            <w:hideMark/>
          </w:tcPr>
          <w:p w14:paraId="357C25FE"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76CA4F92" w14:textId="77777777" w:rsidR="00DD13BF" w:rsidRPr="005C3041" w:rsidRDefault="00DD13BF" w:rsidP="00355A56">
            <w:pPr>
              <w:jc w:val="right"/>
              <w:rPr>
                <w:color w:val="000000"/>
                <w:sz w:val="16"/>
                <w:szCs w:val="16"/>
              </w:rPr>
            </w:pPr>
            <w:r>
              <w:rPr>
                <w:color w:val="000000"/>
                <w:sz w:val="16"/>
              </w:rPr>
              <w:t>70,408,132</w:t>
            </w:r>
          </w:p>
        </w:tc>
        <w:tc>
          <w:tcPr>
            <w:tcW w:w="405" w:type="pct"/>
            <w:tcBorders>
              <w:top w:val="nil"/>
              <w:left w:val="nil"/>
              <w:bottom w:val="single" w:sz="8" w:space="0" w:color="auto"/>
              <w:right w:val="single" w:sz="8" w:space="0" w:color="auto"/>
            </w:tcBorders>
            <w:shd w:val="clear" w:color="auto" w:fill="auto"/>
            <w:vAlign w:val="center"/>
            <w:hideMark/>
          </w:tcPr>
          <w:p w14:paraId="4A5B8D1F" w14:textId="77777777" w:rsidR="00DD13BF" w:rsidRPr="005C3041" w:rsidRDefault="00DD13BF" w:rsidP="00355A56">
            <w:pPr>
              <w:jc w:val="right"/>
              <w:rPr>
                <w:color w:val="000000"/>
                <w:sz w:val="16"/>
                <w:szCs w:val="16"/>
              </w:rPr>
            </w:pPr>
            <w:r>
              <w:rPr>
                <w:color w:val="000000"/>
                <w:sz w:val="16"/>
              </w:rPr>
              <w:t>71,421,682</w:t>
            </w:r>
          </w:p>
        </w:tc>
        <w:tc>
          <w:tcPr>
            <w:tcW w:w="355" w:type="pct"/>
            <w:tcBorders>
              <w:top w:val="nil"/>
              <w:left w:val="nil"/>
              <w:bottom w:val="single" w:sz="8" w:space="0" w:color="auto"/>
              <w:right w:val="single" w:sz="8" w:space="0" w:color="auto"/>
            </w:tcBorders>
            <w:shd w:val="clear" w:color="auto" w:fill="auto"/>
            <w:vAlign w:val="center"/>
            <w:hideMark/>
          </w:tcPr>
          <w:p w14:paraId="3541CC7B" w14:textId="77777777" w:rsidR="00DD13BF" w:rsidRPr="005C3041" w:rsidRDefault="00DD13BF" w:rsidP="00355A56">
            <w:pPr>
              <w:jc w:val="right"/>
              <w:rPr>
                <w:color w:val="000000"/>
                <w:sz w:val="16"/>
                <w:szCs w:val="16"/>
              </w:rPr>
            </w:pPr>
            <w:r>
              <w:rPr>
                <w:color w:val="000000"/>
                <w:sz w:val="16"/>
              </w:rPr>
              <w:t>65,044,910</w:t>
            </w:r>
          </w:p>
        </w:tc>
        <w:tc>
          <w:tcPr>
            <w:tcW w:w="417" w:type="pct"/>
            <w:tcBorders>
              <w:top w:val="nil"/>
              <w:left w:val="nil"/>
              <w:bottom w:val="single" w:sz="8" w:space="0" w:color="auto"/>
              <w:right w:val="single" w:sz="8" w:space="0" w:color="auto"/>
            </w:tcBorders>
            <w:shd w:val="clear" w:color="auto" w:fill="auto"/>
            <w:vAlign w:val="center"/>
            <w:hideMark/>
          </w:tcPr>
          <w:p w14:paraId="384E6BF1" w14:textId="77777777" w:rsidR="00DD13BF" w:rsidRPr="005C3041" w:rsidRDefault="00DD13BF" w:rsidP="00355A56">
            <w:pPr>
              <w:jc w:val="right"/>
              <w:rPr>
                <w:color w:val="000000"/>
                <w:sz w:val="16"/>
                <w:szCs w:val="16"/>
              </w:rPr>
            </w:pPr>
            <w:r>
              <w:rPr>
                <w:color w:val="000000"/>
                <w:sz w:val="16"/>
              </w:rPr>
              <w:t>66,099,685</w:t>
            </w:r>
          </w:p>
        </w:tc>
        <w:tc>
          <w:tcPr>
            <w:tcW w:w="392" w:type="pct"/>
            <w:tcBorders>
              <w:top w:val="nil"/>
              <w:left w:val="nil"/>
              <w:bottom w:val="single" w:sz="8" w:space="0" w:color="auto"/>
              <w:right w:val="single" w:sz="8" w:space="0" w:color="auto"/>
            </w:tcBorders>
            <w:shd w:val="clear" w:color="auto" w:fill="auto"/>
            <w:vAlign w:val="center"/>
            <w:hideMark/>
          </w:tcPr>
          <w:p w14:paraId="338FCD8D" w14:textId="77777777" w:rsidR="00DD13BF" w:rsidRPr="005C3041" w:rsidRDefault="00DD13BF" w:rsidP="00355A56">
            <w:pPr>
              <w:jc w:val="right"/>
              <w:rPr>
                <w:color w:val="000000"/>
                <w:sz w:val="16"/>
                <w:szCs w:val="16"/>
              </w:rPr>
            </w:pPr>
            <w:r>
              <w:rPr>
                <w:color w:val="000000"/>
                <w:sz w:val="16"/>
              </w:rPr>
              <w:t>27,387,417</w:t>
            </w:r>
          </w:p>
        </w:tc>
        <w:tc>
          <w:tcPr>
            <w:tcW w:w="392" w:type="pct"/>
            <w:tcBorders>
              <w:top w:val="nil"/>
              <w:left w:val="nil"/>
              <w:bottom w:val="single" w:sz="8" w:space="0" w:color="auto"/>
              <w:right w:val="single" w:sz="8" w:space="0" w:color="auto"/>
            </w:tcBorders>
            <w:shd w:val="clear" w:color="auto" w:fill="auto"/>
            <w:vAlign w:val="center"/>
            <w:hideMark/>
          </w:tcPr>
          <w:p w14:paraId="2ECD5B43" w14:textId="77777777" w:rsidR="00DD13BF" w:rsidRPr="005C3041" w:rsidRDefault="00DD13BF" w:rsidP="00355A56">
            <w:pPr>
              <w:jc w:val="right"/>
              <w:rPr>
                <w:color w:val="000000"/>
                <w:sz w:val="16"/>
                <w:szCs w:val="16"/>
              </w:rPr>
            </w:pPr>
            <w:r>
              <w:rPr>
                <w:color w:val="000000"/>
                <w:sz w:val="16"/>
              </w:rPr>
              <w:t>27,387,417</w:t>
            </w:r>
          </w:p>
        </w:tc>
        <w:tc>
          <w:tcPr>
            <w:tcW w:w="392" w:type="pct"/>
            <w:tcBorders>
              <w:top w:val="nil"/>
              <w:left w:val="nil"/>
              <w:bottom w:val="single" w:sz="8" w:space="0" w:color="auto"/>
              <w:right w:val="single" w:sz="8" w:space="0" w:color="auto"/>
            </w:tcBorders>
            <w:shd w:val="clear" w:color="auto" w:fill="auto"/>
            <w:vAlign w:val="center"/>
            <w:hideMark/>
          </w:tcPr>
          <w:p w14:paraId="1732E64B" w14:textId="77777777" w:rsidR="00DD13BF" w:rsidRPr="005C3041" w:rsidRDefault="00DD13BF" w:rsidP="00355A56">
            <w:pPr>
              <w:jc w:val="right"/>
              <w:rPr>
                <w:color w:val="000000"/>
                <w:sz w:val="16"/>
                <w:szCs w:val="16"/>
              </w:rPr>
            </w:pPr>
            <w:r>
              <w:rPr>
                <w:color w:val="000000"/>
                <w:sz w:val="16"/>
              </w:rPr>
              <w:t>27,936,114</w:t>
            </w:r>
          </w:p>
        </w:tc>
        <w:tc>
          <w:tcPr>
            <w:tcW w:w="392" w:type="pct"/>
            <w:tcBorders>
              <w:top w:val="nil"/>
              <w:left w:val="nil"/>
              <w:bottom w:val="single" w:sz="8" w:space="0" w:color="auto"/>
              <w:right w:val="single" w:sz="8" w:space="0" w:color="auto"/>
            </w:tcBorders>
            <w:shd w:val="clear" w:color="auto" w:fill="auto"/>
            <w:vAlign w:val="center"/>
            <w:hideMark/>
          </w:tcPr>
          <w:p w14:paraId="16B993A1" w14:textId="77777777" w:rsidR="00DD13BF" w:rsidRPr="005C3041" w:rsidRDefault="00DD13BF" w:rsidP="00355A56">
            <w:pPr>
              <w:jc w:val="right"/>
              <w:rPr>
                <w:color w:val="000000"/>
                <w:sz w:val="16"/>
                <w:szCs w:val="16"/>
              </w:rPr>
            </w:pPr>
            <w:r>
              <w:rPr>
                <w:color w:val="000000"/>
                <w:sz w:val="16"/>
              </w:rPr>
              <w:t>27,936,115</w:t>
            </w:r>
          </w:p>
        </w:tc>
        <w:tc>
          <w:tcPr>
            <w:tcW w:w="384" w:type="pct"/>
            <w:tcBorders>
              <w:top w:val="nil"/>
              <w:left w:val="nil"/>
              <w:bottom w:val="single" w:sz="8" w:space="0" w:color="auto"/>
              <w:right w:val="single" w:sz="8" w:space="0" w:color="auto"/>
            </w:tcBorders>
            <w:shd w:val="clear" w:color="auto" w:fill="auto"/>
            <w:vAlign w:val="center"/>
            <w:hideMark/>
          </w:tcPr>
          <w:p w14:paraId="68614CCB" w14:textId="77777777" w:rsidR="00DD13BF" w:rsidRPr="005C3041" w:rsidRDefault="00DD13BF" w:rsidP="00355A56">
            <w:pPr>
              <w:jc w:val="right"/>
              <w:rPr>
                <w:color w:val="000000"/>
                <w:sz w:val="16"/>
                <w:szCs w:val="16"/>
              </w:rPr>
            </w:pPr>
            <w:r>
              <w:rPr>
                <w:color w:val="000000"/>
                <w:sz w:val="16"/>
              </w:rPr>
              <w:t>383,621,472</w:t>
            </w:r>
          </w:p>
        </w:tc>
      </w:tr>
      <w:tr w:rsidR="00DD13BF" w:rsidRPr="005C3041" w14:paraId="27592B87" w14:textId="77777777" w:rsidTr="00355A56">
        <w:trPr>
          <w:trHeight w:val="315"/>
        </w:trPr>
        <w:tc>
          <w:tcPr>
            <w:tcW w:w="605" w:type="pct"/>
            <w:gridSpan w:val="2"/>
            <w:vMerge/>
            <w:tcBorders>
              <w:top w:val="single" w:sz="8" w:space="0" w:color="auto"/>
              <w:left w:val="single" w:sz="8" w:space="0" w:color="auto"/>
              <w:bottom w:val="nil"/>
              <w:right w:val="single" w:sz="8" w:space="0" w:color="000000"/>
            </w:tcBorders>
            <w:vAlign w:val="center"/>
            <w:hideMark/>
          </w:tcPr>
          <w:p w14:paraId="6973A5C8" w14:textId="77777777" w:rsidR="00DD13BF" w:rsidRPr="005C3041" w:rsidRDefault="00DD13BF" w:rsidP="00355A56">
            <w:pPr>
              <w:rPr>
                <w:color w:val="000000"/>
                <w:sz w:val="16"/>
                <w:szCs w:val="16"/>
              </w:rPr>
            </w:pPr>
          </w:p>
        </w:tc>
        <w:tc>
          <w:tcPr>
            <w:tcW w:w="405" w:type="pct"/>
            <w:tcBorders>
              <w:top w:val="nil"/>
              <w:left w:val="nil"/>
              <w:bottom w:val="single" w:sz="8" w:space="0" w:color="auto"/>
              <w:right w:val="single" w:sz="8" w:space="0" w:color="auto"/>
            </w:tcBorders>
            <w:shd w:val="clear" w:color="auto" w:fill="auto"/>
            <w:vAlign w:val="center"/>
            <w:hideMark/>
          </w:tcPr>
          <w:p w14:paraId="14ABEAC3" w14:textId="77777777" w:rsidR="00DD13BF" w:rsidRPr="005C3041" w:rsidRDefault="00DD13BF" w:rsidP="00355A56">
            <w:pPr>
              <w:rPr>
                <w:color w:val="000000"/>
                <w:sz w:val="16"/>
                <w:szCs w:val="16"/>
              </w:rPr>
            </w:pPr>
            <w:r>
              <w:rPr>
                <w:color w:val="000000"/>
                <w:sz w:val="16"/>
              </w:rPr>
              <w:t>Less developed</w:t>
            </w:r>
          </w:p>
        </w:tc>
        <w:tc>
          <w:tcPr>
            <w:tcW w:w="406" w:type="pct"/>
            <w:tcBorders>
              <w:top w:val="nil"/>
              <w:left w:val="nil"/>
              <w:bottom w:val="single" w:sz="8" w:space="0" w:color="auto"/>
              <w:right w:val="single" w:sz="8" w:space="0" w:color="auto"/>
            </w:tcBorders>
            <w:shd w:val="clear" w:color="auto" w:fill="auto"/>
            <w:vAlign w:val="center"/>
            <w:hideMark/>
          </w:tcPr>
          <w:p w14:paraId="2259ED0B"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6EE78D4B" w14:textId="77777777" w:rsidR="00DD13BF" w:rsidRPr="005C3041" w:rsidRDefault="00DD13BF" w:rsidP="00355A56">
            <w:pPr>
              <w:jc w:val="right"/>
              <w:rPr>
                <w:color w:val="000000"/>
                <w:sz w:val="16"/>
                <w:szCs w:val="16"/>
              </w:rPr>
            </w:pPr>
            <w:r>
              <w:rPr>
                <w:color w:val="000000"/>
                <w:sz w:val="16"/>
              </w:rPr>
              <w:t>223,212,956</w:t>
            </w:r>
          </w:p>
        </w:tc>
        <w:tc>
          <w:tcPr>
            <w:tcW w:w="405" w:type="pct"/>
            <w:tcBorders>
              <w:top w:val="nil"/>
              <w:left w:val="nil"/>
              <w:bottom w:val="single" w:sz="8" w:space="0" w:color="auto"/>
              <w:right w:val="single" w:sz="8" w:space="0" w:color="auto"/>
            </w:tcBorders>
            <w:shd w:val="clear" w:color="auto" w:fill="auto"/>
            <w:vAlign w:val="center"/>
            <w:hideMark/>
          </w:tcPr>
          <w:p w14:paraId="44246F55" w14:textId="77777777" w:rsidR="00DD13BF" w:rsidRPr="005C3041" w:rsidRDefault="00DD13BF" w:rsidP="00355A56">
            <w:pPr>
              <w:jc w:val="right"/>
              <w:rPr>
                <w:color w:val="000000"/>
                <w:sz w:val="16"/>
                <w:szCs w:val="16"/>
              </w:rPr>
            </w:pPr>
            <w:r>
              <w:rPr>
                <w:color w:val="000000"/>
                <w:sz w:val="16"/>
              </w:rPr>
              <w:t>226,426,485</w:t>
            </w:r>
          </w:p>
        </w:tc>
        <w:tc>
          <w:tcPr>
            <w:tcW w:w="355" w:type="pct"/>
            <w:tcBorders>
              <w:top w:val="nil"/>
              <w:left w:val="nil"/>
              <w:bottom w:val="single" w:sz="8" w:space="0" w:color="auto"/>
              <w:right w:val="single" w:sz="8" w:space="0" w:color="auto"/>
            </w:tcBorders>
            <w:shd w:val="clear" w:color="auto" w:fill="auto"/>
            <w:vAlign w:val="center"/>
            <w:hideMark/>
          </w:tcPr>
          <w:p w14:paraId="44CFD7BC" w14:textId="77777777" w:rsidR="00DD13BF" w:rsidRPr="005C3041" w:rsidRDefault="00DD13BF" w:rsidP="00355A56">
            <w:pPr>
              <w:jc w:val="right"/>
              <w:rPr>
                <w:color w:val="000000"/>
                <w:sz w:val="16"/>
                <w:szCs w:val="16"/>
              </w:rPr>
            </w:pPr>
            <w:r>
              <w:rPr>
                <w:color w:val="000000"/>
                <w:sz w:val="16"/>
              </w:rPr>
              <w:t>206,216,785</w:t>
            </w:r>
          </w:p>
        </w:tc>
        <w:tc>
          <w:tcPr>
            <w:tcW w:w="417" w:type="pct"/>
            <w:tcBorders>
              <w:top w:val="nil"/>
              <w:left w:val="nil"/>
              <w:bottom w:val="single" w:sz="8" w:space="0" w:color="auto"/>
              <w:right w:val="single" w:sz="8" w:space="0" w:color="auto"/>
            </w:tcBorders>
            <w:shd w:val="clear" w:color="auto" w:fill="auto"/>
            <w:vAlign w:val="center"/>
            <w:hideMark/>
          </w:tcPr>
          <w:p w14:paraId="7494288D" w14:textId="77777777" w:rsidR="00DD13BF" w:rsidRPr="005C3041" w:rsidRDefault="00DD13BF" w:rsidP="00355A56">
            <w:pPr>
              <w:jc w:val="right"/>
              <w:rPr>
                <w:color w:val="000000"/>
                <w:sz w:val="16"/>
                <w:szCs w:val="16"/>
              </w:rPr>
            </w:pPr>
            <w:r>
              <w:rPr>
                <w:color w:val="000000"/>
                <w:sz w:val="16"/>
              </w:rPr>
              <w:t>209,557,165</w:t>
            </w:r>
          </w:p>
        </w:tc>
        <w:tc>
          <w:tcPr>
            <w:tcW w:w="392" w:type="pct"/>
            <w:tcBorders>
              <w:top w:val="nil"/>
              <w:left w:val="nil"/>
              <w:bottom w:val="single" w:sz="8" w:space="0" w:color="auto"/>
              <w:right w:val="single" w:sz="8" w:space="0" w:color="auto"/>
            </w:tcBorders>
            <w:shd w:val="clear" w:color="auto" w:fill="auto"/>
            <w:vAlign w:val="center"/>
            <w:hideMark/>
          </w:tcPr>
          <w:p w14:paraId="72E4A095" w14:textId="77777777" w:rsidR="00DD13BF" w:rsidRPr="005C3041" w:rsidRDefault="00DD13BF" w:rsidP="00355A56">
            <w:pPr>
              <w:jc w:val="right"/>
              <w:rPr>
                <w:color w:val="000000"/>
                <w:sz w:val="16"/>
                <w:szCs w:val="16"/>
              </w:rPr>
            </w:pPr>
            <w:r>
              <w:rPr>
                <w:color w:val="000000"/>
                <w:sz w:val="16"/>
              </w:rPr>
              <w:t>86,823,679</w:t>
            </w:r>
          </w:p>
        </w:tc>
        <w:tc>
          <w:tcPr>
            <w:tcW w:w="392" w:type="pct"/>
            <w:tcBorders>
              <w:top w:val="nil"/>
              <w:left w:val="nil"/>
              <w:bottom w:val="single" w:sz="8" w:space="0" w:color="auto"/>
              <w:right w:val="single" w:sz="8" w:space="0" w:color="auto"/>
            </w:tcBorders>
            <w:shd w:val="clear" w:color="auto" w:fill="auto"/>
            <w:vAlign w:val="center"/>
            <w:hideMark/>
          </w:tcPr>
          <w:p w14:paraId="47F15B9B" w14:textId="77777777" w:rsidR="00DD13BF" w:rsidRPr="005C3041" w:rsidRDefault="00DD13BF" w:rsidP="00355A56">
            <w:pPr>
              <w:jc w:val="right"/>
              <w:rPr>
                <w:color w:val="000000"/>
                <w:sz w:val="16"/>
                <w:szCs w:val="16"/>
              </w:rPr>
            </w:pPr>
            <w:r>
              <w:rPr>
                <w:color w:val="000000"/>
                <w:sz w:val="16"/>
              </w:rPr>
              <w:t>86,823,679</w:t>
            </w:r>
          </w:p>
        </w:tc>
        <w:tc>
          <w:tcPr>
            <w:tcW w:w="392" w:type="pct"/>
            <w:tcBorders>
              <w:top w:val="nil"/>
              <w:left w:val="nil"/>
              <w:bottom w:val="single" w:sz="8" w:space="0" w:color="auto"/>
              <w:right w:val="single" w:sz="8" w:space="0" w:color="auto"/>
            </w:tcBorders>
            <w:shd w:val="clear" w:color="auto" w:fill="auto"/>
            <w:vAlign w:val="center"/>
            <w:hideMark/>
          </w:tcPr>
          <w:p w14:paraId="11541D4E" w14:textId="77777777" w:rsidR="00DD13BF" w:rsidRPr="005C3041" w:rsidRDefault="00DD13BF" w:rsidP="00355A56">
            <w:pPr>
              <w:jc w:val="right"/>
              <w:rPr>
                <w:color w:val="000000"/>
                <w:sz w:val="16"/>
                <w:szCs w:val="16"/>
              </w:rPr>
            </w:pPr>
            <w:r>
              <w:rPr>
                <w:color w:val="000000"/>
                <w:sz w:val="16"/>
              </w:rPr>
              <w:t>88,551,541</w:t>
            </w:r>
          </w:p>
        </w:tc>
        <w:tc>
          <w:tcPr>
            <w:tcW w:w="392" w:type="pct"/>
            <w:tcBorders>
              <w:top w:val="nil"/>
              <w:left w:val="nil"/>
              <w:bottom w:val="single" w:sz="8" w:space="0" w:color="auto"/>
              <w:right w:val="single" w:sz="8" w:space="0" w:color="auto"/>
            </w:tcBorders>
            <w:shd w:val="clear" w:color="auto" w:fill="auto"/>
            <w:vAlign w:val="center"/>
            <w:hideMark/>
          </w:tcPr>
          <w:p w14:paraId="62F50490" w14:textId="77777777" w:rsidR="00DD13BF" w:rsidRPr="005C3041" w:rsidRDefault="00DD13BF" w:rsidP="00355A56">
            <w:pPr>
              <w:jc w:val="right"/>
              <w:rPr>
                <w:color w:val="000000"/>
                <w:sz w:val="16"/>
                <w:szCs w:val="16"/>
              </w:rPr>
            </w:pPr>
            <w:r>
              <w:rPr>
                <w:color w:val="000000"/>
                <w:sz w:val="16"/>
              </w:rPr>
              <w:t>88,551,540</w:t>
            </w:r>
          </w:p>
        </w:tc>
        <w:tc>
          <w:tcPr>
            <w:tcW w:w="384" w:type="pct"/>
            <w:tcBorders>
              <w:top w:val="nil"/>
              <w:left w:val="nil"/>
              <w:bottom w:val="single" w:sz="8" w:space="0" w:color="auto"/>
              <w:right w:val="single" w:sz="8" w:space="0" w:color="auto"/>
            </w:tcBorders>
            <w:shd w:val="clear" w:color="auto" w:fill="auto"/>
            <w:vAlign w:val="center"/>
            <w:hideMark/>
          </w:tcPr>
          <w:p w14:paraId="6CBCF03C" w14:textId="77777777" w:rsidR="00DD13BF" w:rsidRPr="005C3041" w:rsidRDefault="00DD13BF" w:rsidP="00355A56">
            <w:pPr>
              <w:jc w:val="right"/>
              <w:rPr>
                <w:color w:val="000000"/>
                <w:sz w:val="16"/>
                <w:szCs w:val="16"/>
              </w:rPr>
            </w:pPr>
            <w:r>
              <w:rPr>
                <w:color w:val="000000"/>
                <w:sz w:val="16"/>
              </w:rPr>
              <w:t>1,216,163,830</w:t>
            </w:r>
          </w:p>
        </w:tc>
      </w:tr>
      <w:tr w:rsidR="00DD13BF" w:rsidRPr="005C3041" w14:paraId="27347005" w14:textId="77777777" w:rsidTr="00355A56">
        <w:trPr>
          <w:trHeight w:val="315"/>
        </w:trPr>
        <w:tc>
          <w:tcPr>
            <w:tcW w:w="101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E7AC17" w14:textId="77777777" w:rsidR="00DD13BF" w:rsidRPr="005C3041" w:rsidRDefault="00DD13BF" w:rsidP="00355A56">
            <w:pPr>
              <w:rPr>
                <w:color w:val="000000"/>
                <w:sz w:val="16"/>
                <w:szCs w:val="16"/>
              </w:rPr>
            </w:pPr>
            <w:r>
              <w:rPr>
                <w:color w:val="000000"/>
                <w:sz w:val="16"/>
              </w:rPr>
              <w:t>Total</w:t>
            </w:r>
          </w:p>
        </w:tc>
        <w:tc>
          <w:tcPr>
            <w:tcW w:w="406" w:type="pct"/>
            <w:tcBorders>
              <w:top w:val="nil"/>
              <w:left w:val="nil"/>
              <w:bottom w:val="single" w:sz="8" w:space="0" w:color="auto"/>
              <w:right w:val="single" w:sz="8" w:space="0" w:color="auto"/>
            </w:tcBorders>
            <w:shd w:val="clear" w:color="auto" w:fill="auto"/>
            <w:noWrap/>
            <w:vAlign w:val="center"/>
            <w:hideMark/>
          </w:tcPr>
          <w:p w14:paraId="2CC1C43A"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noWrap/>
            <w:vAlign w:val="center"/>
            <w:hideMark/>
          </w:tcPr>
          <w:p w14:paraId="20919EB1" w14:textId="77777777" w:rsidR="00DD13BF" w:rsidRPr="005C3041" w:rsidRDefault="00DD13BF" w:rsidP="00355A56">
            <w:pPr>
              <w:jc w:val="right"/>
              <w:rPr>
                <w:color w:val="000000"/>
                <w:sz w:val="16"/>
                <w:szCs w:val="16"/>
              </w:rPr>
            </w:pPr>
            <w:r>
              <w:rPr>
                <w:color w:val="000000"/>
                <w:sz w:val="16"/>
              </w:rPr>
              <w:t>293,621,088</w:t>
            </w:r>
          </w:p>
        </w:tc>
        <w:tc>
          <w:tcPr>
            <w:tcW w:w="405" w:type="pct"/>
            <w:tcBorders>
              <w:top w:val="nil"/>
              <w:left w:val="nil"/>
              <w:bottom w:val="single" w:sz="8" w:space="0" w:color="auto"/>
              <w:right w:val="single" w:sz="8" w:space="0" w:color="auto"/>
            </w:tcBorders>
            <w:shd w:val="clear" w:color="auto" w:fill="auto"/>
            <w:noWrap/>
            <w:vAlign w:val="center"/>
            <w:hideMark/>
          </w:tcPr>
          <w:p w14:paraId="0D81B9EE" w14:textId="77777777" w:rsidR="00DD13BF" w:rsidRPr="005C3041" w:rsidRDefault="00DD13BF" w:rsidP="00355A56">
            <w:pPr>
              <w:jc w:val="right"/>
              <w:rPr>
                <w:color w:val="000000"/>
                <w:sz w:val="16"/>
                <w:szCs w:val="16"/>
              </w:rPr>
            </w:pPr>
            <w:r>
              <w:rPr>
                <w:color w:val="000000"/>
                <w:sz w:val="16"/>
              </w:rPr>
              <w:t>297,848,167</w:t>
            </w:r>
          </w:p>
        </w:tc>
        <w:tc>
          <w:tcPr>
            <w:tcW w:w="355" w:type="pct"/>
            <w:tcBorders>
              <w:top w:val="nil"/>
              <w:left w:val="nil"/>
              <w:bottom w:val="single" w:sz="8" w:space="0" w:color="auto"/>
              <w:right w:val="single" w:sz="8" w:space="0" w:color="auto"/>
            </w:tcBorders>
            <w:shd w:val="clear" w:color="auto" w:fill="auto"/>
            <w:noWrap/>
            <w:vAlign w:val="center"/>
            <w:hideMark/>
          </w:tcPr>
          <w:p w14:paraId="44C699D5" w14:textId="77777777" w:rsidR="00DD13BF" w:rsidRPr="005C3041" w:rsidRDefault="00DD13BF" w:rsidP="00355A56">
            <w:pPr>
              <w:jc w:val="right"/>
              <w:rPr>
                <w:color w:val="000000"/>
                <w:sz w:val="16"/>
                <w:szCs w:val="16"/>
              </w:rPr>
            </w:pPr>
            <w:r>
              <w:rPr>
                <w:color w:val="000000"/>
                <w:sz w:val="16"/>
              </w:rPr>
              <w:t>271,261,695</w:t>
            </w:r>
          </w:p>
        </w:tc>
        <w:tc>
          <w:tcPr>
            <w:tcW w:w="417" w:type="pct"/>
            <w:tcBorders>
              <w:top w:val="nil"/>
              <w:left w:val="nil"/>
              <w:bottom w:val="single" w:sz="8" w:space="0" w:color="auto"/>
              <w:right w:val="single" w:sz="8" w:space="0" w:color="auto"/>
            </w:tcBorders>
            <w:shd w:val="clear" w:color="auto" w:fill="auto"/>
            <w:noWrap/>
            <w:vAlign w:val="center"/>
            <w:hideMark/>
          </w:tcPr>
          <w:p w14:paraId="120846F7" w14:textId="77777777" w:rsidR="00DD13BF" w:rsidRPr="005C3041" w:rsidRDefault="00DD13BF" w:rsidP="00355A56">
            <w:pPr>
              <w:jc w:val="right"/>
              <w:rPr>
                <w:color w:val="000000"/>
                <w:sz w:val="16"/>
                <w:szCs w:val="16"/>
              </w:rPr>
            </w:pPr>
            <w:r>
              <w:rPr>
                <w:color w:val="000000"/>
                <w:sz w:val="16"/>
              </w:rPr>
              <w:t>275,656,850</w:t>
            </w:r>
          </w:p>
        </w:tc>
        <w:tc>
          <w:tcPr>
            <w:tcW w:w="392" w:type="pct"/>
            <w:tcBorders>
              <w:top w:val="nil"/>
              <w:left w:val="nil"/>
              <w:bottom w:val="single" w:sz="8" w:space="0" w:color="auto"/>
              <w:right w:val="single" w:sz="8" w:space="0" w:color="auto"/>
            </w:tcBorders>
            <w:shd w:val="clear" w:color="auto" w:fill="auto"/>
            <w:noWrap/>
            <w:vAlign w:val="center"/>
            <w:hideMark/>
          </w:tcPr>
          <w:p w14:paraId="62972940" w14:textId="77777777" w:rsidR="00DD13BF" w:rsidRPr="005C3041" w:rsidRDefault="00DD13BF" w:rsidP="00355A56">
            <w:pPr>
              <w:jc w:val="right"/>
              <w:rPr>
                <w:color w:val="000000"/>
                <w:sz w:val="16"/>
                <w:szCs w:val="16"/>
              </w:rPr>
            </w:pPr>
            <w:r>
              <w:rPr>
                <w:color w:val="000000"/>
                <w:sz w:val="16"/>
              </w:rPr>
              <w:t>114,211,096</w:t>
            </w:r>
          </w:p>
        </w:tc>
        <w:tc>
          <w:tcPr>
            <w:tcW w:w="392" w:type="pct"/>
            <w:tcBorders>
              <w:top w:val="nil"/>
              <w:left w:val="nil"/>
              <w:bottom w:val="single" w:sz="8" w:space="0" w:color="auto"/>
              <w:right w:val="single" w:sz="8" w:space="0" w:color="auto"/>
            </w:tcBorders>
            <w:shd w:val="clear" w:color="auto" w:fill="auto"/>
            <w:noWrap/>
            <w:vAlign w:val="center"/>
            <w:hideMark/>
          </w:tcPr>
          <w:p w14:paraId="5C166CF1" w14:textId="77777777" w:rsidR="00DD13BF" w:rsidRPr="005C3041" w:rsidRDefault="00DD13BF" w:rsidP="00355A56">
            <w:pPr>
              <w:jc w:val="right"/>
              <w:rPr>
                <w:color w:val="000000"/>
                <w:sz w:val="16"/>
                <w:szCs w:val="16"/>
              </w:rPr>
            </w:pPr>
            <w:r>
              <w:rPr>
                <w:color w:val="000000"/>
                <w:sz w:val="16"/>
              </w:rPr>
              <w:t>114,211,096</w:t>
            </w:r>
          </w:p>
        </w:tc>
        <w:tc>
          <w:tcPr>
            <w:tcW w:w="392" w:type="pct"/>
            <w:tcBorders>
              <w:top w:val="nil"/>
              <w:left w:val="nil"/>
              <w:bottom w:val="single" w:sz="8" w:space="0" w:color="auto"/>
              <w:right w:val="single" w:sz="8" w:space="0" w:color="auto"/>
            </w:tcBorders>
            <w:shd w:val="clear" w:color="auto" w:fill="auto"/>
            <w:noWrap/>
            <w:vAlign w:val="center"/>
            <w:hideMark/>
          </w:tcPr>
          <w:p w14:paraId="635E3A95" w14:textId="77777777" w:rsidR="00DD13BF" w:rsidRPr="005C3041" w:rsidRDefault="00DD13BF" w:rsidP="00355A56">
            <w:pPr>
              <w:jc w:val="right"/>
              <w:rPr>
                <w:color w:val="000000"/>
                <w:sz w:val="16"/>
                <w:szCs w:val="16"/>
              </w:rPr>
            </w:pPr>
            <w:r>
              <w:rPr>
                <w:color w:val="000000"/>
                <w:sz w:val="16"/>
              </w:rPr>
              <w:t>116,487,655</w:t>
            </w:r>
          </w:p>
        </w:tc>
        <w:tc>
          <w:tcPr>
            <w:tcW w:w="392" w:type="pct"/>
            <w:tcBorders>
              <w:top w:val="nil"/>
              <w:left w:val="nil"/>
              <w:bottom w:val="single" w:sz="8" w:space="0" w:color="auto"/>
              <w:right w:val="single" w:sz="8" w:space="0" w:color="auto"/>
            </w:tcBorders>
            <w:shd w:val="clear" w:color="auto" w:fill="auto"/>
            <w:noWrap/>
            <w:vAlign w:val="center"/>
            <w:hideMark/>
          </w:tcPr>
          <w:p w14:paraId="30FA4896" w14:textId="77777777" w:rsidR="00DD13BF" w:rsidRPr="005C3041" w:rsidRDefault="00DD13BF" w:rsidP="00355A56">
            <w:pPr>
              <w:jc w:val="right"/>
              <w:rPr>
                <w:color w:val="000000"/>
                <w:sz w:val="16"/>
                <w:szCs w:val="16"/>
              </w:rPr>
            </w:pPr>
            <w:r>
              <w:rPr>
                <w:color w:val="000000"/>
                <w:sz w:val="16"/>
              </w:rPr>
              <w:t>116,487,655</w:t>
            </w:r>
          </w:p>
        </w:tc>
        <w:tc>
          <w:tcPr>
            <w:tcW w:w="384" w:type="pct"/>
            <w:tcBorders>
              <w:top w:val="nil"/>
              <w:left w:val="nil"/>
              <w:bottom w:val="single" w:sz="8" w:space="0" w:color="auto"/>
              <w:right w:val="single" w:sz="8" w:space="0" w:color="auto"/>
            </w:tcBorders>
            <w:shd w:val="clear" w:color="auto" w:fill="auto"/>
            <w:noWrap/>
            <w:vAlign w:val="center"/>
            <w:hideMark/>
          </w:tcPr>
          <w:p w14:paraId="0CBF6FE6" w14:textId="77777777" w:rsidR="00DD13BF" w:rsidRPr="005C3041" w:rsidRDefault="00DD13BF" w:rsidP="00355A56">
            <w:pPr>
              <w:jc w:val="right"/>
              <w:rPr>
                <w:color w:val="000000"/>
                <w:sz w:val="16"/>
                <w:szCs w:val="16"/>
              </w:rPr>
            </w:pPr>
            <w:r>
              <w:rPr>
                <w:color w:val="000000"/>
                <w:sz w:val="16"/>
              </w:rPr>
              <w:t>1,599,785,302</w:t>
            </w:r>
          </w:p>
        </w:tc>
      </w:tr>
      <w:tr w:rsidR="00DD13BF" w:rsidRPr="005C3041" w14:paraId="5971BFA9" w14:textId="77777777" w:rsidTr="00355A56">
        <w:trPr>
          <w:trHeight w:val="315"/>
        </w:trPr>
        <w:tc>
          <w:tcPr>
            <w:tcW w:w="605"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21BA42C4" w14:textId="77777777" w:rsidR="00DD13BF" w:rsidRPr="005C3041" w:rsidRDefault="00DD13BF" w:rsidP="00355A56">
            <w:pPr>
              <w:rPr>
                <w:color w:val="000000"/>
                <w:sz w:val="16"/>
                <w:szCs w:val="16"/>
              </w:rPr>
            </w:pPr>
            <w:r>
              <w:rPr>
                <w:color w:val="000000"/>
                <w:sz w:val="16"/>
              </w:rPr>
              <w:t>ESF</w:t>
            </w:r>
          </w:p>
        </w:tc>
        <w:tc>
          <w:tcPr>
            <w:tcW w:w="405" w:type="pct"/>
            <w:tcBorders>
              <w:top w:val="nil"/>
              <w:left w:val="nil"/>
              <w:bottom w:val="single" w:sz="8" w:space="0" w:color="auto"/>
              <w:right w:val="single" w:sz="8" w:space="0" w:color="auto"/>
            </w:tcBorders>
            <w:shd w:val="clear" w:color="auto" w:fill="auto"/>
            <w:vAlign w:val="center"/>
            <w:hideMark/>
          </w:tcPr>
          <w:p w14:paraId="01A00F9B" w14:textId="77777777" w:rsidR="00DD13BF" w:rsidRPr="005C3041" w:rsidRDefault="00DD13BF" w:rsidP="00355A56">
            <w:pPr>
              <w:rPr>
                <w:color w:val="000000"/>
                <w:sz w:val="16"/>
                <w:szCs w:val="16"/>
              </w:rPr>
            </w:pPr>
            <w:r>
              <w:rPr>
                <w:color w:val="000000"/>
                <w:sz w:val="16"/>
              </w:rPr>
              <w:t>More developed</w:t>
            </w:r>
          </w:p>
        </w:tc>
        <w:tc>
          <w:tcPr>
            <w:tcW w:w="406" w:type="pct"/>
            <w:tcBorders>
              <w:top w:val="nil"/>
              <w:left w:val="nil"/>
              <w:bottom w:val="single" w:sz="8" w:space="0" w:color="auto"/>
              <w:right w:val="single" w:sz="8" w:space="0" w:color="auto"/>
            </w:tcBorders>
            <w:shd w:val="clear" w:color="auto" w:fill="auto"/>
            <w:vAlign w:val="center"/>
            <w:hideMark/>
          </w:tcPr>
          <w:p w14:paraId="74835BD6"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6E67193A" w14:textId="77777777" w:rsidR="00DD13BF" w:rsidRPr="005C3041" w:rsidRDefault="00DD13BF" w:rsidP="00355A56">
            <w:pPr>
              <w:jc w:val="right"/>
              <w:rPr>
                <w:color w:val="000000"/>
                <w:sz w:val="16"/>
                <w:szCs w:val="16"/>
              </w:rPr>
            </w:pPr>
            <w:r>
              <w:rPr>
                <w:color w:val="000000"/>
                <w:sz w:val="16"/>
              </w:rPr>
              <w:t>20,415,639</w:t>
            </w:r>
          </w:p>
        </w:tc>
        <w:tc>
          <w:tcPr>
            <w:tcW w:w="405" w:type="pct"/>
            <w:tcBorders>
              <w:top w:val="nil"/>
              <w:left w:val="nil"/>
              <w:bottom w:val="single" w:sz="8" w:space="0" w:color="auto"/>
              <w:right w:val="single" w:sz="8" w:space="0" w:color="auto"/>
            </w:tcBorders>
            <w:shd w:val="clear" w:color="auto" w:fill="auto"/>
            <w:vAlign w:val="center"/>
            <w:hideMark/>
          </w:tcPr>
          <w:p w14:paraId="043FAE73" w14:textId="77777777" w:rsidR="00DD13BF" w:rsidRPr="005C3041" w:rsidRDefault="00DD13BF" w:rsidP="00355A56">
            <w:pPr>
              <w:jc w:val="right"/>
              <w:rPr>
                <w:color w:val="000000"/>
                <w:sz w:val="16"/>
                <w:szCs w:val="16"/>
              </w:rPr>
            </w:pPr>
            <w:r>
              <w:rPr>
                <w:color w:val="000000"/>
                <w:sz w:val="16"/>
              </w:rPr>
              <w:t>20,894,675</w:t>
            </w:r>
          </w:p>
        </w:tc>
        <w:tc>
          <w:tcPr>
            <w:tcW w:w="355" w:type="pct"/>
            <w:tcBorders>
              <w:top w:val="nil"/>
              <w:left w:val="nil"/>
              <w:bottom w:val="single" w:sz="8" w:space="0" w:color="auto"/>
              <w:right w:val="single" w:sz="8" w:space="0" w:color="auto"/>
            </w:tcBorders>
            <w:shd w:val="clear" w:color="auto" w:fill="auto"/>
            <w:vAlign w:val="center"/>
            <w:hideMark/>
          </w:tcPr>
          <w:p w14:paraId="1A14264E" w14:textId="77777777" w:rsidR="00DD13BF" w:rsidRPr="005C3041" w:rsidRDefault="00DD13BF" w:rsidP="00355A56">
            <w:pPr>
              <w:jc w:val="right"/>
              <w:rPr>
                <w:color w:val="000000"/>
                <w:sz w:val="16"/>
                <w:szCs w:val="16"/>
              </w:rPr>
            </w:pPr>
            <w:r>
              <w:rPr>
                <w:color w:val="000000"/>
                <w:sz w:val="16"/>
              </w:rPr>
              <w:t>28,794,253</w:t>
            </w:r>
          </w:p>
        </w:tc>
        <w:tc>
          <w:tcPr>
            <w:tcW w:w="417" w:type="pct"/>
            <w:tcBorders>
              <w:top w:val="nil"/>
              <w:left w:val="nil"/>
              <w:bottom w:val="single" w:sz="8" w:space="0" w:color="auto"/>
              <w:right w:val="single" w:sz="8" w:space="0" w:color="auto"/>
            </w:tcBorders>
            <w:shd w:val="clear" w:color="auto" w:fill="auto"/>
            <w:vAlign w:val="center"/>
            <w:hideMark/>
          </w:tcPr>
          <w:p w14:paraId="120E3E7A" w14:textId="77777777" w:rsidR="00DD13BF" w:rsidRPr="005C3041" w:rsidRDefault="00DD13BF" w:rsidP="00355A56">
            <w:pPr>
              <w:jc w:val="right"/>
              <w:rPr>
                <w:color w:val="000000"/>
                <w:sz w:val="16"/>
                <w:szCs w:val="16"/>
              </w:rPr>
            </w:pPr>
            <w:r>
              <w:rPr>
                <w:color w:val="000000"/>
                <w:sz w:val="16"/>
              </w:rPr>
              <w:t>29,292,738</w:t>
            </w:r>
          </w:p>
        </w:tc>
        <w:tc>
          <w:tcPr>
            <w:tcW w:w="392" w:type="pct"/>
            <w:tcBorders>
              <w:top w:val="nil"/>
              <w:left w:val="nil"/>
              <w:bottom w:val="single" w:sz="8" w:space="0" w:color="auto"/>
              <w:right w:val="single" w:sz="8" w:space="0" w:color="auto"/>
            </w:tcBorders>
            <w:shd w:val="clear" w:color="auto" w:fill="auto"/>
            <w:vAlign w:val="center"/>
            <w:hideMark/>
          </w:tcPr>
          <w:p w14:paraId="477F9461" w14:textId="77777777" w:rsidR="00DD13BF" w:rsidRPr="005C3041" w:rsidRDefault="00DD13BF" w:rsidP="00355A56">
            <w:pPr>
              <w:jc w:val="right"/>
              <w:rPr>
                <w:color w:val="000000"/>
                <w:sz w:val="16"/>
                <w:szCs w:val="16"/>
              </w:rPr>
            </w:pPr>
            <w:r>
              <w:rPr>
                <w:color w:val="000000"/>
                <w:sz w:val="16"/>
              </w:rPr>
              <w:t>11,968,911</w:t>
            </w:r>
          </w:p>
        </w:tc>
        <w:tc>
          <w:tcPr>
            <w:tcW w:w="392" w:type="pct"/>
            <w:tcBorders>
              <w:top w:val="nil"/>
              <w:left w:val="nil"/>
              <w:bottom w:val="single" w:sz="8" w:space="0" w:color="auto"/>
              <w:right w:val="single" w:sz="8" w:space="0" w:color="auto"/>
            </w:tcBorders>
            <w:shd w:val="clear" w:color="auto" w:fill="auto"/>
            <w:vAlign w:val="center"/>
            <w:hideMark/>
          </w:tcPr>
          <w:p w14:paraId="046C20B6" w14:textId="77777777" w:rsidR="00DD13BF" w:rsidRPr="005C3041" w:rsidRDefault="00DD13BF" w:rsidP="00355A56">
            <w:pPr>
              <w:jc w:val="right"/>
              <w:rPr>
                <w:color w:val="000000"/>
                <w:sz w:val="16"/>
                <w:szCs w:val="16"/>
              </w:rPr>
            </w:pPr>
            <w:r>
              <w:rPr>
                <w:color w:val="000000"/>
                <w:sz w:val="16"/>
              </w:rPr>
              <w:t>11,968,910</w:t>
            </w:r>
          </w:p>
        </w:tc>
        <w:tc>
          <w:tcPr>
            <w:tcW w:w="392" w:type="pct"/>
            <w:tcBorders>
              <w:top w:val="nil"/>
              <w:left w:val="nil"/>
              <w:bottom w:val="single" w:sz="8" w:space="0" w:color="auto"/>
              <w:right w:val="single" w:sz="8" w:space="0" w:color="auto"/>
            </w:tcBorders>
            <w:shd w:val="clear" w:color="auto" w:fill="auto"/>
            <w:vAlign w:val="center"/>
            <w:hideMark/>
          </w:tcPr>
          <w:p w14:paraId="432FA6EE" w14:textId="77777777" w:rsidR="00DD13BF" w:rsidRPr="005C3041" w:rsidRDefault="00DD13BF" w:rsidP="00355A56">
            <w:pPr>
              <w:jc w:val="right"/>
              <w:rPr>
                <w:color w:val="000000"/>
                <w:sz w:val="16"/>
                <w:szCs w:val="16"/>
              </w:rPr>
            </w:pPr>
            <w:r>
              <w:rPr>
                <w:color w:val="000000"/>
                <w:sz w:val="16"/>
              </w:rPr>
              <w:t>12,228,224</w:t>
            </w:r>
          </w:p>
        </w:tc>
        <w:tc>
          <w:tcPr>
            <w:tcW w:w="392" w:type="pct"/>
            <w:tcBorders>
              <w:top w:val="nil"/>
              <w:left w:val="nil"/>
              <w:bottom w:val="single" w:sz="8" w:space="0" w:color="auto"/>
              <w:right w:val="single" w:sz="8" w:space="0" w:color="auto"/>
            </w:tcBorders>
            <w:shd w:val="clear" w:color="auto" w:fill="auto"/>
            <w:vAlign w:val="center"/>
            <w:hideMark/>
          </w:tcPr>
          <w:p w14:paraId="1623D6E0" w14:textId="77777777" w:rsidR="00DD13BF" w:rsidRPr="005C3041" w:rsidRDefault="00DD13BF" w:rsidP="00355A56">
            <w:pPr>
              <w:jc w:val="right"/>
              <w:rPr>
                <w:color w:val="000000"/>
                <w:sz w:val="16"/>
                <w:szCs w:val="16"/>
              </w:rPr>
            </w:pPr>
            <w:r>
              <w:rPr>
                <w:color w:val="000000"/>
                <w:sz w:val="16"/>
              </w:rPr>
              <w:t>12,228,224</w:t>
            </w:r>
          </w:p>
        </w:tc>
        <w:tc>
          <w:tcPr>
            <w:tcW w:w="384" w:type="pct"/>
            <w:tcBorders>
              <w:top w:val="nil"/>
              <w:left w:val="nil"/>
              <w:bottom w:val="single" w:sz="8" w:space="0" w:color="auto"/>
              <w:right w:val="single" w:sz="8" w:space="0" w:color="auto"/>
            </w:tcBorders>
            <w:shd w:val="clear" w:color="auto" w:fill="auto"/>
            <w:vAlign w:val="center"/>
            <w:hideMark/>
          </w:tcPr>
          <w:p w14:paraId="77F6FDC1" w14:textId="77777777" w:rsidR="00DD13BF" w:rsidRPr="005C3041" w:rsidRDefault="00DD13BF" w:rsidP="00355A56">
            <w:pPr>
              <w:jc w:val="right"/>
              <w:rPr>
                <w:color w:val="000000"/>
                <w:sz w:val="16"/>
                <w:szCs w:val="16"/>
              </w:rPr>
            </w:pPr>
            <w:r>
              <w:rPr>
                <w:color w:val="000000"/>
                <w:sz w:val="16"/>
              </w:rPr>
              <w:t>147,791,574</w:t>
            </w:r>
          </w:p>
        </w:tc>
      </w:tr>
      <w:tr w:rsidR="00DD13BF" w:rsidRPr="005C3041" w14:paraId="26280DCA" w14:textId="77777777" w:rsidTr="00355A56">
        <w:trPr>
          <w:trHeight w:val="315"/>
        </w:trPr>
        <w:tc>
          <w:tcPr>
            <w:tcW w:w="605" w:type="pct"/>
            <w:gridSpan w:val="2"/>
            <w:vMerge/>
            <w:tcBorders>
              <w:top w:val="single" w:sz="8" w:space="0" w:color="auto"/>
              <w:left w:val="single" w:sz="8" w:space="0" w:color="auto"/>
              <w:bottom w:val="nil"/>
              <w:right w:val="single" w:sz="8" w:space="0" w:color="000000"/>
            </w:tcBorders>
            <w:vAlign w:val="center"/>
            <w:hideMark/>
          </w:tcPr>
          <w:p w14:paraId="7BD29B9F" w14:textId="77777777" w:rsidR="00DD13BF" w:rsidRPr="005C3041" w:rsidRDefault="00DD13BF" w:rsidP="00355A56">
            <w:pPr>
              <w:rPr>
                <w:color w:val="000000"/>
                <w:sz w:val="16"/>
                <w:szCs w:val="16"/>
              </w:rPr>
            </w:pPr>
          </w:p>
        </w:tc>
        <w:tc>
          <w:tcPr>
            <w:tcW w:w="405" w:type="pct"/>
            <w:tcBorders>
              <w:top w:val="nil"/>
              <w:left w:val="nil"/>
              <w:bottom w:val="single" w:sz="8" w:space="0" w:color="auto"/>
              <w:right w:val="single" w:sz="8" w:space="0" w:color="auto"/>
            </w:tcBorders>
            <w:shd w:val="clear" w:color="auto" w:fill="auto"/>
            <w:vAlign w:val="center"/>
            <w:hideMark/>
          </w:tcPr>
          <w:p w14:paraId="59A90BCF" w14:textId="77777777" w:rsidR="00DD13BF" w:rsidRPr="005C3041" w:rsidRDefault="00DD13BF" w:rsidP="00355A56">
            <w:pPr>
              <w:rPr>
                <w:color w:val="000000"/>
                <w:sz w:val="16"/>
                <w:szCs w:val="16"/>
              </w:rPr>
            </w:pPr>
            <w:r>
              <w:rPr>
                <w:color w:val="000000"/>
                <w:sz w:val="16"/>
              </w:rPr>
              <w:t>Less developed</w:t>
            </w:r>
          </w:p>
        </w:tc>
        <w:tc>
          <w:tcPr>
            <w:tcW w:w="406" w:type="pct"/>
            <w:tcBorders>
              <w:top w:val="nil"/>
              <w:left w:val="nil"/>
              <w:bottom w:val="single" w:sz="8" w:space="0" w:color="auto"/>
              <w:right w:val="single" w:sz="8" w:space="0" w:color="auto"/>
            </w:tcBorders>
            <w:shd w:val="clear" w:color="auto" w:fill="auto"/>
            <w:vAlign w:val="center"/>
            <w:hideMark/>
          </w:tcPr>
          <w:p w14:paraId="4536F784"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68C24B55" w14:textId="77777777" w:rsidR="00DD13BF" w:rsidRPr="005C3041" w:rsidRDefault="00DD13BF" w:rsidP="00355A56">
            <w:pPr>
              <w:jc w:val="right"/>
              <w:rPr>
                <w:color w:val="000000"/>
                <w:sz w:val="16"/>
                <w:szCs w:val="16"/>
              </w:rPr>
            </w:pPr>
            <w:r>
              <w:rPr>
                <w:color w:val="000000"/>
                <w:sz w:val="16"/>
              </w:rPr>
              <w:t>67,995,674</w:t>
            </w:r>
          </w:p>
        </w:tc>
        <w:tc>
          <w:tcPr>
            <w:tcW w:w="405" w:type="pct"/>
            <w:tcBorders>
              <w:top w:val="nil"/>
              <w:left w:val="nil"/>
              <w:bottom w:val="single" w:sz="8" w:space="0" w:color="auto"/>
              <w:right w:val="single" w:sz="8" w:space="0" w:color="auto"/>
            </w:tcBorders>
            <w:shd w:val="clear" w:color="auto" w:fill="auto"/>
            <w:vAlign w:val="center"/>
            <w:hideMark/>
          </w:tcPr>
          <w:p w14:paraId="00D0E78E" w14:textId="77777777" w:rsidR="00DD13BF" w:rsidRPr="005C3041" w:rsidRDefault="00DD13BF" w:rsidP="00355A56">
            <w:pPr>
              <w:jc w:val="right"/>
              <w:rPr>
                <w:color w:val="000000"/>
                <w:sz w:val="16"/>
                <w:szCs w:val="16"/>
              </w:rPr>
            </w:pPr>
            <w:r>
              <w:rPr>
                <w:color w:val="000000"/>
                <w:sz w:val="16"/>
              </w:rPr>
              <w:t>69,514,319</w:t>
            </w:r>
          </w:p>
        </w:tc>
        <w:tc>
          <w:tcPr>
            <w:tcW w:w="355" w:type="pct"/>
            <w:tcBorders>
              <w:top w:val="nil"/>
              <w:left w:val="nil"/>
              <w:bottom w:val="single" w:sz="8" w:space="0" w:color="auto"/>
              <w:right w:val="single" w:sz="8" w:space="0" w:color="auto"/>
            </w:tcBorders>
            <w:shd w:val="clear" w:color="auto" w:fill="auto"/>
            <w:vAlign w:val="center"/>
            <w:hideMark/>
          </w:tcPr>
          <w:p w14:paraId="694FE6BC" w14:textId="77777777" w:rsidR="00DD13BF" w:rsidRPr="005C3041" w:rsidRDefault="00DD13BF" w:rsidP="00355A56">
            <w:pPr>
              <w:jc w:val="right"/>
              <w:rPr>
                <w:color w:val="000000"/>
                <w:sz w:val="16"/>
                <w:szCs w:val="16"/>
              </w:rPr>
            </w:pPr>
            <w:r>
              <w:rPr>
                <w:color w:val="000000"/>
                <w:sz w:val="16"/>
              </w:rPr>
              <w:t>94,557,707</w:t>
            </w:r>
          </w:p>
        </w:tc>
        <w:tc>
          <w:tcPr>
            <w:tcW w:w="417" w:type="pct"/>
            <w:tcBorders>
              <w:top w:val="nil"/>
              <w:left w:val="nil"/>
              <w:bottom w:val="single" w:sz="8" w:space="0" w:color="auto"/>
              <w:right w:val="single" w:sz="8" w:space="0" w:color="auto"/>
            </w:tcBorders>
            <w:shd w:val="clear" w:color="auto" w:fill="auto"/>
            <w:vAlign w:val="center"/>
            <w:hideMark/>
          </w:tcPr>
          <w:p w14:paraId="3953A453" w14:textId="77777777" w:rsidR="00DD13BF" w:rsidRPr="005C3041" w:rsidRDefault="00DD13BF" w:rsidP="00355A56">
            <w:pPr>
              <w:jc w:val="right"/>
              <w:rPr>
                <w:color w:val="000000"/>
                <w:sz w:val="16"/>
                <w:szCs w:val="16"/>
              </w:rPr>
            </w:pPr>
            <w:r>
              <w:rPr>
                <w:color w:val="000000"/>
                <w:sz w:val="16"/>
              </w:rPr>
              <w:t>96,138,019</w:t>
            </w:r>
          </w:p>
        </w:tc>
        <w:tc>
          <w:tcPr>
            <w:tcW w:w="392" w:type="pct"/>
            <w:tcBorders>
              <w:top w:val="nil"/>
              <w:left w:val="nil"/>
              <w:bottom w:val="single" w:sz="8" w:space="0" w:color="auto"/>
              <w:right w:val="single" w:sz="8" w:space="0" w:color="auto"/>
            </w:tcBorders>
            <w:shd w:val="clear" w:color="auto" w:fill="auto"/>
            <w:vAlign w:val="center"/>
            <w:hideMark/>
          </w:tcPr>
          <w:p w14:paraId="58D3C3EA" w14:textId="77777777" w:rsidR="00DD13BF" w:rsidRPr="005C3041" w:rsidRDefault="00DD13BF" w:rsidP="00355A56">
            <w:pPr>
              <w:jc w:val="right"/>
              <w:rPr>
                <w:color w:val="000000"/>
                <w:sz w:val="16"/>
                <w:szCs w:val="16"/>
              </w:rPr>
            </w:pPr>
            <w:r>
              <w:rPr>
                <w:color w:val="000000"/>
                <w:sz w:val="16"/>
              </w:rPr>
              <w:t>39,580,881</w:t>
            </w:r>
          </w:p>
        </w:tc>
        <w:tc>
          <w:tcPr>
            <w:tcW w:w="392" w:type="pct"/>
            <w:tcBorders>
              <w:top w:val="nil"/>
              <w:left w:val="nil"/>
              <w:bottom w:val="single" w:sz="8" w:space="0" w:color="auto"/>
              <w:right w:val="single" w:sz="8" w:space="0" w:color="auto"/>
            </w:tcBorders>
            <w:shd w:val="clear" w:color="auto" w:fill="auto"/>
            <w:vAlign w:val="center"/>
            <w:hideMark/>
          </w:tcPr>
          <w:p w14:paraId="4F0FD7F3" w14:textId="77777777" w:rsidR="00DD13BF" w:rsidRPr="005C3041" w:rsidRDefault="00DD13BF" w:rsidP="00355A56">
            <w:pPr>
              <w:jc w:val="right"/>
              <w:rPr>
                <w:color w:val="000000"/>
                <w:sz w:val="16"/>
                <w:szCs w:val="16"/>
              </w:rPr>
            </w:pPr>
            <w:r>
              <w:rPr>
                <w:color w:val="000000"/>
                <w:sz w:val="16"/>
              </w:rPr>
              <w:t>39,580,881</w:t>
            </w:r>
          </w:p>
        </w:tc>
        <w:tc>
          <w:tcPr>
            <w:tcW w:w="392" w:type="pct"/>
            <w:tcBorders>
              <w:top w:val="nil"/>
              <w:left w:val="nil"/>
              <w:bottom w:val="single" w:sz="8" w:space="0" w:color="auto"/>
              <w:right w:val="single" w:sz="8" w:space="0" w:color="auto"/>
            </w:tcBorders>
            <w:shd w:val="clear" w:color="auto" w:fill="auto"/>
            <w:vAlign w:val="center"/>
            <w:hideMark/>
          </w:tcPr>
          <w:p w14:paraId="2DDC6D5B" w14:textId="77777777" w:rsidR="00DD13BF" w:rsidRPr="005C3041" w:rsidRDefault="00DD13BF" w:rsidP="00355A56">
            <w:pPr>
              <w:jc w:val="right"/>
              <w:rPr>
                <w:color w:val="000000"/>
                <w:sz w:val="16"/>
                <w:szCs w:val="16"/>
              </w:rPr>
            </w:pPr>
            <w:r>
              <w:rPr>
                <w:color w:val="000000"/>
                <w:sz w:val="16"/>
              </w:rPr>
              <w:t>40,402,970</w:t>
            </w:r>
          </w:p>
        </w:tc>
        <w:tc>
          <w:tcPr>
            <w:tcW w:w="392" w:type="pct"/>
            <w:tcBorders>
              <w:top w:val="nil"/>
              <w:left w:val="nil"/>
              <w:bottom w:val="single" w:sz="8" w:space="0" w:color="auto"/>
              <w:right w:val="single" w:sz="8" w:space="0" w:color="auto"/>
            </w:tcBorders>
            <w:shd w:val="clear" w:color="auto" w:fill="auto"/>
            <w:vAlign w:val="center"/>
            <w:hideMark/>
          </w:tcPr>
          <w:p w14:paraId="7C5BFAFF" w14:textId="77777777" w:rsidR="00DD13BF" w:rsidRPr="005C3041" w:rsidRDefault="00DD13BF" w:rsidP="00355A56">
            <w:pPr>
              <w:jc w:val="right"/>
              <w:rPr>
                <w:color w:val="000000"/>
                <w:sz w:val="16"/>
                <w:szCs w:val="16"/>
              </w:rPr>
            </w:pPr>
            <w:r>
              <w:rPr>
                <w:color w:val="000000"/>
                <w:sz w:val="16"/>
              </w:rPr>
              <w:t>40,402,970</w:t>
            </w:r>
          </w:p>
        </w:tc>
        <w:tc>
          <w:tcPr>
            <w:tcW w:w="384" w:type="pct"/>
            <w:tcBorders>
              <w:top w:val="nil"/>
              <w:left w:val="nil"/>
              <w:bottom w:val="single" w:sz="8" w:space="0" w:color="auto"/>
              <w:right w:val="single" w:sz="8" w:space="0" w:color="auto"/>
            </w:tcBorders>
            <w:shd w:val="clear" w:color="auto" w:fill="auto"/>
            <w:vAlign w:val="center"/>
            <w:hideMark/>
          </w:tcPr>
          <w:p w14:paraId="6FB8F8A7" w14:textId="77777777" w:rsidR="00DD13BF" w:rsidRPr="005C3041" w:rsidRDefault="00DD13BF" w:rsidP="00355A56">
            <w:pPr>
              <w:jc w:val="right"/>
              <w:rPr>
                <w:color w:val="000000"/>
                <w:sz w:val="16"/>
                <w:szCs w:val="16"/>
              </w:rPr>
            </w:pPr>
            <w:r>
              <w:rPr>
                <w:color w:val="000000"/>
                <w:sz w:val="16"/>
              </w:rPr>
              <w:t>488,173,421</w:t>
            </w:r>
          </w:p>
        </w:tc>
      </w:tr>
      <w:tr w:rsidR="00DD13BF" w:rsidRPr="005C3041" w14:paraId="2EADD8CE" w14:textId="77777777" w:rsidTr="00355A56">
        <w:trPr>
          <w:trHeight w:val="315"/>
        </w:trPr>
        <w:tc>
          <w:tcPr>
            <w:tcW w:w="101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A5C03E" w14:textId="77777777" w:rsidR="00DD13BF" w:rsidRPr="005C3041" w:rsidRDefault="00DD13BF" w:rsidP="00355A56">
            <w:pPr>
              <w:rPr>
                <w:color w:val="000000"/>
                <w:sz w:val="16"/>
                <w:szCs w:val="16"/>
              </w:rPr>
            </w:pPr>
            <w:r>
              <w:rPr>
                <w:color w:val="000000"/>
                <w:sz w:val="16"/>
              </w:rPr>
              <w:t>Total</w:t>
            </w:r>
          </w:p>
        </w:tc>
        <w:tc>
          <w:tcPr>
            <w:tcW w:w="406" w:type="pct"/>
            <w:tcBorders>
              <w:top w:val="nil"/>
              <w:left w:val="nil"/>
              <w:bottom w:val="single" w:sz="8" w:space="0" w:color="auto"/>
              <w:right w:val="single" w:sz="8" w:space="0" w:color="auto"/>
            </w:tcBorders>
            <w:shd w:val="clear" w:color="auto" w:fill="auto"/>
            <w:noWrap/>
            <w:vAlign w:val="center"/>
            <w:hideMark/>
          </w:tcPr>
          <w:p w14:paraId="16CCFDC4"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noWrap/>
            <w:vAlign w:val="center"/>
            <w:hideMark/>
          </w:tcPr>
          <w:p w14:paraId="5130099D" w14:textId="77777777" w:rsidR="00DD13BF" w:rsidRPr="005C3041" w:rsidRDefault="00DD13BF" w:rsidP="00355A56">
            <w:pPr>
              <w:jc w:val="right"/>
              <w:rPr>
                <w:color w:val="000000"/>
                <w:sz w:val="16"/>
                <w:szCs w:val="16"/>
              </w:rPr>
            </w:pPr>
            <w:r>
              <w:rPr>
                <w:color w:val="000000"/>
                <w:sz w:val="16"/>
              </w:rPr>
              <w:t>88,411,313</w:t>
            </w:r>
          </w:p>
        </w:tc>
        <w:tc>
          <w:tcPr>
            <w:tcW w:w="405" w:type="pct"/>
            <w:tcBorders>
              <w:top w:val="nil"/>
              <w:left w:val="nil"/>
              <w:bottom w:val="single" w:sz="8" w:space="0" w:color="auto"/>
              <w:right w:val="single" w:sz="8" w:space="0" w:color="auto"/>
            </w:tcBorders>
            <w:shd w:val="clear" w:color="auto" w:fill="auto"/>
            <w:noWrap/>
            <w:vAlign w:val="center"/>
            <w:hideMark/>
          </w:tcPr>
          <w:p w14:paraId="3AEDBBD4" w14:textId="77777777" w:rsidR="00DD13BF" w:rsidRPr="005C3041" w:rsidRDefault="00DD13BF" w:rsidP="00355A56">
            <w:pPr>
              <w:jc w:val="right"/>
              <w:rPr>
                <w:color w:val="000000"/>
                <w:sz w:val="16"/>
                <w:szCs w:val="16"/>
              </w:rPr>
            </w:pPr>
            <w:r>
              <w:rPr>
                <w:color w:val="000000"/>
                <w:sz w:val="16"/>
              </w:rPr>
              <w:t>90,408,994</w:t>
            </w:r>
          </w:p>
        </w:tc>
        <w:tc>
          <w:tcPr>
            <w:tcW w:w="355" w:type="pct"/>
            <w:tcBorders>
              <w:top w:val="nil"/>
              <w:left w:val="nil"/>
              <w:bottom w:val="single" w:sz="8" w:space="0" w:color="auto"/>
              <w:right w:val="single" w:sz="8" w:space="0" w:color="auto"/>
            </w:tcBorders>
            <w:shd w:val="clear" w:color="auto" w:fill="auto"/>
            <w:noWrap/>
            <w:vAlign w:val="center"/>
            <w:hideMark/>
          </w:tcPr>
          <w:p w14:paraId="4D4B8E27" w14:textId="77777777" w:rsidR="00DD13BF" w:rsidRPr="005C3041" w:rsidRDefault="00DD13BF" w:rsidP="00355A56">
            <w:pPr>
              <w:jc w:val="right"/>
              <w:rPr>
                <w:color w:val="000000"/>
                <w:sz w:val="16"/>
                <w:szCs w:val="16"/>
              </w:rPr>
            </w:pPr>
            <w:r>
              <w:rPr>
                <w:color w:val="000000"/>
                <w:sz w:val="16"/>
              </w:rPr>
              <w:t>123,351,960</w:t>
            </w:r>
          </w:p>
        </w:tc>
        <w:tc>
          <w:tcPr>
            <w:tcW w:w="417" w:type="pct"/>
            <w:tcBorders>
              <w:top w:val="nil"/>
              <w:left w:val="nil"/>
              <w:bottom w:val="single" w:sz="8" w:space="0" w:color="auto"/>
              <w:right w:val="single" w:sz="8" w:space="0" w:color="auto"/>
            </w:tcBorders>
            <w:shd w:val="clear" w:color="auto" w:fill="auto"/>
            <w:noWrap/>
            <w:vAlign w:val="center"/>
            <w:hideMark/>
          </w:tcPr>
          <w:p w14:paraId="66995BB6" w14:textId="77777777" w:rsidR="00DD13BF" w:rsidRPr="005C3041" w:rsidRDefault="00DD13BF" w:rsidP="00355A56">
            <w:pPr>
              <w:jc w:val="right"/>
              <w:rPr>
                <w:color w:val="000000"/>
                <w:sz w:val="16"/>
                <w:szCs w:val="16"/>
              </w:rPr>
            </w:pPr>
            <w:r>
              <w:rPr>
                <w:color w:val="000000"/>
                <w:sz w:val="16"/>
              </w:rPr>
              <w:t>125,430,757</w:t>
            </w:r>
          </w:p>
        </w:tc>
        <w:tc>
          <w:tcPr>
            <w:tcW w:w="392" w:type="pct"/>
            <w:tcBorders>
              <w:top w:val="nil"/>
              <w:left w:val="nil"/>
              <w:bottom w:val="single" w:sz="8" w:space="0" w:color="auto"/>
              <w:right w:val="single" w:sz="8" w:space="0" w:color="auto"/>
            </w:tcBorders>
            <w:shd w:val="clear" w:color="auto" w:fill="auto"/>
            <w:noWrap/>
            <w:vAlign w:val="center"/>
            <w:hideMark/>
          </w:tcPr>
          <w:p w14:paraId="24604463" w14:textId="77777777" w:rsidR="00DD13BF" w:rsidRPr="005C3041" w:rsidRDefault="00DD13BF" w:rsidP="00355A56">
            <w:pPr>
              <w:jc w:val="right"/>
              <w:rPr>
                <w:color w:val="000000"/>
                <w:sz w:val="16"/>
                <w:szCs w:val="16"/>
              </w:rPr>
            </w:pPr>
            <w:r>
              <w:rPr>
                <w:color w:val="000000"/>
                <w:sz w:val="16"/>
              </w:rPr>
              <w:t>51,549,792</w:t>
            </w:r>
          </w:p>
        </w:tc>
        <w:tc>
          <w:tcPr>
            <w:tcW w:w="392" w:type="pct"/>
            <w:tcBorders>
              <w:top w:val="nil"/>
              <w:left w:val="nil"/>
              <w:bottom w:val="single" w:sz="8" w:space="0" w:color="auto"/>
              <w:right w:val="single" w:sz="8" w:space="0" w:color="auto"/>
            </w:tcBorders>
            <w:shd w:val="clear" w:color="auto" w:fill="auto"/>
            <w:noWrap/>
            <w:vAlign w:val="center"/>
            <w:hideMark/>
          </w:tcPr>
          <w:p w14:paraId="1C2C59B1" w14:textId="77777777" w:rsidR="00DD13BF" w:rsidRPr="005C3041" w:rsidRDefault="00DD13BF" w:rsidP="00355A56">
            <w:pPr>
              <w:jc w:val="right"/>
              <w:rPr>
                <w:color w:val="000000"/>
                <w:sz w:val="16"/>
                <w:szCs w:val="16"/>
              </w:rPr>
            </w:pPr>
            <w:r>
              <w:rPr>
                <w:color w:val="000000"/>
                <w:sz w:val="16"/>
              </w:rPr>
              <w:t>51,549,791</w:t>
            </w:r>
          </w:p>
        </w:tc>
        <w:tc>
          <w:tcPr>
            <w:tcW w:w="392" w:type="pct"/>
            <w:tcBorders>
              <w:top w:val="nil"/>
              <w:left w:val="nil"/>
              <w:bottom w:val="single" w:sz="8" w:space="0" w:color="auto"/>
              <w:right w:val="single" w:sz="8" w:space="0" w:color="auto"/>
            </w:tcBorders>
            <w:shd w:val="clear" w:color="auto" w:fill="auto"/>
            <w:noWrap/>
            <w:vAlign w:val="center"/>
            <w:hideMark/>
          </w:tcPr>
          <w:p w14:paraId="6C7998F7" w14:textId="77777777" w:rsidR="00DD13BF" w:rsidRPr="005C3041" w:rsidRDefault="00DD13BF" w:rsidP="00355A56">
            <w:pPr>
              <w:jc w:val="right"/>
              <w:rPr>
                <w:color w:val="000000"/>
                <w:sz w:val="16"/>
                <w:szCs w:val="16"/>
              </w:rPr>
            </w:pPr>
            <w:r>
              <w:rPr>
                <w:color w:val="000000"/>
                <w:sz w:val="16"/>
              </w:rPr>
              <w:t>52,631,194</w:t>
            </w:r>
          </w:p>
        </w:tc>
        <w:tc>
          <w:tcPr>
            <w:tcW w:w="392" w:type="pct"/>
            <w:tcBorders>
              <w:top w:val="nil"/>
              <w:left w:val="nil"/>
              <w:bottom w:val="single" w:sz="8" w:space="0" w:color="auto"/>
              <w:right w:val="single" w:sz="8" w:space="0" w:color="auto"/>
            </w:tcBorders>
            <w:shd w:val="clear" w:color="auto" w:fill="auto"/>
            <w:noWrap/>
            <w:vAlign w:val="center"/>
            <w:hideMark/>
          </w:tcPr>
          <w:p w14:paraId="0FEE2861" w14:textId="77777777" w:rsidR="00DD13BF" w:rsidRPr="005C3041" w:rsidRDefault="00DD13BF" w:rsidP="00355A56">
            <w:pPr>
              <w:jc w:val="right"/>
              <w:rPr>
                <w:color w:val="000000"/>
                <w:sz w:val="16"/>
                <w:szCs w:val="16"/>
              </w:rPr>
            </w:pPr>
            <w:r>
              <w:rPr>
                <w:color w:val="000000"/>
                <w:sz w:val="16"/>
              </w:rPr>
              <w:t>52,631,194</w:t>
            </w:r>
          </w:p>
        </w:tc>
        <w:tc>
          <w:tcPr>
            <w:tcW w:w="384" w:type="pct"/>
            <w:tcBorders>
              <w:top w:val="nil"/>
              <w:left w:val="nil"/>
              <w:bottom w:val="single" w:sz="8" w:space="0" w:color="auto"/>
              <w:right w:val="single" w:sz="8" w:space="0" w:color="auto"/>
            </w:tcBorders>
            <w:shd w:val="clear" w:color="auto" w:fill="auto"/>
            <w:noWrap/>
            <w:vAlign w:val="center"/>
            <w:hideMark/>
          </w:tcPr>
          <w:p w14:paraId="3E8FD366" w14:textId="77777777" w:rsidR="00DD13BF" w:rsidRPr="005C3041" w:rsidRDefault="00DD13BF" w:rsidP="00355A56">
            <w:pPr>
              <w:jc w:val="right"/>
              <w:rPr>
                <w:color w:val="000000"/>
                <w:sz w:val="16"/>
                <w:szCs w:val="16"/>
              </w:rPr>
            </w:pPr>
            <w:r>
              <w:rPr>
                <w:color w:val="000000"/>
                <w:sz w:val="16"/>
              </w:rPr>
              <w:t>635,964,995</w:t>
            </w:r>
          </w:p>
        </w:tc>
      </w:tr>
      <w:tr w:rsidR="00DD13BF" w:rsidRPr="005C3041" w14:paraId="6E3CB793" w14:textId="77777777" w:rsidTr="00355A56">
        <w:trPr>
          <w:trHeight w:val="73"/>
        </w:trPr>
        <w:tc>
          <w:tcPr>
            <w:tcW w:w="136" w:type="pct"/>
            <w:vMerge w:val="restart"/>
            <w:tcBorders>
              <w:top w:val="nil"/>
              <w:left w:val="single" w:sz="8" w:space="0" w:color="auto"/>
              <w:bottom w:val="nil"/>
              <w:right w:val="single" w:sz="8" w:space="0" w:color="auto"/>
            </w:tcBorders>
            <w:shd w:val="clear" w:color="auto" w:fill="auto"/>
            <w:noWrap/>
            <w:vAlign w:val="center"/>
            <w:hideMark/>
          </w:tcPr>
          <w:p w14:paraId="5E632E20" w14:textId="77777777" w:rsidR="00DD13BF" w:rsidRPr="005C3041" w:rsidRDefault="00DD13BF" w:rsidP="00355A56">
            <w:pPr>
              <w:rPr>
                <w:color w:val="000000"/>
                <w:sz w:val="16"/>
                <w:szCs w:val="16"/>
              </w:rPr>
            </w:pPr>
            <w:r>
              <w:rPr>
                <w:color w:val="000000"/>
                <w:sz w:val="16"/>
              </w:rPr>
              <w:t>JTF</w:t>
            </w:r>
          </w:p>
        </w:tc>
        <w:tc>
          <w:tcPr>
            <w:tcW w:w="469" w:type="pct"/>
            <w:tcBorders>
              <w:top w:val="nil"/>
              <w:left w:val="nil"/>
              <w:bottom w:val="single" w:sz="8" w:space="0" w:color="auto"/>
              <w:right w:val="single" w:sz="8" w:space="0" w:color="auto"/>
            </w:tcBorders>
            <w:shd w:val="clear" w:color="auto" w:fill="auto"/>
            <w:vAlign w:val="center"/>
            <w:hideMark/>
          </w:tcPr>
          <w:p w14:paraId="1DED72EB" w14:textId="77777777" w:rsidR="00DD13BF" w:rsidRPr="005C3041" w:rsidRDefault="00DD13BF" w:rsidP="00355A56">
            <w:pPr>
              <w:rPr>
                <w:color w:val="000000"/>
                <w:sz w:val="16"/>
                <w:szCs w:val="16"/>
              </w:rPr>
            </w:pPr>
            <w:r>
              <w:rPr>
                <w:color w:val="000000"/>
                <w:sz w:val="16"/>
              </w:rPr>
              <w:t>Article 3 JTF Regulation resources</w:t>
            </w:r>
          </w:p>
        </w:tc>
        <w:tc>
          <w:tcPr>
            <w:tcW w:w="405" w:type="pct"/>
            <w:vMerge w:val="restart"/>
            <w:tcBorders>
              <w:top w:val="nil"/>
              <w:left w:val="single" w:sz="8" w:space="0" w:color="auto"/>
              <w:bottom w:val="nil"/>
              <w:right w:val="single" w:sz="8" w:space="0" w:color="auto"/>
            </w:tcBorders>
            <w:shd w:val="clear" w:color="auto" w:fill="auto"/>
            <w:noWrap/>
            <w:vAlign w:val="center"/>
            <w:hideMark/>
          </w:tcPr>
          <w:p w14:paraId="395E6D6D" w14:textId="77777777" w:rsidR="00DD13BF" w:rsidRPr="005C3041" w:rsidRDefault="00DD13BF" w:rsidP="00355A56">
            <w:pPr>
              <w:rPr>
                <w:color w:val="000000"/>
                <w:sz w:val="16"/>
                <w:szCs w:val="16"/>
              </w:rPr>
            </w:pPr>
            <w:r>
              <w:rPr>
                <w:color w:val="000000"/>
                <w:sz w:val="16"/>
              </w:rPr>
              <w:t> </w:t>
            </w:r>
          </w:p>
        </w:tc>
        <w:tc>
          <w:tcPr>
            <w:tcW w:w="406" w:type="pct"/>
            <w:tcBorders>
              <w:top w:val="nil"/>
              <w:left w:val="nil"/>
              <w:bottom w:val="single" w:sz="8" w:space="0" w:color="auto"/>
              <w:right w:val="single" w:sz="8" w:space="0" w:color="auto"/>
            </w:tcBorders>
            <w:shd w:val="clear" w:color="auto" w:fill="auto"/>
            <w:vAlign w:val="center"/>
            <w:hideMark/>
          </w:tcPr>
          <w:p w14:paraId="7698B015"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5AA80C64" w14:textId="77777777" w:rsidR="00DD13BF" w:rsidRPr="005C3041" w:rsidRDefault="00DD13BF" w:rsidP="00355A56">
            <w:pPr>
              <w:jc w:val="right"/>
              <w:rPr>
                <w:color w:val="000000"/>
                <w:sz w:val="16"/>
                <w:szCs w:val="16"/>
              </w:rPr>
            </w:pPr>
            <w:r>
              <w:rPr>
                <w:color w:val="000000"/>
                <w:sz w:val="16"/>
              </w:rPr>
              <w:t>19,353,124</w:t>
            </w:r>
          </w:p>
        </w:tc>
        <w:tc>
          <w:tcPr>
            <w:tcW w:w="405" w:type="pct"/>
            <w:tcBorders>
              <w:top w:val="nil"/>
              <w:left w:val="nil"/>
              <w:bottom w:val="single" w:sz="8" w:space="0" w:color="auto"/>
              <w:right w:val="single" w:sz="8" w:space="0" w:color="auto"/>
            </w:tcBorders>
            <w:shd w:val="clear" w:color="auto" w:fill="auto"/>
            <w:vAlign w:val="center"/>
            <w:hideMark/>
          </w:tcPr>
          <w:p w14:paraId="7BF02E6B" w14:textId="77777777" w:rsidR="00DD13BF" w:rsidRPr="005C3041" w:rsidRDefault="00DD13BF" w:rsidP="00355A56">
            <w:pPr>
              <w:jc w:val="right"/>
              <w:rPr>
                <w:color w:val="000000"/>
                <w:sz w:val="16"/>
                <w:szCs w:val="16"/>
              </w:rPr>
            </w:pPr>
            <w:r>
              <w:rPr>
                <w:color w:val="000000"/>
                <w:sz w:val="16"/>
              </w:rPr>
              <w:t>19,663,993</w:t>
            </w:r>
          </w:p>
        </w:tc>
        <w:tc>
          <w:tcPr>
            <w:tcW w:w="355" w:type="pct"/>
            <w:tcBorders>
              <w:top w:val="nil"/>
              <w:left w:val="nil"/>
              <w:bottom w:val="single" w:sz="8" w:space="0" w:color="auto"/>
              <w:right w:val="single" w:sz="8" w:space="0" w:color="auto"/>
            </w:tcBorders>
            <w:shd w:val="clear" w:color="auto" w:fill="auto"/>
            <w:vAlign w:val="center"/>
            <w:hideMark/>
          </w:tcPr>
          <w:p w14:paraId="4831B3C2" w14:textId="77777777" w:rsidR="00DD13BF" w:rsidRPr="005C3041" w:rsidRDefault="00DD13BF" w:rsidP="00355A56">
            <w:pPr>
              <w:jc w:val="right"/>
              <w:rPr>
                <w:color w:val="000000"/>
                <w:sz w:val="16"/>
                <w:szCs w:val="16"/>
              </w:rPr>
            </w:pPr>
            <w:r>
              <w:rPr>
                <w:color w:val="000000"/>
                <w:sz w:val="16"/>
              </w:rPr>
              <w:t>19,981,080</w:t>
            </w:r>
          </w:p>
        </w:tc>
        <w:tc>
          <w:tcPr>
            <w:tcW w:w="417" w:type="pct"/>
            <w:tcBorders>
              <w:top w:val="nil"/>
              <w:left w:val="nil"/>
              <w:bottom w:val="single" w:sz="8" w:space="0" w:color="auto"/>
              <w:right w:val="single" w:sz="8" w:space="0" w:color="auto"/>
            </w:tcBorders>
            <w:shd w:val="clear" w:color="auto" w:fill="auto"/>
            <w:vAlign w:val="center"/>
            <w:hideMark/>
          </w:tcPr>
          <w:p w14:paraId="35CA011A" w14:textId="77777777" w:rsidR="00DD13BF" w:rsidRPr="005C3041" w:rsidRDefault="00DD13BF" w:rsidP="00355A56">
            <w:pPr>
              <w:jc w:val="right"/>
              <w:rPr>
                <w:color w:val="000000"/>
                <w:sz w:val="16"/>
                <w:szCs w:val="16"/>
              </w:rPr>
            </w:pPr>
            <w:r>
              <w:rPr>
                <w:color w:val="000000"/>
                <w:sz w:val="16"/>
              </w:rPr>
              <w:t>20,304,509</w:t>
            </w:r>
          </w:p>
        </w:tc>
        <w:tc>
          <w:tcPr>
            <w:tcW w:w="392" w:type="pct"/>
            <w:tcBorders>
              <w:top w:val="nil"/>
              <w:left w:val="nil"/>
              <w:bottom w:val="single" w:sz="8" w:space="0" w:color="auto"/>
              <w:right w:val="single" w:sz="8" w:space="0" w:color="auto"/>
            </w:tcBorders>
            <w:shd w:val="clear" w:color="auto" w:fill="auto"/>
            <w:vAlign w:val="center"/>
            <w:hideMark/>
          </w:tcPr>
          <w:p w14:paraId="2199244E" w14:textId="77777777" w:rsidR="00DD13BF" w:rsidRPr="005C3041" w:rsidRDefault="00DD13BF" w:rsidP="00355A56">
            <w:pPr>
              <w:jc w:val="right"/>
              <w:rPr>
                <w:color w:val="000000"/>
                <w:sz w:val="16"/>
                <w:szCs w:val="16"/>
              </w:rPr>
            </w:pPr>
            <w:r>
              <w:rPr>
                <w:color w:val="000000"/>
                <w:sz w:val="16"/>
              </w:rPr>
              <w:t>8,412,367</w:t>
            </w:r>
          </w:p>
        </w:tc>
        <w:tc>
          <w:tcPr>
            <w:tcW w:w="392" w:type="pct"/>
            <w:tcBorders>
              <w:top w:val="nil"/>
              <w:left w:val="nil"/>
              <w:bottom w:val="single" w:sz="8" w:space="0" w:color="auto"/>
              <w:right w:val="single" w:sz="8" w:space="0" w:color="auto"/>
            </w:tcBorders>
            <w:shd w:val="clear" w:color="auto" w:fill="auto"/>
            <w:vAlign w:val="center"/>
            <w:hideMark/>
          </w:tcPr>
          <w:p w14:paraId="0B12805B" w14:textId="77777777" w:rsidR="00DD13BF" w:rsidRPr="005C3041" w:rsidRDefault="00DD13BF" w:rsidP="00355A56">
            <w:pPr>
              <w:jc w:val="right"/>
              <w:rPr>
                <w:color w:val="000000"/>
                <w:sz w:val="16"/>
                <w:szCs w:val="16"/>
              </w:rPr>
            </w:pPr>
            <w:r>
              <w:rPr>
                <w:color w:val="000000"/>
                <w:sz w:val="16"/>
              </w:rPr>
              <w:t>8,412,368</w:t>
            </w:r>
          </w:p>
        </w:tc>
        <w:tc>
          <w:tcPr>
            <w:tcW w:w="392" w:type="pct"/>
            <w:tcBorders>
              <w:top w:val="nil"/>
              <w:left w:val="nil"/>
              <w:bottom w:val="single" w:sz="8" w:space="0" w:color="auto"/>
              <w:right w:val="single" w:sz="8" w:space="0" w:color="auto"/>
            </w:tcBorders>
            <w:shd w:val="clear" w:color="auto" w:fill="auto"/>
            <w:vAlign w:val="center"/>
            <w:hideMark/>
          </w:tcPr>
          <w:p w14:paraId="5FD2E97D" w14:textId="77777777" w:rsidR="00DD13BF" w:rsidRPr="005C3041" w:rsidRDefault="00DD13BF" w:rsidP="00355A56">
            <w:pPr>
              <w:jc w:val="right"/>
              <w:rPr>
                <w:color w:val="000000"/>
                <w:sz w:val="16"/>
                <w:szCs w:val="16"/>
              </w:rPr>
            </w:pPr>
            <w:r>
              <w:rPr>
                <w:color w:val="000000"/>
                <w:sz w:val="16"/>
              </w:rPr>
              <w:t>8,580,614</w:t>
            </w:r>
          </w:p>
        </w:tc>
        <w:tc>
          <w:tcPr>
            <w:tcW w:w="392" w:type="pct"/>
            <w:tcBorders>
              <w:top w:val="nil"/>
              <w:left w:val="nil"/>
              <w:bottom w:val="single" w:sz="8" w:space="0" w:color="auto"/>
              <w:right w:val="single" w:sz="8" w:space="0" w:color="auto"/>
            </w:tcBorders>
            <w:shd w:val="clear" w:color="auto" w:fill="auto"/>
            <w:vAlign w:val="center"/>
            <w:hideMark/>
          </w:tcPr>
          <w:p w14:paraId="395456B9" w14:textId="77777777" w:rsidR="00DD13BF" w:rsidRPr="005C3041" w:rsidRDefault="00DD13BF" w:rsidP="00355A56">
            <w:pPr>
              <w:jc w:val="right"/>
              <w:rPr>
                <w:color w:val="000000"/>
                <w:sz w:val="16"/>
                <w:szCs w:val="16"/>
              </w:rPr>
            </w:pPr>
            <w:r>
              <w:rPr>
                <w:color w:val="000000"/>
                <w:sz w:val="16"/>
              </w:rPr>
              <w:t>8,580,615</w:t>
            </w:r>
          </w:p>
        </w:tc>
        <w:tc>
          <w:tcPr>
            <w:tcW w:w="384" w:type="pct"/>
            <w:tcBorders>
              <w:top w:val="nil"/>
              <w:left w:val="nil"/>
              <w:bottom w:val="single" w:sz="8" w:space="0" w:color="auto"/>
              <w:right w:val="single" w:sz="8" w:space="0" w:color="auto"/>
            </w:tcBorders>
            <w:shd w:val="clear" w:color="auto" w:fill="auto"/>
            <w:vAlign w:val="center"/>
            <w:hideMark/>
          </w:tcPr>
          <w:p w14:paraId="738FC9C6" w14:textId="77777777" w:rsidR="00DD13BF" w:rsidRPr="005C3041" w:rsidRDefault="00DD13BF" w:rsidP="00355A56">
            <w:pPr>
              <w:jc w:val="right"/>
              <w:rPr>
                <w:color w:val="000000"/>
                <w:sz w:val="16"/>
                <w:szCs w:val="16"/>
              </w:rPr>
            </w:pPr>
            <w:r>
              <w:rPr>
                <w:color w:val="000000"/>
                <w:sz w:val="16"/>
              </w:rPr>
              <w:t>113,288,670</w:t>
            </w:r>
          </w:p>
        </w:tc>
      </w:tr>
      <w:tr w:rsidR="00DD13BF" w:rsidRPr="005C3041" w14:paraId="0CBB1E87" w14:textId="77777777" w:rsidTr="00355A56">
        <w:trPr>
          <w:trHeight w:val="308"/>
        </w:trPr>
        <w:tc>
          <w:tcPr>
            <w:tcW w:w="136" w:type="pct"/>
            <w:vMerge/>
            <w:tcBorders>
              <w:top w:val="nil"/>
              <w:left w:val="single" w:sz="8" w:space="0" w:color="auto"/>
              <w:bottom w:val="nil"/>
              <w:right w:val="single" w:sz="8" w:space="0" w:color="auto"/>
            </w:tcBorders>
            <w:vAlign w:val="center"/>
            <w:hideMark/>
          </w:tcPr>
          <w:p w14:paraId="2A5B6BFA" w14:textId="77777777" w:rsidR="00DD13BF" w:rsidRPr="005C3041" w:rsidRDefault="00DD13BF" w:rsidP="00355A56">
            <w:pPr>
              <w:rPr>
                <w:color w:val="000000"/>
                <w:sz w:val="16"/>
                <w:szCs w:val="16"/>
              </w:rPr>
            </w:pPr>
          </w:p>
        </w:tc>
        <w:tc>
          <w:tcPr>
            <w:tcW w:w="469" w:type="pct"/>
            <w:tcBorders>
              <w:top w:val="nil"/>
              <w:left w:val="nil"/>
              <w:bottom w:val="single" w:sz="8" w:space="0" w:color="auto"/>
              <w:right w:val="single" w:sz="8" w:space="0" w:color="auto"/>
            </w:tcBorders>
            <w:shd w:val="clear" w:color="auto" w:fill="auto"/>
            <w:vAlign w:val="center"/>
            <w:hideMark/>
          </w:tcPr>
          <w:p w14:paraId="104A2D1D" w14:textId="77777777" w:rsidR="00DD13BF" w:rsidRPr="005C3041" w:rsidRDefault="00DD13BF" w:rsidP="00355A56">
            <w:pPr>
              <w:rPr>
                <w:color w:val="000000"/>
                <w:sz w:val="16"/>
                <w:szCs w:val="16"/>
              </w:rPr>
            </w:pPr>
            <w:r>
              <w:rPr>
                <w:color w:val="000000"/>
                <w:sz w:val="16"/>
              </w:rPr>
              <w:t>Article 4 JTF Regulation resources</w:t>
            </w:r>
          </w:p>
        </w:tc>
        <w:tc>
          <w:tcPr>
            <w:tcW w:w="405" w:type="pct"/>
            <w:vMerge/>
            <w:tcBorders>
              <w:top w:val="nil"/>
              <w:left w:val="single" w:sz="8" w:space="0" w:color="auto"/>
              <w:bottom w:val="nil"/>
              <w:right w:val="single" w:sz="8" w:space="0" w:color="auto"/>
            </w:tcBorders>
            <w:vAlign w:val="center"/>
            <w:hideMark/>
          </w:tcPr>
          <w:p w14:paraId="08B17C78" w14:textId="77777777" w:rsidR="00DD13BF" w:rsidRPr="005C3041" w:rsidRDefault="00DD13BF" w:rsidP="00355A56">
            <w:pPr>
              <w:rPr>
                <w:color w:val="000000"/>
                <w:sz w:val="16"/>
                <w:szCs w:val="16"/>
              </w:rPr>
            </w:pPr>
          </w:p>
        </w:tc>
        <w:tc>
          <w:tcPr>
            <w:tcW w:w="406" w:type="pct"/>
            <w:tcBorders>
              <w:top w:val="nil"/>
              <w:left w:val="nil"/>
              <w:bottom w:val="single" w:sz="8" w:space="0" w:color="auto"/>
              <w:right w:val="single" w:sz="8" w:space="0" w:color="auto"/>
            </w:tcBorders>
            <w:shd w:val="clear" w:color="auto" w:fill="auto"/>
            <w:vAlign w:val="center"/>
            <w:hideMark/>
          </w:tcPr>
          <w:p w14:paraId="1C00AD49"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61048B01" w14:textId="77777777" w:rsidR="00DD13BF" w:rsidRPr="005C3041" w:rsidRDefault="00DD13BF" w:rsidP="00355A56">
            <w:pPr>
              <w:jc w:val="right"/>
              <w:rPr>
                <w:color w:val="000000"/>
                <w:sz w:val="16"/>
                <w:szCs w:val="16"/>
              </w:rPr>
            </w:pPr>
            <w:r>
              <w:rPr>
                <w:color w:val="000000"/>
                <w:sz w:val="16"/>
              </w:rPr>
              <w:t>72,138,556</w:t>
            </w:r>
          </w:p>
        </w:tc>
        <w:tc>
          <w:tcPr>
            <w:tcW w:w="405" w:type="pct"/>
            <w:tcBorders>
              <w:top w:val="nil"/>
              <w:left w:val="nil"/>
              <w:bottom w:val="single" w:sz="8" w:space="0" w:color="auto"/>
              <w:right w:val="single" w:sz="8" w:space="0" w:color="auto"/>
            </w:tcBorders>
            <w:shd w:val="clear" w:color="auto" w:fill="auto"/>
            <w:vAlign w:val="center"/>
            <w:hideMark/>
          </w:tcPr>
          <w:p w14:paraId="06559C21" w14:textId="77777777" w:rsidR="00DD13BF" w:rsidRPr="005C3041" w:rsidRDefault="00DD13BF" w:rsidP="00355A56">
            <w:pPr>
              <w:jc w:val="right"/>
              <w:rPr>
                <w:color w:val="000000"/>
                <w:sz w:val="16"/>
                <w:szCs w:val="16"/>
              </w:rPr>
            </w:pPr>
            <w:r>
              <w:rPr>
                <w:color w:val="000000"/>
                <w:sz w:val="16"/>
              </w:rPr>
              <w:t>73,297,317</w:t>
            </w:r>
          </w:p>
        </w:tc>
        <w:tc>
          <w:tcPr>
            <w:tcW w:w="355" w:type="pct"/>
            <w:tcBorders>
              <w:top w:val="nil"/>
              <w:left w:val="nil"/>
              <w:bottom w:val="single" w:sz="8" w:space="0" w:color="auto"/>
              <w:right w:val="single" w:sz="8" w:space="0" w:color="auto"/>
            </w:tcBorders>
            <w:shd w:val="clear" w:color="auto" w:fill="auto"/>
            <w:vAlign w:val="center"/>
            <w:hideMark/>
          </w:tcPr>
          <w:p w14:paraId="1D534DA5" w14:textId="77777777" w:rsidR="00DD13BF" w:rsidRPr="005C3041" w:rsidRDefault="00DD13BF" w:rsidP="00355A56">
            <w:pPr>
              <w:jc w:val="right"/>
              <w:rPr>
                <w:color w:val="000000"/>
                <w:sz w:val="16"/>
                <w:szCs w:val="16"/>
              </w:rPr>
            </w:pPr>
            <w:r>
              <w:rPr>
                <w:color w:val="000000"/>
                <w:sz w:val="16"/>
              </w:rPr>
              <w:t>0 </w:t>
            </w:r>
          </w:p>
        </w:tc>
        <w:tc>
          <w:tcPr>
            <w:tcW w:w="417" w:type="pct"/>
            <w:tcBorders>
              <w:top w:val="nil"/>
              <w:left w:val="nil"/>
              <w:bottom w:val="single" w:sz="8" w:space="0" w:color="auto"/>
              <w:right w:val="single" w:sz="8" w:space="0" w:color="auto"/>
            </w:tcBorders>
            <w:shd w:val="clear" w:color="auto" w:fill="auto"/>
            <w:vAlign w:val="center"/>
            <w:hideMark/>
          </w:tcPr>
          <w:p w14:paraId="1FD67A80" w14:textId="77777777" w:rsidR="00DD13BF" w:rsidRPr="005C3041" w:rsidRDefault="00DD13BF" w:rsidP="00355A56">
            <w:pPr>
              <w:jc w:val="right"/>
              <w:rPr>
                <w:color w:val="000000"/>
                <w:sz w:val="16"/>
                <w:szCs w:val="16"/>
              </w:rPr>
            </w:pPr>
            <w:r>
              <w:rPr>
                <w:color w:val="000000"/>
                <w:sz w:val="16"/>
              </w:rPr>
              <w:t>0 </w:t>
            </w:r>
          </w:p>
        </w:tc>
        <w:tc>
          <w:tcPr>
            <w:tcW w:w="392" w:type="pct"/>
            <w:tcBorders>
              <w:top w:val="nil"/>
              <w:left w:val="nil"/>
              <w:bottom w:val="single" w:sz="8" w:space="0" w:color="auto"/>
              <w:right w:val="single" w:sz="8" w:space="0" w:color="auto"/>
            </w:tcBorders>
            <w:shd w:val="clear" w:color="auto" w:fill="auto"/>
            <w:vAlign w:val="center"/>
            <w:hideMark/>
          </w:tcPr>
          <w:p w14:paraId="022645E3" w14:textId="77777777" w:rsidR="00DD13BF" w:rsidRPr="005C3041" w:rsidRDefault="00DD13BF" w:rsidP="00355A56">
            <w:pPr>
              <w:jc w:val="right"/>
              <w:rPr>
                <w:color w:val="000000"/>
                <w:sz w:val="16"/>
                <w:szCs w:val="16"/>
              </w:rPr>
            </w:pPr>
            <w:r>
              <w:rPr>
                <w:color w:val="000000"/>
                <w:sz w:val="16"/>
              </w:rPr>
              <w:t>0 </w:t>
            </w:r>
          </w:p>
        </w:tc>
        <w:tc>
          <w:tcPr>
            <w:tcW w:w="392" w:type="pct"/>
            <w:tcBorders>
              <w:top w:val="nil"/>
              <w:left w:val="nil"/>
              <w:bottom w:val="single" w:sz="8" w:space="0" w:color="auto"/>
              <w:right w:val="single" w:sz="8" w:space="0" w:color="auto"/>
            </w:tcBorders>
            <w:shd w:val="clear" w:color="auto" w:fill="auto"/>
            <w:vAlign w:val="center"/>
            <w:hideMark/>
          </w:tcPr>
          <w:p w14:paraId="1153D096" w14:textId="77777777" w:rsidR="00DD13BF" w:rsidRPr="005C3041" w:rsidRDefault="00DD13BF" w:rsidP="00355A56">
            <w:pPr>
              <w:jc w:val="right"/>
              <w:rPr>
                <w:color w:val="000000"/>
                <w:sz w:val="16"/>
                <w:szCs w:val="16"/>
              </w:rPr>
            </w:pPr>
            <w:r>
              <w:rPr>
                <w:color w:val="000000"/>
                <w:sz w:val="16"/>
              </w:rPr>
              <w:t>0 </w:t>
            </w:r>
          </w:p>
        </w:tc>
        <w:tc>
          <w:tcPr>
            <w:tcW w:w="392" w:type="pct"/>
            <w:tcBorders>
              <w:top w:val="nil"/>
              <w:left w:val="nil"/>
              <w:bottom w:val="single" w:sz="8" w:space="0" w:color="auto"/>
              <w:right w:val="single" w:sz="8" w:space="0" w:color="auto"/>
            </w:tcBorders>
            <w:shd w:val="clear" w:color="auto" w:fill="auto"/>
            <w:vAlign w:val="center"/>
            <w:hideMark/>
          </w:tcPr>
          <w:p w14:paraId="5775CA08" w14:textId="77777777" w:rsidR="00DD13BF" w:rsidRPr="005C3041" w:rsidRDefault="00DD13BF" w:rsidP="00355A56">
            <w:pPr>
              <w:jc w:val="right"/>
              <w:rPr>
                <w:color w:val="000000"/>
                <w:sz w:val="16"/>
                <w:szCs w:val="16"/>
              </w:rPr>
            </w:pPr>
            <w:r>
              <w:rPr>
                <w:color w:val="000000"/>
                <w:sz w:val="16"/>
              </w:rPr>
              <w:t>0 </w:t>
            </w:r>
          </w:p>
        </w:tc>
        <w:tc>
          <w:tcPr>
            <w:tcW w:w="392" w:type="pct"/>
            <w:tcBorders>
              <w:top w:val="nil"/>
              <w:left w:val="nil"/>
              <w:bottom w:val="single" w:sz="8" w:space="0" w:color="auto"/>
              <w:right w:val="single" w:sz="8" w:space="0" w:color="auto"/>
            </w:tcBorders>
            <w:shd w:val="clear" w:color="auto" w:fill="auto"/>
            <w:vAlign w:val="center"/>
            <w:hideMark/>
          </w:tcPr>
          <w:p w14:paraId="5CD486F2" w14:textId="77777777" w:rsidR="00DD13BF" w:rsidRPr="005C3041" w:rsidRDefault="00DD13BF" w:rsidP="00355A56">
            <w:pPr>
              <w:jc w:val="right"/>
              <w:rPr>
                <w:color w:val="000000"/>
                <w:sz w:val="16"/>
                <w:szCs w:val="16"/>
              </w:rPr>
            </w:pPr>
            <w:r>
              <w:rPr>
                <w:color w:val="000000"/>
                <w:sz w:val="16"/>
              </w:rPr>
              <w:t>0 </w:t>
            </w:r>
          </w:p>
        </w:tc>
        <w:tc>
          <w:tcPr>
            <w:tcW w:w="384" w:type="pct"/>
            <w:tcBorders>
              <w:top w:val="nil"/>
              <w:left w:val="nil"/>
              <w:bottom w:val="single" w:sz="8" w:space="0" w:color="auto"/>
              <w:right w:val="single" w:sz="8" w:space="0" w:color="auto"/>
            </w:tcBorders>
            <w:shd w:val="clear" w:color="auto" w:fill="auto"/>
            <w:vAlign w:val="center"/>
            <w:hideMark/>
          </w:tcPr>
          <w:p w14:paraId="6049DD49" w14:textId="77777777" w:rsidR="00DD13BF" w:rsidRPr="005C3041" w:rsidRDefault="00DD13BF" w:rsidP="00355A56">
            <w:pPr>
              <w:jc w:val="right"/>
              <w:rPr>
                <w:color w:val="000000"/>
                <w:sz w:val="16"/>
                <w:szCs w:val="16"/>
              </w:rPr>
            </w:pPr>
            <w:r>
              <w:rPr>
                <w:color w:val="000000"/>
                <w:sz w:val="16"/>
              </w:rPr>
              <w:t>145,435,873</w:t>
            </w:r>
          </w:p>
        </w:tc>
      </w:tr>
      <w:tr w:rsidR="00DD13BF" w:rsidRPr="005C3041" w14:paraId="70E4F973" w14:textId="77777777" w:rsidTr="00355A56">
        <w:trPr>
          <w:trHeight w:val="315"/>
        </w:trPr>
        <w:tc>
          <w:tcPr>
            <w:tcW w:w="101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8ECED4" w14:textId="77777777" w:rsidR="00DD13BF" w:rsidRPr="005C3041" w:rsidRDefault="00DD13BF" w:rsidP="00355A56">
            <w:pPr>
              <w:rPr>
                <w:color w:val="000000"/>
                <w:sz w:val="16"/>
                <w:szCs w:val="16"/>
              </w:rPr>
            </w:pPr>
            <w:r>
              <w:rPr>
                <w:color w:val="000000"/>
                <w:sz w:val="16"/>
              </w:rPr>
              <w:t>Total</w:t>
            </w:r>
          </w:p>
        </w:tc>
        <w:tc>
          <w:tcPr>
            <w:tcW w:w="406" w:type="pct"/>
            <w:tcBorders>
              <w:top w:val="nil"/>
              <w:left w:val="nil"/>
              <w:bottom w:val="single" w:sz="8" w:space="0" w:color="auto"/>
              <w:right w:val="single" w:sz="8" w:space="0" w:color="auto"/>
            </w:tcBorders>
            <w:shd w:val="clear" w:color="auto" w:fill="auto"/>
            <w:noWrap/>
            <w:vAlign w:val="center"/>
            <w:hideMark/>
          </w:tcPr>
          <w:p w14:paraId="5EA14DD1"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noWrap/>
            <w:vAlign w:val="center"/>
            <w:hideMark/>
          </w:tcPr>
          <w:p w14:paraId="6D332A9C" w14:textId="77777777" w:rsidR="00DD13BF" w:rsidRPr="005C3041" w:rsidRDefault="00DD13BF" w:rsidP="00355A56">
            <w:pPr>
              <w:jc w:val="right"/>
              <w:rPr>
                <w:color w:val="000000"/>
                <w:sz w:val="16"/>
                <w:szCs w:val="16"/>
              </w:rPr>
            </w:pPr>
            <w:r>
              <w:rPr>
                <w:color w:val="000000"/>
                <w:sz w:val="16"/>
              </w:rPr>
              <w:t>91,491,680</w:t>
            </w:r>
          </w:p>
        </w:tc>
        <w:tc>
          <w:tcPr>
            <w:tcW w:w="405" w:type="pct"/>
            <w:tcBorders>
              <w:top w:val="nil"/>
              <w:left w:val="nil"/>
              <w:bottom w:val="single" w:sz="8" w:space="0" w:color="auto"/>
              <w:right w:val="single" w:sz="8" w:space="0" w:color="auto"/>
            </w:tcBorders>
            <w:shd w:val="clear" w:color="auto" w:fill="auto"/>
            <w:noWrap/>
            <w:vAlign w:val="center"/>
            <w:hideMark/>
          </w:tcPr>
          <w:p w14:paraId="5EF68640" w14:textId="77777777" w:rsidR="00DD13BF" w:rsidRPr="005C3041" w:rsidRDefault="00DD13BF" w:rsidP="00355A56">
            <w:pPr>
              <w:jc w:val="right"/>
              <w:rPr>
                <w:color w:val="000000"/>
                <w:sz w:val="16"/>
                <w:szCs w:val="16"/>
              </w:rPr>
            </w:pPr>
            <w:r>
              <w:rPr>
                <w:color w:val="000000"/>
                <w:sz w:val="16"/>
              </w:rPr>
              <w:t>92,961,310</w:t>
            </w:r>
          </w:p>
        </w:tc>
        <w:tc>
          <w:tcPr>
            <w:tcW w:w="355" w:type="pct"/>
            <w:tcBorders>
              <w:top w:val="nil"/>
              <w:left w:val="nil"/>
              <w:bottom w:val="single" w:sz="8" w:space="0" w:color="auto"/>
              <w:right w:val="single" w:sz="8" w:space="0" w:color="auto"/>
            </w:tcBorders>
            <w:shd w:val="clear" w:color="auto" w:fill="auto"/>
            <w:noWrap/>
            <w:vAlign w:val="center"/>
            <w:hideMark/>
          </w:tcPr>
          <w:p w14:paraId="32892E87" w14:textId="77777777" w:rsidR="00DD13BF" w:rsidRPr="005C3041" w:rsidRDefault="00DD13BF" w:rsidP="00355A56">
            <w:pPr>
              <w:jc w:val="right"/>
              <w:rPr>
                <w:color w:val="000000"/>
                <w:sz w:val="16"/>
                <w:szCs w:val="16"/>
              </w:rPr>
            </w:pPr>
            <w:r>
              <w:rPr>
                <w:color w:val="000000"/>
                <w:sz w:val="16"/>
              </w:rPr>
              <w:t>19,981,080</w:t>
            </w:r>
          </w:p>
        </w:tc>
        <w:tc>
          <w:tcPr>
            <w:tcW w:w="417" w:type="pct"/>
            <w:tcBorders>
              <w:top w:val="nil"/>
              <w:left w:val="nil"/>
              <w:bottom w:val="single" w:sz="8" w:space="0" w:color="auto"/>
              <w:right w:val="single" w:sz="8" w:space="0" w:color="auto"/>
            </w:tcBorders>
            <w:shd w:val="clear" w:color="auto" w:fill="auto"/>
            <w:noWrap/>
            <w:vAlign w:val="center"/>
            <w:hideMark/>
          </w:tcPr>
          <w:p w14:paraId="53CAAC63" w14:textId="77777777" w:rsidR="00DD13BF" w:rsidRPr="005C3041" w:rsidRDefault="00DD13BF" w:rsidP="00355A56">
            <w:pPr>
              <w:jc w:val="right"/>
              <w:rPr>
                <w:color w:val="000000"/>
                <w:sz w:val="16"/>
                <w:szCs w:val="16"/>
              </w:rPr>
            </w:pPr>
            <w:r>
              <w:rPr>
                <w:color w:val="000000"/>
                <w:sz w:val="16"/>
              </w:rPr>
              <w:t>20,304,509</w:t>
            </w:r>
          </w:p>
        </w:tc>
        <w:tc>
          <w:tcPr>
            <w:tcW w:w="392" w:type="pct"/>
            <w:tcBorders>
              <w:top w:val="nil"/>
              <w:left w:val="nil"/>
              <w:bottom w:val="single" w:sz="8" w:space="0" w:color="auto"/>
              <w:right w:val="single" w:sz="8" w:space="0" w:color="auto"/>
            </w:tcBorders>
            <w:shd w:val="clear" w:color="auto" w:fill="auto"/>
            <w:noWrap/>
            <w:vAlign w:val="center"/>
            <w:hideMark/>
          </w:tcPr>
          <w:p w14:paraId="21442669" w14:textId="77777777" w:rsidR="00DD13BF" w:rsidRPr="005C3041" w:rsidRDefault="00DD13BF" w:rsidP="00355A56">
            <w:pPr>
              <w:jc w:val="right"/>
              <w:rPr>
                <w:color w:val="000000"/>
                <w:sz w:val="16"/>
                <w:szCs w:val="16"/>
              </w:rPr>
            </w:pPr>
            <w:r>
              <w:rPr>
                <w:color w:val="000000"/>
                <w:sz w:val="16"/>
              </w:rPr>
              <w:t>8,412,367</w:t>
            </w:r>
          </w:p>
        </w:tc>
        <w:tc>
          <w:tcPr>
            <w:tcW w:w="392" w:type="pct"/>
            <w:tcBorders>
              <w:top w:val="nil"/>
              <w:left w:val="nil"/>
              <w:bottom w:val="single" w:sz="8" w:space="0" w:color="auto"/>
              <w:right w:val="single" w:sz="8" w:space="0" w:color="auto"/>
            </w:tcBorders>
            <w:shd w:val="clear" w:color="auto" w:fill="auto"/>
            <w:noWrap/>
            <w:vAlign w:val="center"/>
            <w:hideMark/>
          </w:tcPr>
          <w:p w14:paraId="4E8258D2" w14:textId="77777777" w:rsidR="00DD13BF" w:rsidRPr="005C3041" w:rsidRDefault="00DD13BF" w:rsidP="00355A56">
            <w:pPr>
              <w:jc w:val="right"/>
              <w:rPr>
                <w:color w:val="000000"/>
                <w:sz w:val="16"/>
                <w:szCs w:val="16"/>
              </w:rPr>
            </w:pPr>
            <w:r>
              <w:rPr>
                <w:color w:val="000000"/>
                <w:sz w:val="16"/>
              </w:rPr>
              <w:t>8,412,368</w:t>
            </w:r>
          </w:p>
        </w:tc>
        <w:tc>
          <w:tcPr>
            <w:tcW w:w="392" w:type="pct"/>
            <w:tcBorders>
              <w:top w:val="nil"/>
              <w:left w:val="nil"/>
              <w:bottom w:val="single" w:sz="8" w:space="0" w:color="auto"/>
              <w:right w:val="single" w:sz="8" w:space="0" w:color="auto"/>
            </w:tcBorders>
            <w:shd w:val="clear" w:color="auto" w:fill="auto"/>
            <w:noWrap/>
            <w:vAlign w:val="center"/>
            <w:hideMark/>
          </w:tcPr>
          <w:p w14:paraId="79963F7C" w14:textId="77777777" w:rsidR="00DD13BF" w:rsidRPr="005C3041" w:rsidRDefault="00DD13BF" w:rsidP="00355A56">
            <w:pPr>
              <w:jc w:val="right"/>
              <w:rPr>
                <w:color w:val="000000"/>
                <w:sz w:val="16"/>
                <w:szCs w:val="16"/>
              </w:rPr>
            </w:pPr>
            <w:r>
              <w:rPr>
                <w:color w:val="000000"/>
                <w:sz w:val="16"/>
              </w:rPr>
              <w:t>8,580,614</w:t>
            </w:r>
          </w:p>
        </w:tc>
        <w:tc>
          <w:tcPr>
            <w:tcW w:w="392" w:type="pct"/>
            <w:tcBorders>
              <w:top w:val="nil"/>
              <w:left w:val="nil"/>
              <w:bottom w:val="single" w:sz="8" w:space="0" w:color="auto"/>
              <w:right w:val="single" w:sz="8" w:space="0" w:color="auto"/>
            </w:tcBorders>
            <w:shd w:val="clear" w:color="auto" w:fill="auto"/>
            <w:noWrap/>
            <w:vAlign w:val="center"/>
            <w:hideMark/>
          </w:tcPr>
          <w:p w14:paraId="140E7807" w14:textId="77777777" w:rsidR="00DD13BF" w:rsidRPr="005C3041" w:rsidRDefault="00DD13BF" w:rsidP="00355A56">
            <w:pPr>
              <w:jc w:val="right"/>
              <w:rPr>
                <w:color w:val="000000"/>
                <w:sz w:val="16"/>
                <w:szCs w:val="16"/>
              </w:rPr>
            </w:pPr>
            <w:r>
              <w:rPr>
                <w:color w:val="000000"/>
                <w:sz w:val="16"/>
              </w:rPr>
              <w:t>8,580,615</w:t>
            </w:r>
          </w:p>
        </w:tc>
        <w:tc>
          <w:tcPr>
            <w:tcW w:w="384" w:type="pct"/>
            <w:tcBorders>
              <w:top w:val="nil"/>
              <w:left w:val="nil"/>
              <w:bottom w:val="single" w:sz="8" w:space="0" w:color="auto"/>
              <w:right w:val="single" w:sz="8" w:space="0" w:color="auto"/>
            </w:tcBorders>
            <w:shd w:val="clear" w:color="auto" w:fill="auto"/>
            <w:noWrap/>
            <w:vAlign w:val="center"/>
            <w:hideMark/>
          </w:tcPr>
          <w:p w14:paraId="0A1F6150" w14:textId="77777777" w:rsidR="00DD13BF" w:rsidRPr="005C3041" w:rsidRDefault="00DD13BF" w:rsidP="00355A56">
            <w:pPr>
              <w:jc w:val="right"/>
              <w:rPr>
                <w:color w:val="000000"/>
                <w:sz w:val="16"/>
                <w:szCs w:val="16"/>
              </w:rPr>
            </w:pPr>
            <w:r>
              <w:rPr>
                <w:color w:val="000000"/>
                <w:sz w:val="16"/>
              </w:rPr>
              <w:t>258,724,543</w:t>
            </w:r>
          </w:p>
        </w:tc>
      </w:tr>
      <w:tr w:rsidR="00DD13BF" w:rsidRPr="005C3041" w14:paraId="4D8883A1" w14:textId="77777777" w:rsidTr="00355A56">
        <w:trPr>
          <w:trHeight w:val="315"/>
        </w:trPr>
        <w:tc>
          <w:tcPr>
            <w:tcW w:w="60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42A43F" w14:textId="77777777" w:rsidR="00DD13BF" w:rsidRPr="005C3041" w:rsidRDefault="00DD13BF" w:rsidP="00355A56">
            <w:pPr>
              <w:rPr>
                <w:color w:val="000000"/>
                <w:sz w:val="16"/>
                <w:szCs w:val="16"/>
              </w:rPr>
            </w:pPr>
            <w:r>
              <w:rPr>
                <w:color w:val="000000"/>
                <w:sz w:val="16"/>
              </w:rPr>
              <w:t>Cohesion Fund</w:t>
            </w:r>
          </w:p>
        </w:tc>
        <w:tc>
          <w:tcPr>
            <w:tcW w:w="405" w:type="pct"/>
            <w:tcBorders>
              <w:top w:val="nil"/>
              <w:left w:val="nil"/>
              <w:bottom w:val="single" w:sz="8" w:space="0" w:color="auto"/>
              <w:right w:val="single" w:sz="8" w:space="0" w:color="auto"/>
            </w:tcBorders>
            <w:shd w:val="clear" w:color="auto" w:fill="auto"/>
            <w:vAlign w:val="center"/>
            <w:hideMark/>
          </w:tcPr>
          <w:p w14:paraId="66A3B4EA" w14:textId="77777777" w:rsidR="00DD13BF" w:rsidRPr="005C3041" w:rsidRDefault="00DD13BF" w:rsidP="00355A56">
            <w:pPr>
              <w:rPr>
                <w:color w:val="000000"/>
                <w:sz w:val="16"/>
                <w:szCs w:val="16"/>
              </w:rPr>
            </w:pPr>
            <w:r>
              <w:rPr>
                <w:color w:val="000000"/>
                <w:sz w:val="16"/>
              </w:rPr>
              <w:t>N/A</w:t>
            </w:r>
          </w:p>
        </w:tc>
        <w:tc>
          <w:tcPr>
            <w:tcW w:w="406" w:type="pct"/>
            <w:tcBorders>
              <w:top w:val="nil"/>
              <w:left w:val="nil"/>
              <w:bottom w:val="single" w:sz="8" w:space="0" w:color="auto"/>
              <w:right w:val="single" w:sz="8" w:space="0" w:color="auto"/>
            </w:tcBorders>
            <w:shd w:val="clear" w:color="auto" w:fill="auto"/>
            <w:vAlign w:val="center"/>
            <w:hideMark/>
          </w:tcPr>
          <w:p w14:paraId="31605F68"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vAlign w:val="center"/>
            <w:hideMark/>
          </w:tcPr>
          <w:p w14:paraId="5938EFEC" w14:textId="77777777" w:rsidR="00DD13BF" w:rsidRPr="005C3041" w:rsidRDefault="00DD13BF" w:rsidP="00355A56">
            <w:pPr>
              <w:jc w:val="right"/>
              <w:rPr>
                <w:color w:val="000000"/>
                <w:sz w:val="16"/>
                <w:szCs w:val="16"/>
              </w:rPr>
            </w:pPr>
            <w:r>
              <w:rPr>
                <w:color w:val="000000"/>
                <w:sz w:val="16"/>
              </w:rPr>
              <w:t>122,688,976</w:t>
            </w:r>
          </w:p>
        </w:tc>
        <w:tc>
          <w:tcPr>
            <w:tcW w:w="405" w:type="pct"/>
            <w:tcBorders>
              <w:top w:val="nil"/>
              <w:left w:val="nil"/>
              <w:bottom w:val="single" w:sz="8" w:space="0" w:color="auto"/>
              <w:right w:val="single" w:sz="8" w:space="0" w:color="auto"/>
            </w:tcBorders>
            <w:shd w:val="clear" w:color="auto" w:fill="auto"/>
            <w:vAlign w:val="center"/>
            <w:hideMark/>
          </w:tcPr>
          <w:p w14:paraId="78591416" w14:textId="77777777" w:rsidR="00DD13BF" w:rsidRPr="005C3041" w:rsidRDefault="00DD13BF" w:rsidP="00355A56">
            <w:pPr>
              <w:jc w:val="right"/>
              <w:rPr>
                <w:color w:val="000000"/>
                <w:sz w:val="16"/>
                <w:szCs w:val="16"/>
              </w:rPr>
            </w:pPr>
            <w:r>
              <w:rPr>
                <w:color w:val="000000"/>
                <w:sz w:val="16"/>
              </w:rPr>
              <w:t>124,659,728</w:t>
            </w:r>
          </w:p>
        </w:tc>
        <w:tc>
          <w:tcPr>
            <w:tcW w:w="355" w:type="pct"/>
            <w:tcBorders>
              <w:top w:val="nil"/>
              <w:left w:val="nil"/>
              <w:bottom w:val="single" w:sz="8" w:space="0" w:color="auto"/>
              <w:right w:val="single" w:sz="8" w:space="0" w:color="auto"/>
            </w:tcBorders>
            <w:shd w:val="clear" w:color="auto" w:fill="auto"/>
            <w:vAlign w:val="center"/>
            <w:hideMark/>
          </w:tcPr>
          <w:p w14:paraId="0C648AA7" w14:textId="77777777" w:rsidR="00DD13BF" w:rsidRPr="005C3041" w:rsidRDefault="00DD13BF" w:rsidP="00355A56">
            <w:pPr>
              <w:jc w:val="right"/>
              <w:rPr>
                <w:color w:val="000000"/>
                <w:sz w:val="16"/>
                <w:szCs w:val="16"/>
              </w:rPr>
            </w:pPr>
            <w:r>
              <w:rPr>
                <w:color w:val="000000"/>
                <w:sz w:val="16"/>
              </w:rPr>
              <w:t>126,669,895</w:t>
            </w:r>
          </w:p>
        </w:tc>
        <w:tc>
          <w:tcPr>
            <w:tcW w:w="417" w:type="pct"/>
            <w:tcBorders>
              <w:top w:val="nil"/>
              <w:left w:val="nil"/>
              <w:bottom w:val="single" w:sz="8" w:space="0" w:color="auto"/>
              <w:right w:val="single" w:sz="8" w:space="0" w:color="auto"/>
            </w:tcBorders>
            <w:shd w:val="clear" w:color="auto" w:fill="auto"/>
            <w:vAlign w:val="center"/>
            <w:hideMark/>
          </w:tcPr>
          <w:p w14:paraId="0827E97C" w14:textId="77777777" w:rsidR="00DD13BF" w:rsidRPr="005C3041" w:rsidRDefault="00DD13BF" w:rsidP="00355A56">
            <w:pPr>
              <w:jc w:val="right"/>
              <w:rPr>
                <w:color w:val="000000"/>
                <w:sz w:val="16"/>
                <w:szCs w:val="16"/>
              </w:rPr>
            </w:pPr>
            <w:r>
              <w:rPr>
                <w:color w:val="000000"/>
                <w:sz w:val="16"/>
              </w:rPr>
              <w:t>128,720,267</w:t>
            </w:r>
          </w:p>
        </w:tc>
        <w:tc>
          <w:tcPr>
            <w:tcW w:w="392" w:type="pct"/>
            <w:tcBorders>
              <w:top w:val="nil"/>
              <w:left w:val="nil"/>
              <w:bottom w:val="single" w:sz="8" w:space="0" w:color="auto"/>
              <w:right w:val="single" w:sz="8" w:space="0" w:color="auto"/>
            </w:tcBorders>
            <w:shd w:val="clear" w:color="auto" w:fill="auto"/>
            <w:vAlign w:val="center"/>
            <w:hideMark/>
          </w:tcPr>
          <w:p w14:paraId="7E34F217" w14:textId="77777777" w:rsidR="00DD13BF" w:rsidRPr="005C3041" w:rsidRDefault="00DD13BF" w:rsidP="00355A56">
            <w:pPr>
              <w:jc w:val="right"/>
              <w:rPr>
                <w:color w:val="000000"/>
                <w:sz w:val="16"/>
                <w:szCs w:val="16"/>
              </w:rPr>
            </w:pPr>
            <w:r>
              <w:rPr>
                <w:color w:val="000000"/>
                <w:sz w:val="16"/>
              </w:rPr>
              <w:t>53,330,135</w:t>
            </w:r>
          </w:p>
        </w:tc>
        <w:tc>
          <w:tcPr>
            <w:tcW w:w="392" w:type="pct"/>
            <w:tcBorders>
              <w:top w:val="nil"/>
              <w:left w:val="nil"/>
              <w:bottom w:val="single" w:sz="8" w:space="0" w:color="auto"/>
              <w:right w:val="single" w:sz="8" w:space="0" w:color="auto"/>
            </w:tcBorders>
            <w:shd w:val="clear" w:color="auto" w:fill="auto"/>
            <w:vAlign w:val="center"/>
            <w:hideMark/>
          </w:tcPr>
          <w:p w14:paraId="50385776" w14:textId="77777777" w:rsidR="00DD13BF" w:rsidRPr="005C3041" w:rsidRDefault="00DD13BF" w:rsidP="00355A56">
            <w:pPr>
              <w:jc w:val="right"/>
              <w:rPr>
                <w:color w:val="000000"/>
                <w:sz w:val="16"/>
                <w:szCs w:val="16"/>
              </w:rPr>
            </w:pPr>
            <w:r>
              <w:rPr>
                <w:color w:val="000000"/>
                <w:sz w:val="16"/>
              </w:rPr>
              <w:t>53,330,136</w:t>
            </w:r>
          </w:p>
        </w:tc>
        <w:tc>
          <w:tcPr>
            <w:tcW w:w="392" w:type="pct"/>
            <w:tcBorders>
              <w:top w:val="nil"/>
              <w:left w:val="nil"/>
              <w:bottom w:val="single" w:sz="8" w:space="0" w:color="auto"/>
              <w:right w:val="single" w:sz="8" w:space="0" w:color="auto"/>
            </w:tcBorders>
            <w:shd w:val="clear" w:color="auto" w:fill="auto"/>
            <w:vAlign w:val="center"/>
            <w:hideMark/>
          </w:tcPr>
          <w:p w14:paraId="1C80347E" w14:textId="77777777" w:rsidR="00DD13BF" w:rsidRPr="005C3041" w:rsidRDefault="00DD13BF" w:rsidP="00355A56">
            <w:pPr>
              <w:jc w:val="right"/>
              <w:rPr>
                <w:color w:val="000000"/>
                <w:sz w:val="16"/>
                <w:szCs w:val="16"/>
              </w:rPr>
            </w:pPr>
            <w:r>
              <w:rPr>
                <w:color w:val="000000"/>
                <w:sz w:val="16"/>
              </w:rPr>
              <w:t>54,396,738</w:t>
            </w:r>
          </w:p>
        </w:tc>
        <w:tc>
          <w:tcPr>
            <w:tcW w:w="392" w:type="pct"/>
            <w:tcBorders>
              <w:top w:val="nil"/>
              <w:left w:val="nil"/>
              <w:bottom w:val="single" w:sz="8" w:space="0" w:color="auto"/>
              <w:right w:val="single" w:sz="8" w:space="0" w:color="auto"/>
            </w:tcBorders>
            <w:shd w:val="clear" w:color="auto" w:fill="auto"/>
            <w:vAlign w:val="center"/>
            <w:hideMark/>
          </w:tcPr>
          <w:p w14:paraId="7D6A8B74" w14:textId="77777777" w:rsidR="00DD13BF" w:rsidRPr="005C3041" w:rsidRDefault="00DD13BF" w:rsidP="00355A56">
            <w:pPr>
              <w:jc w:val="right"/>
              <w:rPr>
                <w:color w:val="000000"/>
                <w:sz w:val="16"/>
                <w:szCs w:val="16"/>
              </w:rPr>
            </w:pPr>
            <w:r>
              <w:rPr>
                <w:color w:val="000000"/>
                <w:sz w:val="16"/>
              </w:rPr>
              <w:t>54,396,738</w:t>
            </w:r>
          </w:p>
        </w:tc>
        <w:tc>
          <w:tcPr>
            <w:tcW w:w="384" w:type="pct"/>
            <w:tcBorders>
              <w:top w:val="nil"/>
              <w:left w:val="nil"/>
              <w:bottom w:val="single" w:sz="8" w:space="0" w:color="auto"/>
              <w:right w:val="single" w:sz="8" w:space="0" w:color="auto"/>
            </w:tcBorders>
            <w:shd w:val="clear" w:color="auto" w:fill="auto"/>
            <w:vAlign w:val="center"/>
            <w:hideMark/>
          </w:tcPr>
          <w:p w14:paraId="7B74DE7E" w14:textId="77777777" w:rsidR="00DD13BF" w:rsidRPr="005C3041" w:rsidRDefault="00DD13BF" w:rsidP="00355A56">
            <w:pPr>
              <w:jc w:val="right"/>
              <w:rPr>
                <w:color w:val="000000"/>
                <w:sz w:val="16"/>
                <w:szCs w:val="16"/>
              </w:rPr>
            </w:pPr>
            <w:r>
              <w:rPr>
                <w:color w:val="000000"/>
                <w:sz w:val="16"/>
              </w:rPr>
              <w:t>718,192,613</w:t>
            </w:r>
          </w:p>
        </w:tc>
      </w:tr>
      <w:tr w:rsidR="00DD13BF" w:rsidRPr="005C3041" w14:paraId="396532B6" w14:textId="77777777" w:rsidTr="00355A56">
        <w:trPr>
          <w:trHeight w:val="315"/>
        </w:trPr>
        <w:tc>
          <w:tcPr>
            <w:tcW w:w="101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2E9B12" w14:textId="77777777" w:rsidR="00DD13BF" w:rsidRPr="005C3041" w:rsidRDefault="00DD13BF" w:rsidP="00355A56">
            <w:pPr>
              <w:rPr>
                <w:color w:val="000000"/>
                <w:sz w:val="16"/>
                <w:szCs w:val="16"/>
              </w:rPr>
            </w:pPr>
            <w:r>
              <w:rPr>
                <w:color w:val="000000"/>
                <w:sz w:val="16"/>
              </w:rPr>
              <w:t>Total</w:t>
            </w:r>
          </w:p>
        </w:tc>
        <w:tc>
          <w:tcPr>
            <w:tcW w:w="406" w:type="pct"/>
            <w:tcBorders>
              <w:top w:val="nil"/>
              <w:left w:val="nil"/>
              <w:bottom w:val="single" w:sz="8" w:space="0" w:color="auto"/>
              <w:right w:val="single" w:sz="8" w:space="0" w:color="auto"/>
            </w:tcBorders>
            <w:shd w:val="clear" w:color="auto" w:fill="auto"/>
            <w:noWrap/>
            <w:vAlign w:val="center"/>
            <w:hideMark/>
          </w:tcPr>
          <w:p w14:paraId="5BFFC460" w14:textId="77777777" w:rsidR="00DD13BF" w:rsidRPr="005C3041" w:rsidRDefault="00DD13BF" w:rsidP="00355A56">
            <w:pPr>
              <w:jc w:val="right"/>
              <w:rPr>
                <w:color w:val="000000"/>
                <w:sz w:val="16"/>
                <w:szCs w:val="16"/>
              </w:rPr>
            </w:pPr>
            <w:r>
              <w:rPr>
                <w:color w:val="000000"/>
                <w:sz w:val="16"/>
              </w:rPr>
              <w:t> 0</w:t>
            </w:r>
          </w:p>
        </w:tc>
        <w:tc>
          <w:tcPr>
            <w:tcW w:w="456" w:type="pct"/>
            <w:tcBorders>
              <w:top w:val="nil"/>
              <w:left w:val="nil"/>
              <w:bottom w:val="single" w:sz="8" w:space="0" w:color="auto"/>
              <w:right w:val="single" w:sz="8" w:space="0" w:color="auto"/>
            </w:tcBorders>
            <w:shd w:val="clear" w:color="auto" w:fill="auto"/>
            <w:noWrap/>
            <w:vAlign w:val="center"/>
            <w:hideMark/>
          </w:tcPr>
          <w:p w14:paraId="7E1D719C" w14:textId="77777777" w:rsidR="00DD13BF" w:rsidRPr="005C3041" w:rsidRDefault="00DD13BF" w:rsidP="00355A56">
            <w:pPr>
              <w:jc w:val="right"/>
              <w:rPr>
                <w:color w:val="000000"/>
                <w:sz w:val="16"/>
                <w:szCs w:val="16"/>
              </w:rPr>
            </w:pPr>
            <w:r>
              <w:rPr>
                <w:color w:val="000000"/>
                <w:sz w:val="16"/>
              </w:rPr>
              <w:t>596,213,057</w:t>
            </w:r>
          </w:p>
        </w:tc>
        <w:tc>
          <w:tcPr>
            <w:tcW w:w="405" w:type="pct"/>
            <w:tcBorders>
              <w:top w:val="nil"/>
              <w:left w:val="nil"/>
              <w:bottom w:val="single" w:sz="8" w:space="0" w:color="auto"/>
              <w:right w:val="single" w:sz="8" w:space="0" w:color="auto"/>
            </w:tcBorders>
            <w:shd w:val="clear" w:color="auto" w:fill="auto"/>
            <w:noWrap/>
            <w:vAlign w:val="center"/>
            <w:hideMark/>
          </w:tcPr>
          <w:p w14:paraId="4A9C6C9A" w14:textId="77777777" w:rsidR="00DD13BF" w:rsidRPr="005C3041" w:rsidRDefault="00DD13BF" w:rsidP="00355A56">
            <w:pPr>
              <w:jc w:val="right"/>
              <w:rPr>
                <w:color w:val="000000"/>
                <w:sz w:val="16"/>
                <w:szCs w:val="16"/>
              </w:rPr>
            </w:pPr>
            <w:r>
              <w:rPr>
                <w:color w:val="000000"/>
                <w:sz w:val="16"/>
              </w:rPr>
              <w:t>605,878,199</w:t>
            </w:r>
          </w:p>
        </w:tc>
        <w:tc>
          <w:tcPr>
            <w:tcW w:w="355" w:type="pct"/>
            <w:tcBorders>
              <w:top w:val="nil"/>
              <w:left w:val="nil"/>
              <w:bottom w:val="single" w:sz="8" w:space="0" w:color="auto"/>
              <w:right w:val="single" w:sz="8" w:space="0" w:color="auto"/>
            </w:tcBorders>
            <w:shd w:val="clear" w:color="auto" w:fill="auto"/>
            <w:noWrap/>
            <w:vAlign w:val="center"/>
            <w:hideMark/>
          </w:tcPr>
          <w:p w14:paraId="6DFF1E65" w14:textId="77777777" w:rsidR="00DD13BF" w:rsidRPr="005C3041" w:rsidRDefault="00DD13BF" w:rsidP="00355A56">
            <w:pPr>
              <w:jc w:val="right"/>
              <w:rPr>
                <w:color w:val="000000"/>
                <w:sz w:val="16"/>
                <w:szCs w:val="16"/>
              </w:rPr>
            </w:pPr>
            <w:r>
              <w:rPr>
                <w:color w:val="000000"/>
                <w:sz w:val="16"/>
              </w:rPr>
              <w:t>541,264,630</w:t>
            </w:r>
          </w:p>
        </w:tc>
        <w:tc>
          <w:tcPr>
            <w:tcW w:w="417" w:type="pct"/>
            <w:tcBorders>
              <w:top w:val="nil"/>
              <w:left w:val="nil"/>
              <w:bottom w:val="single" w:sz="8" w:space="0" w:color="auto"/>
              <w:right w:val="single" w:sz="8" w:space="0" w:color="auto"/>
            </w:tcBorders>
            <w:shd w:val="clear" w:color="auto" w:fill="auto"/>
            <w:noWrap/>
            <w:vAlign w:val="center"/>
            <w:hideMark/>
          </w:tcPr>
          <w:p w14:paraId="6F3DE959" w14:textId="77777777" w:rsidR="00DD13BF" w:rsidRPr="005C3041" w:rsidRDefault="00DD13BF" w:rsidP="00355A56">
            <w:pPr>
              <w:jc w:val="right"/>
              <w:rPr>
                <w:color w:val="000000"/>
                <w:sz w:val="16"/>
                <w:szCs w:val="16"/>
              </w:rPr>
            </w:pPr>
            <w:r>
              <w:rPr>
                <w:color w:val="000000"/>
                <w:sz w:val="16"/>
              </w:rPr>
              <w:t>550,112,383</w:t>
            </w:r>
          </w:p>
        </w:tc>
        <w:tc>
          <w:tcPr>
            <w:tcW w:w="392" w:type="pct"/>
            <w:tcBorders>
              <w:top w:val="nil"/>
              <w:left w:val="nil"/>
              <w:bottom w:val="single" w:sz="8" w:space="0" w:color="auto"/>
              <w:right w:val="single" w:sz="8" w:space="0" w:color="auto"/>
            </w:tcBorders>
            <w:shd w:val="clear" w:color="auto" w:fill="auto"/>
            <w:noWrap/>
            <w:vAlign w:val="center"/>
            <w:hideMark/>
          </w:tcPr>
          <w:p w14:paraId="352DE176" w14:textId="77777777" w:rsidR="00DD13BF" w:rsidRPr="005C3041" w:rsidRDefault="00DD13BF" w:rsidP="00355A56">
            <w:pPr>
              <w:jc w:val="right"/>
              <w:rPr>
                <w:color w:val="000000"/>
                <w:sz w:val="16"/>
                <w:szCs w:val="16"/>
              </w:rPr>
            </w:pPr>
            <w:r>
              <w:rPr>
                <w:color w:val="000000"/>
                <w:sz w:val="16"/>
              </w:rPr>
              <w:t>227,503,390</w:t>
            </w:r>
          </w:p>
        </w:tc>
        <w:tc>
          <w:tcPr>
            <w:tcW w:w="392" w:type="pct"/>
            <w:tcBorders>
              <w:top w:val="nil"/>
              <w:left w:val="nil"/>
              <w:bottom w:val="single" w:sz="8" w:space="0" w:color="auto"/>
              <w:right w:val="single" w:sz="8" w:space="0" w:color="auto"/>
            </w:tcBorders>
            <w:shd w:val="clear" w:color="auto" w:fill="auto"/>
            <w:noWrap/>
            <w:vAlign w:val="center"/>
            <w:hideMark/>
          </w:tcPr>
          <w:p w14:paraId="3C2F3586" w14:textId="77777777" w:rsidR="00DD13BF" w:rsidRPr="005C3041" w:rsidRDefault="00DD13BF" w:rsidP="00355A56">
            <w:pPr>
              <w:jc w:val="right"/>
              <w:rPr>
                <w:color w:val="000000"/>
                <w:sz w:val="16"/>
                <w:szCs w:val="16"/>
              </w:rPr>
            </w:pPr>
            <w:r>
              <w:rPr>
                <w:color w:val="000000"/>
                <w:sz w:val="16"/>
              </w:rPr>
              <w:t>227,503,391</w:t>
            </w:r>
          </w:p>
        </w:tc>
        <w:tc>
          <w:tcPr>
            <w:tcW w:w="392" w:type="pct"/>
            <w:tcBorders>
              <w:top w:val="nil"/>
              <w:left w:val="nil"/>
              <w:bottom w:val="single" w:sz="8" w:space="0" w:color="auto"/>
              <w:right w:val="single" w:sz="8" w:space="0" w:color="auto"/>
            </w:tcBorders>
            <w:shd w:val="clear" w:color="auto" w:fill="auto"/>
            <w:noWrap/>
            <w:vAlign w:val="center"/>
            <w:hideMark/>
          </w:tcPr>
          <w:p w14:paraId="7A251E5B" w14:textId="77777777" w:rsidR="00DD13BF" w:rsidRPr="005C3041" w:rsidRDefault="00DD13BF" w:rsidP="00355A56">
            <w:pPr>
              <w:jc w:val="right"/>
              <w:rPr>
                <w:color w:val="000000"/>
                <w:sz w:val="16"/>
                <w:szCs w:val="16"/>
              </w:rPr>
            </w:pPr>
            <w:r>
              <w:rPr>
                <w:color w:val="000000"/>
                <w:sz w:val="16"/>
              </w:rPr>
              <w:t>232,096,201</w:t>
            </w:r>
          </w:p>
        </w:tc>
        <w:tc>
          <w:tcPr>
            <w:tcW w:w="392" w:type="pct"/>
            <w:tcBorders>
              <w:top w:val="nil"/>
              <w:left w:val="nil"/>
              <w:bottom w:val="single" w:sz="8" w:space="0" w:color="auto"/>
              <w:right w:val="single" w:sz="8" w:space="0" w:color="auto"/>
            </w:tcBorders>
            <w:shd w:val="clear" w:color="auto" w:fill="auto"/>
            <w:noWrap/>
            <w:vAlign w:val="center"/>
            <w:hideMark/>
          </w:tcPr>
          <w:p w14:paraId="7D0A909A" w14:textId="77777777" w:rsidR="00DD13BF" w:rsidRPr="005C3041" w:rsidRDefault="00DD13BF" w:rsidP="00355A56">
            <w:pPr>
              <w:jc w:val="right"/>
              <w:rPr>
                <w:color w:val="000000"/>
                <w:sz w:val="16"/>
                <w:szCs w:val="16"/>
              </w:rPr>
            </w:pPr>
            <w:r>
              <w:rPr>
                <w:color w:val="000000"/>
                <w:sz w:val="16"/>
              </w:rPr>
              <w:t>232,096,202</w:t>
            </w:r>
          </w:p>
        </w:tc>
        <w:tc>
          <w:tcPr>
            <w:tcW w:w="384" w:type="pct"/>
            <w:tcBorders>
              <w:top w:val="nil"/>
              <w:left w:val="nil"/>
              <w:bottom w:val="single" w:sz="8" w:space="0" w:color="auto"/>
              <w:right w:val="single" w:sz="8" w:space="0" w:color="auto"/>
            </w:tcBorders>
            <w:shd w:val="clear" w:color="auto" w:fill="auto"/>
            <w:noWrap/>
            <w:vAlign w:val="center"/>
            <w:hideMark/>
          </w:tcPr>
          <w:p w14:paraId="195A546A" w14:textId="77777777" w:rsidR="00DD13BF" w:rsidRPr="005C3041" w:rsidRDefault="00DD13BF" w:rsidP="00355A56">
            <w:pPr>
              <w:jc w:val="right"/>
              <w:rPr>
                <w:color w:val="000000"/>
                <w:sz w:val="16"/>
                <w:szCs w:val="16"/>
              </w:rPr>
            </w:pPr>
            <w:r>
              <w:rPr>
                <w:color w:val="000000"/>
                <w:sz w:val="16"/>
              </w:rPr>
              <w:t>3,212,667,453</w:t>
            </w:r>
          </w:p>
        </w:tc>
      </w:tr>
    </w:tbl>
    <w:p w14:paraId="7A573F8A" w14:textId="77777777" w:rsidR="00DD13BF" w:rsidRDefault="00DD13BF" w:rsidP="00DD13BF">
      <w:pPr>
        <w:ind w:right="4378"/>
      </w:pPr>
    </w:p>
    <w:p w14:paraId="002D7FA8" w14:textId="77777777" w:rsidR="00DD13BF" w:rsidRDefault="00DD13BF" w:rsidP="00DD13BF">
      <w:pPr>
        <w:rPr>
          <w:sz w:val="20"/>
        </w:rPr>
      </w:pPr>
      <w:r>
        <w:br w:type="page"/>
      </w:r>
    </w:p>
    <w:p w14:paraId="6C870082" w14:textId="77777777" w:rsidR="00DD13BF" w:rsidRDefault="00DD13BF" w:rsidP="00DD13BF">
      <w:pPr>
        <w:pStyle w:val="Naslov2"/>
        <w:sectPr w:rsidR="00DD13BF" w:rsidSect="00FC3010">
          <w:headerReference w:type="default" r:id="rId99"/>
          <w:footerReference w:type="first" r:id="rId100"/>
          <w:type w:val="continuous"/>
          <w:pgSz w:w="16840" w:h="11910" w:orient="landscape"/>
          <w:pgMar w:top="1417" w:right="1417" w:bottom="1417" w:left="1417" w:header="708" w:footer="708" w:gutter="0"/>
          <w:cols w:space="708"/>
        </w:sectPr>
      </w:pPr>
      <w:bookmarkStart w:id="83" w:name="_Toc131161744"/>
      <w:r>
        <w:lastRenderedPageBreak/>
        <w:t>Total financial appropriations by fund and national co-financing</w:t>
      </w:r>
      <w:bookmarkEnd w:id="83"/>
    </w:p>
    <w:p w14:paraId="122B6913" w14:textId="77777777" w:rsidR="00DD13BF" w:rsidRDefault="00DD13BF" w:rsidP="00DD13BF">
      <w:pPr>
        <w:rPr>
          <w:spacing w:val="-7"/>
        </w:rPr>
      </w:pPr>
    </w:p>
    <w:p w14:paraId="266ACAB5" w14:textId="77777777" w:rsidR="00DD13BF" w:rsidRDefault="00DD13BF" w:rsidP="00DD13BF">
      <w:pPr>
        <w:ind w:left="709"/>
        <w:rPr>
          <w:spacing w:val="-6"/>
        </w:rPr>
      </w:pPr>
      <w:r>
        <w:t>Table 11: Total financial allocations by fund and national contribution</w:t>
      </w:r>
    </w:p>
    <w:p w14:paraId="69EF3C32" w14:textId="77777777" w:rsidR="00DD13BF" w:rsidRDefault="00DD13BF" w:rsidP="00DD13BF">
      <w:pPr>
        <w:ind w:left="709"/>
        <w:rPr>
          <w:spacing w:val="-6"/>
        </w:rPr>
      </w:pPr>
    </w:p>
    <w:tbl>
      <w:tblPr>
        <w:tblW w:w="5000" w:type="pct"/>
        <w:tblCellMar>
          <w:left w:w="70" w:type="dxa"/>
          <w:right w:w="70" w:type="dxa"/>
        </w:tblCellMar>
        <w:tblLook w:val="04A0" w:firstRow="1" w:lastRow="0" w:firstColumn="1" w:lastColumn="0" w:noHBand="0" w:noVBand="1"/>
      </w:tblPr>
      <w:tblGrid>
        <w:gridCol w:w="700"/>
        <w:gridCol w:w="769"/>
        <w:gridCol w:w="871"/>
        <w:gridCol w:w="358"/>
        <w:gridCol w:w="1060"/>
        <w:gridCol w:w="733"/>
        <w:gridCol w:w="1195"/>
        <w:gridCol w:w="945"/>
        <w:gridCol w:w="941"/>
        <w:gridCol w:w="840"/>
        <w:gridCol w:w="917"/>
        <w:gridCol w:w="968"/>
        <w:gridCol w:w="969"/>
        <w:gridCol w:w="874"/>
        <w:gridCol w:w="945"/>
        <w:gridCol w:w="901"/>
      </w:tblGrid>
      <w:tr w:rsidR="00DD13BF" w:rsidRPr="005C3041" w14:paraId="18E894E8" w14:textId="77777777" w:rsidTr="00355A56">
        <w:trPr>
          <w:trHeight w:val="122"/>
        </w:trPr>
        <w:tc>
          <w:tcPr>
            <w:tcW w:w="2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E53E15" w14:textId="77777777" w:rsidR="00DD13BF" w:rsidRPr="005C3041" w:rsidRDefault="00DD13BF" w:rsidP="00355A56">
            <w:pPr>
              <w:rPr>
                <w:sz w:val="14"/>
                <w:szCs w:val="18"/>
              </w:rPr>
            </w:pPr>
            <w:r>
              <w:rPr>
                <w:sz w:val="14"/>
              </w:rPr>
              <w:t>JTF specific objective number or technical assistance</w:t>
            </w:r>
          </w:p>
        </w:tc>
        <w:tc>
          <w:tcPr>
            <w:tcW w:w="2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8B5F09" w14:textId="77777777" w:rsidR="00DD13BF" w:rsidRPr="005C3041" w:rsidRDefault="00DD13BF" w:rsidP="00355A56">
            <w:pPr>
              <w:rPr>
                <w:sz w:val="14"/>
                <w:szCs w:val="18"/>
              </w:rPr>
            </w:pPr>
            <w:r>
              <w:rPr>
                <w:sz w:val="14"/>
              </w:rPr>
              <w:t>Priority</w:t>
            </w:r>
          </w:p>
        </w:tc>
        <w:tc>
          <w:tcPr>
            <w:tcW w:w="2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C9809D" w14:textId="77777777" w:rsidR="00DD13BF" w:rsidRPr="005C3041" w:rsidRDefault="00DD13BF" w:rsidP="00355A56">
            <w:pPr>
              <w:rPr>
                <w:sz w:val="14"/>
                <w:szCs w:val="18"/>
              </w:rPr>
            </w:pPr>
            <w:r>
              <w:rPr>
                <w:sz w:val="14"/>
              </w:rPr>
              <w:t>Basis for calculation Union support (total eligible cost or public contribution)</w:t>
            </w:r>
          </w:p>
        </w:tc>
        <w:tc>
          <w:tcPr>
            <w:tcW w:w="51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57BE30" w14:textId="77777777" w:rsidR="00DD13BF" w:rsidRPr="005C3041" w:rsidRDefault="00DD13BF" w:rsidP="00355A56">
            <w:pPr>
              <w:jc w:val="center"/>
              <w:rPr>
                <w:sz w:val="14"/>
                <w:szCs w:val="18"/>
              </w:rPr>
            </w:pPr>
            <w:r>
              <w:rPr>
                <w:sz w:val="14"/>
              </w:rPr>
              <w:t>Fund</w:t>
            </w:r>
          </w:p>
        </w:tc>
        <w:tc>
          <w:tcPr>
            <w:tcW w:w="271"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1127DEEE" w14:textId="77777777" w:rsidR="00DD13BF" w:rsidRPr="005C3041" w:rsidRDefault="00DD13BF" w:rsidP="00355A56">
            <w:pPr>
              <w:rPr>
                <w:sz w:val="14"/>
                <w:szCs w:val="18"/>
              </w:rPr>
            </w:pPr>
            <w:r>
              <w:rPr>
                <w:sz w:val="14"/>
              </w:rPr>
              <w:t>Category of region*</w:t>
            </w:r>
          </w:p>
        </w:tc>
        <w:tc>
          <w:tcPr>
            <w:tcW w:w="3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9FF95F" w14:textId="77777777" w:rsidR="00DD13BF" w:rsidRPr="005C3041" w:rsidRDefault="00DD13BF" w:rsidP="00355A56">
            <w:pPr>
              <w:rPr>
                <w:sz w:val="14"/>
                <w:szCs w:val="18"/>
              </w:rPr>
            </w:pPr>
            <w:r>
              <w:rPr>
                <w:sz w:val="14"/>
              </w:rPr>
              <w:t>Union contribution (a)=(b)+(c)+(i)+(j)</w:t>
            </w:r>
          </w:p>
        </w:tc>
        <w:tc>
          <w:tcPr>
            <w:tcW w:w="1337" w:type="pct"/>
            <w:gridSpan w:val="4"/>
            <w:tcBorders>
              <w:top w:val="single" w:sz="8" w:space="0" w:color="auto"/>
              <w:left w:val="nil"/>
              <w:bottom w:val="single" w:sz="8" w:space="0" w:color="auto"/>
              <w:right w:val="single" w:sz="8" w:space="0" w:color="000000"/>
            </w:tcBorders>
            <w:shd w:val="clear" w:color="auto" w:fill="auto"/>
            <w:vAlign w:val="center"/>
            <w:hideMark/>
          </w:tcPr>
          <w:p w14:paraId="312E9218" w14:textId="77777777" w:rsidR="00DD13BF" w:rsidRPr="005C3041" w:rsidRDefault="00DD13BF" w:rsidP="00355A56">
            <w:pPr>
              <w:jc w:val="center"/>
              <w:rPr>
                <w:sz w:val="14"/>
                <w:szCs w:val="18"/>
              </w:rPr>
            </w:pPr>
            <w:r>
              <w:rPr>
                <w:sz w:val="14"/>
              </w:rPr>
              <w:t>Breakdown of Union contribution</w:t>
            </w:r>
          </w:p>
        </w:tc>
        <w:tc>
          <w:tcPr>
            <w:tcW w:w="355" w:type="pct"/>
            <w:vMerge w:val="restart"/>
            <w:tcBorders>
              <w:top w:val="single" w:sz="8" w:space="0" w:color="auto"/>
              <w:left w:val="nil"/>
              <w:bottom w:val="single" w:sz="8" w:space="0" w:color="000000"/>
              <w:right w:val="single" w:sz="8" w:space="0" w:color="auto"/>
            </w:tcBorders>
            <w:shd w:val="clear" w:color="auto" w:fill="auto"/>
            <w:vAlign w:val="center"/>
            <w:hideMark/>
          </w:tcPr>
          <w:p w14:paraId="62A781BA" w14:textId="77777777" w:rsidR="00DD13BF" w:rsidRPr="005C3041" w:rsidRDefault="00DD13BF" w:rsidP="00355A56">
            <w:pPr>
              <w:rPr>
                <w:sz w:val="14"/>
                <w:szCs w:val="18"/>
              </w:rPr>
            </w:pPr>
            <w:r>
              <w:rPr>
                <w:sz w:val="14"/>
              </w:rPr>
              <w:t>National contribution (d)=(e)+(f)</w:t>
            </w:r>
          </w:p>
        </w:tc>
        <w:tc>
          <w:tcPr>
            <w:tcW w:w="676" w:type="pct"/>
            <w:gridSpan w:val="2"/>
            <w:tcBorders>
              <w:top w:val="single" w:sz="8" w:space="0" w:color="auto"/>
              <w:left w:val="nil"/>
              <w:bottom w:val="single" w:sz="8" w:space="0" w:color="auto"/>
              <w:right w:val="single" w:sz="8" w:space="0" w:color="000000"/>
            </w:tcBorders>
            <w:shd w:val="clear" w:color="auto" w:fill="auto"/>
            <w:vAlign w:val="center"/>
            <w:hideMark/>
          </w:tcPr>
          <w:p w14:paraId="4F28A2B2" w14:textId="77777777" w:rsidR="00DD13BF" w:rsidRPr="005C3041" w:rsidRDefault="00DD13BF" w:rsidP="00355A56">
            <w:pPr>
              <w:rPr>
                <w:sz w:val="14"/>
                <w:szCs w:val="18"/>
              </w:rPr>
            </w:pPr>
            <w:r>
              <w:rPr>
                <w:sz w:val="14"/>
              </w:rPr>
              <w:t>Indicative breakdown of national contribution</w:t>
            </w:r>
          </w:p>
        </w:tc>
        <w:tc>
          <w:tcPr>
            <w:tcW w:w="34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F6769B" w14:textId="77777777" w:rsidR="00DD13BF" w:rsidRPr="005C3041" w:rsidRDefault="00DD13BF" w:rsidP="00355A56">
            <w:pPr>
              <w:rPr>
                <w:sz w:val="14"/>
                <w:szCs w:val="18"/>
              </w:rPr>
            </w:pPr>
            <w:r>
              <w:rPr>
                <w:sz w:val="14"/>
              </w:rPr>
              <w:t>Total (g)=(a)+(d)</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310062" w14:textId="77777777" w:rsidR="00DD13BF" w:rsidRPr="005C3041" w:rsidRDefault="00DD13BF" w:rsidP="00355A56">
            <w:pPr>
              <w:rPr>
                <w:sz w:val="14"/>
                <w:szCs w:val="18"/>
              </w:rPr>
            </w:pPr>
            <w:r>
              <w:rPr>
                <w:sz w:val="14"/>
              </w:rPr>
              <w:t>Co-financing rate (h)=(a)/(g)</w:t>
            </w:r>
          </w:p>
        </w:tc>
      </w:tr>
      <w:tr w:rsidR="00DD13BF" w:rsidRPr="005C3041" w14:paraId="1332237D" w14:textId="77777777" w:rsidTr="00355A56">
        <w:trPr>
          <w:trHeight w:val="209"/>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2DA551F0"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3A452CDE"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0AD721D6"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single" w:sz="8" w:space="0" w:color="000000"/>
              <w:right w:val="single" w:sz="8" w:space="0" w:color="000000"/>
            </w:tcBorders>
            <w:vAlign w:val="center"/>
            <w:hideMark/>
          </w:tcPr>
          <w:p w14:paraId="7A39B268" w14:textId="77777777" w:rsidR="00DD13BF" w:rsidRPr="005C3041" w:rsidRDefault="00DD13BF" w:rsidP="00355A56">
            <w:pPr>
              <w:rPr>
                <w:sz w:val="14"/>
                <w:szCs w:val="18"/>
              </w:rPr>
            </w:pPr>
          </w:p>
        </w:tc>
        <w:tc>
          <w:tcPr>
            <w:tcW w:w="271" w:type="pct"/>
            <w:vMerge/>
            <w:tcBorders>
              <w:top w:val="single" w:sz="8" w:space="0" w:color="auto"/>
              <w:left w:val="single" w:sz="8" w:space="0" w:color="000000"/>
              <w:bottom w:val="single" w:sz="8" w:space="0" w:color="000000"/>
              <w:right w:val="single" w:sz="8" w:space="0" w:color="auto"/>
            </w:tcBorders>
            <w:vAlign w:val="center"/>
            <w:hideMark/>
          </w:tcPr>
          <w:p w14:paraId="127E2B4E" w14:textId="77777777" w:rsidR="00DD13BF" w:rsidRPr="005C3041" w:rsidRDefault="00DD13BF" w:rsidP="00355A56">
            <w:pPr>
              <w:rPr>
                <w:sz w:val="14"/>
                <w:szCs w:val="18"/>
              </w:rPr>
            </w:pPr>
          </w:p>
        </w:tc>
        <w:tc>
          <w:tcPr>
            <w:tcW w:w="397" w:type="pct"/>
            <w:vMerge/>
            <w:tcBorders>
              <w:top w:val="single" w:sz="8" w:space="0" w:color="auto"/>
              <w:left w:val="single" w:sz="8" w:space="0" w:color="auto"/>
              <w:bottom w:val="single" w:sz="8" w:space="0" w:color="000000"/>
              <w:right w:val="single" w:sz="8" w:space="0" w:color="auto"/>
            </w:tcBorders>
            <w:vAlign w:val="center"/>
            <w:hideMark/>
          </w:tcPr>
          <w:p w14:paraId="0D501BFE" w14:textId="77777777" w:rsidR="00DD13BF" w:rsidRPr="005C3041" w:rsidRDefault="00DD13BF" w:rsidP="00355A56">
            <w:pPr>
              <w:rPr>
                <w:sz w:val="14"/>
                <w:szCs w:val="18"/>
              </w:rPr>
            </w:pPr>
          </w:p>
        </w:tc>
        <w:tc>
          <w:tcPr>
            <w:tcW w:w="692" w:type="pct"/>
            <w:gridSpan w:val="2"/>
            <w:tcBorders>
              <w:top w:val="single" w:sz="8" w:space="0" w:color="auto"/>
              <w:left w:val="nil"/>
              <w:bottom w:val="single" w:sz="8" w:space="0" w:color="auto"/>
              <w:right w:val="single" w:sz="8" w:space="0" w:color="000000"/>
            </w:tcBorders>
            <w:shd w:val="clear" w:color="auto" w:fill="auto"/>
            <w:vAlign w:val="center"/>
            <w:hideMark/>
          </w:tcPr>
          <w:p w14:paraId="554E8BC8" w14:textId="77777777" w:rsidR="00DD13BF" w:rsidRPr="005C3041" w:rsidRDefault="00DD13BF" w:rsidP="00355A56">
            <w:pPr>
              <w:jc w:val="center"/>
              <w:rPr>
                <w:sz w:val="14"/>
                <w:szCs w:val="18"/>
              </w:rPr>
            </w:pPr>
            <w:r>
              <w:rPr>
                <w:sz w:val="14"/>
              </w:rPr>
              <w:t>Union contribution</w:t>
            </w:r>
          </w:p>
        </w:tc>
        <w:tc>
          <w:tcPr>
            <w:tcW w:w="646" w:type="pct"/>
            <w:gridSpan w:val="2"/>
            <w:tcBorders>
              <w:top w:val="single" w:sz="8" w:space="0" w:color="auto"/>
              <w:left w:val="nil"/>
              <w:bottom w:val="single" w:sz="8" w:space="0" w:color="auto"/>
              <w:right w:val="single" w:sz="8" w:space="0" w:color="000000"/>
            </w:tcBorders>
            <w:shd w:val="clear" w:color="auto" w:fill="auto"/>
            <w:vAlign w:val="center"/>
            <w:hideMark/>
          </w:tcPr>
          <w:p w14:paraId="41554D73" w14:textId="77777777" w:rsidR="00DD13BF" w:rsidRPr="005C3041" w:rsidRDefault="00DD13BF" w:rsidP="00355A56">
            <w:pPr>
              <w:jc w:val="center"/>
              <w:rPr>
                <w:sz w:val="14"/>
                <w:szCs w:val="18"/>
              </w:rPr>
            </w:pPr>
            <w:r>
              <w:rPr>
                <w:sz w:val="14"/>
              </w:rPr>
              <w:t>Flexibility amount</w:t>
            </w:r>
          </w:p>
        </w:tc>
        <w:tc>
          <w:tcPr>
            <w:tcW w:w="355" w:type="pct"/>
            <w:vMerge/>
            <w:tcBorders>
              <w:top w:val="single" w:sz="8" w:space="0" w:color="auto"/>
              <w:left w:val="nil"/>
              <w:bottom w:val="single" w:sz="8" w:space="0" w:color="000000"/>
              <w:right w:val="single" w:sz="8" w:space="0" w:color="auto"/>
            </w:tcBorders>
            <w:vAlign w:val="center"/>
            <w:hideMark/>
          </w:tcPr>
          <w:p w14:paraId="00890DCC" w14:textId="77777777" w:rsidR="00DD13BF" w:rsidRPr="005C3041" w:rsidRDefault="00DD13BF" w:rsidP="00355A56">
            <w:pPr>
              <w:rPr>
                <w:sz w:val="14"/>
                <w:szCs w:val="18"/>
              </w:rPr>
            </w:pP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24E2F67F" w14:textId="77777777" w:rsidR="00DD13BF" w:rsidRPr="005C3041" w:rsidRDefault="00DD13BF" w:rsidP="00355A56">
            <w:pPr>
              <w:rPr>
                <w:sz w:val="14"/>
                <w:szCs w:val="18"/>
              </w:rPr>
            </w:pPr>
            <w:r>
              <w:rPr>
                <w:sz w:val="14"/>
              </w:rPr>
              <w:t>Public (e)</w:t>
            </w:r>
          </w:p>
        </w:tc>
        <w:tc>
          <w:tcPr>
            <w:tcW w:w="321" w:type="pct"/>
            <w:vMerge w:val="restart"/>
            <w:tcBorders>
              <w:top w:val="nil"/>
              <w:left w:val="single" w:sz="8" w:space="0" w:color="auto"/>
              <w:bottom w:val="single" w:sz="8" w:space="0" w:color="000000"/>
              <w:right w:val="single" w:sz="8" w:space="0" w:color="auto"/>
            </w:tcBorders>
            <w:shd w:val="clear" w:color="auto" w:fill="auto"/>
            <w:vAlign w:val="center"/>
            <w:hideMark/>
          </w:tcPr>
          <w:p w14:paraId="32172022" w14:textId="77777777" w:rsidR="00DD13BF" w:rsidRPr="005C3041" w:rsidRDefault="00DD13BF" w:rsidP="00355A56">
            <w:pPr>
              <w:rPr>
                <w:sz w:val="14"/>
                <w:szCs w:val="18"/>
              </w:rPr>
            </w:pPr>
            <w:r>
              <w:rPr>
                <w:sz w:val="14"/>
              </w:rPr>
              <w:t>Private (f)</w:t>
            </w:r>
          </w:p>
        </w:tc>
        <w:tc>
          <w:tcPr>
            <w:tcW w:w="342" w:type="pct"/>
            <w:vMerge/>
            <w:tcBorders>
              <w:top w:val="single" w:sz="8" w:space="0" w:color="auto"/>
              <w:left w:val="single" w:sz="8" w:space="0" w:color="auto"/>
              <w:bottom w:val="single" w:sz="8" w:space="0" w:color="000000"/>
              <w:right w:val="single" w:sz="8" w:space="0" w:color="auto"/>
            </w:tcBorders>
            <w:vAlign w:val="center"/>
            <w:hideMark/>
          </w:tcPr>
          <w:p w14:paraId="3C388DF5" w14:textId="77777777" w:rsidR="00DD13BF" w:rsidRPr="005C3041" w:rsidRDefault="00DD13BF" w:rsidP="00355A56">
            <w:pPr>
              <w:rPr>
                <w:sz w:val="14"/>
                <w:szCs w:val="18"/>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14:paraId="60AACAC7" w14:textId="77777777" w:rsidR="00DD13BF" w:rsidRPr="005C3041" w:rsidRDefault="00DD13BF" w:rsidP="00355A56">
            <w:pPr>
              <w:rPr>
                <w:sz w:val="14"/>
                <w:szCs w:val="18"/>
              </w:rPr>
            </w:pPr>
          </w:p>
        </w:tc>
      </w:tr>
      <w:tr w:rsidR="00DD13BF" w:rsidRPr="005C3041" w14:paraId="4A67C15A" w14:textId="77777777" w:rsidTr="00355A56">
        <w:trPr>
          <w:trHeight w:val="738"/>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05883B2B"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5652A268"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3B2D5C0E"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single" w:sz="8" w:space="0" w:color="000000"/>
              <w:right w:val="single" w:sz="8" w:space="0" w:color="000000"/>
            </w:tcBorders>
            <w:vAlign w:val="center"/>
            <w:hideMark/>
          </w:tcPr>
          <w:p w14:paraId="56314A9E" w14:textId="77777777" w:rsidR="00DD13BF" w:rsidRPr="005C3041" w:rsidRDefault="00DD13BF" w:rsidP="00355A56">
            <w:pPr>
              <w:rPr>
                <w:sz w:val="14"/>
                <w:szCs w:val="18"/>
              </w:rPr>
            </w:pPr>
          </w:p>
        </w:tc>
        <w:tc>
          <w:tcPr>
            <w:tcW w:w="271" w:type="pct"/>
            <w:vMerge/>
            <w:tcBorders>
              <w:top w:val="single" w:sz="8" w:space="0" w:color="auto"/>
              <w:left w:val="single" w:sz="8" w:space="0" w:color="000000"/>
              <w:bottom w:val="single" w:sz="8" w:space="0" w:color="000000"/>
              <w:right w:val="single" w:sz="8" w:space="0" w:color="auto"/>
            </w:tcBorders>
            <w:vAlign w:val="center"/>
            <w:hideMark/>
          </w:tcPr>
          <w:p w14:paraId="3C087ED1" w14:textId="77777777" w:rsidR="00DD13BF" w:rsidRPr="005C3041" w:rsidRDefault="00DD13BF" w:rsidP="00355A56">
            <w:pPr>
              <w:rPr>
                <w:sz w:val="14"/>
                <w:szCs w:val="18"/>
              </w:rPr>
            </w:pPr>
          </w:p>
        </w:tc>
        <w:tc>
          <w:tcPr>
            <w:tcW w:w="397" w:type="pct"/>
            <w:vMerge/>
            <w:tcBorders>
              <w:top w:val="single" w:sz="8" w:space="0" w:color="auto"/>
              <w:left w:val="single" w:sz="8" w:space="0" w:color="auto"/>
              <w:bottom w:val="single" w:sz="8" w:space="0" w:color="000000"/>
              <w:right w:val="single" w:sz="8" w:space="0" w:color="auto"/>
            </w:tcBorders>
            <w:vAlign w:val="center"/>
            <w:hideMark/>
          </w:tcPr>
          <w:p w14:paraId="2CF5F596" w14:textId="77777777" w:rsidR="00DD13BF" w:rsidRPr="005C3041" w:rsidRDefault="00DD13BF" w:rsidP="00355A56">
            <w:pPr>
              <w:rPr>
                <w:sz w:val="14"/>
                <w:szCs w:val="18"/>
              </w:rPr>
            </w:pPr>
          </w:p>
        </w:tc>
        <w:tc>
          <w:tcPr>
            <w:tcW w:w="342" w:type="pct"/>
            <w:tcBorders>
              <w:top w:val="nil"/>
              <w:left w:val="nil"/>
              <w:bottom w:val="single" w:sz="8" w:space="0" w:color="auto"/>
              <w:right w:val="single" w:sz="8" w:space="0" w:color="auto"/>
            </w:tcBorders>
            <w:shd w:val="clear" w:color="auto" w:fill="auto"/>
            <w:vAlign w:val="center"/>
            <w:hideMark/>
          </w:tcPr>
          <w:p w14:paraId="72DB5747" w14:textId="77777777" w:rsidR="00DD13BF" w:rsidRPr="005C3041" w:rsidRDefault="00DD13BF" w:rsidP="00355A56">
            <w:pPr>
              <w:rPr>
                <w:sz w:val="14"/>
                <w:szCs w:val="18"/>
              </w:rPr>
            </w:pPr>
            <w:r>
              <w:rPr>
                <w:sz w:val="14"/>
              </w:rPr>
              <w:t>Without technical assistance pursuant to Article 36(5) CPR</w:t>
            </w:r>
          </w:p>
        </w:tc>
        <w:tc>
          <w:tcPr>
            <w:tcW w:w="350" w:type="pct"/>
            <w:tcBorders>
              <w:top w:val="nil"/>
              <w:left w:val="nil"/>
              <w:bottom w:val="single" w:sz="8" w:space="0" w:color="auto"/>
              <w:right w:val="single" w:sz="8" w:space="0" w:color="auto"/>
            </w:tcBorders>
            <w:shd w:val="clear" w:color="auto" w:fill="auto"/>
            <w:vAlign w:val="center"/>
            <w:hideMark/>
          </w:tcPr>
          <w:p w14:paraId="63B02C30" w14:textId="77777777" w:rsidR="00DD13BF" w:rsidRPr="005C3041" w:rsidRDefault="00DD13BF" w:rsidP="00355A56">
            <w:pPr>
              <w:rPr>
                <w:sz w:val="14"/>
                <w:szCs w:val="18"/>
              </w:rPr>
            </w:pPr>
            <w:r>
              <w:rPr>
                <w:sz w:val="14"/>
              </w:rPr>
              <w:t>For technical assistance pursuant to Article 36(5) CPR</w:t>
            </w:r>
          </w:p>
        </w:tc>
        <w:tc>
          <w:tcPr>
            <w:tcW w:w="304" w:type="pct"/>
            <w:tcBorders>
              <w:top w:val="nil"/>
              <w:left w:val="nil"/>
              <w:bottom w:val="single" w:sz="8" w:space="0" w:color="auto"/>
              <w:right w:val="single" w:sz="8" w:space="0" w:color="auto"/>
            </w:tcBorders>
            <w:shd w:val="clear" w:color="auto" w:fill="auto"/>
            <w:vAlign w:val="center"/>
            <w:hideMark/>
          </w:tcPr>
          <w:p w14:paraId="789C0EC4" w14:textId="77777777" w:rsidR="00DD13BF" w:rsidRPr="005C3041" w:rsidRDefault="00DD13BF" w:rsidP="00355A56">
            <w:pPr>
              <w:rPr>
                <w:sz w:val="14"/>
                <w:szCs w:val="18"/>
              </w:rPr>
            </w:pPr>
            <w:r>
              <w:rPr>
                <w:sz w:val="14"/>
              </w:rPr>
              <w:t>Without technical assistance pursuant to Article 36(5) CPR</w:t>
            </w:r>
          </w:p>
        </w:tc>
        <w:tc>
          <w:tcPr>
            <w:tcW w:w="342" w:type="pct"/>
            <w:tcBorders>
              <w:top w:val="nil"/>
              <w:left w:val="nil"/>
              <w:bottom w:val="single" w:sz="8" w:space="0" w:color="auto"/>
              <w:right w:val="single" w:sz="8" w:space="0" w:color="auto"/>
            </w:tcBorders>
            <w:shd w:val="clear" w:color="auto" w:fill="auto"/>
            <w:vAlign w:val="center"/>
            <w:hideMark/>
          </w:tcPr>
          <w:p w14:paraId="15EF7389" w14:textId="77777777" w:rsidR="00DD13BF" w:rsidRPr="005C3041" w:rsidRDefault="00DD13BF" w:rsidP="00355A56">
            <w:pPr>
              <w:rPr>
                <w:sz w:val="14"/>
                <w:szCs w:val="18"/>
              </w:rPr>
            </w:pPr>
            <w:r>
              <w:rPr>
                <w:sz w:val="14"/>
              </w:rPr>
              <w:t>For technical assistance pursuant to Article 36(5) CPR</w:t>
            </w:r>
          </w:p>
        </w:tc>
        <w:tc>
          <w:tcPr>
            <w:tcW w:w="355" w:type="pct"/>
            <w:vMerge/>
            <w:tcBorders>
              <w:top w:val="single" w:sz="8" w:space="0" w:color="auto"/>
              <w:left w:val="nil"/>
              <w:bottom w:val="single" w:sz="8" w:space="0" w:color="000000"/>
              <w:right w:val="single" w:sz="8" w:space="0" w:color="auto"/>
            </w:tcBorders>
            <w:vAlign w:val="center"/>
            <w:hideMark/>
          </w:tcPr>
          <w:p w14:paraId="1E300BD7" w14:textId="77777777" w:rsidR="00DD13BF" w:rsidRPr="005C3041" w:rsidRDefault="00DD13BF" w:rsidP="00355A56">
            <w:pPr>
              <w:rPr>
                <w:sz w:val="14"/>
                <w:szCs w:val="18"/>
              </w:rPr>
            </w:pPr>
          </w:p>
        </w:tc>
        <w:tc>
          <w:tcPr>
            <w:tcW w:w="355" w:type="pct"/>
            <w:vMerge/>
            <w:tcBorders>
              <w:top w:val="nil"/>
              <w:left w:val="single" w:sz="8" w:space="0" w:color="auto"/>
              <w:bottom w:val="single" w:sz="8" w:space="0" w:color="000000"/>
              <w:right w:val="single" w:sz="8" w:space="0" w:color="auto"/>
            </w:tcBorders>
            <w:vAlign w:val="center"/>
            <w:hideMark/>
          </w:tcPr>
          <w:p w14:paraId="3442EC02" w14:textId="77777777" w:rsidR="00DD13BF" w:rsidRPr="005C3041" w:rsidRDefault="00DD13BF" w:rsidP="00355A56">
            <w:pPr>
              <w:rPr>
                <w:sz w:val="14"/>
                <w:szCs w:val="18"/>
              </w:rPr>
            </w:pPr>
          </w:p>
        </w:tc>
        <w:tc>
          <w:tcPr>
            <w:tcW w:w="321" w:type="pct"/>
            <w:vMerge/>
            <w:tcBorders>
              <w:top w:val="nil"/>
              <w:left w:val="single" w:sz="8" w:space="0" w:color="auto"/>
              <w:bottom w:val="single" w:sz="8" w:space="0" w:color="000000"/>
              <w:right w:val="single" w:sz="8" w:space="0" w:color="auto"/>
            </w:tcBorders>
            <w:vAlign w:val="center"/>
            <w:hideMark/>
          </w:tcPr>
          <w:p w14:paraId="0664C559" w14:textId="77777777" w:rsidR="00DD13BF" w:rsidRPr="005C3041" w:rsidRDefault="00DD13BF" w:rsidP="00355A56">
            <w:pPr>
              <w:rPr>
                <w:sz w:val="14"/>
                <w:szCs w:val="18"/>
              </w:rPr>
            </w:pPr>
          </w:p>
        </w:tc>
        <w:tc>
          <w:tcPr>
            <w:tcW w:w="342" w:type="pct"/>
            <w:vMerge/>
            <w:tcBorders>
              <w:top w:val="single" w:sz="8" w:space="0" w:color="auto"/>
              <w:left w:val="single" w:sz="8" w:space="0" w:color="auto"/>
              <w:bottom w:val="single" w:sz="8" w:space="0" w:color="000000"/>
              <w:right w:val="single" w:sz="8" w:space="0" w:color="auto"/>
            </w:tcBorders>
            <w:vAlign w:val="center"/>
            <w:hideMark/>
          </w:tcPr>
          <w:p w14:paraId="62F398C8" w14:textId="77777777" w:rsidR="00DD13BF" w:rsidRPr="005C3041" w:rsidRDefault="00DD13BF" w:rsidP="00355A56">
            <w:pPr>
              <w:rPr>
                <w:sz w:val="14"/>
                <w:szCs w:val="18"/>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14:paraId="36392C5D" w14:textId="77777777" w:rsidR="00DD13BF" w:rsidRPr="005C3041" w:rsidRDefault="00DD13BF" w:rsidP="00355A56">
            <w:pPr>
              <w:rPr>
                <w:sz w:val="14"/>
                <w:szCs w:val="18"/>
              </w:rPr>
            </w:pPr>
          </w:p>
        </w:tc>
      </w:tr>
      <w:tr w:rsidR="00DD13BF" w:rsidRPr="005C3041" w14:paraId="118F8966" w14:textId="77777777" w:rsidTr="00355A56">
        <w:trPr>
          <w:trHeight w:val="43"/>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0971842C"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62E843BB"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037B3C2C"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single" w:sz="8" w:space="0" w:color="000000"/>
              <w:right w:val="single" w:sz="8" w:space="0" w:color="000000"/>
            </w:tcBorders>
            <w:vAlign w:val="center"/>
            <w:hideMark/>
          </w:tcPr>
          <w:p w14:paraId="29C0124B" w14:textId="77777777" w:rsidR="00DD13BF" w:rsidRPr="005C3041" w:rsidRDefault="00DD13BF" w:rsidP="00355A56">
            <w:pPr>
              <w:rPr>
                <w:sz w:val="14"/>
                <w:szCs w:val="18"/>
              </w:rPr>
            </w:pPr>
          </w:p>
        </w:tc>
        <w:tc>
          <w:tcPr>
            <w:tcW w:w="271" w:type="pct"/>
            <w:vMerge/>
            <w:tcBorders>
              <w:top w:val="single" w:sz="8" w:space="0" w:color="auto"/>
              <w:left w:val="single" w:sz="8" w:space="0" w:color="000000"/>
              <w:bottom w:val="single" w:sz="8" w:space="0" w:color="000000"/>
              <w:right w:val="single" w:sz="8" w:space="0" w:color="auto"/>
            </w:tcBorders>
            <w:vAlign w:val="center"/>
            <w:hideMark/>
          </w:tcPr>
          <w:p w14:paraId="488A8476" w14:textId="77777777" w:rsidR="00DD13BF" w:rsidRPr="005C3041" w:rsidRDefault="00DD13BF" w:rsidP="00355A56">
            <w:pPr>
              <w:rPr>
                <w:sz w:val="14"/>
                <w:szCs w:val="18"/>
              </w:rPr>
            </w:pPr>
          </w:p>
        </w:tc>
        <w:tc>
          <w:tcPr>
            <w:tcW w:w="397" w:type="pct"/>
            <w:vMerge/>
            <w:tcBorders>
              <w:top w:val="single" w:sz="8" w:space="0" w:color="auto"/>
              <w:left w:val="single" w:sz="8" w:space="0" w:color="auto"/>
              <w:bottom w:val="single" w:sz="8" w:space="0" w:color="000000"/>
              <w:right w:val="single" w:sz="8" w:space="0" w:color="auto"/>
            </w:tcBorders>
            <w:vAlign w:val="center"/>
            <w:hideMark/>
          </w:tcPr>
          <w:p w14:paraId="05088C12" w14:textId="77777777" w:rsidR="00DD13BF" w:rsidRPr="005C3041" w:rsidRDefault="00DD13BF" w:rsidP="00355A56">
            <w:pPr>
              <w:rPr>
                <w:sz w:val="14"/>
                <w:szCs w:val="18"/>
              </w:rPr>
            </w:pPr>
          </w:p>
        </w:tc>
        <w:tc>
          <w:tcPr>
            <w:tcW w:w="342" w:type="pct"/>
            <w:tcBorders>
              <w:top w:val="nil"/>
              <w:left w:val="nil"/>
              <w:bottom w:val="single" w:sz="8" w:space="0" w:color="auto"/>
              <w:right w:val="single" w:sz="8" w:space="0" w:color="auto"/>
            </w:tcBorders>
            <w:shd w:val="clear" w:color="auto" w:fill="auto"/>
            <w:vAlign w:val="center"/>
            <w:hideMark/>
          </w:tcPr>
          <w:p w14:paraId="33F242EA" w14:textId="77777777" w:rsidR="00DD13BF" w:rsidRPr="005C3041" w:rsidRDefault="00DD13BF" w:rsidP="00355A56">
            <w:pPr>
              <w:rPr>
                <w:sz w:val="14"/>
                <w:szCs w:val="18"/>
              </w:rPr>
            </w:pPr>
            <w:r>
              <w:rPr>
                <w:sz w:val="14"/>
              </w:rPr>
              <w:t>(b)</w:t>
            </w:r>
          </w:p>
        </w:tc>
        <w:tc>
          <w:tcPr>
            <w:tcW w:w="350" w:type="pct"/>
            <w:tcBorders>
              <w:top w:val="nil"/>
              <w:left w:val="nil"/>
              <w:bottom w:val="single" w:sz="8" w:space="0" w:color="auto"/>
              <w:right w:val="single" w:sz="8" w:space="0" w:color="auto"/>
            </w:tcBorders>
            <w:shd w:val="clear" w:color="auto" w:fill="auto"/>
            <w:vAlign w:val="center"/>
            <w:hideMark/>
          </w:tcPr>
          <w:p w14:paraId="6FFDE392" w14:textId="77777777" w:rsidR="00DD13BF" w:rsidRPr="005C3041" w:rsidRDefault="00DD13BF" w:rsidP="00355A56">
            <w:pPr>
              <w:rPr>
                <w:sz w:val="14"/>
                <w:szCs w:val="18"/>
              </w:rPr>
            </w:pPr>
            <w:r>
              <w:rPr>
                <w:sz w:val="14"/>
              </w:rPr>
              <w:t>(c)</w:t>
            </w:r>
          </w:p>
        </w:tc>
        <w:tc>
          <w:tcPr>
            <w:tcW w:w="304" w:type="pct"/>
            <w:tcBorders>
              <w:top w:val="nil"/>
              <w:left w:val="nil"/>
              <w:bottom w:val="single" w:sz="8" w:space="0" w:color="auto"/>
              <w:right w:val="single" w:sz="8" w:space="0" w:color="auto"/>
            </w:tcBorders>
            <w:shd w:val="clear" w:color="auto" w:fill="auto"/>
            <w:vAlign w:val="center"/>
            <w:hideMark/>
          </w:tcPr>
          <w:p w14:paraId="7A104CB3" w14:textId="77777777" w:rsidR="00DD13BF" w:rsidRPr="005C3041" w:rsidRDefault="00DD13BF" w:rsidP="00355A56">
            <w:pPr>
              <w:rPr>
                <w:sz w:val="14"/>
                <w:szCs w:val="18"/>
              </w:rPr>
            </w:pPr>
            <w:r>
              <w:rPr>
                <w:sz w:val="14"/>
              </w:rPr>
              <w:t>(i)</w:t>
            </w:r>
          </w:p>
        </w:tc>
        <w:tc>
          <w:tcPr>
            <w:tcW w:w="342" w:type="pct"/>
            <w:tcBorders>
              <w:top w:val="nil"/>
              <w:left w:val="nil"/>
              <w:bottom w:val="single" w:sz="8" w:space="0" w:color="auto"/>
              <w:right w:val="single" w:sz="8" w:space="0" w:color="auto"/>
            </w:tcBorders>
            <w:shd w:val="clear" w:color="auto" w:fill="auto"/>
            <w:vAlign w:val="center"/>
            <w:hideMark/>
          </w:tcPr>
          <w:p w14:paraId="5E5B682F" w14:textId="77777777" w:rsidR="00DD13BF" w:rsidRPr="005C3041" w:rsidRDefault="00DD13BF" w:rsidP="00355A56">
            <w:pPr>
              <w:rPr>
                <w:sz w:val="14"/>
                <w:szCs w:val="18"/>
              </w:rPr>
            </w:pPr>
            <w:r>
              <w:rPr>
                <w:sz w:val="14"/>
              </w:rPr>
              <w:t>(j)</w:t>
            </w:r>
          </w:p>
        </w:tc>
        <w:tc>
          <w:tcPr>
            <w:tcW w:w="355" w:type="pct"/>
            <w:vMerge/>
            <w:tcBorders>
              <w:top w:val="single" w:sz="8" w:space="0" w:color="auto"/>
              <w:left w:val="nil"/>
              <w:bottom w:val="single" w:sz="8" w:space="0" w:color="000000"/>
              <w:right w:val="single" w:sz="8" w:space="0" w:color="auto"/>
            </w:tcBorders>
            <w:vAlign w:val="center"/>
            <w:hideMark/>
          </w:tcPr>
          <w:p w14:paraId="73B8C856" w14:textId="77777777" w:rsidR="00DD13BF" w:rsidRPr="005C3041" w:rsidRDefault="00DD13BF" w:rsidP="00355A56">
            <w:pPr>
              <w:rPr>
                <w:sz w:val="14"/>
                <w:szCs w:val="18"/>
              </w:rPr>
            </w:pPr>
          </w:p>
        </w:tc>
        <w:tc>
          <w:tcPr>
            <w:tcW w:w="355" w:type="pct"/>
            <w:vMerge/>
            <w:tcBorders>
              <w:top w:val="nil"/>
              <w:left w:val="single" w:sz="8" w:space="0" w:color="auto"/>
              <w:bottom w:val="single" w:sz="8" w:space="0" w:color="000000"/>
              <w:right w:val="single" w:sz="8" w:space="0" w:color="auto"/>
            </w:tcBorders>
            <w:vAlign w:val="center"/>
            <w:hideMark/>
          </w:tcPr>
          <w:p w14:paraId="12EA6F59" w14:textId="77777777" w:rsidR="00DD13BF" w:rsidRPr="005C3041" w:rsidRDefault="00DD13BF" w:rsidP="00355A56">
            <w:pPr>
              <w:rPr>
                <w:sz w:val="14"/>
                <w:szCs w:val="18"/>
              </w:rPr>
            </w:pPr>
          </w:p>
        </w:tc>
        <w:tc>
          <w:tcPr>
            <w:tcW w:w="321" w:type="pct"/>
            <w:vMerge/>
            <w:tcBorders>
              <w:top w:val="nil"/>
              <w:left w:val="single" w:sz="8" w:space="0" w:color="auto"/>
              <w:bottom w:val="single" w:sz="8" w:space="0" w:color="000000"/>
              <w:right w:val="single" w:sz="8" w:space="0" w:color="auto"/>
            </w:tcBorders>
            <w:vAlign w:val="center"/>
            <w:hideMark/>
          </w:tcPr>
          <w:p w14:paraId="46BE7695" w14:textId="77777777" w:rsidR="00DD13BF" w:rsidRPr="005C3041" w:rsidRDefault="00DD13BF" w:rsidP="00355A56">
            <w:pPr>
              <w:rPr>
                <w:sz w:val="14"/>
                <w:szCs w:val="18"/>
              </w:rPr>
            </w:pPr>
          </w:p>
        </w:tc>
        <w:tc>
          <w:tcPr>
            <w:tcW w:w="342" w:type="pct"/>
            <w:vMerge/>
            <w:tcBorders>
              <w:top w:val="single" w:sz="8" w:space="0" w:color="auto"/>
              <w:left w:val="single" w:sz="8" w:space="0" w:color="auto"/>
              <w:bottom w:val="single" w:sz="8" w:space="0" w:color="000000"/>
              <w:right w:val="single" w:sz="8" w:space="0" w:color="auto"/>
            </w:tcBorders>
            <w:vAlign w:val="center"/>
            <w:hideMark/>
          </w:tcPr>
          <w:p w14:paraId="13D81663" w14:textId="77777777" w:rsidR="00DD13BF" w:rsidRPr="005C3041" w:rsidRDefault="00DD13BF" w:rsidP="00355A56">
            <w:pPr>
              <w:rPr>
                <w:sz w:val="14"/>
                <w:szCs w:val="18"/>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14:paraId="63DF88CA" w14:textId="77777777" w:rsidR="00DD13BF" w:rsidRPr="005C3041" w:rsidRDefault="00DD13BF" w:rsidP="00355A56">
            <w:pPr>
              <w:rPr>
                <w:sz w:val="14"/>
                <w:szCs w:val="18"/>
              </w:rPr>
            </w:pPr>
          </w:p>
        </w:tc>
      </w:tr>
      <w:tr w:rsidR="00DD13BF" w:rsidRPr="005C3041" w14:paraId="76CABE2E" w14:textId="77777777" w:rsidTr="00355A56">
        <w:trPr>
          <w:trHeight w:val="43"/>
        </w:trPr>
        <w:tc>
          <w:tcPr>
            <w:tcW w:w="227" w:type="pct"/>
            <w:vMerge w:val="restart"/>
            <w:tcBorders>
              <w:top w:val="nil"/>
              <w:left w:val="single" w:sz="8" w:space="0" w:color="auto"/>
              <w:bottom w:val="nil"/>
              <w:right w:val="single" w:sz="8" w:space="0" w:color="auto"/>
            </w:tcBorders>
            <w:shd w:val="clear" w:color="auto" w:fill="auto"/>
            <w:vAlign w:val="center"/>
            <w:hideMark/>
          </w:tcPr>
          <w:p w14:paraId="4A96C3A1" w14:textId="77777777" w:rsidR="00DD13BF" w:rsidRPr="005C3041" w:rsidRDefault="00DD13BF" w:rsidP="00355A56">
            <w:pPr>
              <w:rPr>
                <w:sz w:val="14"/>
                <w:szCs w:val="18"/>
              </w:rPr>
            </w:pPr>
            <w:r>
              <w:rPr>
                <w:sz w:val="14"/>
              </w:rPr>
              <w:t>PO 1</w:t>
            </w:r>
          </w:p>
        </w:tc>
        <w:tc>
          <w:tcPr>
            <w:tcW w:w="284" w:type="pct"/>
            <w:vMerge w:val="restart"/>
            <w:tcBorders>
              <w:top w:val="nil"/>
              <w:left w:val="single" w:sz="8" w:space="0" w:color="auto"/>
              <w:bottom w:val="nil"/>
              <w:right w:val="single" w:sz="8" w:space="0" w:color="auto"/>
            </w:tcBorders>
            <w:shd w:val="clear" w:color="auto" w:fill="auto"/>
            <w:vAlign w:val="center"/>
            <w:hideMark/>
          </w:tcPr>
          <w:p w14:paraId="14DBCC76" w14:textId="77777777" w:rsidR="00DD13BF" w:rsidRPr="005C3041" w:rsidRDefault="00DD13BF" w:rsidP="00355A56">
            <w:pPr>
              <w:rPr>
                <w:sz w:val="14"/>
                <w:szCs w:val="18"/>
              </w:rPr>
            </w:pPr>
            <w:r>
              <w:rPr>
                <w:sz w:val="14"/>
              </w:rPr>
              <w:t>Priority 1</w:t>
            </w:r>
          </w:p>
        </w:tc>
        <w:tc>
          <w:tcPr>
            <w:tcW w:w="262" w:type="pct"/>
            <w:vMerge w:val="restart"/>
            <w:tcBorders>
              <w:top w:val="nil"/>
              <w:left w:val="single" w:sz="8" w:space="0" w:color="auto"/>
              <w:bottom w:val="nil"/>
              <w:right w:val="single" w:sz="8" w:space="0" w:color="auto"/>
            </w:tcBorders>
            <w:shd w:val="clear" w:color="auto" w:fill="auto"/>
            <w:vAlign w:val="center"/>
            <w:hideMark/>
          </w:tcPr>
          <w:p w14:paraId="4F3F7D98"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14:paraId="51C208EF"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1BDD9510"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1EAC514B" w14:textId="77777777" w:rsidR="00DD13BF" w:rsidRPr="005C3041" w:rsidRDefault="00DD13BF" w:rsidP="00355A56">
            <w:pPr>
              <w:jc w:val="right"/>
              <w:rPr>
                <w:sz w:val="14"/>
                <w:szCs w:val="18"/>
              </w:rPr>
            </w:pPr>
            <w:r>
              <w:rPr>
                <w:sz w:val="14"/>
              </w:rPr>
              <w:t>245,530,715</w:t>
            </w:r>
          </w:p>
        </w:tc>
        <w:tc>
          <w:tcPr>
            <w:tcW w:w="342" w:type="pct"/>
            <w:tcBorders>
              <w:top w:val="nil"/>
              <w:left w:val="nil"/>
              <w:bottom w:val="single" w:sz="8" w:space="0" w:color="auto"/>
              <w:right w:val="single" w:sz="8" w:space="0" w:color="auto"/>
            </w:tcBorders>
            <w:shd w:val="clear" w:color="auto" w:fill="auto"/>
            <w:noWrap/>
            <w:vAlign w:val="center"/>
            <w:hideMark/>
          </w:tcPr>
          <w:p w14:paraId="53B772DA" w14:textId="77777777" w:rsidR="00DD13BF" w:rsidRPr="005C3041" w:rsidRDefault="00DD13BF" w:rsidP="00355A56">
            <w:pPr>
              <w:jc w:val="right"/>
              <w:rPr>
                <w:sz w:val="14"/>
                <w:szCs w:val="18"/>
              </w:rPr>
            </w:pPr>
            <w:r>
              <w:rPr>
                <w:sz w:val="14"/>
              </w:rPr>
              <w:t>203,016,216</w:t>
            </w:r>
          </w:p>
        </w:tc>
        <w:tc>
          <w:tcPr>
            <w:tcW w:w="350" w:type="pct"/>
            <w:tcBorders>
              <w:top w:val="nil"/>
              <w:left w:val="nil"/>
              <w:bottom w:val="single" w:sz="8" w:space="0" w:color="auto"/>
              <w:right w:val="single" w:sz="8" w:space="0" w:color="auto"/>
            </w:tcBorders>
            <w:shd w:val="clear" w:color="auto" w:fill="auto"/>
            <w:noWrap/>
            <w:vAlign w:val="center"/>
            <w:hideMark/>
          </w:tcPr>
          <w:p w14:paraId="3FBDEF69" w14:textId="77777777" w:rsidR="00DD13BF" w:rsidRPr="005C3041" w:rsidRDefault="00DD13BF" w:rsidP="00355A56">
            <w:pPr>
              <w:jc w:val="right"/>
              <w:rPr>
                <w:sz w:val="14"/>
                <w:szCs w:val="18"/>
              </w:rPr>
            </w:pPr>
            <w:r>
              <w:rPr>
                <w:sz w:val="14"/>
              </w:rPr>
              <w:t>7,105,568</w:t>
            </w:r>
          </w:p>
        </w:tc>
        <w:tc>
          <w:tcPr>
            <w:tcW w:w="304" w:type="pct"/>
            <w:tcBorders>
              <w:top w:val="nil"/>
              <w:left w:val="nil"/>
              <w:bottom w:val="single" w:sz="8" w:space="0" w:color="auto"/>
              <w:right w:val="single" w:sz="8" w:space="0" w:color="auto"/>
            </w:tcBorders>
            <w:shd w:val="clear" w:color="auto" w:fill="auto"/>
            <w:noWrap/>
            <w:vAlign w:val="center"/>
            <w:hideMark/>
          </w:tcPr>
          <w:p w14:paraId="74965D4B" w14:textId="77777777" w:rsidR="00DD13BF" w:rsidRPr="005C3041" w:rsidRDefault="00DD13BF" w:rsidP="00355A56">
            <w:pPr>
              <w:jc w:val="right"/>
              <w:rPr>
                <w:sz w:val="14"/>
                <w:szCs w:val="18"/>
              </w:rPr>
            </w:pPr>
            <w:r>
              <w:rPr>
                <w:sz w:val="14"/>
              </w:rPr>
              <w:t>34,211,528</w:t>
            </w:r>
          </w:p>
        </w:tc>
        <w:tc>
          <w:tcPr>
            <w:tcW w:w="342" w:type="pct"/>
            <w:tcBorders>
              <w:top w:val="nil"/>
              <w:left w:val="nil"/>
              <w:bottom w:val="single" w:sz="8" w:space="0" w:color="auto"/>
              <w:right w:val="single" w:sz="8" w:space="0" w:color="auto"/>
            </w:tcBorders>
            <w:shd w:val="clear" w:color="auto" w:fill="auto"/>
            <w:noWrap/>
            <w:vAlign w:val="center"/>
            <w:hideMark/>
          </w:tcPr>
          <w:p w14:paraId="4785F165" w14:textId="77777777" w:rsidR="00DD13BF" w:rsidRPr="005C3041" w:rsidRDefault="00DD13BF" w:rsidP="00355A56">
            <w:pPr>
              <w:jc w:val="right"/>
              <w:rPr>
                <w:sz w:val="14"/>
                <w:szCs w:val="18"/>
              </w:rPr>
            </w:pPr>
            <w:r>
              <w:rPr>
                <w:sz w:val="14"/>
              </w:rPr>
              <w:t>1,197,403</w:t>
            </w:r>
          </w:p>
        </w:tc>
        <w:tc>
          <w:tcPr>
            <w:tcW w:w="355" w:type="pct"/>
            <w:tcBorders>
              <w:top w:val="nil"/>
              <w:left w:val="nil"/>
              <w:bottom w:val="single" w:sz="8" w:space="0" w:color="auto"/>
              <w:right w:val="single" w:sz="8" w:space="0" w:color="auto"/>
            </w:tcBorders>
            <w:shd w:val="clear" w:color="auto" w:fill="auto"/>
            <w:noWrap/>
            <w:vAlign w:val="center"/>
            <w:hideMark/>
          </w:tcPr>
          <w:p w14:paraId="788A7FF0" w14:textId="77777777" w:rsidR="00DD13BF" w:rsidRPr="005C3041" w:rsidRDefault="00DD13BF" w:rsidP="00355A56">
            <w:pPr>
              <w:jc w:val="right"/>
              <w:rPr>
                <w:sz w:val="14"/>
                <w:szCs w:val="18"/>
              </w:rPr>
            </w:pPr>
            <w:r>
              <w:rPr>
                <w:sz w:val="14"/>
              </w:rPr>
              <w:t>368,296,073</w:t>
            </w:r>
          </w:p>
        </w:tc>
        <w:tc>
          <w:tcPr>
            <w:tcW w:w="355" w:type="pct"/>
            <w:tcBorders>
              <w:top w:val="nil"/>
              <w:left w:val="nil"/>
              <w:bottom w:val="single" w:sz="8" w:space="0" w:color="auto"/>
              <w:right w:val="single" w:sz="8" w:space="0" w:color="auto"/>
            </w:tcBorders>
            <w:shd w:val="clear" w:color="auto" w:fill="auto"/>
            <w:noWrap/>
            <w:vAlign w:val="center"/>
            <w:hideMark/>
          </w:tcPr>
          <w:p w14:paraId="745B08A1" w14:textId="77777777" w:rsidR="00DD13BF" w:rsidRPr="005C3041" w:rsidRDefault="00DD13BF" w:rsidP="00355A56">
            <w:pPr>
              <w:jc w:val="right"/>
              <w:rPr>
                <w:sz w:val="14"/>
                <w:szCs w:val="18"/>
              </w:rPr>
            </w:pPr>
            <w:r>
              <w:rPr>
                <w:sz w:val="14"/>
              </w:rPr>
              <w:t>158,885,908</w:t>
            </w:r>
          </w:p>
        </w:tc>
        <w:tc>
          <w:tcPr>
            <w:tcW w:w="321" w:type="pct"/>
            <w:tcBorders>
              <w:top w:val="nil"/>
              <w:left w:val="nil"/>
              <w:bottom w:val="single" w:sz="8" w:space="0" w:color="auto"/>
              <w:right w:val="single" w:sz="8" w:space="0" w:color="auto"/>
            </w:tcBorders>
            <w:shd w:val="clear" w:color="auto" w:fill="auto"/>
            <w:noWrap/>
            <w:vAlign w:val="center"/>
            <w:hideMark/>
          </w:tcPr>
          <w:p w14:paraId="6366FECC" w14:textId="77777777" w:rsidR="00DD13BF" w:rsidRPr="005C3041" w:rsidRDefault="00DD13BF" w:rsidP="00355A56">
            <w:pPr>
              <w:jc w:val="right"/>
              <w:rPr>
                <w:sz w:val="14"/>
                <w:szCs w:val="18"/>
              </w:rPr>
            </w:pPr>
            <w:r>
              <w:rPr>
                <w:sz w:val="14"/>
              </w:rPr>
              <w:t>209,410,165</w:t>
            </w:r>
          </w:p>
        </w:tc>
        <w:tc>
          <w:tcPr>
            <w:tcW w:w="342" w:type="pct"/>
            <w:tcBorders>
              <w:top w:val="nil"/>
              <w:left w:val="nil"/>
              <w:bottom w:val="single" w:sz="8" w:space="0" w:color="auto"/>
              <w:right w:val="single" w:sz="8" w:space="0" w:color="auto"/>
            </w:tcBorders>
            <w:shd w:val="clear" w:color="auto" w:fill="auto"/>
            <w:noWrap/>
            <w:vAlign w:val="center"/>
            <w:hideMark/>
          </w:tcPr>
          <w:p w14:paraId="0149D11F" w14:textId="77777777" w:rsidR="00DD13BF" w:rsidRPr="005C3041" w:rsidRDefault="00DD13BF" w:rsidP="00355A56">
            <w:pPr>
              <w:jc w:val="right"/>
              <w:rPr>
                <w:sz w:val="14"/>
                <w:szCs w:val="18"/>
              </w:rPr>
            </w:pPr>
            <w:r>
              <w:rPr>
                <w:sz w:val="14"/>
              </w:rPr>
              <w:t>613,826,788</w:t>
            </w:r>
          </w:p>
        </w:tc>
        <w:tc>
          <w:tcPr>
            <w:tcW w:w="336" w:type="pct"/>
            <w:tcBorders>
              <w:top w:val="nil"/>
              <w:left w:val="nil"/>
              <w:bottom w:val="single" w:sz="8" w:space="0" w:color="auto"/>
              <w:right w:val="single" w:sz="8" w:space="0" w:color="auto"/>
            </w:tcBorders>
            <w:shd w:val="clear" w:color="auto" w:fill="auto"/>
            <w:noWrap/>
            <w:vAlign w:val="center"/>
            <w:hideMark/>
          </w:tcPr>
          <w:p w14:paraId="07E85327" w14:textId="77777777" w:rsidR="00DD13BF" w:rsidRPr="005C3041" w:rsidRDefault="00DD13BF" w:rsidP="00355A56">
            <w:pPr>
              <w:jc w:val="right"/>
              <w:rPr>
                <w:sz w:val="14"/>
                <w:szCs w:val="18"/>
              </w:rPr>
            </w:pPr>
            <w:r>
              <w:rPr>
                <w:sz w:val="14"/>
              </w:rPr>
              <w:t>0.4</w:t>
            </w:r>
          </w:p>
        </w:tc>
      </w:tr>
      <w:tr w:rsidR="00DD13BF" w:rsidRPr="005C3041" w14:paraId="57061B49" w14:textId="77777777" w:rsidTr="00355A56">
        <w:trPr>
          <w:trHeight w:val="146"/>
        </w:trPr>
        <w:tc>
          <w:tcPr>
            <w:tcW w:w="227" w:type="pct"/>
            <w:vMerge/>
            <w:tcBorders>
              <w:top w:val="nil"/>
              <w:left w:val="single" w:sz="8" w:space="0" w:color="auto"/>
              <w:bottom w:val="nil"/>
              <w:right w:val="single" w:sz="8" w:space="0" w:color="auto"/>
            </w:tcBorders>
            <w:vAlign w:val="center"/>
            <w:hideMark/>
          </w:tcPr>
          <w:p w14:paraId="5AEEED32" w14:textId="77777777" w:rsidR="00DD13BF" w:rsidRPr="005C3041" w:rsidRDefault="00DD13BF" w:rsidP="00355A56">
            <w:pPr>
              <w:rPr>
                <w:sz w:val="14"/>
                <w:szCs w:val="18"/>
              </w:rPr>
            </w:pPr>
          </w:p>
        </w:tc>
        <w:tc>
          <w:tcPr>
            <w:tcW w:w="284" w:type="pct"/>
            <w:vMerge/>
            <w:tcBorders>
              <w:top w:val="nil"/>
              <w:left w:val="single" w:sz="8" w:space="0" w:color="auto"/>
              <w:bottom w:val="nil"/>
              <w:right w:val="single" w:sz="8" w:space="0" w:color="auto"/>
            </w:tcBorders>
            <w:vAlign w:val="center"/>
            <w:hideMark/>
          </w:tcPr>
          <w:p w14:paraId="1B0E90C6" w14:textId="77777777" w:rsidR="00DD13BF" w:rsidRPr="005C3041" w:rsidRDefault="00DD13BF" w:rsidP="00355A56">
            <w:pPr>
              <w:rPr>
                <w:sz w:val="14"/>
                <w:szCs w:val="18"/>
              </w:rPr>
            </w:pPr>
          </w:p>
        </w:tc>
        <w:tc>
          <w:tcPr>
            <w:tcW w:w="262" w:type="pct"/>
            <w:vMerge/>
            <w:tcBorders>
              <w:top w:val="nil"/>
              <w:left w:val="single" w:sz="8" w:space="0" w:color="auto"/>
              <w:bottom w:val="nil"/>
              <w:right w:val="single" w:sz="8" w:space="0" w:color="auto"/>
            </w:tcBorders>
            <w:vAlign w:val="center"/>
            <w:hideMark/>
          </w:tcPr>
          <w:p w14:paraId="18D4CE34" w14:textId="77777777" w:rsidR="00DD13BF" w:rsidRPr="005C3041" w:rsidRDefault="00DD13BF" w:rsidP="00355A56">
            <w:pPr>
              <w:rPr>
                <w:sz w:val="14"/>
                <w:szCs w:val="18"/>
              </w:rPr>
            </w:pPr>
          </w:p>
        </w:tc>
        <w:tc>
          <w:tcPr>
            <w:tcW w:w="512" w:type="pct"/>
            <w:gridSpan w:val="2"/>
            <w:vMerge/>
            <w:tcBorders>
              <w:top w:val="single" w:sz="8" w:space="0" w:color="000000"/>
              <w:left w:val="single" w:sz="8" w:space="0" w:color="auto"/>
              <w:bottom w:val="nil"/>
              <w:right w:val="single" w:sz="8" w:space="0" w:color="000000"/>
            </w:tcBorders>
            <w:vAlign w:val="center"/>
            <w:hideMark/>
          </w:tcPr>
          <w:p w14:paraId="36F7654D"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4BF60E98"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399AABF8" w14:textId="77777777" w:rsidR="00DD13BF" w:rsidRPr="005C3041" w:rsidRDefault="00DD13BF" w:rsidP="00355A56">
            <w:pPr>
              <w:jc w:val="right"/>
              <w:rPr>
                <w:sz w:val="14"/>
                <w:szCs w:val="18"/>
              </w:rPr>
            </w:pPr>
            <w:r>
              <w:rPr>
                <w:sz w:val="14"/>
              </w:rPr>
              <w:t>486,743,241</w:t>
            </w:r>
          </w:p>
        </w:tc>
        <w:tc>
          <w:tcPr>
            <w:tcW w:w="342" w:type="pct"/>
            <w:tcBorders>
              <w:top w:val="nil"/>
              <w:left w:val="nil"/>
              <w:bottom w:val="single" w:sz="8" w:space="0" w:color="auto"/>
              <w:right w:val="single" w:sz="8" w:space="0" w:color="auto"/>
            </w:tcBorders>
            <w:shd w:val="clear" w:color="auto" w:fill="auto"/>
            <w:noWrap/>
            <w:vAlign w:val="center"/>
            <w:hideMark/>
          </w:tcPr>
          <w:p w14:paraId="7DC41F42" w14:textId="77777777" w:rsidR="00DD13BF" w:rsidRPr="005C3041" w:rsidRDefault="00DD13BF" w:rsidP="00355A56">
            <w:pPr>
              <w:jc w:val="right"/>
              <w:rPr>
                <w:sz w:val="14"/>
                <w:szCs w:val="18"/>
              </w:rPr>
            </w:pPr>
            <w:r>
              <w:rPr>
                <w:sz w:val="14"/>
              </w:rPr>
              <w:t>402,466,770</w:t>
            </w:r>
          </w:p>
        </w:tc>
        <w:tc>
          <w:tcPr>
            <w:tcW w:w="350" w:type="pct"/>
            <w:tcBorders>
              <w:top w:val="nil"/>
              <w:left w:val="nil"/>
              <w:bottom w:val="single" w:sz="8" w:space="0" w:color="auto"/>
              <w:right w:val="single" w:sz="8" w:space="0" w:color="auto"/>
            </w:tcBorders>
            <w:shd w:val="clear" w:color="auto" w:fill="auto"/>
            <w:noWrap/>
            <w:vAlign w:val="center"/>
            <w:hideMark/>
          </w:tcPr>
          <w:p w14:paraId="67F022D5" w14:textId="77777777" w:rsidR="00DD13BF" w:rsidRPr="005C3041" w:rsidRDefault="00DD13BF" w:rsidP="00355A56">
            <w:pPr>
              <w:jc w:val="right"/>
              <w:rPr>
                <w:sz w:val="14"/>
                <w:szCs w:val="18"/>
              </w:rPr>
            </w:pPr>
            <w:r>
              <w:rPr>
                <w:sz w:val="14"/>
              </w:rPr>
              <w:t>14,086,337</w:t>
            </w:r>
          </w:p>
        </w:tc>
        <w:tc>
          <w:tcPr>
            <w:tcW w:w="304" w:type="pct"/>
            <w:tcBorders>
              <w:top w:val="nil"/>
              <w:left w:val="nil"/>
              <w:bottom w:val="single" w:sz="8" w:space="0" w:color="auto"/>
              <w:right w:val="single" w:sz="8" w:space="0" w:color="auto"/>
            </w:tcBorders>
            <w:shd w:val="clear" w:color="auto" w:fill="auto"/>
            <w:noWrap/>
            <w:vAlign w:val="center"/>
            <w:hideMark/>
          </w:tcPr>
          <w:p w14:paraId="027528F6" w14:textId="77777777" w:rsidR="00DD13BF" w:rsidRPr="005C3041" w:rsidRDefault="00DD13BF" w:rsidP="00355A56">
            <w:pPr>
              <w:jc w:val="right"/>
              <w:rPr>
                <w:sz w:val="14"/>
                <w:szCs w:val="18"/>
              </w:rPr>
            </w:pPr>
            <w:r>
              <w:rPr>
                <w:sz w:val="14"/>
              </w:rPr>
              <w:t>67,816,555</w:t>
            </w:r>
          </w:p>
        </w:tc>
        <w:tc>
          <w:tcPr>
            <w:tcW w:w="342" w:type="pct"/>
            <w:tcBorders>
              <w:top w:val="nil"/>
              <w:left w:val="nil"/>
              <w:bottom w:val="single" w:sz="8" w:space="0" w:color="auto"/>
              <w:right w:val="single" w:sz="8" w:space="0" w:color="auto"/>
            </w:tcBorders>
            <w:shd w:val="clear" w:color="auto" w:fill="auto"/>
            <w:noWrap/>
            <w:vAlign w:val="center"/>
            <w:hideMark/>
          </w:tcPr>
          <w:p w14:paraId="63B12834" w14:textId="77777777" w:rsidR="00DD13BF" w:rsidRPr="005C3041" w:rsidRDefault="00DD13BF" w:rsidP="00355A56">
            <w:pPr>
              <w:jc w:val="right"/>
              <w:rPr>
                <w:sz w:val="14"/>
                <w:szCs w:val="18"/>
              </w:rPr>
            </w:pPr>
            <w:r>
              <w:rPr>
                <w:sz w:val="14"/>
              </w:rPr>
              <w:t>2,373,579</w:t>
            </w:r>
          </w:p>
        </w:tc>
        <w:tc>
          <w:tcPr>
            <w:tcW w:w="355" w:type="pct"/>
            <w:tcBorders>
              <w:top w:val="nil"/>
              <w:left w:val="nil"/>
              <w:bottom w:val="single" w:sz="8" w:space="0" w:color="auto"/>
              <w:right w:val="single" w:sz="8" w:space="0" w:color="auto"/>
            </w:tcBorders>
            <w:shd w:val="clear" w:color="auto" w:fill="auto"/>
            <w:noWrap/>
            <w:vAlign w:val="center"/>
            <w:hideMark/>
          </w:tcPr>
          <w:p w14:paraId="1E602DA2" w14:textId="77777777" w:rsidR="00DD13BF" w:rsidRPr="005C3041" w:rsidRDefault="00DD13BF" w:rsidP="00355A56">
            <w:pPr>
              <w:jc w:val="right"/>
              <w:rPr>
                <w:sz w:val="14"/>
                <w:szCs w:val="18"/>
              </w:rPr>
            </w:pPr>
            <w:r>
              <w:rPr>
                <w:sz w:val="14"/>
              </w:rPr>
              <w:t>85,895,867</w:t>
            </w:r>
          </w:p>
        </w:tc>
        <w:tc>
          <w:tcPr>
            <w:tcW w:w="355" w:type="pct"/>
            <w:tcBorders>
              <w:top w:val="nil"/>
              <w:left w:val="nil"/>
              <w:bottom w:val="single" w:sz="8" w:space="0" w:color="auto"/>
              <w:right w:val="single" w:sz="8" w:space="0" w:color="auto"/>
            </w:tcBorders>
            <w:shd w:val="clear" w:color="auto" w:fill="auto"/>
            <w:noWrap/>
            <w:vAlign w:val="center"/>
            <w:hideMark/>
          </w:tcPr>
          <w:p w14:paraId="6AC3690E" w14:textId="77777777" w:rsidR="00DD13BF" w:rsidRPr="005C3041" w:rsidRDefault="00DD13BF" w:rsidP="00355A56">
            <w:pPr>
              <w:jc w:val="right"/>
              <w:rPr>
                <w:sz w:val="14"/>
                <w:szCs w:val="18"/>
              </w:rPr>
            </w:pPr>
            <w:r>
              <w:rPr>
                <w:sz w:val="14"/>
              </w:rPr>
              <w:t>35,378,845</w:t>
            </w:r>
          </w:p>
        </w:tc>
        <w:tc>
          <w:tcPr>
            <w:tcW w:w="321" w:type="pct"/>
            <w:tcBorders>
              <w:top w:val="nil"/>
              <w:left w:val="nil"/>
              <w:bottom w:val="single" w:sz="8" w:space="0" w:color="auto"/>
              <w:right w:val="single" w:sz="8" w:space="0" w:color="auto"/>
            </w:tcBorders>
            <w:shd w:val="clear" w:color="auto" w:fill="auto"/>
            <w:noWrap/>
            <w:vAlign w:val="center"/>
            <w:hideMark/>
          </w:tcPr>
          <w:p w14:paraId="65A229AE" w14:textId="77777777" w:rsidR="00DD13BF" w:rsidRPr="005C3041" w:rsidRDefault="00DD13BF" w:rsidP="00355A56">
            <w:pPr>
              <w:jc w:val="right"/>
              <w:rPr>
                <w:sz w:val="14"/>
                <w:szCs w:val="18"/>
              </w:rPr>
            </w:pPr>
            <w:r>
              <w:rPr>
                <w:sz w:val="14"/>
              </w:rPr>
              <w:t>50,517,022</w:t>
            </w:r>
          </w:p>
        </w:tc>
        <w:tc>
          <w:tcPr>
            <w:tcW w:w="342" w:type="pct"/>
            <w:tcBorders>
              <w:top w:val="nil"/>
              <w:left w:val="nil"/>
              <w:bottom w:val="single" w:sz="8" w:space="0" w:color="auto"/>
              <w:right w:val="single" w:sz="8" w:space="0" w:color="auto"/>
            </w:tcBorders>
            <w:shd w:val="clear" w:color="auto" w:fill="auto"/>
            <w:noWrap/>
            <w:vAlign w:val="center"/>
            <w:hideMark/>
          </w:tcPr>
          <w:p w14:paraId="1925F21F" w14:textId="77777777" w:rsidR="00DD13BF" w:rsidRPr="005C3041" w:rsidRDefault="00DD13BF" w:rsidP="00355A56">
            <w:pPr>
              <w:jc w:val="right"/>
              <w:rPr>
                <w:sz w:val="14"/>
                <w:szCs w:val="18"/>
              </w:rPr>
            </w:pPr>
            <w:r>
              <w:rPr>
                <w:sz w:val="14"/>
              </w:rPr>
              <w:t>572,639,108</w:t>
            </w:r>
          </w:p>
        </w:tc>
        <w:tc>
          <w:tcPr>
            <w:tcW w:w="336" w:type="pct"/>
            <w:tcBorders>
              <w:top w:val="nil"/>
              <w:left w:val="nil"/>
              <w:bottom w:val="single" w:sz="8" w:space="0" w:color="auto"/>
              <w:right w:val="single" w:sz="8" w:space="0" w:color="auto"/>
            </w:tcBorders>
            <w:shd w:val="clear" w:color="auto" w:fill="auto"/>
            <w:noWrap/>
            <w:vAlign w:val="center"/>
            <w:hideMark/>
          </w:tcPr>
          <w:p w14:paraId="5FC6570B" w14:textId="77777777" w:rsidR="00DD13BF" w:rsidRPr="005C3041" w:rsidRDefault="00DD13BF" w:rsidP="00355A56">
            <w:pPr>
              <w:jc w:val="right"/>
              <w:rPr>
                <w:sz w:val="14"/>
                <w:szCs w:val="18"/>
              </w:rPr>
            </w:pPr>
            <w:r>
              <w:rPr>
                <w:sz w:val="14"/>
              </w:rPr>
              <w:t>0.85</w:t>
            </w:r>
          </w:p>
        </w:tc>
      </w:tr>
      <w:tr w:rsidR="00DD13BF" w:rsidRPr="005C3041" w14:paraId="6B7276F9" w14:textId="77777777" w:rsidTr="00355A56">
        <w:trPr>
          <w:trHeight w:val="43"/>
        </w:trPr>
        <w:tc>
          <w:tcPr>
            <w:tcW w:w="227" w:type="pct"/>
            <w:vMerge w:val="restart"/>
            <w:tcBorders>
              <w:top w:val="single" w:sz="8" w:space="0" w:color="auto"/>
              <w:left w:val="single" w:sz="8" w:space="0" w:color="auto"/>
              <w:bottom w:val="nil"/>
              <w:right w:val="single" w:sz="8" w:space="0" w:color="auto"/>
            </w:tcBorders>
            <w:shd w:val="clear" w:color="auto" w:fill="auto"/>
            <w:vAlign w:val="center"/>
            <w:hideMark/>
          </w:tcPr>
          <w:p w14:paraId="205194A4" w14:textId="77777777" w:rsidR="00DD13BF" w:rsidRPr="005C3041" w:rsidRDefault="00DD13BF" w:rsidP="00355A56">
            <w:pPr>
              <w:rPr>
                <w:sz w:val="14"/>
                <w:szCs w:val="18"/>
              </w:rPr>
            </w:pPr>
            <w:r>
              <w:rPr>
                <w:sz w:val="14"/>
              </w:rPr>
              <w:t>PO 1</w:t>
            </w:r>
          </w:p>
        </w:tc>
        <w:tc>
          <w:tcPr>
            <w:tcW w:w="284" w:type="pct"/>
            <w:vMerge w:val="restart"/>
            <w:tcBorders>
              <w:top w:val="single" w:sz="8" w:space="0" w:color="auto"/>
              <w:left w:val="single" w:sz="8" w:space="0" w:color="auto"/>
              <w:bottom w:val="nil"/>
              <w:right w:val="single" w:sz="8" w:space="0" w:color="auto"/>
            </w:tcBorders>
            <w:shd w:val="clear" w:color="auto" w:fill="auto"/>
            <w:vAlign w:val="center"/>
            <w:hideMark/>
          </w:tcPr>
          <w:p w14:paraId="74C0183D" w14:textId="77777777" w:rsidR="00DD13BF" w:rsidRPr="005C3041" w:rsidRDefault="00DD13BF" w:rsidP="00355A56">
            <w:pPr>
              <w:rPr>
                <w:sz w:val="14"/>
                <w:szCs w:val="18"/>
              </w:rPr>
            </w:pPr>
            <w:r>
              <w:rPr>
                <w:sz w:val="14"/>
              </w:rPr>
              <w:t>Priority 2</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086ED300"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1EA15DC6"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2F97464E"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5970DBDA" w14:textId="77777777" w:rsidR="00DD13BF" w:rsidRPr="005C3041" w:rsidRDefault="00DD13BF" w:rsidP="00355A56">
            <w:pPr>
              <w:jc w:val="right"/>
              <w:rPr>
                <w:sz w:val="14"/>
                <w:szCs w:val="18"/>
              </w:rPr>
            </w:pPr>
            <w:r>
              <w:rPr>
                <w:sz w:val="14"/>
              </w:rPr>
              <w:t>4,221,500</w:t>
            </w:r>
          </w:p>
        </w:tc>
        <w:tc>
          <w:tcPr>
            <w:tcW w:w="342" w:type="pct"/>
            <w:tcBorders>
              <w:top w:val="nil"/>
              <w:left w:val="nil"/>
              <w:bottom w:val="single" w:sz="8" w:space="0" w:color="auto"/>
              <w:right w:val="single" w:sz="8" w:space="0" w:color="auto"/>
            </w:tcBorders>
            <w:shd w:val="clear" w:color="auto" w:fill="auto"/>
            <w:noWrap/>
            <w:vAlign w:val="center"/>
            <w:hideMark/>
          </w:tcPr>
          <w:p w14:paraId="59AF18E7" w14:textId="77777777" w:rsidR="00DD13BF" w:rsidRPr="005C3041" w:rsidRDefault="00DD13BF" w:rsidP="00355A56">
            <w:pPr>
              <w:jc w:val="right"/>
              <w:rPr>
                <w:sz w:val="14"/>
                <w:szCs w:val="18"/>
              </w:rPr>
            </w:pPr>
            <w:r>
              <w:rPr>
                <w:sz w:val="14"/>
              </w:rPr>
              <w:t>3,490,532</w:t>
            </w:r>
          </w:p>
        </w:tc>
        <w:tc>
          <w:tcPr>
            <w:tcW w:w="350" w:type="pct"/>
            <w:tcBorders>
              <w:top w:val="nil"/>
              <w:left w:val="nil"/>
              <w:bottom w:val="single" w:sz="8" w:space="0" w:color="auto"/>
              <w:right w:val="single" w:sz="8" w:space="0" w:color="auto"/>
            </w:tcBorders>
            <w:shd w:val="clear" w:color="auto" w:fill="auto"/>
            <w:noWrap/>
            <w:vAlign w:val="center"/>
            <w:hideMark/>
          </w:tcPr>
          <w:p w14:paraId="2D5B4689" w14:textId="77777777" w:rsidR="00DD13BF" w:rsidRPr="005C3041" w:rsidRDefault="00DD13BF" w:rsidP="00355A56">
            <w:pPr>
              <w:jc w:val="right"/>
              <w:rPr>
                <w:sz w:val="14"/>
                <w:szCs w:val="18"/>
              </w:rPr>
            </w:pPr>
            <w:r>
              <w:rPr>
                <w:sz w:val="14"/>
              </w:rPr>
              <w:t>122,169</w:t>
            </w:r>
          </w:p>
        </w:tc>
        <w:tc>
          <w:tcPr>
            <w:tcW w:w="304" w:type="pct"/>
            <w:tcBorders>
              <w:top w:val="nil"/>
              <w:left w:val="nil"/>
              <w:bottom w:val="single" w:sz="8" w:space="0" w:color="auto"/>
              <w:right w:val="single" w:sz="8" w:space="0" w:color="auto"/>
            </w:tcBorders>
            <w:shd w:val="clear" w:color="auto" w:fill="auto"/>
            <w:noWrap/>
            <w:vAlign w:val="center"/>
            <w:hideMark/>
          </w:tcPr>
          <w:p w14:paraId="21ADCFD6" w14:textId="77777777" w:rsidR="00DD13BF" w:rsidRPr="005C3041" w:rsidRDefault="00DD13BF" w:rsidP="00355A56">
            <w:pPr>
              <w:jc w:val="right"/>
              <w:rPr>
                <w:sz w:val="14"/>
                <w:szCs w:val="18"/>
              </w:rPr>
            </w:pPr>
            <w:r>
              <w:rPr>
                <w:sz w:val="14"/>
              </w:rPr>
              <w:t>588,212</w:t>
            </w:r>
          </w:p>
        </w:tc>
        <w:tc>
          <w:tcPr>
            <w:tcW w:w="342" w:type="pct"/>
            <w:tcBorders>
              <w:top w:val="nil"/>
              <w:left w:val="nil"/>
              <w:bottom w:val="single" w:sz="8" w:space="0" w:color="auto"/>
              <w:right w:val="single" w:sz="8" w:space="0" w:color="auto"/>
            </w:tcBorders>
            <w:shd w:val="clear" w:color="auto" w:fill="auto"/>
            <w:noWrap/>
            <w:vAlign w:val="center"/>
            <w:hideMark/>
          </w:tcPr>
          <w:p w14:paraId="240B04F5" w14:textId="77777777" w:rsidR="00DD13BF" w:rsidRPr="005C3041" w:rsidRDefault="00DD13BF" w:rsidP="00355A56">
            <w:pPr>
              <w:jc w:val="right"/>
              <w:rPr>
                <w:sz w:val="14"/>
                <w:szCs w:val="18"/>
              </w:rPr>
            </w:pPr>
            <w:r>
              <w:rPr>
                <w:sz w:val="14"/>
              </w:rPr>
              <w:t>20,587</w:t>
            </w:r>
          </w:p>
        </w:tc>
        <w:tc>
          <w:tcPr>
            <w:tcW w:w="355" w:type="pct"/>
            <w:tcBorders>
              <w:top w:val="nil"/>
              <w:left w:val="nil"/>
              <w:bottom w:val="single" w:sz="8" w:space="0" w:color="auto"/>
              <w:right w:val="single" w:sz="8" w:space="0" w:color="auto"/>
            </w:tcBorders>
            <w:shd w:val="clear" w:color="auto" w:fill="auto"/>
            <w:noWrap/>
            <w:vAlign w:val="center"/>
            <w:hideMark/>
          </w:tcPr>
          <w:p w14:paraId="55C9F807" w14:textId="77777777" w:rsidR="00DD13BF" w:rsidRPr="005C3041" w:rsidRDefault="00DD13BF" w:rsidP="00355A56">
            <w:pPr>
              <w:jc w:val="right"/>
              <w:rPr>
                <w:sz w:val="14"/>
                <w:szCs w:val="18"/>
              </w:rPr>
            </w:pPr>
            <w:r>
              <w:rPr>
                <w:sz w:val="14"/>
              </w:rPr>
              <w:t>6,332,250</w:t>
            </w:r>
          </w:p>
        </w:tc>
        <w:tc>
          <w:tcPr>
            <w:tcW w:w="355" w:type="pct"/>
            <w:tcBorders>
              <w:top w:val="nil"/>
              <w:left w:val="nil"/>
              <w:bottom w:val="single" w:sz="8" w:space="0" w:color="auto"/>
              <w:right w:val="single" w:sz="8" w:space="0" w:color="auto"/>
            </w:tcBorders>
            <w:shd w:val="clear" w:color="auto" w:fill="auto"/>
            <w:noWrap/>
            <w:vAlign w:val="center"/>
            <w:hideMark/>
          </w:tcPr>
          <w:p w14:paraId="403D1A41" w14:textId="77777777" w:rsidR="00DD13BF" w:rsidRPr="005C3041" w:rsidRDefault="00DD13BF" w:rsidP="00355A56">
            <w:pPr>
              <w:jc w:val="right"/>
              <w:rPr>
                <w:sz w:val="14"/>
                <w:szCs w:val="18"/>
              </w:rPr>
            </w:pPr>
            <w:r>
              <w:rPr>
                <w:sz w:val="14"/>
              </w:rPr>
              <w:t>6,118,116</w:t>
            </w:r>
          </w:p>
        </w:tc>
        <w:tc>
          <w:tcPr>
            <w:tcW w:w="321" w:type="pct"/>
            <w:tcBorders>
              <w:top w:val="nil"/>
              <w:left w:val="nil"/>
              <w:bottom w:val="single" w:sz="8" w:space="0" w:color="auto"/>
              <w:right w:val="single" w:sz="8" w:space="0" w:color="auto"/>
            </w:tcBorders>
            <w:shd w:val="clear" w:color="auto" w:fill="auto"/>
            <w:noWrap/>
            <w:vAlign w:val="center"/>
            <w:hideMark/>
          </w:tcPr>
          <w:p w14:paraId="0325172B" w14:textId="77777777" w:rsidR="00DD13BF" w:rsidRPr="005C3041" w:rsidRDefault="00DD13BF" w:rsidP="00355A56">
            <w:pPr>
              <w:jc w:val="right"/>
              <w:rPr>
                <w:sz w:val="14"/>
                <w:szCs w:val="18"/>
              </w:rPr>
            </w:pPr>
            <w:r>
              <w:rPr>
                <w:sz w:val="14"/>
              </w:rPr>
              <w:t>214,134</w:t>
            </w:r>
          </w:p>
        </w:tc>
        <w:tc>
          <w:tcPr>
            <w:tcW w:w="342" w:type="pct"/>
            <w:tcBorders>
              <w:top w:val="nil"/>
              <w:left w:val="nil"/>
              <w:bottom w:val="single" w:sz="8" w:space="0" w:color="auto"/>
              <w:right w:val="single" w:sz="8" w:space="0" w:color="auto"/>
            </w:tcBorders>
            <w:shd w:val="clear" w:color="auto" w:fill="auto"/>
            <w:noWrap/>
            <w:vAlign w:val="center"/>
            <w:hideMark/>
          </w:tcPr>
          <w:p w14:paraId="40F68125" w14:textId="77777777" w:rsidR="00DD13BF" w:rsidRPr="005C3041" w:rsidRDefault="00DD13BF" w:rsidP="00355A56">
            <w:pPr>
              <w:jc w:val="right"/>
              <w:rPr>
                <w:sz w:val="14"/>
                <w:szCs w:val="18"/>
              </w:rPr>
            </w:pPr>
            <w:r>
              <w:rPr>
                <w:sz w:val="14"/>
              </w:rPr>
              <w:t>10,553,750</w:t>
            </w:r>
          </w:p>
        </w:tc>
        <w:tc>
          <w:tcPr>
            <w:tcW w:w="336" w:type="pct"/>
            <w:tcBorders>
              <w:top w:val="nil"/>
              <w:left w:val="nil"/>
              <w:bottom w:val="single" w:sz="8" w:space="0" w:color="auto"/>
              <w:right w:val="single" w:sz="8" w:space="0" w:color="auto"/>
            </w:tcBorders>
            <w:shd w:val="clear" w:color="auto" w:fill="auto"/>
            <w:noWrap/>
            <w:vAlign w:val="center"/>
            <w:hideMark/>
          </w:tcPr>
          <w:p w14:paraId="4BC54EF2" w14:textId="77777777" w:rsidR="00DD13BF" w:rsidRPr="005C3041" w:rsidRDefault="00DD13BF" w:rsidP="00355A56">
            <w:pPr>
              <w:jc w:val="right"/>
              <w:rPr>
                <w:sz w:val="14"/>
                <w:szCs w:val="18"/>
              </w:rPr>
            </w:pPr>
            <w:r>
              <w:rPr>
                <w:sz w:val="14"/>
              </w:rPr>
              <w:t>0.4</w:t>
            </w:r>
          </w:p>
        </w:tc>
      </w:tr>
      <w:tr w:rsidR="00DD13BF" w:rsidRPr="005C3041" w14:paraId="78ACB29E" w14:textId="77777777" w:rsidTr="00355A56">
        <w:trPr>
          <w:trHeight w:val="43"/>
        </w:trPr>
        <w:tc>
          <w:tcPr>
            <w:tcW w:w="227" w:type="pct"/>
            <w:vMerge/>
            <w:tcBorders>
              <w:top w:val="single" w:sz="8" w:space="0" w:color="auto"/>
              <w:left w:val="single" w:sz="8" w:space="0" w:color="auto"/>
              <w:bottom w:val="nil"/>
              <w:right w:val="single" w:sz="8" w:space="0" w:color="auto"/>
            </w:tcBorders>
            <w:vAlign w:val="center"/>
            <w:hideMark/>
          </w:tcPr>
          <w:p w14:paraId="214B1F3A"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nil"/>
              <w:right w:val="single" w:sz="8" w:space="0" w:color="auto"/>
            </w:tcBorders>
            <w:vAlign w:val="center"/>
            <w:hideMark/>
          </w:tcPr>
          <w:p w14:paraId="59F9B5C8"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5BBF9EF5"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61420D05"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3DFA67DC"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4A6F441B" w14:textId="77777777" w:rsidR="00DD13BF" w:rsidRPr="005C3041" w:rsidRDefault="00DD13BF" w:rsidP="00355A56">
            <w:pPr>
              <w:jc w:val="right"/>
              <w:rPr>
                <w:sz w:val="14"/>
                <w:szCs w:val="18"/>
              </w:rPr>
            </w:pPr>
            <w:r>
              <w:rPr>
                <w:sz w:val="14"/>
              </w:rPr>
              <w:t>16,129,440</w:t>
            </w:r>
          </w:p>
        </w:tc>
        <w:tc>
          <w:tcPr>
            <w:tcW w:w="342" w:type="pct"/>
            <w:tcBorders>
              <w:top w:val="nil"/>
              <w:left w:val="nil"/>
              <w:bottom w:val="single" w:sz="8" w:space="0" w:color="auto"/>
              <w:right w:val="single" w:sz="8" w:space="0" w:color="auto"/>
            </w:tcBorders>
            <w:shd w:val="clear" w:color="auto" w:fill="auto"/>
            <w:noWrap/>
            <w:vAlign w:val="center"/>
            <w:hideMark/>
          </w:tcPr>
          <w:p w14:paraId="299489D7" w14:textId="77777777" w:rsidR="00DD13BF" w:rsidRPr="005C3041" w:rsidRDefault="00DD13BF" w:rsidP="00355A56">
            <w:pPr>
              <w:jc w:val="right"/>
              <w:rPr>
                <w:sz w:val="14"/>
                <w:szCs w:val="18"/>
              </w:rPr>
            </w:pPr>
            <w:r>
              <w:rPr>
                <w:sz w:val="14"/>
              </w:rPr>
              <w:t>13,336,730</w:t>
            </w:r>
          </w:p>
        </w:tc>
        <w:tc>
          <w:tcPr>
            <w:tcW w:w="350" w:type="pct"/>
            <w:tcBorders>
              <w:top w:val="nil"/>
              <w:left w:val="nil"/>
              <w:bottom w:val="single" w:sz="8" w:space="0" w:color="auto"/>
              <w:right w:val="single" w:sz="8" w:space="0" w:color="auto"/>
            </w:tcBorders>
            <w:shd w:val="clear" w:color="auto" w:fill="auto"/>
            <w:noWrap/>
            <w:vAlign w:val="center"/>
            <w:hideMark/>
          </w:tcPr>
          <w:p w14:paraId="4278C244" w14:textId="77777777" w:rsidR="00DD13BF" w:rsidRPr="005C3041" w:rsidRDefault="00DD13BF" w:rsidP="00355A56">
            <w:pPr>
              <w:jc w:val="right"/>
              <w:rPr>
                <w:sz w:val="14"/>
                <w:szCs w:val="18"/>
              </w:rPr>
            </w:pPr>
            <w:r>
              <w:rPr>
                <w:sz w:val="14"/>
              </w:rPr>
              <w:t>466,786</w:t>
            </w:r>
          </w:p>
        </w:tc>
        <w:tc>
          <w:tcPr>
            <w:tcW w:w="304" w:type="pct"/>
            <w:tcBorders>
              <w:top w:val="nil"/>
              <w:left w:val="nil"/>
              <w:bottom w:val="single" w:sz="8" w:space="0" w:color="auto"/>
              <w:right w:val="single" w:sz="8" w:space="0" w:color="auto"/>
            </w:tcBorders>
            <w:shd w:val="clear" w:color="auto" w:fill="auto"/>
            <w:noWrap/>
            <w:vAlign w:val="center"/>
            <w:hideMark/>
          </w:tcPr>
          <w:p w14:paraId="2DC17748" w14:textId="77777777" w:rsidR="00DD13BF" w:rsidRPr="005C3041" w:rsidRDefault="00DD13BF" w:rsidP="00355A56">
            <w:pPr>
              <w:jc w:val="right"/>
              <w:rPr>
                <w:sz w:val="14"/>
                <w:szCs w:val="18"/>
              </w:rPr>
            </w:pPr>
            <w:r>
              <w:rPr>
                <w:sz w:val="14"/>
              </w:rPr>
              <w:t>2,247,270</w:t>
            </w:r>
          </w:p>
        </w:tc>
        <w:tc>
          <w:tcPr>
            <w:tcW w:w="342" w:type="pct"/>
            <w:tcBorders>
              <w:top w:val="nil"/>
              <w:left w:val="nil"/>
              <w:bottom w:val="single" w:sz="8" w:space="0" w:color="auto"/>
              <w:right w:val="single" w:sz="8" w:space="0" w:color="auto"/>
            </w:tcBorders>
            <w:shd w:val="clear" w:color="auto" w:fill="auto"/>
            <w:noWrap/>
            <w:vAlign w:val="center"/>
            <w:hideMark/>
          </w:tcPr>
          <w:p w14:paraId="7209D10E" w14:textId="77777777" w:rsidR="00DD13BF" w:rsidRPr="005C3041" w:rsidRDefault="00DD13BF" w:rsidP="00355A56">
            <w:pPr>
              <w:jc w:val="right"/>
              <w:rPr>
                <w:sz w:val="14"/>
                <w:szCs w:val="18"/>
              </w:rPr>
            </w:pPr>
            <w:r>
              <w:rPr>
                <w:sz w:val="14"/>
              </w:rPr>
              <w:t>78,654</w:t>
            </w:r>
          </w:p>
        </w:tc>
        <w:tc>
          <w:tcPr>
            <w:tcW w:w="355" w:type="pct"/>
            <w:tcBorders>
              <w:top w:val="nil"/>
              <w:left w:val="nil"/>
              <w:bottom w:val="single" w:sz="8" w:space="0" w:color="auto"/>
              <w:right w:val="single" w:sz="8" w:space="0" w:color="auto"/>
            </w:tcBorders>
            <w:shd w:val="clear" w:color="auto" w:fill="auto"/>
            <w:noWrap/>
            <w:vAlign w:val="center"/>
            <w:hideMark/>
          </w:tcPr>
          <w:p w14:paraId="7DA6065C" w14:textId="77777777" w:rsidR="00DD13BF" w:rsidRPr="005C3041" w:rsidRDefault="00DD13BF" w:rsidP="00355A56">
            <w:pPr>
              <w:jc w:val="right"/>
              <w:rPr>
                <w:sz w:val="14"/>
                <w:szCs w:val="18"/>
              </w:rPr>
            </w:pPr>
            <w:r>
              <w:rPr>
                <w:sz w:val="14"/>
              </w:rPr>
              <w:t>2,846,372</w:t>
            </w:r>
          </w:p>
        </w:tc>
        <w:tc>
          <w:tcPr>
            <w:tcW w:w="355" w:type="pct"/>
            <w:tcBorders>
              <w:top w:val="nil"/>
              <w:left w:val="nil"/>
              <w:bottom w:val="single" w:sz="8" w:space="0" w:color="auto"/>
              <w:right w:val="single" w:sz="8" w:space="0" w:color="auto"/>
            </w:tcBorders>
            <w:shd w:val="clear" w:color="auto" w:fill="auto"/>
            <w:noWrap/>
            <w:vAlign w:val="center"/>
            <w:hideMark/>
          </w:tcPr>
          <w:p w14:paraId="654EF66C" w14:textId="77777777" w:rsidR="00DD13BF" w:rsidRPr="005C3041" w:rsidRDefault="00DD13BF" w:rsidP="00355A56">
            <w:pPr>
              <w:jc w:val="right"/>
              <w:rPr>
                <w:sz w:val="14"/>
                <w:szCs w:val="18"/>
              </w:rPr>
            </w:pPr>
            <w:r>
              <w:rPr>
                <w:sz w:val="14"/>
              </w:rPr>
              <w:t>2,750,118</w:t>
            </w:r>
          </w:p>
        </w:tc>
        <w:tc>
          <w:tcPr>
            <w:tcW w:w="321" w:type="pct"/>
            <w:tcBorders>
              <w:top w:val="nil"/>
              <w:left w:val="nil"/>
              <w:bottom w:val="single" w:sz="8" w:space="0" w:color="auto"/>
              <w:right w:val="single" w:sz="8" w:space="0" w:color="auto"/>
            </w:tcBorders>
            <w:shd w:val="clear" w:color="auto" w:fill="auto"/>
            <w:noWrap/>
            <w:vAlign w:val="center"/>
            <w:hideMark/>
          </w:tcPr>
          <w:p w14:paraId="215088F1" w14:textId="77777777" w:rsidR="00DD13BF" w:rsidRPr="005C3041" w:rsidRDefault="00DD13BF" w:rsidP="00355A56">
            <w:pPr>
              <w:jc w:val="right"/>
              <w:rPr>
                <w:sz w:val="14"/>
                <w:szCs w:val="18"/>
              </w:rPr>
            </w:pPr>
            <w:r>
              <w:rPr>
                <w:sz w:val="14"/>
              </w:rPr>
              <w:t>96,254</w:t>
            </w:r>
          </w:p>
        </w:tc>
        <w:tc>
          <w:tcPr>
            <w:tcW w:w="342" w:type="pct"/>
            <w:tcBorders>
              <w:top w:val="nil"/>
              <w:left w:val="nil"/>
              <w:bottom w:val="single" w:sz="8" w:space="0" w:color="auto"/>
              <w:right w:val="single" w:sz="8" w:space="0" w:color="auto"/>
            </w:tcBorders>
            <w:shd w:val="clear" w:color="auto" w:fill="auto"/>
            <w:noWrap/>
            <w:vAlign w:val="center"/>
            <w:hideMark/>
          </w:tcPr>
          <w:p w14:paraId="29A25B1F" w14:textId="77777777" w:rsidR="00DD13BF" w:rsidRPr="005C3041" w:rsidRDefault="00DD13BF" w:rsidP="00355A56">
            <w:pPr>
              <w:jc w:val="right"/>
              <w:rPr>
                <w:sz w:val="14"/>
                <w:szCs w:val="18"/>
              </w:rPr>
            </w:pPr>
            <w:r>
              <w:rPr>
                <w:sz w:val="14"/>
              </w:rPr>
              <w:t>18,975,812</w:t>
            </w:r>
          </w:p>
        </w:tc>
        <w:tc>
          <w:tcPr>
            <w:tcW w:w="336" w:type="pct"/>
            <w:tcBorders>
              <w:top w:val="nil"/>
              <w:left w:val="nil"/>
              <w:bottom w:val="single" w:sz="8" w:space="0" w:color="auto"/>
              <w:right w:val="single" w:sz="8" w:space="0" w:color="auto"/>
            </w:tcBorders>
            <w:shd w:val="clear" w:color="auto" w:fill="auto"/>
            <w:noWrap/>
            <w:vAlign w:val="center"/>
            <w:hideMark/>
          </w:tcPr>
          <w:p w14:paraId="548E785F" w14:textId="77777777" w:rsidR="00DD13BF" w:rsidRPr="005C3041" w:rsidRDefault="00DD13BF" w:rsidP="00355A56">
            <w:pPr>
              <w:jc w:val="right"/>
              <w:rPr>
                <w:sz w:val="14"/>
                <w:szCs w:val="18"/>
              </w:rPr>
            </w:pPr>
            <w:r>
              <w:rPr>
                <w:sz w:val="14"/>
              </w:rPr>
              <w:t>0.85</w:t>
            </w:r>
          </w:p>
        </w:tc>
      </w:tr>
      <w:tr w:rsidR="00DD13BF" w:rsidRPr="005C3041" w14:paraId="64ADE455" w14:textId="77777777" w:rsidTr="00355A56">
        <w:trPr>
          <w:trHeight w:val="43"/>
        </w:trPr>
        <w:tc>
          <w:tcPr>
            <w:tcW w:w="2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4D5D00" w14:textId="77777777" w:rsidR="00DD13BF" w:rsidRPr="005C3041" w:rsidRDefault="00DD13BF" w:rsidP="00355A56">
            <w:pPr>
              <w:rPr>
                <w:sz w:val="14"/>
                <w:szCs w:val="18"/>
              </w:rPr>
            </w:pPr>
            <w:r>
              <w:rPr>
                <w:sz w:val="14"/>
              </w:rPr>
              <w:t>PO 2</w:t>
            </w:r>
          </w:p>
        </w:tc>
        <w:tc>
          <w:tcPr>
            <w:tcW w:w="2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F57761" w14:textId="77777777" w:rsidR="00DD13BF" w:rsidRPr="005C3041" w:rsidRDefault="00DD13BF" w:rsidP="00355A56">
            <w:pPr>
              <w:rPr>
                <w:sz w:val="14"/>
                <w:szCs w:val="18"/>
              </w:rPr>
            </w:pPr>
            <w:r>
              <w:rPr>
                <w:sz w:val="14"/>
              </w:rPr>
              <w:t>Priority 3</w:t>
            </w:r>
          </w:p>
        </w:tc>
        <w:tc>
          <w:tcPr>
            <w:tcW w:w="2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1AEC9"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6FCB3A3F"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62866BEF"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59E7A323" w14:textId="77777777" w:rsidR="00DD13BF" w:rsidRPr="005C3041" w:rsidRDefault="00DD13BF" w:rsidP="00355A56">
            <w:pPr>
              <w:jc w:val="right"/>
              <w:rPr>
                <w:sz w:val="14"/>
                <w:szCs w:val="18"/>
              </w:rPr>
            </w:pPr>
            <w:r>
              <w:rPr>
                <w:sz w:val="14"/>
              </w:rPr>
              <w:t>98,397,049</w:t>
            </w:r>
          </w:p>
        </w:tc>
        <w:tc>
          <w:tcPr>
            <w:tcW w:w="342" w:type="pct"/>
            <w:tcBorders>
              <w:top w:val="nil"/>
              <w:left w:val="nil"/>
              <w:bottom w:val="single" w:sz="8" w:space="0" w:color="auto"/>
              <w:right w:val="single" w:sz="8" w:space="0" w:color="auto"/>
            </w:tcBorders>
            <w:shd w:val="clear" w:color="auto" w:fill="auto"/>
            <w:noWrap/>
            <w:vAlign w:val="center"/>
            <w:hideMark/>
          </w:tcPr>
          <w:p w14:paraId="266A6476" w14:textId="77777777" w:rsidR="00DD13BF" w:rsidRPr="005C3041" w:rsidRDefault="00DD13BF" w:rsidP="00355A56">
            <w:pPr>
              <w:jc w:val="right"/>
              <w:rPr>
                <w:sz w:val="14"/>
                <w:szCs w:val="18"/>
              </w:rPr>
            </w:pPr>
            <w:r>
              <w:rPr>
                <w:sz w:val="14"/>
              </w:rPr>
              <w:t>81,359,257</w:t>
            </w:r>
          </w:p>
        </w:tc>
        <w:tc>
          <w:tcPr>
            <w:tcW w:w="350" w:type="pct"/>
            <w:tcBorders>
              <w:top w:val="nil"/>
              <w:left w:val="nil"/>
              <w:bottom w:val="single" w:sz="8" w:space="0" w:color="auto"/>
              <w:right w:val="single" w:sz="8" w:space="0" w:color="auto"/>
            </w:tcBorders>
            <w:shd w:val="clear" w:color="auto" w:fill="auto"/>
            <w:noWrap/>
            <w:vAlign w:val="center"/>
            <w:hideMark/>
          </w:tcPr>
          <w:p w14:paraId="5A9CC82D" w14:textId="77777777" w:rsidR="00DD13BF" w:rsidRPr="005C3041" w:rsidRDefault="00DD13BF" w:rsidP="00355A56">
            <w:pPr>
              <w:jc w:val="right"/>
              <w:rPr>
                <w:sz w:val="14"/>
                <w:szCs w:val="18"/>
              </w:rPr>
            </w:pPr>
            <w:r>
              <w:rPr>
                <w:sz w:val="14"/>
              </w:rPr>
              <w:t>2,847,574</w:t>
            </w:r>
          </w:p>
        </w:tc>
        <w:tc>
          <w:tcPr>
            <w:tcW w:w="304" w:type="pct"/>
            <w:tcBorders>
              <w:top w:val="nil"/>
              <w:left w:val="nil"/>
              <w:bottom w:val="single" w:sz="8" w:space="0" w:color="auto"/>
              <w:right w:val="single" w:sz="8" w:space="0" w:color="auto"/>
            </w:tcBorders>
            <w:shd w:val="clear" w:color="auto" w:fill="auto"/>
            <w:noWrap/>
            <w:vAlign w:val="center"/>
            <w:hideMark/>
          </w:tcPr>
          <w:p w14:paraId="4BB840DC" w14:textId="77777777" w:rsidR="00DD13BF" w:rsidRPr="005C3041" w:rsidRDefault="00DD13BF" w:rsidP="00355A56">
            <w:pPr>
              <w:jc w:val="right"/>
              <w:rPr>
                <w:sz w:val="14"/>
                <w:szCs w:val="18"/>
              </w:rPr>
            </w:pPr>
            <w:r>
              <w:rPr>
                <w:sz w:val="14"/>
              </w:rPr>
              <w:t>13,710,356</w:t>
            </w:r>
          </w:p>
        </w:tc>
        <w:tc>
          <w:tcPr>
            <w:tcW w:w="342" w:type="pct"/>
            <w:tcBorders>
              <w:top w:val="nil"/>
              <w:left w:val="nil"/>
              <w:bottom w:val="single" w:sz="8" w:space="0" w:color="auto"/>
              <w:right w:val="single" w:sz="8" w:space="0" w:color="auto"/>
            </w:tcBorders>
            <w:shd w:val="clear" w:color="auto" w:fill="auto"/>
            <w:noWrap/>
            <w:vAlign w:val="center"/>
            <w:hideMark/>
          </w:tcPr>
          <w:p w14:paraId="769D21F1" w14:textId="77777777" w:rsidR="00DD13BF" w:rsidRPr="005C3041" w:rsidRDefault="00DD13BF" w:rsidP="00355A56">
            <w:pPr>
              <w:jc w:val="right"/>
              <w:rPr>
                <w:sz w:val="14"/>
                <w:szCs w:val="18"/>
              </w:rPr>
            </w:pPr>
            <w:r>
              <w:rPr>
                <w:sz w:val="14"/>
              </w:rPr>
              <w:t>479,862</w:t>
            </w:r>
          </w:p>
        </w:tc>
        <w:tc>
          <w:tcPr>
            <w:tcW w:w="355" w:type="pct"/>
            <w:tcBorders>
              <w:top w:val="nil"/>
              <w:left w:val="nil"/>
              <w:bottom w:val="single" w:sz="8" w:space="0" w:color="auto"/>
              <w:right w:val="single" w:sz="8" w:space="0" w:color="auto"/>
            </w:tcBorders>
            <w:shd w:val="clear" w:color="auto" w:fill="auto"/>
            <w:noWrap/>
            <w:vAlign w:val="center"/>
            <w:hideMark/>
          </w:tcPr>
          <w:p w14:paraId="052C1B95" w14:textId="77777777" w:rsidR="00DD13BF" w:rsidRPr="005C3041" w:rsidRDefault="00DD13BF" w:rsidP="00355A56">
            <w:pPr>
              <w:jc w:val="right"/>
              <w:rPr>
                <w:sz w:val="14"/>
                <w:szCs w:val="18"/>
              </w:rPr>
            </w:pPr>
            <w:r>
              <w:rPr>
                <w:sz w:val="14"/>
              </w:rPr>
              <w:t>147,595,574</w:t>
            </w:r>
          </w:p>
        </w:tc>
        <w:tc>
          <w:tcPr>
            <w:tcW w:w="355" w:type="pct"/>
            <w:tcBorders>
              <w:top w:val="nil"/>
              <w:left w:val="nil"/>
              <w:bottom w:val="single" w:sz="8" w:space="0" w:color="auto"/>
              <w:right w:val="single" w:sz="8" w:space="0" w:color="auto"/>
            </w:tcBorders>
            <w:shd w:val="clear" w:color="auto" w:fill="auto"/>
            <w:noWrap/>
            <w:vAlign w:val="center"/>
            <w:hideMark/>
          </w:tcPr>
          <w:p w14:paraId="082ACE84" w14:textId="77777777" w:rsidR="00DD13BF" w:rsidRPr="005C3041" w:rsidRDefault="00DD13BF" w:rsidP="00355A56">
            <w:pPr>
              <w:jc w:val="right"/>
              <w:rPr>
                <w:sz w:val="14"/>
                <w:szCs w:val="18"/>
              </w:rPr>
            </w:pPr>
            <w:r>
              <w:rPr>
                <w:sz w:val="14"/>
              </w:rPr>
              <w:t>63,591,320</w:t>
            </w:r>
          </w:p>
        </w:tc>
        <w:tc>
          <w:tcPr>
            <w:tcW w:w="321" w:type="pct"/>
            <w:tcBorders>
              <w:top w:val="nil"/>
              <w:left w:val="nil"/>
              <w:bottom w:val="single" w:sz="8" w:space="0" w:color="auto"/>
              <w:right w:val="single" w:sz="8" w:space="0" w:color="auto"/>
            </w:tcBorders>
            <w:shd w:val="clear" w:color="auto" w:fill="auto"/>
            <w:noWrap/>
            <w:vAlign w:val="center"/>
            <w:hideMark/>
          </w:tcPr>
          <w:p w14:paraId="6D4157F2" w14:textId="77777777" w:rsidR="00DD13BF" w:rsidRPr="005C3041" w:rsidRDefault="00DD13BF" w:rsidP="00355A56">
            <w:pPr>
              <w:jc w:val="right"/>
              <w:rPr>
                <w:sz w:val="14"/>
                <w:szCs w:val="18"/>
              </w:rPr>
            </w:pPr>
            <w:r>
              <w:rPr>
                <w:sz w:val="14"/>
              </w:rPr>
              <w:t>84,004,254</w:t>
            </w:r>
          </w:p>
        </w:tc>
        <w:tc>
          <w:tcPr>
            <w:tcW w:w="342" w:type="pct"/>
            <w:tcBorders>
              <w:top w:val="nil"/>
              <w:left w:val="nil"/>
              <w:bottom w:val="single" w:sz="8" w:space="0" w:color="auto"/>
              <w:right w:val="single" w:sz="8" w:space="0" w:color="auto"/>
            </w:tcBorders>
            <w:shd w:val="clear" w:color="auto" w:fill="auto"/>
            <w:noWrap/>
            <w:vAlign w:val="center"/>
            <w:hideMark/>
          </w:tcPr>
          <w:p w14:paraId="7ED7CF61" w14:textId="77777777" w:rsidR="00DD13BF" w:rsidRPr="005C3041" w:rsidRDefault="00DD13BF" w:rsidP="00355A56">
            <w:pPr>
              <w:jc w:val="right"/>
              <w:rPr>
                <w:sz w:val="14"/>
                <w:szCs w:val="18"/>
              </w:rPr>
            </w:pPr>
            <w:r>
              <w:rPr>
                <w:sz w:val="14"/>
              </w:rPr>
              <w:t>245,992,623</w:t>
            </w:r>
          </w:p>
        </w:tc>
        <w:tc>
          <w:tcPr>
            <w:tcW w:w="336" w:type="pct"/>
            <w:tcBorders>
              <w:top w:val="nil"/>
              <w:left w:val="nil"/>
              <w:bottom w:val="single" w:sz="8" w:space="0" w:color="auto"/>
              <w:right w:val="single" w:sz="8" w:space="0" w:color="auto"/>
            </w:tcBorders>
            <w:shd w:val="clear" w:color="auto" w:fill="auto"/>
            <w:noWrap/>
            <w:vAlign w:val="center"/>
            <w:hideMark/>
          </w:tcPr>
          <w:p w14:paraId="383BAECE" w14:textId="77777777" w:rsidR="00DD13BF" w:rsidRPr="005C3041" w:rsidRDefault="00DD13BF" w:rsidP="00355A56">
            <w:pPr>
              <w:jc w:val="right"/>
              <w:rPr>
                <w:sz w:val="14"/>
                <w:szCs w:val="18"/>
              </w:rPr>
            </w:pPr>
            <w:r>
              <w:rPr>
                <w:sz w:val="14"/>
              </w:rPr>
              <w:t>0.4</w:t>
            </w:r>
          </w:p>
        </w:tc>
      </w:tr>
      <w:tr w:rsidR="00DD13BF" w:rsidRPr="005C3041" w14:paraId="669D3D6E" w14:textId="77777777" w:rsidTr="00355A56">
        <w:trPr>
          <w:trHeight w:val="43"/>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7E1D865D"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4DB896CB"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3D7DD113"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1ECA8BE3"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5B654FF7"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58B9A207" w14:textId="77777777" w:rsidR="00DD13BF" w:rsidRPr="005C3041" w:rsidRDefault="00DD13BF" w:rsidP="00355A56">
            <w:pPr>
              <w:jc w:val="right"/>
              <w:rPr>
                <w:sz w:val="14"/>
                <w:szCs w:val="18"/>
              </w:rPr>
            </w:pPr>
            <w:r>
              <w:rPr>
                <w:sz w:val="14"/>
              </w:rPr>
              <w:t>360,712,536</w:t>
            </w:r>
          </w:p>
        </w:tc>
        <w:tc>
          <w:tcPr>
            <w:tcW w:w="342" w:type="pct"/>
            <w:tcBorders>
              <w:top w:val="nil"/>
              <w:left w:val="nil"/>
              <w:bottom w:val="single" w:sz="8" w:space="0" w:color="auto"/>
              <w:right w:val="single" w:sz="8" w:space="0" w:color="auto"/>
            </w:tcBorders>
            <w:shd w:val="clear" w:color="auto" w:fill="auto"/>
            <w:noWrap/>
            <w:vAlign w:val="center"/>
            <w:hideMark/>
          </w:tcPr>
          <w:p w14:paraId="6489C493" w14:textId="77777777" w:rsidR="00DD13BF" w:rsidRPr="005C3041" w:rsidRDefault="00DD13BF" w:rsidP="00355A56">
            <w:pPr>
              <w:jc w:val="right"/>
              <w:rPr>
                <w:sz w:val="14"/>
                <w:szCs w:val="18"/>
              </w:rPr>
            </w:pPr>
            <w:r>
              <w:rPr>
                <w:sz w:val="14"/>
              </w:rPr>
              <w:t>298,257,474</w:t>
            </w:r>
          </w:p>
        </w:tc>
        <w:tc>
          <w:tcPr>
            <w:tcW w:w="350" w:type="pct"/>
            <w:tcBorders>
              <w:top w:val="nil"/>
              <w:left w:val="nil"/>
              <w:bottom w:val="single" w:sz="8" w:space="0" w:color="auto"/>
              <w:right w:val="single" w:sz="8" w:space="0" w:color="auto"/>
            </w:tcBorders>
            <w:shd w:val="clear" w:color="auto" w:fill="auto"/>
            <w:noWrap/>
            <w:vAlign w:val="center"/>
            <w:hideMark/>
          </w:tcPr>
          <w:p w14:paraId="14473A09" w14:textId="77777777" w:rsidR="00DD13BF" w:rsidRPr="005C3041" w:rsidRDefault="00DD13BF" w:rsidP="00355A56">
            <w:pPr>
              <w:jc w:val="right"/>
              <w:rPr>
                <w:sz w:val="14"/>
                <w:szCs w:val="18"/>
              </w:rPr>
            </w:pPr>
            <w:r>
              <w:rPr>
                <w:sz w:val="14"/>
              </w:rPr>
              <w:t>10,439,011</w:t>
            </w:r>
          </w:p>
        </w:tc>
        <w:tc>
          <w:tcPr>
            <w:tcW w:w="304" w:type="pct"/>
            <w:tcBorders>
              <w:top w:val="nil"/>
              <w:left w:val="nil"/>
              <w:bottom w:val="single" w:sz="8" w:space="0" w:color="auto"/>
              <w:right w:val="single" w:sz="8" w:space="0" w:color="auto"/>
            </w:tcBorders>
            <w:shd w:val="clear" w:color="auto" w:fill="auto"/>
            <w:noWrap/>
            <w:vAlign w:val="center"/>
            <w:hideMark/>
          </w:tcPr>
          <w:p w14:paraId="0B8A1DB3" w14:textId="77777777" w:rsidR="00DD13BF" w:rsidRPr="005C3041" w:rsidRDefault="00DD13BF" w:rsidP="00355A56">
            <w:pPr>
              <w:jc w:val="right"/>
              <w:rPr>
                <w:sz w:val="14"/>
                <w:szCs w:val="18"/>
              </w:rPr>
            </w:pPr>
            <w:r>
              <w:rPr>
                <w:sz w:val="14"/>
              </w:rPr>
              <w:t>50,257,054</w:t>
            </w:r>
          </w:p>
        </w:tc>
        <w:tc>
          <w:tcPr>
            <w:tcW w:w="342" w:type="pct"/>
            <w:tcBorders>
              <w:top w:val="nil"/>
              <w:left w:val="nil"/>
              <w:bottom w:val="single" w:sz="8" w:space="0" w:color="auto"/>
              <w:right w:val="single" w:sz="8" w:space="0" w:color="auto"/>
            </w:tcBorders>
            <w:shd w:val="clear" w:color="auto" w:fill="auto"/>
            <w:noWrap/>
            <w:vAlign w:val="center"/>
            <w:hideMark/>
          </w:tcPr>
          <w:p w14:paraId="4CA218DE" w14:textId="77777777" w:rsidR="00DD13BF" w:rsidRPr="005C3041" w:rsidRDefault="00DD13BF" w:rsidP="00355A56">
            <w:pPr>
              <w:jc w:val="right"/>
              <w:rPr>
                <w:sz w:val="14"/>
                <w:szCs w:val="18"/>
              </w:rPr>
            </w:pPr>
            <w:r>
              <w:rPr>
                <w:sz w:val="14"/>
              </w:rPr>
              <w:t>1,758,997</w:t>
            </w:r>
          </w:p>
        </w:tc>
        <w:tc>
          <w:tcPr>
            <w:tcW w:w="355" w:type="pct"/>
            <w:tcBorders>
              <w:top w:val="nil"/>
              <w:left w:val="nil"/>
              <w:bottom w:val="single" w:sz="8" w:space="0" w:color="auto"/>
              <w:right w:val="single" w:sz="8" w:space="0" w:color="auto"/>
            </w:tcBorders>
            <w:shd w:val="clear" w:color="auto" w:fill="auto"/>
            <w:noWrap/>
            <w:vAlign w:val="center"/>
            <w:hideMark/>
          </w:tcPr>
          <w:p w14:paraId="01A0E960" w14:textId="77777777" w:rsidR="00DD13BF" w:rsidRPr="005C3041" w:rsidRDefault="00DD13BF" w:rsidP="00355A56">
            <w:pPr>
              <w:jc w:val="right"/>
              <w:rPr>
                <w:sz w:val="14"/>
                <w:szCs w:val="18"/>
              </w:rPr>
            </w:pPr>
            <w:r>
              <w:rPr>
                <w:sz w:val="14"/>
              </w:rPr>
              <w:t>63,655,154</w:t>
            </w:r>
          </w:p>
        </w:tc>
        <w:tc>
          <w:tcPr>
            <w:tcW w:w="355" w:type="pct"/>
            <w:tcBorders>
              <w:top w:val="nil"/>
              <w:left w:val="nil"/>
              <w:bottom w:val="single" w:sz="8" w:space="0" w:color="auto"/>
              <w:right w:val="single" w:sz="8" w:space="0" w:color="auto"/>
            </w:tcBorders>
            <w:shd w:val="clear" w:color="auto" w:fill="auto"/>
            <w:noWrap/>
            <w:vAlign w:val="center"/>
            <w:hideMark/>
          </w:tcPr>
          <w:p w14:paraId="1525AA7F" w14:textId="77777777" w:rsidR="00DD13BF" w:rsidRPr="005C3041" w:rsidRDefault="00DD13BF" w:rsidP="00355A56">
            <w:pPr>
              <w:jc w:val="right"/>
              <w:rPr>
                <w:sz w:val="14"/>
                <w:szCs w:val="18"/>
              </w:rPr>
            </w:pPr>
            <w:r>
              <w:rPr>
                <w:sz w:val="14"/>
              </w:rPr>
              <w:t>36,333,408</w:t>
            </w:r>
          </w:p>
        </w:tc>
        <w:tc>
          <w:tcPr>
            <w:tcW w:w="321" w:type="pct"/>
            <w:tcBorders>
              <w:top w:val="nil"/>
              <w:left w:val="nil"/>
              <w:bottom w:val="single" w:sz="8" w:space="0" w:color="auto"/>
              <w:right w:val="single" w:sz="8" w:space="0" w:color="auto"/>
            </w:tcBorders>
            <w:shd w:val="clear" w:color="auto" w:fill="auto"/>
            <w:noWrap/>
            <w:vAlign w:val="center"/>
            <w:hideMark/>
          </w:tcPr>
          <w:p w14:paraId="610A7A77" w14:textId="77777777" w:rsidR="00DD13BF" w:rsidRPr="005C3041" w:rsidRDefault="00DD13BF" w:rsidP="00355A56">
            <w:pPr>
              <w:jc w:val="right"/>
              <w:rPr>
                <w:sz w:val="14"/>
                <w:szCs w:val="18"/>
              </w:rPr>
            </w:pPr>
            <w:r>
              <w:rPr>
                <w:sz w:val="14"/>
              </w:rPr>
              <w:t>27,321,746</w:t>
            </w:r>
          </w:p>
        </w:tc>
        <w:tc>
          <w:tcPr>
            <w:tcW w:w="342" w:type="pct"/>
            <w:tcBorders>
              <w:top w:val="nil"/>
              <w:left w:val="nil"/>
              <w:bottom w:val="single" w:sz="8" w:space="0" w:color="auto"/>
              <w:right w:val="single" w:sz="8" w:space="0" w:color="auto"/>
            </w:tcBorders>
            <w:shd w:val="clear" w:color="auto" w:fill="auto"/>
            <w:noWrap/>
            <w:vAlign w:val="center"/>
            <w:hideMark/>
          </w:tcPr>
          <w:p w14:paraId="6A0912A3" w14:textId="77777777" w:rsidR="00DD13BF" w:rsidRPr="005C3041" w:rsidRDefault="00DD13BF" w:rsidP="00355A56">
            <w:pPr>
              <w:jc w:val="right"/>
              <w:rPr>
                <w:sz w:val="14"/>
                <w:szCs w:val="18"/>
              </w:rPr>
            </w:pPr>
            <w:r>
              <w:rPr>
                <w:sz w:val="14"/>
              </w:rPr>
              <w:t>424,367,690</w:t>
            </w:r>
          </w:p>
        </w:tc>
        <w:tc>
          <w:tcPr>
            <w:tcW w:w="336" w:type="pct"/>
            <w:tcBorders>
              <w:top w:val="nil"/>
              <w:left w:val="nil"/>
              <w:bottom w:val="single" w:sz="8" w:space="0" w:color="auto"/>
              <w:right w:val="single" w:sz="8" w:space="0" w:color="auto"/>
            </w:tcBorders>
            <w:shd w:val="clear" w:color="auto" w:fill="auto"/>
            <w:noWrap/>
            <w:vAlign w:val="center"/>
            <w:hideMark/>
          </w:tcPr>
          <w:p w14:paraId="791CF2D8" w14:textId="77777777" w:rsidR="00DD13BF" w:rsidRPr="005C3041" w:rsidRDefault="00DD13BF" w:rsidP="00355A56">
            <w:pPr>
              <w:jc w:val="right"/>
              <w:rPr>
                <w:sz w:val="14"/>
                <w:szCs w:val="18"/>
              </w:rPr>
            </w:pPr>
            <w:r>
              <w:rPr>
                <w:sz w:val="14"/>
              </w:rPr>
              <w:t>0.85</w:t>
            </w:r>
          </w:p>
        </w:tc>
      </w:tr>
      <w:tr w:rsidR="00DD13BF" w:rsidRPr="005C3041" w14:paraId="094A925C" w14:textId="77777777" w:rsidTr="00355A56">
        <w:trPr>
          <w:trHeight w:val="184"/>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394A93A1"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7D0E6C30"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2D597270" w14:textId="77777777" w:rsidR="00DD13BF" w:rsidRPr="005C3041" w:rsidRDefault="00DD13BF" w:rsidP="00355A56">
            <w:pPr>
              <w:rPr>
                <w:sz w:val="14"/>
                <w:szCs w:val="18"/>
              </w:rPr>
            </w:pPr>
          </w:p>
        </w:tc>
        <w:tc>
          <w:tcPr>
            <w:tcW w:w="51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B87F60C" w14:textId="77777777" w:rsidR="00DD13BF" w:rsidRPr="005C3041" w:rsidRDefault="00DD13BF" w:rsidP="00355A56">
            <w:pPr>
              <w:rPr>
                <w:sz w:val="14"/>
                <w:szCs w:val="18"/>
              </w:rPr>
            </w:pPr>
            <w:r>
              <w:rPr>
                <w:sz w:val="14"/>
              </w:rPr>
              <w:t>Cohesion Fund</w:t>
            </w:r>
          </w:p>
        </w:tc>
        <w:tc>
          <w:tcPr>
            <w:tcW w:w="271" w:type="pct"/>
            <w:tcBorders>
              <w:top w:val="nil"/>
              <w:left w:val="nil"/>
              <w:bottom w:val="single" w:sz="8" w:space="0" w:color="auto"/>
              <w:right w:val="single" w:sz="8" w:space="0" w:color="auto"/>
            </w:tcBorders>
            <w:shd w:val="clear" w:color="auto" w:fill="auto"/>
            <w:vAlign w:val="center"/>
            <w:hideMark/>
          </w:tcPr>
          <w:p w14:paraId="09F70F84" w14:textId="77777777" w:rsidR="00DD13BF" w:rsidRPr="005C3041" w:rsidRDefault="00DD13BF" w:rsidP="00355A56">
            <w:pPr>
              <w:rPr>
                <w:sz w:val="14"/>
                <w:szCs w:val="18"/>
              </w:rPr>
            </w:pPr>
            <w:r>
              <w:rPr>
                <w:sz w:val="14"/>
              </w:rPr>
              <w:t>N/A</w:t>
            </w:r>
          </w:p>
        </w:tc>
        <w:tc>
          <w:tcPr>
            <w:tcW w:w="397" w:type="pct"/>
            <w:tcBorders>
              <w:top w:val="nil"/>
              <w:left w:val="nil"/>
              <w:bottom w:val="single" w:sz="8" w:space="0" w:color="auto"/>
              <w:right w:val="single" w:sz="8" w:space="0" w:color="auto"/>
            </w:tcBorders>
            <w:shd w:val="clear" w:color="auto" w:fill="auto"/>
            <w:noWrap/>
            <w:vAlign w:val="center"/>
            <w:hideMark/>
          </w:tcPr>
          <w:p w14:paraId="661AF6AB" w14:textId="77777777" w:rsidR="00DD13BF" w:rsidRPr="005C3041" w:rsidRDefault="00DD13BF" w:rsidP="00355A56">
            <w:pPr>
              <w:jc w:val="right"/>
              <w:rPr>
                <w:sz w:val="14"/>
                <w:szCs w:val="18"/>
              </w:rPr>
            </w:pPr>
            <w:r>
              <w:rPr>
                <w:sz w:val="14"/>
              </w:rPr>
              <w:t>302,921,367</w:t>
            </w:r>
          </w:p>
        </w:tc>
        <w:tc>
          <w:tcPr>
            <w:tcW w:w="342" w:type="pct"/>
            <w:tcBorders>
              <w:top w:val="nil"/>
              <w:left w:val="nil"/>
              <w:bottom w:val="single" w:sz="8" w:space="0" w:color="auto"/>
              <w:right w:val="single" w:sz="8" w:space="0" w:color="auto"/>
            </w:tcBorders>
            <w:shd w:val="clear" w:color="auto" w:fill="auto"/>
            <w:noWrap/>
            <w:vAlign w:val="center"/>
            <w:hideMark/>
          </w:tcPr>
          <w:p w14:paraId="3375F568" w14:textId="77777777" w:rsidR="00DD13BF" w:rsidRPr="005C3041" w:rsidRDefault="00DD13BF" w:rsidP="00355A56">
            <w:pPr>
              <w:jc w:val="right"/>
              <w:rPr>
                <w:sz w:val="14"/>
                <w:szCs w:val="18"/>
              </w:rPr>
            </w:pPr>
            <w:r>
              <w:rPr>
                <w:sz w:val="14"/>
              </w:rPr>
              <w:t>251,203,915</w:t>
            </w:r>
          </w:p>
        </w:tc>
        <w:tc>
          <w:tcPr>
            <w:tcW w:w="350" w:type="pct"/>
            <w:tcBorders>
              <w:top w:val="nil"/>
              <w:left w:val="nil"/>
              <w:bottom w:val="single" w:sz="8" w:space="0" w:color="auto"/>
              <w:right w:val="single" w:sz="8" w:space="0" w:color="auto"/>
            </w:tcBorders>
            <w:shd w:val="clear" w:color="auto" w:fill="auto"/>
            <w:noWrap/>
            <w:vAlign w:val="center"/>
            <w:hideMark/>
          </w:tcPr>
          <w:p w14:paraId="4F547737" w14:textId="77777777" w:rsidR="00DD13BF" w:rsidRPr="005C3041" w:rsidRDefault="00DD13BF" w:rsidP="00355A56">
            <w:pPr>
              <w:jc w:val="right"/>
              <w:rPr>
                <w:sz w:val="14"/>
                <w:szCs w:val="18"/>
              </w:rPr>
            </w:pPr>
            <w:r>
              <w:rPr>
                <w:sz w:val="14"/>
              </w:rPr>
              <w:t>6,280,098</w:t>
            </w:r>
          </w:p>
        </w:tc>
        <w:tc>
          <w:tcPr>
            <w:tcW w:w="304" w:type="pct"/>
            <w:tcBorders>
              <w:top w:val="nil"/>
              <w:left w:val="nil"/>
              <w:bottom w:val="single" w:sz="8" w:space="0" w:color="auto"/>
              <w:right w:val="single" w:sz="8" w:space="0" w:color="auto"/>
            </w:tcBorders>
            <w:shd w:val="clear" w:color="auto" w:fill="auto"/>
            <w:noWrap/>
            <w:vAlign w:val="center"/>
            <w:hideMark/>
          </w:tcPr>
          <w:p w14:paraId="766E4A0D" w14:textId="77777777" w:rsidR="00DD13BF" w:rsidRPr="005C3041" w:rsidRDefault="00DD13BF" w:rsidP="00355A56">
            <w:pPr>
              <w:jc w:val="right"/>
              <w:rPr>
                <w:sz w:val="14"/>
                <w:szCs w:val="18"/>
              </w:rPr>
            </w:pPr>
            <w:r>
              <w:rPr>
                <w:sz w:val="14"/>
              </w:rPr>
              <w:t>44,329,126</w:t>
            </w:r>
          </w:p>
        </w:tc>
        <w:tc>
          <w:tcPr>
            <w:tcW w:w="342" w:type="pct"/>
            <w:tcBorders>
              <w:top w:val="nil"/>
              <w:left w:val="nil"/>
              <w:bottom w:val="single" w:sz="8" w:space="0" w:color="auto"/>
              <w:right w:val="single" w:sz="8" w:space="0" w:color="auto"/>
            </w:tcBorders>
            <w:shd w:val="clear" w:color="auto" w:fill="auto"/>
            <w:noWrap/>
            <w:vAlign w:val="center"/>
            <w:hideMark/>
          </w:tcPr>
          <w:p w14:paraId="001BC319" w14:textId="77777777" w:rsidR="00DD13BF" w:rsidRPr="005C3041" w:rsidRDefault="00DD13BF" w:rsidP="00355A56">
            <w:pPr>
              <w:jc w:val="right"/>
              <w:rPr>
                <w:sz w:val="14"/>
                <w:szCs w:val="18"/>
              </w:rPr>
            </w:pPr>
            <w:r>
              <w:rPr>
                <w:sz w:val="14"/>
              </w:rPr>
              <w:t>1,108,228</w:t>
            </w:r>
          </w:p>
        </w:tc>
        <w:tc>
          <w:tcPr>
            <w:tcW w:w="355" w:type="pct"/>
            <w:tcBorders>
              <w:top w:val="nil"/>
              <w:left w:val="nil"/>
              <w:bottom w:val="single" w:sz="8" w:space="0" w:color="auto"/>
              <w:right w:val="single" w:sz="8" w:space="0" w:color="auto"/>
            </w:tcBorders>
            <w:shd w:val="clear" w:color="auto" w:fill="auto"/>
            <w:noWrap/>
            <w:vAlign w:val="center"/>
            <w:hideMark/>
          </w:tcPr>
          <w:p w14:paraId="441838A0" w14:textId="77777777" w:rsidR="00DD13BF" w:rsidRPr="005C3041" w:rsidRDefault="00DD13BF" w:rsidP="00355A56">
            <w:pPr>
              <w:jc w:val="right"/>
              <w:rPr>
                <w:sz w:val="14"/>
                <w:szCs w:val="18"/>
              </w:rPr>
            </w:pPr>
            <w:r>
              <w:rPr>
                <w:sz w:val="14"/>
              </w:rPr>
              <w:t>53,456,712</w:t>
            </w:r>
          </w:p>
        </w:tc>
        <w:tc>
          <w:tcPr>
            <w:tcW w:w="355" w:type="pct"/>
            <w:tcBorders>
              <w:top w:val="nil"/>
              <w:left w:val="nil"/>
              <w:bottom w:val="single" w:sz="8" w:space="0" w:color="auto"/>
              <w:right w:val="single" w:sz="8" w:space="0" w:color="auto"/>
            </w:tcBorders>
            <w:shd w:val="clear" w:color="auto" w:fill="auto"/>
            <w:noWrap/>
            <w:vAlign w:val="center"/>
            <w:hideMark/>
          </w:tcPr>
          <w:p w14:paraId="704121D9" w14:textId="77777777" w:rsidR="00DD13BF" w:rsidRPr="005C3041" w:rsidRDefault="00DD13BF" w:rsidP="00355A56">
            <w:pPr>
              <w:jc w:val="right"/>
              <w:rPr>
                <w:sz w:val="14"/>
                <w:szCs w:val="18"/>
              </w:rPr>
            </w:pPr>
            <w:r>
              <w:rPr>
                <w:sz w:val="14"/>
              </w:rPr>
              <w:t>53,456,712</w:t>
            </w:r>
          </w:p>
        </w:tc>
        <w:tc>
          <w:tcPr>
            <w:tcW w:w="321" w:type="pct"/>
            <w:tcBorders>
              <w:top w:val="nil"/>
              <w:left w:val="nil"/>
              <w:bottom w:val="single" w:sz="8" w:space="0" w:color="auto"/>
              <w:right w:val="single" w:sz="8" w:space="0" w:color="auto"/>
            </w:tcBorders>
            <w:shd w:val="clear" w:color="auto" w:fill="auto"/>
            <w:noWrap/>
            <w:vAlign w:val="center"/>
            <w:hideMark/>
          </w:tcPr>
          <w:p w14:paraId="0DBC7440"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11C47CD1" w14:textId="77777777" w:rsidR="00DD13BF" w:rsidRPr="005C3041" w:rsidRDefault="00DD13BF" w:rsidP="00355A56">
            <w:pPr>
              <w:jc w:val="right"/>
              <w:rPr>
                <w:sz w:val="14"/>
                <w:szCs w:val="18"/>
              </w:rPr>
            </w:pPr>
            <w:r>
              <w:rPr>
                <w:sz w:val="14"/>
              </w:rPr>
              <w:t>356,378,079</w:t>
            </w:r>
          </w:p>
        </w:tc>
        <w:tc>
          <w:tcPr>
            <w:tcW w:w="336" w:type="pct"/>
            <w:tcBorders>
              <w:top w:val="nil"/>
              <w:left w:val="nil"/>
              <w:bottom w:val="single" w:sz="8" w:space="0" w:color="auto"/>
              <w:right w:val="single" w:sz="8" w:space="0" w:color="auto"/>
            </w:tcBorders>
            <w:shd w:val="clear" w:color="auto" w:fill="auto"/>
            <w:noWrap/>
            <w:vAlign w:val="center"/>
            <w:hideMark/>
          </w:tcPr>
          <w:p w14:paraId="39F50EEE" w14:textId="77777777" w:rsidR="00DD13BF" w:rsidRPr="005C3041" w:rsidRDefault="00DD13BF" w:rsidP="00355A56">
            <w:pPr>
              <w:jc w:val="right"/>
              <w:rPr>
                <w:sz w:val="14"/>
                <w:szCs w:val="18"/>
              </w:rPr>
            </w:pPr>
            <w:r>
              <w:rPr>
                <w:sz w:val="14"/>
              </w:rPr>
              <w:t>0.85</w:t>
            </w:r>
          </w:p>
        </w:tc>
      </w:tr>
      <w:tr w:rsidR="00DD13BF" w:rsidRPr="005C3041" w14:paraId="2910C1B5" w14:textId="77777777" w:rsidTr="00355A56">
        <w:trPr>
          <w:trHeight w:val="43"/>
        </w:trPr>
        <w:tc>
          <w:tcPr>
            <w:tcW w:w="227" w:type="pct"/>
            <w:vMerge w:val="restart"/>
            <w:tcBorders>
              <w:top w:val="nil"/>
              <w:left w:val="single" w:sz="8" w:space="0" w:color="auto"/>
              <w:bottom w:val="nil"/>
              <w:right w:val="single" w:sz="8" w:space="0" w:color="auto"/>
            </w:tcBorders>
            <w:shd w:val="clear" w:color="auto" w:fill="auto"/>
            <w:vAlign w:val="center"/>
            <w:hideMark/>
          </w:tcPr>
          <w:p w14:paraId="0CDD9B5B" w14:textId="77777777" w:rsidR="00DD13BF" w:rsidRPr="005C3041" w:rsidRDefault="00DD13BF" w:rsidP="00355A56">
            <w:pPr>
              <w:rPr>
                <w:sz w:val="14"/>
                <w:szCs w:val="18"/>
              </w:rPr>
            </w:pPr>
            <w:r>
              <w:rPr>
                <w:sz w:val="14"/>
              </w:rPr>
              <w:t>PO 2</w:t>
            </w:r>
          </w:p>
        </w:tc>
        <w:tc>
          <w:tcPr>
            <w:tcW w:w="284" w:type="pct"/>
            <w:vMerge w:val="restart"/>
            <w:tcBorders>
              <w:top w:val="nil"/>
              <w:left w:val="single" w:sz="8" w:space="0" w:color="auto"/>
              <w:bottom w:val="nil"/>
              <w:right w:val="single" w:sz="8" w:space="0" w:color="auto"/>
            </w:tcBorders>
            <w:shd w:val="clear" w:color="auto" w:fill="auto"/>
            <w:vAlign w:val="center"/>
            <w:hideMark/>
          </w:tcPr>
          <w:p w14:paraId="2C9DB3EC" w14:textId="77777777" w:rsidR="00DD13BF" w:rsidRPr="005C3041" w:rsidRDefault="00DD13BF" w:rsidP="00355A56">
            <w:pPr>
              <w:rPr>
                <w:sz w:val="14"/>
                <w:szCs w:val="18"/>
              </w:rPr>
            </w:pPr>
            <w:r>
              <w:rPr>
                <w:sz w:val="14"/>
              </w:rPr>
              <w:t>Priority 4</w:t>
            </w:r>
          </w:p>
        </w:tc>
        <w:tc>
          <w:tcPr>
            <w:tcW w:w="262" w:type="pct"/>
            <w:vMerge w:val="restart"/>
            <w:tcBorders>
              <w:top w:val="nil"/>
              <w:left w:val="single" w:sz="8" w:space="0" w:color="auto"/>
              <w:bottom w:val="nil"/>
              <w:right w:val="single" w:sz="8" w:space="0" w:color="auto"/>
            </w:tcBorders>
            <w:shd w:val="clear" w:color="auto" w:fill="auto"/>
            <w:vAlign w:val="center"/>
            <w:hideMark/>
          </w:tcPr>
          <w:p w14:paraId="390C319D"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23D81573"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33BBA635"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40E41965" w14:textId="77777777" w:rsidR="00DD13BF" w:rsidRPr="005C3041" w:rsidRDefault="00DD13BF" w:rsidP="00355A56">
            <w:pPr>
              <w:jc w:val="right"/>
              <w:rPr>
                <w:sz w:val="14"/>
                <w:szCs w:val="18"/>
              </w:rPr>
            </w:pPr>
            <w:r>
              <w:rPr>
                <w:sz w:val="14"/>
              </w:rPr>
              <w:t>17,227,256</w:t>
            </w:r>
          </w:p>
        </w:tc>
        <w:tc>
          <w:tcPr>
            <w:tcW w:w="342" w:type="pct"/>
            <w:tcBorders>
              <w:top w:val="nil"/>
              <w:left w:val="nil"/>
              <w:bottom w:val="single" w:sz="8" w:space="0" w:color="auto"/>
              <w:right w:val="single" w:sz="8" w:space="0" w:color="auto"/>
            </w:tcBorders>
            <w:shd w:val="clear" w:color="auto" w:fill="auto"/>
            <w:noWrap/>
            <w:vAlign w:val="center"/>
            <w:hideMark/>
          </w:tcPr>
          <w:p w14:paraId="09AEFEE0" w14:textId="77777777" w:rsidR="00DD13BF" w:rsidRPr="005C3041" w:rsidRDefault="00DD13BF" w:rsidP="00355A56">
            <w:pPr>
              <w:jc w:val="right"/>
              <w:rPr>
                <w:sz w:val="14"/>
                <w:szCs w:val="18"/>
              </w:rPr>
            </w:pPr>
            <w:r>
              <w:rPr>
                <w:sz w:val="14"/>
              </w:rPr>
              <w:t>14,244,297</w:t>
            </w:r>
          </w:p>
        </w:tc>
        <w:tc>
          <w:tcPr>
            <w:tcW w:w="350" w:type="pct"/>
            <w:tcBorders>
              <w:top w:val="nil"/>
              <w:left w:val="nil"/>
              <w:bottom w:val="single" w:sz="8" w:space="0" w:color="auto"/>
              <w:right w:val="single" w:sz="8" w:space="0" w:color="auto"/>
            </w:tcBorders>
            <w:shd w:val="clear" w:color="auto" w:fill="auto"/>
            <w:noWrap/>
            <w:vAlign w:val="center"/>
            <w:hideMark/>
          </w:tcPr>
          <w:p w14:paraId="1974A048" w14:textId="77777777" w:rsidR="00DD13BF" w:rsidRPr="005C3041" w:rsidRDefault="00DD13BF" w:rsidP="00355A56">
            <w:pPr>
              <w:jc w:val="right"/>
              <w:rPr>
                <w:sz w:val="14"/>
                <w:szCs w:val="18"/>
              </w:rPr>
            </w:pPr>
            <w:r>
              <w:rPr>
                <w:sz w:val="14"/>
              </w:rPr>
              <w:t>498,550</w:t>
            </w:r>
          </w:p>
        </w:tc>
        <w:tc>
          <w:tcPr>
            <w:tcW w:w="304" w:type="pct"/>
            <w:tcBorders>
              <w:top w:val="nil"/>
              <w:left w:val="nil"/>
              <w:bottom w:val="single" w:sz="8" w:space="0" w:color="auto"/>
              <w:right w:val="single" w:sz="8" w:space="0" w:color="auto"/>
            </w:tcBorders>
            <w:shd w:val="clear" w:color="auto" w:fill="auto"/>
            <w:noWrap/>
            <w:vAlign w:val="center"/>
            <w:hideMark/>
          </w:tcPr>
          <w:p w14:paraId="2A35B9E2" w14:textId="77777777" w:rsidR="00DD13BF" w:rsidRPr="005C3041" w:rsidRDefault="00DD13BF" w:rsidP="00355A56">
            <w:pPr>
              <w:jc w:val="right"/>
              <w:rPr>
                <w:sz w:val="14"/>
                <w:szCs w:val="18"/>
              </w:rPr>
            </w:pPr>
            <w:r>
              <w:rPr>
                <w:sz w:val="14"/>
              </w:rPr>
              <w:t>2,400,395</w:t>
            </w:r>
          </w:p>
        </w:tc>
        <w:tc>
          <w:tcPr>
            <w:tcW w:w="342" w:type="pct"/>
            <w:tcBorders>
              <w:top w:val="nil"/>
              <w:left w:val="nil"/>
              <w:bottom w:val="single" w:sz="8" w:space="0" w:color="auto"/>
              <w:right w:val="single" w:sz="8" w:space="0" w:color="auto"/>
            </w:tcBorders>
            <w:shd w:val="clear" w:color="auto" w:fill="auto"/>
            <w:noWrap/>
            <w:vAlign w:val="center"/>
            <w:hideMark/>
          </w:tcPr>
          <w:p w14:paraId="6A28D0C4" w14:textId="77777777" w:rsidR="00DD13BF" w:rsidRPr="005C3041" w:rsidRDefault="00DD13BF" w:rsidP="00355A56">
            <w:pPr>
              <w:jc w:val="right"/>
              <w:rPr>
                <w:sz w:val="14"/>
                <w:szCs w:val="18"/>
              </w:rPr>
            </w:pPr>
            <w:r>
              <w:rPr>
                <w:sz w:val="14"/>
              </w:rPr>
              <w:t>84,014</w:t>
            </w:r>
          </w:p>
        </w:tc>
        <w:tc>
          <w:tcPr>
            <w:tcW w:w="355" w:type="pct"/>
            <w:tcBorders>
              <w:top w:val="nil"/>
              <w:left w:val="nil"/>
              <w:bottom w:val="single" w:sz="8" w:space="0" w:color="auto"/>
              <w:right w:val="single" w:sz="8" w:space="0" w:color="auto"/>
            </w:tcBorders>
            <w:shd w:val="clear" w:color="auto" w:fill="auto"/>
            <w:noWrap/>
            <w:vAlign w:val="center"/>
            <w:hideMark/>
          </w:tcPr>
          <w:p w14:paraId="3ADDDBDA" w14:textId="77777777" w:rsidR="00DD13BF" w:rsidRPr="005C3041" w:rsidRDefault="00DD13BF" w:rsidP="00355A56">
            <w:pPr>
              <w:jc w:val="right"/>
              <w:rPr>
                <w:sz w:val="14"/>
                <w:szCs w:val="18"/>
              </w:rPr>
            </w:pPr>
            <w:r>
              <w:rPr>
                <w:sz w:val="14"/>
              </w:rPr>
              <w:t>25,840,884</w:t>
            </w:r>
          </w:p>
        </w:tc>
        <w:tc>
          <w:tcPr>
            <w:tcW w:w="355" w:type="pct"/>
            <w:tcBorders>
              <w:top w:val="nil"/>
              <w:left w:val="nil"/>
              <w:bottom w:val="single" w:sz="8" w:space="0" w:color="auto"/>
              <w:right w:val="single" w:sz="8" w:space="0" w:color="auto"/>
            </w:tcBorders>
            <w:shd w:val="clear" w:color="auto" w:fill="auto"/>
            <w:noWrap/>
            <w:vAlign w:val="center"/>
            <w:hideMark/>
          </w:tcPr>
          <w:p w14:paraId="6C47FC34" w14:textId="77777777" w:rsidR="00DD13BF" w:rsidRPr="005C3041" w:rsidRDefault="00DD13BF" w:rsidP="00355A56">
            <w:pPr>
              <w:jc w:val="right"/>
              <w:rPr>
                <w:sz w:val="14"/>
                <w:szCs w:val="18"/>
              </w:rPr>
            </w:pPr>
            <w:r>
              <w:rPr>
                <w:sz w:val="14"/>
              </w:rPr>
              <w:t>25,840,884</w:t>
            </w:r>
          </w:p>
        </w:tc>
        <w:tc>
          <w:tcPr>
            <w:tcW w:w="321" w:type="pct"/>
            <w:tcBorders>
              <w:top w:val="nil"/>
              <w:left w:val="nil"/>
              <w:bottom w:val="single" w:sz="8" w:space="0" w:color="auto"/>
              <w:right w:val="single" w:sz="8" w:space="0" w:color="auto"/>
            </w:tcBorders>
            <w:shd w:val="clear" w:color="auto" w:fill="auto"/>
            <w:noWrap/>
            <w:vAlign w:val="center"/>
            <w:hideMark/>
          </w:tcPr>
          <w:p w14:paraId="20A35812"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57663B6" w14:textId="77777777" w:rsidR="00DD13BF" w:rsidRPr="005C3041" w:rsidRDefault="00DD13BF" w:rsidP="00355A56">
            <w:pPr>
              <w:jc w:val="right"/>
              <w:rPr>
                <w:sz w:val="14"/>
                <w:szCs w:val="18"/>
              </w:rPr>
            </w:pPr>
            <w:r>
              <w:rPr>
                <w:sz w:val="14"/>
              </w:rPr>
              <w:t>43,068,140</w:t>
            </w:r>
          </w:p>
        </w:tc>
        <w:tc>
          <w:tcPr>
            <w:tcW w:w="336" w:type="pct"/>
            <w:tcBorders>
              <w:top w:val="nil"/>
              <w:left w:val="nil"/>
              <w:bottom w:val="single" w:sz="8" w:space="0" w:color="auto"/>
              <w:right w:val="single" w:sz="8" w:space="0" w:color="auto"/>
            </w:tcBorders>
            <w:shd w:val="clear" w:color="auto" w:fill="auto"/>
            <w:noWrap/>
            <w:vAlign w:val="center"/>
            <w:hideMark/>
          </w:tcPr>
          <w:p w14:paraId="19DC074D" w14:textId="77777777" w:rsidR="00DD13BF" w:rsidRPr="005C3041" w:rsidRDefault="00DD13BF" w:rsidP="00355A56">
            <w:pPr>
              <w:jc w:val="right"/>
              <w:rPr>
                <w:sz w:val="14"/>
                <w:szCs w:val="18"/>
              </w:rPr>
            </w:pPr>
            <w:r>
              <w:rPr>
                <w:sz w:val="14"/>
              </w:rPr>
              <w:t>0.4</w:t>
            </w:r>
          </w:p>
        </w:tc>
      </w:tr>
      <w:tr w:rsidR="00DD13BF" w:rsidRPr="005C3041" w14:paraId="75300E3E" w14:textId="77777777" w:rsidTr="00355A56">
        <w:trPr>
          <w:trHeight w:val="424"/>
        </w:trPr>
        <w:tc>
          <w:tcPr>
            <w:tcW w:w="227" w:type="pct"/>
            <w:vMerge/>
            <w:tcBorders>
              <w:top w:val="nil"/>
              <w:left w:val="single" w:sz="8" w:space="0" w:color="auto"/>
              <w:bottom w:val="nil"/>
              <w:right w:val="single" w:sz="8" w:space="0" w:color="auto"/>
            </w:tcBorders>
            <w:vAlign w:val="center"/>
            <w:hideMark/>
          </w:tcPr>
          <w:p w14:paraId="02E40118" w14:textId="77777777" w:rsidR="00DD13BF" w:rsidRPr="005C3041" w:rsidRDefault="00DD13BF" w:rsidP="00355A56">
            <w:pPr>
              <w:rPr>
                <w:sz w:val="14"/>
                <w:szCs w:val="18"/>
              </w:rPr>
            </w:pPr>
          </w:p>
        </w:tc>
        <w:tc>
          <w:tcPr>
            <w:tcW w:w="284" w:type="pct"/>
            <w:vMerge/>
            <w:tcBorders>
              <w:top w:val="nil"/>
              <w:left w:val="single" w:sz="8" w:space="0" w:color="auto"/>
              <w:bottom w:val="nil"/>
              <w:right w:val="single" w:sz="8" w:space="0" w:color="auto"/>
            </w:tcBorders>
            <w:vAlign w:val="center"/>
            <w:hideMark/>
          </w:tcPr>
          <w:p w14:paraId="000A9C03" w14:textId="77777777" w:rsidR="00DD13BF" w:rsidRPr="005C3041" w:rsidRDefault="00DD13BF" w:rsidP="00355A56">
            <w:pPr>
              <w:rPr>
                <w:sz w:val="14"/>
                <w:szCs w:val="18"/>
              </w:rPr>
            </w:pPr>
          </w:p>
        </w:tc>
        <w:tc>
          <w:tcPr>
            <w:tcW w:w="262" w:type="pct"/>
            <w:vMerge/>
            <w:tcBorders>
              <w:top w:val="nil"/>
              <w:left w:val="single" w:sz="8" w:space="0" w:color="auto"/>
              <w:bottom w:val="nil"/>
              <w:right w:val="single" w:sz="8" w:space="0" w:color="auto"/>
            </w:tcBorders>
            <w:vAlign w:val="center"/>
            <w:hideMark/>
          </w:tcPr>
          <w:p w14:paraId="320FCB9A"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23029960"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35C2B6DA"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09EDA985" w14:textId="77777777" w:rsidR="00DD13BF" w:rsidRPr="005C3041" w:rsidRDefault="00DD13BF" w:rsidP="00355A56">
            <w:pPr>
              <w:jc w:val="right"/>
              <w:rPr>
                <w:sz w:val="14"/>
                <w:szCs w:val="18"/>
              </w:rPr>
            </w:pPr>
            <w:r>
              <w:rPr>
                <w:sz w:val="14"/>
              </w:rPr>
              <w:t>38,577,100</w:t>
            </w:r>
          </w:p>
        </w:tc>
        <w:tc>
          <w:tcPr>
            <w:tcW w:w="342" w:type="pct"/>
            <w:tcBorders>
              <w:top w:val="nil"/>
              <w:left w:val="nil"/>
              <w:bottom w:val="single" w:sz="8" w:space="0" w:color="auto"/>
              <w:right w:val="single" w:sz="8" w:space="0" w:color="auto"/>
            </w:tcBorders>
            <w:shd w:val="clear" w:color="auto" w:fill="auto"/>
            <w:noWrap/>
            <w:vAlign w:val="center"/>
            <w:hideMark/>
          </w:tcPr>
          <w:p w14:paraId="7D8D06B7" w14:textId="77777777" w:rsidR="00DD13BF" w:rsidRPr="005C3041" w:rsidRDefault="00DD13BF" w:rsidP="00355A56">
            <w:pPr>
              <w:jc w:val="right"/>
              <w:rPr>
                <w:sz w:val="14"/>
                <w:szCs w:val="18"/>
              </w:rPr>
            </w:pPr>
            <w:r>
              <w:rPr>
                <w:sz w:val="14"/>
              </w:rPr>
              <w:t>31,897,723</w:t>
            </w:r>
          </w:p>
        </w:tc>
        <w:tc>
          <w:tcPr>
            <w:tcW w:w="350" w:type="pct"/>
            <w:tcBorders>
              <w:top w:val="nil"/>
              <w:left w:val="nil"/>
              <w:bottom w:val="single" w:sz="8" w:space="0" w:color="auto"/>
              <w:right w:val="single" w:sz="8" w:space="0" w:color="auto"/>
            </w:tcBorders>
            <w:shd w:val="clear" w:color="auto" w:fill="auto"/>
            <w:noWrap/>
            <w:vAlign w:val="center"/>
            <w:hideMark/>
          </w:tcPr>
          <w:p w14:paraId="26478B8D" w14:textId="77777777" w:rsidR="00DD13BF" w:rsidRPr="005C3041" w:rsidRDefault="00DD13BF" w:rsidP="00355A56">
            <w:pPr>
              <w:jc w:val="right"/>
              <w:rPr>
                <w:sz w:val="14"/>
                <w:szCs w:val="18"/>
              </w:rPr>
            </w:pPr>
            <w:r>
              <w:rPr>
                <w:sz w:val="14"/>
              </w:rPr>
              <w:t>1,116,420</w:t>
            </w:r>
          </w:p>
        </w:tc>
        <w:tc>
          <w:tcPr>
            <w:tcW w:w="304" w:type="pct"/>
            <w:tcBorders>
              <w:top w:val="nil"/>
              <w:left w:val="nil"/>
              <w:bottom w:val="single" w:sz="8" w:space="0" w:color="auto"/>
              <w:right w:val="single" w:sz="8" w:space="0" w:color="auto"/>
            </w:tcBorders>
            <w:shd w:val="clear" w:color="auto" w:fill="auto"/>
            <w:noWrap/>
            <w:vAlign w:val="center"/>
            <w:hideMark/>
          </w:tcPr>
          <w:p w14:paraId="21C15772" w14:textId="77777777" w:rsidR="00DD13BF" w:rsidRPr="005C3041" w:rsidRDefault="00DD13BF" w:rsidP="00355A56">
            <w:pPr>
              <w:jc w:val="right"/>
              <w:rPr>
                <w:sz w:val="14"/>
                <w:szCs w:val="18"/>
              </w:rPr>
            </w:pPr>
            <w:r>
              <w:rPr>
                <w:sz w:val="14"/>
              </w:rPr>
              <w:t>5,374,838</w:t>
            </w:r>
          </w:p>
        </w:tc>
        <w:tc>
          <w:tcPr>
            <w:tcW w:w="342" w:type="pct"/>
            <w:tcBorders>
              <w:top w:val="nil"/>
              <w:left w:val="nil"/>
              <w:bottom w:val="single" w:sz="8" w:space="0" w:color="auto"/>
              <w:right w:val="single" w:sz="8" w:space="0" w:color="auto"/>
            </w:tcBorders>
            <w:shd w:val="clear" w:color="auto" w:fill="auto"/>
            <w:noWrap/>
            <w:vAlign w:val="center"/>
            <w:hideMark/>
          </w:tcPr>
          <w:p w14:paraId="1144853C" w14:textId="77777777" w:rsidR="00DD13BF" w:rsidRPr="005C3041" w:rsidRDefault="00DD13BF" w:rsidP="00355A56">
            <w:pPr>
              <w:jc w:val="right"/>
              <w:rPr>
                <w:sz w:val="14"/>
                <w:szCs w:val="18"/>
              </w:rPr>
            </w:pPr>
            <w:r>
              <w:rPr>
                <w:sz w:val="14"/>
              </w:rPr>
              <w:t>188,119</w:t>
            </w:r>
          </w:p>
        </w:tc>
        <w:tc>
          <w:tcPr>
            <w:tcW w:w="355" w:type="pct"/>
            <w:tcBorders>
              <w:top w:val="nil"/>
              <w:left w:val="nil"/>
              <w:bottom w:val="single" w:sz="8" w:space="0" w:color="auto"/>
              <w:right w:val="single" w:sz="8" w:space="0" w:color="auto"/>
            </w:tcBorders>
            <w:shd w:val="clear" w:color="auto" w:fill="auto"/>
            <w:noWrap/>
            <w:vAlign w:val="center"/>
            <w:hideMark/>
          </w:tcPr>
          <w:p w14:paraId="0CB819F4" w14:textId="77777777" w:rsidR="00DD13BF" w:rsidRPr="005C3041" w:rsidRDefault="00DD13BF" w:rsidP="00355A56">
            <w:pPr>
              <w:jc w:val="right"/>
              <w:rPr>
                <w:sz w:val="14"/>
                <w:szCs w:val="18"/>
              </w:rPr>
            </w:pPr>
            <w:r>
              <w:rPr>
                <w:sz w:val="14"/>
              </w:rPr>
              <w:t>6,807,724</w:t>
            </w:r>
          </w:p>
        </w:tc>
        <w:tc>
          <w:tcPr>
            <w:tcW w:w="355" w:type="pct"/>
            <w:tcBorders>
              <w:top w:val="nil"/>
              <w:left w:val="nil"/>
              <w:bottom w:val="single" w:sz="8" w:space="0" w:color="auto"/>
              <w:right w:val="single" w:sz="8" w:space="0" w:color="auto"/>
            </w:tcBorders>
            <w:shd w:val="clear" w:color="auto" w:fill="auto"/>
            <w:noWrap/>
            <w:vAlign w:val="center"/>
            <w:hideMark/>
          </w:tcPr>
          <w:p w14:paraId="0DC8603D" w14:textId="77777777" w:rsidR="00DD13BF" w:rsidRPr="005C3041" w:rsidRDefault="00DD13BF" w:rsidP="00355A56">
            <w:pPr>
              <w:jc w:val="right"/>
              <w:rPr>
                <w:sz w:val="14"/>
                <w:szCs w:val="18"/>
              </w:rPr>
            </w:pPr>
            <w:r>
              <w:rPr>
                <w:sz w:val="14"/>
              </w:rPr>
              <w:t>6,807,724</w:t>
            </w:r>
          </w:p>
        </w:tc>
        <w:tc>
          <w:tcPr>
            <w:tcW w:w="321" w:type="pct"/>
            <w:tcBorders>
              <w:top w:val="nil"/>
              <w:left w:val="nil"/>
              <w:bottom w:val="single" w:sz="8" w:space="0" w:color="auto"/>
              <w:right w:val="single" w:sz="8" w:space="0" w:color="auto"/>
            </w:tcBorders>
            <w:shd w:val="clear" w:color="auto" w:fill="auto"/>
            <w:noWrap/>
            <w:vAlign w:val="center"/>
            <w:hideMark/>
          </w:tcPr>
          <w:p w14:paraId="5B20B948"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1170F70B" w14:textId="77777777" w:rsidR="00DD13BF" w:rsidRPr="005C3041" w:rsidRDefault="00DD13BF" w:rsidP="00355A56">
            <w:pPr>
              <w:jc w:val="right"/>
              <w:rPr>
                <w:sz w:val="14"/>
                <w:szCs w:val="18"/>
              </w:rPr>
            </w:pPr>
            <w:r>
              <w:rPr>
                <w:sz w:val="14"/>
              </w:rPr>
              <w:t>45,384,824</w:t>
            </w:r>
          </w:p>
        </w:tc>
        <w:tc>
          <w:tcPr>
            <w:tcW w:w="336" w:type="pct"/>
            <w:tcBorders>
              <w:top w:val="nil"/>
              <w:left w:val="nil"/>
              <w:bottom w:val="single" w:sz="8" w:space="0" w:color="auto"/>
              <w:right w:val="single" w:sz="8" w:space="0" w:color="auto"/>
            </w:tcBorders>
            <w:shd w:val="clear" w:color="auto" w:fill="auto"/>
            <w:noWrap/>
            <w:vAlign w:val="center"/>
            <w:hideMark/>
          </w:tcPr>
          <w:p w14:paraId="35C22C73" w14:textId="77777777" w:rsidR="00DD13BF" w:rsidRPr="005C3041" w:rsidRDefault="00DD13BF" w:rsidP="00355A56">
            <w:pPr>
              <w:jc w:val="right"/>
              <w:rPr>
                <w:sz w:val="14"/>
                <w:szCs w:val="18"/>
              </w:rPr>
            </w:pPr>
            <w:r>
              <w:rPr>
                <w:sz w:val="14"/>
              </w:rPr>
              <w:t>0.85</w:t>
            </w:r>
          </w:p>
        </w:tc>
      </w:tr>
      <w:tr w:rsidR="00DD13BF" w:rsidRPr="005C3041" w14:paraId="5D20E8EF" w14:textId="77777777" w:rsidTr="00355A56">
        <w:trPr>
          <w:trHeight w:val="460"/>
        </w:trPr>
        <w:tc>
          <w:tcPr>
            <w:tcW w:w="2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F51E4" w14:textId="77777777" w:rsidR="00DD13BF" w:rsidRPr="005C3041" w:rsidRDefault="00DD13BF" w:rsidP="00355A56">
            <w:pPr>
              <w:rPr>
                <w:sz w:val="14"/>
                <w:szCs w:val="18"/>
              </w:rPr>
            </w:pPr>
            <w:r>
              <w:rPr>
                <w:sz w:val="14"/>
              </w:rPr>
              <w:t>PO 3</w:t>
            </w:r>
          </w:p>
        </w:tc>
        <w:tc>
          <w:tcPr>
            <w:tcW w:w="2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156AED" w14:textId="77777777" w:rsidR="00DD13BF" w:rsidRPr="005C3041" w:rsidRDefault="00DD13BF" w:rsidP="00355A56">
            <w:pPr>
              <w:rPr>
                <w:sz w:val="14"/>
                <w:szCs w:val="18"/>
              </w:rPr>
            </w:pPr>
            <w:r>
              <w:rPr>
                <w:sz w:val="14"/>
              </w:rPr>
              <w:t>Priority 5</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06B3CA70"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3A69D0FA"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0882D9B2"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1EE63119"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7FF63EBB" w14:textId="77777777" w:rsidR="00DD13BF" w:rsidRPr="005C3041" w:rsidRDefault="00DD13BF" w:rsidP="00355A56">
            <w:pPr>
              <w:jc w:val="right"/>
              <w:rPr>
                <w:sz w:val="14"/>
                <w:szCs w:val="18"/>
              </w:rPr>
            </w:pPr>
            <w:r>
              <w:rPr>
                <w:sz w:val="14"/>
              </w:rPr>
              <w:t>0 </w:t>
            </w:r>
          </w:p>
        </w:tc>
        <w:tc>
          <w:tcPr>
            <w:tcW w:w="350" w:type="pct"/>
            <w:tcBorders>
              <w:top w:val="nil"/>
              <w:left w:val="nil"/>
              <w:bottom w:val="single" w:sz="8" w:space="0" w:color="auto"/>
              <w:right w:val="single" w:sz="8" w:space="0" w:color="auto"/>
            </w:tcBorders>
            <w:shd w:val="clear" w:color="auto" w:fill="auto"/>
            <w:noWrap/>
            <w:vAlign w:val="center"/>
            <w:hideMark/>
          </w:tcPr>
          <w:p w14:paraId="24D1840C" w14:textId="77777777" w:rsidR="00DD13BF" w:rsidRPr="005C3041" w:rsidRDefault="00DD13BF" w:rsidP="00355A56">
            <w:pPr>
              <w:jc w:val="right"/>
              <w:rPr>
                <w:sz w:val="14"/>
                <w:szCs w:val="18"/>
              </w:rPr>
            </w:pPr>
            <w:r>
              <w:rPr>
                <w:sz w:val="14"/>
              </w:rPr>
              <w:t> 0</w:t>
            </w:r>
          </w:p>
        </w:tc>
        <w:tc>
          <w:tcPr>
            <w:tcW w:w="304" w:type="pct"/>
            <w:tcBorders>
              <w:top w:val="nil"/>
              <w:left w:val="nil"/>
              <w:bottom w:val="single" w:sz="8" w:space="0" w:color="auto"/>
              <w:right w:val="single" w:sz="8" w:space="0" w:color="auto"/>
            </w:tcBorders>
            <w:shd w:val="clear" w:color="auto" w:fill="auto"/>
            <w:noWrap/>
            <w:vAlign w:val="center"/>
            <w:hideMark/>
          </w:tcPr>
          <w:p w14:paraId="14C37A6F"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2A3C9F09"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72ADE446"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141B40A0" w14:textId="77777777" w:rsidR="00DD13BF" w:rsidRPr="005C3041" w:rsidRDefault="00DD13BF" w:rsidP="00355A56">
            <w:pPr>
              <w:jc w:val="right"/>
              <w:rPr>
                <w:sz w:val="14"/>
                <w:szCs w:val="18"/>
              </w:rPr>
            </w:pPr>
            <w:r>
              <w:rPr>
                <w:sz w:val="14"/>
              </w:rPr>
              <w:t> 0</w:t>
            </w:r>
          </w:p>
        </w:tc>
        <w:tc>
          <w:tcPr>
            <w:tcW w:w="321" w:type="pct"/>
            <w:tcBorders>
              <w:top w:val="nil"/>
              <w:left w:val="nil"/>
              <w:bottom w:val="single" w:sz="8" w:space="0" w:color="auto"/>
              <w:right w:val="single" w:sz="8" w:space="0" w:color="auto"/>
            </w:tcBorders>
            <w:shd w:val="clear" w:color="auto" w:fill="auto"/>
            <w:noWrap/>
            <w:vAlign w:val="center"/>
            <w:hideMark/>
          </w:tcPr>
          <w:p w14:paraId="748B02E1"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13FA59E4" w14:textId="77777777" w:rsidR="00DD13BF" w:rsidRPr="005C3041" w:rsidRDefault="00DD13BF" w:rsidP="00355A56">
            <w:pPr>
              <w:jc w:val="right"/>
              <w:rPr>
                <w:sz w:val="14"/>
                <w:szCs w:val="18"/>
              </w:rPr>
            </w:pPr>
            <w:r>
              <w:rPr>
                <w:sz w:val="14"/>
              </w:rPr>
              <w:t> 0</w:t>
            </w:r>
          </w:p>
        </w:tc>
        <w:tc>
          <w:tcPr>
            <w:tcW w:w="336" w:type="pct"/>
            <w:tcBorders>
              <w:top w:val="nil"/>
              <w:left w:val="nil"/>
              <w:bottom w:val="single" w:sz="8" w:space="0" w:color="auto"/>
              <w:right w:val="single" w:sz="8" w:space="0" w:color="auto"/>
            </w:tcBorders>
            <w:shd w:val="clear" w:color="auto" w:fill="auto"/>
            <w:noWrap/>
            <w:vAlign w:val="center"/>
            <w:hideMark/>
          </w:tcPr>
          <w:p w14:paraId="065745E4" w14:textId="77777777" w:rsidR="00DD13BF" w:rsidRPr="005C3041" w:rsidRDefault="00DD13BF" w:rsidP="00355A56">
            <w:pPr>
              <w:rPr>
                <w:sz w:val="14"/>
                <w:szCs w:val="18"/>
              </w:rPr>
            </w:pPr>
            <w:r>
              <w:rPr>
                <w:sz w:val="14"/>
              </w:rPr>
              <w:t> </w:t>
            </w:r>
          </w:p>
        </w:tc>
      </w:tr>
      <w:tr w:rsidR="00DD13BF" w:rsidRPr="005C3041" w14:paraId="3A05BEBF" w14:textId="77777777" w:rsidTr="00355A56">
        <w:trPr>
          <w:trHeight w:val="212"/>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52950000"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392DDE69"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2FBA36E4"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15D88D04"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2FA6912B"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241BF9BC" w14:textId="77777777" w:rsidR="00DD13BF" w:rsidRPr="005C3041" w:rsidRDefault="00DD13BF" w:rsidP="00355A56">
            <w:pPr>
              <w:jc w:val="right"/>
              <w:rPr>
                <w:sz w:val="14"/>
                <w:szCs w:val="18"/>
              </w:rPr>
            </w:pPr>
            <w:r>
              <w:rPr>
                <w:sz w:val="14"/>
              </w:rPr>
              <w:t>109,594,577</w:t>
            </w:r>
          </w:p>
        </w:tc>
        <w:tc>
          <w:tcPr>
            <w:tcW w:w="342" w:type="pct"/>
            <w:tcBorders>
              <w:top w:val="nil"/>
              <w:left w:val="nil"/>
              <w:bottom w:val="single" w:sz="8" w:space="0" w:color="auto"/>
              <w:right w:val="single" w:sz="8" w:space="0" w:color="auto"/>
            </w:tcBorders>
            <w:shd w:val="clear" w:color="auto" w:fill="auto"/>
            <w:noWrap/>
            <w:vAlign w:val="center"/>
            <w:hideMark/>
          </w:tcPr>
          <w:p w14:paraId="60487657" w14:textId="77777777" w:rsidR="00DD13BF" w:rsidRPr="005C3041" w:rsidRDefault="00DD13BF" w:rsidP="00355A56">
            <w:pPr>
              <w:jc w:val="right"/>
              <w:rPr>
                <w:sz w:val="14"/>
                <w:szCs w:val="18"/>
              </w:rPr>
            </w:pPr>
            <w:r>
              <w:rPr>
                <w:sz w:val="14"/>
              </w:rPr>
              <w:t>90,618,980</w:t>
            </w:r>
          </w:p>
        </w:tc>
        <w:tc>
          <w:tcPr>
            <w:tcW w:w="350" w:type="pct"/>
            <w:tcBorders>
              <w:top w:val="nil"/>
              <w:left w:val="nil"/>
              <w:bottom w:val="single" w:sz="8" w:space="0" w:color="auto"/>
              <w:right w:val="single" w:sz="8" w:space="0" w:color="auto"/>
            </w:tcBorders>
            <w:shd w:val="clear" w:color="auto" w:fill="auto"/>
            <w:noWrap/>
            <w:vAlign w:val="center"/>
            <w:hideMark/>
          </w:tcPr>
          <w:p w14:paraId="56F0C7AA" w14:textId="77777777" w:rsidR="00DD13BF" w:rsidRPr="005C3041" w:rsidRDefault="00DD13BF" w:rsidP="00355A56">
            <w:pPr>
              <w:jc w:val="right"/>
              <w:rPr>
                <w:sz w:val="14"/>
                <w:szCs w:val="18"/>
              </w:rPr>
            </w:pPr>
            <w:r>
              <w:rPr>
                <w:sz w:val="14"/>
              </w:rPr>
              <w:t>3,171,663</w:t>
            </w:r>
          </w:p>
        </w:tc>
        <w:tc>
          <w:tcPr>
            <w:tcW w:w="304" w:type="pct"/>
            <w:tcBorders>
              <w:top w:val="nil"/>
              <w:left w:val="nil"/>
              <w:bottom w:val="single" w:sz="8" w:space="0" w:color="auto"/>
              <w:right w:val="single" w:sz="8" w:space="0" w:color="auto"/>
            </w:tcBorders>
            <w:shd w:val="clear" w:color="auto" w:fill="auto"/>
            <w:noWrap/>
            <w:vAlign w:val="center"/>
            <w:hideMark/>
          </w:tcPr>
          <w:p w14:paraId="6E289959" w14:textId="77777777" w:rsidR="00DD13BF" w:rsidRPr="005C3041" w:rsidRDefault="00DD13BF" w:rsidP="00355A56">
            <w:pPr>
              <w:jc w:val="right"/>
              <w:rPr>
                <w:sz w:val="14"/>
                <w:szCs w:val="18"/>
              </w:rPr>
            </w:pPr>
            <w:r>
              <w:rPr>
                <w:sz w:val="14"/>
              </w:rPr>
              <w:t>15,269,501</w:t>
            </w:r>
          </w:p>
        </w:tc>
        <w:tc>
          <w:tcPr>
            <w:tcW w:w="342" w:type="pct"/>
            <w:tcBorders>
              <w:top w:val="nil"/>
              <w:left w:val="nil"/>
              <w:bottom w:val="single" w:sz="8" w:space="0" w:color="auto"/>
              <w:right w:val="single" w:sz="8" w:space="0" w:color="auto"/>
            </w:tcBorders>
            <w:shd w:val="clear" w:color="auto" w:fill="auto"/>
            <w:noWrap/>
            <w:vAlign w:val="center"/>
            <w:hideMark/>
          </w:tcPr>
          <w:p w14:paraId="268FEE4F" w14:textId="77777777" w:rsidR="00DD13BF" w:rsidRPr="005C3041" w:rsidRDefault="00DD13BF" w:rsidP="00355A56">
            <w:pPr>
              <w:jc w:val="right"/>
              <w:rPr>
                <w:sz w:val="14"/>
                <w:szCs w:val="18"/>
              </w:rPr>
            </w:pPr>
            <w:r>
              <w:rPr>
                <w:sz w:val="14"/>
              </w:rPr>
              <w:t>534,433</w:t>
            </w:r>
          </w:p>
        </w:tc>
        <w:tc>
          <w:tcPr>
            <w:tcW w:w="355" w:type="pct"/>
            <w:tcBorders>
              <w:top w:val="nil"/>
              <w:left w:val="nil"/>
              <w:bottom w:val="single" w:sz="8" w:space="0" w:color="auto"/>
              <w:right w:val="single" w:sz="8" w:space="0" w:color="auto"/>
            </w:tcBorders>
            <w:shd w:val="clear" w:color="auto" w:fill="auto"/>
            <w:noWrap/>
            <w:vAlign w:val="center"/>
            <w:hideMark/>
          </w:tcPr>
          <w:p w14:paraId="7AB613A7" w14:textId="77777777" w:rsidR="00DD13BF" w:rsidRPr="005C3041" w:rsidRDefault="00DD13BF" w:rsidP="00355A56">
            <w:pPr>
              <w:jc w:val="right"/>
              <w:rPr>
                <w:sz w:val="14"/>
                <w:szCs w:val="18"/>
              </w:rPr>
            </w:pPr>
            <w:r>
              <w:rPr>
                <w:sz w:val="14"/>
              </w:rPr>
              <w:t>19,340,220</w:t>
            </w:r>
          </w:p>
        </w:tc>
        <w:tc>
          <w:tcPr>
            <w:tcW w:w="355" w:type="pct"/>
            <w:tcBorders>
              <w:top w:val="nil"/>
              <w:left w:val="nil"/>
              <w:bottom w:val="single" w:sz="8" w:space="0" w:color="auto"/>
              <w:right w:val="single" w:sz="8" w:space="0" w:color="auto"/>
            </w:tcBorders>
            <w:shd w:val="clear" w:color="auto" w:fill="auto"/>
            <w:noWrap/>
            <w:vAlign w:val="center"/>
            <w:hideMark/>
          </w:tcPr>
          <w:p w14:paraId="361CEE65" w14:textId="77777777" w:rsidR="00DD13BF" w:rsidRPr="005C3041" w:rsidRDefault="00DD13BF" w:rsidP="00355A56">
            <w:pPr>
              <w:jc w:val="right"/>
              <w:rPr>
                <w:sz w:val="14"/>
                <w:szCs w:val="18"/>
              </w:rPr>
            </w:pPr>
            <w:r>
              <w:rPr>
                <w:sz w:val="14"/>
              </w:rPr>
              <w:t>19,340,220</w:t>
            </w:r>
          </w:p>
        </w:tc>
        <w:tc>
          <w:tcPr>
            <w:tcW w:w="321" w:type="pct"/>
            <w:tcBorders>
              <w:top w:val="nil"/>
              <w:left w:val="nil"/>
              <w:bottom w:val="single" w:sz="8" w:space="0" w:color="auto"/>
              <w:right w:val="single" w:sz="8" w:space="0" w:color="auto"/>
            </w:tcBorders>
            <w:shd w:val="clear" w:color="auto" w:fill="auto"/>
            <w:noWrap/>
            <w:vAlign w:val="center"/>
            <w:hideMark/>
          </w:tcPr>
          <w:p w14:paraId="0EF274EE"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067C98F2" w14:textId="77777777" w:rsidR="00DD13BF" w:rsidRPr="005C3041" w:rsidRDefault="00DD13BF" w:rsidP="00355A56">
            <w:pPr>
              <w:jc w:val="right"/>
              <w:rPr>
                <w:sz w:val="14"/>
                <w:szCs w:val="18"/>
              </w:rPr>
            </w:pPr>
            <w:r>
              <w:rPr>
                <w:sz w:val="14"/>
              </w:rPr>
              <w:t>128,934,797</w:t>
            </w:r>
          </w:p>
        </w:tc>
        <w:tc>
          <w:tcPr>
            <w:tcW w:w="336" w:type="pct"/>
            <w:tcBorders>
              <w:top w:val="nil"/>
              <w:left w:val="nil"/>
              <w:bottom w:val="single" w:sz="8" w:space="0" w:color="auto"/>
              <w:right w:val="single" w:sz="8" w:space="0" w:color="auto"/>
            </w:tcBorders>
            <w:shd w:val="clear" w:color="auto" w:fill="auto"/>
            <w:noWrap/>
            <w:vAlign w:val="center"/>
            <w:hideMark/>
          </w:tcPr>
          <w:p w14:paraId="75041E27" w14:textId="77777777" w:rsidR="00DD13BF" w:rsidRPr="005C3041" w:rsidRDefault="00DD13BF" w:rsidP="00355A56">
            <w:pPr>
              <w:jc w:val="right"/>
              <w:rPr>
                <w:sz w:val="14"/>
                <w:szCs w:val="18"/>
              </w:rPr>
            </w:pPr>
            <w:r>
              <w:rPr>
                <w:sz w:val="14"/>
              </w:rPr>
              <w:t>0.85</w:t>
            </w:r>
          </w:p>
        </w:tc>
      </w:tr>
      <w:tr w:rsidR="00DD13BF" w:rsidRPr="005C3041" w14:paraId="78746CA4" w14:textId="77777777" w:rsidTr="00355A56">
        <w:trPr>
          <w:trHeight w:val="390"/>
        </w:trPr>
        <w:tc>
          <w:tcPr>
            <w:tcW w:w="227" w:type="pct"/>
            <w:vMerge/>
            <w:tcBorders>
              <w:top w:val="single" w:sz="8" w:space="0" w:color="auto"/>
              <w:left w:val="single" w:sz="8" w:space="0" w:color="auto"/>
              <w:bottom w:val="single" w:sz="8" w:space="0" w:color="000000"/>
              <w:right w:val="single" w:sz="8" w:space="0" w:color="auto"/>
            </w:tcBorders>
            <w:vAlign w:val="center"/>
            <w:hideMark/>
          </w:tcPr>
          <w:p w14:paraId="0973738A"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14:paraId="2D2439EB" w14:textId="77777777" w:rsidR="00DD13BF" w:rsidRPr="005C3041" w:rsidRDefault="00DD13BF" w:rsidP="00355A56">
            <w:pPr>
              <w:rPr>
                <w:sz w:val="14"/>
                <w:szCs w:val="18"/>
              </w:rPr>
            </w:pPr>
          </w:p>
        </w:tc>
        <w:tc>
          <w:tcPr>
            <w:tcW w:w="262" w:type="pct"/>
            <w:tcBorders>
              <w:top w:val="nil"/>
              <w:left w:val="nil"/>
              <w:bottom w:val="single" w:sz="8" w:space="0" w:color="auto"/>
              <w:right w:val="single" w:sz="8" w:space="0" w:color="auto"/>
            </w:tcBorders>
            <w:shd w:val="clear" w:color="auto" w:fill="auto"/>
            <w:vAlign w:val="center"/>
            <w:hideMark/>
          </w:tcPr>
          <w:p w14:paraId="61CEBC78" w14:textId="77777777" w:rsidR="00DD13BF" w:rsidRPr="005C3041" w:rsidRDefault="00DD13BF" w:rsidP="00355A56">
            <w:pPr>
              <w:rPr>
                <w:sz w:val="14"/>
                <w:szCs w:val="18"/>
              </w:rPr>
            </w:pPr>
          </w:p>
        </w:tc>
        <w:tc>
          <w:tcPr>
            <w:tcW w:w="51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321281A" w14:textId="77777777" w:rsidR="00DD13BF" w:rsidRPr="005C3041" w:rsidRDefault="00DD13BF" w:rsidP="00355A56">
            <w:pPr>
              <w:rPr>
                <w:sz w:val="14"/>
                <w:szCs w:val="18"/>
              </w:rPr>
            </w:pPr>
            <w:r>
              <w:rPr>
                <w:sz w:val="14"/>
              </w:rPr>
              <w:t>Cohesion Fund</w:t>
            </w:r>
          </w:p>
        </w:tc>
        <w:tc>
          <w:tcPr>
            <w:tcW w:w="271" w:type="pct"/>
            <w:tcBorders>
              <w:top w:val="nil"/>
              <w:left w:val="nil"/>
              <w:bottom w:val="single" w:sz="8" w:space="0" w:color="auto"/>
              <w:right w:val="single" w:sz="8" w:space="0" w:color="auto"/>
            </w:tcBorders>
            <w:shd w:val="clear" w:color="auto" w:fill="auto"/>
            <w:vAlign w:val="center"/>
            <w:hideMark/>
          </w:tcPr>
          <w:p w14:paraId="3A0C457D" w14:textId="77777777" w:rsidR="00DD13BF" w:rsidRPr="005C3041" w:rsidRDefault="00DD13BF" w:rsidP="00355A56">
            <w:pPr>
              <w:rPr>
                <w:sz w:val="14"/>
                <w:szCs w:val="18"/>
              </w:rPr>
            </w:pPr>
            <w:r>
              <w:rPr>
                <w:sz w:val="14"/>
              </w:rPr>
              <w:t>N/A</w:t>
            </w:r>
          </w:p>
        </w:tc>
        <w:tc>
          <w:tcPr>
            <w:tcW w:w="397" w:type="pct"/>
            <w:tcBorders>
              <w:top w:val="nil"/>
              <w:left w:val="nil"/>
              <w:bottom w:val="single" w:sz="8" w:space="0" w:color="auto"/>
              <w:right w:val="single" w:sz="8" w:space="0" w:color="auto"/>
            </w:tcBorders>
            <w:shd w:val="clear" w:color="auto" w:fill="auto"/>
            <w:noWrap/>
            <w:vAlign w:val="center"/>
            <w:hideMark/>
          </w:tcPr>
          <w:p w14:paraId="03D2904D" w14:textId="77777777" w:rsidR="00DD13BF" w:rsidRPr="005C3041" w:rsidRDefault="00DD13BF" w:rsidP="00355A56">
            <w:pPr>
              <w:jc w:val="right"/>
              <w:rPr>
                <w:sz w:val="14"/>
                <w:szCs w:val="18"/>
              </w:rPr>
            </w:pPr>
            <w:r>
              <w:rPr>
                <w:sz w:val="14"/>
              </w:rPr>
              <w:t>415,271,246</w:t>
            </w:r>
          </w:p>
        </w:tc>
        <w:tc>
          <w:tcPr>
            <w:tcW w:w="342" w:type="pct"/>
            <w:tcBorders>
              <w:top w:val="nil"/>
              <w:left w:val="nil"/>
              <w:bottom w:val="single" w:sz="8" w:space="0" w:color="auto"/>
              <w:right w:val="single" w:sz="8" w:space="0" w:color="auto"/>
            </w:tcBorders>
            <w:shd w:val="clear" w:color="auto" w:fill="auto"/>
            <w:noWrap/>
            <w:vAlign w:val="center"/>
            <w:hideMark/>
          </w:tcPr>
          <w:p w14:paraId="3FF67CD1" w14:textId="77777777" w:rsidR="00DD13BF" w:rsidRPr="005C3041" w:rsidRDefault="00DD13BF" w:rsidP="00355A56">
            <w:pPr>
              <w:jc w:val="right"/>
              <w:rPr>
                <w:sz w:val="14"/>
                <w:szCs w:val="18"/>
              </w:rPr>
            </w:pPr>
            <w:r>
              <w:rPr>
                <w:sz w:val="14"/>
              </w:rPr>
              <w:t>344,372,417</w:t>
            </w:r>
          </w:p>
        </w:tc>
        <w:tc>
          <w:tcPr>
            <w:tcW w:w="350" w:type="pct"/>
            <w:tcBorders>
              <w:top w:val="nil"/>
              <w:left w:val="nil"/>
              <w:bottom w:val="single" w:sz="8" w:space="0" w:color="auto"/>
              <w:right w:val="single" w:sz="8" w:space="0" w:color="auto"/>
            </w:tcBorders>
            <w:shd w:val="clear" w:color="auto" w:fill="auto"/>
            <w:noWrap/>
            <w:vAlign w:val="center"/>
            <w:hideMark/>
          </w:tcPr>
          <w:p w14:paraId="6E1F2328" w14:textId="77777777" w:rsidR="00DD13BF" w:rsidRPr="005C3041" w:rsidRDefault="00DD13BF" w:rsidP="00355A56">
            <w:pPr>
              <w:jc w:val="right"/>
              <w:rPr>
                <w:sz w:val="14"/>
                <w:szCs w:val="18"/>
              </w:rPr>
            </w:pPr>
            <w:r>
              <w:rPr>
                <w:sz w:val="14"/>
              </w:rPr>
              <w:t>8,609,309</w:t>
            </w:r>
          </w:p>
        </w:tc>
        <w:tc>
          <w:tcPr>
            <w:tcW w:w="304" w:type="pct"/>
            <w:tcBorders>
              <w:top w:val="nil"/>
              <w:left w:val="nil"/>
              <w:bottom w:val="single" w:sz="8" w:space="0" w:color="auto"/>
              <w:right w:val="single" w:sz="8" w:space="0" w:color="auto"/>
            </w:tcBorders>
            <w:shd w:val="clear" w:color="auto" w:fill="auto"/>
            <w:noWrap/>
            <w:vAlign w:val="center"/>
            <w:hideMark/>
          </w:tcPr>
          <w:p w14:paraId="3B94AF71" w14:textId="77777777" w:rsidR="00DD13BF" w:rsidRPr="005C3041" w:rsidRDefault="00DD13BF" w:rsidP="00355A56">
            <w:pPr>
              <w:jc w:val="right"/>
              <w:rPr>
                <w:sz w:val="14"/>
                <w:szCs w:val="18"/>
              </w:rPr>
            </w:pPr>
            <w:r>
              <w:rPr>
                <w:sz w:val="14"/>
              </w:rPr>
              <w:t>60,770,263</w:t>
            </w:r>
          </w:p>
        </w:tc>
        <w:tc>
          <w:tcPr>
            <w:tcW w:w="342" w:type="pct"/>
            <w:tcBorders>
              <w:top w:val="nil"/>
              <w:left w:val="nil"/>
              <w:bottom w:val="single" w:sz="8" w:space="0" w:color="auto"/>
              <w:right w:val="single" w:sz="8" w:space="0" w:color="auto"/>
            </w:tcBorders>
            <w:shd w:val="clear" w:color="auto" w:fill="auto"/>
            <w:noWrap/>
            <w:vAlign w:val="center"/>
            <w:hideMark/>
          </w:tcPr>
          <w:p w14:paraId="521B49E8" w14:textId="77777777" w:rsidR="00DD13BF" w:rsidRPr="005C3041" w:rsidRDefault="00DD13BF" w:rsidP="00355A56">
            <w:pPr>
              <w:jc w:val="right"/>
              <w:rPr>
                <w:sz w:val="14"/>
                <w:szCs w:val="18"/>
              </w:rPr>
            </w:pPr>
            <w:r>
              <w:rPr>
                <w:sz w:val="14"/>
              </w:rPr>
              <w:t>1,519,257</w:t>
            </w:r>
          </w:p>
        </w:tc>
        <w:tc>
          <w:tcPr>
            <w:tcW w:w="355" w:type="pct"/>
            <w:tcBorders>
              <w:top w:val="nil"/>
              <w:left w:val="nil"/>
              <w:bottom w:val="single" w:sz="8" w:space="0" w:color="auto"/>
              <w:right w:val="single" w:sz="8" w:space="0" w:color="auto"/>
            </w:tcBorders>
            <w:shd w:val="clear" w:color="auto" w:fill="auto"/>
            <w:noWrap/>
            <w:vAlign w:val="center"/>
            <w:hideMark/>
          </w:tcPr>
          <w:p w14:paraId="7BEF2A89" w14:textId="77777777" w:rsidR="00DD13BF" w:rsidRPr="005C3041" w:rsidRDefault="00DD13BF" w:rsidP="00355A56">
            <w:pPr>
              <w:jc w:val="right"/>
              <w:rPr>
                <w:sz w:val="14"/>
                <w:szCs w:val="18"/>
              </w:rPr>
            </w:pPr>
            <w:r>
              <w:rPr>
                <w:sz w:val="14"/>
              </w:rPr>
              <w:t>73,283,162</w:t>
            </w:r>
          </w:p>
        </w:tc>
        <w:tc>
          <w:tcPr>
            <w:tcW w:w="355" w:type="pct"/>
            <w:tcBorders>
              <w:top w:val="nil"/>
              <w:left w:val="nil"/>
              <w:bottom w:val="single" w:sz="8" w:space="0" w:color="auto"/>
              <w:right w:val="single" w:sz="8" w:space="0" w:color="auto"/>
            </w:tcBorders>
            <w:shd w:val="clear" w:color="auto" w:fill="auto"/>
            <w:noWrap/>
            <w:vAlign w:val="center"/>
            <w:hideMark/>
          </w:tcPr>
          <w:p w14:paraId="213FC122" w14:textId="77777777" w:rsidR="00DD13BF" w:rsidRPr="005C3041" w:rsidRDefault="00DD13BF" w:rsidP="00355A56">
            <w:pPr>
              <w:jc w:val="right"/>
              <w:rPr>
                <w:sz w:val="14"/>
                <w:szCs w:val="18"/>
              </w:rPr>
            </w:pPr>
            <w:r>
              <w:rPr>
                <w:sz w:val="14"/>
              </w:rPr>
              <w:t>73,283,162</w:t>
            </w:r>
          </w:p>
        </w:tc>
        <w:tc>
          <w:tcPr>
            <w:tcW w:w="321" w:type="pct"/>
            <w:tcBorders>
              <w:top w:val="nil"/>
              <w:left w:val="nil"/>
              <w:bottom w:val="single" w:sz="8" w:space="0" w:color="auto"/>
              <w:right w:val="single" w:sz="8" w:space="0" w:color="auto"/>
            </w:tcBorders>
            <w:shd w:val="clear" w:color="auto" w:fill="auto"/>
            <w:noWrap/>
            <w:vAlign w:val="center"/>
            <w:hideMark/>
          </w:tcPr>
          <w:p w14:paraId="25E0F677"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425C0726" w14:textId="77777777" w:rsidR="00DD13BF" w:rsidRPr="005C3041" w:rsidRDefault="00DD13BF" w:rsidP="00355A56">
            <w:pPr>
              <w:jc w:val="right"/>
              <w:rPr>
                <w:sz w:val="14"/>
                <w:szCs w:val="18"/>
              </w:rPr>
            </w:pPr>
            <w:r>
              <w:rPr>
                <w:sz w:val="14"/>
              </w:rPr>
              <w:t>488,554,408</w:t>
            </w:r>
          </w:p>
        </w:tc>
        <w:tc>
          <w:tcPr>
            <w:tcW w:w="336" w:type="pct"/>
            <w:tcBorders>
              <w:top w:val="nil"/>
              <w:left w:val="nil"/>
              <w:bottom w:val="single" w:sz="8" w:space="0" w:color="auto"/>
              <w:right w:val="single" w:sz="8" w:space="0" w:color="auto"/>
            </w:tcBorders>
            <w:shd w:val="clear" w:color="auto" w:fill="auto"/>
            <w:noWrap/>
            <w:vAlign w:val="center"/>
            <w:hideMark/>
          </w:tcPr>
          <w:p w14:paraId="5F8B276D" w14:textId="77777777" w:rsidR="00DD13BF" w:rsidRPr="005C3041" w:rsidRDefault="00DD13BF" w:rsidP="00355A56">
            <w:pPr>
              <w:jc w:val="right"/>
              <w:rPr>
                <w:sz w:val="14"/>
                <w:szCs w:val="18"/>
              </w:rPr>
            </w:pPr>
            <w:r>
              <w:rPr>
                <w:sz w:val="14"/>
              </w:rPr>
              <w:t>0.85</w:t>
            </w:r>
          </w:p>
        </w:tc>
      </w:tr>
      <w:tr w:rsidR="00DD13BF" w:rsidRPr="005C3041" w14:paraId="0FA9D9C1" w14:textId="77777777" w:rsidTr="00355A56">
        <w:trPr>
          <w:trHeight w:val="113"/>
        </w:trPr>
        <w:tc>
          <w:tcPr>
            <w:tcW w:w="227" w:type="pct"/>
            <w:vMerge w:val="restart"/>
            <w:tcBorders>
              <w:top w:val="nil"/>
              <w:left w:val="single" w:sz="8" w:space="0" w:color="auto"/>
              <w:bottom w:val="nil"/>
              <w:right w:val="single" w:sz="8" w:space="0" w:color="auto"/>
            </w:tcBorders>
            <w:shd w:val="clear" w:color="auto" w:fill="auto"/>
            <w:vAlign w:val="center"/>
            <w:hideMark/>
          </w:tcPr>
          <w:p w14:paraId="2578CCEF" w14:textId="77777777" w:rsidR="00DD13BF" w:rsidRPr="005C3041" w:rsidRDefault="00DD13BF" w:rsidP="00355A56">
            <w:pPr>
              <w:rPr>
                <w:sz w:val="14"/>
                <w:szCs w:val="18"/>
              </w:rPr>
            </w:pPr>
            <w:r>
              <w:rPr>
                <w:sz w:val="14"/>
              </w:rPr>
              <w:t>PO 4</w:t>
            </w:r>
          </w:p>
        </w:tc>
        <w:tc>
          <w:tcPr>
            <w:tcW w:w="284" w:type="pct"/>
            <w:vMerge w:val="restart"/>
            <w:tcBorders>
              <w:top w:val="nil"/>
              <w:left w:val="single" w:sz="8" w:space="0" w:color="auto"/>
              <w:bottom w:val="nil"/>
              <w:right w:val="single" w:sz="8" w:space="0" w:color="auto"/>
            </w:tcBorders>
            <w:shd w:val="clear" w:color="auto" w:fill="auto"/>
            <w:vAlign w:val="center"/>
            <w:hideMark/>
          </w:tcPr>
          <w:p w14:paraId="265AC252" w14:textId="77777777" w:rsidR="00DD13BF" w:rsidRPr="005C3041" w:rsidRDefault="00DD13BF" w:rsidP="00355A56">
            <w:pPr>
              <w:rPr>
                <w:sz w:val="14"/>
                <w:szCs w:val="18"/>
              </w:rPr>
            </w:pPr>
            <w:r>
              <w:rPr>
                <w:sz w:val="14"/>
              </w:rPr>
              <w:t>Priority 6</w:t>
            </w:r>
          </w:p>
        </w:tc>
        <w:tc>
          <w:tcPr>
            <w:tcW w:w="262" w:type="pct"/>
            <w:vMerge w:val="restart"/>
            <w:tcBorders>
              <w:top w:val="nil"/>
              <w:left w:val="single" w:sz="8" w:space="0" w:color="auto"/>
              <w:bottom w:val="nil"/>
              <w:right w:val="single" w:sz="8" w:space="0" w:color="auto"/>
            </w:tcBorders>
            <w:shd w:val="clear" w:color="auto" w:fill="auto"/>
            <w:vAlign w:val="center"/>
            <w:hideMark/>
          </w:tcPr>
          <w:p w14:paraId="02DD80EF"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06A80CB2"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77FBC129"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102E3115"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571DAC3F" w14:textId="77777777" w:rsidR="00DD13BF" w:rsidRPr="005C3041" w:rsidRDefault="00DD13BF" w:rsidP="00355A56">
            <w:pPr>
              <w:jc w:val="right"/>
              <w:rPr>
                <w:sz w:val="14"/>
                <w:szCs w:val="18"/>
              </w:rPr>
            </w:pPr>
            <w:r>
              <w:rPr>
                <w:sz w:val="14"/>
              </w:rPr>
              <w:t> 0</w:t>
            </w:r>
          </w:p>
        </w:tc>
        <w:tc>
          <w:tcPr>
            <w:tcW w:w="350" w:type="pct"/>
            <w:tcBorders>
              <w:top w:val="nil"/>
              <w:left w:val="nil"/>
              <w:bottom w:val="single" w:sz="8" w:space="0" w:color="auto"/>
              <w:right w:val="single" w:sz="8" w:space="0" w:color="auto"/>
            </w:tcBorders>
            <w:shd w:val="clear" w:color="auto" w:fill="auto"/>
            <w:noWrap/>
            <w:vAlign w:val="center"/>
            <w:hideMark/>
          </w:tcPr>
          <w:p w14:paraId="2865E0E1" w14:textId="77777777" w:rsidR="00DD13BF" w:rsidRPr="005C3041" w:rsidRDefault="00DD13BF" w:rsidP="00355A56">
            <w:pPr>
              <w:jc w:val="right"/>
              <w:rPr>
                <w:sz w:val="14"/>
                <w:szCs w:val="18"/>
              </w:rPr>
            </w:pPr>
            <w:r>
              <w:rPr>
                <w:sz w:val="14"/>
              </w:rPr>
              <w:t> 0</w:t>
            </w:r>
          </w:p>
        </w:tc>
        <w:tc>
          <w:tcPr>
            <w:tcW w:w="304" w:type="pct"/>
            <w:tcBorders>
              <w:top w:val="nil"/>
              <w:left w:val="nil"/>
              <w:bottom w:val="single" w:sz="8" w:space="0" w:color="auto"/>
              <w:right w:val="single" w:sz="8" w:space="0" w:color="auto"/>
            </w:tcBorders>
            <w:shd w:val="clear" w:color="auto" w:fill="auto"/>
            <w:noWrap/>
            <w:vAlign w:val="center"/>
            <w:hideMark/>
          </w:tcPr>
          <w:p w14:paraId="6770D21B"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E3942C0"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25C2C400"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3BE5FE68" w14:textId="77777777" w:rsidR="00DD13BF" w:rsidRPr="005C3041" w:rsidRDefault="00DD13BF" w:rsidP="00355A56">
            <w:pPr>
              <w:jc w:val="right"/>
              <w:rPr>
                <w:sz w:val="14"/>
                <w:szCs w:val="18"/>
              </w:rPr>
            </w:pPr>
            <w:r>
              <w:rPr>
                <w:sz w:val="14"/>
              </w:rPr>
              <w:t> 0</w:t>
            </w:r>
          </w:p>
        </w:tc>
        <w:tc>
          <w:tcPr>
            <w:tcW w:w="321" w:type="pct"/>
            <w:tcBorders>
              <w:top w:val="nil"/>
              <w:left w:val="nil"/>
              <w:bottom w:val="single" w:sz="8" w:space="0" w:color="auto"/>
              <w:right w:val="single" w:sz="8" w:space="0" w:color="auto"/>
            </w:tcBorders>
            <w:shd w:val="clear" w:color="auto" w:fill="auto"/>
            <w:noWrap/>
            <w:vAlign w:val="center"/>
            <w:hideMark/>
          </w:tcPr>
          <w:p w14:paraId="015D9D6C"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7F6CF034" w14:textId="77777777" w:rsidR="00DD13BF" w:rsidRPr="005C3041" w:rsidRDefault="00DD13BF" w:rsidP="00355A56">
            <w:pPr>
              <w:jc w:val="right"/>
              <w:rPr>
                <w:sz w:val="14"/>
                <w:szCs w:val="18"/>
              </w:rPr>
            </w:pPr>
            <w:r>
              <w:rPr>
                <w:sz w:val="14"/>
              </w:rPr>
              <w:t> 0</w:t>
            </w:r>
          </w:p>
        </w:tc>
        <w:tc>
          <w:tcPr>
            <w:tcW w:w="336" w:type="pct"/>
            <w:tcBorders>
              <w:top w:val="nil"/>
              <w:left w:val="nil"/>
              <w:bottom w:val="single" w:sz="8" w:space="0" w:color="auto"/>
              <w:right w:val="single" w:sz="8" w:space="0" w:color="auto"/>
            </w:tcBorders>
            <w:shd w:val="clear" w:color="auto" w:fill="auto"/>
            <w:noWrap/>
            <w:vAlign w:val="center"/>
            <w:hideMark/>
          </w:tcPr>
          <w:p w14:paraId="1147EF09" w14:textId="77777777" w:rsidR="00DD13BF" w:rsidRPr="005C3041" w:rsidRDefault="00DD13BF" w:rsidP="00355A56">
            <w:pPr>
              <w:rPr>
                <w:sz w:val="14"/>
                <w:szCs w:val="18"/>
              </w:rPr>
            </w:pPr>
            <w:r>
              <w:rPr>
                <w:sz w:val="14"/>
              </w:rPr>
              <w:t> </w:t>
            </w:r>
          </w:p>
        </w:tc>
      </w:tr>
      <w:tr w:rsidR="00DD13BF" w:rsidRPr="005C3041" w14:paraId="7B431E4A" w14:textId="77777777" w:rsidTr="00355A56">
        <w:trPr>
          <w:trHeight w:val="117"/>
        </w:trPr>
        <w:tc>
          <w:tcPr>
            <w:tcW w:w="227" w:type="pct"/>
            <w:vMerge/>
            <w:tcBorders>
              <w:top w:val="nil"/>
              <w:left w:val="single" w:sz="8" w:space="0" w:color="auto"/>
              <w:bottom w:val="nil"/>
              <w:right w:val="single" w:sz="8" w:space="0" w:color="auto"/>
            </w:tcBorders>
            <w:vAlign w:val="center"/>
            <w:hideMark/>
          </w:tcPr>
          <w:p w14:paraId="02137E69" w14:textId="77777777" w:rsidR="00DD13BF" w:rsidRPr="005C3041" w:rsidRDefault="00DD13BF" w:rsidP="00355A56">
            <w:pPr>
              <w:rPr>
                <w:sz w:val="14"/>
                <w:szCs w:val="18"/>
              </w:rPr>
            </w:pPr>
          </w:p>
        </w:tc>
        <w:tc>
          <w:tcPr>
            <w:tcW w:w="284" w:type="pct"/>
            <w:vMerge/>
            <w:tcBorders>
              <w:top w:val="nil"/>
              <w:left w:val="single" w:sz="8" w:space="0" w:color="auto"/>
              <w:bottom w:val="nil"/>
              <w:right w:val="single" w:sz="8" w:space="0" w:color="auto"/>
            </w:tcBorders>
            <w:vAlign w:val="center"/>
            <w:hideMark/>
          </w:tcPr>
          <w:p w14:paraId="40E52596" w14:textId="77777777" w:rsidR="00DD13BF" w:rsidRPr="005C3041" w:rsidRDefault="00DD13BF" w:rsidP="00355A56">
            <w:pPr>
              <w:rPr>
                <w:sz w:val="14"/>
                <w:szCs w:val="18"/>
              </w:rPr>
            </w:pPr>
          </w:p>
        </w:tc>
        <w:tc>
          <w:tcPr>
            <w:tcW w:w="262" w:type="pct"/>
            <w:vMerge/>
            <w:tcBorders>
              <w:top w:val="nil"/>
              <w:left w:val="single" w:sz="8" w:space="0" w:color="auto"/>
              <w:bottom w:val="nil"/>
              <w:right w:val="single" w:sz="8" w:space="0" w:color="auto"/>
            </w:tcBorders>
            <w:vAlign w:val="center"/>
            <w:hideMark/>
          </w:tcPr>
          <w:p w14:paraId="31DFC21D"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70269C1D"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143FEC9D"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7365020C" w14:textId="77777777" w:rsidR="00DD13BF" w:rsidRPr="005C3041" w:rsidRDefault="00DD13BF" w:rsidP="00355A56">
            <w:pPr>
              <w:jc w:val="right"/>
              <w:rPr>
                <w:sz w:val="14"/>
                <w:szCs w:val="18"/>
              </w:rPr>
            </w:pPr>
            <w:r>
              <w:rPr>
                <w:sz w:val="14"/>
              </w:rPr>
              <w:t>33,948,063</w:t>
            </w:r>
          </w:p>
        </w:tc>
        <w:tc>
          <w:tcPr>
            <w:tcW w:w="342" w:type="pct"/>
            <w:tcBorders>
              <w:top w:val="nil"/>
              <w:left w:val="nil"/>
              <w:bottom w:val="single" w:sz="8" w:space="0" w:color="auto"/>
              <w:right w:val="single" w:sz="8" w:space="0" w:color="auto"/>
            </w:tcBorders>
            <w:shd w:val="clear" w:color="auto" w:fill="auto"/>
            <w:noWrap/>
            <w:vAlign w:val="center"/>
            <w:hideMark/>
          </w:tcPr>
          <w:p w14:paraId="050C7D59" w14:textId="77777777" w:rsidR="00DD13BF" w:rsidRPr="005C3041" w:rsidRDefault="00DD13BF" w:rsidP="00355A56">
            <w:pPr>
              <w:jc w:val="right"/>
              <w:rPr>
                <w:sz w:val="14"/>
                <w:szCs w:val="18"/>
              </w:rPr>
            </w:pPr>
            <w:r>
              <w:rPr>
                <w:sz w:val="14"/>
              </w:rPr>
              <w:t>28,070,174</w:t>
            </w:r>
          </w:p>
        </w:tc>
        <w:tc>
          <w:tcPr>
            <w:tcW w:w="350" w:type="pct"/>
            <w:tcBorders>
              <w:top w:val="nil"/>
              <w:left w:val="nil"/>
              <w:bottom w:val="single" w:sz="8" w:space="0" w:color="auto"/>
              <w:right w:val="single" w:sz="8" w:space="0" w:color="auto"/>
            </w:tcBorders>
            <w:shd w:val="clear" w:color="auto" w:fill="auto"/>
            <w:noWrap/>
            <w:vAlign w:val="center"/>
            <w:hideMark/>
          </w:tcPr>
          <w:p w14:paraId="4B3183E4" w14:textId="77777777" w:rsidR="00DD13BF" w:rsidRPr="005C3041" w:rsidRDefault="00DD13BF" w:rsidP="00355A56">
            <w:pPr>
              <w:jc w:val="right"/>
              <w:rPr>
                <w:sz w:val="14"/>
                <w:szCs w:val="18"/>
              </w:rPr>
            </w:pPr>
            <w:r>
              <w:rPr>
                <w:sz w:val="14"/>
              </w:rPr>
              <w:t>982,456</w:t>
            </w:r>
          </w:p>
        </w:tc>
        <w:tc>
          <w:tcPr>
            <w:tcW w:w="304" w:type="pct"/>
            <w:tcBorders>
              <w:top w:val="nil"/>
              <w:left w:val="nil"/>
              <w:bottom w:val="single" w:sz="8" w:space="0" w:color="auto"/>
              <w:right w:val="single" w:sz="8" w:space="0" w:color="auto"/>
            </w:tcBorders>
            <w:shd w:val="clear" w:color="auto" w:fill="auto"/>
            <w:noWrap/>
            <w:vAlign w:val="center"/>
            <w:hideMark/>
          </w:tcPr>
          <w:p w14:paraId="459DA362" w14:textId="77777777" w:rsidR="00DD13BF" w:rsidRPr="005C3041" w:rsidRDefault="00DD13BF" w:rsidP="00355A56">
            <w:pPr>
              <w:jc w:val="right"/>
              <w:rPr>
                <w:sz w:val="14"/>
                <w:szCs w:val="18"/>
              </w:rPr>
            </w:pPr>
            <w:r>
              <w:rPr>
                <w:sz w:val="14"/>
              </w:rPr>
              <w:t>4,729,887</w:t>
            </w:r>
          </w:p>
        </w:tc>
        <w:tc>
          <w:tcPr>
            <w:tcW w:w="342" w:type="pct"/>
            <w:tcBorders>
              <w:top w:val="nil"/>
              <w:left w:val="nil"/>
              <w:bottom w:val="single" w:sz="8" w:space="0" w:color="auto"/>
              <w:right w:val="single" w:sz="8" w:space="0" w:color="auto"/>
            </w:tcBorders>
            <w:shd w:val="clear" w:color="auto" w:fill="auto"/>
            <w:noWrap/>
            <w:vAlign w:val="center"/>
            <w:hideMark/>
          </w:tcPr>
          <w:p w14:paraId="4B91D379" w14:textId="77777777" w:rsidR="00DD13BF" w:rsidRPr="005C3041" w:rsidRDefault="00DD13BF" w:rsidP="00355A56">
            <w:pPr>
              <w:jc w:val="right"/>
              <w:rPr>
                <w:sz w:val="14"/>
                <w:szCs w:val="18"/>
              </w:rPr>
            </w:pPr>
            <w:r>
              <w:rPr>
                <w:sz w:val="14"/>
              </w:rPr>
              <w:t>165,546</w:t>
            </w:r>
          </w:p>
        </w:tc>
        <w:tc>
          <w:tcPr>
            <w:tcW w:w="355" w:type="pct"/>
            <w:tcBorders>
              <w:top w:val="nil"/>
              <w:left w:val="nil"/>
              <w:bottom w:val="single" w:sz="8" w:space="0" w:color="auto"/>
              <w:right w:val="single" w:sz="8" w:space="0" w:color="auto"/>
            </w:tcBorders>
            <w:shd w:val="clear" w:color="auto" w:fill="auto"/>
            <w:noWrap/>
            <w:vAlign w:val="center"/>
            <w:hideMark/>
          </w:tcPr>
          <w:p w14:paraId="346A9FE0" w14:textId="77777777" w:rsidR="00DD13BF" w:rsidRPr="005C3041" w:rsidRDefault="00DD13BF" w:rsidP="00355A56">
            <w:pPr>
              <w:jc w:val="right"/>
              <w:rPr>
                <w:sz w:val="14"/>
                <w:szCs w:val="18"/>
              </w:rPr>
            </w:pPr>
            <w:r>
              <w:rPr>
                <w:sz w:val="14"/>
              </w:rPr>
              <w:t>5,990,835</w:t>
            </w:r>
          </w:p>
        </w:tc>
        <w:tc>
          <w:tcPr>
            <w:tcW w:w="355" w:type="pct"/>
            <w:tcBorders>
              <w:top w:val="nil"/>
              <w:left w:val="nil"/>
              <w:bottom w:val="single" w:sz="8" w:space="0" w:color="auto"/>
              <w:right w:val="single" w:sz="8" w:space="0" w:color="auto"/>
            </w:tcBorders>
            <w:shd w:val="clear" w:color="auto" w:fill="auto"/>
            <w:noWrap/>
            <w:vAlign w:val="center"/>
            <w:hideMark/>
          </w:tcPr>
          <w:p w14:paraId="798422D2" w14:textId="77777777" w:rsidR="00DD13BF" w:rsidRPr="005C3041" w:rsidRDefault="00DD13BF" w:rsidP="00355A56">
            <w:pPr>
              <w:jc w:val="right"/>
              <w:rPr>
                <w:sz w:val="14"/>
                <w:szCs w:val="18"/>
              </w:rPr>
            </w:pPr>
            <w:r>
              <w:rPr>
                <w:sz w:val="14"/>
              </w:rPr>
              <w:t>5,990,835</w:t>
            </w:r>
          </w:p>
        </w:tc>
        <w:tc>
          <w:tcPr>
            <w:tcW w:w="321" w:type="pct"/>
            <w:tcBorders>
              <w:top w:val="nil"/>
              <w:left w:val="nil"/>
              <w:bottom w:val="single" w:sz="8" w:space="0" w:color="auto"/>
              <w:right w:val="single" w:sz="8" w:space="0" w:color="auto"/>
            </w:tcBorders>
            <w:shd w:val="clear" w:color="auto" w:fill="auto"/>
            <w:noWrap/>
            <w:vAlign w:val="center"/>
            <w:hideMark/>
          </w:tcPr>
          <w:p w14:paraId="5D38D94F"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8F591D3" w14:textId="77777777" w:rsidR="00DD13BF" w:rsidRPr="005C3041" w:rsidRDefault="00DD13BF" w:rsidP="00355A56">
            <w:pPr>
              <w:jc w:val="right"/>
              <w:rPr>
                <w:sz w:val="14"/>
                <w:szCs w:val="18"/>
              </w:rPr>
            </w:pPr>
            <w:r>
              <w:rPr>
                <w:sz w:val="14"/>
              </w:rPr>
              <w:t>39,938,898</w:t>
            </w:r>
          </w:p>
        </w:tc>
        <w:tc>
          <w:tcPr>
            <w:tcW w:w="336" w:type="pct"/>
            <w:tcBorders>
              <w:top w:val="nil"/>
              <w:left w:val="nil"/>
              <w:bottom w:val="single" w:sz="8" w:space="0" w:color="auto"/>
              <w:right w:val="single" w:sz="8" w:space="0" w:color="auto"/>
            </w:tcBorders>
            <w:shd w:val="clear" w:color="auto" w:fill="auto"/>
            <w:noWrap/>
            <w:vAlign w:val="center"/>
            <w:hideMark/>
          </w:tcPr>
          <w:p w14:paraId="2FE83B99" w14:textId="77777777" w:rsidR="00DD13BF" w:rsidRPr="005C3041" w:rsidRDefault="00DD13BF" w:rsidP="00355A56">
            <w:pPr>
              <w:jc w:val="right"/>
              <w:rPr>
                <w:sz w:val="14"/>
                <w:szCs w:val="18"/>
              </w:rPr>
            </w:pPr>
            <w:r>
              <w:rPr>
                <w:sz w:val="14"/>
              </w:rPr>
              <w:t>0.85</w:t>
            </w:r>
          </w:p>
        </w:tc>
      </w:tr>
      <w:tr w:rsidR="00DD13BF" w:rsidRPr="005C3041" w14:paraId="25CD2B67" w14:textId="77777777" w:rsidTr="00355A56">
        <w:trPr>
          <w:trHeight w:val="43"/>
        </w:trPr>
        <w:tc>
          <w:tcPr>
            <w:tcW w:w="227" w:type="pct"/>
            <w:vMerge/>
            <w:tcBorders>
              <w:top w:val="nil"/>
              <w:left w:val="single" w:sz="8" w:space="0" w:color="auto"/>
              <w:bottom w:val="nil"/>
              <w:right w:val="single" w:sz="8" w:space="0" w:color="auto"/>
            </w:tcBorders>
            <w:vAlign w:val="center"/>
            <w:hideMark/>
          </w:tcPr>
          <w:p w14:paraId="58EE088C" w14:textId="77777777" w:rsidR="00DD13BF" w:rsidRPr="005C3041" w:rsidRDefault="00DD13BF" w:rsidP="00355A56">
            <w:pPr>
              <w:rPr>
                <w:sz w:val="14"/>
                <w:szCs w:val="18"/>
              </w:rPr>
            </w:pPr>
          </w:p>
        </w:tc>
        <w:tc>
          <w:tcPr>
            <w:tcW w:w="284" w:type="pct"/>
            <w:vMerge/>
            <w:tcBorders>
              <w:top w:val="nil"/>
              <w:left w:val="single" w:sz="8" w:space="0" w:color="auto"/>
              <w:bottom w:val="nil"/>
              <w:right w:val="single" w:sz="8" w:space="0" w:color="auto"/>
            </w:tcBorders>
            <w:vAlign w:val="center"/>
            <w:hideMark/>
          </w:tcPr>
          <w:p w14:paraId="3ECAD2E1" w14:textId="77777777" w:rsidR="00DD13BF" w:rsidRPr="005C3041" w:rsidRDefault="00DD13BF" w:rsidP="00355A56">
            <w:pPr>
              <w:rPr>
                <w:sz w:val="14"/>
                <w:szCs w:val="18"/>
              </w:rPr>
            </w:pP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0608CA6C"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1A4A4C0E" w14:textId="77777777" w:rsidR="00DD13BF" w:rsidRPr="005C3041" w:rsidRDefault="00DD13BF" w:rsidP="00355A56">
            <w:pPr>
              <w:rPr>
                <w:sz w:val="14"/>
                <w:szCs w:val="18"/>
              </w:rPr>
            </w:pPr>
            <w:r>
              <w:rPr>
                <w:sz w:val="14"/>
              </w:rPr>
              <w:t>ESF</w:t>
            </w:r>
          </w:p>
        </w:tc>
        <w:tc>
          <w:tcPr>
            <w:tcW w:w="271" w:type="pct"/>
            <w:tcBorders>
              <w:top w:val="nil"/>
              <w:left w:val="nil"/>
              <w:bottom w:val="single" w:sz="8" w:space="0" w:color="auto"/>
              <w:right w:val="single" w:sz="8" w:space="0" w:color="auto"/>
            </w:tcBorders>
            <w:shd w:val="clear" w:color="auto" w:fill="auto"/>
            <w:vAlign w:val="center"/>
            <w:hideMark/>
          </w:tcPr>
          <w:p w14:paraId="2F547F1E"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579D670E" w14:textId="77777777" w:rsidR="00DD13BF" w:rsidRPr="005C3041" w:rsidRDefault="00DD13BF" w:rsidP="00355A56">
            <w:pPr>
              <w:jc w:val="right"/>
              <w:rPr>
                <w:sz w:val="14"/>
                <w:szCs w:val="18"/>
              </w:rPr>
            </w:pPr>
            <w:r>
              <w:rPr>
                <w:sz w:val="14"/>
              </w:rPr>
              <w:t>93,655,414</w:t>
            </w:r>
          </w:p>
        </w:tc>
        <w:tc>
          <w:tcPr>
            <w:tcW w:w="342" w:type="pct"/>
            <w:tcBorders>
              <w:top w:val="nil"/>
              <w:left w:val="nil"/>
              <w:bottom w:val="single" w:sz="8" w:space="0" w:color="auto"/>
              <w:right w:val="single" w:sz="8" w:space="0" w:color="auto"/>
            </w:tcBorders>
            <w:shd w:val="clear" w:color="auto" w:fill="auto"/>
            <w:noWrap/>
            <w:vAlign w:val="center"/>
            <w:hideMark/>
          </w:tcPr>
          <w:p w14:paraId="4C877707" w14:textId="77777777" w:rsidR="00DD13BF" w:rsidRPr="005C3041" w:rsidRDefault="00DD13BF" w:rsidP="00355A56">
            <w:pPr>
              <w:jc w:val="right"/>
              <w:rPr>
                <w:sz w:val="14"/>
                <w:szCs w:val="18"/>
              </w:rPr>
            </w:pPr>
            <w:r>
              <w:rPr>
                <w:sz w:val="14"/>
              </w:rPr>
              <w:t>75,309,335</w:t>
            </w:r>
          </w:p>
        </w:tc>
        <w:tc>
          <w:tcPr>
            <w:tcW w:w="350" w:type="pct"/>
            <w:tcBorders>
              <w:top w:val="nil"/>
              <w:left w:val="nil"/>
              <w:bottom w:val="single" w:sz="8" w:space="0" w:color="auto"/>
              <w:right w:val="single" w:sz="8" w:space="0" w:color="auto"/>
            </w:tcBorders>
            <w:shd w:val="clear" w:color="auto" w:fill="auto"/>
            <w:noWrap/>
            <w:vAlign w:val="center"/>
            <w:hideMark/>
          </w:tcPr>
          <w:p w14:paraId="03EE1373" w14:textId="77777777" w:rsidR="00DD13BF" w:rsidRPr="005C3041" w:rsidRDefault="00DD13BF" w:rsidP="00355A56">
            <w:pPr>
              <w:jc w:val="right"/>
              <w:rPr>
                <w:sz w:val="14"/>
                <w:szCs w:val="18"/>
              </w:rPr>
            </w:pPr>
            <w:r>
              <w:rPr>
                <w:sz w:val="14"/>
              </w:rPr>
              <w:t>3,012,373</w:t>
            </w:r>
          </w:p>
        </w:tc>
        <w:tc>
          <w:tcPr>
            <w:tcW w:w="304" w:type="pct"/>
            <w:tcBorders>
              <w:top w:val="nil"/>
              <w:left w:val="nil"/>
              <w:bottom w:val="single" w:sz="8" w:space="0" w:color="auto"/>
              <w:right w:val="single" w:sz="8" w:space="0" w:color="auto"/>
            </w:tcBorders>
            <w:shd w:val="clear" w:color="auto" w:fill="auto"/>
            <w:noWrap/>
            <w:vAlign w:val="center"/>
            <w:hideMark/>
          </w:tcPr>
          <w:p w14:paraId="5F6CD654" w14:textId="77777777" w:rsidR="00DD13BF" w:rsidRPr="005C3041" w:rsidRDefault="00DD13BF" w:rsidP="00355A56">
            <w:pPr>
              <w:jc w:val="right"/>
              <w:rPr>
                <w:sz w:val="14"/>
                <w:szCs w:val="18"/>
              </w:rPr>
            </w:pPr>
            <w:r>
              <w:rPr>
                <w:sz w:val="14"/>
              </w:rPr>
              <w:t>14,743,948</w:t>
            </w:r>
          </w:p>
        </w:tc>
        <w:tc>
          <w:tcPr>
            <w:tcW w:w="342" w:type="pct"/>
            <w:tcBorders>
              <w:top w:val="nil"/>
              <w:left w:val="nil"/>
              <w:bottom w:val="single" w:sz="8" w:space="0" w:color="auto"/>
              <w:right w:val="single" w:sz="8" w:space="0" w:color="auto"/>
            </w:tcBorders>
            <w:shd w:val="clear" w:color="auto" w:fill="auto"/>
            <w:noWrap/>
            <w:vAlign w:val="center"/>
            <w:hideMark/>
          </w:tcPr>
          <w:p w14:paraId="6D672D27" w14:textId="77777777" w:rsidR="00DD13BF" w:rsidRPr="005C3041" w:rsidRDefault="00DD13BF" w:rsidP="00355A56">
            <w:pPr>
              <w:jc w:val="right"/>
              <w:rPr>
                <w:sz w:val="14"/>
                <w:szCs w:val="18"/>
              </w:rPr>
            </w:pPr>
            <w:r>
              <w:rPr>
                <w:sz w:val="14"/>
              </w:rPr>
              <w:t>589,758</w:t>
            </w:r>
          </w:p>
        </w:tc>
        <w:tc>
          <w:tcPr>
            <w:tcW w:w="355" w:type="pct"/>
            <w:tcBorders>
              <w:top w:val="nil"/>
              <w:left w:val="nil"/>
              <w:bottom w:val="single" w:sz="8" w:space="0" w:color="auto"/>
              <w:right w:val="single" w:sz="8" w:space="0" w:color="auto"/>
            </w:tcBorders>
            <w:shd w:val="clear" w:color="auto" w:fill="auto"/>
            <w:noWrap/>
            <w:vAlign w:val="center"/>
            <w:hideMark/>
          </w:tcPr>
          <w:p w14:paraId="2A3C2CCD" w14:textId="77777777" w:rsidR="00DD13BF" w:rsidRPr="005C3041" w:rsidRDefault="00DD13BF" w:rsidP="00355A56">
            <w:pPr>
              <w:jc w:val="right"/>
              <w:rPr>
                <w:sz w:val="14"/>
                <w:szCs w:val="18"/>
              </w:rPr>
            </w:pPr>
            <w:r>
              <w:rPr>
                <w:sz w:val="14"/>
              </w:rPr>
              <w:t>140,483,121</w:t>
            </w:r>
          </w:p>
        </w:tc>
        <w:tc>
          <w:tcPr>
            <w:tcW w:w="355" w:type="pct"/>
            <w:tcBorders>
              <w:top w:val="nil"/>
              <w:left w:val="nil"/>
              <w:bottom w:val="single" w:sz="8" w:space="0" w:color="auto"/>
              <w:right w:val="single" w:sz="8" w:space="0" w:color="auto"/>
            </w:tcBorders>
            <w:shd w:val="clear" w:color="auto" w:fill="auto"/>
            <w:noWrap/>
            <w:vAlign w:val="center"/>
            <w:hideMark/>
          </w:tcPr>
          <w:p w14:paraId="618F8338" w14:textId="77777777" w:rsidR="00DD13BF" w:rsidRPr="005C3041" w:rsidRDefault="00DD13BF" w:rsidP="00355A56">
            <w:pPr>
              <w:jc w:val="right"/>
              <w:rPr>
                <w:sz w:val="14"/>
                <w:szCs w:val="18"/>
              </w:rPr>
            </w:pPr>
            <w:r>
              <w:rPr>
                <w:sz w:val="14"/>
              </w:rPr>
              <w:t>140,483,121</w:t>
            </w:r>
          </w:p>
        </w:tc>
        <w:tc>
          <w:tcPr>
            <w:tcW w:w="321" w:type="pct"/>
            <w:tcBorders>
              <w:top w:val="nil"/>
              <w:left w:val="nil"/>
              <w:bottom w:val="single" w:sz="8" w:space="0" w:color="auto"/>
              <w:right w:val="single" w:sz="8" w:space="0" w:color="auto"/>
            </w:tcBorders>
            <w:shd w:val="clear" w:color="auto" w:fill="auto"/>
            <w:noWrap/>
            <w:vAlign w:val="center"/>
            <w:hideMark/>
          </w:tcPr>
          <w:p w14:paraId="59A9F7E0"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89721DE" w14:textId="77777777" w:rsidR="00DD13BF" w:rsidRPr="005C3041" w:rsidRDefault="00DD13BF" w:rsidP="00355A56">
            <w:pPr>
              <w:jc w:val="right"/>
              <w:rPr>
                <w:sz w:val="14"/>
                <w:szCs w:val="18"/>
              </w:rPr>
            </w:pPr>
            <w:r>
              <w:rPr>
                <w:sz w:val="14"/>
              </w:rPr>
              <w:t>234,138,535</w:t>
            </w:r>
          </w:p>
        </w:tc>
        <w:tc>
          <w:tcPr>
            <w:tcW w:w="336" w:type="pct"/>
            <w:tcBorders>
              <w:top w:val="nil"/>
              <w:left w:val="nil"/>
              <w:bottom w:val="single" w:sz="8" w:space="0" w:color="auto"/>
              <w:right w:val="single" w:sz="8" w:space="0" w:color="auto"/>
            </w:tcBorders>
            <w:shd w:val="clear" w:color="auto" w:fill="auto"/>
            <w:noWrap/>
            <w:vAlign w:val="center"/>
            <w:hideMark/>
          </w:tcPr>
          <w:p w14:paraId="08FB2528" w14:textId="77777777" w:rsidR="00DD13BF" w:rsidRPr="005C3041" w:rsidRDefault="00DD13BF" w:rsidP="00355A56">
            <w:pPr>
              <w:jc w:val="right"/>
              <w:rPr>
                <w:sz w:val="14"/>
                <w:szCs w:val="18"/>
              </w:rPr>
            </w:pPr>
            <w:r>
              <w:rPr>
                <w:sz w:val="14"/>
              </w:rPr>
              <w:t>0.4</w:t>
            </w:r>
          </w:p>
        </w:tc>
      </w:tr>
      <w:tr w:rsidR="00DD13BF" w:rsidRPr="005C3041" w14:paraId="51B1C65B" w14:textId="77777777" w:rsidTr="00355A56">
        <w:trPr>
          <w:trHeight w:val="43"/>
        </w:trPr>
        <w:tc>
          <w:tcPr>
            <w:tcW w:w="227" w:type="pct"/>
            <w:vMerge/>
            <w:tcBorders>
              <w:top w:val="nil"/>
              <w:left w:val="single" w:sz="8" w:space="0" w:color="auto"/>
              <w:bottom w:val="nil"/>
              <w:right w:val="single" w:sz="8" w:space="0" w:color="auto"/>
            </w:tcBorders>
            <w:vAlign w:val="center"/>
            <w:hideMark/>
          </w:tcPr>
          <w:p w14:paraId="4B06C6EA" w14:textId="77777777" w:rsidR="00DD13BF" w:rsidRPr="005C3041" w:rsidRDefault="00DD13BF" w:rsidP="00355A56">
            <w:pPr>
              <w:rPr>
                <w:sz w:val="14"/>
                <w:szCs w:val="18"/>
              </w:rPr>
            </w:pPr>
          </w:p>
        </w:tc>
        <w:tc>
          <w:tcPr>
            <w:tcW w:w="284" w:type="pct"/>
            <w:vMerge/>
            <w:tcBorders>
              <w:top w:val="nil"/>
              <w:left w:val="single" w:sz="8" w:space="0" w:color="auto"/>
              <w:bottom w:val="nil"/>
              <w:right w:val="single" w:sz="8" w:space="0" w:color="auto"/>
            </w:tcBorders>
            <w:vAlign w:val="center"/>
            <w:hideMark/>
          </w:tcPr>
          <w:p w14:paraId="5E09D732"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3A91915A"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7D81EAA8"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7C141B60"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2A6B24E4" w14:textId="77777777" w:rsidR="00DD13BF" w:rsidRPr="005C3041" w:rsidRDefault="00DD13BF" w:rsidP="00355A56">
            <w:pPr>
              <w:jc w:val="right"/>
              <w:rPr>
                <w:sz w:val="14"/>
                <w:szCs w:val="18"/>
              </w:rPr>
            </w:pPr>
            <w:r>
              <w:rPr>
                <w:sz w:val="14"/>
              </w:rPr>
              <w:t>329,233,341</w:t>
            </w:r>
          </w:p>
        </w:tc>
        <w:tc>
          <w:tcPr>
            <w:tcW w:w="342" w:type="pct"/>
            <w:tcBorders>
              <w:top w:val="nil"/>
              <w:left w:val="nil"/>
              <w:bottom w:val="single" w:sz="8" w:space="0" w:color="auto"/>
              <w:right w:val="single" w:sz="8" w:space="0" w:color="auto"/>
            </w:tcBorders>
            <w:shd w:val="clear" w:color="auto" w:fill="auto"/>
            <w:noWrap/>
            <w:vAlign w:val="center"/>
            <w:hideMark/>
          </w:tcPr>
          <w:p w14:paraId="6B7311C5" w14:textId="77777777" w:rsidR="00DD13BF" w:rsidRPr="005C3041" w:rsidRDefault="00DD13BF" w:rsidP="00355A56">
            <w:pPr>
              <w:jc w:val="right"/>
              <w:rPr>
                <w:sz w:val="14"/>
                <w:szCs w:val="18"/>
              </w:rPr>
            </w:pPr>
            <w:r>
              <w:rPr>
                <w:sz w:val="14"/>
              </w:rPr>
              <w:t>264,702,623</w:t>
            </w:r>
          </w:p>
        </w:tc>
        <w:tc>
          <w:tcPr>
            <w:tcW w:w="350" w:type="pct"/>
            <w:tcBorders>
              <w:top w:val="nil"/>
              <w:left w:val="nil"/>
              <w:bottom w:val="single" w:sz="8" w:space="0" w:color="auto"/>
              <w:right w:val="single" w:sz="8" w:space="0" w:color="auto"/>
            </w:tcBorders>
            <w:shd w:val="clear" w:color="auto" w:fill="auto"/>
            <w:noWrap/>
            <w:vAlign w:val="center"/>
            <w:hideMark/>
          </w:tcPr>
          <w:p w14:paraId="387DB5B1" w14:textId="77777777" w:rsidR="00DD13BF" w:rsidRPr="005C3041" w:rsidRDefault="00DD13BF" w:rsidP="00355A56">
            <w:pPr>
              <w:jc w:val="right"/>
              <w:rPr>
                <w:sz w:val="14"/>
                <w:szCs w:val="18"/>
              </w:rPr>
            </w:pPr>
            <w:r>
              <w:rPr>
                <w:sz w:val="14"/>
              </w:rPr>
              <w:t>10,588,104</w:t>
            </w:r>
          </w:p>
        </w:tc>
        <w:tc>
          <w:tcPr>
            <w:tcW w:w="304" w:type="pct"/>
            <w:tcBorders>
              <w:top w:val="nil"/>
              <w:left w:val="nil"/>
              <w:bottom w:val="single" w:sz="8" w:space="0" w:color="auto"/>
              <w:right w:val="single" w:sz="8" w:space="0" w:color="auto"/>
            </w:tcBorders>
            <w:shd w:val="clear" w:color="auto" w:fill="auto"/>
            <w:noWrap/>
            <w:vAlign w:val="center"/>
            <w:hideMark/>
          </w:tcPr>
          <w:p w14:paraId="49B01C58" w14:textId="77777777" w:rsidR="00DD13BF" w:rsidRPr="005C3041" w:rsidRDefault="00DD13BF" w:rsidP="00355A56">
            <w:pPr>
              <w:jc w:val="right"/>
              <w:rPr>
                <w:sz w:val="14"/>
                <w:szCs w:val="18"/>
              </w:rPr>
            </w:pPr>
            <w:r>
              <w:rPr>
                <w:sz w:val="14"/>
              </w:rPr>
              <w:t>51,867,898</w:t>
            </w:r>
          </w:p>
        </w:tc>
        <w:tc>
          <w:tcPr>
            <w:tcW w:w="342" w:type="pct"/>
            <w:tcBorders>
              <w:top w:val="nil"/>
              <w:left w:val="nil"/>
              <w:bottom w:val="single" w:sz="8" w:space="0" w:color="auto"/>
              <w:right w:val="single" w:sz="8" w:space="0" w:color="auto"/>
            </w:tcBorders>
            <w:shd w:val="clear" w:color="auto" w:fill="auto"/>
            <w:noWrap/>
            <w:vAlign w:val="center"/>
            <w:hideMark/>
          </w:tcPr>
          <w:p w14:paraId="043C3C08" w14:textId="77777777" w:rsidR="00DD13BF" w:rsidRPr="005C3041" w:rsidRDefault="00DD13BF" w:rsidP="00355A56">
            <w:pPr>
              <w:jc w:val="right"/>
              <w:rPr>
                <w:sz w:val="14"/>
                <w:szCs w:val="18"/>
              </w:rPr>
            </w:pPr>
            <w:r>
              <w:rPr>
                <w:sz w:val="14"/>
              </w:rPr>
              <w:t>2,074,716</w:t>
            </w:r>
          </w:p>
        </w:tc>
        <w:tc>
          <w:tcPr>
            <w:tcW w:w="355" w:type="pct"/>
            <w:tcBorders>
              <w:top w:val="nil"/>
              <w:left w:val="nil"/>
              <w:bottom w:val="single" w:sz="8" w:space="0" w:color="auto"/>
              <w:right w:val="single" w:sz="8" w:space="0" w:color="auto"/>
            </w:tcBorders>
            <w:shd w:val="clear" w:color="auto" w:fill="auto"/>
            <w:noWrap/>
            <w:vAlign w:val="center"/>
            <w:hideMark/>
          </w:tcPr>
          <w:p w14:paraId="15D7AD24" w14:textId="77777777" w:rsidR="00DD13BF" w:rsidRPr="005C3041" w:rsidRDefault="00DD13BF" w:rsidP="00355A56">
            <w:pPr>
              <w:jc w:val="right"/>
              <w:rPr>
                <w:sz w:val="14"/>
                <w:szCs w:val="18"/>
              </w:rPr>
            </w:pPr>
            <w:r>
              <w:rPr>
                <w:sz w:val="14"/>
              </w:rPr>
              <w:t>58,100,002</w:t>
            </w:r>
          </w:p>
        </w:tc>
        <w:tc>
          <w:tcPr>
            <w:tcW w:w="355" w:type="pct"/>
            <w:tcBorders>
              <w:top w:val="nil"/>
              <w:left w:val="nil"/>
              <w:bottom w:val="single" w:sz="8" w:space="0" w:color="auto"/>
              <w:right w:val="single" w:sz="8" w:space="0" w:color="auto"/>
            </w:tcBorders>
            <w:shd w:val="clear" w:color="auto" w:fill="auto"/>
            <w:noWrap/>
            <w:vAlign w:val="center"/>
            <w:hideMark/>
          </w:tcPr>
          <w:p w14:paraId="0E19F454" w14:textId="77777777" w:rsidR="00DD13BF" w:rsidRPr="005C3041" w:rsidRDefault="00DD13BF" w:rsidP="00355A56">
            <w:pPr>
              <w:jc w:val="right"/>
              <w:rPr>
                <w:sz w:val="14"/>
                <w:szCs w:val="18"/>
              </w:rPr>
            </w:pPr>
            <w:r>
              <w:rPr>
                <w:sz w:val="14"/>
              </w:rPr>
              <w:t>58,100,002</w:t>
            </w:r>
          </w:p>
        </w:tc>
        <w:tc>
          <w:tcPr>
            <w:tcW w:w="321" w:type="pct"/>
            <w:tcBorders>
              <w:top w:val="nil"/>
              <w:left w:val="nil"/>
              <w:bottom w:val="single" w:sz="8" w:space="0" w:color="auto"/>
              <w:right w:val="single" w:sz="8" w:space="0" w:color="auto"/>
            </w:tcBorders>
            <w:shd w:val="clear" w:color="auto" w:fill="auto"/>
            <w:noWrap/>
            <w:vAlign w:val="center"/>
            <w:hideMark/>
          </w:tcPr>
          <w:p w14:paraId="14BF017A"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7EA85951" w14:textId="77777777" w:rsidR="00DD13BF" w:rsidRPr="005C3041" w:rsidRDefault="00DD13BF" w:rsidP="00355A56">
            <w:pPr>
              <w:jc w:val="right"/>
              <w:rPr>
                <w:sz w:val="14"/>
                <w:szCs w:val="18"/>
              </w:rPr>
            </w:pPr>
            <w:r>
              <w:rPr>
                <w:sz w:val="14"/>
              </w:rPr>
              <w:t>387,333,343</w:t>
            </w:r>
          </w:p>
        </w:tc>
        <w:tc>
          <w:tcPr>
            <w:tcW w:w="336" w:type="pct"/>
            <w:tcBorders>
              <w:top w:val="nil"/>
              <w:left w:val="nil"/>
              <w:bottom w:val="single" w:sz="8" w:space="0" w:color="auto"/>
              <w:right w:val="single" w:sz="8" w:space="0" w:color="auto"/>
            </w:tcBorders>
            <w:shd w:val="clear" w:color="auto" w:fill="auto"/>
            <w:noWrap/>
            <w:vAlign w:val="center"/>
            <w:hideMark/>
          </w:tcPr>
          <w:p w14:paraId="1B777AE1" w14:textId="77777777" w:rsidR="00DD13BF" w:rsidRPr="005C3041" w:rsidRDefault="00DD13BF" w:rsidP="00355A56">
            <w:pPr>
              <w:jc w:val="right"/>
              <w:rPr>
                <w:sz w:val="14"/>
                <w:szCs w:val="18"/>
              </w:rPr>
            </w:pPr>
            <w:r>
              <w:rPr>
                <w:sz w:val="14"/>
              </w:rPr>
              <w:t>0.85</w:t>
            </w:r>
          </w:p>
        </w:tc>
      </w:tr>
      <w:tr w:rsidR="00DD13BF" w:rsidRPr="005C3041" w14:paraId="2343A2B1" w14:textId="77777777" w:rsidTr="00355A56">
        <w:trPr>
          <w:trHeight w:val="48"/>
        </w:trPr>
        <w:tc>
          <w:tcPr>
            <w:tcW w:w="227" w:type="pct"/>
            <w:vMerge w:val="restart"/>
            <w:tcBorders>
              <w:top w:val="single" w:sz="8" w:space="0" w:color="000000"/>
              <w:left w:val="single" w:sz="8" w:space="0" w:color="auto"/>
              <w:bottom w:val="nil"/>
              <w:right w:val="single" w:sz="8" w:space="0" w:color="auto"/>
            </w:tcBorders>
            <w:shd w:val="clear" w:color="auto" w:fill="auto"/>
            <w:vAlign w:val="center"/>
            <w:hideMark/>
          </w:tcPr>
          <w:p w14:paraId="2C1368E0" w14:textId="77777777" w:rsidR="00DD13BF" w:rsidRPr="005C3041" w:rsidRDefault="00DD13BF" w:rsidP="00355A56">
            <w:pPr>
              <w:rPr>
                <w:sz w:val="14"/>
                <w:szCs w:val="18"/>
              </w:rPr>
            </w:pPr>
            <w:r>
              <w:rPr>
                <w:sz w:val="14"/>
              </w:rPr>
              <w:t>PO 4</w:t>
            </w:r>
          </w:p>
        </w:tc>
        <w:tc>
          <w:tcPr>
            <w:tcW w:w="284" w:type="pct"/>
            <w:vMerge w:val="restart"/>
            <w:tcBorders>
              <w:top w:val="single" w:sz="8" w:space="0" w:color="000000"/>
              <w:left w:val="single" w:sz="8" w:space="0" w:color="auto"/>
              <w:bottom w:val="nil"/>
              <w:right w:val="single" w:sz="8" w:space="0" w:color="auto"/>
            </w:tcBorders>
            <w:shd w:val="clear" w:color="auto" w:fill="auto"/>
            <w:vAlign w:val="center"/>
            <w:hideMark/>
          </w:tcPr>
          <w:p w14:paraId="7FAB2EB7" w14:textId="77777777" w:rsidR="00DD13BF" w:rsidRPr="005C3041" w:rsidRDefault="00DD13BF" w:rsidP="00355A56">
            <w:pPr>
              <w:rPr>
                <w:sz w:val="14"/>
                <w:szCs w:val="18"/>
              </w:rPr>
            </w:pPr>
            <w:r>
              <w:rPr>
                <w:sz w:val="14"/>
              </w:rPr>
              <w:t>Priority 7</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652C1E69"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68978CC4"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19002741"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35EE993E"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1D79B4F2" w14:textId="77777777" w:rsidR="00DD13BF" w:rsidRPr="005C3041" w:rsidRDefault="00DD13BF" w:rsidP="00355A56">
            <w:pPr>
              <w:jc w:val="right"/>
              <w:rPr>
                <w:sz w:val="14"/>
                <w:szCs w:val="18"/>
              </w:rPr>
            </w:pPr>
            <w:r>
              <w:rPr>
                <w:sz w:val="14"/>
              </w:rPr>
              <w:t> 0</w:t>
            </w:r>
          </w:p>
        </w:tc>
        <w:tc>
          <w:tcPr>
            <w:tcW w:w="350" w:type="pct"/>
            <w:tcBorders>
              <w:top w:val="nil"/>
              <w:left w:val="nil"/>
              <w:bottom w:val="single" w:sz="8" w:space="0" w:color="auto"/>
              <w:right w:val="single" w:sz="8" w:space="0" w:color="auto"/>
            </w:tcBorders>
            <w:shd w:val="clear" w:color="auto" w:fill="auto"/>
            <w:noWrap/>
            <w:vAlign w:val="center"/>
            <w:hideMark/>
          </w:tcPr>
          <w:p w14:paraId="611F5E16" w14:textId="77777777" w:rsidR="00DD13BF" w:rsidRPr="005C3041" w:rsidRDefault="00DD13BF" w:rsidP="00355A56">
            <w:pPr>
              <w:jc w:val="right"/>
              <w:rPr>
                <w:sz w:val="14"/>
                <w:szCs w:val="18"/>
              </w:rPr>
            </w:pPr>
            <w:r>
              <w:rPr>
                <w:sz w:val="14"/>
              </w:rPr>
              <w:t> 0</w:t>
            </w:r>
          </w:p>
        </w:tc>
        <w:tc>
          <w:tcPr>
            <w:tcW w:w="304" w:type="pct"/>
            <w:tcBorders>
              <w:top w:val="nil"/>
              <w:left w:val="nil"/>
              <w:bottom w:val="single" w:sz="8" w:space="0" w:color="auto"/>
              <w:right w:val="single" w:sz="8" w:space="0" w:color="auto"/>
            </w:tcBorders>
            <w:shd w:val="clear" w:color="auto" w:fill="auto"/>
            <w:noWrap/>
            <w:vAlign w:val="center"/>
            <w:hideMark/>
          </w:tcPr>
          <w:p w14:paraId="0B695859"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36F0674"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35576BDB"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75D1709F" w14:textId="77777777" w:rsidR="00DD13BF" w:rsidRPr="005C3041" w:rsidRDefault="00DD13BF" w:rsidP="00355A56">
            <w:pPr>
              <w:jc w:val="right"/>
              <w:rPr>
                <w:sz w:val="14"/>
                <w:szCs w:val="18"/>
              </w:rPr>
            </w:pPr>
            <w:r>
              <w:rPr>
                <w:sz w:val="14"/>
              </w:rPr>
              <w:t> 0</w:t>
            </w:r>
          </w:p>
        </w:tc>
        <w:tc>
          <w:tcPr>
            <w:tcW w:w="321" w:type="pct"/>
            <w:tcBorders>
              <w:top w:val="nil"/>
              <w:left w:val="nil"/>
              <w:bottom w:val="single" w:sz="8" w:space="0" w:color="auto"/>
              <w:right w:val="single" w:sz="8" w:space="0" w:color="auto"/>
            </w:tcBorders>
            <w:shd w:val="clear" w:color="auto" w:fill="auto"/>
            <w:noWrap/>
            <w:vAlign w:val="center"/>
            <w:hideMark/>
          </w:tcPr>
          <w:p w14:paraId="7EDA6936"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1C033AB9" w14:textId="77777777" w:rsidR="00DD13BF" w:rsidRPr="005C3041" w:rsidRDefault="00DD13BF" w:rsidP="00355A56">
            <w:pPr>
              <w:jc w:val="right"/>
              <w:rPr>
                <w:sz w:val="14"/>
                <w:szCs w:val="18"/>
              </w:rPr>
            </w:pPr>
            <w:r>
              <w:rPr>
                <w:sz w:val="14"/>
              </w:rPr>
              <w:t> 0</w:t>
            </w:r>
          </w:p>
        </w:tc>
        <w:tc>
          <w:tcPr>
            <w:tcW w:w="336" w:type="pct"/>
            <w:tcBorders>
              <w:top w:val="nil"/>
              <w:left w:val="nil"/>
              <w:bottom w:val="single" w:sz="8" w:space="0" w:color="auto"/>
              <w:right w:val="single" w:sz="8" w:space="0" w:color="auto"/>
            </w:tcBorders>
            <w:shd w:val="clear" w:color="auto" w:fill="auto"/>
            <w:noWrap/>
            <w:vAlign w:val="center"/>
            <w:hideMark/>
          </w:tcPr>
          <w:p w14:paraId="42F099A8" w14:textId="77777777" w:rsidR="00DD13BF" w:rsidRPr="005C3041" w:rsidRDefault="00DD13BF" w:rsidP="00355A56">
            <w:pPr>
              <w:rPr>
                <w:sz w:val="14"/>
                <w:szCs w:val="18"/>
              </w:rPr>
            </w:pPr>
            <w:r>
              <w:rPr>
                <w:sz w:val="14"/>
              </w:rPr>
              <w:t> </w:t>
            </w:r>
          </w:p>
        </w:tc>
      </w:tr>
      <w:tr w:rsidR="00DD13BF" w:rsidRPr="005C3041" w14:paraId="5BC8F0F8" w14:textId="77777777" w:rsidTr="00355A56">
        <w:trPr>
          <w:trHeight w:val="83"/>
        </w:trPr>
        <w:tc>
          <w:tcPr>
            <w:tcW w:w="227" w:type="pct"/>
            <w:vMerge/>
            <w:tcBorders>
              <w:top w:val="single" w:sz="8" w:space="0" w:color="000000"/>
              <w:left w:val="single" w:sz="8" w:space="0" w:color="auto"/>
              <w:bottom w:val="nil"/>
              <w:right w:val="single" w:sz="8" w:space="0" w:color="auto"/>
            </w:tcBorders>
            <w:vAlign w:val="center"/>
            <w:hideMark/>
          </w:tcPr>
          <w:p w14:paraId="74C51FE9" w14:textId="77777777" w:rsidR="00DD13BF" w:rsidRPr="005C3041" w:rsidRDefault="00DD13BF" w:rsidP="00355A56">
            <w:pPr>
              <w:rPr>
                <w:sz w:val="14"/>
                <w:szCs w:val="18"/>
              </w:rPr>
            </w:pPr>
          </w:p>
        </w:tc>
        <w:tc>
          <w:tcPr>
            <w:tcW w:w="284" w:type="pct"/>
            <w:vMerge/>
            <w:tcBorders>
              <w:top w:val="single" w:sz="8" w:space="0" w:color="000000"/>
              <w:left w:val="single" w:sz="8" w:space="0" w:color="auto"/>
              <w:bottom w:val="nil"/>
              <w:right w:val="single" w:sz="8" w:space="0" w:color="auto"/>
            </w:tcBorders>
            <w:vAlign w:val="center"/>
            <w:hideMark/>
          </w:tcPr>
          <w:p w14:paraId="49663604"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71330168"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4CC9D756"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7656CF16" w14:textId="77777777" w:rsidR="00DD13BF" w:rsidRPr="005C3041" w:rsidRDefault="00DD13BF" w:rsidP="00355A56">
            <w:pPr>
              <w:rPr>
                <w:sz w:val="14"/>
                <w:szCs w:val="18"/>
              </w:rPr>
            </w:pPr>
            <w:r>
              <w:rPr>
                <w:sz w:val="14"/>
              </w:rPr>
              <w:t xml:space="preserve">Less </w:t>
            </w:r>
            <w:r>
              <w:rPr>
                <w:sz w:val="14"/>
              </w:rPr>
              <w:lastRenderedPageBreak/>
              <w:t>developed</w:t>
            </w:r>
          </w:p>
        </w:tc>
        <w:tc>
          <w:tcPr>
            <w:tcW w:w="397" w:type="pct"/>
            <w:tcBorders>
              <w:top w:val="nil"/>
              <w:left w:val="nil"/>
              <w:bottom w:val="single" w:sz="8" w:space="0" w:color="auto"/>
              <w:right w:val="single" w:sz="8" w:space="0" w:color="auto"/>
            </w:tcBorders>
            <w:shd w:val="clear" w:color="auto" w:fill="auto"/>
            <w:noWrap/>
            <w:vAlign w:val="center"/>
            <w:hideMark/>
          </w:tcPr>
          <w:p w14:paraId="7B537ED1" w14:textId="77777777" w:rsidR="00DD13BF" w:rsidRPr="005C3041" w:rsidRDefault="00DD13BF" w:rsidP="00355A56">
            <w:pPr>
              <w:jc w:val="right"/>
              <w:rPr>
                <w:sz w:val="14"/>
                <w:szCs w:val="18"/>
              </w:rPr>
            </w:pPr>
            <w:r>
              <w:rPr>
                <w:sz w:val="14"/>
              </w:rPr>
              <w:lastRenderedPageBreak/>
              <w:t>80,140,050</w:t>
            </w:r>
          </w:p>
        </w:tc>
        <w:tc>
          <w:tcPr>
            <w:tcW w:w="342" w:type="pct"/>
            <w:tcBorders>
              <w:top w:val="nil"/>
              <w:left w:val="nil"/>
              <w:bottom w:val="single" w:sz="8" w:space="0" w:color="auto"/>
              <w:right w:val="single" w:sz="8" w:space="0" w:color="auto"/>
            </w:tcBorders>
            <w:shd w:val="clear" w:color="auto" w:fill="auto"/>
            <w:noWrap/>
            <w:vAlign w:val="center"/>
            <w:hideMark/>
          </w:tcPr>
          <w:p w14:paraId="4D3513A2" w14:textId="77777777" w:rsidR="00DD13BF" w:rsidRPr="005C3041" w:rsidRDefault="00DD13BF" w:rsidP="00355A56">
            <w:pPr>
              <w:jc w:val="right"/>
              <w:rPr>
                <w:sz w:val="14"/>
                <w:szCs w:val="18"/>
              </w:rPr>
            </w:pPr>
            <w:r>
              <w:rPr>
                <w:sz w:val="14"/>
              </w:rPr>
              <w:t>66,264,314</w:t>
            </w:r>
          </w:p>
        </w:tc>
        <w:tc>
          <w:tcPr>
            <w:tcW w:w="350" w:type="pct"/>
            <w:tcBorders>
              <w:top w:val="nil"/>
              <w:left w:val="nil"/>
              <w:bottom w:val="single" w:sz="8" w:space="0" w:color="auto"/>
              <w:right w:val="single" w:sz="8" w:space="0" w:color="auto"/>
            </w:tcBorders>
            <w:shd w:val="clear" w:color="auto" w:fill="auto"/>
            <w:noWrap/>
            <w:vAlign w:val="center"/>
            <w:hideMark/>
          </w:tcPr>
          <w:p w14:paraId="083F0380" w14:textId="77777777" w:rsidR="00DD13BF" w:rsidRPr="005C3041" w:rsidRDefault="00DD13BF" w:rsidP="00355A56">
            <w:pPr>
              <w:jc w:val="right"/>
              <w:rPr>
                <w:sz w:val="14"/>
                <w:szCs w:val="18"/>
              </w:rPr>
            </w:pPr>
            <w:r>
              <w:rPr>
                <w:sz w:val="14"/>
              </w:rPr>
              <w:t>2,319,251</w:t>
            </w:r>
          </w:p>
        </w:tc>
        <w:tc>
          <w:tcPr>
            <w:tcW w:w="304" w:type="pct"/>
            <w:tcBorders>
              <w:top w:val="nil"/>
              <w:left w:val="nil"/>
              <w:bottom w:val="single" w:sz="8" w:space="0" w:color="auto"/>
              <w:right w:val="single" w:sz="8" w:space="0" w:color="auto"/>
            </w:tcBorders>
            <w:shd w:val="clear" w:color="auto" w:fill="auto"/>
            <w:noWrap/>
            <w:vAlign w:val="center"/>
            <w:hideMark/>
          </w:tcPr>
          <w:p w14:paraId="7475EA36" w14:textId="77777777" w:rsidR="00DD13BF" w:rsidRPr="005C3041" w:rsidRDefault="00DD13BF" w:rsidP="00355A56">
            <w:pPr>
              <w:jc w:val="right"/>
              <w:rPr>
                <w:sz w:val="14"/>
                <w:szCs w:val="18"/>
              </w:rPr>
            </w:pPr>
            <w:r>
              <w:rPr>
                <w:sz w:val="14"/>
              </w:rPr>
              <w:t>11,165,686</w:t>
            </w:r>
          </w:p>
        </w:tc>
        <w:tc>
          <w:tcPr>
            <w:tcW w:w="342" w:type="pct"/>
            <w:tcBorders>
              <w:top w:val="nil"/>
              <w:left w:val="nil"/>
              <w:bottom w:val="single" w:sz="8" w:space="0" w:color="auto"/>
              <w:right w:val="single" w:sz="8" w:space="0" w:color="auto"/>
            </w:tcBorders>
            <w:shd w:val="clear" w:color="auto" w:fill="auto"/>
            <w:noWrap/>
            <w:vAlign w:val="center"/>
            <w:hideMark/>
          </w:tcPr>
          <w:p w14:paraId="6AA719F8" w14:textId="77777777" w:rsidR="00DD13BF" w:rsidRPr="005C3041" w:rsidRDefault="00DD13BF" w:rsidP="00355A56">
            <w:pPr>
              <w:jc w:val="right"/>
              <w:rPr>
                <w:sz w:val="14"/>
                <w:szCs w:val="18"/>
              </w:rPr>
            </w:pPr>
            <w:r>
              <w:rPr>
                <w:sz w:val="14"/>
              </w:rPr>
              <w:t>390,799</w:t>
            </w:r>
          </w:p>
        </w:tc>
        <w:tc>
          <w:tcPr>
            <w:tcW w:w="355" w:type="pct"/>
            <w:tcBorders>
              <w:top w:val="nil"/>
              <w:left w:val="nil"/>
              <w:bottom w:val="single" w:sz="8" w:space="0" w:color="auto"/>
              <w:right w:val="single" w:sz="8" w:space="0" w:color="auto"/>
            </w:tcBorders>
            <w:shd w:val="clear" w:color="auto" w:fill="auto"/>
            <w:noWrap/>
            <w:vAlign w:val="center"/>
            <w:hideMark/>
          </w:tcPr>
          <w:p w14:paraId="279C1EC7" w14:textId="77777777" w:rsidR="00DD13BF" w:rsidRPr="005C3041" w:rsidRDefault="00DD13BF" w:rsidP="00355A56">
            <w:pPr>
              <w:jc w:val="right"/>
              <w:rPr>
                <w:sz w:val="14"/>
                <w:szCs w:val="18"/>
              </w:rPr>
            </w:pPr>
            <w:r>
              <w:rPr>
                <w:sz w:val="14"/>
              </w:rPr>
              <w:t>14,142,362</w:t>
            </w:r>
          </w:p>
        </w:tc>
        <w:tc>
          <w:tcPr>
            <w:tcW w:w="355" w:type="pct"/>
            <w:tcBorders>
              <w:top w:val="nil"/>
              <w:left w:val="nil"/>
              <w:bottom w:val="single" w:sz="8" w:space="0" w:color="auto"/>
              <w:right w:val="single" w:sz="8" w:space="0" w:color="auto"/>
            </w:tcBorders>
            <w:shd w:val="clear" w:color="auto" w:fill="auto"/>
            <w:noWrap/>
            <w:vAlign w:val="center"/>
            <w:hideMark/>
          </w:tcPr>
          <w:p w14:paraId="2B559069" w14:textId="77777777" w:rsidR="00DD13BF" w:rsidRPr="005C3041" w:rsidRDefault="00DD13BF" w:rsidP="00355A56">
            <w:pPr>
              <w:jc w:val="right"/>
              <w:rPr>
                <w:sz w:val="14"/>
                <w:szCs w:val="18"/>
              </w:rPr>
            </w:pPr>
            <w:r>
              <w:rPr>
                <w:sz w:val="14"/>
              </w:rPr>
              <w:t>14,142,362</w:t>
            </w:r>
          </w:p>
        </w:tc>
        <w:tc>
          <w:tcPr>
            <w:tcW w:w="321" w:type="pct"/>
            <w:tcBorders>
              <w:top w:val="nil"/>
              <w:left w:val="nil"/>
              <w:bottom w:val="single" w:sz="8" w:space="0" w:color="auto"/>
              <w:right w:val="single" w:sz="8" w:space="0" w:color="auto"/>
            </w:tcBorders>
            <w:shd w:val="clear" w:color="auto" w:fill="auto"/>
            <w:noWrap/>
            <w:vAlign w:val="center"/>
            <w:hideMark/>
          </w:tcPr>
          <w:p w14:paraId="0C91D700"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51F1E015" w14:textId="77777777" w:rsidR="00DD13BF" w:rsidRPr="005C3041" w:rsidRDefault="00DD13BF" w:rsidP="00355A56">
            <w:pPr>
              <w:jc w:val="right"/>
              <w:rPr>
                <w:sz w:val="14"/>
                <w:szCs w:val="18"/>
              </w:rPr>
            </w:pPr>
            <w:r>
              <w:rPr>
                <w:sz w:val="14"/>
              </w:rPr>
              <w:t>94,282,412</w:t>
            </w:r>
          </w:p>
        </w:tc>
        <w:tc>
          <w:tcPr>
            <w:tcW w:w="336" w:type="pct"/>
            <w:tcBorders>
              <w:top w:val="nil"/>
              <w:left w:val="nil"/>
              <w:bottom w:val="single" w:sz="8" w:space="0" w:color="auto"/>
              <w:right w:val="single" w:sz="8" w:space="0" w:color="auto"/>
            </w:tcBorders>
            <w:shd w:val="clear" w:color="auto" w:fill="auto"/>
            <w:noWrap/>
            <w:vAlign w:val="center"/>
            <w:hideMark/>
          </w:tcPr>
          <w:p w14:paraId="472E719A" w14:textId="77777777" w:rsidR="00DD13BF" w:rsidRPr="005C3041" w:rsidRDefault="00DD13BF" w:rsidP="00355A56">
            <w:pPr>
              <w:jc w:val="right"/>
              <w:rPr>
                <w:sz w:val="14"/>
                <w:szCs w:val="18"/>
              </w:rPr>
            </w:pPr>
            <w:r>
              <w:rPr>
                <w:sz w:val="14"/>
              </w:rPr>
              <w:t>0.85</w:t>
            </w:r>
          </w:p>
        </w:tc>
      </w:tr>
      <w:tr w:rsidR="00DD13BF" w:rsidRPr="005C3041" w14:paraId="4CC36812" w14:textId="77777777" w:rsidTr="00355A56">
        <w:trPr>
          <w:trHeight w:val="43"/>
        </w:trPr>
        <w:tc>
          <w:tcPr>
            <w:tcW w:w="227" w:type="pct"/>
            <w:vMerge/>
            <w:tcBorders>
              <w:top w:val="single" w:sz="8" w:space="0" w:color="000000"/>
              <w:left w:val="single" w:sz="8" w:space="0" w:color="auto"/>
              <w:bottom w:val="nil"/>
              <w:right w:val="single" w:sz="8" w:space="0" w:color="auto"/>
            </w:tcBorders>
            <w:vAlign w:val="center"/>
            <w:hideMark/>
          </w:tcPr>
          <w:p w14:paraId="46D133A2" w14:textId="77777777" w:rsidR="00DD13BF" w:rsidRPr="005C3041" w:rsidRDefault="00DD13BF" w:rsidP="00355A56">
            <w:pPr>
              <w:rPr>
                <w:sz w:val="14"/>
                <w:szCs w:val="18"/>
              </w:rPr>
            </w:pPr>
          </w:p>
        </w:tc>
        <w:tc>
          <w:tcPr>
            <w:tcW w:w="284" w:type="pct"/>
            <w:vMerge/>
            <w:tcBorders>
              <w:top w:val="single" w:sz="8" w:space="0" w:color="000000"/>
              <w:left w:val="single" w:sz="8" w:space="0" w:color="auto"/>
              <w:bottom w:val="nil"/>
              <w:right w:val="single" w:sz="8" w:space="0" w:color="auto"/>
            </w:tcBorders>
            <w:vAlign w:val="center"/>
            <w:hideMark/>
          </w:tcPr>
          <w:p w14:paraId="62B6AA03" w14:textId="77777777" w:rsidR="00DD13BF" w:rsidRPr="005C3041" w:rsidRDefault="00DD13BF" w:rsidP="00355A56">
            <w:pPr>
              <w:rPr>
                <w:sz w:val="14"/>
                <w:szCs w:val="18"/>
              </w:rPr>
            </w:pP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14A51EF7"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1DA1B676" w14:textId="77777777" w:rsidR="00DD13BF" w:rsidRPr="005C3041" w:rsidRDefault="00DD13BF" w:rsidP="00355A56">
            <w:pPr>
              <w:rPr>
                <w:sz w:val="14"/>
                <w:szCs w:val="18"/>
              </w:rPr>
            </w:pPr>
            <w:r>
              <w:rPr>
                <w:sz w:val="14"/>
              </w:rPr>
              <w:t>ESF</w:t>
            </w:r>
          </w:p>
        </w:tc>
        <w:tc>
          <w:tcPr>
            <w:tcW w:w="271" w:type="pct"/>
            <w:tcBorders>
              <w:top w:val="nil"/>
              <w:left w:val="nil"/>
              <w:bottom w:val="single" w:sz="8" w:space="0" w:color="auto"/>
              <w:right w:val="single" w:sz="8" w:space="0" w:color="auto"/>
            </w:tcBorders>
            <w:shd w:val="clear" w:color="auto" w:fill="auto"/>
            <w:vAlign w:val="center"/>
            <w:hideMark/>
          </w:tcPr>
          <w:p w14:paraId="5FE18057"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690581A3" w14:textId="77777777" w:rsidR="00DD13BF" w:rsidRPr="005C3041" w:rsidRDefault="00DD13BF" w:rsidP="00355A56">
            <w:pPr>
              <w:jc w:val="right"/>
              <w:rPr>
                <w:sz w:val="14"/>
                <w:szCs w:val="18"/>
              </w:rPr>
            </w:pPr>
            <w:r>
              <w:rPr>
                <w:sz w:val="14"/>
              </w:rPr>
              <w:t>54,136,160</w:t>
            </w:r>
          </w:p>
        </w:tc>
        <w:tc>
          <w:tcPr>
            <w:tcW w:w="342" w:type="pct"/>
            <w:tcBorders>
              <w:top w:val="nil"/>
              <w:left w:val="nil"/>
              <w:bottom w:val="single" w:sz="8" w:space="0" w:color="auto"/>
              <w:right w:val="single" w:sz="8" w:space="0" w:color="auto"/>
            </w:tcBorders>
            <w:shd w:val="clear" w:color="auto" w:fill="auto"/>
            <w:noWrap/>
            <w:vAlign w:val="center"/>
            <w:hideMark/>
          </w:tcPr>
          <w:p w14:paraId="134B49F8" w14:textId="77777777" w:rsidR="00DD13BF" w:rsidRPr="005C3041" w:rsidRDefault="00DD13BF" w:rsidP="00355A56">
            <w:pPr>
              <w:jc w:val="right"/>
              <w:rPr>
                <w:sz w:val="14"/>
                <w:szCs w:val="18"/>
              </w:rPr>
            </w:pPr>
            <w:r>
              <w:rPr>
                <w:sz w:val="14"/>
              </w:rPr>
              <w:t>43,531,473</w:t>
            </w:r>
          </w:p>
        </w:tc>
        <w:tc>
          <w:tcPr>
            <w:tcW w:w="350" w:type="pct"/>
            <w:tcBorders>
              <w:top w:val="nil"/>
              <w:left w:val="nil"/>
              <w:bottom w:val="single" w:sz="8" w:space="0" w:color="auto"/>
              <w:right w:val="single" w:sz="8" w:space="0" w:color="auto"/>
            </w:tcBorders>
            <w:shd w:val="clear" w:color="auto" w:fill="auto"/>
            <w:noWrap/>
            <w:vAlign w:val="center"/>
            <w:hideMark/>
          </w:tcPr>
          <w:p w14:paraId="4A617D52" w14:textId="77777777" w:rsidR="00DD13BF" w:rsidRPr="005C3041" w:rsidRDefault="00DD13BF" w:rsidP="00355A56">
            <w:pPr>
              <w:jc w:val="right"/>
              <w:rPr>
                <w:sz w:val="14"/>
                <w:szCs w:val="18"/>
              </w:rPr>
            </w:pPr>
            <w:r>
              <w:rPr>
                <w:sz w:val="14"/>
              </w:rPr>
              <w:t>1,741,259</w:t>
            </w:r>
          </w:p>
        </w:tc>
        <w:tc>
          <w:tcPr>
            <w:tcW w:w="304" w:type="pct"/>
            <w:tcBorders>
              <w:top w:val="nil"/>
              <w:left w:val="nil"/>
              <w:bottom w:val="single" w:sz="8" w:space="0" w:color="auto"/>
              <w:right w:val="single" w:sz="8" w:space="0" w:color="auto"/>
            </w:tcBorders>
            <w:shd w:val="clear" w:color="auto" w:fill="auto"/>
            <w:noWrap/>
            <w:vAlign w:val="center"/>
            <w:hideMark/>
          </w:tcPr>
          <w:p w14:paraId="19117E8B" w14:textId="77777777" w:rsidR="00DD13BF" w:rsidRPr="005C3041" w:rsidRDefault="00DD13BF" w:rsidP="00355A56">
            <w:pPr>
              <w:jc w:val="right"/>
              <w:rPr>
                <w:sz w:val="14"/>
                <w:szCs w:val="18"/>
              </w:rPr>
            </w:pPr>
            <w:r>
              <w:rPr>
                <w:sz w:val="14"/>
              </w:rPr>
              <w:t>8,522,527</w:t>
            </w:r>
          </w:p>
        </w:tc>
        <w:tc>
          <w:tcPr>
            <w:tcW w:w="342" w:type="pct"/>
            <w:tcBorders>
              <w:top w:val="nil"/>
              <w:left w:val="nil"/>
              <w:bottom w:val="single" w:sz="8" w:space="0" w:color="auto"/>
              <w:right w:val="single" w:sz="8" w:space="0" w:color="auto"/>
            </w:tcBorders>
            <w:shd w:val="clear" w:color="auto" w:fill="auto"/>
            <w:noWrap/>
            <w:vAlign w:val="center"/>
            <w:hideMark/>
          </w:tcPr>
          <w:p w14:paraId="4F306679" w14:textId="77777777" w:rsidR="00DD13BF" w:rsidRPr="005C3041" w:rsidRDefault="00DD13BF" w:rsidP="00355A56">
            <w:pPr>
              <w:jc w:val="right"/>
              <w:rPr>
                <w:sz w:val="14"/>
                <w:szCs w:val="18"/>
              </w:rPr>
            </w:pPr>
            <w:r>
              <w:rPr>
                <w:sz w:val="14"/>
              </w:rPr>
              <w:t>340,901</w:t>
            </w:r>
          </w:p>
        </w:tc>
        <w:tc>
          <w:tcPr>
            <w:tcW w:w="355" w:type="pct"/>
            <w:tcBorders>
              <w:top w:val="nil"/>
              <w:left w:val="nil"/>
              <w:bottom w:val="single" w:sz="8" w:space="0" w:color="auto"/>
              <w:right w:val="single" w:sz="8" w:space="0" w:color="auto"/>
            </w:tcBorders>
            <w:shd w:val="clear" w:color="auto" w:fill="auto"/>
            <w:noWrap/>
            <w:vAlign w:val="center"/>
            <w:hideMark/>
          </w:tcPr>
          <w:p w14:paraId="0ED810D8" w14:textId="77777777" w:rsidR="00DD13BF" w:rsidRPr="005C3041" w:rsidRDefault="00DD13BF" w:rsidP="00355A56">
            <w:pPr>
              <w:jc w:val="right"/>
              <w:rPr>
                <w:sz w:val="14"/>
                <w:szCs w:val="18"/>
              </w:rPr>
            </w:pPr>
            <w:r>
              <w:rPr>
                <w:sz w:val="14"/>
              </w:rPr>
              <w:t>81,204,240</w:t>
            </w:r>
          </w:p>
        </w:tc>
        <w:tc>
          <w:tcPr>
            <w:tcW w:w="355" w:type="pct"/>
            <w:tcBorders>
              <w:top w:val="nil"/>
              <w:left w:val="nil"/>
              <w:bottom w:val="single" w:sz="8" w:space="0" w:color="auto"/>
              <w:right w:val="single" w:sz="8" w:space="0" w:color="auto"/>
            </w:tcBorders>
            <w:shd w:val="clear" w:color="auto" w:fill="auto"/>
            <w:noWrap/>
            <w:vAlign w:val="center"/>
            <w:hideMark/>
          </w:tcPr>
          <w:p w14:paraId="120ADCA1" w14:textId="77777777" w:rsidR="00DD13BF" w:rsidRPr="005C3041" w:rsidRDefault="00DD13BF" w:rsidP="00355A56">
            <w:pPr>
              <w:jc w:val="right"/>
              <w:rPr>
                <w:sz w:val="14"/>
                <w:szCs w:val="18"/>
              </w:rPr>
            </w:pPr>
            <w:r>
              <w:rPr>
                <w:sz w:val="14"/>
              </w:rPr>
              <w:t>81,204,240</w:t>
            </w:r>
          </w:p>
        </w:tc>
        <w:tc>
          <w:tcPr>
            <w:tcW w:w="321" w:type="pct"/>
            <w:tcBorders>
              <w:top w:val="nil"/>
              <w:left w:val="nil"/>
              <w:bottom w:val="single" w:sz="8" w:space="0" w:color="auto"/>
              <w:right w:val="single" w:sz="8" w:space="0" w:color="auto"/>
            </w:tcBorders>
            <w:shd w:val="clear" w:color="auto" w:fill="auto"/>
            <w:noWrap/>
            <w:vAlign w:val="center"/>
            <w:hideMark/>
          </w:tcPr>
          <w:p w14:paraId="45BEBBC5"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41363FA5" w14:textId="77777777" w:rsidR="00DD13BF" w:rsidRPr="005C3041" w:rsidRDefault="00DD13BF" w:rsidP="00355A56">
            <w:pPr>
              <w:jc w:val="right"/>
              <w:rPr>
                <w:sz w:val="14"/>
                <w:szCs w:val="18"/>
              </w:rPr>
            </w:pPr>
            <w:r>
              <w:rPr>
                <w:sz w:val="14"/>
              </w:rPr>
              <w:t>135,340,400</w:t>
            </w:r>
          </w:p>
        </w:tc>
        <w:tc>
          <w:tcPr>
            <w:tcW w:w="336" w:type="pct"/>
            <w:tcBorders>
              <w:top w:val="nil"/>
              <w:left w:val="nil"/>
              <w:bottom w:val="single" w:sz="8" w:space="0" w:color="auto"/>
              <w:right w:val="single" w:sz="8" w:space="0" w:color="auto"/>
            </w:tcBorders>
            <w:shd w:val="clear" w:color="auto" w:fill="auto"/>
            <w:noWrap/>
            <w:vAlign w:val="center"/>
            <w:hideMark/>
          </w:tcPr>
          <w:p w14:paraId="593476EE" w14:textId="77777777" w:rsidR="00DD13BF" w:rsidRPr="005C3041" w:rsidRDefault="00DD13BF" w:rsidP="00355A56">
            <w:pPr>
              <w:jc w:val="right"/>
              <w:rPr>
                <w:sz w:val="14"/>
                <w:szCs w:val="18"/>
              </w:rPr>
            </w:pPr>
            <w:r>
              <w:rPr>
                <w:sz w:val="14"/>
              </w:rPr>
              <w:t>0.4</w:t>
            </w:r>
          </w:p>
        </w:tc>
      </w:tr>
      <w:tr w:rsidR="00DD13BF" w:rsidRPr="005C3041" w14:paraId="520CC76D" w14:textId="77777777" w:rsidTr="00355A56">
        <w:trPr>
          <w:trHeight w:val="43"/>
        </w:trPr>
        <w:tc>
          <w:tcPr>
            <w:tcW w:w="227" w:type="pct"/>
            <w:vMerge/>
            <w:tcBorders>
              <w:top w:val="single" w:sz="8" w:space="0" w:color="000000"/>
              <w:left w:val="single" w:sz="8" w:space="0" w:color="auto"/>
              <w:bottom w:val="nil"/>
              <w:right w:val="single" w:sz="8" w:space="0" w:color="auto"/>
            </w:tcBorders>
            <w:vAlign w:val="center"/>
            <w:hideMark/>
          </w:tcPr>
          <w:p w14:paraId="7F7C4BAF" w14:textId="77777777" w:rsidR="00DD13BF" w:rsidRPr="005C3041" w:rsidRDefault="00DD13BF" w:rsidP="00355A56">
            <w:pPr>
              <w:rPr>
                <w:sz w:val="14"/>
                <w:szCs w:val="18"/>
              </w:rPr>
            </w:pPr>
          </w:p>
        </w:tc>
        <w:tc>
          <w:tcPr>
            <w:tcW w:w="284" w:type="pct"/>
            <w:vMerge/>
            <w:tcBorders>
              <w:top w:val="single" w:sz="8" w:space="0" w:color="000000"/>
              <w:left w:val="single" w:sz="8" w:space="0" w:color="auto"/>
              <w:bottom w:val="nil"/>
              <w:right w:val="single" w:sz="8" w:space="0" w:color="auto"/>
            </w:tcBorders>
            <w:vAlign w:val="center"/>
            <w:hideMark/>
          </w:tcPr>
          <w:p w14:paraId="5E706DE9"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1A356EDF"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0EEB11B8"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6B1375DD"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649D9E10" w14:textId="77777777" w:rsidR="00DD13BF" w:rsidRPr="005C3041" w:rsidRDefault="00DD13BF" w:rsidP="00355A56">
            <w:pPr>
              <w:jc w:val="right"/>
              <w:rPr>
                <w:sz w:val="14"/>
                <w:szCs w:val="18"/>
              </w:rPr>
            </w:pPr>
            <w:r>
              <w:rPr>
                <w:sz w:val="14"/>
              </w:rPr>
              <w:t>158,940,080</w:t>
            </w:r>
          </w:p>
        </w:tc>
        <w:tc>
          <w:tcPr>
            <w:tcW w:w="342" w:type="pct"/>
            <w:tcBorders>
              <w:top w:val="nil"/>
              <w:left w:val="nil"/>
              <w:bottom w:val="single" w:sz="8" w:space="0" w:color="auto"/>
              <w:right w:val="single" w:sz="8" w:space="0" w:color="auto"/>
            </w:tcBorders>
            <w:shd w:val="clear" w:color="auto" w:fill="auto"/>
            <w:noWrap/>
            <w:vAlign w:val="center"/>
            <w:hideMark/>
          </w:tcPr>
          <w:p w14:paraId="0DC5B28B" w14:textId="77777777" w:rsidR="00DD13BF" w:rsidRPr="005C3041" w:rsidRDefault="00DD13BF" w:rsidP="00355A56">
            <w:pPr>
              <w:jc w:val="right"/>
              <w:rPr>
                <w:sz w:val="14"/>
                <w:szCs w:val="18"/>
              </w:rPr>
            </w:pPr>
            <w:r>
              <w:rPr>
                <w:sz w:val="14"/>
              </w:rPr>
              <w:t>127,787,350</w:t>
            </w:r>
          </w:p>
        </w:tc>
        <w:tc>
          <w:tcPr>
            <w:tcW w:w="350" w:type="pct"/>
            <w:tcBorders>
              <w:top w:val="nil"/>
              <w:left w:val="nil"/>
              <w:bottom w:val="single" w:sz="8" w:space="0" w:color="auto"/>
              <w:right w:val="single" w:sz="8" w:space="0" w:color="auto"/>
            </w:tcBorders>
            <w:shd w:val="clear" w:color="auto" w:fill="auto"/>
            <w:noWrap/>
            <w:vAlign w:val="center"/>
            <w:hideMark/>
          </w:tcPr>
          <w:p w14:paraId="745F3318" w14:textId="77777777" w:rsidR="00DD13BF" w:rsidRPr="005C3041" w:rsidRDefault="00DD13BF" w:rsidP="00355A56">
            <w:pPr>
              <w:jc w:val="right"/>
              <w:rPr>
                <w:sz w:val="14"/>
                <w:szCs w:val="18"/>
              </w:rPr>
            </w:pPr>
            <w:r>
              <w:rPr>
                <w:sz w:val="14"/>
              </w:rPr>
              <w:t>5,111,493</w:t>
            </w:r>
          </w:p>
        </w:tc>
        <w:tc>
          <w:tcPr>
            <w:tcW w:w="304" w:type="pct"/>
            <w:tcBorders>
              <w:top w:val="nil"/>
              <w:left w:val="nil"/>
              <w:bottom w:val="single" w:sz="8" w:space="0" w:color="auto"/>
              <w:right w:val="single" w:sz="8" w:space="0" w:color="auto"/>
            </w:tcBorders>
            <w:shd w:val="clear" w:color="auto" w:fill="auto"/>
            <w:noWrap/>
            <w:vAlign w:val="center"/>
            <w:hideMark/>
          </w:tcPr>
          <w:p w14:paraId="03380D31" w14:textId="77777777" w:rsidR="00DD13BF" w:rsidRPr="005C3041" w:rsidRDefault="00DD13BF" w:rsidP="00355A56">
            <w:pPr>
              <w:jc w:val="right"/>
              <w:rPr>
                <w:sz w:val="14"/>
                <w:szCs w:val="18"/>
              </w:rPr>
            </w:pPr>
            <w:r>
              <w:rPr>
                <w:sz w:val="14"/>
              </w:rPr>
              <w:t>25,039,651</w:t>
            </w:r>
          </w:p>
        </w:tc>
        <w:tc>
          <w:tcPr>
            <w:tcW w:w="342" w:type="pct"/>
            <w:tcBorders>
              <w:top w:val="nil"/>
              <w:left w:val="nil"/>
              <w:bottom w:val="single" w:sz="8" w:space="0" w:color="auto"/>
              <w:right w:val="single" w:sz="8" w:space="0" w:color="auto"/>
            </w:tcBorders>
            <w:shd w:val="clear" w:color="auto" w:fill="auto"/>
            <w:noWrap/>
            <w:vAlign w:val="center"/>
            <w:hideMark/>
          </w:tcPr>
          <w:p w14:paraId="185ED2D1" w14:textId="77777777" w:rsidR="00DD13BF" w:rsidRPr="005C3041" w:rsidRDefault="00DD13BF" w:rsidP="00355A56">
            <w:pPr>
              <w:jc w:val="right"/>
              <w:rPr>
                <w:sz w:val="14"/>
                <w:szCs w:val="18"/>
              </w:rPr>
            </w:pPr>
            <w:r>
              <w:rPr>
                <w:sz w:val="14"/>
              </w:rPr>
              <w:t>1,001,586</w:t>
            </w:r>
          </w:p>
        </w:tc>
        <w:tc>
          <w:tcPr>
            <w:tcW w:w="355" w:type="pct"/>
            <w:tcBorders>
              <w:top w:val="nil"/>
              <w:left w:val="nil"/>
              <w:bottom w:val="single" w:sz="8" w:space="0" w:color="auto"/>
              <w:right w:val="single" w:sz="8" w:space="0" w:color="auto"/>
            </w:tcBorders>
            <w:shd w:val="clear" w:color="auto" w:fill="auto"/>
            <w:noWrap/>
            <w:vAlign w:val="center"/>
            <w:hideMark/>
          </w:tcPr>
          <w:p w14:paraId="08CA5062" w14:textId="77777777" w:rsidR="00DD13BF" w:rsidRPr="005C3041" w:rsidRDefault="00DD13BF" w:rsidP="00355A56">
            <w:pPr>
              <w:jc w:val="right"/>
              <w:rPr>
                <w:sz w:val="14"/>
                <w:szCs w:val="18"/>
              </w:rPr>
            </w:pPr>
            <w:r>
              <w:rPr>
                <w:sz w:val="14"/>
              </w:rPr>
              <w:t>28,048,250</w:t>
            </w:r>
          </w:p>
        </w:tc>
        <w:tc>
          <w:tcPr>
            <w:tcW w:w="355" w:type="pct"/>
            <w:tcBorders>
              <w:top w:val="nil"/>
              <w:left w:val="nil"/>
              <w:bottom w:val="single" w:sz="8" w:space="0" w:color="auto"/>
              <w:right w:val="single" w:sz="8" w:space="0" w:color="auto"/>
            </w:tcBorders>
            <w:shd w:val="clear" w:color="auto" w:fill="auto"/>
            <w:noWrap/>
            <w:vAlign w:val="center"/>
            <w:hideMark/>
          </w:tcPr>
          <w:p w14:paraId="547A6969" w14:textId="77777777" w:rsidR="00DD13BF" w:rsidRPr="005C3041" w:rsidRDefault="00DD13BF" w:rsidP="00355A56">
            <w:pPr>
              <w:jc w:val="right"/>
              <w:rPr>
                <w:sz w:val="14"/>
                <w:szCs w:val="18"/>
              </w:rPr>
            </w:pPr>
            <w:r>
              <w:rPr>
                <w:sz w:val="14"/>
              </w:rPr>
              <w:t>28,048,250</w:t>
            </w:r>
          </w:p>
        </w:tc>
        <w:tc>
          <w:tcPr>
            <w:tcW w:w="321" w:type="pct"/>
            <w:tcBorders>
              <w:top w:val="nil"/>
              <w:left w:val="nil"/>
              <w:bottom w:val="single" w:sz="8" w:space="0" w:color="auto"/>
              <w:right w:val="single" w:sz="8" w:space="0" w:color="auto"/>
            </w:tcBorders>
            <w:shd w:val="clear" w:color="auto" w:fill="auto"/>
            <w:noWrap/>
            <w:vAlign w:val="center"/>
            <w:hideMark/>
          </w:tcPr>
          <w:p w14:paraId="772AC89E"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F5F4FAF" w14:textId="77777777" w:rsidR="00DD13BF" w:rsidRPr="005C3041" w:rsidRDefault="00DD13BF" w:rsidP="00355A56">
            <w:pPr>
              <w:jc w:val="right"/>
              <w:rPr>
                <w:sz w:val="14"/>
                <w:szCs w:val="18"/>
              </w:rPr>
            </w:pPr>
            <w:r>
              <w:rPr>
                <w:sz w:val="14"/>
              </w:rPr>
              <w:t>186,988,330</w:t>
            </w:r>
          </w:p>
        </w:tc>
        <w:tc>
          <w:tcPr>
            <w:tcW w:w="336" w:type="pct"/>
            <w:tcBorders>
              <w:top w:val="nil"/>
              <w:left w:val="nil"/>
              <w:bottom w:val="single" w:sz="8" w:space="0" w:color="auto"/>
              <w:right w:val="single" w:sz="8" w:space="0" w:color="auto"/>
            </w:tcBorders>
            <w:shd w:val="clear" w:color="auto" w:fill="auto"/>
            <w:noWrap/>
            <w:vAlign w:val="center"/>
            <w:hideMark/>
          </w:tcPr>
          <w:p w14:paraId="4680B0D5" w14:textId="77777777" w:rsidR="00DD13BF" w:rsidRPr="005C3041" w:rsidRDefault="00DD13BF" w:rsidP="00355A56">
            <w:pPr>
              <w:jc w:val="right"/>
              <w:rPr>
                <w:sz w:val="14"/>
                <w:szCs w:val="18"/>
              </w:rPr>
            </w:pPr>
            <w:r>
              <w:rPr>
                <w:sz w:val="14"/>
              </w:rPr>
              <w:t>0.85</w:t>
            </w:r>
          </w:p>
        </w:tc>
      </w:tr>
      <w:tr w:rsidR="00DD13BF" w:rsidRPr="005C3041" w14:paraId="6ABD5B92" w14:textId="77777777" w:rsidTr="00355A56">
        <w:trPr>
          <w:trHeight w:val="190"/>
        </w:trPr>
        <w:tc>
          <w:tcPr>
            <w:tcW w:w="227" w:type="pct"/>
            <w:vMerge w:val="restart"/>
            <w:tcBorders>
              <w:top w:val="single" w:sz="8" w:space="0" w:color="000000"/>
              <w:left w:val="single" w:sz="8" w:space="0" w:color="auto"/>
              <w:bottom w:val="nil"/>
              <w:right w:val="single" w:sz="8" w:space="0" w:color="auto"/>
            </w:tcBorders>
            <w:shd w:val="clear" w:color="auto" w:fill="auto"/>
            <w:vAlign w:val="center"/>
            <w:hideMark/>
          </w:tcPr>
          <w:p w14:paraId="4F4B7797" w14:textId="77777777" w:rsidR="00DD13BF" w:rsidRPr="005C3041" w:rsidRDefault="00DD13BF" w:rsidP="00355A56">
            <w:pPr>
              <w:rPr>
                <w:sz w:val="14"/>
                <w:szCs w:val="18"/>
              </w:rPr>
            </w:pPr>
            <w:r>
              <w:rPr>
                <w:sz w:val="14"/>
              </w:rPr>
              <w:t>PO 4</w:t>
            </w:r>
          </w:p>
        </w:tc>
        <w:tc>
          <w:tcPr>
            <w:tcW w:w="284" w:type="pct"/>
            <w:vMerge w:val="restart"/>
            <w:tcBorders>
              <w:top w:val="single" w:sz="8" w:space="0" w:color="000000"/>
              <w:left w:val="single" w:sz="8" w:space="0" w:color="auto"/>
              <w:bottom w:val="nil"/>
              <w:right w:val="single" w:sz="8" w:space="0" w:color="auto"/>
            </w:tcBorders>
            <w:shd w:val="clear" w:color="auto" w:fill="auto"/>
            <w:vAlign w:val="center"/>
            <w:hideMark/>
          </w:tcPr>
          <w:p w14:paraId="1D37B147" w14:textId="77777777" w:rsidR="00DD13BF" w:rsidRPr="005C3041" w:rsidRDefault="00DD13BF" w:rsidP="00355A56">
            <w:pPr>
              <w:rPr>
                <w:sz w:val="14"/>
                <w:szCs w:val="18"/>
              </w:rPr>
            </w:pPr>
            <w:r>
              <w:rPr>
                <w:sz w:val="14"/>
              </w:rPr>
              <w:t>Priority 8</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7C98A6F6"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074A3816"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45565C43"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1D1E5FFE"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1554B19" w14:textId="77777777" w:rsidR="00DD13BF" w:rsidRPr="005C3041" w:rsidRDefault="00DD13BF" w:rsidP="00355A56">
            <w:pPr>
              <w:jc w:val="right"/>
              <w:rPr>
                <w:sz w:val="14"/>
                <w:szCs w:val="18"/>
              </w:rPr>
            </w:pPr>
            <w:r>
              <w:rPr>
                <w:sz w:val="14"/>
              </w:rPr>
              <w:t> 0</w:t>
            </w:r>
          </w:p>
        </w:tc>
        <w:tc>
          <w:tcPr>
            <w:tcW w:w="350" w:type="pct"/>
            <w:tcBorders>
              <w:top w:val="nil"/>
              <w:left w:val="nil"/>
              <w:bottom w:val="single" w:sz="8" w:space="0" w:color="auto"/>
              <w:right w:val="single" w:sz="8" w:space="0" w:color="auto"/>
            </w:tcBorders>
            <w:shd w:val="clear" w:color="auto" w:fill="auto"/>
            <w:noWrap/>
            <w:vAlign w:val="center"/>
            <w:hideMark/>
          </w:tcPr>
          <w:p w14:paraId="302EBDEC" w14:textId="77777777" w:rsidR="00DD13BF" w:rsidRPr="005C3041" w:rsidRDefault="00DD13BF" w:rsidP="00355A56">
            <w:pPr>
              <w:jc w:val="right"/>
              <w:rPr>
                <w:sz w:val="14"/>
                <w:szCs w:val="18"/>
              </w:rPr>
            </w:pPr>
            <w:r>
              <w:rPr>
                <w:sz w:val="14"/>
              </w:rPr>
              <w:t> 0</w:t>
            </w:r>
          </w:p>
        </w:tc>
        <w:tc>
          <w:tcPr>
            <w:tcW w:w="304" w:type="pct"/>
            <w:tcBorders>
              <w:top w:val="nil"/>
              <w:left w:val="nil"/>
              <w:bottom w:val="single" w:sz="8" w:space="0" w:color="auto"/>
              <w:right w:val="single" w:sz="8" w:space="0" w:color="auto"/>
            </w:tcBorders>
            <w:shd w:val="clear" w:color="auto" w:fill="auto"/>
            <w:noWrap/>
            <w:vAlign w:val="center"/>
            <w:hideMark/>
          </w:tcPr>
          <w:p w14:paraId="0C38D749"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7BA7C91B"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6EDB1CD9"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66EE9D67" w14:textId="77777777" w:rsidR="00DD13BF" w:rsidRPr="005C3041" w:rsidRDefault="00DD13BF" w:rsidP="00355A56">
            <w:pPr>
              <w:jc w:val="right"/>
              <w:rPr>
                <w:sz w:val="14"/>
                <w:szCs w:val="18"/>
              </w:rPr>
            </w:pPr>
            <w:r>
              <w:rPr>
                <w:sz w:val="14"/>
              </w:rPr>
              <w:t> 0</w:t>
            </w:r>
          </w:p>
        </w:tc>
        <w:tc>
          <w:tcPr>
            <w:tcW w:w="321" w:type="pct"/>
            <w:tcBorders>
              <w:top w:val="nil"/>
              <w:left w:val="nil"/>
              <w:bottom w:val="single" w:sz="8" w:space="0" w:color="auto"/>
              <w:right w:val="single" w:sz="8" w:space="0" w:color="auto"/>
            </w:tcBorders>
            <w:shd w:val="clear" w:color="auto" w:fill="auto"/>
            <w:noWrap/>
            <w:vAlign w:val="center"/>
            <w:hideMark/>
          </w:tcPr>
          <w:p w14:paraId="6B1959E6" w14:textId="77777777" w:rsidR="00DD13BF" w:rsidRPr="005C3041" w:rsidRDefault="00DD13BF" w:rsidP="00355A56">
            <w:pPr>
              <w:jc w:val="right"/>
              <w:rPr>
                <w:sz w:val="14"/>
                <w:szCs w:val="18"/>
              </w:rPr>
            </w:pPr>
            <w:r>
              <w:rPr>
                <w:sz w:val="14"/>
              </w:rPr>
              <w:t>0 </w:t>
            </w:r>
          </w:p>
        </w:tc>
        <w:tc>
          <w:tcPr>
            <w:tcW w:w="342" w:type="pct"/>
            <w:tcBorders>
              <w:top w:val="nil"/>
              <w:left w:val="nil"/>
              <w:bottom w:val="single" w:sz="8" w:space="0" w:color="auto"/>
              <w:right w:val="single" w:sz="8" w:space="0" w:color="auto"/>
            </w:tcBorders>
            <w:shd w:val="clear" w:color="auto" w:fill="auto"/>
            <w:noWrap/>
            <w:vAlign w:val="center"/>
            <w:hideMark/>
          </w:tcPr>
          <w:p w14:paraId="469AB275" w14:textId="77777777" w:rsidR="00DD13BF" w:rsidRPr="005C3041" w:rsidRDefault="00DD13BF" w:rsidP="00355A56">
            <w:pPr>
              <w:jc w:val="right"/>
              <w:rPr>
                <w:sz w:val="14"/>
                <w:szCs w:val="18"/>
              </w:rPr>
            </w:pPr>
            <w:r>
              <w:rPr>
                <w:sz w:val="14"/>
              </w:rPr>
              <w:t> 0</w:t>
            </w:r>
          </w:p>
        </w:tc>
        <w:tc>
          <w:tcPr>
            <w:tcW w:w="336" w:type="pct"/>
            <w:tcBorders>
              <w:top w:val="nil"/>
              <w:left w:val="nil"/>
              <w:bottom w:val="single" w:sz="8" w:space="0" w:color="auto"/>
              <w:right w:val="single" w:sz="8" w:space="0" w:color="auto"/>
            </w:tcBorders>
            <w:shd w:val="clear" w:color="auto" w:fill="auto"/>
            <w:noWrap/>
            <w:vAlign w:val="center"/>
            <w:hideMark/>
          </w:tcPr>
          <w:p w14:paraId="37BD0D8B" w14:textId="77777777" w:rsidR="00DD13BF" w:rsidRPr="005C3041" w:rsidRDefault="00DD13BF" w:rsidP="00355A56">
            <w:pPr>
              <w:rPr>
                <w:sz w:val="14"/>
                <w:szCs w:val="18"/>
              </w:rPr>
            </w:pPr>
            <w:r>
              <w:rPr>
                <w:sz w:val="14"/>
              </w:rPr>
              <w:t> </w:t>
            </w:r>
          </w:p>
        </w:tc>
      </w:tr>
      <w:tr w:rsidR="00DD13BF" w:rsidRPr="005C3041" w14:paraId="5E09C8E9" w14:textId="77777777" w:rsidTr="00355A56">
        <w:trPr>
          <w:trHeight w:val="354"/>
        </w:trPr>
        <w:tc>
          <w:tcPr>
            <w:tcW w:w="227" w:type="pct"/>
            <w:vMerge/>
            <w:tcBorders>
              <w:top w:val="single" w:sz="8" w:space="0" w:color="000000"/>
              <w:left w:val="single" w:sz="8" w:space="0" w:color="auto"/>
              <w:bottom w:val="nil"/>
              <w:right w:val="single" w:sz="8" w:space="0" w:color="auto"/>
            </w:tcBorders>
            <w:vAlign w:val="center"/>
            <w:hideMark/>
          </w:tcPr>
          <w:p w14:paraId="7D6ED437" w14:textId="77777777" w:rsidR="00DD13BF" w:rsidRPr="005C3041" w:rsidRDefault="00DD13BF" w:rsidP="00355A56">
            <w:pPr>
              <w:rPr>
                <w:sz w:val="14"/>
                <w:szCs w:val="18"/>
              </w:rPr>
            </w:pPr>
          </w:p>
        </w:tc>
        <w:tc>
          <w:tcPr>
            <w:tcW w:w="284" w:type="pct"/>
            <w:vMerge/>
            <w:tcBorders>
              <w:top w:val="single" w:sz="8" w:space="0" w:color="000000"/>
              <w:left w:val="single" w:sz="8" w:space="0" w:color="auto"/>
              <w:bottom w:val="nil"/>
              <w:right w:val="single" w:sz="8" w:space="0" w:color="auto"/>
            </w:tcBorders>
            <w:vAlign w:val="center"/>
            <w:hideMark/>
          </w:tcPr>
          <w:p w14:paraId="1FD03C91"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12B04073"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0EA530FB"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7254BF4F"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383C2765" w14:textId="77777777" w:rsidR="00DD13BF" w:rsidRPr="005C3041" w:rsidRDefault="00DD13BF" w:rsidP="00355A56">
            <w:pPr>
              <w:jc w:val="right"/>
              <w:rPr>
                <w:sz w:val="14"/>
                <w:szCs w:val="18"/>
              </w:rPr>
            </w:pPr>
            <w:r>
              <w:rPr>
                <w:sz w:val="14"/>
              </w:rPr>
              <w:t>20,349,913</w:t>
            </w:r>
          </w:p>
        </w:tc>
        <w:tc>
          <w:tcPr>
            <w:tcW w:w="342" w:type="pct"/>
            <w:tcBorders>
              <w:top w:val="nil"/>
              <w:left w:val="nil"/>
              <w:bottom w:val="single" w:sz="8" w:space="0" w:color="auto"/>
              <w:right w:val="single" w:sz="8" w:space="0" w:color="auto"/>
            </w:tcBorders>
            <w:shd w:val="clear" w:color="auto" w:fill="auto"/>
            <w:noWrap/>
            <w:vAlign w:val="center"/>
            <w:hideMark/>
          </w:tcPr>
          <w:p w14:paraId="76C02488" w14:textId="77777777" w:rsidR="00DD13BF" w:rsidRPr="005C3041" w:rsidRDefault="00DD13BF" w:rsidP="00355A56">
            <w:pPr>
              <w:jc w:val="right"/>
              <w:rPr>
                <w:sz w:val="14"/>
                <w:szCs w:val="18"/>
              </w:rPr>
            </w:pPr>
            <w:r>
              <w:rPr>
                <w:sz w:val="14"/>
              </w:rPr>
              <w:t>16,826,456</w:t>
            </w:r>
          </w:p>
        </w:tc>
        <w:tc>
          <w:tcPr>
            <w:tcW w:w="350" w:type="pct"/>
            <w:tcBorders>
              <w:top w:val="nil"/>
              <w:left w:val="nil"/>
              <w:bottom w:val="single" w:sz="8" w:space="0" w:color="auto"/>
              <w:right w:val="single" w:sz="8" w:space="0" w:color="auto"/>
            </w:tcBorders>
            <w:shd w:val="clear" w:color="auto" w:fill="auto"/>
            <w:noWrap/>
            <w:vAlign w:val="center"/>
            <w:hideMark/>
          </w:tcPr>
          <w:p w14:paraId="44466340" w14:textId="77777777" w:rsidR="00DD13BF" w:rsidRPr="005C3041" w:rsidRDefault="00DD13BF" w:rsidP="00355A56">
            <w:pPr>
              <w:jc w:val="right"/>
              <w:rPr>
                <w:sz w:val="14"/>
                <w:szCs w:val="18"/>
              </w:rPr>
            </w:pPr>
            <w:r>
              <w:rPr>
                <w:sz w:val="14"/>
              </w:rPr>
              <w:t>588,926</w:t>
            </w:r>
          </w:p>
        </w:tc>
        <w:tc>
          <w:tcPr>
            <w:tcW w:w="304" w:type="pct"/>
            <w:tcBorders>
              <w:top w:val="nil"/>
              <w:left w:val="nil"/>
              <w:bottom w:val="single" w:sz="8" w:space="0" w:color="auto"/>
              <w:right w:val="single" w:sz="8" w:space="0" w:color="auto"/>
            </w:tcBorders>
            <w:shd w:val="clear" w:color="auto" w:fill="auto"/>
            <w:noWrap/>
            <w:vAlign w:val="center"/>
            <w:hideMark/>
          </w:tcPr>
          <w:p w14:paraId="5B5A732D" w14:textId="77777777" w:rsidR="00DD13BF" w:rsidRPr="005C3041" w:rsidRDefault="00DD13BF" w:rsidP="00355A56">
            <w:pPr>
              <w:jc w:val="right"/>
              <w:rPr>
                <w:sz w:val="14"/>
                <w:szCs w:val="18"/>
              </w:rPr>
            </w:pPr>
            <w:r>
              <w:rPr>
                <w:sz w:val="14"/>
              </w:rPr>
              <w:t>2,835,296</w:t>
            </w:r>
          </w:p>
        </w:tc>
        <w:tc>
          <w:tcPr>
            <w:tcW w:w="342" w:type="pct"/>
            <w:tcBorders>
              <w:top w:val="nil"/>
              <w:left w:val="nil"/>
              <w:bottom w:val="single" w:sz="8" w:space="0" w:color="auto"/>
              <w:right w:val="single" w:sz="8" w:space="0" w:color="auto"/>
            </w:tcBorders>
            <w:shd w:val="clear" w:color="auto" w:fill="auto"/>
            <w:noWrap/>
            <w:vAlign w:val="center"/>
            <w:hideMark/>
          </w:tcPr>
          <w:p w14:paraId="380178E3" w14:textId="77777777" w:rsidR="00DD13BF" w:rsidRPr="005C3041" w:rsidRDefault="00DD13BF" w:rsidP="00355A56">
            <w:pPr>
              <w:jc w:val="right"/>
              <w:rPr>
                <w:sz w:val="14"/>
                <w:szCs w:val="18"/>
              </w:rPr>
            </w:pPr>
            <w:r>
              <w:rPr>
                <w:sz w:val="14"/>
              </w:rPr>
              <w:t>99,235</w:t>
            </w:r>
          </w:p>
        </w:tc>
        <w:tc>
          <w:tcPr>
            <w:tcW w:w="355" w:type="pct"/>
            <w:tcBorders>
              <w:top w:val="nil"/>
              <w:left w:val="nil"/>
              <w:bottom w:val="single" w:sz="8" w:space="0" w:color="auto"/>
              <w:right w:val="single" w:sz="8" w:space="0" w:color="auto"/>
            </w:tcBorders>
            <w:shd w:val="clear" w:color="auto" w:fill="auto"/>
            <w:noWrap/>
            <w:vAlign w:val="center"/>
            <w:hideMark/>
          </w:tcPr>
          <w:p w14:paraId="2B8779C1" w14:textId="77777777" w:rsidR="00DD13BF" w:rsidRPr="005C3041" w:rsidRDefault="00DD13BF" w:rsidP="00355A56">
            <w:pPr>
              <w:jc w:val="right"/>
              <w:rPr>
                <w:sz w:val="14"/>
                <w:szCs w:val="18"/>
              </w:rPr>
            </w:pPr>
            <w:r>
              <w:rPr>
                <w:sz w:val="14"/>
              </w:rPr>
              <w:t>3,591,162</w:t>
            </w:r>
          </w:p>
        </w:tc>
        <w:tc>
          <w:tcPr>
            <w:tcW w:w="355" w:type="pct"/>
            <w:tcBorders>
              <w:top w:val="nil"/>
              <w:left w:val="nil"/>
              <w:bottom w:val="single" w:sz="8" w:space="0" w:color="auto"/>
              <w:right w:val="single" w:sz="8" w:space="0" w:color="auto"/>
            </w:tcBorders>
            <w:shd w:val="clear" w:color="auto" w:fill="auto"/>
            <w:noWrap/>
            <w:vAlign w:val="center"/>
            <w:hideMark/>
          </w:tcPr>
          <w:p w14:paraId="07569A10" w14:textId="77777777" w:rsidR="00DD13BF" w:rsidRPr="005C3041" w:rsidRDefault="00DD13BF" w:rsidP="00355A56">
            <w:pPr>
              <w:jc w:val="right"/>
              <w:rPr>
                <w:sz w:val="14"/>
                <w:szCs w:val="18"/>
              </w:rPr>
            </w:pPr>
            <w:r>
              <w:rPr>
                <w:sz w:val="14"/>
              </w:rPr>
              <w:t>3,591,162</w:t>
            </w:r>
          </w:p>
        </w:tc>
        <w:tc>
          <w:tcPr>
            <w:tcW w:w="321" w:type="pct"/>
            <w:tcBorders>
              <w:top w:val="nil"/>
              <w:left w:val="nil"/>
              <w:bottom w:val="single" w:sz="8" w:space="0" w:color="auto"/>
              <w:right w:val="single" w:sz="8" w:space="0" w:color="auto"/>
            </w:tcBorders>
            <w:shd w:val="clear" w:color="auto" w:fill="auto"/>
            <w:noWrap/>
            <w:vAlign w:val="center"/>
            <w:hideMark/>
          </w:tcPr>
          <w:p w14:paraId="20610D17"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463FE473" w14:textId="77777777" w:rsidR="00DD13BF" w:rsidRPr="005C3041" w:rsidRDefault="00DD13BF" w:rsidP="00355A56">
            <w:pPr>
              <w:jc w:val="right"/>
              <w:rPr>
                <w:sz w:val="14"/>
                <w:szCs w:val="18"/>
              </w:rPr>
            </w:pPr>
            <w:r>
              <w:rPr>
                <w:sz w:val="14"/>
              </w:rPr>
              <w:t>23,941,075</w:t>
            </w:r>
          </w:p>
        </w:tc>
        <w:tc>
          <w:tcPr>
            <w:tcW w:w="336" w:type="pct"/>
            <w:tcBorders>
              <w:top w:val="nil"/>
              <w:left w:val="nil"/>
              <w:bottom w:val="single" w:sz="8" w:space="0" w:color="auto"/>
              <w:right w:val="single" w:sz="8" w:space="0" w:color="auto"/>
            </w:tcBorders>
            <w:shd w:val="clear" w:color="auto" w:fill="auto"/>
            <w:noWrap/>
            <w:vAlign w:val="center"/>
            <w:hideMark/>
          </w:tcPr>
          <w:p w14:paraId="1C2BF95B" w14:textId="77777777" w:rsidR="00DD13BF" w:rsidRPr="005C3041" w:rsidRDefault="00DD13BF" w:rsidP="00355A56">
            <w:pPr>
              <w:jc w:val="right"/>
              <w:rPr>
                <w:sz w:val="14"/>
                <w:szCs w:val="18"/>
              </w:rPr>
            </w:pPr>
            <w:r>
              <w:rPr>
                <w:sz w:val="14"/>
              </w:rPr>
              <w:t>0.85</w:t>
            </w:r>
          </w:p>
        </w:tc>
      </w:tr>
      <w:tr w:rsidR="00DD13BF" w:rsidRPr="005C3041" w14:paraId="46F9868C" w14:textId="77777777" w:rsidTr="00355A56">
        <w:trPr>
          <w:trHeight w:val="43"/>
        </w:trPr>
        <w:tc>
          <w:tcPr>
            <w:tcW w:w="227" w:type="pct"/>
            <w:vMerge w:val="restart"/>
            <w:tcBorders>
              <w:top w:val="single" w:sz="8" w:space="0" w:color="auto"/>
              <w:left w:val="single" w:sz="8" w:space="0" w:color="auto"/>
              <w:bottom w:val="nil"/>
              <w:right w:val="single" w:sz="8" w:space="0" w:color="auto"/>
            </w:tcBorders>
            <w:shd w:val="clear" w:color="auto" w:fill="auto"/>
            <w:vAlign w:val="center"/>
            <w:hideMark/>
          </w:tcPr>
          <w:p w14:paraId="386D7CF8" w14:textId="77777777" w:rsidR="00DD13BF" w:rsidRPr="005C3041" w:rsidRDefault="00DD13BF" w:rsidP="00355A56">
            <w:pPr>
              <w:rPr>
                <w:sz w:val="14"/>
                <w:szCs w:val="18"/>
              </w:rPr>
            </w:pPr>
            <w:r>
              <w:rPr>
                <w:sz w:val="14"/>
              </w:rPr>
              <w:t>PO 5</w:t>
            </w:r>
          </w:p>
        </w:tc>
        <w:tc>
          <w:tcPr>
            <w:tcW w:w="284" w:type="pct"/>
            <w:vMerge w:val="restart"/>
            <w:tcBorders>
              <w:top w:val="single" w:sz="8" w:space="0" w:color="auto"/>
              <w:left w:val="single" w:sz="8" w:space="0" w:color="auto"/>
              <w:bottom w:val="nil"/>
              <w:right w:val="single" w:sz="8" w:space="0" w:color="auto"/>
            </w:tcBorders>
            <w:shd w:val="clear" w:color="auto" w:fill="auto"/>
            <w:vAlign w:val="center"/>
            <w:hideMark/>
          </w:tcPr>
          <w:p w14:paraId="5B600644" w14:textId="77777777" w:rsidR="00DD13BF" w:rsidRPr="005C3041" w:rsidRDefault="00DD13BF" w:rsidP="00355A56">
            <w:pPr>
              <w:rPr>
                <w:sz w:val="14"/>
                <w:szCs w:val="18"/>
              </w:rPr>
            </w:pPr>
            <w:r>
              <w:rPr>
                <w:sz w:val="14"/>
              </w:rPr>
              <w:t>Priority 9</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0DDD462F" w14:textId="77777777" w:rsidR="00DD13BF" w:rsidRPr="005C3041" w:rsidRDefault="00DD13BF" w:rsidP="00355A56">
            <w:pPr>
              <w:rPr>
                <w:sz w:val="14"/>
                <w:szCs w:val="18"/>
              </w:rPr>
            </w:pPr>
            <w:r>
              <w:rPr>
                <w:sz w:val="14"/>
              </w:rPr>
              <w:t>Public/total</w:t>
            </w:r>
          </w:p>
        </w:tc>
        <w:tc>
          <w:tcPr>
            <w:tcW w:w="512" w:type="pct"/>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7CDA26A1" w14:textId="77777777" w:rsidR="00DD13BF" w:rsidRPr="005C3041" w:rsidRDefault="00DD13BF" w:rsidP="00355A56">
            <w:pPr>
              <w:rPr>
                <w:sz w:val="14"/>
                <w:szCs w:val="18"/>
              </w:rPr>
            </w:pPr>
            <w:r>
              <w:rPr>
                <w:sz w:val="14"/>
              </w:rPr>
              <w:t>ERDF</w:t>
            </w:r>
          </w:p>
        </w:tc>
        <w:tc>
          <w:tcPr>
            <w:tcW w:w="271" w:type="pct"/>
            <w:tcBorders>
              <w:top w:val="nil"/>
              <w:left w:val="nil"/>
              <w:bottom w:val="single" w:sz="8" w:space="0" w:color="auto"/>
              <w:right w:val="single" w:sz="8" w:space="0" w:color="auto"/>
            </w:tcBorders>
            <w:shd w:val="clear" w:color="auto" w:fill="auto"/>
            <w:vAlign w:val="center"/>
            <w:hideMark/>
          </w:tcPr>
          <w:p w14:paraId="5808D91C"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667DF34B" w14:textId="77777777" w:rsidR="00DD13BF" w:rsidRPr="005C3041" w:rsidRDefault="00DD13BF" w:rsidP="00355A56">
            <w:pPr>
              <w:jc w:val="right"/>
              <w:rPr>
                <w:sz w:val="14"/>
                <w:szCs w:val="18"/>
              </w:rPr>
            </w:pPr>
            <w:r>
              <w:rPr>
                <w:sz w:val="14"/>
              </w:rPr>
              <w:t>18,244,952</w:t>
            </w:r>
          </w:p>
        </w:tc>
        <w:tc>
          <w:tcPr>
            <w:tcW w:w="342" w:type="pct"/>
            <w:tcBorders>
              <w:top w:val="nil"/>
              <w:left w:val="nil"/>
              <w:bottom w:val="single" w:sz="8" w:space="0" w:color="auto"/>
              <w:right w:val="single" w:sz="8" w:space="0" w:color="auto"/>
            </w:tcBorders>
            <w:shd w:val="clear" w:color="auto" w:fill="auto"/>
            <w:noWrap/>
            <w:vAlign w:val="center"/>
            <w:hideMark/>
          </w:tcPr>
          <w:p w14:paraId="08EB6236" w14:textId="77777777" w:rsidR="00DD13BF" w:rsidRPr="005C3041" w:rsidRDefault="00DD13BF" w:rsidP="00355A56">
            <w:pPr>
              <w:jc w:val="right"/>
              <w:rPr>
                <w:sz w:val="14"/>
                <w:szCs w:val="18"/>
              </w:rPr>
            </w:pPr>
            <w:r>
              <w:rPr>
                <w:sz w:val="14"/>
              </w:rPr>
              <w:t>15,085,775</w:t>
            </w:r>
          </w:p>
        </w:tc>
        <w:tc>
          <w:tcPr>
            <w:tcW w:w="350" w:type="pct"/>
            <w:tcBorders>
              <w:top w:val="nil"/>
              <w:left w:val="nil"/>
              <w:bottom w:val="single" w:sz="8" w:space="0" w:color="auto"/>
              <w:right w:val="single" w:sz="8" w:space="0" w:color="auto"/>
            </w:tcBorders>
            <w:shd w:val="clear" w:color="auto" w:fill="auto"/>
            <w:noWrap/>
            <w:vAlign w:val="center"/>
            <w:hideMark/>
          </w:tcPr>
          <w:p w14:paraId="49235C8D" w14:textId="77777777" w:rsidR="00DD13BF" w:rsidRPr="005C3041" w:rsidRDefault="00DD13BF" w:rsidP="00355A56">
            <w:pPr>
              <w:jc w:val="right"/>
              <w:rPr>
                <w:sz w:val="14"/>
                <w:szCs w:val="18"/>
              </w:rPr>
            </w:pPr>
            <w:r>
              <w:rPr>
                <w:sz w:val="14"/>
              </w:rPr>
              <w:t>528,002</w:t>
            </w:r>
          </w:p>
        </w:tc>
        <w:tc>
          <w:tcPr>
            <w:tcW w:w="304" w:type="pct"/>
            <w:tcBorders>
              <w:top w:val="nil"/>
              <w:left w:val="nil"/>
              <w:bottom w:val="single" w:sz="8" w:space="0" w:color="auto"/>
              <w:right w:val="single" w:sz="8" w:space="0" w:color="auto"/>
            </w:tcBorders>
            <w:shd w:val="clear" w:color="auto" w:fill="auto"/>
            <w:noWrap/>
            <w:vAlign w:val="center"/>
            <w:hideMark/>
          </w:tcPr>
          <w:p w14:paraId="6CA26A22" w14:textId="77777777" w:rsidR="00DD13BF" w:rsidRPr="005C3041" w:rsidRDefault="00DD13BF" w:rsidP="00355A56">
            <w:pPr>
              <w:jc w:val="right"/>
              <w:rPr>
                <w:sz w:val="14"/>
                <w:szCs w:val="18"/>
              </w:rPr>
            </w:pPr>
            <w:r>
              <w:rPr>
                <w:sz w:val="14"/>
              </w:rPr>
              <w:t>2,542,198</w:t>
            </w:r>
          </w:p>
        </w:tc>
        <w:tc>
          <w:tcPr>
            <w:tcW w:w="342" w:type="pct"/>
            <w:tcBorders>
              <w:top w:val="nil"/>
              <w:left w:val="nil"/>
              <w:bottom w:val="single" w:sz="8" w:space="0" w:color="auto"/>
              <w:right w:val="single" w:sz="8" w:space="0" w:color="auto"/>
            </w:tcBorders>
            <w:shd w:val="clear" w:color="auto" w:fill="auto"/>
            <w:noWrap/>
            <w:vAlign w:val="center"/>
            <w:hideMark/>
          </w:tcPr>
          <w:p w14:paraId="2DCE7D2F" w14:textId="77777777" w:rsidR="00DD13BF" w:rsidRPr="005C3041" w:rsidRDefault="00DD13BF" w:rsidP="00355A56">
            <w:pPr>
              <w:jc w:val="right"/>
              <w:rPr>
                <w:sz w:val="14"/>
                <w:szCs w:val="18"/>
              </w:rPr>
            </w:pPr>
            <w:r>
              <w:rPr>
                <w:sz w:val="14"/>
              </w:rPr>
              <w:t>88,977</w:t>
            </w:r>
          </w:p>
        </w:tc>
        <w:tc>
          <w:tcPr>
            <w:tcW w:w="355" w:type="pct"/>
            <w:tcBorders>
              <w:top w:val="nil"/>
              <w:left w:val="nil"/>
              <w:bottom w:val="single" w:sz="8" w:space="0" w:color="auto"/>
              <w:right w:val="single" w:sz="8" w:space="0" w:color="auto"/>
            </w:tcBorders>
            <w:shd w:val="clear" w:color="auto" w:fill="auto"/>
            <w:noWrap/>
            <w:vAlign w:val="center"/>
            <w:hideMark/>
          </w:tcPr>
          <w:p w14:paraId="65A53E07" w14:textId="77777777" w:rsidR="00DD13BF" w:rsidRPr="005C3041" w:rsidRDefault="00DD13BF" w:rsidP="00355A56">
            <w:pPr>
              <w:jc w:val="right"/>
              <w:rPr>
                <w:sz w:val="14"/>
                <w:szCs w:val="18"/>
              </w:rPr>
            </w:pPr>
            <w:r>
              <w:rPr>
                <w:sz w:val="14"/>
              </w:rPr>
              <w:t>27,367,428</w:t>
            </w:r>
          </w:p>
        </w:tc>
        <w:tc>
          <w:tcPr>
            <w:tcW w:w="355" w:type="pct"/>
            <w:tcBorders>
              <w:top w:val="nil"/>
              <w:left w:val="nil"/>
              <w:bottom w:val="single" w:sz="8" w:space="0" w:color="auto"/>
              <w:right w:val="single" w:sz="8" w:space="0" w:color="auto"/>
            </w:tcBorders>
            <w:shd w:val="clear" w:color="auto" w:fill="auto"/>
            <w:noWrap/>
            <w:vAlign w:val="center"/>
            <w:hideMark/>
          </w:tcPr>
          <w:p w14:paraId="0F49771A" w14:textId="77777777" w:rsidR="00DD13BF" w:rsidRPr="005C3041" w:rsidRDefault="00DD13BF" w:rsidP="00355A56">
            <w:pPr>
              <w:jc w:val="right"/>
              <w:rPr>
                <w:sz w:val="14"/>
                <w:szCs w:val="18"/>
              </w:rPr>
            </w:pPr>
            <w:r>
              <w:rPr>
                <w:sz w:val="14"/>
              </w:rPr>
              <w:t>27,367,428</w:t>
            </w:r>
          </w:p>
        </w:tc>
        <w:tc>
          <w:tcPr>
            <w:tcW w:w="321" w:type="pct"/>
            <w:tcBorders>
              <w:top w:val="nil"/>
              <w:left w:val="nil"/>
              <w:bottom w:val="single" w:sz="8" w:space="0" w:color="auto"/>
              <w:right w:val="single" w:sz="8" w:space="0" w:color="auto"/>
            </w:tcBorders>
            <w:shd w:val="clear" w:color="auto" w:fill="auto"/>
            <w:noWrap/>
            <w:vAlign w:val="center"/>
            <w:hideMark/>
          </w:tcPr>
          <w:p w14:paraId="106ACAC8"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BF2262E" w14:textId="77777777" w:rsidR="00DD13BF" w:rsidRPr="005C3041" w:rsidRDefault="00DD13BF" w:rsidP="00355A56">
            <w:pPr>
              <w:jc w:val="right"/>
              <w:rPr>
                <w:sz w:val="14"/>
                <w:szCs w:val="18"/>
              </w:rPr>
            </w:pPr>
            <w:r>
              <w:rPr>
                <w:sz w:val="14"/>
              </w:rPr>
              <w:t>45,612,380</w:t>
            </w:r>
          </w:p>
        </w:tc>
        <w:tc>
          <w:tcPr>
            <w:tcW w:w="336" w:type="pct"/>
            <w:tcBorders>
              <w:top w:val="nil"/>
              <w:left w:val="nil"/>
              <w:bottom w:val="single" w:sz="8" w:space="0" w:color="auto"/>
              <w:right w:val="single" w:sz="8" w:space="0" w:color="auto"/>
            </w:tcBorders>
            <w:shd w:val="clear" w:color="auto" w:fill="auto"/>
            <w:noWrap/>
            <w:vAlign w:val="center"/>
            <w:hideMark/>
          </w:tcPr>
          <w:p w14:paraId="43AFB683" w14:textId="77777777" w:rsidR="00DD13BF" w:rsidRPr="005C3041" w:rsidRDefault="00DD13BF" w:rsidP="00355A56">
            <w:pPr>
              <w:jc w:val="right"/>
              <w:rPr>
                <w:sz w:val="14"/>
                <w:szCs w:val="18"/>
              </w:rPr>
            </w:pPr>
            <w:r>
              <w:rPr>
                <w:sz w:val="14"/>
              </w:rPr>
              <w:t>0.4</w:t>
            </w:r>
          </w:p>
        </w:tc>
      </w:tr>
      <w:tr w:rsidR="00DD13BF" w:rsidRPr="005C3041" w14:paraId="62CF2916" w14:textId="77777777" w:rsidTr="00355A56">
        <w:trPr>
          <w:trHeight w:val="142"/>
        </w:trPr>
        <w:tc>
          <w:tcPr>
            <w:tcW w:w="227" w:type="pct"/>
            <w:vMerge/>
            <w:tcBorders>
              <w:top w:val="single" w:sz="8" w:space="0" w:color="auto"/>
              <w:left w:val="single" w:sz="8" w:space="0" w:color="auto"/>
              <w:bottom w:val="nil"/>
              <w:right w:val="single" w:sz="8" w:space="0" w:color="auto"/>
            </w:tcBorders>
            <w:vAlign w:val="center"/>
            <w:hideMark/>
          </w:tcPr>
          <w:p w14:paraId="6DAB8338"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nil"/>
              <w:right w:val="single" w:sz="8" w:space="0" w:color="auto"/>
            </w:tcBorders>
            <w:vAlign w:val="center"/>
            <w:hideMark/>
          </w:tcPr>
          <w:p w14:paraId="67D5FDCB"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177637BB"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2D44B263"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3F7C554F"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1FE18D45" w14:textId="77777777" w:rsidR="00DD13BF" w:rsidRPr="005C3041" w:rsidRDefault="00DD13BF" w:rsidP="00355A56">
            <w:pPr>
              <w:jc w:val="right"/>
              <w:rPr>
                <w:sz w:val="14"/>
                <w:szCs w:val="18"/>
              </w:rPr>
            </w:pPr>
            <w:r>
              <w:rPr>
                <w:sz w:val="14"/>
              </w:rPr>
              <w:t>69,968,910</w:t>
            </w:r>
          </w:p>
        </w:tc>
        <w:tc>
          <w:tcPr>
            <w:tcW w:w="342" w:type="pct"/>
            <w:tcBorders>
              <w:top w:val="nil"/>
              <w:left w:val="nil"/>
              <w:bottom w:val="single" w:sz="8" w:space="0" w:color="auto"/>
              <w:right w:val="single" w:sz="8" w:space="0" w:color="auto"/>
            </w:tcBorders>
            <w:shd w:val="clear" w:color="auto" w:fill="auto"/>
            <w:noWrap/>
            <w:vAlign w:val="center"/>
            <w:hideMark/>
          </w:tcPr>
          <w:p w14:paraId="2AF5542E" w14:textId="77777777" w:rsidR="00DD13BF" w:rsidRPr="005C3041" w:rsidRDefault="00DD13BF" w:rsidP="00355A56">
            <w:pPr>
              <w:jc w:val="right"/>
              <w:rPr>
                <w:sz w:val="14"/>
                <w:szCs w:val="18"/>
              </w:rPr>
            </w:pPr>
            <w:r>
              <w:rPr>
                <w:sz w:val="14"/>
              </w:rPr>
              <w:t>57,854,242</w:t>
            </w:r>
          </w:p>
        </w:tc>
        <w:tc>
          <w:tcPr>
            <w:tcW w:w="350" w:type="pct"/>
            <w:tcBorders>
              <w:top w:val="nil"/>
              <w:left w:val="nil"/>
              <w:bottom w:val="single" w:sz="8" w:space="0" w:color="auto"/>
              <w:right w:val="single" w:sz="8" w:space="0" w:color="auto"/>
            </w:tcBorders>
            <w:shd w:val="clear" w:color="auto" w:fill="auto"/>
            <w:noWrap/>
            <w:vAlign w:val="center"/>
            <w:hideMark/>
          </w:tcPr>
          <w:p w14:paraId="20AB2076" w14:textId="77777777" w:rsidR="00DD13BF" w:rsidRPr="005C3041" w:rsidRDefault="00DD13BF" w:rsidP="00355A56">
            <w:pPr>
              <w:jc w:val="right"/>
              <w:rPr>
                <w:sz w:val="14"/>
                <w:szCs w:val="18"/>
              </w:rPr>
            </w:pPr>
            <w:r>
              <w:rPr>
                <w:sz w:val="14"/>
              </w:rPr>
              <w:t>2,024,898</w:t>
            </w:r>
          </w:p>
        </w:tc>
        <w:tc>
          <w:tcPr>
            <w:tcW w:w="304" w:type="pct"/>
            <w:tcBorders>
              <w:top w:val="nil"/>
              <w:left w:val="nil"/>
              <w:bottom w:val="single" w:sz="8" w:space="0" w:color="auto"/>
              <w:right w:val="single" w:sz="8" w:space="0" w:color="auto"/>
            </w:tcBorders>
            <w:shd w:val="clear" w:color="auto" w:fill="auto"/>
            <w:noWrap/>
            <w:vAlign w:val="center"/>
            <w:hideMark/>
          </w:tcPr>
          <w:p w14:paraId="600907BC" w14:textId="77777777" w:rsidR="00DD13BF" w:rsidRPr="005C3041" w:rsidRDefault="00DD13BF" w:rsidP="00355A56">
            <w:pPr>
              <w:jc w:val="right"/>
              <w:rPr>
                <w:sz w:val="14"/>
                <w:szCs w:val="18"/>
              </w:rPr>
            </w:pPr>
            <w:r>
              <w:rPr>
                <w:sz w:val="14"/>
              </w:rPr>
              <w:t>9,748,570</w:t>
            </w:r>
          </w:p>
        </w:tc>
        <w:tc>
          <w:tcPr>
            <w:tcW w:w="342" w:type="pct"/>
            <w:tcBorders>
              <w:top w:val="nil"/>
              <w:left w:val="nil"/>
              <w:bottom w:val="single" w:sz="8" w:space="0" w:color="auto"/>
              <w:right w:val="single" w:sz="8" w:space="0" w:color="auto"/>
            </w:tcBorders>
            <w:shd w:val="clear" w:color="auto" w:fill="auto"/>
            <w:noWrap/>
            <w:vAlign w:val="center"/>
            <w:hideMark/>
          </w:tcPr>
          <w:p w14:paraId="557AB254" w14:textId="77777777" w:rsidR="00DD13BF" w:rsidRPr="005C3041" w:rsidRDefault="00DD13BF" w:rsidP="00355A56">
            <w:pPr>
              <w:jc w:val="right"/>
              <w:rPr>
                <w:sz w:val="14"/>
                <w:szCs w:val="18"/>
              </w:rPr>
            </w:pPr>
            <w:r>
              <w:rPr>
                <w:sz w:val="14"/>
              </w:rPr>
              <w:t>341,200</w:t>
            </w:r>
          </w:p>
        </w:tc>
        <w:tc>
          <w:tcPr>
            <w:tcW w:w="355" w:type="pct"/>
            <w:tcBorders>
              <w:top w:val="nil"/>
              <w:left w:val="nil"/>
              <w:bottom w:val="single" w:sz="8" w:space="0" w:color="auto"/>
              <w:right w:val="single" w:sz="8" w:space="0" w:color="auto"/>
            </w:tcBorders>
            <w:shd w:val="clear" w:color="auto" w:fill="auto"/>
            <w:noWrap/>
            <w:vAlign w:val="center"/>
            <w:hideMark/>
          </w:tcPr>
          <w:p w14:paraId="5F182418" w14:textId="77777777" w:rsidR="00DD13BF" w:rsidRPr="005C3041" w:rsidRDefault="00DD13BF" w:rsidP="00355A56">
            <w:pPr>
              <w:jc w:val="right"/>
              <w:rPr>
                <w:sz w:val="14"/>
                <w:szCs w:val="18"/>
              </w:rPr>
            </w:pPr>
            <w:r>
              <w:rPr>
                <w:sz w:val="14"/>
              </w:rPr>
              <w:t>12,347,455</w:t>
            </w:r>
          </w:p>
        </w:tc>
        <w:tc>
          <w:tcPr>
            <w:tcW w:w="355" w:type="pct"/>
            <w:tcBorders>
              <w:top w:val="nil"/>
              <w:left w:val="nil"/>
              <w:bottom w:val="single" w:sz="8" w:space="0" w:color="auto"/>
              <w:right w:val="single" w:sz="8" w:space="0" w:color="auto"/>
            </w:tcBorders>
            <w:shd w:val="clear" w:color="auto" w:fill="auto"/>
            <w:noWrap/>
            <w:vAlign w:val="center"/>
            <w:hideMark/>
          </w:tcPr>
          <w:p w14:paraId="3C2D95EB" w14:textId="77777777" w:rsidR="00DD13BF" w:rsidRPr="005C3041" w:rsidRDefault="00DD13BF" w:rsidP="00355A56">
            <w:pPr>
              <w:jc w:val="right"/>
              <w:rPr>
                <w:sz w:val="14"/>
                <w:szCs w:val="18"/>
              </w:rPr>
            </w:pPr>
            <w:r>
              <w:rPr>
                <w:sz w:val="14"/>
              </w:rPr>
              <w:t>12,347,455</w:t>
            </w:r>
          </w:p>
        </w:tc>
        <w:tc>
          <w:tcPr>
            <w:tcW w:w="321" w:type="pct"/>
            <w:tcBorders>
              <w:top w:val="nil"/>
              <w:left w:val="nil"/>
              <w:bottom w:val="single" w:sz="8" w:space="0" w:color="auto"/>
              <w:right w:val="single" w:sz="8" w:space="0" w:color="auto"/>
            </w:tcBorders>
            <w:shd w:val="clear" w:color="auto" w:fill="auto"/>
            <w:noWrap/>
            <w:vAlign w:val="center"/>
            <w:hideMark/>
          </w:tcPr>
          <w:p w14:paraId="3BDD331C"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2FFE91BD" w14:textId="77777777" w:rsidR="00DD13BF" w:rsidRPr="005C3041" w:rsidRDefault="00DD13BF" w:rsidP="00355A56">
            <w:pPr>
              <w:jc w:val="right"/>
              <w:rPr>
                <w:sz w:val="14"/>
                <w:szCs w:val="18"/>
              </w:rPr>
            </w:pPr>
            <w:r>
              <w:rPr>
                <w:sz w:val="14"/>
              </w:rPr>
              <w:t>82,316,365</w:t>
            </w:r>
          </w:p>
        </w:tc>
        <w:tc>
          <w:tcPr>
            <w:tcW w:w="336" w:type="pct"/>
            <w:tcBorders>
              <w:top w:val="nil"/>
              <w:left w:val="nil"/>
              <w:bottom w:val="single" w:sz="8" w:space="0" w:color="auto"/>
              <w:right w:val="single" w:sz="8" w:space="0" w:color="auto"/>
            </w:tcBorders>
            <w:shd w:val="clear" w:color="auto" w:fill="auto"/>
            <w:noWrap/>
            <w:vAlign w:val="center"/>
            <w:hideMark/>
          </w:tcPr>
          <w:p w14:paraId="5429CDF6" w14:textId="77777777" w:rsidR="00DD13BF" w:rsidRPr="005C3041" w:rsidRDefault="00DD13BF" w:rsidP="00355A56">
            <w:pPr>
              <w:jc w:val="right"/>
              <w:rPr>
                <w:sz w:val="14"/>
                <w:szCs w:val="18"/>
              </w:rPr>
            </w:pPr>
            <w:r>
              <w:rPr>
                <w:sz w:val="14"/>
              </w:rPr>
              <w:t>0.85</w:t>
            </w:r>
          </w:p>
        </w:tc>
      </w:tr>
      <w:tr w:rsidR="00DD13BF" w:rsidRPr="005C3041" w14:paraId="250AC122" w14:textId="77777777" w:rsidTr="00355A56">
        <w:trPr>
          <w:trHeight w:val="461"/>
        </w:trPr>
        <w:tc>
          <w:tcPr>
            <w:tcW w:w="227" w:type="pct"/>
            <w:vMerge w:val="restart"/>
            <w:tcBorders>
              <w:top w:val="single" w:sz="8" w:space="0" w:color="auto"/>
              <w:left w:val="single" w:sz="8" w:space="0" w:color="auto"/>
              <w:bottom w:val="nil"/>
              <w:right w:val="single" w:sz="8" w:space="0" w:color="auto"/>
            </w:tcBorders>
            <w:shd w:val="clear" w:color="auto" w:fill="auto"/>
            <w:vAlign w:val="center"/>
            <w:hideMark/>
          </w:tcPr>
          <w:p w14:paraId="40681F36" w14:textId="77777777" w:rsidR="00DD13BF" w:rsidRPr="005C3041" w:rsidRDefault="00DD13BF" w:rsidP="00355A56">
            <w:pPr>
              <w:rPr>
                <w:sz w:val="14"/>
                <w:szCs w:val="18"/>
              </w:rPr>
            </w:pPr>
            <w:r>
              <w:rPr>
                <w:sz w:val="14"/>
              </w:rPr>
              <w:t>JTF</w:t>
            </w:r>
          </w:p>
        </w:tc>
        <w:tc>
          <w:tcPr>
            <w:tcW w:w="284" w:type="pct"/>
            <w:vMerge w:val="restart"/>
            <w:tcBorders>
              <w:top w:val="single" w:sz="8" w:space="0" w:color="auto"/>
              <w:left w:val="single" w:sz="8" w:space="0" w:color="auto"/>
              <w:bottom w:val="nil"/>
              <w:right w:val="single" w:sz="8" w:space="0" w:color="auto"/>
            </w:tcBorders>
            <w:shd w:val="clear" w:color="auto" w:fill="auto"/>
            <w:vAlign w:val="center"/>
            <w:hideMark/>
          </w:tcPr>
          <w:p w14:paraId="75823BDF" w14:textId="77777777" w:rsidR="00DD13BF" w:rsidRPr="005C3041" w:rsidRDefault="00DD13BF" w:rsidP="00355A56">
            <w:pPr>
              <w:rPr>
                <w:sz w:val="14"/>
                <w:szCs w:val="18"/>
              </w:rPr>
            </w:pPr>
            <w:r>
              <w:rPr>
                <w:sz w:val="14"/>
              </w:rPr>
              <w:t>Priority 10</w:t>
            </w:r>
          </w:p>
        </w:tc>
        <w:tc>
          <w:tcPr>
            <w:tcW w:w="262" w:type="pct"/>
            <w:vMerge w:val="restart"/>
            <w:tcBorders>
              <w:top w:val="single" w:sz="8" w:space="0" w:color="auto"/>
              <w:left w:val="single" w:sz="8" w:space="0" w:color="auto"/>
              <w:bottom w:val="nil"/>
              <w:right w:val="single" w:sz="8" w:space="0" w:color="auto"/>
            </w:tcBorders>
            <w:shd w:val="clear" w:color="auto" w:fill="auto"/>
            <w:vAlign w:val="center"/>
            <w:hideMark/>
          </w:tcPr>
          <w:p w14:paraId="203FD160" w14:textId="77777777" w:rsidR="00DD13BF" w:rsidRPr="005C3041" w:rsidRDefault="00DD13BF" w:rsidP="00355A56">
            <w:pPr>
              <w:rPr>
                <w:sz w:val="14"/>
                <w:szCs w:val="18"/>
              </w:rPr>
            </w:pPr>
            <w:r>
              <w:rPr>
                <w:sz w:val="14"/>
              </w:rPr>
              <w:t>Public/total</w:t>
            </w:r>
          </w:p>
        </w:tc>
        <w:tc>
          <w:tcPr>
            <w:tcW w:w="125"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4B5010FD" w14:textId="77777777" w:rsidR="00DD13BF" w:rsidRPr="005C3041" w:rsidRDefault="00DD13BF" w:rsidP="00355A56">
            <w:pPr>
              <w:rPr>
                <w:sz w:val="14"/>
                <w:szCs w:val="18"/>
              </w:rPr>
            </w:pPr>
            <w:r>
              <w:rPr>
                <w:sz w:val="14"/>
              </w:rPr>
              <w:t>JTF</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59A88DD4" w14:textId="77777777" w:rsidR="00DD13BF" w:rsidRPr="005C3041" w:rsidRDefault="00DD13BF" w:rsidP="00355A56">
            <w:pPr>
              <w:rPr>
                <w:sz w:val="14"/>
                <w:szCs w:val="18"/>
              </w:rPr>
            </w:pPr>
            <w:r>
              <w:rPr>
                <w:sz w:val="14"/>
              </w:rPr>
              <w:t>Article 3 JTF Regulation resources</w:t>
            </w:r>
          </w:p>
        </w:tc>
        <w:tc>
          <w:tcPr>
            <w:tcW w:w="271" w:type="pct"/>
            <w:tcBorders>
              <w:top w:val="nil"/>
              <w:left w:val="nil"/>
              <w:bottom w:val="single" w:sz="8" w:space="0" w:color="auto"/>
              <w:right w:val="single" w:sz="8" w:space="0" w:color="auto"/>
            </w:tcBorders>
            <w:shd w:val="clear" w:color="auto" w:fill="auto"/>
            <w:noWrap/>
            <w:vAlign w:val="center"/>
            <w:hideMark/>
          </w:tcPr>
          <w:p w14:paraId="3255E8A4"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vAlign w:val="center"/>
            <w:hideMark/>
          </w:tcPr>
          <w:p w14:paraId="24CAA143" w14:textId="77777777" w:rsidR="00DD13BF" w:rsidRPr="005C3041" w:rsidRDefault="00DD13BF" w:rsidP="00355A56">
            <w:pPr>
              <w:jc w:val="right"/>
              <w:rPr>
                <w:sz w:val="14"/>
                <w:szCs w:val="18"/>
              </w:rPr>
            </w:pPr>
            <w:r>
              <w:rPr>
                <w:sz w:val="14"/>
              </w:rPr>
              <w:t>113,288,670</w:t>
            </w:r>
          </w:p>
        </w:tc>
        <w:tc>
          <w:tcPr>
            <w:tcW w:w="342" w:type="pct"/>
            <w:tcBorders>
              <w:top w:val="nil"/>
              <w:left w:val="nil"/>
              <w:bottom w:val="single" w:sz="8" w:space="0" w:color="auto"/>
              <w:right w:val="single" w:sz="8" w:space="0" w:color="auto"/>
            </w:tcBorders>
            <w:shd w:val="clear" w:color="auto" w:fill="auto"/>
            <w:noWrap/>
            <w:vAlign w:val="center"/>
            <w:hideMark/>
          </w:tcPr>
          <w:p w14:paraId="0C995E56" w14:textId="77777777" w:rsidR="00DD13BF" w:rsidRPr="005C3041" w:rsidRDefault="00DD13BF" w:rsidP="00355A56">
            <w:pPr>
              <w:jc w:val="right"/>
              <w:rPr>
                <w:sz w:val="14"/>
                <w:szCs w:val="18"/>
              </w:rPr>
            </w:pPr>
            <w:r>
              <w:rPr>
                <w:sz w:val="14"/>
              </w:rPr>
              <w:t>92,592,007</w:t>
            </w:r>
          </w:p>
        </w:tc>
        <w:tc>
          <w:tcPr>
            <w:tcW w:w="350" w:type="pct"/>
            <w:tcBorders>
              <w:top w:val="nil"/>
              <w:left w:val="nil"/>
              <w:bottom w:val="single" w:sz="8" w:space="0" w:color="auto"/>
              <w:right w:val="single" w:sz="8" w:space="0" w:color="auto"/>
            </w:tcBorders>
            <w:shd w:val="clear" w:color="auto" w:fill="auto"/>
            <w:noWrap/>
            <w:vAlign w:val="center"/>
            <w:hideMark/>
          </w:tcPr>
          <w:p w14:paraId="72C4B84B" w14:textId="77777777" w:rsidR="00DD13BF" w:rsidRPr="005C3041" w:rsidRDefault="00DD13BF" w:rsidP="00355A56">
            <w:pPr>
              <w:jc w:val="right"/>
              <w:rPr>
                <w:sz w:val="14"/>
                <w:szCs w:val="18"/>
              </w:rPr>
            </w:pPr>
            <w:r>
              <w:rPr>
                <w:sz w:val="14"/>
              </w:rPr>
              <w:t>3,703,680</w:t>
            </w:r>
          </w:p>
        </w:tc>
        <w:tc>
          <w:tcPr>
            <w:tcW w:w="304" w:type="pct"/>
            <w:tcBorders>
              <w:top w:val="nil"/>
              <w:left w:val="nil"/>
              <w:bottom w:val="single" w:sz="8" w:space="0" w:color="auto"/>
              <w:right w:val="single" w:sz="8" w:space="0" w:color="auto"/>
            </w:tcBorders>
            <w:shd w:val="clear" w:color="auto" w:fill="auto"/>
            <w:noWrap/>
            <w:vAlign w:val="center"/>
            <w:hideMark/>
          </w:tcPr>
          <w:p w14:paraId="7FDF1824" w14:textId="77777777" w:rsidR="00DD13BF" w:rsidRPr="005C3041" w:rsidRDefault="00DD13BF" w:rsidP="00355A56">
            <w:pPr>
              <w:jc w:val="right"/>
              <w:rPr>
                <w:sz w:val="14"/>
                <w:szCs w:val="18"/>
              </w:rPr>
            </w:pPr>
            <w:r>
              <w:rPr>
                <w:sz w:val="14"/>
              </w:rPr>
              <w:t>16,339,407</w:t>
            </w:r>
          </w:p>
        </w:tc>
        <w:tc>
          <w:tcPr>
            <w:tcW w:w="342" w:type="pct"/>
            <w:tcBorders>
              <w:top w:val="nil"/>
              <w:left w:val="nil"/>
              <w:bottom w:val="single" w:sz="8" w:space="0" w:color="auto"/>
              <w:right w:val="single" w:sz="8" w:space="0" w:color="auto"/>
            </w:tcBorders>
            <w:shd w:val="clear" w:color="auto" w:fill="auto"/>
            <w:noWrap/>
            <w:vAlign w:val="center"/>
            <w:hideMark/>
          </w:tcPr>
          <w:p w14:paraId="2CAE29DF" w14:textId="77777777" w:rsidR="00DD13BF" w:rsidRPr="005C3041" w:rsidRDefault="00DD13BF" w:rsidP="00355A56">
            <w:pPr>
              <w:jc w:val="right"/>
              <w:rPr>
                <w:sz w:val="14"/>
                <w:szCs w:val="18"/>
              </w:rPr>
            </w:pPr>
            <w:r>
              <w:rPr>
                <w:sz w:val="14"/>
              </w:rPr>
              <w:t>653,576</w:t>
            </w:r>
          </w:p>
        </w:tc>
        <w:tc>
          <w:tcPr>
            <w:tcW w:w="355" w:type="pct"/>
            <w:tcBorders>
              <w:top w:val="nil"/>
              <w:left w:val="nil"/>
              <w:bottom w:val="single" w:sz="8" w:space="0" w:color="auto"/>
              <w:right w:val="single" w:sz="8" w:space="0" w:color="auto"/>
            </w:tcBorders>
            <w:shd w:val="clear" w:color="auto" w:fill="auto"/>
            <w:noWrap/>
            <w:vAlign w:val="center"/>
            <w:hideMark/>
          </w:tcPr>
          <w:p w14:paraId="30890F2D" w14:textId="77777777" w:rsidR="00DD13BF" w:rsidRPr="005C3041" w:rsidRDefault="00DD13BF" w:rsidP="00355A56">
            <w:pPr>
              <w:jc w:val="right"/>
              <w:rPr>
                <w:sz w:val="14"/>
                <w:szCs w:val="18"/>
              </w:rPr>
            </w:pPr>
            <w:r>
              <w:rPr>
                <w:sz w:val="14"/>
              </w:rPr>
              <w:t>19,992,119</w:t>
            </w:r>
          </w:p>
        </w:tc>
        <w:tc>
          <w:tcPr>
            <w:tcW w:w="355" w:type="pct"/>
            <w:tcBorders>
              <w:top w:val="nil"/>
              <w:left w:val="nil"/>
              <w:bottom w:val="single" w:sz="8" w:space="0" w:color="auto"/>
              <w:right w:val="single" w:sz="8" w:space="0" w:color="auto"/>
            </w:tcBorders>
            <w:shd w:val="clear" w:color="auto" w:fill="auto"/>
            <w:noWrap/>
            <w:vAlign w:val="center"/>
            <w:hideMark/>
          </w:tcPr>
          <w:p w14:paraId="15180FE9" w14:textId="77777777" w:rsidR="00DD13BF" w:rsidRPr="005C3041" w:rsidRDefault="00DD13BF" w:rsidP="00355A56">
            <w:pPr>
              <w:jc w:val="right"/>
              <w:rPr>
                <w:sz w:val="14"/>
                <w:szCs w:val="18"/>
              </w:rPr>
            </w:pPr>
            <w:r>
              <w:rPr>
                <w:sz w:val="14"/>
              </w:rPr>
              <w:t>5,766,957</w:t>
            </w:r>
          </w:p>
        </w:tc>
        <w:tc>
          <w:tcPr>
            <w:tcW w:w="321" w:type="pct"/>
            <w:tcBorders>
              <w:top w:val="nil"/>
              <w:left w:val="nil"/>
              <w:bottom w:val="single" w:sz="8" w:space="0" w:color="auto"/>
              <w:right w:val="single" w:sz="8" w:space="0" w:color="auto"/>
            </w:tcBorders>
            <w:shd w:val="clear" w:color="auto" w:fill="auto"/>
            <w:noWrap/>
            <w:vAlign w:val="center"/>
            <w:hideMark/>
          </w:tcPr>
          <w:p w14:paraId="572719F6" w14:textId="77777777" w:rsidR="00DD13BF" w:rsidRPr="005C3041" w:rsidRDefault="00DD13BF" w:rsidP="00355A56">
            <w:pPr>
              <w:jc w:val="right"/>
              <w:rPr>
                <w:sz w:val="14"/>
                <w:szCs w:val="18"/>
              </w:rPr>
            </w:pPr>
            <w:r>
              <w:rPr>
                <w:sz w:val="14"/>
              </w:rPr>
              <w:t>14,225,162</w:t>
            </w:r>
          </w:p>
        </w:tc>
        <w:tc>
          <w:tcPr>
            <w:tcW w:w="342" w:type="pct"/>
            <w:tcBorders>
              <w:top w:val="nil"/>
              <w:left w:val="nil"/>
              <w:bottom w:val="single" w:sz="8" w:space="0" w:color="auto"/>
              <w:right w:val="single" w:sz="8" w:space="0" w:color="auto"/>
            </w:tcBorders>
            <w:shd w:val="clear" w:color="auto" w:fill="auto"/>
            <w:noWrap/>
            <w:vAlign w:val="center"/>
            <w:hideMark/>
          </w:tcPr>
          <w:p w14:paraId="121BD4AD" w14:textId="77777777" w:rsidR="00DD13BF" w:rsidRPr="005C3041" w:rsidRDefault="00DD13BF" w:rsidP="00355A56">
            <w:pPr>
              <w:jc w:val="right"/>
              <w:rPr>
                <w:sz w:val="14"/>
                <w:szCs w:val="18"/>
              </w:rPr>
            </w:pPr>
            <w:r>
              <w:rPr>
                <w:sz w:val="14"/>
              </w:rPr>
              <w:t>133,280,789</w:t>
            </w:r>
          </w:p>
        </w:tc>
        <w:tc>
          <w:tcPr>
            <w:tcW w:w="336" w:type="pct"/>
            <w:tcBorders>
              <w:top w:val="nil"/>
              <w:left w:val="nil"/>
              <w:bottom w:val="single" w:sz="8" w:space="0" w:color="auto"/>
              <w:right w:val="single" w:sz="8" w:space="0" w:color="auto"/>
            </w:tcBorders>
            <w:shd w:val="clear" w:color="auto" w:fill="auto"/>
            <w:noWrap/>
            <w:vAlign w:val="center"/>
            <w:hideMark/>
          </w:tcPr>
          <w:p w14:paraId="50BAB050" w14:textId="77777777" w:rsidR="00DD13BF" w:rsidRPr="005C3041" w:rsidRDefault="00DD13BF" w:rsidP="00355A56">
            <w:pPr>
              <w:jc w:val="right"/>
              <w:rPr>
                <w:sz w:val="14"/>
                <w:szCs w:val="18"/>
              </w:rPr>
            </w:pPr>
            <w:r>
              <w:rPr>
                <w:sz w:val="14"/>
              </w:rPr>
              <w:t>0.85</w:t>
            </w:r>
          </w:p>
        </w:tc>
      </w:tr>
      <w:tr w:rsidR="00DD13BF" w:rsidRPr="005C3041" w14:paraId="668E42CF" w14:textId="77777777" w:rsidTr="00355A56">
        <w:trPr>
          <w:trHeight w:val="43"/>
        </w:trPr>
        <w:tc>
          <w:tcPr>
            <w:tcW w:w="227" w:type="pct"/>
            <w:vMerge/>
            <w:tcBorders>
              <w:top w:val="single" w:sz="8" w:space="0" w:color="auto"/>
              <w:left w:val="single" w:sz="8" w:space="0" w:color="auto"/>
              <w:bottom w:val="nil"/>
              <w:right w:val="single" w:sz="8" w:space="0" w:color="auto"/>
            </w:tcBorders>
            <w:vAlign w:val="center"/>
            <w:hideMark/>
          </w:tcPr>
          <w:p w14:paraId="28A0078D" w14:textId="77777777" w:rsidR="00DD13BF" w:rsidRPr="005C3041" w:rsidRDefault="00DD13BF" w:rsidP="00355A56">
            <w:pPr>
              <w:rPr>
                <w:sz w:val="14"/>
                <w:szCs w:val="18"/>
              </w:rPr>
            </w:pPr>
          </w:p>
        </w:tc>
        <w:tc>
          <w:tcPr>
            <w:tcW w:w="284" w:type="pct"/>
            <w:vMerge/>
            <w:tcBorders>
              <w:top w:val="single" w:sz="8" w:space="0" w:color="auto"/>
              <w:left w:val="single" w:sz="8" w:space="0" w:color="auto"/>
              <w:bottom w:val="nil"/>
              <w:right w:val="single" w:sz="8" w:space="0" w:color="auto"/>
            </w:tcBorders>
            <w:vAlign w:val="center"/>
            <w:hideMark/>
          </w:tcPr>
          <w:p w14:paraId="1E4E69AB"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41387680" w14:textId="77777777" w:rsidR="00DD13BF" w:rsidRPr="005C3041" w:rsidRDefault="00DD13BF" w:rsidP="00355A56">
            <w:pPr>
              <w:rPr>
                <w:sz w:val="14"/>
                <w:szCs w:val="18"/>
              </w:rPr>
            </w:pPr>
          </w:p>
        </w:tc>
        <w:tc>
          <w:tcPr>
            <w:tcW w:w="125" w:type="pct"/>
            <w:vMerge/>
            <w:tcBorders>
              <w:top w:val="single" w:sz="8" w:space="0" w:color="auto"/>
              <w:left w:val="single" w:sz="8" w:space="0" w:color="auto"/>
              <w:bottom w:val="nil"/>
              <w:right w:val="single" w:sz="8" w:space="0" w:color="auto"/>
            </w:tcBorders>
            <w:vAlign w:val="center"/>
            <w:hideMark/>
          </w:tcPr>
          <w:p w14:paraId="2E26DAE0" w14:textId="77777777" w:rsidR="00DD13BF" w:rsidRPr="005C3041" w:rsidRDefault="00DD13BF" w:rsidP="00355A56">
            <w:pPr>
              <w:rPr>
                <w:sz w:val="14"/>
                <w:szCs w:val="18"/>
              </w:rPr>
            </w:pPr>
          </w:p>
        </w:tc>
        <w:tc>
          <w:tcPr>
            <w:tcW w:w="388" w:type="pct"/>
            <w:tcBorders>
              <w:top w:val="nil"/>
              <w:left w:val="nil"/>
              <w:bottom w:val="single" w:sz="8" w:space="0" w:color="auto"/>
              <w:right w:val="single" w:sz="8" w:space="0" w:color="auto"/>
            </w:tcBorders>
            <w:shd w:val="clear" w:color="auto" w:fill="auto"/>
            <w:vAlign w:val="center"/>
            <w:hideMark/>
          </w:tcPr>
          <w:p w14:paraId="23A79D11" w14:textId="77777777" w:rsidR="00DD13BF" w:rsidRPr="005C3041" w:rsidRDefault="00DD13BF" w:rsidP="00355A56">
            <w:pPr>
              <w:rPr>
                <w:sz w:val="14"/>
                <w:szCs w:val="18"/>
              </w:rPr>
            </w:pPr>
            <w:r>
              <w:rPr>
                <w:sz w:val="14"/>
              </w:rPr>
              <w:t>Article 4 JTF Regulation resources</w:t>
            </w:r>
          </w:p>
        </w:tc>
        <w:tc>
          <w:tcPr>
            <w:tcW w:w="271" w:type="pct"/>
            <w:tcBorders>
              <w:top w:val="nil"/>
              <w:left w:val="nil"/>
              <w:bottom w:val="single" w:sz="8" w:space="0" w:color="auto"/>
              <w:right w:val="single" w:sz="8" w:space="0" w:color="auto"/>
            </w:tcBorders>
            <w:shd w:val="clear" w:color="auto" w:fill="auto"/>
            <w:noWrap/>
            <w:vAlign w:val="center"/>
            <w:hideMark/>
          </w:tcPr>
          <w:p w14:paraId="704158E9"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vAlign w:val="center"/>
            <w:hideMark/>
          </w:tcPr>
          <w:p w14:paraId="15FCC447" w14:textId="77777777" w:rsidR="00DD13BF" w:rsidRPr="005C3041" w:rsidRDefault="00DD13BF" w:rsidP="00355A56">
            <w:pPr>
              <w:jc w:val="right"/>
              <w:rPr>
                <w:sz w:val="14"/>
                <w:szCs w:val="18"/>
              </w:rPr>
            </w:pPr>
            <w:r>
              <w:rPr>
                <w:sz w:val="14"/>
              </w:rPr>
              <w:t>145,435,873</w:t>
            </w:r>
          </w:p>
        </w:tc>
        <w:tc>
          <w:tcPr>
            <w:tcW w:w="342" w:type="pct"/>
            <w:tcBorders>
              <w:top w:val="nil"/>
              <w:left w:val="nil"/>
              <w:bottom w:val="single" w:sz="8" w:space="0" w:color="auto"/>
              <w:right w:val="single" w:sz="8" w:space="0" w:color="auto"/>
            </w:tcBorders>
            <w:shd w:val="clear" w:color="auto" w:fill="auto"/>
            <w:noWrap/>
            <w:vAlign w:val="center"/>
            <w:hideMark/>
          </w:tcPr>
          <w:p w14:paraId="1D02A559" w14:textId="77777777" w:rsidR="00DD13BF" w:rsidRPr="005C3041" w:rsidRDefault="00DD13BF" w:rsidP="00355A56">
            <w:pPr>
              <w:jc w:val="right"/>
              <w:rPr>
                <w:sz w:val="14"/>
                <w:szCs w:val="18"/>
              </w:rPr>
            </w:pPr>
            <w:r>
              <w:rPr>
                <w:sz w:val="14"/>
              </w:rPr>
              <w:t>139,842,186</w:t>
            </w:r>
          </w:p>
        </w:tc>
        <w:tc>
          <w:tcPr>
            <w:tcW w:w="350" w:type="pct"/>
            <w:tcBorders>
              <w:top w:val="nil"/>
              <w:left w:val="nil"/>
              <w:bottom w:val="single" w:sz="8" w:space="0" w:color="auto"/>
              <w:right w:val="single" w:sz="8" w:space="0" w:color="auto"/>
            </w:tcBorders>
            <w:shd w:val="clear" w:color="auto" w:fill="auto"/>
            <w:noWrap/>
            <w:vAlign w:val="center"/>
            <w:hideMark/>
          </w:tcPr>
          <w:p w14:paraId="098DFABD" w14:textId="77777777" w:rsidR="00DD13BF" w:rsidRPr="005C3041" w:rsidRDefault="00DD13BF" w:rsidP="00355A56">
            <w:pPr>
              <w:jc w:val="right"/>
              <w:rPr>
                <w:sz w:val="14"/>
                <w:szCs w:val="18"/>
              </w:rPr>
            </w:pPr>
            <w:r>
              <w:rPr>
                <w:sz w:val="14"/>
              </w:rPr>
              <w:t>5,593,687</w:t>
            </w:r>
          </w:p>
        </w:tc>
        <w:tc>
          <w:tcPr>
            <w:tcW w:w="304" w:type="pct"/>
            <w:tcBorders>
              <w:top w:val="nil"/>
              <w:left w:val="nil"/>
              <w:bottom w:val="single" w:sz="8" w:space="0" w:color="auto"/>
              <w:right w:val="single" w:sz="8" w:space="0" w:color="auto"/>
            </w:tcBorders>
            <w:shd w:val="clear" w:color="auto" w:fill="auto"/>
            <w:noWrap/>
            <w:vAlign w:val="center"/>
            <w:hideMark/>
          </w:tcPr>
          <w:p w14:paraId="26D8C901"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65A3E282"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5B358970" w14:textId="77777777" w:rsidR="00DD13BF" w:rsidRPr="005C3041" w:rsidRDefault="00DD13BF" w:rsidP="00355A56">
            <w:pPr>
              <w:jc w:val="right"/>
              <w:rPr>
                <w:sz w:val="14"/>
                <w:szCs w:val="18"/>
              </w:rPr>
            </w:pPr>
            <w:r>
              <w:rPr>
                <w:sz w:val="14"/>
              </w:rPr>
              <w:t>25,665,155</w:t>
            </w:r>
          </w:p>
        </w:tc>
        <w:tc>
          <w:tcPr>
            <w:tcW w:w="355" w:type="pct"/>
            <w:tcBorders>
              <w:top w:val="nil"/>
              <w:left w:val="nil"/>
              <w:bottom w:val="single" w:sz="8" w:space="0" w:color="auto"/>
              <w:right w:val="single" w:sz="8" w:space="0" w:color="auto"/>
            </w:tcBorders>
            <w:shd w:val="clear" w:color="auto" w:fill="auto"/>
            <w:noWrap/>
            <w:vAlign w:val="center"/>
            <w:hideMark/>
          </w:tcPr>
          <w:p w14:paraId="2FE68354" w14:textId="77777777" w:rsidR="00DD13BF" w:rsidRPr="005C3041" w:rsidRDefault="00DD13BF" w:rsidP="00355A56">
            <w:pPr>
              <w:jc w:val="right"/>
              <w:rPr>
                <w:sz w:val="14"/>
                <w:szCs w:val="18"/>
              </w:rPr>
            </w:pPr>
            <w:r>
              <w:rPr>
                <w:sz w:val="14"/>
              </w:rPr>
              <w:t>7,403,410</w:t>
            </w:r>
          </w:p>
        </w:tc>
        <w:tc>
          <w:tcPr>
            <w:tcW w:w="321" w:type="pct"/>
            <w:tcBorders>
              <w:top w:val="nil"/>
              <w:left w:val="nil"/>
              <w:bottom w:val="single" w:sz="8" w:space="0" w:color="auto"/>
              <w:right w:val="single" w:sz="8" w:space="0" w:color="auto"/>
            </w:tcBorders>
            <w:shd w:val="clear" w:color="auto" w:fill="auto"/>
            <w:noWrap/>
            <w:vAlign w:val="center"/>
            <w:hideMark/>
          </w:tcPr>
          <w:p w14:paraId="3948E7BC" w14:textId="77777777" w:rsidR="00DD13BF" w:rsidRPr="005C3041" w:rsidRDefault="00DD13BF" w:rsidP="00355A56">
            <w:pPr>
              <w:jc w:val="right"/>
              <w:rPr>
                <w:sz w:val="14"/>
                <w:szCs w:val="18"/>
              </w:rPr>
            </w:pPr>
            <w:r>
              <w:rPr>
                <w:sz w:val="14"/>
              </w:rPr>
              <w:t>18,261,745</w:t>
            </w:r>
          </w:p>
        </w:tc>
        <w:tc>
          <w:tcPr>
            <w:tcW w:w="342" w:type="pct"/>
            <w:tcBorders>
              <w:top w:val="nil"/>
              <w:left w:val="nil"/>
              <w:bottom w:val="single" w:sz="8" w:space="0" w:color="auto"/>
              <w:right w:val="single" w:sz="8" w:space="0" w:color="auto"/>
            </w:tcBorders>
            <w:shd w:val="clear" w:color="auto" w:fill="auto"/>
            <w:noWrap/>
            <w:vAlign w:val="center"/>
            <w:hideMark/>
          </w:tcPr>
          <w:p w14:paraId="3CEEF64E" w14:textId="77777777" w:rsidR="00DD13BF" w:rsidRPr="005C3041" w:rsidRDefault="00DD13BF" w:rsidP="00355A56">
            <w:pPr>
              <w:jc w:val="right"/>
              <w:rPr>
                <w:sz w:val="14"/>
                <w:szCs w:val="18"/>
              </w:rPr>
            </w:pPr>
            <w:r>
              <w:rPr>
                <w:sz w:val="14"/>
              </w:rPr>
              <w:t>171,101,028</w:t>
            </w:r>
          </w:p>
        </w:tc>
        <w:tc>
          <w:tcPr>
            <w:tcW w:w="336" w:type="pct"/>
            <w:tcBorders>
              <w:top w:val="nil"/>
              <w:left w:val="nil"/>
              <w:bottom w:val="single" w:sz="8" w:space="0" w:color="auto"/>
              <w:right w:val="single" w:sz="8" w:space="0" w:color="auto"/>
            </w:tcBorders>
            <w:shd w:val="clear" w:color="auto" w:fill="auto"/>
            <w:noWrap/>
            <w:vAlign w:val="center"/>
            <w:hideMark/>
          </w:tcPr>
          <w:p w14:paraId="366BF477" w14:textId="77777777" w:rsidR="00DD13BF" w:rsidRPr="005C3041" w:rsidRDefault="00DD13BF" w:rsidP="00355A56">
            <w:pPr>
              <w:jc w:val="right"/>
              <w:rPr>
                <w:sz w:val="14"/>
                <w:szCs w:val="18"/>
              </w:rPr>
            </w:pPr>
            <w:r>
              <w:rPr>
                <w:sz w:val="14"/>
              </w:rPr>
              <w:t>0.85</w:t>
            </w:r>
          </w:p>
        </w:tc>
      </w:tr>
      <w:tr w:rsidR="00DD13BF" w:rsidRPr="005C3041" w14:paraId="08C16889" w14:textId="77777777" w:rsidTr="00355A56">
        <w:trPr>
          <w:trHeight w:val="108"/>
        </w:trPr>
        <w:tc>
          <w:tcPr>
            <w:tcW w:w="511"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7AA5E745" w14:textId="77777777" w:rsidR="00DD13BF" w:rsidRPr="005C3041" w:rsidRDefault="00DD13BF" w:rsidP="00355A56">
            <w:pPr>
              <w:rPr>
                <w:sz w:val="14"/>
                <w:szCs w:val="18"/>
              </w:rPr>
            </w:pPr>
            <w:r>
              <w:rPr>
                <w:sz w:val="14"/>
              </w:rPr>
              <w:t> </w:t>
            </w:r>
          </w:p>
        </w:tc>
        <w:tc>
          <w:tcPr>
            <w:tcW w:w="262"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49A64DBC" w14:textId="77777777" w:rsidR="00DD13BF" w:rsidRPr="005C3041" w:rsidRDefault="00DD13BF" w:rsidP="00355A56">
            <w:pPr>
              <w:rPr>
                <w:sz w:val="14"/>
                <w:szCs w:val="18"/>
              </w:rPr>
            </w:pPr>
            <w:r>
              <w:rPr>
                <w:sz w:val="14"/>
              </w:rPr>
              <w:t> </w:t>
            </w:r>
          </w:p>
        </w:tc>
        <w:tc>
          <w:tcPr>
            <w:tcW w:w="512"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0C00EEF4" w14:textId="77777777" w:rsidR="00DD13BF" w:rsidRPr="005C3041" w:rsidRDefault="00DD13BF" w:rsidP="00355A56">
            <w:pPr>
              <w:rPr>
                <w:sz w:val="14"/>
                <w:szCs w:val="18"/>
              </w:rPr>
            </w:pPr>
            <w:r>
              <w:rPr>
                <w:sz w:val="14"/>
              </w:rPr>
              <w:t>Total ERDF</w:t>
            </w:r>
          </w:p>
        </w:tc>
        <w:tc>
          <w:tcPr>
            <w:tcW w:w="271" w:type="pct"/>
            <w:tcBorders>
              <w:top w:val="nil"/>
              <w:left w:val="nil"/>
              <w:bottom w:val="single" w:sz="8" w:space="0" w:color="auto"/>
              <w:right w:val="single" w:sz="8" w:space="0" w:color="auto"/>
            </w:tcBorders>
            <w:shd w:val="clear" w:color="auto" w:fill="auto"/>
            <w:vAlign w:val="center"/>
            <w:hideMark/>
          </w:tcPr>
          <w:p w14:paraId="1ADBCF53"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7DAD5DF8" w14:textId="77777777" w:rsidR="00DD13BF" w:rsidRPr="005C3041" w:rsidRDefault="00DD13BF" w:rsidP="00355A56">
            <w:pPr>
              <w:jc w:val="right"/>
              <w:rPr>
                <w:sz w:val="14"/>
                <w:szCs w:val="18"/>
              </w:rPr>
            </w:pPr>
            <w:r>
              <w:rPr>
                <w:sz w:val="14"/>
              </w:rPr>
              <w:t>383,621,472</w:t>
            </w:r>
          </w:p>
        </w:tc>
        <w:tc>
          <w:tcPr>
            <w:tcW w:w="342" w:type="pct"/>
            <w:tcBorders>
              <w:top w:val="nil"/>
              <w:left w:val="nil"/>
              <w:bottom w:val="single" w:sz="8" w:space="0" w:color="auto"/>
              <w:right w:val="single" w:sz="8" w:space="0" w:color="auto"/>
            </w:tcBorders>
            <w:shd w:val="clear" w:color="auto" w:fill="auto"/>
            <w:noWrap/>
            <w:vAlign w:val="center"/>
            <w:hideMark/>
          </w:tcPr>
          <w:p w14:paraId="7EFAE37C" w14:textId="77777777" w:rsidR="00DD13BF" w:rsidRPr="005C3041" w:rsidRDefault="00DD13BF" w:rsidP="00355A56">
            <w:pPr>
              <w:jc w:val="right"/>
              <w:rPr>
                <w:sz w:val="14"/>
                <w:szCs w:val="18"/>
              </w:rPr>
            </w:pPr>
            <w:r>
              <w:rPr>
                <w:sz w:val="14"/>
              </w:rPr>
              <w:t>317,196,077</w:t>
            </w:r>
          </w:p>
        </w:tc>
        <w:tc>
          <w:tcPr>
            <w:tcW w:w="350" w:type="pct"/>
            <w:tcBorders>
              <w:top w:val="nil"/>
              <w:left w:val="nil"/>
              <w:bottom w:val="single" w:sz="8" w:space="0" w:color="auto"/>
              <w:right w:val="single" w:sz="8" w:space="0" w:color="auto"/>
            </w:tcBorders>
            <w:shd w:val="clear" w:color="auto" w:fill="auto"/>
            <w:noWrap/>
            <w:vAlign w:val="center"/>
            <w:hideMark/>
          </w:tcPr>
          <w:p w14:paraId="79F5F791" w14:textId="77777777" w:rsidR="00DD13BF" w:rsidRPr="005C3041" w:rsidRDefault="00DD13BF" w:rsidP="00355A56">
            <w:pPr>
              <w:jc w:val="right"/>
              <w:rPr>
                <w:sz w:val="14"/>
                <w:szCs w:val="18"/>
              </w:rPr>
            </w:pPr>
            <w:r>
              <w:rPr>
                <w:sz w:val="14"/>
              </w:rPr>
              <w:t>11,101,863</w:t>
            </w:r>
          </w:p>
        </w:tc>
        <w:tc>
          <w:tcPr>
            <w:tcW w:w="304" w:type="pct"/>
            <w:tcBorders>
              <w:top w:val="nil"/>
              <w:left w:val="nil"/>
              <w:bottom w:val="single" w:sz="8" w:space="0" w:color="auto"/>
              <w:right w:val="single" w:sz="8" w:space="0" w:color="auto"/>
            </w:tcBorders>
            <w:shd w:val="clear" w:color="auto" w:fill="auto"/>
            <w:noWrap/>
            <w:vAlign w:val="center"/>
            <w:hideMark/>
          </w:tcPr>
          <w:p w14:paraId="6C2768B0" w14:textId="77777777" w:rsidR="00DD13BF" w:rsidRPr="005C3041" w:rsidRDefault="00DD13BF" w:rsidP="00355A56">
            <w:pPr>
              <w:jc w:val="right"/>
              <w:rPr>
                <w:sz w:val="14"/>
                <w:szCs w:val="18"/>
              </w:rPr>
            </w:pPr>
            <w:r>
              <w:rPr>
                <w:sz w:val="14"/>
              </w:rPr>
              <w:t>53,452,689</w:t>
            </w:r>
          </w:p>
        </w:tc>
        <w:tc>
          <w:tcPr>
            <w:tcW w:w="342" w:type="pct"/>
            <w:tcBorders>
              <w:top w:val="nil"/>
              <w:left w:val="nil"/>
              <w:bottom w:val="single" w:sz="8" w:space="0" w:color="auto"/>
              <w:right w:val="single" w:sz="8" w:space="0" w:color="auto"/>
            </w:tcBorders>
            <w:shd w:val="clear" w:color="auto" w:fill="auto"/>
            <w:noWrap/>
            <w:vAlign w:val="center"/>
            <w:hideMark/>
          </w:tcPr>
          <w:p w14:paraId="3EE8213F" w14:textId="77777777" w:rsidR="00DD13BF" w:rsidRPr="005C3041" w:rsidRDefault="00DD13BF" w:rsidP="00355A56">
            <w:pPr>
              <w:jc w:val="right"/>
              <w:rPr>
                <w:sz w:val="14"/>
                <w:szCs w:val="18"/>
              </w:rPr>
            </w:pPr>
            <w:r>
              <w:rPr>
                <w:sz w:val="14"/>
              </w:rPr>
              <w:t>1,870,843</w:t>
            </w:r>
          </w:p>
        </w:tc>
        <w:tc>
          <w:tcPr>
            <w:tcW w:w="355" w:type="pct"/>
            <w:tcBorders>
              <w:top w:val="nil"/>
              <w:left w:val="nil"/>
              <w:bottom w:val="single" w:sz="8" w:space="0" w:color="auto"/>
              <w:right w:val="single" w:sz="8" w:space="0" w:color="auto"/>
            </w:tcBorders>
            <w:shd w:val="clear" w:color="auto" w:fill="auto"/>
            <w:noWrap/>
            <w:vAlign w:val="center"/>
            <w:hideMark/>
          </w:tcPr>
          <w:p w14:paraId="6A504AB8" w14:textId="77777777" w:rsidR="00DD13BF" w:rsidRPr="005C3041" w:rsidRDefault="00DD13BF" w:rsidP="00355A56">
            <w:pPr>
              <w:jc w:val="right"/>
              <w:rPr>
                <w:sz w:val="14"/>
                <w:szCs w:val="18"/>
              </w:rPr>
            </w:pPr>
            <w:r>
              <w:rPr>
                <w:sz w:val="14"/>
              </w:rPr>
              <w:t>575,432,209</w:t>
            </w:r>
          </w:p>
        </w:tc>
        <w:tc>
          <w:tcPr>
            <w:tcW w:w="355" w:type="pct"/>
            <w:tcBorders>
              <w:top w:val="nil"/>
              <w:left w:val="nil"/>
              <w:bottom w:val="single" w:sz="8" w:space="0" w:color="auto"/>
              <w:right w:val="single" w:sz="8" w:space="0" w:color="auto"/>
            </w:tcBorders>
            <w:shd w:val="clear" w:color="auto" w:fill="auto"/>
            <w:noWrap/>
            <w:vAlign w:val="center"/>
            <w:hideMark/>
          </w:tcPr>
          <w:p w14:paraId="254F7712" w14:textId="77777777" w:rsidR="00DD13BF" w:rsidRPr="005C3041" w:rsidRDefault="00DD13BF" w:rsidP="00355A56">
            <w:pPr>
              <w:jc w:val="right"/>
              <w:rPr>
                <w:sz w:val="14"/>
                <w:szCs w:val="18"/>
              </w:rPr>
            </w:pPr>
            <w:r>
              <w:rPr>
                <w:sz w:val="14"/>
              </w:rPr>
              <w:t>281,803,656</w:t>
            </w:r>
          </w:p>
        </w:tc>
        <w:tc>
          <w:tcPr>
            <w:tcW w:w="321" w:type="pct"/>
            <w:tcBorders>
              <w:top w:val="nil"/>
              <w:left w:val="nil"/>
              <w:bottom w:val="single" w:sz="8" w:space="0" w:color="auto"/>
              <w:right w:val="single" w:sz="8" w:space="0" w:color="auto"/>
            </w:tcBorders>
            <w:shd w:val="clear" w:color="auto" w:fill="auto"/>
            <w:noWrap/>
            <w:vAlign w:val="center"/>
            <w:hideMark/>
          </w:tcPr>
          <w:p w14:paraId="7497BB89" w14:textId="77777777" w:rsidR="00DD13BF" w:rsidRPr="005C3041" w:rsidRDefault="00DD13BF" w:rsidP="00355A56">
            <w:pPr>
              <w:jc w:val="right"/>
              <w:rPr>
                <w:sz w:val="14"/>
                <w:szCs w:val="18"/>
              </w:rPr>
            </w:pPr>
            <w:r>
              <w:rPr>
                <w:sz w:val="14"/>
              </w:rPr>
              <w:t>293,628,553</w:t>
            </w:r>
          </w:p>
        </w:tc>
        <w:tc>
          <w:tcPr>
            <w:tcW w:w="342" w:type="pct"/>
            <w:tcBorders>
              <w:top w:val="nil"/>
              <w:left w:val="nil"/>
              <w:bottom w:val="single" w:sz="8" w:space="0" w:color="auto"/>
              <w:right w:val="single" w:sz="8" w:space="0" w:color="auto"/>
            </w:tcBorders>
            <w:shd w:val="clear" w:color="auto" w:fill="auto"/>
            <w:noWrap/>
            <w:vAlign w:val="center"/>
            <w:hideMark/>
          </w:tcPr>
          <w:p w14:paraId="7C027A57" w14:textId="77777777" w:rsidR="00DD13BF" w:rsidRPr="005C3041" w:rsidRDefault="00DD13BF" w:rsidP="00355A56">
            <w:pPr>
              <w:jc w:val="right"/>
              <w:rPr>
                <w:sz w:val="14"/>
                <w:szCs w:val="18"/>
              </w:rPr>
            </w:pPr>
            <w:r>
              <w:rPr>
                <w:sz w:val="14"/>
              </w:rPr>
              <w:t>959,053,681</w:t>
            </w:r>
          </w:p>
        </w:tc>
        <w:tc>
          <w:tcPr>
            <w:tcW w:w="336" w:type="pct"/>
            <w:tcBorders>
              <w:top w:val="nil"/>
              <w:left w:val="nil"/>
              <w:bottom w:val="single" w:sz="8" w:space="0" w:color="auto"/>
              <w:right w:val="single" w:sz="8" w:space="0" w:color="auto"/>
            </w:tcBorders>
            <w:shd w:val="clear" w:color="auto" w:fill="auto"/>
            <w:noWrap/>
            <w:vAlign w:val="center"/>
            <w:hideMark/>
          </w:tcPr>
          <w:p w14:paraId="061C5A50" w14:textId="77777777" w:rsidR="00DD13BF" w:rsidRPr="005C3041" w:rsidRDefault="00DD13BF" w:rsidP="00355A56">
            <w:pPr>
              <w:jc w:val="right"/>
              <w:rPr>
                <w:sz w:val="14"/>
                <w:szCs w:val="18"/>
              </w:rPr>
            </w:pPr>
            <w:r>
              <w:rPr>
                <w:sz w:val="14"/>
              </w:rPr>
              <w:t>0.4</w:t>
            </w:r>
          </w:p>
        </w:tc>
      </w:tr>
      <w:tr w:rsidR="00DD13BF" w:rsidRPr="005C3041" w14:paraId="73763D71" w14:textId="77777777" w:rsidTr="00355A56">
        <w:trPr>
          <w:trHeight w:val="43"/>
        </w:trPr>
        <w:tc>
          <w:tcPr>
            <w:tcW w:w="511" w:type="pct"/>
            <w:gridSpan w:val="2"/>
            <w:vMerge/>
            <w:tcBorders>
              <w:top w:val="single" w:sz="8" w:space="0" w:color="auto"/>
              <w:left w:val="single" w:sz="8" w:space="0" w:color="auto"/>
              <w:bottom w:val="nil"/>
              <w:right w:val="single" w:sz="8" w:space="0" w:color="000000"/>
            </w:tcBorders>
            <w:vAlign w:val="center"/>
            <w:hideMark/>
          </w:tcPr>
          <w:p w14:paraId="7ED40F74"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2861E47B"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4E870897"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2D6174C1"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0EC8D92C" w14:textId="77777777" w:rsidR="00DD13BF" w:rsidRPr="005C3041" w:rsidRDefault="00DD13BF" w:rsidP="00355A56">
            <w:pPr>
              <w:jc w:val="right"/>
              <w:rPr>
                <w:sz w:val="14"/>
                <w:szCs w:val="18"/>
              </w:rPr>
            </w:pPr>
            <w:r>
              <w:rPr>
                <w:sz w:val="14"/>
              </w:rPr>
              <w:t>1,216,163,830</w:t>
            </w:r>
          </w:p>
        </w:tc>
        <w:tc>
          <w:tcPr>
            <w:tcW w:w="342" w:type="pct"/>
            <w:tcBorders>
              <w:top w:val="nil"/>
              <w:left w:val="nil"/>
              <w:bottom w:val="single" w:sz="8" w:space="0" w:color="auto"/>
              <w:right w:val="single" w:sz="8" w:space="0" w:color="auto"/>
            </w:tcBorders>
            <w:shd w:val="clear" w:color="auto" w:fill="auto"/>
            <w:noWrap/>
            <w:vAlign w:val="center"/>
            <w:hideMark/>
          </w:tcPr>
          <w:p w14:paraId="4A402448" w14:textId="77777777" w:rsidR="00DD13BF" w:rsidRPr="005C3041" w:rsidRDefault="00DD13BF" w:rsidP="00355A56">
            <w:pPr>
              <w:jc w:val="right"/>
              <w:rPr>
                <w:sz w:val="14"/>
                <w:szCs w:val="18"/>
              </w:rPr>
            </w:pPr>
            <w:r>
              <w:rPr>
                <w:sz w:val="14"/>
              </w:rPr>
              <w:t>1,005,592,863</w:t>
            </w:r>
          </w:p>
        </w:tc>
        <w:tc>
          <w:tcPr>
            <w:tcW w:w="350" w:type="pct"/>
            <w:tcBorders>
              <w:top w:val="nil"/>
              <w:left w:val="nil"/>
              <w:bottom w:val="single" w:sz="8" w:space="0" w:color="auto"/>
              <w:right w:val="single" w:sz="8" w:space="0" w:color="auto"/>
            </w:tcBorders>
            <w:shd w:val="clear" w:color="auto" w:fill="auto"/>
            <w:noWrap/>
            <w:vAlign w:val="center"/>
            <w:hideMark/>
          </w:tcPr>
          <w:p w14:paraId="19BCB9F2" w14:textId="77777777" w:rsidR="00DD13BF" w:rsidRPr="005C3041" w:rsidRDefault="00DD13BF" w:rsidP="00355A56">
            <w:pPr>
              <w:jc w:val="right"/>
              <w:rPr>
                <w:sz w:val="14"/>
                <w:szCs w:val="18"/>
              </w:rPr>
            </w:pPr>
            <w:r>
              <w:rPr>
                <w:sz w:val="14"/>
              </w:rPr>
              <w:t>35,195,748</w:t>
            </w:r>
          </w:p>
        </w:tc>
        <w:tc>
          <w:tcPr>
            <w:tcW w:w="304" w:type="pct"/>
            <w:tcBorders>
              <w:top w:val="nil"/>
              <w:left w:val="nil"/>
              <w:bottom w:val="single" w:sz="8" w:space="0" w:color="auto"/>
              <w:right w:val="single" w:sz="8" w:space="0" w:color="auto"/>
            </w:tcBorders>
            <w:shd w:val="clear" w:color="auto" w:fill="auto"/>
            <w:noWrap/>
            <w:vAlign w:val="center"/>
            <w:hideMark/>
          </w:tcPr>
          <w:p w14:paraId="78363FF1" w14:textId="77777777" w:rsidR="00DD13BF" w:rsidRPr="005C3041" w:rsidRDefault="00DD13BF" w:rsidP="00355A56">
            <w:pPr>
              <w:jc w:val="right"/>
              <w:rPr>
                <w:sz w:val="14"/>
                <w:szCs w:val="18"/>
              </w:rPr>
            </w:pPr>
            <w:r>
              <w:rPr>
                <w:sz w:val="14"/>
              </w:rPr>
              <w:t>169,444,657</w:t>
            </w:r>
          </w:p>
        </w:tc>
        <w:tc>
          <w:tcPr>
            <w:tcW w:w="342" w:type="pct"/>
            <w:tcBorders>
              <w:top w:val="nil"/>
              <w:left w:val="nil"/>
              <w:bottom w:val="single" w:sz="8" w:space="0" w:color="auto"/>
              <w:right w:val="single" w:sz="8" w:space="0" w:color="auto"/>
            </w:tcBorders>
            <w:shd w:val="clear" w:color="auto" w:fill="auto"/>
            <w:noWrap/>
            <w:vAlign w:val="center"/>
            <w:hideMark/>
          </w:tcPr>
          <w:p w14:paraId="5440083F" w14:textId="77777777" w:rsidR="00DD13BF" w:rsidRPr="005C3041" w:rsidRDefault="00DD13BF" w:rsidP="00355A56">
            <w:pPr>
              <w:jc w:val="right"/>
              <w:rPr>
                <w:sz w:val="14"/>
                <w:szCs w:val="18"/>
              </w:rPr>
            </w:pPr>
            <w:r>
              <w:rPr>
                <w:sz w:val="14"/>
              </w:rPr>
              <w:t>5,930,562</w:t>
            </w:r>
          </w:p>
        </w:tc>
        <w:tc>
          <w:tcPr>
            <w:tcW w:w="355" w:type="pct"/>
            <w:tcBorders>
              <w:top w:val="nil"/>
              <w:left w:val="nil"/>
              <w:bottom w:val="single" w:sz="8" w:space="0" w:color="auto"/>
              <w:right w:val="single" w:sz="8" w:space="0" w:color="auto"/>
            </w:tcBorders>
            <w:shd w:val="clear" w:color="auto" w:fill="auto"/>
            <w:noWrap/>
            <w:vAlign w:val="center"/>
            <w:hideMark/>
          </w:tcPr>
          <w:p w14:paraId="378930EE" w14:textId="77777777" w:rsidR="00DD13BF" w:rsidRPr="005C3041" w:rsidRDefault="00DD13BF" w:rsidP="00355A56">
            <w:pPr>
              <w:jc w:val="right"/>
              <w:rPr>
                <w:sz w:val="14"/>
                <w:szCs w:val="18"/>
              </w:rPr>
            </w:pPr>
            <w:r>
              <w:rPr>
                <w:sz w:val="14"/>
              </w:rPr>
              <w:t>214,617,151</w:t>
            </w:r>
          </w:p>
        </w:tc>
        <w:tc>
          <w:tcPr>
            <w:tcW w:w="355" w:type="pct"/>
            <w:tcBorders>
              <w:top w:val="nil"/>
              <w:left w:val="nil"/>
              <w:bottom w:val="single" w:sz="8" w:space="0" w:color="auto"/>
              <w:right w:val="single" w:sz="8" w:space="0" w:color="auto"/>
            </w:tcBorders>
            <w:shd w:val="clear" w:color="auto" w:fill="auto"/>
            <w:noWrap/>
            <w:vAlign w:val="center"/>
            <w:hideMark/>
          </w:tcPr>
          <w:p w14:paraId="2526DE59" w14:textId="77777777" w:rsidR="00DD13BF" w:rsidRPr="005C3041" w:rsidRDefault="00DD13BF" w:rsidP="00355A56">
            <w:pPr>
              <w:jc w:val="right"/>
              <w:rPr>
                <w:sz w:val="14"/>
                <w:szCs w:val="18"/>
              </w:rPr>
            </w:pPr>
            <w:r>
              <w:rPr>
                <w:sz w:val="14"/>
              </w:rPr>
              <w:t>136,682,129</w:t>
            </w:r>
          </w:p>
        </w:tc>
        <w:tc>
          <w:tcPr>
            <w:tcW w:w="321" w:type="pct"/>
            <w:tcBorders>
              <w:top w:val="nil"/>
              <w:left w:val="nil"/>
              <w:bottom w:val="single" w:sz="8" w:space="0" w:color="auto"/>
              <w:right w:val="single" w:sz="8" w:space="0" w:color="auto"/>
            </w:tcBorders>
            <w:shd w:val="clear" w:color="auto" w:fill="auto"/>
            <w:noWrap/>
            <w:vAlign w:val="center"/>
            <w:hideMark/>
          </w:tcPr>
          <w:p w14:paraId="5F2CC589" w14:textId="77777777" w:rsidR="00DD13BF" w:rsidRPr="005C3041" w:rsidRDefault="00DD13BF" w:rsidP="00355A56">
            <w:pPr>
              <w:jc w:val="right"/>
              <w:rPr>
                <w:sz w:val="14"/>
                <w:szCs w:val="18"/>
              </w:rPr>
            </w:pPr>
            <w:r>
              <w:rPr>
                <w:sz w:val="14"/>
              </w:rPr>
              <w:t>77,935,022</w:t>
            </w:r>
          </w:p>
        </w:tc>
        <w:tc>
          <w:tcPr>
            <w:tcW w:w="342" w:type="pct"/>
            <w:tcBorders>
              <w:top w:val="nil"/>
              <w:left w:val="nil"/>
              <w:bottom w:val="single" w:sz="8" w:space="0" w:color="auto"/>
              <w:right w:val="single" w:sz="8" w:space="0" w:color="auto"/>
            </w:tcBorders>
            <w:shd w:val="clear" w:color="auto" w:fill="auto"/>
            <w:noWrap/>
            <w:vAlign w:val="center"/>
            <w:hideMark/>
          </w:tcPr>
          <w:p w14:paraId="53A3045E" w14:textId="77777777" w:rsidR="00DD13BF" w:rsidRPr="005C3041" w:rsidRDefault="00DD13BF" w:rsidP="00355A56">
            <w:pPr>
              <w:jc w:val="right"/>
              <w:rPr>
                <w:sz w:val="14"/>
                <w:szCs w:val="18"/>
              </w:rPr>
            </w:pPr>
            <w:r>
              <w:rPr>
                <w:sz w:val="14"/>
              </w:rPr>
              <w:t>1,430,780,981</w:t>
            </w:r>
          </w:p>
        </w:tc>
        <w:tc>
          <w:tcPr>
            <w:tcW w:w="336" w:type="pct"/>
            <w:tcBorders>
              <w:top w:val="nil"/>
              <w:left w:val="nil"/>
              <w:bottom w:val="single" w:sz="8" w:space="0" w:color="auto"/>
              <w:right w:val="single" w:sz="8" w:space="0" w:color="auto"/>
            </w:tcBorders>
            <w:shd w:val="clear" w:color="auto" w:fill="auto"/>
            <w:noWrap/>
            <w:vAlign w:val="center"/>
            <w:hideMark/>
          </w:tcPr>
          <w:p w14:paraId="2FEB5DB2" w14:textId="77777777" w:rsidR="00DD13BF" w:rsidRPr="005C3041" w:rsidRDefault="00DD13BF" w:rsidP="00355A56">
            <w:pPr>
              <w:jc w:val="right"/>
              <w:rPr>
                <w:sz w:val="14"/>
                <w:szCs w:val="18"/>
              </w:rPr>
            </w:pPr>
            <w:r>
              <w:rPr>
                <w:sz w:val="14"/>
              </w:rPr>
              <w:t>0.85</w:t>
            </w:r>
          </w:p>
        </w:tc>
      </w:tr>
      <w:tr w:rsidR="00DD13BF" w:rsidRPr="005C3041" w14:paraId="4904AB54" w14:textId="77777777" w:rsidTr="00355A56">
        <w:trPr>
          <w:trHeight w:val="43"/>
        </w:trPr>
        <w:tc>
          <w:tcPr>
            <w:tcW w:w="511"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1A2018B5" w14:textId="77777777" w:rsidR="00DD13BF" w:rsidRPr="005C3041" w:rsidRDefault="00DD13BF" w:rsidP="00355A56">
            <w:pPr>
              <w:rPr>
                <w:sz w:val="14"/>
                <w:szCs w:val="18"/>
              </w:rPr>
            </w:pPr>
            <w:r>
              <w:rPr>
                <w:sz w:val="14"/>
              </w:rPr>
              <w:t> </w:t>
            </w:r>
          </w:p>
        </w:tc>
        <w:tc>
          <w:tcPr>
            <w:tcW w:w="262"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5C608695" w14:textId="77777777" w:rsidR="00DD13BF" w:rsidRPr="005C3041" w:rsidRDefault="00DD13BF" w:rsidP="00355A56">
            <w:pPr>
              <w:rPr>
                <w:sz w:val="14"/>
                <w:szCs w:val="18"/>
              </w:rPr>
            </w:pPr>
            <w:r>
              <w:rPr>
                <w:sz w:val="14"/>
              </w:rPr>
              <w:t> </w:t>
            </w:r>
          </w:p>
        </w:tc>
        <w:tc>
          <w:tcPr>
            <w:tcW w:w="512"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7E17F01F" w14:textId="77777777" w:rsidR="00DD13BF" w:rsidRPr="005C3041" w:rsidRDefault="00DD13BF" w:rsidP="00355A56">
            <w:pPr>
              <w:rPr>
                <w:sz w:val="14"/>
                <w:szCs w:val="18"/>
              </w:rPr>
            </w:pPr>
            <w:r>
              <w:rPr>
                <w:sz w:val="14"/>
              </w:rPr>
              <w:t>Total ESF</w:t>
            </w:r>
          </w:p>
        </w:tc>
        <w:tc>
          <w:tcPr>
            <w:tcW w:w="271" w:type="pct"/>
            <w:tcBorders>
              <w:top w:val="nil"/>
              <w:left w:val="nil"/>
              <w:bottom w:val="single" w:sz="8" w:space="0" w:color="auto"/>
              <w:right w:val="single" w:sz="8" w:space="0" w:color="auto"/>
            </w:tcBorders>
            <w:shd w:val="clear" w:color="auto" w:fill="auto"/>
            <w:vAlign w:val="center"/>
            <w:hideMark/>
          </w:tcPr>
          <w:p w14:paraId="7763C7F9" w14:textId="77777777" w:rsidR="00DD13BF" w:rsidRPr="005C3041" w:rsidRDefault="00DD13BF" w:rsidP="00355A56">
            <w:pPr>
              <w:rPr>
                <w:sz w:val="14"/>
                <w:szCs w:val="18"/>
              </w:rPr>
            </w:pPr>
            <w:r>
              <w:rPr>
                <w:sz w:val="14"/>
              </w:rPr>
              <w:t>More developed</w:t>
            </w:r>
          </w:p>
        </w:tc>
        <w:tc>
          <w:tcPr>
            <w:tcW w:w="397" w:type="pct"/>
            <w:tcBorders>
              <w:top w:val="nil"/>
              <w:left w:val="nil"/>
              <w:bottom w:val="single" w:sz="8" w:space="0" w:color="auto"/>
              <w:right w:val="single" w:sz="8" w:space="0" w:color="auto"/>
            </w:tcBorders>
            <w:shd w:val="clear" w:color="auto" w:fill="auto"/>
            <w:noWrap/>
            <w:vAlign w:val="center"/>
            <w:hideMark/>
          </w:tcPr>
          <w:p w14:paraId="49FB9F41" w14:textId="77777777" w:rsidR="00DD13BF" w:rsidRPr="005C3041" w:rsidRDefault="00DD13BF" w:rsidP="00355A56">
            <w:pPr>
              <w:jc w:val="right"/>
              <w:rPr>
                <w:sz w:val="14"/>
                <w:szCs w:val="18"/>
              </w:rPr>
            </w:pPr>
            <w:r>
              <w:rPr>
                <w:sz w:val="14"/>
              </w:rPr>
              <w:t>147,791,574</w:t>
            </w:r>
          </w:p>
        </w:tc>
        <w:tc>
          <w:tcPr>
            <w:tcW w:w="342" w:type="pct"/>
            <w:tcBorders>
              <w:top w:val="nil"/>
              <w:left w:val="nil"/>
              <w:bottom w:val="single" w:sz="8" w:space="0" w:color="auto"/>
              <w:right w:val="single" w:sz="8" w:space="0" w:color="auto"/>
            </w:tcBorders>
            <w:shd w:val="clear" w:color="auto" w:fill="auto"/>
            <w:noWrap/>
            <w:vAlign w:val="center"/>
            <w:hideMark/>
          </w:tcPr>
          <w:p w14:paraId="55196DEF" w14:textId="77777777" w:rsidR="00DD13BF" w:rsidRPr="005C3041" w:rsidRDefault="00DD13BF" w:rsidP="00355A56">
            <w:pPr>
              <w:jc w:val="right"/>
              <w:rPr>
                <w:sz w:val="14"/>
                <w:szCs w:val="18"/>
              </w:rPr>
            </w:pPr>
            <w:r>
              <w:rPr>
                <w:sz w:val="14"/>
              </w:rPr>
              <w:t>118,840,808</w:t>
            </w:r>
          </w:p>
        </w:tc>
        <w:tc>
          <w:tcPr>
            <w:tcW w:w="350" w:type="pct"/>
            <w:tcBorders>
              <w:top w:val="nil"/>
              <w:left w:val="nil"/>
              <w:bottom w:val="single" w:sz="8" w:space="0" w:color="auto"/>
              <w:right w:val="single" w:sz="8" w:space="0" w:color="auto"/>
            </w:tcBorders>
            <w:shd w:val="clear" w:color="auto" w:fill="auto"/>
            <w:noWrap/>
            <w:vAlign w:val="center"/>
            <w:hideMark/>
          </w:tcPr>
          <w:p w14:paraId="4B9B4430" w14:textId="77777777" w:rsidR="00DD13BF" w:rsidRPr="005C3041" w:rsidRDefault="00DD13BF" w:rsidP="00355A56">
            <w:pPr>
              <w:jc w:val="right"/>
              <w:rPr>
                <w:sz w:val="14"/>
                <w:szCs w:val="18"/>
              </w:rPr>
            </w:pPr>
            <w:r>
              <w:rPr>
                <w:sz w:val="14"/>
              </w:rPr>
              <w:t>4,753,632</w:t>
            </w:r>
          </w:p>
        </w:tc>
        <w:tc>
          <w:tcPr>
            <w:tcW w:w="304" w:type="pct"/>
            <w:tcBorders>
              <w:top w:val="nil"/>
              <w:left w:val="nil"/>
              <w:bottom w:val="single" w:sz="8" w:space="0" w:color="auto"/>
              <w:right w:val="single" w:sz="8" w:space="0" w:color="auto"/>
            </w:tcBorders>
            <w:shd w:val="clear" w:color="auto" w:fill="auto"/>
            <w:noWrap/>
            <w:vAlign w:val="center"/>
            <w:hideMark/>
          </w:tcPr>
          <w:p w14:paraId="1E93C187" w14:textId="77777777" w:rsidR="00DD13BF" w:rsidRPr="005C3041" w:rsidRDefault="00DD13BF" w:rsidP="00355A56">
            <w:pPr>
              <w:jc w:val="right"/>
              <w:rPr>
                <w:sz w:val="14"/>
                <w:szCs w:val="18"/>
              </w:rPr>
            </w:pPr>
            <w:r>
              <w:rPr>
                <w:sz w:val="14"/>
              </w:rPr>
              <w:t>23,266,475</w:t>
            </w:r>
          </w:p>
        </w:tc>
        <w:tc>
          <w:tcPr>
            <w:tcW w:w="342" w:type="pct"/>
            <w:tcBorders>
              <w:top w:val="nil"/>
              <w:left w:val="nil"/>
              <w:bottom w:val="single" w:sz="8" w:space="0" w:color="auto"/>
              <w:right w:val="single" w:sz="8" w:space="0" w:color="auto"/>
            </w:tcBorders>
            <w:shd w:val="clear" w:color="auto" w:fill="auto"/>
            <w:noWrap/>
            <w:vAlign w:val="center"/>
            <w:hideMark/>
          </w:tcPr>
          <w:p w14:paraId="25741496" w14:textId="77777777" w:rsidR="00DD13BF" w:rsidRPr="005C3041" w:rsidRDefault="00DD13BF" w:rsidP="00355A56">
            <w:pPr>
              <w:jc w:val="right"/>
              <w:rPr>
                <w:sz w:val="14"/>
                <w:szCs w:val="18"/>
              </w:rPr>
            </w:pPr>
            <w:r>
              <w:rPr>
                <w:sz w:val="14"/>
              </w:rPr>
              <w:t>930,659</w:t>
            </w:r>
          </w:p>
        </w:tc>
        <w:tc>
          <w:tcPr>
            <w:tcW w:w="355" w:type="pct"/>
            <w:tcBorders>
              <w:top w:val="nil"/>
              <w:left w:val="nil"/>
              <w:bottom w:val="single" w:sz="8" w:space="0" w:color="auto"/>
              <w:right w:val="single" w:sz="8" w:space="0" w:color="auto"/>
            </w:tcBorders>
            <w:shd w:val="clear" w:color="auto" w:fill="auto"/>
            <w:noWrap/>
            <w:vAlign w:val="center"/>
            <w:hideMark/>
          </w:tcPr>
          <w:p w14:paraId="71468F56" w14:textId="77777777" w:rsidR="00DD13BF" w:rsidRPr="005C3041" w:rsidRDefault="00DD13BF" w:rsidP="00355A56">
            <w:pPr>
              <w:jc w:val="right"/>
              <w:rPr>
                <w:sz w:val="14"/>
                <w:szCs w:val="18"/>
              </w:rPr>
            </w:pPr>
            <w:r>
              <w:rPr>
                <w:sz w:val="14"/>
              </w:rPr>
              <w:t>221,687,361</w:t>
            </w:r>
          </w:p>
        </w:tc>
        <w:tc>
          <w:tcPr>
            <w:tcW w:w="355" w:type="pct"/>
            <w:tcBorders>
              <w:top w:val="nil"/>
              <w:left w:val="nil"/>
              <w:bottom w:val="single" w:sz="8" w:space="0" w:color="auto"/>
              <w:right w:val="single" w:sz="8" w:space="0" w:color="auto"/>
            </w:tcBorders>
            <w:shd w:val="clear" w:color="auto" w:fill="auto"/>
            <w:noWrap/>
            <w:vAlign w:val="center"/>
            <w:hideMark/>
          </w:tcPr>
          <w:p w14:paraId="3AF5D612" w14:textId="77777777" w:rsidR="00DD13BF" w:rsidRPr="005C3041" w:rsidRDefault="00DD13BF" w:rsidP="00355A56">
            <w:pPr>
              <w:jc w:val="right"/>
              <w:rPr>
                <w:sz w:val="14"/>
                <w:szCs w:val="18"/>
              </w:rPr>
            </w:pPr>
            <w:r>
              <w:rPr>
                <w:sz w:val="14"/>
              </w:rPr>
              <w:t>221,687,361</w:t>
            </w:r>
          </w:p>
        </w:tc>
        <w:tc>
          <w:tcPr>
            <w:tcW w:w="321" w:type="pct"/>
            <w:tcBorders>
              <w:top w:val="nil"/>
              <w:left w:val="nil"/>
              <w:bottom w:val="single" w:sz="8" w:space="0" w:color="auto"/>
              <w:right w:val="single" w:sz="8" w:space="0" w:color="auto"/>
            </w:tcBorders>
            <w:shd w:val="clear" w:color="auto" w:fill="auto"/>
            <w:noWrap/>
            <w:vAlign w:val="center"/>
            <w:hideMark/>
          </w:tcPr>
          <w:p w14:paraId="042245E3"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1DFC4AC" w14:textId="77777777" w:rsidR="00DD13BF" w:rsidRPr="005C3041" w:rsidRDefault="00DD13BF" w:rsidP="00355A56">
            <w:pPr>
              <w:jc w:val="right"/>
              <w:rPr>
                <w:sz w:val="14"/>
                <w:szCs w:val="18"/>
              </w:rPr>
            </w:pPr>
            <w:r>
              <w:rPr>
                <w:sz w:val="14"/>
              </w:rPr>
              <w:t>369,478,935</w:t>
            </w:r>
          </w:p>
        </w:tc>
        <w:tc>
          <w:tcPr>
            <w:tcW w:w="336" w:type="pct"/>
            <w:tcBorders>
              <w:top w:val="nil"/>
              <w:left w:val="nil"/>
              <w:bottom w:val="single" w:sz="8" w:space="0" w:color="auto"/>
              <w:right w:val="single" w:sz="8" w:space="0" w:color="auto"/>
            </w:tcBorders>
            <w:shd w:val="clear" w:color="auto" w:fill="auto"/>
            <w:noWrap/>
            <w:vAlign w:val="center"/>
            <w:hideMark/>
          </w:tcPr>
          <w:p w14:paraId="7088BE97" w14:textId="77777777" w:rsidR="00DD13BF" w:rsidRPr="005C3041" w:rsidRDefault="00DD13BF" w:rsidP="00355A56">
            <w:pPr>
              <w:jc w:val="right"/>
              <w:rPr>
                <w:sz w:val="14"/>
                <w:szCs w:val="18"/>
              </w:rPr>
            </w:pPr>
            <w:r>
              <w:rPr>
                <w:sz w:val="14"/>
              </w:rPr>
              <w:t>0.4</w:t>
            </w:r>
          </w:p>
        </w:tc>
      </w:tr>
      <w:tr w:rsidR="00DD13BF" w:rsidRPr="005C3041" w14:paraId="5A3D1D3A" w14:textId="77777777" w:rsidTr="00355A56">
        <w:trPr>
          <w:trHeight w:val="43"/>
        </w:trPr>
        <w:tc>
          <w:tcPr>
            <w:tcW w:w="511" w:type="pct"/>
            <w:gridSpan w:val="2"/>
            <w:vMerge/>
            <w:tcBorders>
              <w:top w:val="single" w:sz="8" w:space="0" w:color="auto"/>
              <w:left w:val="single" w:sz="8" w:space="0" w:color="auto"/>
              <w:bottom w:val="nil"/>
              <w:right w:val="single" w:sz="8" w:space="0" w:color="000000"/>
            </w:tcBorders>
            <w:vAlign w:val="center"/>
            <w:hideMark/>
          </w:tcPr>
          <w:p w14:paraId="532D94C0"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nil"/>
              <w:right w:val="single" w:sz="8" w:space="0" w:color="auto"/>
            </w:tcBorders>
            <w:vAlign w:val="center"/>
            <w:hideMark/>
          </w:tcPr>
          <w:p w14:paraId="16B05E6C" w14:textId="77777777" w:rsidR="00DD13BF" w:rsidRPr="005C3041" w:rsidRDefault="00DD13BF" w:rsidP="00355A56">
            <w:pPr>
              <w:rPr>
                <w:sz w:val="14"/>
                <w:szCs w:val="18"/>
              </w:rPr>
            </w:pPr>
          </w:p>
        </w:tc>
        <w:tc>
          <w:tcPr>
            <w:tcW w:w="512" w:type="pct"/>
            <w:gridSpan w:val="2"/>
            <w:vMerge/>
            <w:tcBorders>
              <w:top w:val="single" w:sz="8" w:space="0" w:color="auto"/>
              <w:left w:val="single" w:sz="8" w:space="0" w:color="auto"/>
              <w:bottom w:val="nil"/>
              <w:right w:val="single" w:sz="8" w:space="0" w:color="000000"/>
            </w:tcBorders>
            <w:vAlign w:val="center"/>
            <w:hideMark/>
          </w:tcPr>
          <w:p w14:paraId="07231274" w14:textId="77777777" w:rsidR="00DD13BF" w:rsidRPr="005C3041" w:rsidRDefault="00DD13BF" w:rsidP="00355A56">
            <w:pPr>
              <w:rPr>
                <w:sz w:val="14"/>
                <w:szCs w:val="18"/>
              </w:rPr>
            </w:pPr>
          </w:p>
        </w:tc>
        <w:tc>
          <w:tcPr>
            <w:tcW w:w="271" w:type="pct"/>
            <w:tcBorders>
              <w:top w:val="nil"/>
              <w:left w:val="nil"/>
              <w:bottom w:val="single" w:sz="8" w:space="0" w:color="auto"/>
              <w:right w:val="single" w:sz="8" w:space="0" w:color="auto"/>
            </w:tcBorders>
            <w:shd w:val="clear" w:color="auto" w:fill="auto"/>
            <w:vAlign w:val="center"/>
            <w:hideMark/>
          </w:tcPr>
          <w:p w14:paraId="6787AEF9" w14:textId="77777777" w:rsidR="00DD13BF" w:rsidRPr="005C3041" w:rsidRDefault="00DD13BF" w:rsidP="00355A56">
            <w:pPr>
              <w:rPr>
                <w:sz w:val="14"/>
                <w:szCs w:val="18"/>
              </w:rPr>
            </w:pPr>
            <w:r>
              <w:rPr>
                <w:sz w:val="14"/>
              </w:rPr>
              <w:t>Less developed</w:t>
            </w:r>
          </w:p>
        </w:tc>
        <w:tc>
          <w:tcPr>
            <w:tcW w:w="397" w:type="pct"/>
            <w:tcBorders>
              <w:top w:val="nil"/>
              <w:left w:val="nil"/>
              <w:bottom w:val="single" w:sz="8" w:space="0" w:color="auto"/>
              <w:right w:val="single" w:sz="8" w:space="0" w:color="auto"/>
            </w:tcBorders>
            <w:shd w:val="clear" w:color="auto" w:fill="auto"/>
            <w:noWrap/>
            <w:vAlign w:val="center"/>
            <w:hideMark/>
          </w:tcPr>
          <w:p w14:paraId="5B50878F" w14:textId="77777777" w:rsidR="00DD13BF" w:rsidRPr="005C3041" w:rsidRDefault="00DD13BF" w:rsidP="00355A56">
            <w:pPr>
              <w:jc w:val="right"/>
              <w:rPr>
                <w:sz w:val="14"/>
                <w:szCs w:val="18"/>
              </w:rPr>
            </w:pPr>
            <w:r>
              <w:rPr>
                <w:sz w:val="14"/>
              </w:rPr>
              <w:t>488,173,421</w:t>
            </w:r>
          </w:p>
        </w:tc>
        <w:tc>
          <w:tcPr>
            <w:tcW w:w="342" w:type="pct"/>
            <w:tcBorders>
              <w:top w:val="nil"/>
              <w:left w:val="nil"/>
              <w:bottom w:val="single" w:sz="8" w:space="0" w:color="auto"/>
              <w:right w:val="single" w:sz="8" w:space="0" w:color="auto"/>
            </w:tcBorders>
            <w:shd w:val="clear" w:color="auto" w:fill="auto"/>
            <w:noWrap/>
            <w:vAlign w:val="center"/>
            <w:hideMark/>
          </w:tcPr>
          <w:p w14:paraId="3B6D5184" w14:textId="77777777" w:rsidR="00DD13BF" w:rsidRPr="005C3041" w:rsidRDefault="00DD13BF" w:rsidP="00355A56">
            <w:pPr>
              <w:jc w:val="right"/>
              <w:rPr>
                <w:sz w:val="14"/>
                <w:szCs w:val="18"/>
              </w:rPr>
            </w:pPr>
            <w:r>
              <w:rPr>
                <w:sz w:val="14"/>
              </w:rPr>
              <w:t>392,489,973</w:t>
            </w:r>
          </w:p>
        </w:tc>
        <w:tc>
          <w:tcPr>
            <w:tcW w:w="350" w:type="pct"/>
            <w:tcBorders>
              <w:top w:val="nil"/>
              <w:left w:val="nil"/>
              <w:bottom w:val="single" w:sz="8" w:space="0" w:color="auto"/>
              <w:right w:val="single" w:sz="8" w:space="0" w:color="auto"/>
            </w:tcBorders>
            <w:shd w:val="clear" w:color="auto" w:fill="auto"/>
            <w:noWrap/>
            <w:vAlign w:val="center"/>
            <w:hideMark/>
          </w:tcPr>
          <w:p w14:paraId="6BDD0340" w14:textId="77777777" w:rsidR="00DD13BF" w:rsidRPr="005C3041" w:rsidRDefault="00DD13BF" w:rsidP="00355A56">
            <w:pPr>
              <w:jc w:val="right"/>
              <w:rPr>
                <w:sz w:val="14"/>
                <w:szCs w:val="18"/>
              </w:rPr>
            </w:pPr>
            <w:r>
              <w:rPr>
                <w:sz w:val="14"/>
              </w:rPr>
              <w:t>15,699,597</w:t>
            </w:r>
          </w:p>
        </w:tc>
        <w:tc>
          <w:tcPr>
            <w:tcW w:w="304" w:type="pct"/>
            <w:tcBorders>
              <w:top w:val="nil"/>
              <w:left w:val="nil"/>
              <w:bottom w:val="single" w:sz="8" w:space="0" w:color="auto"/>
              <w:right w:val="single" w:sz="8" w:space="0" w:color="auto"/>
            </w:tcBorders>
            <w:shd w:val="clear" w:color="auto" w:fill="auto"/>
            <w:noWrap/>
            <w:vAlign w:val="center"/>
            <w:hideMark/>
          </w:tcPr>
          <w:p w14:paraId="18D2A756" w14:textId="77777777" w:rsidR="00DD13BF" w:rsidRPr="005C3041" w:rsidRDefault="00DD13BF" w:rsidP="00355A56">
            <w:pPr>
              <w:jc w:val="right"/>
              <w:rPr>
                <w:sz w:val="14"/>
                <w:szCs w:val="18"/>
              </w:rPr>
            </w:pPr>
            <w:r>
              <w:rPr>
                <w:sz w:val="14"/>
              </w:rPr>
              <w:t>76,907,549</w:t>
            </w:r>
          </w:p>
        </w:tc>
        <w:tc>
          <w:tcPr>
            <w:tcW w:w="342" w:type="pct"/>
            <w:tcBorders>
              <w:top w:val="nil"/>
              <w:left w:val="nil"/>
              <w:bottom w:val="single" w:sz="8" w:space="0" w:color="auto"/>
              <w:right w:val="single" w:sz="8" w:space="0" w:color="auto"/>
            </w:tcBorders>
            <w:shd w:val="clear" w:color="auto" w:fill="auto"/>
            <w:noWrap/>
            <w:vAlign w:val="center"/>
            <w:hideMark/>
          </w:tcPr>
          <w:p w14:paraId="646A5619" w14:textId="77777777" w:rsidR="00DD13BF" w:rsidRPr="005C3041" w:rsidRDefault="00DD13BF" w:rsidP="00355A56">
            <w:pPr>
              <w:jc w:val="right"/>
              <w:rPr>
                <w:sz w:val="14"/>
                <w:szCs w:val="18"/>
              </w:rPr>
            </w:pPr>
            <w:r>
              <w:rPr>
                <w:sz w:val="14"/>
              </w:rPr>
              <w:t>3,076,302</w:t>
            </w:r>
          </w:p>
        </w:tc>
        <w:tc>
          <w:tcPr>
            <w:tcW w:w="355" w:type="pct"/>
            <w:tcBorders>
              <w:top w:val="nil"/>
              <w:left w:val="nil"/>
              <w:bottom w:val="single" w:sz="8" w:space="0" w:color="auto"/>
              <w:right w:val="single" w:sz="8" w:space="0" w:color="auto"/>
            </w:tcBorders>
            <w:shd w:val="clear" w:color="auto" w:fill="auto"/>
            <w:noWrap/>
            <w:vAlign w:val="center"/>
            <w:hideMark/>
          </w:tcPr>
          <w:p w14:paraId="5E75DE56" w14:textId="77777777" w:rsidR="00DD13BF" w:rsidRPr="005C3041" w:rsidRDefault="00DD13BF" w:rsidP="00355A56">
            <w:pPr>
              <w:jc w:val="right"/>
              <w:rPr>
                <w:sz w:val="14"/>
                <w:szCs w:val="18"/>
              </w:rPr>
            </w:pPr>
            <w:r>
              <w:rPr>
                <w:sz w:val="14"/>
              </w:rPr>
              <w:t>86,148,252</w:t>
            </w:r>
          </w:p>
        </w:tc>
        <w:tc>
          <w:tcPr>
            <w:tcW w:w="355" w:type="pct"/>
            <w:tcBorders>
              <w:top w:val="nil"/>
              <w:left w:val="nil"/>
              <w:bottom w:val="single" w:sz="8" w:space="0" w:color="auto"/>
              <w:right w:val="single" w:sz="8" w:space="0" w:color="auto"/>
            </w:tcBorders>
            <w:shd w:val="clear" w:color="auto" w:fill="auto"/>
            <w:noWrap/>
            <w:vAlign w:val="center"/>
            <w:hideMark/>
          </w:tcPr>
          <w:p w14:paraId="6ADF809A" w14:textId="77777777" w:rsidR="00DD13BF" w:rsidRPr="005C3041" w:rsidRDefault="00DD13BF" w:rsidP="00355A56">
            <w:pPr>
              <w:jc w:val="right"/>
              <w:rPr>
                <w:sz w:val="14"/>
                <w:szCs w:val="18"/>
              </w:rPr>
            </w:pPr>
            <w:r>
              <w:rPr>
                <w:sz w:val="14"/>
              </w:rPr>
              <w:t>86,148,252</w:t>
            </w:r>
          </w:p>
        </w:tc>
        <w:tc>
          <w:tcPr>
            <w:tcW w:w="321" w:type="pct"/>
            <w:tcBorders>
              <w:top w:val="nil"/>
              <w:left w:val="nil"/>
              <w:bottom w:val="single" w:sz="8" w:space="0" w:color="auto"/>
              <w:right w:val="single" w:sz="8" w:space="0" w:color="auto"/>
            </w:tcBorders>
            <w:shd w:val="clear" w:color="auto" w:fill="auto"/>
            <w:noWrap/>
            <w:vAlign w:val="center"/>
            <w:hideMark/>
          </w:tcPr>
          <w:p w14:paraId="1B557B59"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969D249" w14:textId="77777777" w:rsidR="00DD13BF" w:rsidRPr="005C3041" w:rsidRDefault="00DD13BF" w:rsidP="00355A56">
            <w:pPr>
              <w:jc w:val="right"/>
              <w:rPr>
                <w:sz w:val="14"/>
                <w:szCs w:val="18"/>
              </w:rPr>
            </w:pPr>
            <w:r>
              <w:rPr>
                <w:sz w:val="14"/>
              </w:rPr>
              <w:t>574,321,673</w:t>
            </w:r>
          </w:p>
        </w:tc>
        <w:tc>
          <w:tcPr>
            <w:tcW w:w="336" w:type="pct"/>
            <w:tcBorders>
              <w:top w:val="nil"/>
              <w:left w:val="nil"/>
              <w:bottom w:val="single" w:sz="8" w:space="0" w:color="auto"/>
              <w:right w:val="single" w:sz="8" w:space="0" w:color="auto"/>
            </w:tcBorders>
            <w:shd w:val="clear" w:color="auto" w:fill="auto"/>
            <w:noWrap/>
            <w:vAlign w:val="center"/>
            <w:hideMark/>
          </w:tcPr>
          <w:p w14:paraId="2BB502E7" w14:textId="77777777" w:rsidR="00DD13BF" w:rsidRPr="005C3041" w:rsidRDefault="00DD13BF" w:rsidP="00355A56">
            <w:pPr>
              <w:jc w:val="right"/>
              <w:rPr>
                <w:sz w:val="14"/>
                <w:szCs w:val="18"/>
              </w:rPr>
            </w:pPr>
            <w:r>
              <w:rPr>
                <w:sz w:val="14"/>
              </w:rPr>
              <w:t>0.85</w:t>
            </w:r>
          </w:p>
        </w:tc>
      </w:tr>
      <w:tr w:rsidR="00DD13BF" w:rsidRPr="005C3041" w14:paraId="6E9DFBC8" w14:textId="77777777" w:rsidTr="00355A56">
        <w:trPr>
          <w:trHeight w:val="43"/>
        </w:trPr>
        <w:tc>
          <w:tcPr>
            <w:tcW w:w="511" w:type="pct"/>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5971495" w14:textId="77777777" w:rsidR="00DD13BF" w:rsidRPr="005C3041" w:rsidRDefault="00DD13BF" w:rsidP="00355A56">
            <w:pPr>
              <w:rPr>
                <w:sz w:val="14"/>
                <w:szCs w:val="18"/>
              </w:rPr>
            </w:pPr>
            <w:r>
              <w:rPr>
                <w:sz w:val="14"/>
              </w:rPr>
              <w:t> </w:t>
            </w:r>
          </w:p>
        </w:tc>
        <w:tc>
          <w:tcPr>
            <w:tcW w:w="26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FD8227" w14:textId="77777777" w:rsidR="00DD13BF" w:rsidRPr="005C3041" w:rsidRDefault="00DD13BF" w:rsidP="00355A56">
            <w:pPr>
              <w:rPr>
                <w:sz w:val="14"/>
                <w:szCs w:val="18"/>
              </w:rPr>
            </w:pPr>
            <w:r>
              <w:rPr>
                <w:sz w:val="14"/>
              </w:rPr>
              <w:t> </w:t>
            </w:r>
          </w:p>
        </w:tc>
        <w:tc>
          <w:tcPr>
            <w:tcW w:w="12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76ECE7" w14:textId="77777777" w:rsidR="00DD13BF" w:rsidRPr="005C3041" w:rsidRDefault="00DD13BF" w:rsidP="00355A56">
            <w:pPr>
              <w:rPr>
                <w:sz w:val="14"/>
                <w:szCs w:val="18"/>
              </w:rPr>
            </w:pPr>
            <w:r>
              <w:rPr>
                <w:sz w:val="14"/>
              </w:rPr>
              <w:t>JTF</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1C6B58D9" w14:textId="77777777" w:rsidR="00DD13BF" w:rsidRPr="005C3041" w:rsidRDefault="00DD13BF" w:rsidP="00355A56">
            <w:pPr>
              <w:rPr>
                <w:sz w:val="14"/>
                <w:szCs w:val="18"/>
              </w:rPr>
            </w:pPr>
            <w:r>
              <w:rPr>
                <w:sz w:val="14"/>
              </w:rPr>
              <w:t>Article 3 JTF Regulation resources</w:t>
            </w:r>
          </w:p>
        </w:tc>
        <w:tc>
          <w:tcPr>
            <w:tcW w:w="271" w:type="pct"/>
            <w:tcBorders>
              <w:top w:val="nil"/>
              <w:left w:val="nil"/>
              <w:bottom w:val="single" w:sz="8" w:space="0" w:color="auto"/>
              <w:right w:val="single" w:sz="8" w:space="0" w:color="auto"/>
            </w:tcBorders>
            <w:shd w:val="clear" w:color="auto" w:fill="auto"/>
            <w:noWrap/>
            <w:vAlign w:val="center"/>
            <w:hideMark/>
          </w:tcPr>
          <w:p w14:paraId="5D3C4B48"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vAlign w:val="center"/>
            <w:hideMark/>
          </w:tcPr>
          <w:p w14:paraId="6D20E9D0" w14:textId="77777777" w:rsidR="00DD13BF" w:rsidRPr="005C3041" w:rsidRDefault="00DD13BF" w:rsidP="00355A56">
            <w:pPr>
              <w:jc w:val="right"/>
              <w:rPr>
                <w:sz w:val="14"/>
                <w:szCs w:val="18"/>
              </w:rPr>
            </w:pPr>
            <w:r>
              <w:rPr>
                <w:sz w:val="14"/>
              </w:rPr>
              <w:t>113,288,670</w:t>
            </w:r>
          </w:p>
        </w:tc>
        <w:tc>
          <w:tcPr>
            <w:tcW w:w="342" w:type="pct"/>
            <w:tcBorders>
              <w:top w:val="nil"/>
              <w:left w:val="nil"/>
              <w:bottom w:val="single" w:sz="8" w:space="0" w:color="auto"/>
              <w:right w:val="single" w:sz="8" w:space="0" w:color="auto"/>
            </w:tcBorders>
            <w:shd w:val="clear" w:color="auto" w:fill="auto"/>
            <w:noWrap/>
            <w:vAlign w:val="center"/>
            <w:hideMark/>
          </w:tcPr>
          <w:p w14:paraId="22B6B68B" w14:textId="77777777" w:rsidR="00DD13BF" w:rsidRPr="005C3041" w:rsidRDefault="00DD13BF" w:rsidP="00355A56">
            <w:pPr>
              <w:jc w:val="right"/>
              <w:rPr>
                <w:sz w:val="14"/>
                <w:szCs w:val="18"/>
              </w:rPr>
            </w:pPr>
            <w:r>
              <w:rPr>
                <w:sz w:val="14"/>
              </w:rPr>
              <w:t>92,592,007</w:t>
            </w:r>
          </w:p>
        </w:tc>
        <w:tc>
          <w:tcPr>
            <w:tcW w:w="350" w:type="pct"/>
            <w:tcBorders>
              <w:top w:val="nil"/>
              <w:left w:val="nil"/>
              <w:bottom w:val="single" w:sz="8" w:space="0" w:color="auto"/>
              <w:right w:val="single" w:sz="8" w:space="0" w:color="auto"/>
            </w:tcBorders>
            <w:shd w:val="clear" w:color="auto" w:fill="auto"/>
            <w:noWrap/>
            <w:vAlign w:val="center"/>
            <w:hideMark/>
          </w:tcPr>
          <w:p w14:paraId="5685AE37" w14:textId="77777777" w:rsidR="00DD13BF" w:rsidRPr="005C3041" w:rsidRDefault="00DD13BF" w:rsidP="00355A56">
            <w:pPr>
              <w:jc w:val="right"/>
              <w:rPr>
                <w:sz w:val="14"/>
                <w:szCs w:val="18"/>
              </w:rPr>
            </w:pPr>
            <w:r>
              <w:rPr>
                <w:sz w:val="14"/>
              </w:rPr>
              <w:t>3,703,680</w:t>
            </w:r>
          </w:p>
        </w:tc>
        <w:tc>
          <w:tcPr>
            <w:tcW w:w="304" w:type="pct"/>
            <w:tcBorders>
              <w:top w:val="nil"/>
              <w:left w:val="nil"/>
              <w:bottom w:val="single" w:sz="8" w:space="0" w:color="auto"/>
              <w:right w:val="single" w:sz="8" w:space="0" w:color="auto"/>
            </w:tcBorders>
            <w:shd w:val="clear" w:color="auto" w:fill="auto"/>
            <w:noWrap/>
            <w:vAlign w:val="center"/>
            <w:hideMark/>
          </w:tcPr>
          <w:p w14:paraId="617944E7" w14:textId="77777777" w:rsidR="00DD13BF" w:rsidRPr="005C3041" w:rsidRDefault="00DD13BF" w:rsidP="00355A56">
            <w:pPr>
              <w:jc w:val="right"/>
              <w:rPr>
                <w:sz w:val="14"/>
                <w:szCs w:val="18"/>
              </w:rPr>
            </w:pPr>
            <w:r>
              <w:rPr>
                <w:sz w:val="14"/>
              </w:rPr>
              <w:t>16,339,407</w:t>
            </w:r>
          </w:p>
        </w:tc>
        <w:tc>
          <w:tcPr>
            <w:tcW w:w="342" w:type="pct"/>
            <w:tcBorders>
              <w:top w:val="nil"/>
              <w:left w:val="nil"/>
              <w:bottom w:val="single" w:sz="8" w:space="0" w:color="auto"/>
              <w:right w:val="single" w:sz="8" w:space="0" w:color="auto"/>
            </w:tcBorders>
            <w:shd w:val="clear" w:color="auto" w:fill="auto"/>
            <w:noWrap/>
            <w:vAlign w:val="center"/>
            <w:hideMark/>
          </w:tcPr>
          <w:p w14:paraId="0455325B" w14:textId="77777777" w:rsidR="00DD13BF" w:rsidRPr="005C3041" w:rsidRDefault="00DD13BF" w:rsidP="00355A56">
            <w:pPr>
              <w:jc w:val="right"/>
              <w:rPr>
                <w:sz w:val="14"/>
                <w:szCs w:val="18"/>
              </w:rPr>
            </w:pPr>
            <w:r>
              <w:rPr>
                <w:sz w:val="14"/>
              </w:rPr>
              <w:t>653,576</w:t>
            </w:r>
          </w:p>
        </w:tc>
        <w:tc>
          <w:tcPr>
            <w:tcW w:w="355" w:type="pct"/>
            <w:tcBorders>
              <w:top w:val="nil"/>
              <w:left w:val="nil"/>
              <w:bottom w:val="single" w:sz="8" w:space="0" w:color="auto"/>
              <w:right w:val="single" w:sz="8" w:space="0" w:color="auto"/>
            </w:tcBorders>
            <w:shd w:val="clear" w:color="auto" w:fill="auto"/>
            <w:noWrap/>
            <w:vAlign w:val="center"/>
            <w:hideMark/>
          </w:tcPr>
          <w:p w14:paraId="537977C4" w14:textId="77777777" w:rsidR="00DD13BF" w:rsidRPr="005C3041" w:rsidRDefault="00DD13BF" w:rsidP="00355A56">
            <w:pPr>
              <w:jc w:val="right"/>
              <w:rPr>
                <w:sz w:val="14"/>
                <w:szCs w:val="18"/>
              </w:rPr>
            </w:pPr>
            <w:r>
              <w:rPr>
                <w:sz w:val="14"/>
              </w:rPr>
              <w:t>19,992,119</w:t>
            </w:r>
          </w:p>
        </w:tc>
        <w:tc>
          <w:tcPr>
            <w:tcW w:w="355" w:type="pct"/>
            <w:tcBorders>
              <w:top w:val="nil"/>
              <w:left w:val="nil"/>
              <w:bottom w:val="single" w:sz="8" w:space="0" w:color="auto"/>
              <w:right w:val="single" w:sz="8" w:space="0" w:color="auto"/>
            </w:tcBorders>
            <w:shd w:val="clear" w:color="auto" w:fill="auto"/>
            <w:noWrap/>
            <w:vAlign w:val="center"/>
            <w:hideMark/>
          </w:tcPr>
          <w:p w14:paraId="75F48892" w14:textId="77777777" w:rsidR="00DD13BF" w:rsidRPr="005C3041" w:rsidRDefault="00DD13BF" w:rsidP="00355A56">
            <w:pPr>
              <w:jc w:val="right"/>
              <w:rPr>
                <w:sz w:val="14"/>
                <w:szCs w:val="18"/>
              </w:rPr>
            </w:pPr>
            <w:r>
              <w:rPr>
                <w:sz w:val="14"/>
              </w:rPr>
              <w:t>5,766,957</w:t>
            </w:r>
          </w:p>
        </w:tc>
        <w:tc>
          <w:tcPr>
            <w:tcW w:w="321" w:type="pct"/>
            <w:tcBorders>
              <w:top w:val="nil"/>
              <w:left w:val="nil"/>
              <w:bottom w:val="single" w:sz="8" w:space="0" w:color="auto"/>
              <w:right w:val="single" w:sz="8" w:space="0" w:color="auto"/>
            </w:tcBorders>
            <w:shd w:val="clear" w:color="auto" w:fill="auto"/>
            <w:noWrap/>
            <w:vAlign w:val="center"/>
            <w:hideMark/>
          </w:tcPr>
          <w:p w14:paraId="4128383C" w14:textId="77777777" w:rsidR="00DD13BF" w:rsidRPr="005C3041" w:rsidRDefault="00DD13BF" w:rsidP="00355A56">
            <w:pPr>
              <w:jc w:val="right"/>
              <w:rPr>
                <w:sz w:val="14"/>
                <w:szCs w:val="18"/>
              </w:rPr>
            </w:pPr>
            <w:r>
              <w:rPr>
                <w:sz w:val="14"/>
              </w:rPr>
              <w:t>14,225,162</w:t>
            </w:r>
          </w:p>
        </w:tc>
        <w:tc>
          <w:tcPr>
            <w:tcW w:w="342" w:type="pct"/>
            <w:tcBorders>
              <w:top w:val="nil"/>
              <w:left w:val="nil"/>
              <w:bottom w:val="single" w:sz="8" w:space="0" w:color="auto"/>
              <w:right w:val="single" w:sz="8" w:space="0" w:color="auto"/>
            </w:tcBorders>
            <w:shd w:val="clear" w:color="auto" w:fill="auto"/>
            <w:noWrap/>
            <w:vAlign w:val="center"/>
            <w:hideMark/>
          </w:tcPr>
          <w:p w14:paraId="3F021E8D" w14:textId="77777777" w:rsidR="00DD13BF" w:rsidRPr="005C3041" w:rsidRDefault="00DD13BF" w:rsidP="00355A56">
            <w:pPr>
              <w:jc w:val="right"/>
              <w:rPr>
                <w:sz w:val="14"/>
                <w:szCs w:val="18"/>
              </w:rPr>
            </w:pPr>
            <w:r>
              <w:rPr>
                <w:sz w:val="14"/>
              </w:rPr>
              <w:t>133,280,789</w:t>
            </w:r>
          </w:p>
        </w:tc>
        <w:tc>
          <w:tcPr>
            <w:tcW w:w="336" w:type="pct"/>
            <w:tcBorders>
              <w:top w:val="nil"/>
              <w:left w:val="nil"/>
              <w:bottom w:val="single" w:sz="8" w:space="0" w:color="auto"/>
              <w:right w:val="single" w:sz="8" w:space="0" w:color="auto"/>
            </w:tcBorders>
            <w:shd w:val="clear" w:color="auto" w:fill="auto"/>
            <w:noWrap/>
            <w:vAlign w:val="center"/>
            <w:hideMark/>
          </w:tcPr>
          <w:p w14:paraId="4F5AEF5F" w14:textId="77777777" w:rsidR="00DD13BF" w:rsidRPr="005C3041" w:rsidRDefault="00DD13BF" w:rsidP="00355A56">
            <w:pPr>
              <w:jc w:val="right"/>
              <w:rPr>
                <w:sz w:val="14"/>
                <w:szCs w:val="18"/>
              </w:rPr>
            </w:pPr>
            <w:r>
              <w:rPr>
                <w:sz w:val="14"/>
              </w:rPr>
              <w:t>0.85</w:t>
            </w:r>
          </w:p>
        </w:tc>
      </w:tr>
      <w:tr w:rsidR="00DD13BF" w:rsidRPr="005C3041" w14:paraId="2F4F192E" w14:textId="77777777" w:rsidTr="00355A56">
        <w:trPr>
          <w:trHeight w:val="43"/>
        </w:trPr>
        <w:tc>
          <w:tcPr>
            <w:tcW w:w="511" w:type="pct"/>
            <w:gridSpan w:val="2"/>
            <w:vMerge/>
            <w:tcBorders>
              <w:top w:val="single" w:sz="8" w:space="0" w:color="auto"/>
              <w:left w:val="single" w:sz="8" w:space="0" w:color="auto"/>
              <w:bottom w:val="single" w:sz="8" w:space="0" w:color="000000"/>
              <w:right w:val="single" w:sz="8" w:space="0" w:color="000000"/>
            </w:tcBorders>
            <w:vAlign w:val="center"/>
            <w:hideMark/>
          </w:tcPr>
          <w:p w14:paraId="3DD1138E" w14:textId="77777777" w:rsidR="00DD13BF" w:rsidRPr="005C3041" w:rsidRDefault="00DD13BF" w:rsidP="00355A56">
            <w:pPr>
              <w:rPr>
                <w:sz w:val="14"/>
                <w:szCs w:val="18"/>
              </w:rPr>
            </w:pPr>
          </w:p>
        </w:tc>
        <w:tc>
          <w:tcPr>
            <w:tcW w:w="262" w:type="pct"/>
            <w:vMerge/>
            <w:tcBorders>
              <w:top w:val="single" w:sz="8" w:space="0" w:color="auto"/>
              <w:left w:val="single" w:sz="8" w:space="0" w:color="auto"/>
              <w:bottom w:val="single" w:sz="8" w:space="0" w:color="000000"/>
              <w:right w:val="single" w:sz="8" w:space="0" w:color="auto"/>
            </w:tcBorders>
            <w:vAlign w:val="center"/>
            <w:hideMark/>
          </w:tcPr>
          <w:p w14:paraId="18E7F7A5" w14:textId="77777777" w:rsidR="00DD13BF" w:rsidRPr="005C3041" w:rsidRDefault="00DD13BF" w:rsidP="00355A56">
            <w:pPr>
              <w:rPr>
                <w:sz w:val="14"/>
                <w:szCs w:val="18"/>
              </w:rPr>
            </w:pPr>
          </w:p>
        </w:tc>
        <w:tc>
          <w:tcPr>
            <w:tcW w:w="125" w:type="pct"/>
            <w:vMerge/>
            <w:tcBorders>
              <w:top w:val="single" w:sz="8" w:space="0" w:color="auto"/>
              <w:left w:val="single" w:sz="8" w:space="0" w:color="auto"/>
              <w:bottom w:val="single" w:sz="8" w:space="0" w:color="000000"/>
              <w:right w:val="single" w:sz="8" w:space="0" w:color="auto"/>
            </w:tcBorders>
            <w:vAlign w:val="center"/>
            <w:hideMark/>
          </w:tcPr>
          <w:p w14:paraId="16142C3E" w14:textId="77777777" w:rsidR="00DD13BF" w:rsidRPr="005C3041" w:rsidRDefault="00DD13BF" w:rsidP="00355A56">
            <w:pPr>
              <w:rPr>
                <w:sz w:val="14"/>
                <w:szCs w:val="18"/>
              </w:rPr>
            </w:pPr>
          </w:p>
        </w:tc>
        <w:tc>
          <w:tcPr>
            <w:tcW w:w="388" w:type="pct"/>
            <w:tcBorders>
              <w:top w:val="nil"/>
              <w:left w:val="nil"/>
              <w:bottom w:val="single" w:sz="8" w:space="0" w:color="auto"/>
              <w:right w:val="single" w:sz="8" w:space="0" w:color="auto"/>
            </w:tcBorders>
            <w:shd w:val="clear" w:color="auto" w:fill="auto"/>
            <w:vAlign w:val="center"/>
            <w:hideMark/>
          </w:tcPr>
          <w:p w14:paraId="1EF1FBF3" w14:textId="77777777" w:rsidR="00DD13BF" w:rsidRPr="005C3041" w:rsidRDefault="00DD13BF" w:rsidP="00355A56">
            <w:pPr>
              <w:rPr>
                <w:sz w:val="14"/>
                <w:szCs w:val="18"/>
              </w:rPr>
            </w:pPr>
            <w:r>
              <w:rPr>
                <w:sz w:val="14"/>
              </w:rPr>
              <w:t>Article 4 JTF Regulation resources</w:t>
            </w:r>
          </w:p>
        </w:tc>
        <w:tc>
          <w:tcPr>
            <w:tcW w:w="271" w:type="pct"/>
            <w:tcBorders>
              <w:top w:val="nil"/>
              <w:left w:val="nil"/>
              <w:bottom w:val="single" w:sz="8" w:space="0" w:color="auto"/>
              <w:right w:val="single" w:sz="8" w:space="0" w:color="auto"/>
            </w:tcBorders>
            <w:shd w:val="clear" w:color="auto" w:fill="auto"/>
            <w:noWrap/>
            <w:vAlign w:val="center"/>
            <w:hideMark/>
          </w:tcPr>
          <w:p w14:paraId="445B604F"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vAlign w:val="center"/>
            <w:hideMark/>
          </w:tcPr>
          <w:p w14:paraId="008A9809" w14:textId="77777777" w:rsidR="00DD13BF" w:rsidRPr="005C3041" w:rsidRDefault="00DD13BF" w:rsidP="00355A56">
            <w:pPr>
              <w:jc w:val="right"/>
              <w:rPr>
                <w:sz w:val="14"/>
                <w:szCs w:val="18"/>
              </w:rPr>
            </w:pPr>
            <w:r>
              <w:rPr>
                <w:sz w:val="14"/>
              </w:rPr>
              <w:t>145,435,873</w:t>
            </w:r>
          </w:p>
        </w:tc>
        <w:tc>
          <w:tcPr>
            <w:tcW w:w="342" w:type="pct"/>
            <w:tcBorders>
              <w:top w:val="nil"/>
              <w:left w:val="nil"/>
              <w:bottom w:val="single" w:sz="8" w:space="0" w:color="auto"/>
              <w:right w:val="single" w:sz="8" w:space="0" w:color="auto"/>
            </w:tcBorders>
            <w:shd w:val="clear" w:color="auto" w:fill="auto"/>
            <w:noWrap/>
            <w:vAlign w:val="center"/>
            <w:hideMark/>
          </w:tcPr>
          <w:p w14:paraId="5FF742DF" w14:textId="77777777" w:rsidR="00DD13BF" w:rsidRPr="005C3041" w:rsidRDefault="00DD13BF" w:rsidP="00355A56">
            <w:pPr>
              <w:jc w:val="right"/>
              <w:rPr>
                <w:sz w:val="14"/>
                <w:szCs w:val="18"/>
              </w:rPr>
            </w:pPr>
            <w:r>
              <w:rPr>
                <w:sz w:val="14"/>
              </w:rPr>
              <w:t>139,842,186</w:t>
            </w:r>
          </w:p>
        </w:tc>
        <w:tc>
          <w:tcPr>
            <w:tcW w:w="350" w:type="pct"/>
            <w:tcBorders>
              <w:top w:val="nil"/>
              <w:left w:val="nil"/>
              <w:bottom w:val="single" w:sz="8" w:space="0" w:color="auto"/>
              <w:right w:val="single" w:sz="8" w:space="0" w:color="auto"/>
            </w:tcBorders>
            <w:shd w:val="clear" w:color="auto" w:fill="auto"/>
            <w:noWrap/>
            <w:vAlign w:val="center"/>
            <w:hideMark/>
          </w:tcPr>
          <w:p w14:paraId="2BCD484B" w14:textId="77777777" w:rsidR="00DD13BF" w:rsidRPr="005C3041" w:rsidRDefault="00DD13BF" w:rsidP="00355A56">
            <w:pPr>
              <w:jc w:val="right"/>
              <w:rPr>
                <w:sz w:val="14"/>
                <w:szCs w:val="18"/>
              </w:rPr>
            </w:pPr>
            <w:r>
              <w:rPr>
                <w:sz w:val="14"/>
              </w:rPr>
              <w:t>5,593,687</w:t>
            </w:r>
          </w:p>
        </w:tc>
        <w:tc>
          <w:tcPr>
            <w:tcW w:w="304" w:type="pct"/>
            <w:tcBorders>
              <w:top w:val="nil"/>
              <w:left w:val="nil"/>
              <w:bottom w:val="single" w:sz="8" w:space="0" w:color="auto"/>
              <w:right w:val="single" w:sz="8" w:space="0" w:color="auto"/>
            </w:tcBorders>
            <w:shd w:val="clear" w:color="auto" w:fill="auto"/>
            <w:noWrap/>
            <w:vAlign w:val="center"/>
            <w:hideMark/>
          </w:tcPr>
          <w:p w14:paraId="7D5B3E08"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3067C27A" w14:textId="77777777" w:rsidR="00DD13BF" w:rsidRPr="005C3041" w:rsidRDefault="00DD13BF" w:rsidP="00355A56">
            <w:pPr>
              <w:jc w:val="right"/>
              <w:rPr>
                <w:sz w:val="14"/>
                <w:szCs w:val="18"/>
              </w:rPr>
            </w:pPr>
            <w:r>
              <w:rPr>
                <w:sz w:val="14"/>
              </w:rPr>
              <w:t> 0</w:t>
            </w:r>
          </w:p>
        </w:tc>
        <w:tc>
          <w:tcPr>
            <w:tcW w:w="355" w:type="pct"/>
            <w:tcBorders>
              <w:top w:val="nil"/>
              <w:left w:val="nil"/>
              <w:bottom w:val="single" w:sz="8" w:space="0" w:color="auto"/>
              <w:right w:val="single" w:sz="8" w:space="0" w:color="auto"/>
            </w:tcBorders>
            <w:shd w:val="clear" w:color="auto" w:fill="auto"/>
            <w:noWrap/>
            <w:vAlign w:val="center"/>
            <w:hideMark/>
          </w:tcPr>
          <w:p w14:paraId="179C88AE" w14:textId="77777777" w:rsidR="00DD13BF" w:rsidRPr="005C3041" w:rsidRDefault="00DD13BF" w:rsidP="00355A56">
            <w:pPr>
              <w:jc w:val="right"/>
              <w:rPr>
                <w:sz w:val="14"/>
                <w:szCs w:val="18"/>
              </w:rPr>
            </w:pPr>
            <w:r>
              <w:rPr>
                <w:sz w:val="14"/>
              </w:rPr>
              <w:t>25,665,155</w:t>
            </w:r>
          </w:p>
        </w:tc>
        <w:tc>
          <w:tcPr>
            <w:tcW w:w="355" w:type="pct"/>
            <w:tcBorders>
              <w:top w:val="nil"/>
              <w:left w:val="nil"/>
              <w:bottom w:val="single" w:sz="8" w:space="0" w:color="auto"/>
              <w:right w:val="single" w:sz="8" w:space="0" w:color="auto"/>
            </w:tcBorders>
            <w:shd w:val="clear" w:color="auto" w:fill="auto"/>
            <w:noWrap/>
            <w:vAlign w:val="center"/>
            <w:hideMark/>
          </w:tcPr>
          <w:p w14:paraId="6B344430" w14:textId="77777777" w:rsidR="00DD13BF" w:rsidRPr="005C3041" w:rsidRDefault="00DD13BF" w:rsidP="00355A56">
            <w:pPr>
              <w:jc w:val="right"/>
              <w:rPr>
                <w:sz w:val="14"/>
                <w:szCs w:val="18"/>
              </w:rPr>
            </w:pPr>
            <w:r>
              <w:rPr>
                <w:sz w:val="14"/>
              </w:rPr>
              <w:t>7,403,410</w:t>
            </w:r>
          </w:p>
        </w:tc>
        <w:tc>
          <w:tcPr>
            <w:tcW w:w="321" w:type="pct"/>
            <w:tcBorders>
              <w:top w:val="nil"/>
              <w:left w:val="nil"/>
              <w:bottom w:val="single" w:sz="8" w:space="0" w:color="auto"/>
              <w:right w:val="single" w:sz="8" w:space="0" w:color="auto"/>
            </w:tcBorders>
            <w:shd w:val="clear" w:color="auto" w:fill="auto"/>
            <w:noWrap/>
            <w:vAlign w:val="center"/>
            <w:hideMark/>
          </w:tcPr>
          <w:p w14:paraId="4F28E27E" w14:textId="77777777" w:rsidR="00DD13BF" w:rsidRPr="005C3041" w:rsidRDefault="00DD13BF" w:rsidP="00355A56">
            <w:pPr>
              <w:jc w:val="right"/>
              <w:rPr>
                <w:sz w:val="14"/>
                <w:szCs w:val="18"/>
              </w:rPr>
            </w:pPr>
            <w:r>
              <w:rPr>
                <w:sz w:val="14"/>
              </w:rPr>
              <w:t>18,261,745</w:t>
            </w:r>
          </w:p>
        </w:tc>
        <w:tc>
          <w:tcPr>
            <w:tcW w:w="342" w:type="pct"/>
            <w:tcBorders>
              <w:top w:val="nil"/>
              <w:left w:val="nil"/>
              <w:bottom w:val="single" w:sz="8" w:space="0" w:color="auto"/>
              <w:right w:val="single" w:sz="8" w:space="0" w:color="auto"/>
            </w:tcBorders>
            <w:shd w:val="clear" w:color="auto" w:fill="auto"/>
            <w:noWrap/>
            <w:vAlign w:val="center"/>
            <w:hideMark/>
          </w:tcPr>
          <w:p w14:paraId="6E85DBC1" w14:textId="77777777" w:rsidR="00DD13BF" w:rsidRPr="005C3041" w:rsidRDefault="00DD13BF" w:rsidP="00355A56">
            <w:pPr>
              <w:jc w:val="right"/>
              <w:rPr>
                <w:sz w:val="14"/>
                <w:szCs w:val="18"/>
              </w:rPr>
            </w:pPr>
            <w:r>
              <w:rPr>
                <w:sz w:val="14"/>
              </w:rPr>
              <w:t>171,101,028</w:t>
            </w:r>
          </w:p>
        </w:tc>
        <w:tc>
          <w:tcPr>
            <w:tcW w:w="336" w:type="pct"/>
            <w:tcBorders>
              <w:top w:val="nil"/>
              <w:left w:val="nil"/>
              <w:bottom w:val="single" w:sz="8" w:space="0" w:color="auto"/>
              <w:right w:val="single" w:sz="8" w:space="0" w:color="auto"/>
            </w:tcBorders>
            <w:shd w:val="clear" w:color="auto" w:fill="auto"/>
            <w:noWrap/>
            <w:vAlign w:val="center"/>
            <w:hideMark/>
          </w:tcPr>
          <w:p w14:paraId="204C6F1B" w14:textId="77777777" w:rsidR="00DD13BF" w:rsidRPr="005C3041" w:rsidRDefault="00DD13BF" w:rsidP="00355A56">
            <w:pPr>
              <w:jc w:val="right"/>
              <w:rPr>
                <w:sz w:val="14"/>
                <w:szCs w:val="18"/>
              </w:rPr>
            </w:pPr>
            <w:r>
              <w:rPr>
                <w:sz w:val="14"/>
              </w:rPr>
              <w:t>0.85</w:t>
            </w:r>
          </w:p>
        </w:tc>
      </w:tr>
      <w:tr w:rsidR="00DD13BF" w:rsidRPr="005C3041" w14:paraId="68A0AD0B" w14:textId="77777777" w:rsidTr="00355A56">
        <w:trPr>
          <w:trHeight w:val="48"/>
        </w:trPr>
        <w:tc>
          <w:tcPr>
            <w:tcW w:w="511"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85C04C" w14:textId="77777777" w:rsidR="00DD13BF" w:rsidRPr="005C3041" w:rsidRDefault="00DD13BF" w:rsidP="00355A56">
            <w:pPr>
              <w:rPr>
                <w:sz w:val="14"/>
                <w:szCs w:val="18"/>
              </w:rPr>
            </w:pPr>
            <w:r>
              <w:rPr>
                <w:sz w:val="14"/>
              </w:rPr>
              <w:t> </w:t>
            </w:r>
          </w:p>
        </w:tc>
        <w:tc>
          <w:tcPr>
            <w:tcW w:w="262" w:type="pct"/>
            <w:tcBorders>
              <w:top w:val="nil"/>
              <w:left w:val="nil"/>
              <w:bottom w:val="single" w:sz="8" w:space="0" w:color="auto"/>
              <w:right w:val="single" w:sz="8" w:space="0" w:color="auto"/>
            </w:tcBorders>
            <w:shd w:val="clear" w:color="auto" w:fill="auto"/>
            <w:noWrap/>
            <w:vAlign w:val="center"/>
            <w:hideMark/>
          </w:tcPr>
          <w:p w14:paraId="0E2EDB22" w14:textId="77777777" w:rsidR="00DD13BF" w:rsidRPr="005C3041" w:rsidRDefault="00DD13BF" w:rsidP="00355A56">
            <w:pPr>
              <w:rPr>
                <w:sz w:val="14"/>
                <w:szCs w:val="18"/>
              </w:rPr>
            </w:pPr>
            <w:r>
              <w:rPr>
                <w:sz w:val="14"/>
              </w:rPr>
              <w:t> </w:t>
            </w:r>
          </w:p>
        </w:tc>
        <w:tc>
          <w:tcPr>
            <w:tcW w:w="51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69971AE" w14:textId="77777777" w:rsidR="00DD13BF" w:rsidRPr="005C3041" w:rsidRDefault="00DD13BF" w:rsidP="00355A56">
            <w:pPr>
              <w:rPr>
                <w:sz w:val="14"/>
                <w:szCs w:val="18"/>
              </w:rPr>
            </w:pPr>
            <w:r>
              <w:rPr>
                <w:sz w:val="14"/>
              </w:rPr>
              <w:t>Total Cohesion Fund</w:t>
            </w:r>
          </w:p>
        </w:tc>
        <w:tc>
          <w:tcPr>
            <w:tcW w:w="271" w:type="pct"/>
            <w:tcBorders>
              <w:top w:val="nil"/>
              <w:left w:val="nil"/>
              <w:bottom w:val="single" w:sz="8" w:space="0" w:color="auto"/>
              <w:right w:val="single" w:sz="8" w:space="0" w:color="auto"/>
            </w:tcBorders>
            <w:shd w:val="clear" w:color="auto" w:fill="auto"/>
            <w:noWrap/>
            <w:vAlign w:val="center"/>
            <w:hideMark/>
          </w:tcPr>
          <w:p w14:paraId="37AB013E"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hideMark/>
          </w:tcPr>
          <w:p w14:paraId="365B89FB" w14:textId="77777777" w:rsidR="00DD13BF" w:rsidRPr="005C3041" w:rsidRDefault="00DD13BF" w:rsidP="00355A56">
            <w:pPr>
              <w:jc w:val="right"/>
              <w:rPr>
                <w:sz w:val="14"/>
                <w:szCs w:val="18"/>
              </w:rPr>
            </w:pPr>
            <w:r>
              <w:rPr>
                <w:sz w:val="14"/>
              </w:rPr>
              <w:t>718,192,613</w:t>
            </w:r>
          </w:p>
        </w:tc>
        <w:tc>
          <w:tcPr>
            <w:tcW w:w="342" w:type="pct"/>
            <w:tcBorders>
              <w:top w:val="nil"/>
              <w:left w:val="nil"/>
              <w:bottom w:val="single" w:sz="8" w:space="0" w:color="auto"/>
              <w:right w:val="single" w:sz="8" w:space="0" w:color="auto"/>
            </w:tcBorders>
            <w:shd w:val="clear" w:color="auto" w:fill="auto"/>
            <w:noWrap/>
            <w:hideMark/>
          </w:tcPr>
          <w:p w14:paraId="70C92F95" w14:textId="77777777" w:rsidR="00DD13BF" w:rsidRPr="005C3041" w:rsidRDefault="00DD13BF" w:rsidP="00355A56">
            <w:pPr>
              <w:jc w:val="right"/>
              <w:rPr>
                <w:sz w:val="14"/>
                <w:szCs w:val="18"/>
              </w:rPr>
            </w:pPr>
            <w:r>
              <w:rPr>
                <w:sz w:val="14"/>
              </w:rPr>
              <w:t>595,576,332</w:t>
            </w:r>
          </w:p>
        </w:tc>
        <w:tc>
          <w:tcPr>
            <w:tcW w:w="350" w:type="pct"/>
            <w:tcBorders>
              <w:top w:val="nil"/>
              <w:left w:val="nil"/>
              <w:bottom w:val="single" w:sz="8" w:space="0" w:color="auto"/>
              <w:right w:val="single" w:sz="8" w:space="0" w:color="auto"/>
            </w:tcBorders>
            <w:shd w:val="clear" w:color="auto" w:fill="auto"/>
            <w:noWrap/>
            <w:hideMark/>
          </w:tcPr>
          <w:p w14:paraId="71335951" w14:textId="77777777" w:rsidR="00DD13BF" w:rsidRPr="005C3041" w:rsidRDefault="00DD13BF" w:rsidP="00355A56">
            <w:pPr>
              <w:jc w:val="right"/>
              <w:rPr>
                <w:sz w:val="14"/>
                <w:szCs w:val="18"/>
              </w:rPr>
            </w:pPr>
            <w:r>
              <w:rPr>
                <w:sz w:val="14"/>
              </w:rPr>
              <w:t>14,889,407</w:t>
            </w:r>
          </w:p>
        </w:tc>
        <w:tc>
          <w:tcPr>
            <w:tcW w:w="304" w:type="pct"/>
            <w:tcBorders>
              <w:top w:val="nil"/>
              <w:left w:val="nil"/>
              <w:bottom w:val="single" w:sz="8" w:space="0" w:color="auto"/>
              <w:right w:val="single" w:sz="8" w:space="0" w:color="auto"/>
            </w:tcBorders>
            <w:shd w:val="clear" w:color="auto" w:fill="auto"/>
            <w:noWrap/>
            <w:hideMark/>
          </w:tcPr>
          <w:p w14:paraId="59F671BC" w14:textId="77777777" w:rsidR="00DD13BF" w:rsidRPr="005C3041" w:rsidRDefault="00DD13BF" w:rsidP="00355A56">
            <w:pPr>
              <w:jc w:val="right"/>
              <w:rPr>
                <w:sz w:val="14"/>
                <w:szCs w:val="18"/>
              </w:rPr>
            </w:pPr>
            <w:r>
              <w:rPr>
                <w:sz w:val="14"/>
              </w:rPr>
              <w:t>105,099,389</w:t>
            </w:r>
          </w:p>
        </w:tc>
        <w:tc>
          <w:tcPr>
            <w:tcW w:w="342" w:type="pct"/>
            <w:tcBorders>
              <w:top w:val="nil"/>
              <w:left w:val="nil"/>
              <w:bottom w:val="single" w:sz="8" w:space="0" w:color="auto"/>
              <w:right w:val="single" w:sz="8" w:space="0" w:color="auto"/>
            </w:tcBorders>
            <w:shd w:val="clear" w:color="auto" w:fill="auto"/>
            <w:noWrap/>
            <w:hideMark/>
          </w:tcPr>
          <w:p w14:paraId="5E761622" w14:textId="77777777" w:rsidR="00DD13BF" w:rsidRPr="005C3041" w:rsidRDefault="00DD13BF" w:rsidP="00355A56">
            <w:pPr>
              <w:jc w:val="right"/>
              <w:rPr>
                <w:sz w:val="14"/>
                <w:szCs w:val="18"/>
              </w:rPr>
            </w:pPr>
            <w:r>
              <w:rPr>
                <w:sz w:val="14"/>
              </w:rPr>
              <w:t>2,627,485</w:t>
            </w:r>
          </w:p>
        </w:tc>
        <w:tc>
          <w:tcPr>
            <w:tcW w:w="355" w:type="pct"/>
            <w:tcBorders>
              <w:top w:val="nil"/>
              <w:left w:val="nil"/>
              <w:bottom w:val="single" w:sz="8" w:space="0" w:color="auto"/>
              <w:right w:val="single" w:sz="8" w:space="0" w:color="auto"/>
            </w:tcBorders>
            <w:shd w:val="clear" w:color="auto" w:fill="auto"/>
            <w:noWrap/>
            <w:hideMark/>
          </w:tcPr>
          <w:p w14:paraId="733BF236" w14:textId="77777777" w:rsidR="00DD13BF" w:rsidRPr="005C3041" w:rsidRDefault="00DD13BF" w:rsidP="00355A56">
            <w:pPr>
              <w:jc w:val="right"/>
              <w:rPr>
                <w:sz w:val="14"/>
                <w:szCs w:val="18"/>
              </w:rPr>
            </w:pPr>
            <w:r>
              <w:rPr>
                <w:sz w:val="14"/>
              </w:rPr>
              <w:t>126,739,874</w:t>
            </w:r>
          </w:p>
        </w:tc>
        <w:tc>
          <w:tcPr>
            <w:tcW w:w="355" w:type="pct"/>
            <w:tcBorders>
              <w:top w:val="nil"/>
              <w:left w:val="nil"/>
              <w:bottom w:val="single" w:sz="8" w:space="0" w:color="auto"/>
              <w:right w:val="single" w:sz="8" w:space="0" w:color="auto"/>
            </w:tcBorders>
            <w:shd w:val="clear" w:color="auto" w:fill="auto"/>
            <w:noWrap/>
            <w:vAlign w:val="center"/>
            <w:hideMark/>
          </w:tcPr>
          <w:p w14:paraId="5DC7F5FB" w14:textId="77777777" w:rsidR="00DD13BF" w:rsidRPr="005C3041" w:rsidRDefault="00DD13BF" w:rsidP="00355A56">
            <w:pPr>
              <w:jc w:val="right"/>
              <w:rPr>
                <w:sz w:val="14"/>
                <w:szCs w:val="18"/>
              </w:rPr>
            </w:pPr>
            <w:r>
              <w:rPr>
                <w:sz w:val="14"/>
              </w:rPr>
              <w:t>126,739,874</w:t>
            </w:r>
          </w:p>
        </w:tc>
        <w:tc>
          <w:tcPr>
            <w:tcW w:w="321" w:type="pct"/>
            <w:tcBorders>
              <w:top w:val="nil"/>
              <w:left w:val="nil"/>
              <w:bottom w:val="single" w:sz="8" w:space="0" w:color="auto"/>
              <w:right w:val="single" w:sz="8" w:space="0" w:color="auto"/>
            </w:tcBorders>
            <w:shd w:val="clear" w:color="auto" w:fill="auto"/>
            <w:noWrap/>
            <w:vAlign w:val="center"/>
            <w:hideMark/>
          </w:tcPr>
          <w:p w14:paraId="5B347B78" w14:textId="77777777" w:rsidR="00DD13BF" w:rsidRPr="005C3041" w:rsidRDefault="00DD13BF" w:rsidP="00355A56">
            <w:pPr>
              <w:jc w:val="right"/>
              <w:rPr>
                <w:sz w:val="14"/>
                <w:szCs w:val="18"/>
              </w:rPr>
            </w:pPr>
            <w:r>
              <w:rPr>
                <w:sz w:val="14"/>
              </w:rPr>
              <w:t> 0</w:t>
            </w:r>
          </w:p>
        </w:tc>
        <w:tc>
          <w:tcPr>
            <w:tcW w:w="342" w:type="pct"/>
            <w:tcBorders>
              <w:top w:val="nil"/>
              <w:left w:val="nil"/>
              <w:bottom w:val="single" w:sz="8" w:space="0" w:color="auto"/>
              <w:right w:val="single" w:sz="8" w:space="0" w:color="auto"/>
            </w:tcBorders>
            <w:shd w:val="clear" w:color="auto" w:fill="auto"/>
            <w:noWrap/>
            <w:vAlign w:val="center"/>
            <w:hideMark/>
          </w:tcPr>
          <w:p w14:paraId="077189E8" w14:textId="77777777" w:rsidR="00DD13BF" w:rsidRPr="005C3041" w:rsidRDefault="00DD13BF" w:rsidP="00355A56">
            <w:pPr>
              <w:jc w:val="right"/>
              <w:rPr>
                <w:sz w:val="14"/>
                <w:szCs w:val="18"/>
              </w:rPr>
            </w:pPr>
            <w:r>
              <w:rPr>
                <w:sz w:val="14"/>
              </w:rPr>
              <w:t>844,932,487</w:t>
            </w:r>
          </w:p>
        </w:tc>
        <w:tc>
          <w:tcPr>
            <w:tcW w:w="336" w:type="pct"/>
            <w:tcBorders>
              <w:top w:val="nil"/>
              <w:left w:val="nil"/>
              <w:bottom w:val="single" w:sz="8" w:space="0" w:color="auto"/>
              <w:right w:val="single" w:sz="8" w:space="0" w:color="auto"/>
            </w:tcBorders>
            <w:shd w:val="clear" w:color="auto" w:fill="auto"/>
            <w:noWrap/>
            <w:vAlign w:val="center"/>
            <w:hideMark/>
          </w:tcPr>
          <w:p w14:paraId="29C43E8F" w14:textId="77777777" w:rsidR="00DD13BF" w:rsidRPr="005C3041" w:rsidRDefault="00DD13BF" w:rsidP="00355A56">
            <w:pPr>
              <w:jc w:val="right"/>
              <w:rPr>
                <w:sz w:val="14"/>
                <w:szCs w:val="18"/>
              </w:rPr>
            </w:pPr>
            <w:r>
              <w:rPr>
                <w:sz w:val="14"/>
              </w:rPr>
              <w:t>0.85</w:t>
            </w:r>
          </w:p>
        </w:tc>
      </w:tr>
      <w:tr w:rsidR="00DD13BF" w:rsidRPr="005C3041" w14:paraId="1D2FD250" w14:textId="77777777" w:rsidTr="00355A56">
        <w:trPr>
          <w:trHeight w:val="43"/>
        </w:trPr>
        <w:tc>
          <w:tcPr>
            <w:tcW w:w="511"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1B6891" w14:textId="77777777" w:rsidR="00DD13BF" w:rsidRPr="005C3041" w:rsidRDefault="00DD13BF" w:rsidP="00355A56">
            <w:pPr>
              <w:rPr>
                <w:sz w:val="14"/>
                <w:szCs w:val="18"/>
              </w:rPr>
            </w:pPr>
            <w:r>
              <w:rPr>
                <w:sz w:val="14"/>
              </w:rPr>
              <w:t> </w:t>
            </w:r>
          </w:p>
        </w:tc>
        <w:tc>
          <w:tcPr>
            <w:tcW w:w="262" w:type="pct"/>
            <w:tcBorders>
              <w:top w:val="nil"/>
              <w:left w:val="nil"/>
              <w:bottom w:val="single" w:sz="8" w:space="0" w:color="auto"/>
              <w:right w:val="single" w:sz="8" w:space="0" w:color="auto"/>
            </w:tcBorders>
            <w:shd w:val="clear" w:color="auto" w:fill="auto"/>
            <w:noWrap/>
            <w:vAlign w:val="center"/>
            <w:hideMark/>
          </w:tcPr>
          <w:p w14:paraId="71878041" w14:textId="77777777" w:rsidR="00DD13BF" w:rsidRPr="005C3041" w:rsidRDefault="00DD13BF" w:rsidP="00355A56">
            <w:pPr>
              <w:rPr>
                <w:sz w:val="14"/>
                <w:szCs w:val="18"/>
              </w:rPr>
            </w:pPr>
            <w:r>
              <w:rPr>
                <w:sz w:val="14"/>
              </w:rPr>
              <w:t> </w:t>
            </w:r>
          </w:p>
        </w:tc>
        <w:tc>
          <w:tcPr>
            <w:tcW w:w="512" w:type="pct"/>
            <w:gridSpan w:val="2"/>
            <w:tcBorders>
              <w:top w:val="single" w:sz="8" w:space="0" w:color="auto"/>
              <w:left w:val="nil"/>
              <w:bottom w:val="single" w:sz="8" w:space="0" w:color="auto"/>
              <w:right w:val="single" w:sz="8" w:space="0" w:color="000000"/>
            </w:tcBorders>
            <w:shd w:val="clear" w:color="auto" w:fill="auto"/>
            <w:vAlign w:val="center"/>
            <w:hideMark/>
          </w:tcPr>
          <w:p w14:paraId="765027EF" w14:textId="77777777" w:rsidR="00DD13BF" w:rsidRPr="005C3041" w:rsidRDefault="00DD13BF" w:rsidP="00355A56">
            <w:pPr>
              <w:rPr>
                <w:sz w:val="14"/>
                <w:szCs w:val="18"/>
              </w:rPr>
            </w:pPr>
            <w:r>
              <w:rPr>
                <w:sz w:val="14"/>
              </w:rPr>
              <w:t>Total</w:t>
            </w:r>
          </w:p>
        </w:tc>
        <w:tc>
          <w:tcPr>
            <w:tcW w:w="271" w:type="pct"/>
            <w:tcBorders>
              <w:top w:val="nil"/>
              <w:left w:val="nil"/>
              <w:bottom w:val="single" w:sz="8" w:space="0" w:color="auto"/>
              <w:right w:val="single" w:sz="8" w:space="0" w:color="auto"/>
            </w:tcBorders>
            <w:shd w:val="clear" w:color="auto" w:fill="auto"/>
            <w:noWrap/>
            <w:vAlign w:val="center"/>
            <w:hideMark/>
          </w:tcPr>
          <w:p w14:paraId="7C18F26F" w14:textId="77777777" w:rsidR="00DD13BF" w:rsidRPr="005C3041" w:rsidRDefault="00DD13BF" w:rsidP="00355A56">
            <w:pPr>
              <w:rPr>
                <w:sz w:val="14"/>
                <w:szCs w:val="18"/>
              </w:rPr>
            </w:pPr>
            <w:r>
              <w:rPr>
                <w:sz w:val="14"/>
              </w:rPr>
              <w:t> </w:t>
            </w:r>
          </w:p>
        </w:tc>
        <w:tc>
          <w:tcPr>
            <w:tcW w:w="397" w:type="pct"/>
            <w:tcBorders>
              <w:top w:val="nil"/>
              <w:left w:val="nil"/>
              <w:bottom w:val="single" w:sz="8" w:space="0" w:color="auto"/>
              <w:right w:val="single" w:sz="8" w:space="0" w:color="auto"/>
            </w:tcBorders>
            <w:shd w:val="clear" w:color="auto" w:fill="auto"/>
            <w:noWrap/>
            <w:hideMark/>
          </w:tcPr>
          <w:p w14:paraId="64197AD7" w14:textId="77777777" w:rsidR="00DD13BF" w:rsidRPr="005C3041" w:rsidRDefault="00DD13BF" w:rsidP="00355A56">
            <w:pPr>
              <w:jc w:val="right"/>
              <w:rPr>
                <w:sz w:val="14"/>
                <w:szCs w:val="18"/>
              </w:rPr>
            </w:pPr>
            <w:r>
              <w:rPr>
                <w:sz w:val="14"/>
              </w:rPr>
              <w:t>3,212,667,453</w:t>
            </w:r>
          </w:p>
        </w:tc>
        <w:tc>
          <w:tcPr>
            <w:tcW w:w="342" w:type="pct"/>
            <w:tcBorders>
              <w:top w:val="nil"/>
              <w:left w:val="nil"/>
              <w:bottom w:val="single" w:sz="8" w:space="0" w:color="auto"/>
              <w:right w:val="single" w:sz="8" w:space="0" w:color="auto"/>
            </w:tcBorders>
            <w:shd w:val="clear" w:color="auto" w:fill="auto"/>
            <w:noWrap/>
            <w:hideMark/>
          </w:tcPr>
          <w:p w14:paraId="408A8750" w14:textId="77777777" w:rsidR="00DD13BF" w:rsidRPr="005C3041" w:rsidRDefault="00DD13BF" w:rsidP="00355A56">
            <w:pPr>
              <w:jc w:val="right"/>
              <w:rPr>
                <w:sz w:val="14"/>
                <w:szCs w:val="18"/>
              </w:rPr>
            </w:pPr>
            <w:r>
              <w:rPr>
                <w:sz w:val="14"/>
              </w:rPr>
              <w:t>2,662,130,246</w:t>
            </w:r>
          </w:p>
        </w:tc>
        <w:tc>
          <w:tcPr>
            <w:tcW w:w="350" w:type="pct"/>
            <w:tcBorders>
              <w:top w:val="nil"/>
              <w:left w:val="nil"/>
              <w:bottom w:val="single" w:sz="8" w:space="0" w:color="auto"/>
              <w:right w:val="single" w:sz="8" w:space="0" w:color="auto"/>
            </w:tcBorders>
            <w:shd w:val="clear" w:color="auto" w:fill="auto"/>
            <w:noWrap/>
            <w:hideMark/>
          </w:tcPr>
          <w:p w14:paraId="1D75CF8C" w14:textId="77777777" w:rsidR="00DD13BF" w:rsidRPr="005C3041" w:rsidRDefault="00DD13BF" w:rsidP="00355A56">
            <w:pPr>
              <w:jc w:val="right"/>
              <w:rPr>
                <w:sz w:val="14"/>
                <w:szCs w:val="18"/>
              </w:rPr>
            </w:pPr>
            <w:r>
              <w:rPr>
                <w:sz w:val="14"/>
              </w:rPr>
              <w:t>90,937,614</w:t>
            </w:r>
          </w:p>
        </w:tc>
        <w:tc>
          <w:tcPr>
            <w:tcW w:w="304" w:type="pct"/>
            <w:tcBorders>
              <w:top w:val="nil"/>
              <w:left w:val="nil"/>
              <w:bottom w:val="single" w:sz="8" w:space="0" w:color="auto"/>
              <w:right w:val="single" w:sz="8" w:space="0" w:color="auto"/>
            </w:tcBorders>
            <w:shd w:val="clear" w:color="auto" w:fill="auto"/>
            <w:noWrap/>
            <w:hideMark/>
          </w:tcPr>
          <w:p w14:paraId="4BA7EC46" w14:textId="77777777" w:rsidR="00DD13BF" w:rsidRPr="005C3041" w:rsidRDefault="00DD13BF" w:rsidP="00355A56">
            <w:pPr>
              <w:jc w:val="right"/>
              <w:rPr>
                <w:sz w:val="14"/>
                <w:szCs w:val="18"/>
              </w:rPr>
            </w:pPr>
            <w:r>
              <w:rPr>
                <w:sz w:val="14"/>
              </w:rPr>
              <w:t>444,510,166</w:t>
            </w:r>
          </w:p>
        </w:tc>
        <w:tc>
          <w:tcPr>
            <w:tcW w:w="342" w:type="pct"/>
            <w:tcBorders>
              <w:top w:val="nil"/>
              <w:left w:val="nil"/>
              <w:bottom w:val="single" w:sz="8" w:space="0" w:color="auto"/>
              <w:right w:val="single" w:sz="8" w:space="0" w:color="auto"/>
            </w:tcBorders>
            <w:shd w:val="clear" w:color="auto" w:fill="auto"/>
            <w:noWrap/>
            <w:hideMark/>
          </w:tcPr>
          <w:p w14:paraId="04201F09" w14:textId="77777777" w:rsidR="00DD13BF" w:rsidRPr="005C3041" w:rsidRDefault="00DD13BF" w:rsidP="00355A56">
            <w:pPr>
              <w:jc w:val="right"/>
              <w:rPr>
                <w:sz w:val="14"/>
                <w:szCs w:val="18"/>
              </w:rPr>
            </w:pPr>
            <w:r>
              <w:rPr>
                <w:sz w:val="14"/>
              </w:rPr>
              <w:t>15,089,427</w:t>
            </w:r>
          </w:p>
        </w:tc>
        <w:tc>
          <w:tcPr>
            <w:tcW w:w="355" w:type="pct"/>
            <w:tcBorders>
              <w:top w:val="nil"/>
              <w:left w:val="nil"/>
              <w:bottom w:val="single" w:sz="8" w:space="0" w:color="auto"/>
              <w:right w:val="single" w:sz="8" w:space="0" w:color="auto"/>
            </w:tcBorders>
            <w:shd w:val="clear" w:color="auto" w:fill="auto"/>
            <w:noWrap/>
            <w:hideMark/>
          </w:tcPr>
          <w:p w14:paraId="5F535B6F" w14:textId="77777777" w:rsidR="00DD13BF" w:rsidRPr="005C3041" w:rsidRDefault="00DD13BF" w:rsidP="00355A56">
            <w:pPr>
              <w:jc w:val="right"/>
              <w:rPr>
                <w:sz w:val="14"/>
                <w:szCs w:val="18"/>
              </w:rPr>
            </w:pPr>
            <w:r>
              <w:rPr>
                <w:sz w:val="14"/>
              </w:rPr>
              <w:t>1,270,282,121</w:t>
            </w:r>
          </w:p>
        </w:tc>
        <w:tc>
          <w:tcPr>
            <w:tcW w:w="355" w:type="pct"/>
            <w:tcBorders>
              <w:top w:val="nil"/>
              <w:left w:val="nil"/>
              <w:bottom w:val="single" w:sz="8" w:space="0" w:color="auto"/>
              <w:right w:val="single" w:sz="8" w:space="0" w:color="auto"/>
            </w:tcBorders>
            <w:shd w:val="clear" w:color="auto" w:fill="auto"/>
            <w:noWrap/>
            <w:vAlign w:val="center"/>
            <w:hideMark/>
          </w:tcPr>
          <w:p w14:paraId="1BE78FE3" w14:textId="77777777" w:rsidR="00DD13BF" w:rsidRPr="005C3041" w:rsidRDefault="00DD13BF" w:rsidP="00355A56">
            <w:pPr>
              <w:jc w:val="right"/>
              <w:rPr>
                <w:sz w:val="14"/>
                <w:szCs w:val="18"/>
              </w:rPr>
            </w:pPr>
            <w:r>
              <w:rPr>
                <w:sz w:val="14"/>
              </w:rPr>
              <w:t>866,231,639</w:t>
            </w:r>
          </w:p>
        </w:tc>
        <w:tc>
          <w:tcPr>
            <w:tcW w:w="321" w:type="pct"/>
            <w:tcBorders>
              <w:top w:val="nil"/>
              <w:left w:val="nil"/>
              <w:bottom w:val="single" w:sz="8" w:space="0" w:color="auto"/>
              <w:right w:val="single" w:sz="8" w:space="0" w:color="auto"/>
            </w:tcBorders>
            <w:shd w:val="clear" w:color="auto" w:fill="auto"/>
            <w:noWrap/>
            <w:vAlign w:val="center"/>
            <w:hideMark/>
          </w:tcPr>
          <w:p w14:paraId="1D87B3C9" w14:textId="77777777" w:rsidR="00DD13BF" w:rsidRPr="005C3041" w:rsidRDefault="00DD13BF" w:rsidP="00355A56">
            <w:pPr>
              <w:jc w:val="right"/>
              <w:rPr>
                <w:sz w:val="14"/>
                <w:szCs w:val="18"/>
              </w:rPr>
            </w:pPr>
            <w:r>
              <w:rPr>
                <w:sz w:val="14"/>
              </w:rPr>
              <w:t>404,050,482</w:t>
            </w:r>
          </w:p>
        </w:tc>
        <w:tc>
          <w:tcPr>
            <w:tcW w:w="342" w:type="pct"/>
            <w:tcBorders>
              <w:top w:val="nil"/>
              <w:left w:val="nil"/>
              <w:bottom w:val="single" w:sz="8" w:space="0" w:color="auto"/>
              <w:right w:val="single" w:sz="8" w:space="0" w:color="auto"/>
            </w:tcBorders>
            <w:shd w:val="clear" w:color="auto" w:fill="auto"/>
            <w:noWrap/>
            <w:vAlign w:val="center"/>
            <w:hideMark/>
          </w:tcPr>
          <w:p w14:paraId="7A08E1F5" w14:textId="77777777" w:rsidR="00DD13BF" w:rsidRPr="005C3041" w:rsidRDefault="00DD13BF" w:rsidP="00355A56">
            <w:pPr>
              <w:jc w:val="right"/>
              <w:rPr>
                <w:sz w:val="14"/>
                <w:szCs w:val="18"/>
              </w:rPr>
            </w:pPr>
            <w:r>
              <w:rPr>
                <w:sz w:val="14"/>
              </w:rPr>
              <w:t>4,482,949,574</w:t>
            </w:r>
          </w:p>
        </w:tc>
        <w:tc>
          <w:tcPr>
            <w:tcW w:w="336" w:type="pct"/>
            <w:tcBorders>
              <w:top w:val="nil"/>
              <w:left w:val="nil"/>
              <w:bottom w:val="single" w:sz="8" w:space="0" w:color="auto"/>
              <w:right w:val="single" w:sz="8" w:space="0" w:color="auto"/>
            </w:tcBorders>
            <w:shd w:val="clear" w:color="auto" w:fill="auto"/>
            <w:noWrap/>
            <w:vAlign w:val="center"/>
            <w:hideMark/>
          </w:tcPr>
          <w:p w14:paraId="41D18032" w14:textId="77777777" w:rsidR="00DD13BF" w:rsidRPr="005C3041" w:rsidRDefault="00DD13BF" w:rsidP="00355A56">
            <w:pPr>
              <w:jc w:val="right"/>
              <w:rPr>
                <w:sz w:val="14"/>
                <w:szCs w:val="18"/>
              </w:rPr>
            </w:pPr>
            <w:r>
              <w:rPr>
                <w:sz w:val="14"/>
              </w:rPr>
              <w:t>0.72</w:t>
            </w:r>
          </w:p>
        </w:tc>
      </w:tr>
    </w:tbl>
    <w:p w14:paraId="4EA3F9DD" w14:textId="77777777" w:rsidR="00DD13BF" w:rsidRDefault="00DD13BF" w:rsidP="00DD13BF"/>
    <w:p w14:paraId="03B572F9" w14:textId="77777777" w:rsidR="00DD13BF" w:rsidRDefault="00DD13BF" w:rsidP="00DD13BF">
      <w:pPr>
        <w:rPr>
          <w:sz w:val="2"/>
          <w:szCs w:val="2"/>
        </w:rPr>
        <w:sectPr w:rsidR="00DD13BF" w:rsidSect="00FC3010">
          <w:headerReference w:type="default" r:id="rId101"/>
          <w:footerReference w:type="first" r:id="rId102"/>
          <w:type w:val="continuous"/>
          <w:pgSz w:w="16840" w:h="11910" w:orient="landscape"/>
          <w:pgMar w:top="1417" w:right="1417" w:bottom="1417" w:left="1417" w:header="708" w:footer="708" w:gutter="0"/>
          <w:cols w:space="708"/>
        </w:sectPr>
      </w:pPr>
    </w:p>
    <w:p w14:paraId="63086C35" w14:textId="77777777" w:rsidR="00DD13BF" w:rsidRDefault="00DD13BF" w:rsidP="00DD13BF">
      <w:pPr>
        <w:rPr>
          <w:sz w:val="2"/>
          <w:szCs w:val="2"/>
        </w:rPr>
        <w:sectPr w:rsidR="00DD13BF" w:rsidSect="00FC3010">
          <w:headerReference w:type="default" r:id="rId103"/>
          <w:footerReference w:type="first" r:id="rId104"/>
          <w:type w:val="continuous"/>
          <w:pgSz w:w="16840" w:h="11910" w:orient="landscape"/>
          <w:pgMar w:top="1417" w:right="1417" w:bottom="1417" w:left="1417" w:header="708" w:footer="708" w:gutter="0"/>
          <w:cols w:space="708"/>
        </w:sectPr>
      </w:pPr>
    </w:p>
    <w:p w14:paraId="552C1E78" w14:textId="77777777" w:rsidR="00DD13BF" w:rsidRDefault="00DD13BF" w:rsidP="00DD13BF">
      <w:pPr>
        <w:rPr>
          <w:sz w:val="20"/>
        </w:rPr>
        <w:sectPr w:rsidR="00DD13BF" w:rsidSect="00FC3010">
          <w:headerReference w:type="default" r:id="rId105"/>
          <w:footerReference w:type="first" r:id="rId106"/>
          <w:type w:val="continuous"/>
          <w:pgSz w:w="16840" w:h="11910" w:orient="landscape"/>
          <w:pgMar w:top="1417" w:right="1417" w:bottom="1417" w:left="1417" w:header="708" w:footer="708" w:gutter="0"/>
          <w:cols w:space="708"/>
        </w:sectPr>
      </w:pPr>
    </w:p>
    <w:p w14:paraId="1899CD0B" w14:textId="77777777" w:rsidR="00DD13BF" w:rsidRDefault="00DD13BF" w:rsidP="00DD13BF">
      <w:pPr>
        <w:rPr>
          <w:sz w:val="20"/>
        </w:rPr>
        <w:sectPr w:rsidR="00DD13BF" w:rsidSect="00FC3010">
          <w:headerReference w:type="default" r:id="rId107"/>
          <w:footerReference w:type="first" r:id="rId108"/>
          <w:type w:val="continuous"/>
          <w:pgSz w:w="16840" w:h="11910" w:orient="landscape"/>
          <w:pgMar w:top="1417" w:right="1417" w:bottom="1417" w:left="1417" w:header="708" w:footer="708" w:gutter="0"/>
          <w:cols w:space="708"/>
        </w:sectPr>
      </w:pPr>
    </w:p>
    <w:p w14:paraId="5F5BE49A" w14:textId="77777777" w:rsidR="00DD13BF" w:rsidRDefault="00DD13BF" w:rsidP="00DD13BF"/>
    <w:p w14:paraId="635DDE55" w14:textId="77777777" w:rsidR="00DD13BF" w:rsidRDefault="00DD13BF" w:rsidP="00DD13BF"/>
    <w:p w14:paraId="23273C6C" w14:textId="77777777" w:rsidR="00DD13BF" w:rsidRDefault="00DD13BF" w:rsidP="00DD13BF"/>
    <w:p w14:paraId="3345B109" w14:textId="77777777" w:rsidR="00DD13BF" w:rsidRDefault="00DD13BF" w:rsidP="00DD13BF">
      <w:pPr>
        <w:rPr>
          <w:b/>
          <w:bCs/>
          <w:color w:val="2E74B5" w:themeColor="accent1" w:themeShade="BF"/>
          <w:sz w:val="28"/>
        </w:rPr>
      </w:pPr>
      <w:r>
        <w:br w:type="page"/>
      </w:r>
    </w:p>
    <w:p w14:paraId="13A569C8" w14:textId="77777777" w:rsidR="00DD13BF" w:rsidRDefault="00DD13BF" w:rsidP="00DD13BF">
      <w:pPr>
        <w:pStyle w:val="Naslov1"/>
        <w:spacing w:before="0"/>
      </w:pPr>
      <w:bookmarkStart w:id="84" w:name="_Toc131161745"/>
      <w:r>
        <w:lastRenderedPageBreak/>
        <w:t>Enabling conditions</w:t>
      </w:r>
      <w:bookmarkEnd w:id="84"/>
    </w:p>
    <w:p w14:paraId="4BD7EA62" w14:textId="77777777" w:rsidR="00DD13BF" w:rsidRDefault="00DD13BF" w:rsidP="00DD13BF">
      <w:pPr>
        <w:ind w:left="709" w:right="8232"/>
        <w:rPr>
          <w:spacing w:val="-52"/>
        </w:rPr>
      </w:pPr>
    </w:p>
    <w:p w14:paraId="35478B71" w14:textId="77777777" w:rsidR="00DD13BF" w:rsidRDefault="00DD13BF" w:rsidP="00DD13BF">
      <w:pPr>
        <w:ind w:left="709" w:right="8232"/>
      </w:pPr>
      <w:r>
        <w:t xml:space="preserve"> Table 12.a: Horizontal enabling conditions</w:t>
      </w:r>
    </w:p>
    <w:p w14:paraId="14BD3FBA" w14:textId="77777777" w:rsidR="00DD13BF" w:rsidRDefault="00DD13BF" w:rsidP="00DD13BF">
      <w:pPr>
        <w:ind w:left="709" w:right="8232"/>
      </w:pPr>
    </w:p>
    <w:tbl>
      <w:tblPr>
        <w:tblW w:w="13908"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59"/>
        <w:gridCol w:w="1134"/>
        <w:gridCol w:w="2010"/>
        <w:gridCol w:w="709"/>
        <w:gridCol w:w="2267"/>
        <w:gridCol w:w="3402"/>
        <w:gridCol w:w="12"/>
      </w:tblGrid>
      <w:tr w:rsidR="00DD13BF" w:rsidRPr="0021266C" w14:paraId="55A831C7" w14:textId="77777777" w:rsidTr="00355A56">
        <w:trPr>
          <w:gridAfter w:val="1"/>
          <w:wAfter w:w="12" w:type="dxa"/>
          <w:trHeight w:val="858"/>
          <w:tblHeader/>
        </w:trPr>
        <w:tc>
          <w:tcPr>
            <w:tcW w:w="1538" w:type="dxa"/>
            <w:shd w:val="pct10" w:color="auto" w:fill="auto"/>
          </w:tcPr>
          <w:p w14:paraId="3B427599" w14:textId="77777777" w:rsidR="00DD13BF" w:rsidRPr="0021266C" w:rsidRDefault="00DD13BF" w:rsidP="00355A56">
            <w:pPr>
              <w:widowControl/>
              <w:autoSpaceDE/>
              <w:autoSpaceDN/>
              <w:rPr>
                <w:rFonts w:eastAsia="Calibri"/>
              </w:rPr>
            </w:pPr>
            <w:r>
              <w:t>Horizontal enabling</w:t>
            </w:r>
          </w:p>
          <w:p w14:paraId="7FA63CCE" w14:textId="77777777" w:rsidR="00DD13BF" w:rsidRPr="0021266C" w:rsidRDefault="00DD13BF" w:rsidP="00355A56">
            <w:pPr>
              <w:widowControl/>
              <w:autoSpaceDE/>
              <w:autoSpaceDN/>
              <w:rPr>
                <w:rFonts w:eastAsia="Calibri"/>
              </w:rPr>
            </w:pPr>
            <w:r>
              <w:t>conditions</w:t>
            </w:r>
          </w:p>
        </w:tc>
        <w:tc>
          <w:tcPr>
            <w:tcW w:w="877" w:type="dxa"/>
            <w:shd w:val="pct10" w:color="auto" w:fill="auto"/>
          </w:tcPr>
          <w:p w14:paraId="27779CF4" w14:textId="77777777" w:rsidR="00DD13BF" w:rsidRPr="0021266C" w:rsidRDefault="00DD13BF" w:rsidP="00355A56">
            <w:pPr>
              <w:widowControl/>
              <w:autoSpaceDE/>
              <w:autoSpaceDN/>
              <w:rPr>
                <w:rFonts w:eastAsia="Calibri"/>
              </w:rPr>
            </w:pPr>
            <w:r>
              <w:t>Fund</w:t>
            </w:r>
          </w:p>
        </w:tc>
        <w:tc>
          <w:tcPr>
            <w:tcW w:w="1959" w:type="dxa"/>
            <w:shd w:val="pct10" w:color="auto" w:fill="auto"/>
          </w:tcPr>
          <w:p w14:paraId="32CD08B2" w14:textId="77777777" w:rsidR="00DD13BF" w:rsidRPr="0021266C" w:rsidRDefault="00DD13BF" w:rsidP="00355A56">
            <w:pPr>
              <w:widowControl/>
              <w:autoSpaceDE/>
              <w:autoSpaceDN/>
              <w:rPr>
                <w:rFonts w:eastAsia="Calibri"/>
              </w:rPr>
            </w:pPr>
            <w:r>
              <w:t xml:space="preserve">Specific objective </w:t>
            </w:r>
          </w:p>
        </w:tc>
        <w:tc>
          <w:tcPr>
            <w:tcW w:w="1134" w:type="dxa"/>
            <w:shd w:val="pct10" w:color="auto" w:fill="auto"/>
          </w:tcPr>
          <w:p w14:paraId="7ED35626" w14:textId="77777777" w:rsidR="00DD13BF" w:rsidRPr="0021266C" w:rsidRDefault="00DD13BF" w:rsidP="00355A56">
            <w:pPr>
              <w:widowControl/>
              <w:autoSpaceDE/>
              <w:autoSpaceDN/>
              <w:rPr>
                <w:rFonts w:eastAsia="Calibri"/>
              </w:rPr>
            </w:pPr>
            <w:r>
              <w:t>Fulfilment of</w:t>
            </w:r>
          </w:p>
          <w:p w14:paraId="0C9CE692" w14:textId="77777777" w:rsidR="00DD13BF" w:rsidRPr="0021266C" w:rsidRDefault="00DD13BF" w:rsidP="00355A56">
            <w:pPr>
              <w:widowControl/>
              <w:autoSpaceDE/>
              <w:autoSpaceDN/>
              <w:rPr>
                <w:rFonts w:eastAsia="Calibri"/>
              </w:rPr>
            </w:pPr>
            <w:r>
              <w:t>enabling</w:t>
            </w:r>
          </w:p>
          <w:p w14:paraId="7A461EC4" w14:textId="77777777" w:rsidR="00DD13BF" w:rsidRPr="0021266C" w:rsidRDefault="00DD13BF" w:rsidP="00355A56">
            <w:pPr>
              <w:widowControl/>
              <w:autoSpaceDE/>
              <w:autoSpaceDN/>
              <w:rPr>
                <w:rFonts w:eastAsia="Calibri"/>
              </w:rPr>
            </w:pPr>
            <w:r>
              <w:t>condition</w:t>
            </w:r>
          </w:p>
        </w:tc>
        <w:tc>
          <w:tcPr>
            <w:tcW w:w="2010" w:type="dxa"/>
            <w:shd w:val="pct10" w:color="auto" w:fill="auto"/>
          </w:tcPr>
          <w:p w14:paraId="6F173A17" w14:textId="77777777" w:rsidR="00DD13BF" w:rsidRPr="0021266C" w:rsidRDefault="00DD13BF" w:rsidP="00355A56">
            <w:pPr>
              <w:widowControl/>
              <w:autoSpaceDE/>
              <w:autoSpaceDN/>
              <w:rPr>
                <w:rFonts w:eastAsia="Calibri"/>
              </w:rPr>
            </w:pPr>
            <w:r>
              <w:t>Criteria</w:t>
            </w:r>
          </w:p>
        </w:tc>
        <w:tc>
          <w:tcPr>
            <w:tcW w:w="709" w:type="dxa"/>
            <w:shd w:val="pct10" w:color="auto" w:fill="auto"/>
          </w:tcPr>
          <w:p w14:paraId="691C6BFB" w14:textId="77777777" w:rsidR="00DD13BF" w:rsidRPr="0021266C" w:rsidRDefault="00DD13BF" w:rsidP="00355A56">
            <w:pPr>
              <w:widowControl/>
              <w:autoSpaceDE/>
              <w:autoSpaceDN/>
              <w:rPr>
                <w:rFonts w:eastAsia="Calibri"/>
              </w:rPr>
            </w:pPr>
            <w:r>
              <w:t xml:space="preserve">Fulfilment of criteria </w:t>
            </w:r>
          </w:p>
        </w:tc>
        <w:tc>
          <w:tcPr>
            <w:tcW w:w="2267" w:type="dxa"/>
            <w:shd w:val="pct10" w:color="auto" w:fill="auto"/>
          </w:tcPr>
          <w:p w14:paraId="02675E1E" w14:textId="77777777" w:rsidR="00DD13BF" w:rsidRPr="0021266C" w:rsidRDefault="00DD13BF" w:rsidP="00355A56">
            <w:pPr>
              <w:widowControl/>
              <w:autoSpaceDE/>
              <w:autoSpaceDN/>
              <w:rPr>
                <w:rFonts w:eastAsia="Calibri"/>
              </w:rPr>
            </w:pPr>
            <w:r>
              <w:t>Reference to relevant documents</w:t>
            </w:r>
          </w:p>
        </w:tc>
        <w:tc>
          <w:tcPr>
            <w:tcW w:w="3402" w:type="dxa"/>
            <w:shd w:val="pct10" w:color="auto" w:fill="auto"/>
          </w:tcPr>
          <w:p w14:paraId="529267E2" w14:textId="77777777" w:rsidR="00DD13BF" w:rsidRPr="0021266C" w:rsidRDefault="00DD13BF" w:rsidP="00355A56">
            <w:pPr>
              <w:widowControl/>
              <w:autoSpaceDE/>
              <w:autoSpaceDN/>
              <w:jc w:val="both"/>
              <w:rPr>
                <w:rFonts w:eastAsia="Calibri"/>
              </w:rPr>
            </w:pPr>
            <w:r>
              <w:t>Justification</w:t>
            </w:r>
          </w:p>
        </w:tc>
      </w:tr>
      <w:tr w:rsidR="00DD13BF" w:rsidRPr="0021266C" w14:paraId="5D861CA4" w14:textId="77777777" w:rsidTr="00355A56">
        <w:trPr>
          <w:trHeight w:val="353"/>
        </w:trPr>
        <w:tc>
          <w:tcPr>
            <w:tcW w:w="1538" w:type="dxa"/>
            <w:vMerge w:val="restart"/>
          </w:tcPr>
          <w:p w14:paraId="308A869F" w14:textId="77777777" w:rsidR="00DD13BF" w:rsidRPr="0021266C" w:rsidRDefault="00DD13BF" w:rsidP="00355A56">
            <w:pPr>
              <w:widowControl/>
              <w:autoSpaceDE/>
              <w:autoSpaceDN/>
              <w:rPr>
                <w:rFonts w:eastAsia="Calibri"/>
              </w:rPr>
            </w:pPr>
            <w:r>
              <w:t>Effective monitoring mechanisms of the public procurement market</w:t>
            </w:r>
          </w:p>
        </w:tc>
        <w:tc>
          <w:tcPr>
            <w:tcW w:w="877" w:type="dxa"/>
            <w:vMerge w:val="restart"/>
          </w:tcPr>
          <w:p w14:paraId="4D5B47BF" w14:textId="77777777" w:rsidR="00DD13BF" w:rsidRPr="0021266C" w:rsidRDefault="00DD13BF" w:rsidP="00355A56">
            <w:pPr>
              <w:widowControl/>
              <w:autoSpaceDE/>
              <w:autoSpaceDN/>
              <w:rPr>
                <w:rFonts w:eastAsia="Calibri"/>
              </w:rPr>
            </w:pPr>
            <w:r>
              <w:t>CF, ERDF, ESF+</w:t>
            </w:r>
          </w:p>
        </w:tc>
        <w:tc>
          <w:tcPr>
            <w:tcW w:w="1959" w:type="dxa"/>
            <w:vMerge w:val="restart"/>
          </w:tcPr>
          <w:p w14:paraId="41DC36E4" w14:textId="77777777" w:rsidR="00DD13BF" w:rsidRPr="0021266C" w:rsidRDefault="00DD13BF" w:rsidP="00355A56">
            <w:pPr>
              <w:widowControl/>
              <w:autoSpaceDE/>
              <w:autoSpaceDN/>
              <w:rPr>
                <w:rFonts w:eastAsia="Calibri"/>
              </w:rPr>
            </w:pPr>
            <w:r>
              <w:t>ALL</w:t>
            </w:r>
          </w:p>
        </w:tc>
        <w:tc>
          <w:tcPr>
            <w:tcW w:w="1134" w:type="dxa"/>
            <w:vMerge w:val="restart"/>
          </w:tcPr>
          <w:p w14:paraId="38328DC3" w14:textId="77777777" w:rsidR="00DD13BF" w:rsidRPr="0021266C" w:rsidRDefault="00DD13BF" w:rsidP="00355A56">
            <w:pPr>
              <w:widowControl/>
              <w:autoSpaceDE/>
              <w:autoSpaceDN/>
              <w:rPr>
                <w:rFonts w:eastAsia="Calibri"/>
              </w:rPr>
            </w:pPr>
            <w:r>
              <w:t>Yes</w:t>
            </w:r>
          </w:p>
        </w:tc>
        <w:tc>
          <w:tcPr>
            <w:tcW w:w="8400" w:type="dxa"/>
            <w:gridSpan w:val="5"/>
            <w:shd w:val="clear" w:color="auto" w:fill="92D050"/>
          </w:tcPr>
          <w:p w14:paraId="06754FE1" w14:textId="77777777" w:rsidR="00DD13BF" w:rsidRPr="0021266C" w:rsidRDefault="00DD13BF" w:rsidP="00355A56">
            <w:pPr>
              <w:widowControl/>
              <w:autoSpaceDE/>
              <w:autoSpaceDN/>
              <w:jc w:val="center"/>
              <w:rPr>
                <w:rFonts w:eastAsia="Calibri"/>
              </w:rPr>
            </w:pPr>
            <w:r>
              <w:t>Monitoring mechanisms are in place that cover all public contracts and their procurement under the Funds in line with Union procurement legislation. That requirement includes:</w:t>
            </w:r>
          </w:p>
        </w:tc>
      </w:tr>
      <w:tr w:rsidR="00DD13BF" w:rsidRPr="0021266C" w14:paraId="2ED6050E" w14:textId="77777777" w:rsidTr="00355A56">
        <w:trPr>
          <w:gridAfter w:val="1"/>
          <w:wAfter w:w="12" w:type="dxa"/>
          <w:trHeight w:val="353"/>
        </w:trPr>
        <w:tc>
          <w:tcPr>
            <w:tcW w:w="1538" w:type="dxa"/>
            <w:vMerge/>
          </w:tcPr>
          <w:p w14:paraId="7D05985D" w14:textId="77777777" w:rsidR="00DD13BF" w:rsidRPr="0021266C" w:rsidRDefault="00DD13BF" w:rsidP="00355A56">
            <w:pPr>
              <w:widowControl/>
              <w:autoSpaceDE/>
              <w:autoSpaceDN/>
              <w:rPr>
                <w:rFonts w:eastAsia="Calibri"/>
              </w:rPr>
            </w:pPr>
          </w:p>
        </w:tc>
        <w:tc>
          <w:tcPr>
            <w:tcW w:w="877" w:type="dxa"/>
            <w:vMerge/>
          </w:tcPr>
          <w:p w14:paraId="5AB3315A" w14:textId="77777777" w:rsidR="00DD13BF" w:rsidRPr="0021266C" w:rsidRDefault="00DD13BF" w:rsidP="00355A56">
            <w:pPr>
              <w:widowControl/>
              <w:autoSpaceDE/>
              <w:autoSpaceDN/>
              <w:rPr>
                <w:rFonts w:eastAsia="Calibri"/>
              </w:rPr>
            </w:pPr>
          </w:p>
        </w:tc>
        <w:tc>
          <w:tcPr>
            <w:tcW w:w="1959" w:type="dxa"/>
            <w:vMerge/>
          </w:tcPr>
          <w:p w14:paraId="2779366B" w14:textId="77777777" w:rsidR="00DD13BF" w:rsidRPr="0021266C" w:rsidRDefault="00DD13BF" w:rsidP="00355A56">
            <w:pPr>
              <w:widowControl/>
              <w:autoSpaceDE/>
              <w:autoSpaceDN/>
              <w:rPr>
                <w:rFonts w:eastAsia="Calibri"/>
              </w:rPr>
            </w:pPr>
          </w:p>
        </w:tc>
        <w:tc>
          <w:tcPr>
            <w:tcW w:w="1134" w:type="dxa"/>
            <w:vMerge/>
          </w:tcPr>
          <w:p w14:paraId="70296FD9" w14:textId="77777777" w:rsidR="00DD13BF" w:rsidRPr="0021266C" w:rsidRDefault="00DD13BF" w:rsidP="00355A56">
            <w:pPr>
              <w:widowControl/>
              <w:autoSpaceDE/>
              <w:autoSpaceDN/>
              <w:rPr>
                <w:rFonts w:eastAsia="Calibri"/>
              </w:rPr>
            </w:pPr>
          </w:p>
        </w:tc>
        <w:tc>
          <w:tcPr>
            <w:tcW w:w="2010" w:type="dxa"/>
          </w:tcPr>
          <w:p w14:paraId="00B4D4E4" w14:textId="77777777" w:rsidR="00DD13BF" w:rsidRPr="0021266C" w:rsidRDefault="00DD13BF" w:rsidP="00355A56">
            <w:pPr>
              <w:widowControl/>
              <w:autoSpaceDE/>
              <w:autoSpaceDN/>
              <w:rPr>
                <w:rFonts w:eastAsia="Calibri"/>
              </w:rPr>
            </w:pPr>
            <w:r>
              <w:t>1. Arrangements to ensure compilation of effective and reliable data on public procurement procedures above the Union thresholds in accordance with reporting obligations under Articles 83 and 84 of Directive 2014/24/EU and Articles 99 and 100 of Directive 2014/25/EU.</w:t>
            </w:r>
          </w:p>
        </w:tc>
        <w:tc>
          <w:tcPr>
            <w:tcW w:w="709" w:type="dxa"/>
          </w:tcPr>
          <w:p w14:paraId="3457E873" w14:textId="77777777" w:rsidR="00DD13BF" w:rsidRPr="0021266C" w:rsidRDefault="00DD13BF" w:rsidP="00355A56">
            <w:pPr>
              <w:widowControl/>
              <w:autoSpaceDE/>
              <w:autoSpaceDN/>
              <w:rPr>
                <w:rFonts w:eastAsia="Calibri"/>
              </w:rPr>
            </w:pPr>
            <w:r>
              <w:t>Yes</w:t>
            </w:r>
          </w:p>
        </w:tc>
        <w:tc>
          <w:tcPr>
            <w:tcW w:w="2267" w:type="dxa"/>
          </w:tcPr>
          <w:p w14:paraId="2B7D5168" w14:textId="77777777" w:rsidR="00DD13BF" w:rsidRPr="0021266C" w:rsidRDefault="00DD13BF" w:rsidP="00355A56">
            <w:pPr>
              <w:widowControl/>
              <w:autoSpaceDE/>
              <w:autoSpaceDN/>
              <w:rPr>
                <w:rFonts w:eastAsia="Calibri"/>
              </w:rPr>
            </w:pPr>
            <w:r>
              <w:t xml:space="preserve">Legal bases: </w:t>
            </w:r>
          </w:p>
          <w:p w14:paraId="01A8C8A8" w14:textId="77777777" w:rsidR="00DD13BF" w:rsidRPr="0021266C" w:rsidRDefault="00DD13BF" w:rsidP="00355A56">
            <w:pPr>
              <w:widowControl/>
              <w:autoSpaceDE/>
              <w:autoSpaceDN/>
              <w:rPr>
                <w:rFonts w:eastAsia="Calibri"/>
              </w:rPr>
            </w:pPr>
            <w:r>
              <w:t xml:space="preserve">- </w:t>
            </w:r>
            <w:hyperlink r:id="rId109" w:history="1">
              <w:r>
                <w:rPr>
                  <w:color w:val="0563C1"/>
                  <w:u w:val="single"/>
                </w:rPr>
                <w:t>Public Procurement Act</w:t>
              </w:r>
            </w:hyperlink>
            <w:r>
              <w:t xml:space="preserve"> (hereinafter: ZJN-3) and related implementing regulations, in particular </w:t>
            </w:r>
            <w:hyperlink r:id="rId110" w:history="1">
              <w:r>
                <w:rPr>
                  <w:color w:val="0563C1"/>
                  <w:u w:val="single"/>
                </w:rPr>
                <w:t>Rules on types and method of collection of data for the annual statistical report on the award of public contracts</w:t>
              </w:r>
            </w:hyperlink>
            <w:r>
              <w:t>.</w:t>
            </w:r>
          </w:p>
          <w:p w14:paraId="432683E6" w14:textId="77777777" w:rsidR="00DD13BF" w:rsidRPr="0021266C" w:rsidRDefault="00DD13BF" w:rsidP="00355A56">
            <w:pPr>
              <w:widowControl/>
              <w:autoSpaceDE/>
              <w:autoSpaceDN/>
              <w:rPr>
                <w:rFonts w:eastAsia="Calibri"/>
              </w:rPr>
            </w:pPr>
            <w:r>
              <w:t xml:space="preserve">Both regulations are also available at: https://ejn.gov.si/sistem/zakonodaja/veljavni-predpisi.html </w:t>
            </w:r>
          </w:p>
          <w:p w14:paraId="379EECDB" w14:textId="77777777" w:rsidR="00DD13BF" w:rsidRPr="0021266C" w:rsidRDefault="00DD13BF" w:rsidP="00355A56">
            <w:pPr>
              <w:widowControl/>
              <w:autoSpaceDE/>
              <w:autoSpaceDN/>
              <w:rPr>
                <w:rFonts w:eastAsia="Calibri"/>
              </w:rPr>
            </w:pPr>
          </w:p>
          <w:p w14:paraId="66F1502B" w14:textId="77777777" w:rsidR="00DD13BF" w:rsidRPr="00795271" w:rsidRDefault="00DD13BF" w:rsidP="00355A56">
            <w:pPr>
              <w:widowControl/>
              <w:autoSpaceDE/>
              <w:autoSpaceDN/>
              <w:rPr>
                <w:rFonts w:eastAsia="Calibri"/>
              </w:rPr>
            </w:pPr>
            <w:r>
              <w:t xml:space="preserve">Statistical reports for each individual year are available at: </w:t>
            </w:r>
            <w:r>
              <w:rPr>
                <w:color w:val="0563C1"/>
                <w:u w:val="single"/>
              </w:rPr>
              <w:t>https://ejn.gov.si/direktorat/porocila-in-analize.html</w:t>
            </w:r>
          </w:p>
          <w:p w14:paraId="529D6DD1" w14:textId="77777777" w:rsidR="00DD13BF" w:rsidRPr="0021266C" w:rsidRDefault="00DD13BF" w:rsidP="00355A56">
            <w:pPr>
              <w:widowControl/>
              <w:autoSpaceDE/>
              <w:autoSpaceDN/>
              <w:rPr>
                <w:rFonts w:eastAsia="Calibri"/>
              </w:rPr>
            </w:pPr>
          </w:p>
          <w:p w14:paraId="7C8ACFDA" w14:textId="77777777" w:rsidR="00DD13BF" w:rsidRPr="0021266C" w:rsidRDefault="00DD13BF" w:rsidP="00355A56">
            <w:pPr>
              <w:widowControl/>
              <w:autoSpaceDE/>
              <w:autoSpaceDN/>
              <w:rPr>
                <w:rFonts w:eastAsia="Calibri"/>
              </w:rPr>
            </w:pPr>
          </w:p>
        </w:tc>
        <w:tc>
          <w:tcPr>
            <w:tcW w:w="3402" w:type="dxa"/>
          </w:tcPr>
          <w:p w14:paraId="7454D1BB" w14:textId="77777777" w:rsidR="00DD13BF" w:rsidRPr="0021266C" w:rsidRDefault="00DD13BF" w:rsidP="00355A56">
            <w:pPr>
              <w:widowControl/>
              <w:autoSpaceDE/>
              <w:autoSpaceDN/>
              <w:jc w:val="both"/>
              <w:rPr>
                <w:rFonts w:eastAsia="Calibri"/>
              </w:rPr>
            </w:pPr>
            <w:r>
              <w:lastRenderedPageBreak/>
              <w:t>Pursuant to Article 113 of the ZJN-3, the ministry responsible for public procurements monitors the use of public procurement rules. If it establishes violations or systemic problems or receives data on them, it alerts the Budget Supervision Office, the Court of Audit, the National Review Commission, the Competition Protection Agency or the Commission for the Prevention of Corruption. In addition, the ministry reports on the results of such monitoring to the EC every three years. Reports constitute public information.</w:t>
            </w:r>
          </w:p>
          <w:p w14:paraId="74FEF6BB" w14:textId="77777777" w:rsidR="00DD13BF" w:rsidRPr="0021266C" w:rsidRDefault="00DD13BF" w:rsidP="00355A56">
            <w:pPr>
              <w:widowControl/>
              <w:autoSpaceDE/>
              <w:autoSpaceDN/>
              <w:jc w:val="both"/>
              <w:rPr>
                <w:rFonts w:eastAsia="Calibri"/>
              </w:rPr>
            </w:pPr>
          </w:p>
          <w:p w14:paraId="744C5140" w14:textId="77777777" w:rsidR="00DD13BF" w:rsidRPr="0021266C" w:rsidRDefault="00DD13BF" w:rsidP="00355A56">
            <w:pPr>
              <w:widowControl/>
              <w:autoSpaceDE/>
              <w:autoSpaceDN/>
              <w:jc w:val="both"/>
              <w:rPr>
                <w:rFonts w:eastAsia="Calibri"/>
              </w:rPr>
            </w:pPr>
            <w:r>
              <w:t xml:space="preserve">Pursuant to Articles 106–108 of the ZJN-3, the ministry responsible for public procurements prepares an annual statistical report on public procurements awarded in the Republic of Slovenia on the basis of notices on public procurements </w:t>
            </w:r>
            <w:r>
              <w:lastRenderedPageBreak/>
              <w:t xml:space="preserve">awarded in the previous year published on the public procurement portal or in the Official Journal of the European Union and reported statistical data on recorded procurements. The ZJN-3 also stipulates the content of statistical reports and the breakdown of data. </w:t>
            </w:r>
          </w:p>
        </w:tc>
      </w:tr>
      <w:tr w:rsidR="00DD13BF" w:rsidRPr="0021266C" w14:paraId="253EB7AA" w14:textId="77777777" w:rsidTr="00355A56">
        <w:trPr>
          <w:gridAfter w:val="1"/>
          <w:wAfter w:w="12" w:type="dxa"/>
          <w:trHeight w:val="5908"/>
        </w:trPr>
        <w:tc>
          <w:tcPr>
            <w:tcW w:w="1538" w:type="dxa"/>
            <w:vMerge/>
          </w:tcPr>
          <w:p w14:paraId="638CA6DA" w14:textId="77777777" w:rsidR="00DD13BF" w:rsidRPr="0021266C" w:rsidRDefault="00DD13BF" w:rsidP="00355A56">
            <w:pPr>
              <w:widowControl/>
              <w:autoSpaceDE/>
              <w:autoSpaceDN/>
              <w:rPr>
                <w:rFonts w:eastAsia="Calibri"/>
              </w:rPr>
            </w:pPr>
          </w:p>
        </w:tc>
        <w:tc>
          <w:tcPr>
            <w:tcW w:w="877" w:type="dxa"/>
            <w:vMerge/>
          </w:tcPr>
          <w:p w14:paraId="25E9DEF3" w14:textId="77777777" w:rsidR="00DD13BF" w:rsidRPr="0021266C" w:rsidRDefault="00DD13BF" w:rsidP="00355A56">
            <w:pPr>
              <w:widowControl/>
              <w:autoSpaceDE/>
              <w:autoSpaceDN/>
              <w:rPr>
                <w:rFonts w:eastAsia="Calibri"/>
              </w:rPr>
            </w:pPr>
          </w:p>
        </w:tc>
        <w:tc>
          <w:tcPr>
            <w:tcW w:w="1959" w:type="dxa"/>
            <w:vMerge/>
          </w:tcPr>
          <w:p w14:paraId="181ADD62" w14:textId="77777777" w:rsidR="00DD13BF" w:rsidRPr="0021266C" w:rsidRDefault="00DD13BF" w:rsidP="00355A56">
            <w:pPr>
              <w:widowControl/>
              <w:autoSpaceDE/>
              <w:autoSpaceDN/>
              <w:rPr>
                <w:rFonts w:eastAsia="Calibri"/>
              </w:rPr>
            </w:pPr>
          </w:p>
        </w:tc>
        <w:tc>
          <w:tcPr>
            <w:tcW w:w="1134" w:type="dxa"/>
            <w:vMerge/>
          </w:tcPr>
          <w:p w14:paraId="59ABA88E" w14:textId="77777777" w:rsidR="00DD13BF" w:rsidRPr="0021266C" w:rsidRDefault="00DD13BF" w:rsidP="00355A56">
            <w:pPr>
              <w:widowControl/>
              <w:autoSpaceDE/>
              <w:autoSpaceDN/>
              <w:rPr>
                <w:rFonts w:eastAsia="Calibri"/>
              </w:rPr>
            </w:pPr>
          </w:p>
        </w:tc>
        <w:tc>
          <w:tcPr>
            <w:tcW w:w="2010" w:type="dxa"/>
          </w:tcPr>
          <w:p w14:paraId="296E3304" w14:textId="77777777" w:rsidR="00DD13BF" w:rsidRPr="0021266C" w:rsidRDefault="00DD13BF" w:rsidP="00355A56">
            <w:pPr>
              <w:widowControl/>
              <w:autoSpaceDE/>
              <w:autoSpaceDN/>
              <w:rPr>
                <w:rFonts w:eastAsia="Calibri"/>
              </w:rPr>
            </w:pPr>
            <w:r>
              <w:t xml:space="preserve">2. Arrangements to ensure the data cover at least the following elements: (a) quality and intensity of competition: names of winning bidder, number of initial bidders and contractual value; </w:t>
            </w:r>
          </w:p>
          <w:p w14:paraId="03A7FBB8" w14:textId="77777777" w:rsidR="00DD13BF" w:rsidRPr="0021266C" w:rsidRDefault="00DD13BF" w:rsidP="00355A56">
            <w:pPr>
              <w:widowControl/>
              <w:autoSpaceDE/>
              <w:autoSpaceDN/>
              <w:rPr>
                <w:rFonts w:eastAsia="Calibri"/>
              </w:rPr>
            </w:pPr>
            <w:r>
              <w:t>(b) information on final price after completion and on participation of SMEs as direct bidders, where national systems provide such information.</w:t>
            </w:r>
          </w:p>
        </w:tc>
        <w:tc>
          <w:tcPr>
            <w:tcW w:w="709" w:type="dxa"/>
          </w:tcPr>
          <w:p w14:paraId="5E707E76" w14:textId="77777777" w:rsidR="00DD13BF" w:rsidRPr="0021266C" w:rsidRDefault="00DD13BF" w:rsidP="00355A56">
            <w:pPr>
              <w:widowControl/>
              <w:autoSpaceDE/>
              <w:autoSpaceDN/>
              <w:rPr>
                <w:rFonts w:eastAsia="Calibri"/>
              </w:rPr>
            </w:pPr>
            <w:r>
              <w:t>Yes</w:t>
            </w:r>
          </w:p>
        </w:tc>
        <w:tc>
          <w:tcPr>
            <w:tcW w:w="2267" w:type="dxa"/>
          </w:tcPr>
          <w:p w14:paraId="1CB04CB0" w14:textId="77777777" w:rsidR="00DD13BF" w:rsidRPr="0021266C" w:rsidRDefault="00425F22" w:rsidP="00355A56">
            <w:pPr>
              <w:widowControl/>
              <w:autoSpaceDE/>
              <w:autoSpaceDN/>
              <w:rPr>
                <w:rFonts w:eastAsia="Calibri"/>
              </w:rPr>
            </w:pPr>
            <w:hyperlink r:id="rId111" w:history="1">
              <w:r w:rsidR="00DD13BF">
                <w:rPr>
                  <w:rStyle w:val="Hiperpovezava"/>
                </w:rPr>
                <w:t>https://www.enarocanje.si/</w:t>
              </w:r>
            </w:hyperlink>
          </w:p>
        </w:tc>
        <w:tc>
          <w:tcPr>
            <w:tcW w:w="3402" w:type="dxa"/>
          </w:tcPr>
          <w:p w14:paraId="327AAAEB" w14:textId="77777777" w:rsidR="00DD13BF" w:rsidRPr="0021266C" w:rsidRDefault="00DD13BF" w:rsidP="00355A56">
            <w:pPr>
              <w:widowControl/>
              <w:autoSpaceDE/>
              <w:autoSpaceDN/>
              <w:jc w:val="both"/>
              <w:rPr>
                <w:rFonts w:eastAsia="Calibri"/>
              </w:rPr>
            </w:pPr>
            <w:r>
              <w:t>All the required data are part of the public procurement notices published by contracting authorities on the public procurement portal, which constitutes a unified access to public procurement information and ensures the publication of all essential data related to the public procurement procedure (i.e. public procurement notices, tender documents, decisions on awarding contracts, notices on awarding contracts, which also contain information on the participation of SMEs, etc.).</w:t>
            </w:r>
          </w:p>
          <w:p w14:paraId="26FBCEF1" w14:textId="77777777" w:rsidR="00DD13BF" w:rsidRPr="0021266C" w:rsidRDefault="00DD13BF" w:rsidP="00355A56">
            <w:pPr>
              <w:widowControl/>
              <w:autoSpaceDE/>
              <w:autoSpaceDN/>
              <w:jc w:val="both"/>
              <w:rPr>
                <w:rFonts w:eastAsia="Calibri"/>
              </w:rPr>
            </w:pPr>
          </w:p>
        </w:tc>
      </w:tr>
      <w:tr w:rsidR="00DD13BF" w:rsidRPr="0021266C" w14:paraId="261F1CF1" w14:textId="77777777" w:rsidTr="00355A56">
        <w:trPr>
          <w:gridAfter w:val="1"/>
          <w:wAfter w:w="12" w:type="dxa"/>
          <w:trHeight w:val="353"/>
        </w:trPr>
        <w:tc>
          <w:tcPr>
            <w:tcW w:w="1538" w:type="dxa"/>
            <w:vMerge/>
          </w:tcPr>
          <w:p w14:paraId="7218AC80" w14:textId="77777777" w:rsidR="00DD13BF" w:rsidRPr="0021266C" w:rsidRDefault="00DD13BF" w:rsidP="00355A56">
            <w:pPr>
              <w:widowControl/>
              <w:autoSpaceDE/>
              <w:autoSpaceDN/>
              <w:rPr>
                <w:rFonts w:eastAsia="Calibri"/>
              </w:rPr>
            </w:pPr>
          </w:p>
        </w:tc>
        <w:tc>
          <w:tcPr>
            <w:tcW w:w="877" w:type="dxa"/>
            <w:vMerge/>
          </w:tcPr>
          <w:p w14:paraId="379EB019" w14:textId="77777777" w:rsidR="00DD13BF" w:rsidRPr="0021266C" w:rsidRDefault="00DD13BF" w:rsidP="00355A56">
            <w:pPr>
              <w:widowControl/>
              <w:autoSpaceDE/>
              <w:autoSpaceDN/>
              <w:rPr>
                <w:rFonts w:eastAsia="Calibri"/>
              </w:rPr>
            </w:pPr>
          </w:p>
        </w:tc>
        <w:tc>
          <w:tcPr>
            <w:tcW w:w="1959" w:type="dxa"/>
            <w:vMerge/>
          </w:tcPr>
          <w:p w14:paraId="5DD683D3" w14:textId="77777777" w:rsidR="00DD13BF" w:rsidRPr="0021266C" w:rsidRDefault="00DD13BF" w:rsidP="00355A56">
            <w:pPr>
              <w:widowControl/>
              <w:autoSpaceDE/>
              <w:autoSpaceDN/>
              <w:rPr>
                <w:rFonts w:eastAsia="Calibri"/>
              </w:rPr>
            </w:pPr>
          </w:p>
        </w:tc>
        <w:tc>
          <w:tcPr>
            <w:tcW w:w="1134" w:type="dxa"/>
            <w:vMerge/>
          </w:tcPr>
          <w:p w14:paraId="098C2034" w14:textId="77777777" w:rsidR="00DD13BF" w:rsidRPr="0021266C" w:rsidRDefault="00DD13BF" w:rsidP="00355A56">
            <w:pPr>
              <w:widowControl/>
              <w:autoSpaceDE/>
              <w:autoSpaceDN/>
              <w:rPr>
                <w:rFonts w:eastAsia="Calibri"/>
              </w:rPr>
            </w:pPr>
          </w:p>
        </w:tc>
        <w:tc>
          <w:tcPr>
            <w:tcW w:w="2010" w:type="dxa"/>
          </w:tcPr>
          <w:p w14:paraId="5FBC299B" w14:textId="77777777" w:rsidR="00DD13BF" w:rsidRPr="0021266C" w:rsidRDefault="00DD13BF" w:rsidP="00355A56">
            <w:pPr>
              <w:widowControl/>
              <w:autoSpaceDE/>
              <w:autoSpaceDN/>
              <w:rPr>
                <w:rFonts w:eastAsia="Calibri"/>
              </w:rPr>
            </w:pPr>
            <w:r>
              <w:t xml:space="preserve">3. Arrangements to ensure monitoring and analysis of the data by the competent national authorities in accordance with </w:t>
            </w:r>
            <w:r>
              <w:lastRenderedPageBreak/>
              <w:t>Article 83(2) of Directive 2014/24/EU and Article 99(2) of Directive 2014/25/EU.</w:t>
            </w:r>
          </w:p>
        </w:tc>
        <w:tc>
          <w:tcPr>
            <w:tcW w:w="709" w:type="dxa"/>
          </w:tcPr>
          <w:p w14:paraId="5094FA6C" w14:textId="77777777" w:rsidR="00DD13BF" w:rsidRPr="0021266C" w:rsidRDefault="00DD13BF" w:rsidP="00355A56">
            <w:pPr>
              <w:widowControl/>
              <w:autoSpaceDE/>
              <w:autoSpaceDN/>
              <w:rPr>
                <w:rFonts w:eastAsia="Calibri"/>
              </w:rPr>
            </w:pPr>
            <w:r>
              <w:lastRenderedPageBreak/>
              <w:t>Yes</w:t>
            </w:r>
          </w:p>
        </w:tc>
        <w:tc>
          <w:tcPr>
            <w:tcW w:w="2267" w:type="dxa"/>
          </w:tcPr>
          <w:p w14:paraId="7E57D646" w14:textId="77777777" w:rsidR="00DD13BF" w:rsidRPr="0021266C" w:rsidRDefault="00425F22" w:rsidP="00355A56">
            <w:pPr>
              <w:widowControl/>
              <w:autoSpaceDE/>
              <w:autoSpaceDN/>
              <w:rPr>
                <w:rFonts w:eastAsia="Calibri"/>
              </w:rPr>
            </w:pPr>
            <w:hyperlink r:id="rId112" w:history="1">
              <w:r w:rsidR="00DD13BF">
                <w:rPr>
                  <w:color w:val="0563C1"/>
                  <w:u w:val="single"/>
                </w:rPr>
                <w:t>Public Procurement Act</w:t>
              </w:r>
            </w:hyperlink>
          </w:p>
        </w:tc>
        <w:tc>
          <w:tcPr>
            <w:tcW w:w="3402" w:type="dxa"/>
          </w:tcPr>
          <w:p w14:paraId="0AC441DB" w14:textId="77777777" w:rsidR="00DD13BF" w:rsidRPr="0021266C" w:rsidRDefault="00DD13BF" w:rsidP="00355A56">
            <w:pPr>
              <w:widowControl/>
              <w:autoSpaceDE/>
              <w:autoSpaceDN/>
              <w:jc w:val="both"/>
              <w:rPr>
                <w:rFonts w:eastAsia="Calibri"/>
              </w:rPr>
            </w:pPr>
            <w:r>
              <w:t xml:space="preserve">Pursuant to paragraph one of Article 114 of the ZJN-3, the monitoring of the application of public procurement rules under the jurisdiction of the Ministry of Public Administration, which, if it finds or receives data indicating individual </w:t>
            </w:r>
            <w:r>
              <w:lastRenderedPageBreak/>
              <w:t xml:space="preserve">violations or systemic problems, informs the competent national authorities, which deal with them appropriately. This information is collected and, if necessary, identified in various ways, e.g. through annual statistical reporting; initiatives of various stakeholders, particularly education and training; through the established single point of contact for assistance to contracting authorities and business entities (the so-called </w:t>
            </w:r>
            <w:hyperlink r:id="rId113" w:history="1">
              <w:r>
                <w:rPr>
                  <w:color w:val="0563C1"/>
                  <w:u w:val="single"/>
                </w:rPr>
                <w:t>Help centre</w:t>
              </w:r>
            </w:hyperlink>
            <w:r>
              <w:t>), the single contact centre of the state administration for technical assistance via telephone and written consultations, etc.</w:t>
            </w:r>
          </w:p>
        </w:tc>
      </w:tr>
      <w:tr w:rsidR="00DD13BF" w:rsidRPr="0021266C" w14:paraId="0AF59BE2" w14:textId="77777777" w:rsidTr="00355A56">
        <w:trPr>
          <w:gridAfter w:val="1"/>
          <w:wAfter w:w="12" w:type="dxa"/>
          <w:trHeight w:val="353"/>
        </w:trPr>
        <w:tc>
          <w:tcPr>
            <w:tcW w:w="1538" w:type="dxa"/>
            <w:vMerge/>
          </w:tcPr>
          <w:p w14:paraId="12A60DBD" w14:textId="77777777" w:rsidR="00DD13BF" w:rsidRPr="0021266C" w:rsidRDefault="00DD13BF" w:rsidP="00355A56">
            <w:pPr>
              <w:widowControl/>
              <w:autoSpaceDE/>
              <w:autoSpaceDN/>
              <w:rPr>
                <w:rFonts w:eastAsia="Calibri"/>
              </w:rPr>
            </w:pPr>
          </w:p>
        </w:tc>
        <w:tc>
          <w:tcPr>
            <w:tcW w:w="877" w:type="dxa"/>
            <w:vMerge/>
          </w:tcPr>
          <w:p w14:paraId="0769CA61" w14:textId="77777777" w:rsidR="00DD13BF" w:rsidRPr="0021266C" w:rsidRDefault="00DD13BF" w:rsidP="00355A56">
            <w:pPr>
              <w:widowControl/>
              <w:autoSpaceDE/>
              <w:autoSpaceDN/>
              <w:rPr>
                <w:rFonts w:eastAsia="Calibri"/>
              </w:rPr>
            </w:pPr>
          </w:p>
        </w:tc>
        <w:tc>
          <w:tcPr>
            <w:tcW w:w="1959" w:type="dxa"/>
            <w:vMerge/>
          </w:tcPr>
          <w:p w14:paraId="00859FFE" w14:textId="77777777" w:rsidR="00DD13BF" w:rsidRPr="0021266C" w:rsidRDefault="00DD13BF" w:rsidP="00355A56">
            <w:pPr>
              <w:widowControl/>
              <w:autoSpaceDE/>
              <w:autoSpaceDN/>
              <w:rPr>
                <w:rFonts w:eastAsia="Calibri"/>
              </w:rPr>
            </w:pPr>
          </w:p>
        </w:tc>
        <w:tc>
          <w:tcPr>
            <w:tcW w:w="1134" w:type="dxa"/>
            <w:vMerge/>
          </w:tcPr>
          <w:p w14:paraId="215781F5" w14:textId="77777777" w:rsidR="00DD13BF" w:rsidRPr="0021266C" w:rsidRDefault="00DD13BF" w:rsidP="00355A56">
            <w:pPr>
              <w:widowControl/>
              <w:autoSpaceDE/>
              <w:autoSpaceDN/>
              <w:rPr>
                <w:rFonts w:eastAsia="Calibri"/>
              </w:rPr>
            </w:pPr>
          </w:p>
        </w:tc>
        <w:tc>
          <w:tcPr>
            <w:tcW w:w="2010" w:type="dxa"/>
          </w:tcPr>
          <w:p w14:paraId="35214DB3" w14:textId="77777777" w:rsidR="00DD13BF" w:rsidRPr="0021266C" w:rsidRDefault="00DD13BF" w:rsidP="00355A56">
            <w:pPr>
              <w:widowControl/>
              <w:autoSpaceDE/>
              <w:autoSpaceDN/>
              <w:rPr>
                <w:rFonts w:eastAsia="Calibri"/>
              </w:rPr>
            </w:pPr>
            <w:r>
              <w:t>4. Arrangements to make the results of the analysis available to the public in accordance with Article 83(3) of Directive 2014/24/EU and Article 99(3) Directive 2014/25/EU.</w:t>
            </w:r>
          </w:p>
        </w:tc>
        <w:tc>
          <w:tcPr>
            <w:tcW w:w="709" w:type="dxa"/>
          </w:tcPr>
          <w:p w14:paraId="59AEAC1F" w14:textId="77777777" w:rsidR="00DD13BF" w:rsidRPr="0021266C" w:rsidRDefault="00DD13BF" w:rsidP="00355A56">
            <w:pPr>
              <w:widowControl/>
              <w:autoSpaceDE/>
              <w:autoSpaceDN/>
              <w:rPr>
                <w:rFonts w:eastAsia="Calibri"/>
              </w:rPr>
            </w:pPr>
            <w:r>
              <w:t>Yes</w:t>
            </w:r>
          </w:p>
        </w:tc>
        <w:tc>
          <w:tcPr>
            <w:tcW w:w="2267" w:type="dxa"/>
          </w:tcPr>
          <w:p w14:paraId="1D0E0C86" w14:textId="77777777" w:rsidR="00DD13BF" w:rsidRDefault="00DD13BF" w:rsidP="00355A56">
            <w:pPr>
              <w:widowControl/>
              <w:autoSpaceDE/>
              <w:autoSpaceDN/>
              <w:rPr>
                <w:rFonts w:eastAsia="Calibri"/>
              </w:rPr>
            </w:pPr>
            <w:r>
              <w:t xml:space="preserve">The Slovenian report together with the reports of other Member States is available on the website of the European Commission: </w:t>
            </w:r>
            <w:hyperlink r:id="rId114" w:history="1">
              <w:r>
                <w:rPr>
                  <w:color w:val="0563C1"/>
                  <w:u w:val="single"/>
                </w:rPr>
                <w:t>https://ec.europa.eu/growth/single-market/public-procurement/country-reports_en</w:t>
              </w:r>
            </w:hyperlink>
            <w:r>
              <w:t>.</w:t>
            </w:r>
          </w:p>
          <w:p w14:paraId="3F033803" w14:textId="77777777" w:rsidR="00DD13BF" w:rsidRDefault="00DD13BF" w:rsidP="00355A56">
            <w:pPr>
              <w:widowControl/>
              <w:autoSpaceDE/>
              <w:autoSpaceDN/>
              <w:rPr>
                <w:rFonts w:eastAsia="Calibri"/>
              </w:rPr>
            </w:pPr>
          </w:p>
          <w:p w14:paraId="7988A1EE" w14:textId="77777777" w:rsidR="00DD13BF" w:rsidRPr="0021266C" w:rsidRDefault="00DD13BF" w:rsidP="00355A56">
            <w:pPr>
              <w:widowControl/>
              <w:autoSpaceDE/>
              <w:autoSpaceDN/>
              <w:rPr>
                <w:rFonts w:eastAsia="Calibri"/>
              </w:rPr>
            </w:pPr>
            <w:r>
              <w:t xml:space="preserve">All statistical reports on awarded public procurements in the Republic of Slovenia, in which the Ministry of Public Administration analyses the status of public procurements for each year, are available at </w:t>
            </w:r>
            <w:hyperlink r:id="rId115" w:history="1">
              <w:r>
                <w:rPr>
                  <w:rStyle w:val="Hiperpovezava"/>
                </w:rPr>
                <w:t>https://ejn.gov.si/direktorat/porocila-in-analize.html</w:t>
              </w:r>
            </w:hyperlink>
          </w:p>
        </w:tc>
        <w:tc>
          <w:tcPr>
            <w:tcW w:w="3402" w:type="dxa"/>
          </w:tcPr>
          <w:p w14:paraId="09B9154F" w14:textId="77777777" w:rsidR="00DD13BF" w:rsidRPr="00795271" w:rsidRDefault="00DD13BF" w:rsidP="00355A56">
            <w:pPr>
              <w:widowControl/>
              <w:autoSpaceDE/>
              <w:autoSpaceDN/>
              <w:jc w:val="both"/>
              <w:rPr>
                <w:rFonts w:eastAsia="Calibri"/>
              </w:rPr>
            </w:pPr>
            <w:r>
              <w:lastRenderedPageBreak/>
              <w:t xml:space="preserve">The monitoring results of the application of public procurement rules are part of national reporting to the European Commission every three years. Reports constitute public information. For greater transparency of the monitoring results, the Ministry of Public Administration will also publish a link to the said Commission website in the Reports and Analysis section of its website (together with the national annual statistical reports </w:t>
            </w:r>
            <w:r>
              <w:lastRenderedPageBreak/>
              <w:t xml:space="preserve">already published as presented in point 1). </w:t>
            </w:r>
          </w:p>
          <w:p w14:paraId="1C733644" w14:textId="77777777" w:rsidR="00DD13BF" w:rsidRPr="0021266C" w:rsidRDefault="00DD13BF" w:rsidP="00355A56">
            <w:pPr>
              <w:widowControl/>
              <w:autoSpaceDE/>
              <w:autoSpaceDN/>
              <w:jc w:val="both"/>
              <w:rPr>
                <w:rFonts w:eastAsia="Calibri"/>
              </w:rPr>
            </w:pPr>
            <w:r>
              <w:t>All decisions and reports adopted by various state authorities (National Review Commission for Reviewing Public Procurement Award Procedures, Commission for the Prevention of Corruption, Court of Audit of the Republic of Slovenia) are published on their websites each within the scope of their competence in the field of public procurement as so-called advocates of the public interest based on the act governing legal protection in public procurement procedures. In addition to findings, the reports contain recommendations to improve the systemic regulation of public procurement.</w:t>
            </w:r>
          </w:p>
        </w:tc>
      </w:tr>
      <w:tr w:rsidR="00DD13BF" w:rsidRPr="0021266C" w14:paraId="0C0A45FD" w14:textId="77777777" w:rsidTr="00355A56">
        <w:trPr>
          <w:gridAfter w:val="1"/>
          <w:wAfter w:w="12" w:type="dxa"/>
          <w:trHeight w:val="2942"/>
        </w:trPr>
        <w:tc>
          <w:tcPr>
            <w:tcW w:w="1538" w:type="dxa"/>
            <w:vMerge/>
          </w:tcPr>
          <w:p w14:paraId="0B69E407" w14:textId="77777777" w:rsidR="00DD13BF" w:rsidRPr="0021266C" w:rsidRDefault="00DD13BF" w:rsidP="00355A56">
            <w:pPr>
              <w:widowControl/>
              <w:autoSpaceDE/>
              <w:autoSpaceDN/>
              <w:rPr>
                <w:rFonts w:eastAsia="Calibri"/>
              </w:rPr>
            </w:pPr>
          </w:p>
        </w:tc>
        <w:tc>
          <w:tcPr>
            <w:tcW w:w="877" w:type="dxa"/>
            <w:vMerge/>
          </w:tcPr>
          <w:p w14:paraId="785D997C" w14:textId="77777777" w:rsidR="00DD13BF" w:rsidRPr="0021266C" w:rsidRDefault="00DD13BF" w:rsidP="00355A56">
            <w:pPr>
              <w:widowControl/>
              <w:autoSpaceDE/>
              <w:autoSpaceDN/>
              <w:rPr>
                <w:rFonts w:eastAsia="Calibri"/>
              </w:rPr>
            </w:pPr>
          </w:p>
        </w:tc>
        <w:tc>
          <w:tcPr>
            <w:tcW w:w="1959" w:type="dxa"/>
            <w:vMerge/>
          </w:tcPr>
          <w:p w14:paraId="39D62C0C" w14:textId="77777777" w:rsidR="00DD13BF" w:rsidRPr="0021266C" w:rsidRDefault="00DD13BF" w:rsidP="00355A56">
            <w:pPr>
              <w:widowControl/>
              <w:autoSpaceDE/>
              <w:autoSpaceDN/>
              <w:rPr>
                <w:rFonts w:eastAsia="Calibri"/>
              </w:rPr>
            </w:pPr>
          </w:p>
        </w:tc>
        <w:tc>
          <w:tcPr>
            <w:tcW w:w="1134" w:type="dxa"/>
            <w:vMerge/>
          </w:tcPr>
          <w:p w14:paraId="6864A7E4" w14:textId="77777777" w:rsidR="00DD13BF" w:rsidRPr="0021266C" w:rsidRDefault="00DD13BF" w:rsidP="00355A56">
            <w:pPr>
              <w:widowControl/>
              <w:autoSpaceDE/>
              <w:autoSpaceDN/>
              <w:rPr>
                <w:rFonts w:eastAsia="Calibri"/>
              </w:rPr>
            </w:pPr>
          </w:p>
        </w:tc>
        <w:tc>
          <w:tcPr>
            <w:tcW w:w="2010" w:type="dxa"/>
          </w:tcPr>
          <w:p w14:paraId="7889C65E" w14:textId="77777777" w:rsidR="00DD13BF" w:rsidRPr="0021266C" w:rsidRDefault="00DD13BF" w:rsidP="00355A56">
            <w:pPr>
              <w:widowControl/>
              <w:autoSpaceDE/>
              <w:autoSpaceDN/>
              <w:rPr>
                <w:rFonts w:eastAsia="Calibri"/>
              </w:rPr>
            </w:pPr>
            <w:r>
              <w:t>5. Arrangements to ensure that all information pointing to suspected bid-rigging situations is communicated to the competent national bodies in accordance with Article 83(2) of Directive 2014/24/EU and Article 99(2) of Directive 2014/25/EU.</w:t>
            </w:r>
          </w:p>
        </w:tc>
        <w:tc>
          <w:tcPr>
            <w:tcW w:w="709" w:type="dxa"/>
          </w:tcPr>
          <w:p w14:paraId="588BFD9B" w14:textId="77777777" w:rsidR="00DD13BF" w:rsidRPr="0021266C" w:rsidRDefault="00DD13BF" w:rsidP="00355A56">
            <w:pPr>
              <w:widowControl/>
              <w:autoSpaceDE/>
              <w:autoSpaceDN/>
              <w:rPr>
                <w:rFonts w:eastAsia="Calibri"/>
              </w:rPr>
            </w:pPr>
            <w:r>
              <w:t>Yes</w:t>
            </w:r>
          </w:p>
        </w:tc>
        <w:tc>
          <w:tcPr>
            <w:tcW w:w="2267" w:type="dxa"/>
          </w:tcPr>
          <w:p w14:paraId="0D8D0E16" w14:textId="77777777" w:rsidR="00DD13BF" w:rsidRPr="0021266C" w:rsidRDefault="00425F22" w:rsidP="00355A56">
            <w:pPr>
              <w:widowControl/>
              <w:autoSpaceDE/>
              <w:autoSpaceDN/>
              <w:rPr>
                <w:rFonts w:eastAsia="Calibri"/>
              </w:rPr>
            </w:pPr>
            <w:hyperlink r:id="rId116" w:history="1">
              <w:r w:rsidR="00DD13BF">
                <w:rPr>
                  <w:color w:val="0563C1"/>
                  <w:u w:val="single"/>
                </w:rPr>
                <w:t>Public Procurement Act</w:t>
              </w:r>
            </w:hyperlink>
            <w:r w:rsidR="00DD13BF">
              <w:rPr>
                <w:color w:val="0563C1"/>
                <w:u w:val="single"/>
              </w:rPr>
              <w:t xml:space="preserve"> (ZJN-3)</w:t>
            </w:r>
          </w:p>
        </w:tc>
        <w:tc>
          <w:tcPr>
            <w:tcW w:w="3402" w:type="dxa"/>
          </w:tcPr>
          <w:p w14:paraId="77620F3F" w14:textId="77777777" w:rsidR="00DD13BF" w:rsidRPr="00C10AA0" w:rsidRDefault="00DD13BF" w:rsidP="00355A56">
            <w:pPr>
              <w:widowControl/>
              <w:autoSpaceDE/>
              <w:autoSpaceDN/>
              <w:jc w:val="both"/>
              <w:rPr>
                <w:rFonts w:eastAsia="Calibri"/>
              </w:rPr>
            </w:pPr>
            <w:r>
              <w:t>Pursuant to the ZJN-. (Article 114), the MJU monitors the application of public procurement rules. If it establishes violations or systemic problems or receives data on them, it alerts the competent authorities (the Budget Supervision Office, the Court of Audit, the National Review Commission, the Competition Protection Agency (AVK) or the Commission for the Prevention of Corruption), which take suitable action. This obligation stems from an act, therefore no additional agreements are concluded. State authorities must respect all relevant positive laws, including rules of operation and procedural rules. The ZJN-3 defines exclusion grounds related to the restriction of competition (Article 75).</w:t>
            </w:r>
          </w:p>
          <w:p w14:paraId="07EFD901" w14:textId="77777777" w:rsidR="00DD13BF" w:rsidRDefault="00DD13BF" w:rsidP="00355A56">
            <w:pPr>
              <w:widowControl/>
              <w:autoSpaceDE/>
              <w:autoSpaceDN/>
              <w:jc w:val="both"/>
              <w:rPr>
                <w:rFonts w:eastAsia="Calibri"/>
              </w:rPr>
            </w:pPr>
            <w:r>
              <w:t xml:space="preserve">The computerisation of the public procurement procedure also has a preventive effect. High transparency (the publication of notices, contract award decisions, contracts, bidding prices) is one of the crucial measures used to combat collusion. The MJU and the AVK regularly monitor the status of the public procurement </w:t>
            </w:r>
            <w:r>
              <w:lastRenderedPageBreak/>
              <w:t>system. The AVK advocates public interest in terms of competition and advises contracting authorities. Training on the recognition and reporting of concerted practices in public procurement procedures was conducted and is publicly available.</w:t>
            </w:r>
          </w:p>
          <w:p w14:paraId="1764AB3F" w14:textId="77777777" w:rsidR="00DD13BF" w:rsidRPr="0021266C" w:rsidRDefault="00DD13BF" w:rsidP="00355A56">
            <w:pPr>
              <w:widowControl/>
              <w:autoSpaceDE/>
              <w:autoSpaceDN/>
              <w:jc w:val="both"/>
              <w:rPr>
                <w:rFonts w:eastAsia="Calibri"/>
              </w:rPr>
            </w:pPr>
            <w:r>
              <w:t>Also see Criteria 1 and 3.</w:t>
            </w:r>
          </w:p>
        </w:tc>
      </w:tr>
      <w:tr w:rsidR="00DD13BF" w:rsidRPr="0021266C" w14:paraId="4CB95E8C" w14:textId="77777777" w:rsidTr="00355A56">
        <w:trPr>
          <w:trHeight w:val="353"/>
        </w:trPr>
        <w:tc>
          <w:tcPr>
            <w:tcW w:w="1538" w:type="dxa"/>
            <w:vMerge w:val="restart"/>
          </w:tcPr>
          <w:p w14:paraId="012BB3EF" w14:textId="77777777" w:rsidR="00DD13BF" w:rsidRPr="0021266C" w:rsidRDefault="00DD13BF" w:rsidP="00355A56">
            <w:pPr>
              <w:widowControl/>
              <w:autoSpaceDE/>
              <w:autoSpaceDN/>
              <w:rPr>
                <w:rFonts w:eastAsia="Calibri"/>
              </w:rPr>
            </w:pPr>
            <w:r>
              <w:lastRenderedPageBreak/>
              <w:t>Tools and capacity for effective application of State aid rules</w:t>
            </w:r>
          </w:p>
        </w:tc>
        <w:tc>
          <w:tcPr>
            <w:tcW w:w="877" w:type="dxa"/>
            <w:vMerge w:val="restart"/>
          </w:tcPr>
          <w:p w14:paraId="04A29412" w14:textId="77777777" w:rsidR="00DD13BF" w:rsidRPr="0021266C" w:rsidRDefault="00DD13BF" w:rsidP="00355A56">
            <w:pPr>
              <w:widowControl/>
              <w:autoSpaceDE/>
              <w:autoSpaceDN/>
              <w:rPr>
                <w:rFonts w:eastAsia="Calibri"/>
              </w:rPr>
            </w:pPr>
            <w:r>
              <w:t>CF, ERDF, ESF+</w:t>
            </w:r>
          </w:p>
        </w:tc>
        <w:tc>
          <w:tcPr>
            <w:tcW w:w="1959" w:type="dxa"/>
            <w:vMerge w:val="restart"/>
          </w:tcPr>
          <w:p w14:paraId="6C172B83" w14:textId="77777777" w:rsidR="00DD13BF" w:rsidRPr="0021266C" w:rsidRDefault="00DD13BF" w:rsidP="00355A56">
            <w:pPr>
              <w:widowControl/>
              <w:autoSpaceDE/>
              <w:autoSpaceDN/>
              <w:rPr>
                <w:rFonts w:eastAsia="Calibri"/>
              </w:rPr>
            </w:pPr>
            <w:r>
              <w:t>ALL</w:t>
            </w:r>
          </w:p>
          <w:p w14:paraId="4FED3609" w14:textId="77777777" w:rsidR="00DD13BF" w:rsidRPr="0021266C" w:rsidRDefault="00DD13BF" w:rsidP="00355A56">
            <w:pPr>
              <w:widowControl/>
              <w:autoSpaceDE/>
              <w:autoSpaceDN/>
              <w:rPr>
                <w:rFonts w:eastAsia="Calibri"/>
              </w:rPr>
            </w:pPr>
          </w:p>
        </w:tc>
        <w:tc>
          <w:tcPr>
            <w:tcW w:w="1134" w:type="dxa"/>
            <w:vMerge w:val="restart"/>
          </w:tcPr>
          <w:p w14:paraId="5A3ED202" w14:textId="77777777" w:rsidR="00DD13BF" w:rsidRPr="0021266C" w:rsidRDefault="00DD13BF" w:rsidP="00355A56">
            <w:pPr>
              <w:widowControl/>
              <w:autoSpaceDE/>
              <w:autoSpaceDN/>
              <w:rPr>
                <w:rFonts w:eastAsia="Calibri"/>
              </w:rPr>
            </w:pPr>
            <w:r>
              <w:t>Yes</w:t>
            </w:r>
          </w:p>
        </w:tc>
        <w:tc>
          <w:tcPr>
            <w:tcW w:w="8400" w:type="dxa"/>
            <w:gridSpan w:val="5"/>
            <w:tcBorders>
              <w:bottom w:val="single" w:sz="4" w:space="0" w:color="auto"/>
            </w:tcBorders>
            <w:shd w:val="clear" w:color="auto" w:fill="92D050"/>
          </w:tcPr>
          <w:p w14:paraId="370B6F4B" w14:textId="77777777" w:rsidR="00DD13BF" w:rsidRPr="0021266C" w:rsidRDefault="00DD13BF" w:rsidP="00355A56">
            <w:pPr>
              <w:widowControl/>
              <w:autoSpaceDE/>
              <w:autoSpaceDN/>
              <w:jc w:val="center"/>
              <w:rPr>
                <w:rFonts w:eastAsia="Calibri"/>
              </w:rPr>
            </w:pPr>
            <w:r>
              <w:t>Managing authorities have the tools and capacity to verify compliance with State aid rules:</w:t>
            </w:r>
          </w:p>
        </w:tc>
      </w:tr>
      <w:tr w:rsidR="00DD13BF" w:rsidRPr="0021266C" w14:paraId="083135AD" w14:textId="77777777" w:rsidTr="00355A56">
        <w:trPr>
          <w:gridAfter w:val="1"/>
          <w:wAfter w:w="12" w:type="dxa"/>
          <w:trHeight w:val="353"/>
        </w:trPr>
        <w:tc>
          <w:tcPr>
            <w:tcW w:w="1538" w:type="dxa"/>
            <w:vMerge/>
          </w:tcPr>
          <w:p w14:paraId="7E6CF394" w14:textId="77777777" w:rsidR="00DD13BF" w:rsidRPr="0021266C" w:rsidRDefault="00DD13BF" w:rsidP="00355A56">
            <w:pPr>
              <w:widowControl/>
              <w:autoSpaceDE/>
              <w:autoSpaceDN/>
              <w:rPr>
                <w:rFonts w:eastAsia="Calibri"/>
              </w:rPr>
            </w:pPr>
          </w:p>
        </w:tc>
        <w:tc>
          <w:tcPr>
            <w:tcW w:w="877" w:type="dxa"/>
            <w:vMerge/>
          </w:tcPr>
          <w:p w14:paraId="34C962FC" w14:textId="77777777" w:rsidR="00DD13BF" w:rsidRPr="0021266C" w:rsidRDefault="00DD13BF" w:rsidP="00355A56">
            <w:pPr>
              <w:widowControl/>
              <w:autoSpaceDE/>
              <w:autoSpaceDN/>
              <w:rPr>
                <w:rFonts w:eastAsia="Calibri"/>
              </w:rPr>
            </w:pPr>
          </w:p>
        </w:tc>
        <w:tc>
          <w:tcPr>
            <w:tcW w:w="1959" w:type="dxa"/>
            <w:vMerge/>
          </w:tcPr>
          <w:p w14:paraId="2CE73EE1" w14:textId="77777777" w:rsidR="00DD13BF" w:rsidRPr="0021266C" w:rsidRDefault="00DD13BF" w:rsidP="00355A56">
            <w:pPr>
              <w:widowControl/>
              <w:autoSpaceDE/>
              <w:autoSpaceDN/>
              <w:rPr>
                <w:rFonts w:eastAsia="Calibri"/>
              </w:rPr>
            </w:pPr>
          </w:p>
        </w:tc>
        <w:tc>
          <w:tcPr>
            <w:tcW w:w="1134" w:type="dxa"/>
            <w:vMerge/>
            <w:tcBorders>
              <w:right w:val="single" w:sz="4" w:space="0" w:color="auto"/>
            </w:tcBorders>
          </w:tcPr>
          <w:p w14:paraId="3E6415B4" w14:textId="77777777" w:rsidR="00DD13BF" w:rsidRPr="0021266C" w:rsidRDefault="00DD13BF" w:rsidP="00355A56">
            <w:pPr>
              <w:widowControl/>
              <w:autoSpaceDE/>
              <w:autoSpaceDN/>
              <w:rPr>
                <w:rFonts w:eastAsia="Calibri"/>
              </w:rPr>
            </w:pPr>
          </w:p>
        </w:tc>
        <w:tc>
          <w:tcPr>
            <w:tcW w:w="2010" w:type="dxa"/>
            <w:tcBorders>
              <w:top w:val="single" w:sz="4" w:space="0" w:color="auto"/>
              <w:left w:val="single" w:sz="4" w:space="0" w:color="auto"/>
              <w:bottom w:val="single" w:sz="4" w:space="0" w:color="auto"/>
              <w:right w:val="single" w:sz="4" w:space="0" w:color="auto"/>
            </w:tcBorders>
          </w:tcPr>
          <w:p w14:paraId="20A17DAC" w14:textId="77777777" w:rsidR="00DD13BF" w:rsidRPr="0021266C" w:rsidRDefault="00DD13BF" w:rsidP="00355A56">
            <w:pPr>
              <w:widowControl/>
              <w:autoSpaceDE/>
              <w:autoSpaceDN/>
              <w:rPr>
                <w:rFonts w:eastAsia="Calibri"/>
              </w:rPr>
            </w:pPr>
            <w:r>
              <w:t>1. For undertakings in difficulty and undertakings under a recovery requirement.</w:t>
            </w:r>
          </w:p>
        </w:tc>
        <w:tc>
          <w:tcPr>
            <w:tcW w:w="709" w:type="dxa"/>
            <w:tcBorders>
              <w:top w:val="single" w:sz="4" w:space="0" w:color="auto"/>
              <w:left w:val="single" w:sz="4" w:space="0" w:color="auto"/>
              <w:bottom w:val="single" w:sz="4" w:space="0" w:color="auto"/>
              <w:right w:val="single" w:sz="4" w:space="0" w:color="auto"/>
            </w:tcBorders>
          </w:tcPr>
          <w:p w14:paraId="6E5EFCCF" w14:textId="77777777" w:rsidR="00DD13BF" w:rsidRPr="0021266C" w:rsidRDefault="00DD13BF" w:rsidP="00355A56">
            <w:pPr>
              <w:widowControl/>
              <w:autoSpaceDE/>
              <w:autoSpaceDN/>
              <w:rPr>
                <w:rFonts w:eastAsia="Calibri"/>
              </w:rPr>
            </w:pPr>
            <w:r>
              <w:t>Yes</w:t>
            </w:r>
          </w:p>
        </w:tc>
        <w:tc>
          <w:tcPr>
            <w:tcW w:w="2267" w:type="dxa"/>
            <w:tcBorders>
              <w:top w:val="single" w:sz="4" w:space="0" w:color="auto"/>
              <w:left w:val="single" w:sz="4" w:space="0" w:color="auto"/>
              <w:bottom w:val="single" w:sz="4" w:space="0" w:color="auto"/>
              <w:right w:val="single" w:sz="4" w:space="0" w:color="auto"/>
            </w:tcBorders>
          </w:tcPr>
          <w:p w14:paraId="4D157C6C" w14:textId="77777777" w:rsidR="00DD13BF" w:rsidRDefault="00425F22" w:rsidP="00355A56">
            <w:pPr>
              <w:widowControl/>
              <w:autoSpaceDE/>
              <w:autoSpaceDN/>
              <w:rPr>
                <w:rFonts w:eastAsia="Calibri"/>
                <w:color w:val="0563C1"/>
                <w:u w:val="single"/>
              </w:rPr>
            </w:pPr>
            <w:hyperlink r:id="rId117" w:history="1">
              <w:r w:rsidR="00DD13BF">
                <w:rPr>
                  <w:color w:val="0563C1"/>
                  <w:u w:val="single"/>
                </w:rPr>
                <w:t>Monitoring of State Aids Act</w:t>
              </w:r>
            </w:hyperlink>
          </w:p>
          <w:p w14:paraId="4C531260" w14:textId="77777777" w:rsidR="00DD13BF" w:rsidRDefault="00DD13BF" w:rsidP="00355A56">
            <w:pPr>
              <w:widowControl/>
              <w:autoSpaceDE/>
              <w:autoSpaceDN/>
              <w:rPr>
                <w:rFonts w:eastAsia="Calibri"/>
                <w:color w:val="0563C1"/>
                <w:u w:val="single"/>
              </w:rPr>
            </w:pPr>
          </w:p>
          <w:p w14:paraId="29F4D03B" w14:textId="77777777" w:rsidR="00DD13BF" w:rsidRPr="0021266C" w:rsidRDefault="00425F22" w:rsidP="00355A56">
            <w:pPr>
              <w:widowControl/>
              <w:autoSpaceDE/>
              <w:autoSpaceDN/>
              <w:rPr>
                <w:rFonts w:eastAsia="Calibri"/>
              </w:rPr>
            </w:pPr>
            <w:hyperlink r:id="rId118" w:history="1">
              <w:r w:rsidR="00DD13BF">
                <w:rPr>
                  <w:color w:val="0000FF"/>
                  <w:u w:val="single"/>
                </w:rPr>
                <w:t>Recovery of unlawful aid (europa.eu)</w:t>
              </w:r>
            </w:hyperlink>
          </w:p>
        </w:tc>
        <w:tc>
          <w:tcPr>
            <w:tcW w:w="3402" w:type="dxa"/>
            <w:tcBorders>
              <w:top w:val="single" w:sz="4" w:space="0" w:color="auto"/>
              <w:left w:val="single" w:sz="4" w:space="0" w:color="auto"/>
              <w:bottom w:val="single" w:sz="4" w:space="0" w:color="auto"/>
              <w:right w:val="single" w:sz="4" w:space="0" w:color="auto"/>
            </w:tcBorders>
          </w:tcPr>
          <w:p w14:paraId="2FE53BBB" w14:textId="77777777" w:rsidR="00DD13BF" w:rsidRPr="0021266C" w:rsidRDefault="00DD13BF" w:rsidP="00355A56">
            <w:pPr>
              <w:widowControl/>
              <w:autoSpaceDE/>
              <w:autoSpaceDN/>
              <w:jc w:val="both"/>
              <w:rPr>
                <w:rFonts w:eastAsia="Calibri"/>
              </w:rPr>
            </w:pPr>
            <w:r>
              <w:t xml:space="preserve">Prior to being granted aid, beneficiaries must submit a statement that it is not a company in difficulty. Aid granting authorities have various methods of checking whether a beneficiary is a company that is not in difficulty. The most commonly used method is a statement by the beneficiary that the company is not in difficulty. All granting authorities carry out subsequent supervision (random or systematic). Some of them have pre-prepared tables with all the data from Article 2(18) of the GBER. Most granting authorities check financial statements in advance prior </w:t>
            </w:r>
            <w:r>
              <w:lastRenderedPageBreak/>
              <w:t>to awarding aid. If there are many applications (e.g. 100) and it is difficult to check the statements in advance, the granting authority checks the beneficiary’s statement subsequently. All schemes in the legal bases contain a provision on subsequent supervision – if the beneficiary has provided incorrect/false information, they must return the aid. In addition, the Internal Audit Service or Budget Supervision Office, in randomly selected cases, check that the conditions for granting aid have been met, including the status of a company in difficulty. The SSDP will include the obligation to monitor the status of a company in difficulty as a mandatory element of notification. Managing authorities at the SSDP receive information regarding recovery orders. The state aid register is open to the general public.</w:t>
            </w:r>
          </w:p>
        </w:tc>
      </w:tr>
      <w:tr w:rsidR="00DD13BF" w:rsidRPr="0021266C" w14:paraId="4F1F0FAD" w14:textId="77777777" w:rsidTr="00355A56">
        <w:trPr>
          <w:gridAfter w:val="1"/>
          <w:wAfter w:w="12" w:type="dxa"/>
          <w:trHeight w:val="816"/>
        </w:trPr>
        <w:tc>
          <w:tcPr>
            <w:tcW w:w="1538" w:type="dxa"/>
            <w:vMerge/>
          </w:tcPr>
          <w:p w14:paraId="62E4DEED" w14:textId="77777777" w:rsidR="00DD13BF" w:rsidRPr="0021266C" w:rsidRDefault="00DD13BF" w:rsidP="00355A56">
            <w:pPr>
              <w:widowControl/>
              <w:autoSpaceDE/>
              <w:autoSpaceDN/>
              <w:rPr>
                <w:rFonts w:eastAsia="Calibri"/>
              </w:rPr>
            </w:pPr>
          </w:p>
        </w:tc>
        <w:tc>
          <w:tcPr>
            <w:tcW w:w="877" w:type="dxa"/>
            <w:vMerge/>
          </w:tcPr>
          <w:p w14:paraId="014902F7" w14:textId="77777777" w:rsidR="00DD13BF" w:rsidRPr="0021266C" w:rsidRDefault="00DD13BF" w:rsidP="00355A56">
            <w:pPr>
              <w:widowControl/>
              <w:autoSpaceDE/>
              <w:autoSpaceDN/>
              <w:rPr>
                <w:rFonts w:eastAsia="Calibri"/>
              </w:rPr>
            </w:pPr>
          </w:p>
        </w:tc>
        <w:tc>
          <w:tcPr>
            <w:tcW w:w="1959" w:type="dxa"/>
            <w:vMerge/>
          </w:tcPr>
          <w:p w14:paraId="6903818A" w14:textId="77777777" w:rsidR="00DD13BF" w:rsidRPr="0021266C" w:rsidRDefault="00DD13BF" w:rsidP="00355A56">
            <w:pPr>
              <w:widowControl/>
              <w:autoSpaceDE/>
              <w:autoSpaceDN/>
              <w:rPr>
                <w:rFonts w:eastAsia="Calibri"/>
              </w:rPr>
            </w:pPr>
          </w:p>
        </w:tc>
        <w:tc>
          <w:tcPr>
            <w:tcW w:w="1134" w:type="dxa"/>
            <w:vMerge/>
          </w:tcPr>
          <w:p w14:paraId="468D73BC" w14:textId="77777777" w:rsidR="00DD13BF" w:rsidRPr="0021266C" w:rsidRDefault="00DD13BF" w:rsidP="00355A56">
            <w:pPr>
              <w:widowControl/>
              <w:autoSpaceDE/>
              <w:autoSpaceDN/>
              <w:rPr>
                <w:rFonts w:eastAsia="Calibri"/>
              </w:rPr>
            </w:pPr>
          </w:p>
        </w:tc>
        <w:tc>
          <w:tcPr>
            <w:tcW w:w="2010" w:type="dxa"/>
            <w:tcBorders>
              <w:top w:val="single" w:sz="4" w:space="0" w:color="auto"/>
            </w:tcBorders>
          </w:tcPr>
          <w:p w14:paraId="3B9DC81E" w14:textId="77777777" w:rsidR="00DD13BF" w:rsidRPr="0021266C" w:rsidRDefault="00DD13BF" w:rsidP="00355A56">
            <w:pPr>
              <w:widowControl/>
              <w:autoSpaceDE/>
              <w:autoSpaceDN/>
              <w:rPr>
                <w:rFonts w:eastAsia="Calibri"/>
              </w:rPr>
            </w:pPr>
            <w:r>
              <w:t xml:space="preserve">2. Through access to expert advice and guidance on State aid matters, provided by State </w:t>
            </w:r>
            <w:r>
              <w:lastRenderedPageBreak/>
              <w:t>aid experts of local or national bodies.</w:t>
            </w:r>
          </w:p>
        </w:tc>
        <w:tc>
          <w:tcPr>
            <w:tcW w:w="709" w:type="dxa"/>
            <w:tcBorders>
              <w:top w:val="single" w:sz="4" w:space="0" w:color="auto"/>
            </w:tcBorders>
          </w:tcPr>
          <w:p w14:paraId="2F12F20E" w14:textId="77777777" w:rsidR="00DD13BF" w:rsidRPr="0021266C" w:rsidRDefault="00DD13BF" w:rsidP="00355A56">
            <w:pPr>
              <w:widowControl/>
              <w:autoSpaceDE/>
              <w:autoSpaceDN/>
              <w:rPr>
                <w:rFonts w:eastAsia="Calibri"/>
              </w:rPr>
            </w:pPr>
            <w:r>
              <w:lastRenderedPageBreak/>
              <w:t>Yes</w:t>
            </w:r>
          </w:p>
        </w:tc>
        <w:tc>
          <w:tcPr>
            <w:tcW w:w="2267" w:type="dxa"/>
            <w:tcBorders>
              <w:top w:val="single" w:sz="4" w:space="0" w:color="auto"/>
            </w:tcBorders>
          </w:tcPr>
          <w:p w14:paraId="04DCBDAF" w14:textId="77777777" w:rsidR="00DD13BF" w:rsidRPr="0021266C" w:rsidRDefault="00DD13BF" w:rsidP="00355A56">
            <w:pPr>
              <w:widowControl/>
              <w:autoSpaceDE/>
              <w:autoSpaceDN/>
              <w:rPr>
                <w:rFonts w:eastAsia="Calibri"/>
              </w:rPr>
            </w:pPr>
          </w:p>
        </w:tc>
        <w:tc>
          <w:tcPr>
            <w:tcW w:w="3402" w:type="dxa"/>
            <w:tcBorders>
              <w:top w:val="single" w:sz="4" w:space="0" w:color="auto"/>
            </w:tcBorders>
          </w:tcPr>
          <w:p w14:paraId="236597B3" w14:textId="77777777" w:rsidR="00DD13BF" w:rsidRPr="0021266C" w:rsidRDefault="00DD13BF" w:rsidP="00355A56">
            <w:pPr>
              <w:widowControl/>
              <w:autoSpaceDE/>
              <w:autoSpaceDN/>
              <w:jc w:val="both"/>
              <w:rPr>
                <w:rFonts w:eastAsia="Calibri"/>
              </w:rPr>
            </w:pPr>
            <w:r>
              <w:t xml:space="preserve">The State Aid Monitoring Division (MF) regularly provides training on the issue of state aid for aid granting authorities at central and local levels. Such training includes the </w:t>
            </w:r>
            <w:r>
              <w:lastRenderedPageBreak/>
              <w:t>basics of state and general procedures (notification of aid to the MF, reporting on state aid) and targeted training on special topics, such as state aid and cohesion policy, infrastructural aid, rescuing and restructuring.</w:t>
            </w:r>
          </w:p>
          <w:p w14:paraId="0B797F8E" w14:textId="77777777" w:rsidR="00DD13BF" w:rsidRPr="0021266C" w:rsidRDefault="00DD13BF" w:rsidP="00355A56">
            <w:pPr>
              <w:widowControl/>
              <w:autoSpaceDE/>
              <w:autoSpaceDN/>
              <w:jc w:val="both"/>
              <w:rPr>
                <w:rFonts w:eastAsia="Calibri"/>
              </w:rPr>
            </w:pPr>
            <w:r>
              <w:t>A network of contact points has been established in all major aid granting authorities (ministries, public funds and public agencies). The purpose of a contact point is to establish a connection between the State Aid Monitoring Division (state aid experts responsible for a specific field, i.e. research, development and innovation) and an individual aid granting authority (i.e. the Ministry of Education, Science and Sport) to ensure mutual exchange of information on current issues, the exchange of knowledge, advice and a quick resolution of open issues.</w:t>
            </w:r>
          </w:p>
        </w:tc>
      </w:tr>
      <w:tr w:rsidR="00DD13BF" w:rsidRPr="0021266C" w14:paraId="47F00B0E" w14:textId="77777777" w:rsidTr="00355A56">
        <w:trPr>
          <w:trHeight w:val="353"/>
        </w:trPr>
        <w:tc>
          <w:tcPr>
            <w:tcW w:w="1538" w:type="dxa"/>
            <w:vMerge w:val="restart"/>
          </w:tcPr>
          <w:p w14:paraId="75A93650" w14:textId="77777777" w:rsidR="00DD13BF" w:rsidRPr="0021266C" w:rsidRDefault="00DD13BF" w:rsidP="00355A56">
            <w:pPr>
              <w:widowControl/>
              <w:autoSpaceDE/>
              <w:autoSpaceDN/>
              <w:rPr>
                <w:rFonts w:eastAsia="Calibri"/>
              </w:rPr>
            </w:pPr>
            <w:r>
              <w:lastRenderedPageBreak/>
              <w:t xml:space="preserve">Effective application and implementation of the Charter of </w:t>
            </w:r>
            <w:r>
              <w:lastRenderedPageBreak/>
              <w:t>Fundamental Rights</w:t>
            </w:r>
          </w:p>
        </w:tc>
        <w:tc>
          <w:tcPr>
            <w:tcW w:w="877" w:type="dxa"/>
            <w:vMerge w:val="restart"/>
          </w:tcPr>
          <w:p w14:paraId="77958C6D" w14:textId="77777777" w:rsidR="00DD13BF" w:rsidRPr="0021266C" w:rsidRDefault="00DD13BF" w:rsidP="00355A56">
            <w:pPr>
              <w:widowControl/>
              <w:autoSpaceDE/>
              <w:autoSpaceDN/>
              <w:rPr>
                <w:rFonts w:eastAsia="Calibri"/>
              </w:rPr>
            </w:pPr>
            <w:r>
              <w:lastRenderedPageBreak/>
              <w:t>CF, ERDF, ESF+</w:t>
            </w:r>
          </w:p>
        </w:tc>
        <w:tc>
          <w:tcPr>
            <w:tcW w:w="1959" w:type="dxa"/>
            <w:vMerge w:val="restart"/>
          </w:tcPr>
          <w:p w14:paraId="3F392B0F" w14:textId="77777777" w:rsidR="00DD13BF" w:rsidRPr="0021266C" w:rsidRDefault="00DD13BF" w:rsidP="00355A56">
            <w:pPr>
              <w:widowControl/>
              <w:autoSpaceDE/>
              <w:autoSpaceDN/>
              <w:rPr>
                <w:rFonts w:eastAsia="Calibri"/>
              </w:rPr>
            </w:pPr>
            <w:r>
              <w:t>ALL</w:t>
            </w:r>
          </w:p>
          <w:p w14:paraId="0F35A2DD" w14:textId="77777777" w:rsidR="00DD13BF" w:rsidRPr="0021266C" w:rsidRDefault="00DD13BF" w:rsidP="00355A56">
            <w:pPr>
              <w:widowControl/>
              <w:autoSpaceDE/>
              <w:autoSpaceDN/>
              <w:rPr>
                <w:rFonts w:eastAsia="Calibri"/>
              </w:rPr>
            </w:pPr>
          </w:p>
        </w:tc>
        <w:tc>
          <w:tcPr>
            <w:tcW w:w="1134" w:type="dxa"/>
            <w:vMerge w:val="restart"/>
          </w:tcPr>
          <w:p w14:paraId="17B5A58B" w14:textId="77777777" w:rsidR="00DD13BF" w:rsidRPr="0021266C" w:rsidRDefault="00DD13BF" w:rsidP="00355A56">
            <w:pPr>
              <w:widowControl/>
              <w:autoSpaceDE/>
              <w:autoSpaceDN/>
              <w:rPr>
                <w:rFonts w:eastAsia="Calibri"/>
              </w:rPr>
            </w:pPr>
            <w:r>
              <w:t>Yes</w:t>
            </w:r>
          </w:p>
        </w:tc>
        <w:tc>
          <w:tcPr>
            <w:tcW w:w="8400" w:type="dxa"/>
            <w:gridSpan w:val="5"/>
            <w:shd w:val="clear" w:color="auto" w:fill="92D050"/>
          </w:tcPr>
          <w:p w14:paraId="2E9C943F" w14:textId="77777777" w:rsidR="00DD13BF" w:rsidRPr="0021266C" w:rsidRDefault="00DD13BF" w:rsidP="00355A56">
            <w:pPr>
              <w:widowControl/>
              <w:autoSpaceDE/>
              <w:autoSpaceDN/>
              <w:jc w:val="center"/>
              <w:rPr>
                <w:rFonts w:eastAsia="Calibri"/>
              </w:rPr>
            </w:pPr>
            <w:r>
              <w:t>Effective mechanisms are in place to ensure compliance with the Charter of Fundamental Rights of the European Union (‘the Charter’) which include:</w:t>
            </w:r>
          </w:p>
        </w:tc>
      </w:tr>
      <w:tr w:rsidR="00DD13BF" w:rsidRPr="0021266C" w14:paraId="6292201B" w14:textId="77777777" w:rsidTr="00355A56">
        <w:trPr>
          <w:gridAfter w:val="1"/>
          <w:wAfter w:w="12" w:type="dxa"/>
          <w:trHeight w:val="353"/>
        </w:trPr>
        <w:tc>
          <w:tcPr>
            <w:tcW w:w="1538" w:type="dxa"/>
            <w:vMerge/>
          </w:tcPr>
          <w:p w14:paraId="5EE4ED94" w14:textId="77777777" w:rsidR="00DD13BF" w:rsidRPr="0021266C" w:rsidRDefault="00DD13BF" w:rsidP="00355A56">
            <w:pPr>
              <w:widowControl/>
              <w:autoSpaceDE/>
              <w:autoSpaceDN/>
              <w:rPr>
                <w:rFonts w:eastAsia="Calibri"/>
              </w:rPr>
            </w:pPr>
          </w:p>
        </w:tc>
        <w:tc>
          <w:tcPr>
            <w:tcW w:w="877" w:type="dxa"/>
            <w:vMerge/>
          </w:tcPr>
          <w:p w14:paraId="0F7B2A46" w14:textId="77777777" w:rsidR="00DD13BF" w:rsidRPr="0021266C" w:rsidRDefault="00DD13BF" w:rsidP="00355A56">
            <w:pPr>
              <w:widowControl/>
              <w:autoSpaceDE/>
              <w:autoSpaceDN/>
              <w:rPr>
                <w:rFonts w:eastAsia="Calibri"/>
              </w:rPr>
            </w:pPr>
          </w:p>
        </w:tc>
        <w:tc>
          <w:tcPr>
            <w:tcW w:w="1959" w:type="dxa"/>
            <w:vMerge/>
          </w:tcPr>
          <w:p w14:paraId="03117B4D" w14:textId="77777777" w:rsidR="00DD13BF" w:rsidRPr="0021266C" w:rsidRDefault="00DD13BF" w:rsidP="00355A56">
            <w:pPr>
              <w:widowControl/>
              <w:autoSpaceDE/>
              <w:autoSpaceDN/>
              <w:rPr>
                <w:rFonts w:eastAsia="Calibri"/>
              </w:rPr>
            </w:pPr>
          </w:p>
        </w:tc>
        <w:tc>
          <w:tcPr>
            <w:tcW w:w="1134" w:type="dxa"/>
            <w:vMerge/>
          </w:tcPr>
          <w:p w14:paraId="50B3F178" w14:textId="77777777" w:rsidR="00DD13BF" w:rsidRPr="0021266C" w:rsidRDefault="00DD13BF" w:rsidP="00355A56">
            <w:pPr>
              <w:widowControl/>
              <w:autoSpaceDE/>
              <w:autoSpaceDN/>
              <w:rPr>
                <w:rFonts w:eastAsia="Calibri"/>
              </w:rPr>
            </w:pPr>
          </w:p>
        </w:tc>
        <w:tc>
          <w:tcPr>
            <w:tcW w:w="2010" w:type="dxa"/>
          </w:tcPr>
          <w:p w14:paraId="224360CA" w14:textId="77777777" w:rsidR="00DD13BF" w:rsidRPr="0021266C" w:rsidRDefault="00DD13BF" w:rsidP="00355A56">
            <w:pPr>
              <w:widowControl/>
              <w:autoSpaceDE/>
              <w:autoSpaceDN/>
              <w:rPr>
                <w:rFonts w:eastAsia="Calibri"/>
              </w:rPr>
            </w:pPr>
            <w:r>
              <w:t xml:space="preserve">1. Arrangements to ensure compliance of the programmes supported by the Funds and their </w:t>
            </w:r>
            <w:r>
              <w:lastRenderedPageBreak/>
              <w:t>implementation with the relevant provisions of the Charter.</w:t>
            </w:r>
          </w:p>
        </w:tc>
        <w:tc>
          <w:tcPr>
            <w:tcW w:w="709" w:type="dxa"/>
          </w:tcPr>
          <w:p w14:paraId="0DE4E7D9" w14:textId="77777777" w:rsidR="00DD13BF" w:rsidRPr="0021266C" w:rsidRDefault="00DD13BF" w:rsidP="00355A56">
            <w:pPr>
              <w:widowControl/>
              <w:autoSpaceDE/>
              <w:autoSpaceDN/>
              <w:rPr>
                <w:rFonts w:eastAsia="Calibri"/>
              </w:rPr>
            </w:pPr>
            <w:r>
              <w:lastRenderedPageBreak/>
              <w:t>Yes</w:t>
            </w:r>
          </w:p>
        </w:tc>
        <w:tc>
          <w:tcPr>
            <w:tcW w:w="2267" w:type="dxa"/>
          </w:tcPr>
          <w:p w14:paraId="219F27BB" w14:textId="77777777" w:rsidR="00DD13BF" w:rsidRPr="0021266C" w:rsidRDefault="00DD13BF" w:rsidP="00355A56">
            <w:pPr>
              <w:widowControl/>
              <w:autoSpaceDE/>
              <w:autoSpaceDN/>
              <w:rPr>
                <w:rFonts w:eastAsia="Calibri"/>
              </w:rPr>
            </w:pPr>
            <w:r>
              <w:t xml:space="preserve">Procedural rules for providing the horizontal enabling condition “Effective application and </w:t>
            </w:r>
            <w:r>
              <w:lastRenderedPageBreak/>
              <w:t>implementation of the Charter of Fundamental Rights” (procedural rules prepared by the MA).</w:t>
            </w:r>
          </w:p>
        </w:tc>
        <w:tc>
          <w:tcPr>
            <w:tcW w:w="3402" w:type="dxa"/>
          </w:tcPr>
          <w:p w14:paraId="71C3F7BD" w14:textId="77777777" w:rsidR="00DD13BF" w:rsidRPr="0021266C" w:rsidRDefault="00DD13BF" w:rsidP="00355A56">
            <w:pPr>
              <w:widowControl/>
              <w:autoSpaceDE/>
              <w:autoSpaceDN/>
              <w:jc w:val="both"/>
              <w:rPr>
                <w:rFonts w:eastAsia="Calibri"/>
              </w:rPr>
            </w:pPr>
            <w:r>
              <w:lastRenderedPageBreak/>
              <w:t xml:space="preserve">The Procedural rules specify the implementation framework of this condition, which was carried out in the programming phase and will be monitored in all implementation </w:t>
            </w:r>
            <w:r>
              <w:lastRenderedPageBreak/>
              <w:t>phases (including supervision, evaluation, etc.). The measures from the Procedural rules will be included in the drafting of national regulations (the Slovenian regulation on the implementation of the ECP 2021–2027, which defines the rules for the use of EU funds, the rules of procedure for the establishment of the Monitoring Committee), rules and documents of the MA (description of the management and supervision system, instructions and guidelines, check list) and other managing activities.</w:t>
            </w:r>
          </w:p>
          <w:p w14:paraId="06040074" w14:textId="77777777" w:rsidR="00DD13BF" w:rsidRPr="0021266C" w:rsidRDefault="00DD13BF" w:rsidP="00355A56">
            <w:pPr>
              <w:widowControl/>
              <w:autoSpaceDE/>
              <w:autoSpaceDN/>
              <w:jc w:val="both"/>
              <w:rPr>
                <w:rFonts w:eastAsia="Calibri"/>
              </w:rPr>
            </w:pPr>
            <w:r>
              <w:t xml:space="preserve">The Centre for Human Rights and other relevant institutions (e.g. the Human Rights Department at the MZZ, the Advocate of the Principle of Equality, the Information Commissioner, etc.) will be members of the inter-ministerial commission/project group, which will constantly participate in the handling of complaints and their resolution (see Criterion 2). Violations will be handled in accordance with applicable human rights protection procedures. In </w:t>
            </w:r>
            <w:r>
              <w:lastRenderedPageBreak/>
              <w:t>accordance with the Administrative Capacity Building Plan, persons who will participate in monitoring the implementation of the Charter will receive appropriate training throughout the entire period, which will presumably be organised in cooperation with the Centre for Human Rights.</w:t>
            </w:r>
          </w:p>
        </w:tc>
      </w:tr>
      <w:tr w:rsidR="00DD13BF" w:rsidRPr="0021266C" w14:paraId="384155F7" w14:textId="77777777" w:rsidTr="00355A56">
        <w:trPr>
          <w:gridAfter w:val="1"/>
          <w:wAfter w:w="12" w:type="dxa"/>
          <w:trHeight w:val="816"/>
        </w:trPr>
        <w:tc>
          <w:tcPr>
            <w:tcW w:w="1538" w:type="dxa"/>
            <w:vMerge/>
          </w:tcPr>
          <w:p w14:paraId="1AE68DF8" w14:textId="77777777" w:rsidR="00DD13BF" w:rsidRPr="0021266C" w:rsidRDefault="00DD13BF" w:rsidP="00355A56">
            <w:pPr>
              <w:widowControl/>
              <w:autoSpaceDE/>
              <w:autoSpaceDN/>
              <w:rPr>
                <w:rFonts w:eastAsia="Calibri"/>
              </w:rPr>
            </w:pPr>
          </w:p>
        </w:tc>
        <w:tc>
          <w:tcPr>
            <w:tcW w:w="877" w:type="dxa"/>
            <w:vMerge/>
          </w:tcPr>
          <w:p w14:paraId="19E114A0" w14:textId="77777777" w:rsidR="00DD13BF" w:rsidRPr="0021266C" w:rsidRDefault="00DD13BF" w:rsidP="00355A56">
            <w:pPr>
              <w:widowControl/>
              <w:autoSpaceDE/>
              <w:autoSpaceDN/>
              <w:rPr>
                <w:rFonts w:eastAsia="Calibri"/>
              </w:rPr>
            </w:pPr>
          </w:p>
        </w:tc>
        <w:tc>
          <w:tcPr>
            <w:tcW w:w="1959" w:type="dxa"/>
            <w:vMerge/>
          </w:tcPr>
          <w:p w14:paraId="6AE0F412" w14:textId="77777777" w:rsidR="00DD13BF" w:rsidRPr="0021266C" w:rsidRDefault="00DD13BF" w:rsidP="00355A56">
            <w:pPr>
              <w:widowControl/>
              <w:autoSpaceDE/>
              <w:autoSpaceDN/>
              <w:rPr>
                <w:rFonts w:eastAsia="Calibri"/>
              </w:rPr>
            </w:pPr>
          </w:p>
        </w:tc>
        <w:tc>
          <w:tcPr>
            <w:tcW w:w="1134" w:type="dxa"/>
            <w:vMerge/>
          </w:tcPr>
          <w:p w14:paraId="53004E59" w14:textId="77777777" w:rsidR="00DD13BF" w:rsidRPr="0021266C" w:rsidRDefault="00DD13BF" w:rsidP="00355A56">
            <w:pPr>
              <w:widowControl/>
              <w:autoSpaceDE/>
              <w:autoSpaceDN/>
              <w:rPr>
                <w:rFonts w:eastAsia="Calibri"/>
              </w:rPr>
            </w:pPr>
          </w:p>
        </w:tc>
        <w:tc>
          <w:tcPr>
            <w:tcW w:w="2010" w:type="dxa"/>
          </w:tcPr>
          <w:p w14:paraId="4DCA9741" w14:textId="77777777" w:rsidR="00DD13BF" w:rsidRPr="0021266C" w:rsidRDefault="00DD13BF" w:rsidP="00355A56">
            <w:pPr>
              <w:widowControl/>
              <w:autoSpaceDE/>
              <w:autoSpaceDN/>
              <w:rPr>
                <w:rFonts w:eastAsia="Calibri"/>
              </w:rPr>
            </w:pPr>
            <w:r>
              <w:t>2. Reporting arrangements to the monitoring committee regarding cases of non-compliance of operations supported by the Funds with the Charter and complaints regarding the Charter submitted in accordance with the arrangements made pursuant to Article 69(7).</w:t>
            </w:r>
          </w:p>
        </w:tc>
        <w:tc>
          <w:tcPr>
            <w:tcW w:w="709" w:type="dxa"/>
          </w:tcPr>
          <w:p w14:paraId="70197A2B" w14:textId="77777777" w:rsidR="00DD13BF" w:rsidRPr="0021266C" w:rsidRDefault="00DD13BF" w:rsidP="00355A56">
            <w:pPr>
              <w:widowControl/>
              <w:autoSpaceDE/>
              <w:autoSpaceDN/>
              <w:rPr>
                <w:rFonts w:eastAsia="Calibri"/>
              </w:rPr>
            </w:pPr>
            <w:r>
              <w:t>Yes</w:t>
            </w:r>
          </w:p>
        </w:tc>
        <w:tc>
          <w:tcPr>
            <w:tcW w:w="2267" w:type="dxa"/>
          </w:tcPr>
          <w:p w14:paraId="1C70B07F" w14:textId="77777777" w:rsidR="00DD13BF" w:rsidRPr="0021266C" w:rsidRDefault="00DD13BF" w:rsidP="00355A56">
            <w:pPr>
              <w:widowControl/>
              <w:autoSpaceDE/>
              <w:autoSpaceDN/>
              <w:rPr>
                <w:rFonts w:eastAsia="Calibri"/>
              </w:rPr>
            </w:pPr>
            <w:r>
              <w:t>Procedural rules for providing the horizontal enabling condition “Effective application and implementation of the Charter of Fundamental Rights”.</w:t>
            </w:r>
          </w:p>
        </w:tc>
        <w:tc>
          <w:tcPr>
            <w:tcW w:w="3402" w:type="dxa"/>
          </w:tcPr>
          <w:p w14:paraId="2A2FA8C4" w14:textId="77777777" w:rsidR="00DD13BF" w:rsidRPr="0021266C" w:rsidRDefault="00DD13BF" w:rsidP="00355A56">
            <w:pPr>
              <w:widowControl/>
              <w:autoSpaceDE/>
              <w:autoSpaceDN/>
              <w:jc w:val="both"/>
              <w:rPr>
                <w:rFonts w:eastAsia="Calibri"/>
              </w:rPr>
            </w:pPr>
            <w:r>
              <w:t xml:space="preserve">Representatives of human rights protection bodies and equality bodies will be included in the Monitoring Committee. </w:t>
            </w:r>
          </w:p>
          <w:p w14:paraId="016A3CA0" w14:textId="77777777" w:rsidR="00DD13BF" w:rsidRPr="009D3DBF" w:rsidRDefault="00DD13BF" w:rsidP="00355A56">
            <w:pPr>
              <w:widowControl/>
              <w:autoSpaceDE/>
              <w:autoSpaceDN/>
              <w:jc w:val="both"/>
              <w:rPr>
                <w:rFonts w:eastAsia="Calibri"/>
              </w:rPr>
            </w:pPr>
            <w:r>
              <w:t>The rules of procedure stipulate that, once a year at its regular meeting, the Monitoring Committee is informed of complaints and their content, the identified discrepancies in the context of operations supported by the funds, and appropriate corrective action to prevent the repetition of violations.</w:t>
            </w:r>
          </w:p>
          <w:p w14:paraId="63A47C4C" w14:textId="77777777" w:rsidR="00DD13BF" w:rsidRPr="0021266C" w:rsidRDefault="00DD13BF" w:rsidP="00355A56">
            <w:pPr>
              <w:widowControl/>
              <w:autoSpaceDE/>
              <w:autoSpaceDN/>
              <w:jc w:val="both"/>
              <w:rPr>
                <w:rFonts w:eastAsia="Calibri"/>
              </w:rPr>
            </w:pPr>
            <w:r>
              <w:t xml:space="preserve">The responsible person of the MA will report to the Monitoring Committee, which will draft a report based on information collected during management checks and findings of audits and EU/national supervisory institutions and other sources as part of reports on </w:t>
            </w:r>
            <w:r>
              <w:lastRenderedPageBreak/>
              <w:t>violations of the Charter and complaints regarding the Charter and on the initiative and with the help of members of the inter-ministerial/project group, which will probably meet twice annually (see Criterion 1). The national regulation defining the rules for spending European Union funds establishes a legal basis for ensuring effective legal protection in the event of non-compliance with the Charter. The SVRK website is upgraded with an online form for complaints pursuant to paragraph seven of Article 69 of Regulation (EU) 2021/1060.</w:t>
            </w:r>
          </w:p>
        </w:tc>
      </w:tr>
      <w:tr w:rsidR="00DD13BF" w:rsidRPr="0021266C" w14:paraId="365CC085" w14:textId="77777777" w:rsidTr="00355A56">
        <w:trPr>
          <w:trHeight w:val="353"/>
        </w:trPr>
        <w:tc>
          <w:tcPr>
            <w:tcW w:w="1538" w:type="dxa"/>
            <w:vMerge w:val="restart"/>
          </w:tcPr>
          <w:p w14:paraId="3D8BA851" w14:textId="77777777" w:rsidR="00DD13BF" w:rsidRPr="0021266C" w:rsidRDefault="00DD13BF" w:rsidP="00355A56">
            <w:pPr>
              <w:widowControl/>
              <w:autoSpaceDE/>
              <w:autoSpaceDN/>
              <w:rPr>
                <w:rFonts w:eastAsia="Calibri"/>
              </w:rPr>
            </w:pPr>
            <w:r>
              <w:lastRenderedPageBreak/>
              <w:t>Implementation and application of the United Nations Convention on the rights of persons with disabilities in accordance with Council Decision 2010/48/EC</w:t>
            </w:r>
          </w:p>
        </w:tc>
        <w:tc>
          <w:tcPr>
            <w:tcW w:w="877" w:type="dxa"/>
            <w:vMerge w:val="restart"/>
          </w:tcPr>
          <w:p w14:paraId="31C4FF1F" w14:textId="77777777" w:rsidR="00DD13BF" w:rsidRPr="0021266C" w:rsidRDefault="00DD13BF" w:rsidP="00355A56">
            <w:pPr>
              <w:widowControl/>
              <w:autoSpaceDE/>
              <w:autoSpaceDN/>
              <w:rPr>
                <w:rFonts w:eastAsia="Calibri"/>
              </w:rPr>
            </w:pPr>
            <w:r>
              <w:t>CF, ERDF, ESF+</w:t>
            </w:r>
          </w:p>
        </w:tc>
        <w:tc>
          <w:tcPr>
            <w:tcW w:w="1959" w:type="dxa"/>
            <w:vMerge w:val="restart"/>
          </w:tcPr>
          <w:p w14:paraId="6D7C1DFA" w14:textId="77777777" w:rsidR="00DD13BF" w:rsidRPr="0021266C" w:rsidRDefault="00DD13BF" w:rsidP="00355A56">
            <w:pPr>
              <w:widowControl/>
              <w:autoSpaceDE/>
              <w:autoSpaceDN/>
              <w:rPr>
                <w:rFonts w:eastAsia="Calibri"/>
              </w:rPr>
            </w:pPr>
            <w:r>
              <w:t>ALL</w:t>
            </w:r>
          </w:p>
          <w:p w14:paraId="4D96F83B" w14:textId="77777777" w:rsidR="00DD13BF" w:rsidRPr="0021266C" w:rsidRDefault="00DD13BF" w:rsidP="00355A56">
            <w:pPr>
              <w:widowControl/>
              <w:autoSpaceDE/>
              <w:autoSpaceDN/>
              <w:rPr>
                <w:rFonts w:eastAsia="Calibri"/>
              </w:rPr>
            </w:pPr>
          </w:p>
        </w:tc>
        <w:tc>
          <w:tcPr>
            <w:tcW w:w="1134" w:type="dxa"/>
            <w:vMerge w:val="restart"/>
          </w:tcPr>
          <w:p w14:paraId="33BDC561" w14:textId="77777777" w:rsidR="00DD13BF" w:rsidRPr="0021266C" w:rsidRDefault="00DD13BF" w:rsidP="00355A56">
            <w:pPr>
              <w:widowControl/>
              <w:autoSpaceDE/>
              <w:autoSpaceDN/>
              <w:rPr>
                <w:rFonts w:eastAsia="Calibri"/>
              </w:rPr>
            </w:pPr>
            <w:r>
              <w:t>Yes</w:t>
            </w:r>
          </w:p>
        </w:tc>
        <w:tc>
          <w:tcPr>
            <w:tcW w:w="8400" w:type="dxa"/>
            <w:gridSpan w:val="5"/>
            <w:shd w:val="clear" w:color="auto" w:fill="92D050"/>
          </w:tcPr>
          <w:p w14:paraId="1249DAD4" w14:textId="77777777" w:rsidR="00DD13BF" w:rsidRPr="0021266C" w:rsidRDefault="00DD13BF" w:rsidP="00355A56">
            <w:pPr>
              <w:widowControl/>
              <w:autoSpaceDE/>
              <w:autoSpaceDN/>
              <w:jc w:val="center"/>
              <w:rPr>
                <w:rFonts w:eastAsia="Calibri"/>
              </w:rPr>
            </w:pPr>
            <w:r>
              <w:t>A national framework to ensure implementation of the UNCRPD is in place that includes:</w:t>
            </w:r>
          </w:p>
        </w:tc>
      </w:tr>
      <w:tr w:rsidR="00DD13BF" w:rsidRPr="0021266C" w14:paraId="6325509A" w14:textId="77777777" w:rsidTr="00355A56">
        <w:trPr>
          <w:gridAfter w:val="1"/>
          <w:wAfter w:w="12" w:type="dxa"/>
          <w:trHeight w:val="353"/>
        </w:trPr>
        <w:tc>
          <w:tcPr>
            <w:tcW w:w="1538" w:type="dxa"/>
            <w:vMerge/>
          </w:tcPr>
          <w:p w14:paraId="1F528F6D" w14:textId="77777777" w:rsidR="00DD13BF" w:rsidRPr="0021266C" w:rsidRDefault="00DD13BF" w:rsidP="00355A56">
            <w:pPr>
              <w:widowControl/>
              <w:autoSpaceDE/>
              <w:autoSpaceDN/>
              <w:rPr>
                <w:rFonts w:eastAsia="Calibri"/>
              </w:rPr>
            </w:pPr>
          </w:p>
        </w:tc>
        <w:tc>
          <w:tcPr>
            <w:tcW w:w="877" w:type="dxa"/>
            <w:vMerge/>
          </w:tcPr>
          <w:p w14:paraId="3D550BA9" w14:textId="77777777" w:rsidR="00DD13BF" w:rsidRPr="0021266C" w:rsidRDefault="00DD13BF" w:rsidP="00355A56">
            <w:pPr>
              <w:widowControl/>
              <w:autoSpaceDE/>
              <w:autoSpaceDN/>
              <w:rPr>
                <w:rFonts w:eastAsia="Calibri"/>
              </w:rPr>
            </w:pPr>
          </w:p>
        </w:tc>
        <w:tc>
          <w:tcPr>
            <w:tcW w:w="1959" w:type="dxa"/>
            <w:vMerge/>
          </w:tcPr>
          <w:p w14:paraId="02AD1BAE" w14:textId="77777777" w:rsidR="00DD13BF" w:rsidRPr="0021266C" w:rsidRDefault="00DD13BF" w:rsidP="00355A56">
            <w:pPr>
              <w:widowControl/>
              <w:autoSpaceDE/>
              <w:autoSpaceDN/>
              <w:rPr>
                <w:rFonts w:eastAsia="Calibri"/>
              </w:rPr>
            </w:pPr>
          </w:p>
        </w:tc>
        <w:tc>
          <w:tcPr>
            <w:tcW w:w="1134" w:type="dxa"/>
            <w:vMerge/>
          </w:tcPr>
          <w:p w14:paraId="460B880D" w14:textId="77777777" w:rsidR="00DD13BF" w:rsidRPr="0021266C" w:rsidRDefault="00DD13BF" w:rsidP="00355A56">
            <w:pPr>
              <w:widowControl/>
              <w:autoSpaceDE/>
              <w:autoSpaceDN/>
              <w:rPr>
                <w:rFonts w:eastAsia="Calibri"/>
              </w:rPr>
            </w:pPr>
          </w:p>
        </w:tc>
        <w:tc>
          <w:tcPr>
            <w:tcW w:w="2010" w:type="dxa"/>
          </w:tcPr>
          <w:p w14:paraId="436F2A26" w14:textId="77777777" w:rsidR="00DD13BF" w:rsidRPr="0021266C" w:rsidRDefault="00DD13BF" w:rsidP="00355A56">
            <w:pPr>
              <w:widowControl/>
              <w:autoSpaceDE/>
              <w:autoSpaceDN/>
              <w:rPr>
                <w:rFonts w:eastAsia="Calibri"/>
              </w:rPr>
            </w:pPr>
            <w:r>
              <w:t>1. Objectives with measurable goals, data collection and monitoring mechanisms.</w:t>
            </w:r>
          </w:p>
        </w:tc>
        <w:tc>
          <w:tcPr>
            <w:tcW w:w="709" w:type="dxa"/>
          </w:tcPr>
          <w:p w14:paraId="1AB0D2F7" w14:textId="77777777" w:rsidR="00DD13BF" w:rsidRPr="0021266C" w:rsidRDefault="00DD13BF" w:rsidP="00355A56">
            <w:pPr>
              <w:widowControl/>
              <w:autoSpaceDE/>
              <w:autoSpaceDN/>
              <w:rPr>
                <w:rFonts w:eastAsia="Calibri"/>
              </w:rPr>
            </w:pPr>
            <w:r>
              <w:t>Yes</w:t>
            </w:r>
          </w:p>
        </w:tc>
        <w:tc>
          <w:tcPr>
            <w:tcW w:w="2267" w:type="dxa"/>
          </w:tcPr>
          <w:p w14:paraId="0C9A1B6F" w14:textId="77777777" w:rsidR="00DD13BF" w:rsidRPr="0021266C" w:rsidRDefault="00425F22" w:rsidP="00355A56">
            <w:pPr>
              <w:widowControl/>
              <w:autoSpaceDE/>
              <w:autoSpaceDN/>
              <w:rPr>
                <w:rFonts w:eastAsia="Calibri"/>
              </w:rPr>
            </w:pPr>
            <w:hyperlink r:id="rId119" w:history="1">
              <w:r w:rsidR="00DD13BF">
                <w:rPr>
                  <w:color w:val="0563C1"/>
                  <w:u w:val="single"/>
                </w:rPr>
                <w:t>Action Programme for Persons with Disabilities 2022–2030</w:t>
              </w:r>
            </w:hyperlink>
            <w:r w:rsidR="00DD13BF">
              <w:t> (API) </w:t>
            </w:r>
          </w:p>
        </w:tc>
        <w:tc>
          <w:tcPr>
            <w:tcW w:w="3402" w:type="dxa"/>
          </w:tcPr>
          <w:p w14:paraId="0F1B32AA" w14:textId="77777777" w:rsidR="00DD13BF" w:rsidRPr="00A62AA2" w:rsidRDefault="00DD13BF" w:rsidP="00355A56">
            <w:pPr>
              <w:widowControl/>
              <w:autoSpaceDE/>
              <w:autoSpaceDN/>
              <w:jc w:val="both"/>
              <w:rPr>
                <w:rFonts w:eastAsia="Calibri"/>
              </w:rPr>
            </w:pPr>
            <w:r>
              <w:t xml:space="preserve">In October 2021, the Government of the Republic of Slovenia adopted the Action Programme for Persons with Disabilities 2022–2030 (API) the purpose of which is to promote, protect and provide the full and equal enjoyment of the human rights of persons with disabilities, and promote their dignity. On 7 April 2022, the API Monitoring Committee was established. </w:t>
            </w:r>
          </w:p>
          <w:p w14:paraId="21736639" w14:textId="77777777" w:rsidR="00DD13BF" w:rsidRPr="0021266C" w:rsidRDefault="00DD13BF" w:rsidP="00355A56">
            <w:pPr>
              <w:widowControl/>
              <w:autoSpaceDE/>
              <w:autoSpaceDN/>
              <w:jc w:val="both"/>
              <w:rPr>
                <w:rFonts w:eastAsia="Calibri"/>
              </w:rPr>
            </w:pPr>
            <w:r>
              <w:t xml:space="preserve"> It is composed of a group of representatives of all relevant </w:t>
            </w:r>
            <w:r>
              <w:lastRenderedPageBreak/>
              <w:t>ministries, expert organisations, the National Council of Disability Organisations of Slovenia, and other disability organisations, and the Slovenian Federation of Pensioners’ Organisations. The task of the Committee is to draft annual reports on the API implementation for the Government of the Republic of Slovenia. The reporters record all the activities carried out during the year as part of the foreseen 13 goals and 120 measures of the API. The opinion on the Commission’s annual report is provided by the Council for Persons with Disabilities (an advisory, independent tripartite body established on the basis of Article 33 of the UN Convention on the Rights of Persons with Disabilities and the EU Strategy for the Rights of Persons with Disabilities 2021–2030), which is also responsible for promoting and monitoring the implementation of the Act ratifying the Convention and the API.</w:t>
            </w:r>
          </w:p>
        </w:tc>
      </w:tr>
      <w:tr w:rsidR="00DD13BF" w:rsidRPr="0021266C" w14:paraId="0CA3EF7C" w14:textId="77777777" w:rsidTr="00355A56">
        <w:trPr>
          <w:gridAfter w:val="1"/>
          <w:wAfter w:w="12" w:type="dxa"/>
          <w:trHeight w:val="353"/>
        </w:trPr>
        <w:tc>
          <w:tcPr>
            <w:tcW w:w="1538" w:type="dxa"/>
            <w:vMerge/>
          </w:tcPr>
          <w:p w14:paraId="2992111E" w14:textId="77777777" w:rsidR="00DD13BF" w:rsidRPr="0021266C" w:rsidRDefault="00DD13BF" w:rsidP="00355A56">
            <w:pPr>
              <w:widowControl/>
              <w:autoSpaceDE/>
              <w:autoSpaceDN/>
              <w:rPr>
                <w:rFonts w:eastAsia="Calibri"/>
              </w:rPr>
            </w:pPr>
          </w:p>
        </w:tc>
        <w:tc>
          <w:tcPr>
            <w:tcW w:w="877" w:type="dxa"/>
            <w:vMerge/>
          </w:tcPr>
          <w:p w14:paraId="63A77853" w14:textId="77777777" w:rsidR="00DD13BF" w:rsidRPr="0021266C" w:rsidRDefault="00DD13BF" w:rsidP="00355A56">
            <w:pPr>
              <w:widowControl/>
              <w:autoSpaceDE/>
              <w:autoSpaceDN/>
              <w:rPr>
                <w:rFonts w:eastAsia="Calibri"/>
              </w:rPr>
            </w:pPr>
          </w:p>
        </w:tc>
        <w:tc>
          <w:tcPr>
            <w:tcW w:w="1959" w:type="dxa"/>
            <w:vMerge/>
          </w:tcPr>
          <w:p w14:paraId="2ABFEC7C" w14:textId="77777777" w:rsidR="00DD13BF" w:rsidRPr="0021266C" w:rsidRDefault="00DD13BF" w:rsidP="00355A56">
            <w:pPr>
              <w:widowControl/>
              <w:autoSpaceDE/>
              <w:autoSpaceDN/>
              <w:rPr>
                <w:rFonts w:eastAsia="Calibri"/>
              </w:rPr>
            </w:pPr>
          </w:p>
        </w:tc>
        <w:tc>
          <w:tcPr>
            <w:tcW w:w="1134" w:type="dxa"/>
            <w:vMerge/>
          </w:tcPr>
          <w:p w14:paraId="1FE00CD8" w14:textId="77777777" w:rsidR="00DD13BF" w:rsidRPr="0021266C" w:rsidRDefault="00DD13BF" w:rsidP="00355A56">
            <w:pPr>
              <w:widowControl/>
              <w:autoSpaceDE/>
              <w:autoSpaceDN/>
              <w:rPr>
                <w:rFonts w:eastAsia="Calibri"/>
              </w:rPr>
            </w:pPr>
          </w:p>
        </w:tc>
        <w:tc>
          <w:tcPr>
            <w:tcW w:w="2010" w:type="dxa"/>
          </w:tcPr>
          <w:p w14:paraId="71596BFE" w14:textId="77777777" w:rsidR="00DD13BF" w:rsidRPr="0021266C" w:rsidRDefault="00DD13BF" w:rsidP="00355A56">
            <w:pPr>
              <w:widowControl/>
              <w:autoSpaceDE/>
              <w:autoSpaceDN/>
              <w:rPr>
                <w:rFonts w:eastAsia="Calibri"/>
              </w:rPr>
            </w:pPr>
            <w:r>
              <w:t xml:space="preserve">2. Arrangements to ensure that the accessibility policy, </w:t>
            </w:r>
            <w:r>
              <w:lastRenderedPageBreak/>
              <w:t>legislation and standards are properly reflected in the preparation and implementation of the programmes.</w:t>
            </w:r>
          </w:p>
        </w:tc>
        <w:tc>
          <w:tcPr>
            <w:tcW w:w="709" w:type="dxa"/>
          </w:tcPr>
          <w:p w14:paraId="0E90F1F4" w14:textId="77777777" w:rsidR="00DD13BF" w:rsidRPr="0021266C" w:rsidRDefault="00DD13BF" w:rsidP="00355A56">
            <w:pPr>
              <w:widowControl/>
              <w:autoSpaceDE/>
              <w:autoSpaceDN/>
              <w:rPr>
                <w:rFonts w:eastAsia="Calibri"/>
              </w:rPr>
            </w:pPr>
            <w:r>
              <w:lastRenderedPageBreak/>
              <w:t>Yes</w:t>
            </w:r>
          </w:p>
        </w:tc>
        <w:tc>
          <w:tcPr>
            <w:tcW w:w="2267" w:type="dxa"/>
          </w:tcPr>
          <w:p w14:paraId="699EC8B9" w14:textId="77777777" w:rsidR="00DD13BF" w:rsidRPr="0021266C" w:rsidRDefault="00425F22" w:rsidP="00355A56">
            <w:pPr>
              <w:widowControl/>
              <w:autoSpaceDE/>
              <w:autoSpaceDN/>
              <w:rPr>
                <w:rFonts w:eastAsia="Calibri"/>
              </w:rPr>
            </w:pPr>
            <w:hyperlink r:id="rId120" w:history="1">
              <w:r w:rsidR="00DD13BF">
                <w:rPr>
                  <w:color w:val="0563C1"/>
                  <w:u w:val="single"/>
                </w:rPr>
                <w:t xml:space="preserve">Action Programme for Persons with </w:t>
              </w:r>
              <w:r w:rsidR="00DD13BF">
                <w:rPr>
                  <w:color w:val="0563C1"/>
                  <w:u w:val="single"/>
                </w:rPr>
                <w:lastRenderedPageBreak/>
                <w:t>Disabilities 2022– 2030</w:t>
              </w:r>
            </w:hyperlink>
          </w:p>
          <w:p w14:paraId="0B874C0F" w14:textId="77777777" w:rsidR="00DD13BF" w:rsidRDefault="00DD13BF" w:rsidP="00355A56">
            <w:pPr>
              <w:widowControl/>
              <w:autoSpaceDE/>
              <w:autoSpaceDN/>
            </w:pPr>
          </w:p>
          <w:p w14:paraId="607D8FAC" w14:textId="77777777" w:rsidR="00DD13BF" w:rsidRPr="0021266C" w:rsidRDefault="00425F22" w:rsidP="00355A56">
            <w:pPr>
              <w:widowControl/>
              <w:autoSpaceDE/>
              <w:autoSpaceDN/>
              <w:rPr>
                <w:rFonts w:eastAsia="Calibri"/>
              </w:rPr>
            </w:pPr>
            <w:hyperlink r:id="rId121" w:history="1">
              <w:r w:rsidR="00DD13BF">
                <w:rPr>
                  <w:color w:val="0563C1"/>
                  <w:u w:val="single"/>
                </w:rPr>
                <w:t>Equalisation of Opportunities for Persons with Disabilities Act</w:t>
              </w:r>
            </w:hyperlink>
          </w:p>
          <w:p w14:paraId="4BFDAA7A" w14:textId="77777777" w:rsidR="00DD13BF" w:rsidRPr="0021266C" w:rsidRDefault="00DD13BF" w:rsidP="00355A56">
            <w:pPr>
              <w:widowControl/>
              <w:autoSpaceDE/>
              <w:autoSpaceDN/>
              <w:rPr>
                <w:rFonts w:eastAsia="Calibri"/>
              </w:rPr>
            </w:pPr>
          </w:p>
        </w:tc>
        <w:tc>
          <w:tcPr>
            <w:tcW w:w="3402" w:type="dxa"/>
          </w:tcPr>
          <w:p w14:paraId="5D81E0DC" w14:textId="77777777" w:rsidR="00DD13BF" w:rsidRPr="00A62AA2" w:rsidRDefault="00DD13BF" w:rsidP="00355A56">
            <w:pPr>
              <w:widowControl/>
              <w:autoSpaceDE/>
              <w:autoSpaceDN/>
              <w:jc w:val="both"/>
              <w:rPr>
                <w:rFonts w:eastAsia="Calibri"/>
              </w:rPr>
            </w:pPr>
            <w:r>
              <w:lastRenderedPageBreak/>
              <w:t xml:space="preserve">Organisations responsible for monitoring the implementation of the Convention have </w:t>
            </w:r>
            <w:r>
              <w:lastRenderedPageBreak/>
              <w:t>participated/will participate in the implementation, monitoring and evaluation of the programme. Compliance with the Convention was also checked in the programming process, as various organisations from this field were involved in the preparation of the programme (see the partnership principle).</w:t>
            </w:r>
          </w:p>
          <w:p w14:paraId="5A9C5041" w14:textId="77777777" w:rsidR="00DD13BF" w:rsidRPr="00A62AA2" w:rsidRDefault="00DD13BF" w:rsidP="00355A56">
            <w:pPr>
              <w:widowControl/>
              <w:autoSpaceDE/>
              <w:autoSpaceDN/>
              <w:jc w:val="both"/>
              <w:rPr>
                <w:rFonts w:eastAsia="Calibri"/>
              </w:rPr>
            </w:pPr>
            <w:r>
              <w:t>Compliance of operations with the Convention will be checked on the basis of the criteria contained in check lists defined in the MA Instructions. The procedures and tasks of the authorities will be specified in the Description of the implementation management and supervision system programme.</w:t>
            </w:r>
          </w:p>
          <w:p w14:paraId="39BFC2E0" w14:textId="77777777" w:rsidR="00DD13BF" w:rsidRPr="0021266C" w:rsidRDefault="00DD13BF" w:rsidP="00355A56">
            <w:pPr>
              <w:widowControl/>
              <w:autoSpaceDE/>
              <w:autoSpaceDN/>
              <w:jc w:val="both"/>
              <w:rPr>
                <w:rFonts w:eastAsia="Calibri"/>
              </w:rPr>
            </w:pPr>
            <w:r>
              <w:t xml:space="preserve">The Administrative Capacity Building Plan foresees training and education of key stakeholders in this field, which will be prepared in cooperation with the API Monitoring Committee and other relevant experts. </w:t>
            </w:r>
          </w:p>
        </w:tc>
      </w:tr>
      <w:tr w:rsidR="00DD13BF" w:rsidRPr="0021266C" w14:paraId="48ED0C81" w14:textId="77777777" w:rsidTr="00355A56">
        <w:trPr>
          <w:gridAfter w:val="1"/>
          <w:wAfter w:w="12" w:type="dxa"/>
          <w:trHeight w:val="1524"/>
        </w:trPr>
        <w:tc>
          <w:tcPr>
            <w:tcW w:w="1538" w:type="dxa"/>
            <w:vMerge/>
          </w:tcPr>
          <w:p w14:paraId="08270EF0" w14:textId="77777777" w:rsidR="00DD13BF" w:rsidRPr="0021266C" w:rsidRDefault="00DD13BF" w:rsidP="00355A56">
            <w:pPr>
              <w:widowControl/>
              <w:autoSpaceDE/>
              <w:autoSpaceDN/>
              <w:rPr>
                <w:rFonts w:eastAsia="Calibri"/>
              </w:rPr>
            </w:pPr>
          </w:p>
        </w:tc>
        <w:tc>
          <w:tcPr>
            <w:tcW w:w="877" w:type="dxa"/>
            <w:vMerge/>
          </w:tcPr>
          <w:p w14:paraId="5D74CB14" w14:textId="77777777" w:rsidR="00DD13BF" w:rsidRPr="0021266C" w:rsidRDefault="00DD13BF" w:rsidP="00355A56">
            <w:pPr>
              <w:widowControl/>
              <w:autoSpaceDE/>
              <w:autoSpaceDN/>
              <w:rPr>
                <w:rFonts w:eastAsia="Calibri"/>
              </w:rPr>
            </w:pPr>
          </w:p>
        </w:tc>
        <w:tc>
          <w:tcPr>
            <w:tcW w:w="1959" w:type="dxa"/>
            <w:vMerge/>
          </w:tcPr>
          <w:p w14:paraId="649F9974" w14:textId="77777777" w:rsidR="00DD13BF" w:rsidRPr="0021266C" w:rsidRDefault="00DD13BF" w:rsidP="00355A56">
            <w:pPr>
              <w:widowControl/>
              <w:autoSpaceDE/>
              <w:autoSpaceDN/>
              <w:rPr>
                <w:rFonts w:eastAsia="Calibri"/>
              </w:rPr>
            </w:pPr>
          </w:p>
        </w:tc>
        <w:tc>
          <w:tcPr>
            <w:tcW w:w="1134" w:type="dxa"/>
            <w:vMerge/>
          </w:tcPr>
          <w:p w14:paraId="59CED327" w14:textId="77777777" w:rsidR="00DD13BF" w:rsidRPr="0021266C" w:rsidRDefault="00DD13BF" w:rsidP="00355A56">
            <w:pPr>
              <w:widowControl/>
              <w:autoSpaceDE/>
              <w:autoSpaceDN/>
              <w:rPr>
                <w:rFonts w:eastAsia="Calibri"/>
              </w:rPr>
            </w:pPr>
          </w:p>
        </w:tc>
        <w:tc>
          <w:tcPr>
            <w:tcW w:w="2010" w:type="dxa"/>
          </w:tcPr>
          <w:p w14:paraId="6E875B1A" w14:textId="77777777" w:rsidR="00DD13BF" w:rsidRPr="0021266C" w:rsidRDefault="00DD13BF" w:rsidP="00355A56">
            <w:pPr>
              <w:widowControl/>
              <w:autoSpaceDE/>
              <w:autoSpaceDN/>
              <w:rPr>
                <w:rFonts w:eastAsia="Calibri"/>
              </w:rPr>
            </w:pPr>
            <w:r>
              <w:t>3. Reporting arrangements to the monitoring committee regarding cases of non-compliance of operations supported by the Funds with the UNCRPD and complaints regarding the UNCRPD submitted in accordance with the arrangements made pursuant to Article 69(7).</w:t>
            </w:r>
          </w:p>
        </w:tc>
        <w:tc>
          <w:tcPr>
            <w:tcW w:w="709" w:type="dxa"/>
          </w:tcPr>
          <w:p w14:paraId="59BEEFC7" w14:textId="77777777" w:rsidR="00DD13BF" w:rsidRPr="0021266C" w:rsidRDefault="00DD13BF" w:rsidP="00355A56">
            <w:pPr>
              <w:widowControl/>
              <w:autoSpaceDE/>
              <w:autoSpaceDN/>
              <w:rPr>
                <w:rFonts w:eastAsia="Calibri"/>
              </w:rPr>
            </w:pPr>
            <w:r>
              <w:t>Yes</w:t>
            </w:r>
          </w:p>
        </w:tc>
        <w:tc>
          <w:tcPr>
            <w:tcW w:w="2267" w:type="dxa"/>
          </w:tcPr>
          <w:p w14:paraId="0D017E89" w14:textId="77777777" w:rsidR="00DD13BF" w:rsidRPr="0021266C" w:rsidRDefault="00425F22" w:rsidP="00355A56">
            <w:pPr>
              <w:widowControl/>
              <w:autoSpaceDE/>
              <w:autoSpaceDN/>
              <w:rPr>
                <w:rFonts w:eastAsia="Calibri"/>
              </w:rPr>
            </w:pPr>
            <w:hyperlink r:id="rId122" w:history="1">
              <w:r w:rsidR="00DD13BF">
                <w:rPr>
                  <w:color w:val="0563C1"/>
                  <w:u w:val="single"/>
                </w:rPr>
                <w:t>Action Programme for Persons with Disabilities 2022– 2030</w:t>
              </w:r>
            </w:hyperlink>
          </w:p>
        </w:tc>
        <w:tc>
          <w:tcPr>
            <w:tcW w:w="3402" w:type="dxa"/>
          </w:tcPr>
          <w:p w14:paraId="0D600E10" w14:textId="77777777" w:rsidR="00DD13BF" w:rsidRPr="00A62AA2" w:rsidRDefault="00DD13BF" w:rsidP="00355A56">
            <w:pPr>
              <w:widowControl/>
              <w:autoSpaceDE/>
              <w:autoSpaceDN/>
              <w:jc w:val="both"/>
              <w:rPr>
                <w:rFonts w:eastAsia="Calibri"/>
              </w:rPr>
            </w:pPr>
            <w:r>
              <w:t>The Managing Authority will appoint a person responsible for monitoring and drafting an annual report on the discrepancies identified during management checks, audits, complaints submitted online, findings of the API Monitoring Committee, and corrective action carried out. It will present the report in cooperation with the MDDSZ and other departments at the annual Monitoring Committee meeting.</w:t>
            </w:r>
          </w:p>
          <w:p w14:paraId="39082972" w14:textId="77777777" w:rsidR="00DD13BF" w:rsidRPr="00A62AA2" w:rsidRDefault="00DD13BF" w:rsidP="00355A56">
            <w:pPr>
              <w:widowControl/>
              <w:autoSpaceDE/>
              <w:autoSpaceDN/>
              <w:jc w:val="both"/>
              <w:rPr>
                <w:rFonts w:eastAsia="Calibri"/>
              </w:rPr>
            </w:pPr>
            <w:r>
              <w:t>The report will contain information on the identified discrepancies and complaints, content and corrective action carried out.</w:t>
            </w:r>
          </w:p>
          <w:p w14:paraId="092AC5A5" w14:textId="77777777" w:rsidR="00DD13BF" w:rsidRPr="0021266C" w:rsidRDefault="00DD13BF" w:rsidP="00355A56">
            <w:pPr>
              <w:widowControl/>
              <w:autoSpaceDE/>
              <w:autoSpaceDN/>
              <w:jc w:val="both"/>
              <w:rPr>
                <w:rFonts w:eastAsia="Calibri"/>
              </w:rPr>
            </w:pPr>
            <w:r>
              <w:t>Complaints will also be collected by the MA, which is why a complaint form based on paragraph seven of Article 69 of Regulation (EU) 2021/1060 will be published on its website.</w:t>
            </w:r>
          </w:p>
        </w:tc>
      </w:tr>
    </w:tbl>
    <w:p w14:paraId="4905883B" w14:textId="77777777" w:rsidR="00DD13BF" w:rsidRDefault="00DD13BF" w:rsidP="00DD13BF"/>
    <w:p w14:paraId="74481154" w14:textId="77777777" w:rsidR="00DD13BF" w:rsidRDefault="00DD13BF" w:rsidP="00DD13BF">
      <w:pPr>
        <w:ind w:left="709" w:right="8232"/>
      </w:pPr>
      <w:bookmarkStart w:id="85" w:name="_Hlk126600940"/>
      <w:r>
        <w:t>Table 12 b: Thematic enabling conditions</w:t>
      </w:r>
      <w:bookmarkEnd w:id="85"/>
    </w:p>
    <w:p w14:paraId="0BCDB1D0" w14:textId="77777777" w:rsidR="00DD13BF" w:rsidRDefault="00DD13BF" w:rsidP="00DD13BF">
      <w:pPr>
        <w:rPr>
          <w:sz w:val="24"/>
        </w:rPr>
      </w:pPr>
    </w:p>
    <w:tbl>
      <w:tblPr>
        <w:tblW w:w="13896"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85"/>
        <w:gridCol w:w="1134"/>
        <w:gridCol w:w="1984"/>
        <w:gridCol w:w="709"/>
        <w:gridCol w:w="2267"/>
        <w:gridCol w:w="3402"/>
      </w:tblGrid>
      <w:tr w:rsidR="00DD13BF" w:rsidRPr="00790120" w14:paraId="4C29A4D1" w14:textId="77777777" w:rsidTr="00355A56">
        <w:trPr>
          <w:trHeight w:val="858"/>
          <w:tblHeader/>
        </w:trPr>
        <w:tc>
          <w:tcPr>
            <w:tcW w:w="1538" w:type="dxa"/>
            <w:shd w:val="clear" w:color="auto" w:fill="auto"/>
          </w:tcPr>
          <w:p w14:paraId="6D2B3A6C" w14:textId="77777777" w:rsidR="00DD13BF" w:rsidRPr="00790120" w:rsidRDefault="00DD13BF" w:rsidP="00355A56">
            <w:pPr>
              <w:widowControl/>
              <w:autoSpaceDE/>
              <w:autoSpaceDN/>
              <w:jc w:val="center"/>
              <w:rPr>
                <w:rFonts w:eastAsia="Calibri"/>
              </w:rPr>
            </w:pPr>
            <w:r>
              <w:lastRenderedPageBreak/>
              <w:t>Enabling</w:t>
            </w:r>
          </w:p>
          <w:p w14:paraId="2E6D347A" w14:textId="77777777" w:rsidR="00DD13BF" w:rsidRPr="00790120" w:rsidRDefault="00DD13BF" w:rsidP="00355A56">
            <w:pPr>
              <w:widowControl/>
              <w:autoSpaceDE/>
              <w:autoSpaceDN/>
              <w:jc w:val="center"/>
              <w:rPr>
                <w:rFonts w:eastAsia="Calibri"/>
              </w:rPr>
            </w:pPr>
            <w:r>
              <w:t>conditions</w:t>
            </w:r>
          </w:p>
        </w:tc>
        <w:tc>
          <w:tcPr>
            <w:tcW w:w="877" w:type="dxa"/>
            <w:shd w:val="clear" w:color="auto" w:fill="auto"/>
          </w:tcPr>
          <w:p w14:paraId="2E82EDE2" w14:textId="77777777" w:rsidR="00DD13BF" w:rsidRPr="00790120" w:rsidRDefault="00DD13BF" w:rsidP="00355A56">
            <w:pPr>
              <w:widowControl/>
              <w:autoSpaceDE/>
              <w:autoSpaceDN/>
              <w:jc w:val="center"/>
              <w:rPr>
                <w:rFonts w:eastAsia="Calibri"/>
              </w:rPr>
            </w:pPr>
            <w:r>
              <w:t>Fund</w:t>
            </w:r>
          </w:p>
        </w:tc>
        <w:tc>
          <w:tcPr>
            <w:tcW w:w="1985" w:type="dxa"/>
            <w:shd w:val="clear" w:color="auto" w:fill="auto"/>
          </w:tcPr>
          <w:p w14:paraId="6FECCE77" w14:textId="77777777" w:rsidR="00DD13BF" w:rsidRPr="00790120" w:rsidRDefault="00DD13BF" w:rsidP="00355A56">
            <w:pPr>
              <w:widowControl/>
              <w:autoSpaceDE/>
              <w:autoSpaceDN/>
              <w:jc w:val="center"/>
              <w:rPr>
                <w:rFonts w:eastAsia="Calibri"/>
              </w:rPr>
            </w:pPr>
            <w:r>
              <w:t>Specific objective</w:t>
            </w:r>
          </w:p>
        </w:tc>
        <w:tc>
          <w:tcPr>
            <w:tcW w:w="1134" w:type="dxa"/>
            <w:shd w:val="clear" w:color="auto" w:fill="auto"/>
          </w:tcPr>
          <w:p w14:paraId="6AB9A37D" w14:textId="77777777" w:rsidR="00DD13BF" w:rsidRPr="00790120" w:rsidRDefault="00DD13BF" w:rsidP="00355A56">
            <w:pPr>
              <w:widowControl/>
              <w:autoSpaceDE/>
              <w:autoSpaceDN/>
              <w:jc w:val="center"/>
              <w:rPr>
                <w:rFonts w:eastAsia="Calibri"/>
              </w:rPr>
            </w:pPr>
            <w:r>
              <w:t>Fulfilment of</w:t>
            </w:r>
          </w:p>
          <w:p w14:paraId="6EC1E0C7" w14:textId="77777777" w:rsidR="00DD13BF" w:rsidRPr="00790120" w:rsidRDefault="00DD13BF" w:rsidP="00355A56">
            <w:pPr>
              <w:widowControl/>
              <w:autoSpaceDE/>
              <w:autoSpaceDN/>
              <w:jc w:val="center"/>
              <w:rPr>
                <w:rFonts w:eastAsia="Calibri"/>
              </w:rPr>
            </w:pPr>
            <w:r>
              <w:t>enabling</w:t>
            </w:r>
          </w:p>
          <w:p w14:paraId="1ED9217D" w14:textId="77777777" w:rsidR="00DD13BF" w:rsidRPr="00790120" w:rsidRDefault="00DD13BF" w:rsidP="00355A56">
            <w:pPr>
              <w:widowControl/>
              <w:autoSpaceDE/>
              <w:autoSpaceDN/>
              <w:jc w:val="center"/>
              <w:rPr>
                <w:rFonts w:eastAsia="Calibri"/>
              </w:rPr>
            </w:pPr>
            <w:r>
              <w:t>condition</w:t>
            </w:r>
          </w:p>
        </w:tc>
        <w:tc>
          <w:tcPr>
            <w:tcW w:w="1984" w:type="dxa"/>
            <w:shd w:val="clear" w:color="auto" w:fill="auto"/>
          </w:tcPr>
          <w:p w14:paraId="0AE6812B" w14:textId="77777777" w:rsidR="00DD13BF" w:rsidRPr="00790120" w:rsidRDefault="00DD13BF" w:rsidP="00355A56">
            <w:pPr>
              <w:widowControl/>
              <w:autoSpaceDE/>
              <w:autoSpaceDN/>
              <w:jc w:val="center"/>
              <w:rPr>
                <w:rFonts w:eastAsia="Calibri"/>
              </w:rPr>
            </w:pPr>
            <w:r>
              <w:t>Criteria</w:t>
            </w:r>
          </w:p>
        </w:tc>
        <w:tc>
          <w:tcPr>
            <w:tcW w:w="709" w:type="dxa"/>
            <w:shd w:val="clear" w:color="auto" w:fill="auto"/>
          </w:tcPr>
          <w:p w14:paraId="47F61068" w14:textId="77777777" w:rsidR="00DD13BF" w:rsidRPr="00790120" w:rsidRDefault="00DD13BF" w:rsidP="00355A56">
            <w:pPr>
              <w:widowControl/>
              <w:autoSpaceDE/>
              <w:autoSpaceDN/>
              <w:jc w:val="center"/>
              <w:rPr>
                <w:rFonts w:eastAsia="Calibri"/>
              </w:rPr>
            </w:pPr>
            <w:r>
              <w:t>Fulfilment of criteria</w:t>
            </w:r>
          </w:p>
        </w:tc>
        <w:tc>
          <w:tcPr>
            <w:tcW w:w="2267" w:type="dxa"/>
            <w:shd w:val="clear" w:color="auto" w:fill="auto"/>
          </w:tcPr>
          <w:p w14:paraId="45E0520D" w14:textId="77777777" w:rsidR="00DD13BF" w:rsidRPr="00790120" w:rsidRDefault="00DD13BF" w:rsidP="00355A56">
            <w:pPr>
              <w:widowControl/>
              <w:autoSpaceDE/>
              <w:autoSpaceDN/>
              <w:jc w:val="center"/>
              <w:rPr>
                <w:rFonts w:eastAsia="Calibri"/>
              </w:rPr>
            </w:pPr>
            <w:r>
              <w:t>Reference to relevant documents</w:t>
            </w:r>
          </w:p>
        </w:tc>
        <w:tc>
          <w:tcPr>
            <w:tcW w:w="3402" w:type="dxa"/>
            <w:shd w:val="clear" w:color="auto" w:fill="auto"/>
          </w:tcPr>
          <w:p w14:paraId="49B8A89E" w14:textId="77777777" w:rsidR="00DD13BF" w:rsidRPr="00790120" w:rsidRDefault="00DD13BF" w:rsidP="00355A56">
            <w:pPr>
              <w:widowControl/>
              <w:autoSpaceDE/>
              <w:autoSpaceDN/>
              <w:jc w:val="center"/>
              <w:rPr>
                <w:rFonts w:eastAsia="Calibri"/>
              </w:rPr>
            </w:pPr>
            <w:r>
              <w:t>Justification</w:t>
            </w:r>
          </w:p>
        </w:tc>
      </w:tr>
      <w:tr w:rsidR="00DD13BF" w:rsidRPr="00790120" w14:paraId="0F805951" w14:textId="77777777" w:rsidTr="00355A56">
        <w:trPr>
          <w:trHeight w:val="353"/>
        </w:trPr>
        <w:tc>
          <w:tcPr>
            <w:tcW w:w="1538" w:type="dxa"/>
            <w:vMerge w:val="restart"/>
          </w:tcPr>
          <w:p w14:paraId="74A4C395" w14:textId="77777777" w:rsidR="00DD13BF" w:rsidRPr="00790120" w:rsidRDefault="00DD13BF" w:rsidP="00355A56">
            <w:pPr>
              <w:widowControl/>
              <w:autoSpaceDE/>
              <w:autoSpaceDN/>
              <w:rPr>
                <w:rFonts w:eastAsia="Calibri"/>
              </w:rPr>
            </w:pPr>
            <w:r>
              <w:t>1.1 Good</w:t>
            </w:r>
          </w:p>
          <w:p w14:paraId="6FF02D47" w14:textId="77777777" w:rsidR="00DD13BF" w:rsidRPr="00790120" w:rsidRDefault="00DD13BF" w:rsidP="00355A56">
            <w:pPr>
              <w:widowControl/>
              <w:autoSpaceDE/>
              <w:autoSpaceDN/>
              <w:rPr>
                <w:rFonts w:eastAsia="Calibri"/>
              </w:rPr>
            </w:pPr>
            <w:r>
              <w:t>management</w:t>
            </w:r>
          </w:p>
          <w:p w14:paraId="6C05EA43" w14:textId="77777777" w:rsidR="00DD13BF" w:rsidRPr="00790120" w:rsidRDefault="00DD13BF" w:rsidP="00355A56">
            <w:pPr>
              <w:widowControl/>
              <w:autoSpaceDE/>
              <w:autoSpaceDN/>
              <w:rPr>
                <w:rFonts w:eastAsia="Calibri"/>
              </w:rPr>
            </w:pPr>
            <w:r>
              <w:t>of national or</w:t>
            </w:r>
          </w:p>
          <w:p w14:paraId="39F8F4B7" w14:textId="77777777" w:rsidR="00DD13BF" w:rsidRPr="00790120" w:rsidRDefault="00DD13BF" w:rsidP="00355A56">
            <w:pPr>
              <w:widowControl/>
              <w:autoSpaceDE/>
              <w:autoSpaceDN/>
              <w:rPr>
                <w:rFonts w:eastAsia="Calibri"/>
              </w:rPr>
            </w:pPr>
            <w:r>
              <w:t>regional smart</w:t>
            </w:r>
          </w:p>
          <w:p w14:paraId="1ED0EB5F" w14:textId="77777777" w:rsidR="00DD13BF" w:rsidRPr="00790120" w:rsidRDefault="00DD13BF" w:rsidP="00355A56">
            <w:pPr>
              <w:widowControl/>
              <w:autoSpaceDE/>
              <w:autoSpaceDN/>
              <w:rPr>
                <w:rFonts w:eastAsia="Calibri"/>
              </w:rPr>
            </w:pPr>
            <w:r>
              <w:t>specialisation</w:t>
            </w:r>
          </w:p>
          <w:p w14:paraId="4FE25BA6" w14:textId="77777777" w:rsidR="00DD13BF" w:rsidRPr="00790120" w:rsidRDefault="00DD13BF" w:rsidP="00355A56">
            <w:pPr>
              <w:widowControl/>
              <w:autoSpaceDE/>
              <w:autoSpaceDN/>
              <w:rPr>
                <w:rFonts w:eastAsia="Calibri"/>
              </w:rPr>
            </w:pPr>
            <w:r>
              <w:t>strategy</w:t>
            </w:r>
          </w:p>
        </w:tc>
        <w:tc>
          <w:tcPr>
            <w:tcW w:w="877" w:type="dxa"/>
            <w:vMerge w:val="restart"/>
          </w:tcPr>
          <w:p w14:paraId="39E2DBBA" w14:textId="77777777" w:rsidR="00DD13BF" w:rsidRPr="00790120" w:rsidRDefault="00DD13BF" w:rsidP="00355A56">
            <w:pPr>
              <w:widowControl/>
              <w:autoSpaceDE/>
              <w:autoSpaceDN/>
              <w:rPr>
                <w:rFonts w:eastAsia="Calibri"/>
              </w:rPr>
            </w:pPr>
            <w:r>
              <w:t>ERDF</w:t>
            </w:r>
          </w:p>
        </w:tc>
        <w:tc>
          <w:tcPr>
            <w:tcW w:w="1985" w:type="dxa"/>
            <w:vMerge w:val="restart"/>
          </w:tcPr>
          <w:p w14:paraId="4F14420A" w14:textId="77777777" w:rsidR="00DD13BF" w:rsidRPr="00790120" w:rsidRDefault="00DD13BF" w:rsidP="00355A56">
            <w:pPr>
              <w:widowControl/>
              <w:autoSpaceDE/>
              <w:autoSpaceDN/>
              <w:rPr>
                <w:rFonts w:eastAsia="Calibri"/>
              </w:rPr>
            </w:pPr>
            <w:r>
              <w:t>RSO1.1: Developing and enhancing research and innovation capacities and the uptake of advanced technologies</w:t>
            </w:r>
          </w:p>
          <w:p w14:paraId="573660CF" w14:textId="77777777" w:rsidR="00DD13BF" w:rsidRPr="00790120" w:rsidRDefault="00DD13BF" w:rsidP="00355A56">
            <w:pPr>
              <w:widowControl/>
              <w:autoSpaceDE/>
              <w:autoSpaceDN/>
              <w:rPr>
                <w:rFonts w:eastAsia="Calibri"/>
              </w:rPr>
            </w:pPr>
          </w:p>
          <w:p w14:paraId="5C2CC39C" w14:textId="77777777" w:rsidR="00DD13BF" w:rsidRPr="00790120" w:rsidRDefault="00DD13BF" w:rsidP="00355A56">
            <w:pPr>
              <w:widowControl/>
              <w:autoSpaceDE/>
              <w:autoSpaceDN/>
              <w:rPr>
                <w:rFonts w:eastAsia="Calibri"/>
              </w:rPr>
            </w:pPr>
            <w:r>
              <w:t>RSO1.2: Reaping the benefits of digitisation for citizens, companies, research organisations and public authorities</w:t>
            </w:r>
          </w:p>
          <w:p w14:paraId="3C590C6B" w14:textId="77777777" w:rsidR="00DD13BF" w:rsidRPr="00790120" w:rsidRDefault="00DD13BF" w:rsidP="00355A56">
            <w:pPr>
              <w:widowControl/>
              <w:autoSpaceDE/>
              <w:autoSpaceDN/>
              <w:rPr>
                <w:rFonts w:eastAsia="Calibri"/>
              </w:rPr>
            </w:pPr>
          </w:p>
          <w:p w14:paraId="3F3E290E" w14:textId="77777777" w:rsidR="00DD13BF" w:rsidRPr="00790120" w:rsidRDefault="00DD13BF" w:rsidP="00355A56">
            <w:pPr>
              <w:widowControl/>
              <w:autoSpaceDE/>
              <w:autoSpaceDN/>
              <w:rPr>
                <w:rFonts w:eastAsia="Calibri"/>
              </w:rPr>
            </w:pPr>
            <w:r>
              <w:t>RSO1.3: Enhancing sustainable growth and competitiveness of SMEs and job creation in SMEs, including by productive investments</w:t>
            </w:r>
          </w:p>
          <w:p w14:paraId="4EB9E32A" w14:textId="77777777" w:rsidR="00DD13BF" w:rsidRPr="00790120" w:rsidRDefault="00DD13BF" w:rsidP="00355A56">
            <w:pPr>
              <w:widowControl/>
              <w:autoSpaceDE/>
              <w:autoSpaceDN/>
              <w:rPr>
                <w:rFonts w:eastAsia="Calibri"/>
              </w:rPr>
            </w:pPr>
          </w:p>
          <w:p w14:paraId="4C4C9D5F" w14:textId="77777777" w:rsidR="00DD13BF" w:rsidRPr="00790120" w:rsidRDefault="00DD13BF" w:rsidP="00355A56">
            <w:pPr>
              <w:widowControl/>
              <w:autoSpaceDE/>
              <w:autoSpaceDN/>
              <w:rPr>
                <w:rFonts w:eastAsia="Calibri"/>
              </w:rPr>
            </w:pPr>
            <w:r>
              <w:t xml:space="preserve">RSO1.4: Developing skills for smart </w:t>
            </w:r>
            <w:r>
              <w:lastRenderedPageBreak/>
              <w:t>specialisation, industrial transition and entrepreneurship</w:t>
            </w:r>
          </w:p>
          <w:p w14:paraId="323E1A8E" w14:textId="77777777" w:rsidR="00DD13BF" w:rsidRPr="00790120" w:rsidRDefault="00DD13BF" w:rsidP="00355A56">
            <w:pPr>
              <w:widowControl/>
              <w:autoSpaceDE/>
              <w:autoSpaceDN/>
              <w:rPr>
                <w:rFonts w:eastAsia="Calibri"/>
              </w:rPr>
            </w:pPr>
          </w:p>
          <w:p w14:paraId="138D99A6" w14:textId="77777777" w:rsidR="00DD13BF" w:rsidRPr="00790120" w:rsidRDefault="00DD13BF" w:rsidP="00355A56">
            <w:pPr>
              <w:widowControl/>
              <w:autoSpaceDE/>
              <w:autoSpaceDN/>
              <w:rPr>
                <w:rFonts w:eastAsia="Calibri"/>
              </w:rPr>
            </w:pPr>
          </w:p>
          <w:p w14:paraId="3A4C2389" w14:textId="77777777" w:rsidR="00DD13BF" w:rsidRPr="00790120" w:rsidRDefault="00DD13BF" w:rsidP="00355A56">
            <w:pPr>
              <w:widowControl/>
              <w:autoSpaceDE/>
              <w:autoSpaceDN/>
              <w:rPr>
                <w:rFonts w:eastAsia="Calibri"/>
              </w:rPr>
            </w:pPr>
          </w:p>
        </w:tc>
        <w:tc>
          <w:tcPr>
            <w:tcW w:w="1134" w:type="dxa"/>
            <w:vMerge w:val="restart"/>
          </w:tcPr>
          <w:p w14:paraId="15FC1B62"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03B34590" w14:textId="77777777" w:rsidR="00DD13BF" w:rsidRPr="00790120" w:rsidRDefault="00DD13BF" w:rsidP="00355A56">
            <w:pPr>
              <w:widowControl/>
              <w:autoSpaceDE/>
              <w:autoSpaceDN/>
              <w:jc w:val="center"/>
              <w:rPr>
                <w:rFonts w:eastAsia="Calibri"/>
              </w:rPr>
            </w:pPr>
            <w:r>
              <w:t>The Smart Specialisation Strategy was submitted to the EC together with programme documents for informal review. The comments of the EC require an upgrade of the text and another informal transmission of the S5 text to the EC. After receiving comments from the EC, the S5 will be verified accordingly. Then it will be presented to the Government of the Republic of Slovenia and formally published online. The fulfilment of the criteria set by legal bases is shown for each criterion. By preparing an action plan on how to address criteria 2 and 3, we estimate that this enabling condition is suitably met.</w:t>
            </w:r>
          </w:p>
        </w:tc>
      </w:tr>
      <w:tr w:rsidR="00DD13BF" w:rsidRPr="00790120" w14:paraId="20635B79" w14:textId="77777777" w:rsidTr="00355A56">
        <w:trPr>
          <w:trHeight w:val="353"/>
        </w:trPr>
        <w:tc>
          <w:tcPr>
            <w:tcW w:w="1538" w:type="dxa"/>
            <w:vMerge/>
          </w:tcPr>
          <w:p w14:paraId="49EF2E26" w14:textId="77777777" w:rsidR="00DD13BF" w:rsidRPr="00790120" w:rsidRDefault="00DD13BF" w:rsidP="00355A56">
            <w:pPr>
              <w:widowControl/>
              <w:autoSpaceDE/>
              <w:autoSpaceDN/>
              <w:rPr>
                <w:rFonts w:eastAsia="Calibri"/>
              </w:rPr>
            </w:pPr>
          </w:p>
        </w:tc>
        <w:tc>
          <w:tcPr>
            <w:tcW w:w="877" w:type="dxa"/>
            <w:vMerge/>
          </w:tcPr>
          <w:p w14:paraId="77CA4AB5" w14:textId="77777777" w:rsidR="00DD13BF" w:rsidRPr="00790120" w:rsidRDefault="00DD13BF" w:rsidP="00355A56">
            <w:pPr>
              <w:widowControl/>
              <w:autoSpaceDE/>
              <w:autoSpaceDN/>
              <w:rPr>
                <w:rFonts w:eastAsia="Calibri"/>
              </w:rPr>
            </w:pPr>
          </w:p>
        </w:tc>
        <w:tc>
          <w:tcPr>
            <w:tcW w:w="1985" w:type="dxa"/>
            <w:vMerge/>
          </w:tcPr>
          <w:p w14:paraId="26A0F8F7" w14:textId="77777777" w:rsidR="00DD13BF" w:rsidRPr="00790120" w:rsidRDefault="00DD13BF" w:rsidP="00355A56">
            <w:pPr>
              <w:widowControl/>
              <w:autoSpaceDE/>
              <w:autoSpaceDN/>
              <w:rPr>
                <w:rFonts w:eastAsia="Calibri"/>
              </w:rPr>
            </w:pPr>
          </w:p>
        </w:tc>
        <w:tc>
          <w:tcPr>
            <w:tcW w:w="1134" w:type="dxa"/>
            <w:vMerge/>
          </w:tcPr>
          <w:p w14:paraId="087BF546" w14:textId="77777777" w:rsidR="00DD13BF" w:rsidRPr="00790120" w:rsidRDefault="00DD13BF" w:rsidP="00355A56">
            <w:pPr>
              <w:widowControl/>
              <w:autoSpaceDE/>
              <w:autoSpaceDN/>
              <w:rPr>
                <w:rFonts w:eastAsia="Calibri"/>
              </w:rPr>
            </w:pPr>
          </w:p>
        </w:tc>
        <w:tc>
          <w:tcPr>
            <w:tcW w:w="1984" w:type="dxa"/>
            <w:tcBorders>
              <w:bottom w:val="single" w:sz="6" w:space="0" w:color="000000"/>
            </w:tcBorders>
          </w:tcPr>
          <w:p w14:paraId="167D343B" w14:textId="77777777" w:rsidR="00DD13BF" w:rsidRPr="00790120" w:rsidRDefault="00DD13BF" w:rsidP="00355A56">
            <w:pPr>
              <w:widowControl/>
              <w:autoSpaceDE/>
              <w:autoSpaceDN/>
              <w:rPr>
                <w:rFonts w:eastAsia="Calibri"/>
              </w:rPr>
            </w:pPr>
            <w:r>
              <w:t>1. The latest analysis of challenges for dissemination of innovation and digitisation.</w:t>
            </w:r>
          </w:p>
        </w:tc>
        <w:tc>
          <w:tcPr>
            <w:tcW w:w="709" w:type="dxa"/>
            <w:tcBorders>
              <w:bottom w:val="single" w:sz="6" w:space="0" w:color="000000"/>
            </w:tcBorders>
          </w:tcPr>
          <w:p w14:paraId="5C497EF1" w14:textId="77777777" w:rsidR="00DD13BF" w:rsidRPr="00790120" w:rsidRDefault="00DD13BF" w:rsidP="00355A56">
            <w:pPr>
              <w:widowControl/>
              <w:autoSpaceDE/>
              <w:autoSpaceDN/>
              <w:rPr>
                <w:rFonts w:eastAsia="Calibri"/>
              </w:rPr>
            </w:pPr>
            <w:r>
              <w:t>Yes</w:t>
            </w:r>
          </w:p>
        </w:tc>
        <w:tc>
          <w:tcPr>
            <w:tcW w:w="2267" w:type="dxa"/>
            <w:tcBorders>
              <w:bottom w:val="single" w:sz="6" w:space="0" w:color="000000"/>
            </w:tcBorders>
          </w:tcPr>
          <w:p w14:paraId="0A97D6A5" w14:textId="77777777" w:rsidR="00DD13BF" w:rsidRPr="00790120" w:rsidRDefault="00425F22" w:rsidP="00355A56">
            <w:pPr>
              <w:widowControl/>
              <w:autoSpaceDE/>
              <w:autoSpaceDN/>
              <w:rPr>
                <w:rFonts w:eastAsia="Calibri"/>
              </w:rPr>
            </w:pPr>
            <w:hyperlink r:id="rId123" w:history="1">
              <w:r w:rsidR="00DD13BF">
                <w:rPr>
                  <w:color w:val="0563C1"/>
                  <w:u w:val="single"/>
                </w:rPr>
                <w:t>Expert analysis as a basis for the Smart Specialisation Strategy, Final report, 23 December 2020</w:t>
              </w:r>
            </w:hyperlink>
          </w:p>
          <w:p w14:paraId="7E122B6A" w14:textId="77777777" w:rsidR="00DD13BF" w:rsidRPr="00790120" w:rsidRDefault="00DD13BF" w:rsidP="00355A56">
            <w:pPr>
              <w:widowControl/>
              <w:autoSpaceDE/>
              <w:autoSpaceDN/>
              <w:rPr>
                <w:rFonts w:eastAsia="Calibri"/>
              </w:rPr>
            </w:pPr>
          </w:p>
          <w:p w14:paraId="1A18798C" w14:textId="77777777" w:rsidR="00DD13BF" w:rsidRPr="00790120" w:rsidRDefault="00425F22" w:rsidP="00355A56">
            <w:pPr>
              <w:widowControl/>
              <w:autoSpaceDE/>
              <w:autoSpaceDN/>
              <w:rPr>
                <w:rFonts w:eastAsia="Calibri"/>
              </w:rPr>
            </w:pPr>
            <w:hyperlink r:id="rId124" w:history="1">
              <w:r w:rsidR="00DD13BF">
                <w:rPr>
                  <w:color w:val="0563C1"/>
                  <w:u w:val="single"/>
                </w:rPr>
                <w:t>Empirically Led Internationalisation of S3, An Investigation Based on Micro-Data for the Country of Slovenia, 5. 3. 2020</w:t>
              </w:r>
            </w:hyperlink>
          </w:p>
        </w:tc>
        <w:tc>
          <w:tcPr>
            <w:tcW w:w="3402" w:type="dxa"/>
            <w:tcBorders>
              <w:bottom w:val="single" w:sz="6" w:space="0" w:color="000000"/>
            </w:tcBorders>
          </w:tcPr>
          <w:p w14:paraId="37FBA309" w14:textId="77777777" w:rsidR="00DD13BF" w:rsidRPr="00790120" w:rsidRDefault="00DD13BF" w:rsidP="00355A56">
            <w:pPr>
              <w:widowControl/>
              <w:autoSpaceDE/>
              <w:autoSpaceDN/>
              <w:jc w:val="both"/>
              <w:rPr>
                <w:rFonts w:eastAsia="Calibri"/>
              </w:rPr>
            </w:pPr>
            <w:r>
              <w:t>The purpose of the analysis is to use the latest data to update calculations carried out in current analytical bases for the drafting or revising of the Smart Specialisation Strategy.</w:t>
            </w:r>
          </w:p>
          <w:p w14:paraId="4BAA6C6E" w14:textId="77777777" w:rsidR="00DD13BF" w:rsidRPr="00790120" w:rsidRDefault="00DD13BF" w:rsidP="00355A56">
            <w:pPr>
              <w:widowControl/>
              <w:autoSpaceDE/>
              <w:autoSpaceDN/>
              <w:jc w:val="both"/>
              <w:rPr>
                <w:rFonts w:eastAsia="Calibri"/>
              </w:rPr>
            </w:pPr>
          </w:p>
          <w:p w14:paraId="640EA1D5" w14:textId="77777777" w:rsidR="00DD13BF" w:rsidRPr="00790120" w:rsidRDefault="00DD13BF" w:rsidP="00355A56">
            <w:pPr>
              <w:widowControl/>
              <w:autoSpaceDE/>
              <w:autoSpaceDN/>
              <w:jc w:val="both"/>
              <w:rPr>
                <w:rFonts w:eastAsia="Calibri"/>
              </w:rPr>
            </w:pPr>
            <w:r>
              <w:t>The objective of the second study was to analyse the areas of knowledge, products and skills in the Republic of Slovenia, thus identifying the main national and international players who can participate in the development of the Republic of Slovenia in accordance with the S5.</w:t>
            </w:r>
          </w:p>
        </w:tc>
      </w:tr>
      <w:tr w:rsidR="00DD13BF" w:rsidRPr="00790120" w14:paraId="18558E49" w14:textId="77777777" w:rsidTr="00355A56">
        <w:trPr>
          <w:trHeight w:val="353"/>
        </w:trPr>
        <w:tc>
          <w:tcPr>
            <w:tcW w:w="1538" w:type="dxa"/>
            <w:vMerge/>
          </w:tcPr>
          <w:p w14:paraId="1EB8E46F" w14:textId="77777777" w:rsidR="00DD13BF" w:rsidRPr="00790120" w:rsidRDefault="00DD13BF" w:rsidP="00355A56">
            <w:pPr>
              <w:widowControl/>
              <w:autoSpaceDE/>
              <w:autoSpaceDN/>
              <w:rPr>
                <w:rFonts w:eastAsia="Calibri"/>
              </w:rPr>
            </w:pPr>
          </w:p>
        </w:tc>
        <w:tc>
          <w:tcPr>
            <w:tcW w:w="877" w:type="dxa"/>
            <w:vMerge/>
          </w:tcPr>
          <w:p w14:paraId="362047FF" w14:textId="77777777" w:rsidR="00DD13BF" w:rsidRPr="00790120" w:rsidRDefault="00DD13BF" w:rsidP="00355A56">
            <w:pPr>
              <w:widowControl/>
              <w:autoSpaceDE/>
              <w:autoSpaceDN/>
              <w:rPr>
                <w:rFonts w:eastAsia="Calibri"/>
              </w:rPr>
            </w:pPr>
          </w:p>
        </w:tc>
        <w:tc>
          <w:tcPr>
            <w:tcW w:w="1985" w:type="dxa"/>
            <w:vMerge/>
          </w:tcPr>
          <w:p w14:paraId="0F76DB08" w14:textId="77777777" w:rsidR="00DD13BF" w:rsidRPr="00790120" w:rsidRDefault="00DD13BF" w:rsidP="00355A56">
            <w:pPr>
              <w:widowControl/>
              <w:autoSpaceDE/>
              <w:autoSpaceDN/>
              <w:rPr>
                <w:rFonts w:eastAsia="Calibri"/>
              </w:rPr>
            </w:pPr>
          </w:p>
        </w:tc>
        <w:tc>
          <w:tcPr>
            <w:tcW w:w="1134" w:type="dxa"/>
            <w:vMerge/>
          </w:tcPr>
          <w:p w14:paraId="5DBD69C4" w14:textId="77777777" w:rsidR="00DD13BF" w:rsidRPr="00790120" w:rsidRDefault="00DD13BF" w:rsidP="00355A56">
            <w:pPr>
              <w:widowControl/>
              <w:autoSpaceDE/>
              <w:autoSpaceDN/>
              <w:rPr>
                <w:rFonts w:eastAsia="Calibri"/>
              </w:rPr>
            </w:pPr>
          </w:p>
        </w:tc>
        <w:tc>
          <w:tcPr>
            <w:tcW w:w="1984" w:type="dxa"/>
            <w:tcBorders>
              <w:bottom w:val="single" w:sz="4" w:space="0" w:color="auto"/>
            </w:tcBorders>
          </w:tcPr>
          <w:p w14:paraId="468F7652" w14:textId="77777777" w:rsidR="00DD13BF" w:rsidRPr="00790120" w:rsidRDefault="00DD13BF" w:rsidP="00355A56">
            <w:pPr>
              <w:widowControl/>
              <w:autoSpaceDE/>
              <w:autoSpaceDN/>
              <w:rPr>
                <w:rFonts w:eastAsia="Calibri"/>
              </w:rPr>
            </w:pPr>
            <w:r>
              <w:t>2. Existence of competent regional or national institution or body,</w:t>
            </w:r>
          </w:p>
          <w:p w14:paraId="08BAF3C5" w14:textId="77777777" w:rsidR="00DD13BF" w:rsidRPr="00790120" w:rsidRDefault="00DD13BF" w:rsidP="00355A56">
            <w:pPr>
              <w:widowControl/>
              <w:autoSpaceDE/>
              <w:autoSpaceDN/>
              <w:rPr>
                <w:rFonts w:eastAsia="Calibri"/>
              </w:rPr>
            </w:pPr>
            <w:r>
              <w:t>responsible for the management of the smart specialisation strategy.</w:t>
            </w:r>
          </w:p>
        </w:tc>
        <w:tc>
          <w:tcPr>
            <w:tcW w:w="709" w:type="dxa"/>
            <w:tcBorders>
              <w:bottom w:val="single" w:sz="4" w:space="0" w:color="auto"/>
            </w:tcBorders>
          </w:tcPr>
          <w:p w14:paraId="07268717" w14:textId="77777777" w:rsidR="00DD13BF" w:rsidRPr="00790120" w:rsidRDefault="00DD13BF" w:rsidP="00355A56">
            <w:pPr>
              <w:widowControl/>
              <w:autoSpaceDE/>
              <w:autoSpaceDN/>
              <w:rPr>
                <w:rFonts w:eastAsia="Calibri"/>
              </w:rPr>
            </w:pPr>
            <w:r>
              <w:t>Yes</w:t>
            </w:r>
          </w:p>
        </w:tc>
        <w:tc>
          <w:tcPr>
            <w:tcW w:w="2267" w:type="dxa"/>
            <w:tcBorders>
              <w:bottom w:val="single" w:sz="4" w:space="0" w:color="auto"/>
            </w:tcBorders>
          </w:tcPr>
          <w:p w14:paraId="6C192B82" w14:textId="77777777" w:rsidR="00DD13BF" w:rsidRPr="00790120" w:rsidRDefault="00DD13BF" w:rsidP="00355A56">
            <w:pPr>
              <w:widowControl/>
              <w:autoSpaceDE/>
              <w:autoSpaceDN/>
              <w:rPr>
                <w:rFonts w:eastAsia="Calibri"/>
              </w:rPr>
            </w:pPr>
            <w:r>
              <w:t>SVRK systematisation</w:t>
            </w:r>
          </w:p>
          <w:p w14:paraId="1CA7163C" w14:textId="77777777" w:rsidR="00DD13BF" w:rsidRPr="00790120" w:rsidRDefault="00DD13BF" w:rsidP="00355A56">
            <w:pPr>
              <w:widowControl/>
              <w:autoSpaceDE/>
              <w:autoSpaceDN/>
              <w:rPr>
                <w:rFonts w:eastAsia="Calibri"/>
              </w:rPr>
            </w:pPr>
            <w:r>
              <w:t>Source: SVRK Personnel Service</w:t>
            </w:r>
          </w:p>
        </w:tc>
        <w:tc>
          <w:tcPr>
            <w:tcW w:w="3402" w:type="dxa"/>
            <w:tcBorders>
              <w:bottom w:val="single" w:sz="4" w:space="0" w:color="auto"/>
            </w:tcBorders>
          </w:tcPr>
          <w:p w14:paraId="510CC6F3" w14:textId="77777777" w:rsidR="00DD13BF" w:rsidRPr="00790120" w:rsidRDefault="00DD13BF" w:rsidP="00355A56">
            <w:pPr>
              <w:widowControl/>
              <w:autoSpaceDE/>
              <w:autoSpaceDN/>
              <w:jc w:val="both"/>
              <w:rPr>
                <w:rFonts w:eastAsia="Calibri"/>
              </w:rPr>
            </w:pPr>
            <w:r>
              <w:t xml:space="preserve">The shortcomings Slovenia has regarding the second and third criteria of enabling good management of the national smart specialisation strategy will be eliminated in accordance with the prepared action plan (Appendix S5 Action Plan), which determines </w:t>
            </w:r>
            <w:r>
              <w:lastRenderedPageBreak/>
              <w:t>steps, institutions and milestones for implementation.</w:t>
            </w:r>
          </w:p>
          <w:p w14:paraId="7239393B" w14:textId="77777777" w:rsidR="00DD13BF" w:rsidRPr="00790120" w:rsidRDefault="00DD13BF" w:rsidP="00355A56">
            <w:pPr>
              <w:widowControl/>
              <w:autoSpaceDE/>
              <w:autoSpaceDN/>
              <w:jc w:val="both"/>
              <w:rPr>
                <w:rFonts w:eastAsia="Calibri"/>
              </w:rPr>
            </w:pPr>
            <w:r>
              <w:t>Major changes are a result of the Scientific Research and Innovation Activities Act (adopted in November 2021). Changes are also foreseen in accordance with the EC recommendations “TF Reform Contract REFORM/SC2020/100 implementing framework contract No SRSS/2018/01/FWC/002 of Slovenia’s innovation ecosystem”. Additionally, it is planned that the S5 group will be strengthened within the SVRK to focus more on analytical skills.</w:t>
            </w:r>
          </w:p>
        </w:tc>
      </w:tr>
      <w:tr w:rsidR="00DD13BF" w:rsidRPr="00790120" w14:paraId="3B74A1DF" w14:textId="77777777" w:rsidTr="00355A56">
        <w:trPr>
          <w:trHeight w:val="353"/>
        </w:trPr>
        <w:tc>
          <w:tcPr>
            <w:tcW w:w="1538" w:type="dxa"/>
            <w:vMerge/>
          </w:tcPr>
          <w:p w14:paraId="2540581E" w14:textId="77777777" w:rsidR="00DD13BF" w:rsidRPr="00790120" w:rsidRDefault="00DD13BF" w:rsidP="00355A56">
            <w:pPr>
              <w:widowControl/>
              <w:autoSpaceDE/>
              <w:autoSpaceDN/>
              <w:rPr>
                <w:rFonts w:eastAsia="Calibri"/>
              </w:rPr>
            </w:pPr>
          </w:p>
        </w:tc>
        <w:tc>
          <w:tcPr>
            <w:tcW w:w="877" w:type="dxa"/>
            <w:vMerge/>
          </w:tcPr>
          <w:p w14:paraId="30814952" w14:textId="77777777" w:rsidR="00DD13BF" w:rsidRPr="00790120" w:rsidRDefault="00DD13BF" w:rsidP="00355A56">
            <w:pPr>
              <w:widowControl/>
              <w:autoSpaceDE/>
              <w:autoSpaceDN/>
              <w:rPr>
                <w:rFonts w:eastAsia="Calibri"/>
              </w:rPr>
            </w:pPr>
          </w:p>
        </w:tc>
        <w:tc>
          <w:tcPr>
            <w:tcW w:w="1985" w:type="dxa"/>
            <w:vMerge/>
          </w:tcPr>
          <w:p w14:paraId="6AE6A122" w14:textId="77777777" w:rsidR="00DD13BF" w:rsidRPr="00790120" w:rsidRDefault="00DD13BF" w:rsidP="00355A56">
            <w:pPr>
              <w:widowControl/>
              <w:autoSpaceDE/>
              <w:autoSpaceDN/>
              <w:rPr>
                <w:rFonts w:eastAsia="Calibri"/>
              </w:rPr>
            </w:pPr>
          </w:p>
        </w:tc>
        <w:tc>
          <w:tcPr>
            <w:tcW w:w="1134" w:type="dxa"/>
            <w:vMerge/>
          </w:tcPr>
          <w:p w14:paraId="2CC08718" w14:textId="77777777" w:rsidR="00DD13BF" w:rsidRPr="00790120" w:rsidRDefault="00DD13BF" w:rsidP="00355A56">
            <w:pPr>
              <w:widowControl/>
              <w:autoSpaceDE/>
              <w:autoSpaceDN/>
              <w:rPr>
                <w:rFonts w:eastAsia="Calibri"/>
              </w:rPr>
            </w:pPr>
          </w:p>
        </w:tc>
        <w:tc>
          <w:tcPr>
            <w:tcW w:w="1984" w:type="dxa"/>
            <w:tcBorders>
              <w:top w:val="single" w:sz="4" w:space="0" w:color="auto"/>
              <w:bottom w:val="single" w:sz="4" w:space="0" w:color="auto"/>
              <w:right w:val="single" w:sz="4" w:space="0" w:color="auto"/>
            </w:tcBorders>
          </w:tcPr>
          <w:p w14:paraId="710B735D" w14:textId="77777777" w:rsidR="00DD13BF" w:rsidRPr="00790120" w:rsidRDefault="00DD13BF" w:rsidP="00355A56">
            <w:pPr>
              <w:widowControl/>
              <w:autoSpaceDE/>
              <w:autoSpaceDN/>
              <w:rPr>
                <w:rFonts w:eastAsia="Calibri"/>
              </w:rPr>
            </w:pPr>
            <w:r>
              <w:t>3. Monitoring and evaluation tools to measure performance towards the objectives of the strategy.</w:t>
            </w:r>
          </w:p>
        </w:tc>
        <w:tc>
          <w:tcPr>
            <w:tcW w:w="709" w:type="dxa"/>
            <w:tcBorders>
              <w:top w:val="single" w:sz="4" w:space="0" w:color="auto"/>
              <w:left w:val="single" w:sz="4" w:space="0" w:color="auto"/>
              <w:bottom w:val="single" w:sz="4" w:space="0" w:color="auto"/>
              <w:right w:val="single" w:sz="4" w:space="0" w:color="auto"/>
            </w:tcBorders>
          </w:tcPr>
          <w:p w14:paraId="5F55BA35" w14:textId="77777777" w:rsidR="00DD13BF" w:rsidRPr="00790120" w:rsidRDefault="00DD13BF" w:rsidP="00355A56">
            <w:pPr>
              <w:widowControl/>
              <w:autoSpaceDE/>
              <w:autoSpaceDN/>
              <w:rPr>
                <w:rFonts w:eastAsia="Calibri"/>
              </w:rPr>
            </w:pPr>
            <w:r>
              <w:t>Yes</w:t>
            </w:r>
          </w:p>
        </w:tc>
        <w:tc>
          <w:tcPr>
            <w:tcW w:w="2267" w:type="dxa"/>
            <w:tcBorders>
              <w:top w:val="single" w:sz="4" w:space="0" w:color="auto"/>
              <w:left w:val="single" w:sz="4" w:space="0" w:color="auto"/>
              <w:bottom w:val="single" w:sz="4" w:space="0" w:color="auto"/>
              <w:right w:val="nil"/>
            </w:tcBorders>
          </w:tcPr>
          <w:p w14:paraId="76D5742B" w14:textId="77777777" w:rsidR="00DD13BF" w:rsidRPr="00790120" w:rsidRDefault="00DD13BF" w:rsidP="00355A56">
            <w:pPr>
              <w:widowControl/>
              <w:pBdr>
                <w:right w:val="single" w:sz="4" w:space="4" w:color="auto"/>
              </w:pBdr>
              <w:autoSpaceDE/>
              <w:autoSpaceDN/>
              <w:rPr>
                <w:rFonts w:eastAsia="Calibri"/>
              </w:rPr>
            </w:pPr>
            <w:r>
              <w:t>Target Research Programme 2019 (CRP 2019) “Monitoring and assessing the effects of strategic development and innovation partnerships” (Source: SVRK)</w:t>
            </w:r>
          </w:p>
          <w:p w14:paraId="75D68B8E" w14:textId="77777777" w:rsidR="00DD13BF" w:rsidRPr="00790120" w:rsidRDefault="00DD13BF" w:rsidP="00355A56">
            <w:pPr>
              <w:widowControl/>
              <w:pBdr>
                <w:right w:val="single" w:sz="4" w:space="4" w:color="auto"/>
              </w:pBdr>
              <w:autoSpaceDE/>
              <w:autoSpaceDN/>
              <w:rPr>
                <w:rFonts w:eastAsia="Calibri"/>
              </w:rPr>
            </w:pPr>
            <w:r>
              <w:t xml:space="preserve">Target Research Programme 2021 (CRP 2021) Preparing the methodology and </w:t>
            </w:r>
            <w:r>
              <w:lastRenderedPageBreak/>
              <w:t>assessing the effectiveness</w:t>
            </w:r>
          </w:p>
          <w:p w14:paraId="42B4C331" w14:textId="77777777" w:rsidR="00DD13BF" w:rsidRPr="00790120" w:rsidRDefault="00DD13BF" w:rsidP="00355A56">
            <w:pPr>
              <w:widowControl/>
              <w:pBdr>
                <w:right w:val="single" w:sz="4" w:space="4" w:color="auto"/>
              </w:pBdr>
              <w:autoSpaceDE/>
              <w:autoSpaceDN/>
              <w:rPr>
                <w:rFonts w:eastAsia="Calibri"/>
              </w:rPr>
            </w:pPr>
            <w:r>
              <w:t>of the measures from S4/5 (Source: SVRK)</w:t>
            </w:r>
          </w:p>
          <w:p w14:paraId="2BB10B57" w14:textId="77777777" w:rsidR="00DD13BF" w:rsidRPr="00790120" w:rsidRDefault="00DD13BF" w:rsidP="00355A56">
            <w:pPr>
              <w:widowControl/>
              <w:pBdr>
                <w:right w:val="single" w:sz="4" w:space="4" w:color="auto"/>
              </w:pBdr>
              <w:autoSpaceDE/>
              <w:autoSpaceDN/>
              <w:rPr>
                <w:rFonts w:eastAsia="Calibri"/>
              </w:rPr>
            </w:pPr>
            <w:r>
              <w:t>eMA 2 – Computer system</w:t>
            </w:r>
          </w:p>
        </w:tc>
        <w:tc>
          <w:tcPr>
            <w:tcW w:w="3402" w:type="dxa"/>
            <w:tcBorders>
              <w:top w:val="single" w:sz="4" w:space="0" w:color="auto"/>
              <w:left w:val="nil"/>
              <w:bottom w:val="single" w:sz="4" w:space="0" w:color="auto"/>
              <w:right w:val="nil"/>
            </w:tcBorders>
          </w:tcPr>
          <w:p w14:paraId="420CC898" w14:textId="77777777" w:rsidR="00DD13BF" w:rsidRPr="00790120" w:rsidRDefault="00DD13BF" w:rsidP="00355A56">
            <w:pPr>
              <w:widowControl/>
              <w:autoSpaceDE/>
              <w:autoSpaceDN/>
              <w:jc w:val="both"/>
              <w:rPr>
                <w:rFonts w:eastAsia="Calibri"/>
              </w:rPr>
            </w:pPr>
            <w:r>
              <w:lastRenderedPageBreak/>
              <w:t>Implementation is monitored and evaluated through the instrument of Target Research Programmes, in which the SVRK, the MGRT and the MIZŠ participate.</w:t>
            </w:r>
          </w:p>
          <w:p w14:paraId="7F784DB3" w14:textId="77777777" w:rsidR="00DD13BF" w:rsidRDefault="00DD13BF" w:rsidP="00355A56">
            <w:pPr>
              <w:widowControl/>
              <w:autoSpaceDE/>
              <w:autoSpaceDN/>
              <w:jc w:val="both"/>
              <w:rPr>
                <w:rFonts w:eastAsia="Calibri"/>
              </w:rPr>
            </w:pPr>
            <w:r>
              <w:t>Implementation, monitoring and evaluation based on them are and will be enabled in the e-MA umbrella information system.</w:t>
            </w:r>
          </w:p>
          <w:p w14:paraId="4549CE1A" w14:textId="77777777" w:rsidR="00DD13BF" w:rsidRPr="00790120" w:rsidRDefault="00DD13BF" w:rsidP="00355A56">
            <w:pPr>
              <w:widowControl/>
              <w:autoSpaceDE/>
              <w:autoSpaceDN/>
              <w:jc w:val="both"/>
              <w:rPr>
                <w:rFonts w:eastAsia="Calibri"/>
              </w:rPr>
            </w:pPr>
            <w:r>
              <w:t xml:space="preserve">The S5 covers not only the ECP funds, but also other financing sources: national funds – public and private, which is shown in the S5 text. The data, which are not part of </w:t>
            </w:r>
            <w:r>
              <w:lastRenderedPageBreak/>
              <w:t>the ECP, are based on the assessments of the relevant divisions in individual areas. The S5 implementation will be monitored through the e-MA2 system in the ECP part and based on the reporting of individual divisions that contributed estimates for Chapter 7</w:t>
            </w:r>
            <w:r>
              <w:rPr>
                <w:i/>
              </w:rPr>
              <w:t xml:space="preserve"> </w:t>
            </w:r>
            <w:r>
              <w:rPr>
                <w:i/>
                <w:iCs/>
              </w:rPr>
              <w:t>Finance</w:t>
            </w:r>
            <w:r>
              <w:t xml:space="preserve"> of the Slovenian Smart Specialisation Strategy.</w:t>
            </w:r>
          </w:p>
        </w:tc>
      </w:tr>
      <w:tr w:rsidR="00DD13BF" w:rsidRPr="00790120" w14:paraId="21EACC70" w14:textId="77777777" w:rsidTr="00355A56">
        <w:trPr>
          <w:trHeight w:val="353"/>
        </w:trPr>
        <w:tc>
          <w:tcPr>
            <w:tcW w:w="1538" w:type="dxa"/>
            <w:vMerge/>
          </w:tcPr>
          <w:p w14:paraId="0472CD78" w14:textId="77777777" w:rsidR="00DD13BF" w:rsidRPr="00790120" w:rsidRDefault="00DD13BF" w:rsidP="00355A56">
            <w:pPr>
              <w:widowControl/>
              <w:autoSpaceDE/>
              <w:autoSpaceDN/>
              <w:rPr>
                <w:rFonts w:eastAsia="Calibri"/>
              </w:rPr>
            </w:pPr>
          </w:p>
        </w:tc>
        <w:tc>
          <w:tcPr>
            <w:tcW w:w="877" w:type="dxa"/>
            <w:vMerge/>
          </w:tcPr>
          <w:p w14:paraId="434125D2" w14:textId="77777777" w:rsidR="00DD13BF" w:rsidRPr="00790120" w:rsidRDefault="00DD13BF" w:rsidP="00355A56">
            <w:pPr>
              <w:widowControl/>
              <w:autoSpaceDE/>
              <w:autoSpaceDN/>
              <w:rPr>
                <w:rFonts w:eastAsia="Calibri"/>
              </w:rPr>
            </w:pPr>
          </w:p>
        </w:tc>
        <w:tc>
          <w:tcPr>
            <w:tcW w:w="1985" w:type="dxa"/>
            <w:vMerge/>
          </w:tcPr>
          <w:p w14:paraId="3554D017" w14:textId="77777777" w:rsidR="00DD13BF" w:rsidRPr="00790120" w:rsidRDefault="00DD13BF" w:rsidP="00355A56">
            <w:pPr>
              <w:widowControl/>
              <w:autoSpaceDE/>
              <w:autoSpaceDN/>
              <w:rPr>
                <w:rFonts w:eastAsia="Calibri"/>
              </w:rPr>
            </w:pPr>
          </w:p>
        </w:tc>
        <w:tc>
          <w:tcPr>
            <w:tcW w:w="1134" w:type="dxa"/>
            <w:vMerge/>
          </w:tcPr>
          <w:p w14:paraId="11BFE44A" w14:textId="77777777" w:rsidR="00DD13BF" w:rsidRPr="00790120" w:rsidRDefault="00DD13BF" w:rsidP="00355A56">
            <w:pPr>
              <w:widowControl/>
              <w:autoSpaceDE/>
              <w:autoSpaceDN/>
              <w:rPr>
                <w:rFonts w:eastAsia="Calibri"/>
              </w:rPr>
            </w:pPr>
          </w:p>
        </w:tc>
        <w:tc>
          <w:tcPr>
            <w:tcW w:w="1984" w:type="dxa"/>
            <w:tcBorders>
              <w:top w:val="single" w:sz="4" w:space="0" w:color="auto"/>
            </w:tcBorders>
          </w:tcPr>
          <w:p w14:paraId="09A5ADDF" w14:textId="77777777" w:rsidR="00DD13BF" w:rsidRPr="00790120" w:rsidRDefault="00DD13BF" w:rsidP="00355A56">
            <w:pPr>
              <w:widowControl/>
              <w:autoSpaceDE/>
              <w:autoSpaceDN/>
              <w:rPr>
                <w:rFonts w:eastAsia="Calibri"/>
              </w:rPr>
            </w:pPr>
            <w:r>
              <w:t>4. Functioning of stakeholder co-operation (“entrepreneurial discovery</w:t>
            </w:r>
          </w:p>
          <w:p w14:paraId="340C0653" w14:textId="77777777" w:rsidR="00DD13BF" w:rsidRPr="00790120" w:rsidRDefault="00DD13BF" w:rsidP="00355A56">
            <w:pPr>
              <w:widowControl/>
              <w:autoSpaceDE/>
              <w:autoSpaceDN/>
              <w:rPr>
                <w:rFonts w:eastAsia="Calibri"/>
              </w:rPr>
            </w:pPr>
            <w:r>
              <w:t>process”)</w:t>
            </w:r>
          </w:p>
        </w:tc>
        <w:tc>
          <w:tcPr>
            <w:tcW w:w="709" w:type="dxa"/>
            <w:tcBorders>
              <w:top w:val="single" w:sz="4" w:space="0" w:color="auto"/>
            </w:tcBorders>
          </w:tcPr>
          <w:p w14:paraId="4C5B6E7A" w14:textId="77777777" w:rsidR="00DD13BF" w:rsidRPr="00790120" w:rsidRDefault="00DD13BF" w:rsidP="00355A56">
            <w:pPr>
              <w:widowControl/>
              <w:autoSpaceDE/>
              <w:autoSpaceDN/>
              <w:rPr>
                <w:rFonts w:eastAsia="Calibri"/>
              </w:rPr>
            </w:pPr>
            <w:r>
              <w:t>Yes</w:t>
            </w:r>
          </w:p>
        </w:tc>
        <w:tc>
          <w:tcPr>
            <w:tcW w:w="2267" w:type="dxa"/>
            <w:tcBorders>
              <w:top w:val="single" w:sz="4" w:space="0" w:color="auto"/>
            </w:tcBorders>
          </w:tcPr>
          <w:p w14:paraId="6AAA0D5E" w14:textId="77777777" w:rsidR="00DD13BF" w:rsidRPr="00790120" w:rsidRDefault="00DD13BF" w:rsidP="00355A56">
            <w:pPr>
              <w:widowControl/>
              <w:autoSpaceDE/>
              <w:autoSpaceDN/>
              <w:rPr>
                <w:rFonts w:eastAsia="Calibri"/>
              </w:rPr>
            </w:pPr>
            <w:r>
              <w:t xml:space="preserve">The online workshops of the Slovenian Smart Specialisation Strategy were successfully completed – </w:t>
            </w:r>
            <w:hyperlink r:id="rId125" w:history="1">
              <w:r>
                <w:t>over 900 participants actively participated in the design of the renewed S5</w:t>
              </w:r>
            </w:hyperlink>
            <w:r>
              <w:t>.</w:t>
            </w:r>
          </w:p>
          <w:p w14:paraId="18CFC131" w14:textId="77777777" w:rsidR="00DD13BF" w:rsidRPr="00790120" w:rsidRDefault="00DD13BF" w:rsidP="00355A56">
            <w:pPr>
              <w:widowControl/>
              <w:autoSpaceDE/>
              <w:autoSpaceDN/>
              <w:rPr>
                <w:rFonts w:eastAsia="Calibri"/>
              </w:rPr>
            </w:pPr>
          </w:p>
          <w:p w14:paraId="753339CF" w14:textId="77777777" w:rsidR="00DD13BF" w:rsidRPr="00790120" w:rsidRDefault="00DD13BF" w:rsidP="00355A56">
            <w:pPr>
              <w:widowControl/>
              <w:autoSpaceDE/>
              <w:autoSpaceDN/>
              <w:rPr>
                <w:rFonts w:eastAsia="Calibri"/>
              </w:rPr>
            </w:pPr>
          </w:p>
        </w:tc>
        <w:tc>
          <w:tcPr>
            <w:tcW w:w="3402" w:type="dxa"/>
            <w:tcBorders>
              <w:top w:val="single" w:sz="4" w:space="0" w:color="auto"/>
            </w:tcBorders>
          </w:tcPr>
          <w:p w14:paraId="493D9F34" w14:textId="77777777" w:rsidR="00DD13BF" w:rsidRPr="00790120" w:rsidRDefault="00DD13BF" w:rsidP="00355A56">
            <w:pPr>
              <w:widowControl/>
              <w:autoSpaceDE/>
              <w:autoSpaceDN/>
              <w:jc w:val="both"/>
              <w:rPr>
                <w:rFonts w:eastAsia="Calibri"/>
              </w:rPr>
            </w:pPr>
            <w:r>
              <w:t xml:space="preserve">Stakeholders were invited to participate in the renewal of the S5 from the beginning of the process in June 2020 and participated throughout; ten public webinars in individual priority areas of the S5 are highlighted – recordings are available. </w:t>
            </w:r>
          </w:p>
          <w:p w14:paraId="5C116209" w14:textId="77777777" w:rsidR="00DD13BF" w:rsidRPr="00790120" w:rsidRDefault="00DD13BF" w:rsidP="00355A56">
            <w:pPr>
              <w:widowControl/>
              <w:autoSpaceDE/>
              <w:autoSpaceDN/>
              <w:jc w:val="both"/>
              <w:rPr>
                <w:rFonts w:eastAsia="Calibri"/>
              </w:rPr>
            </w:pPr>
            <w:r>
              <w:t xml:space="preserve">The process is permanently open to all interested stakeholders via a special e-mail address </w:t>
            </w:r>
            <w:hyperlink r:id="rId126" w:history="1">
              <w:r>
                <w:rPr>
                  <w:rStyle w:val="Hiperpovezava"/>
                </w:rPr>
                <w:t>s5.svrk@gov.si</w:t>
              </w:r>
            </w:hyperlink>
            <w:r>
              <w:t>, to which they can send suggestions, opinions, criticisms, and comments</w:t>
            </w:r>
          </w:p>
        </w:tc>
      </w:tr>
      <w:tr w:rsidR="00DD13BF" w:rsidRPr="00790120" w14:paraId="127A9E03" w14:textId="77777777" w:rsidTr="00355A56">
        <w:trPr>
          <w:trHeight w:val="353"/>
        </w:trPr>
        <w:tc>
          <w:tcPr>
            <w:tcW w:w="1538" w:type="dxa"/>
            <w:vMerge/>
          </w:tcPr>
          <w:p w14:paraId="47B19E02" w14:textId="77777777" w:rsidR="00DD13BF" w:rsidRPr="00790120" w:rsidRDefault="00DD13BF" w:rsidP="00355A56">
            <w:pPr>
              <w:widowControl/>
              <w:autoSpaceDE/>
              <w:autoSpaceDN/>
              <w:rPr>
                <w:rFonts w:eastAsia="Calibri"/>
              </w:rPr>
            </w:pPr>
          </w:p>
        </w:tc>
        <w:tc>
          <w:tcPr>
            <w:tcW w:w="877" w:type="dxa"/>
            <w:vMerge/>
          </w:tcPr>
          <w:p w14:paraId="04078AD9" w14:textId="77777777" w:rsidR="00DD13BF" w:rsidRPr="00790120" w:rsidRDefault="00DD13BF" w:rsidP="00355A56">
            <w:pPr>
              <w:widowControl/>
              <w:autoSpaceDE/>
              <w:autoSpaceDN/>
              <w:rPr>
                <w:rFonts w:eastAsia="Calibri"/>
              </w:rPr>
            </w:pPr>
          </w:p>
        </w:tc>
        <w:tc>
          <w:tcPr>
            <w:tcW w:w="1985" w:type="dxa"/>
            <w:vMerge/>
          </w:tcPr>
          <w:p w14:paraId="30664B53" w14:textId="77777777" w:rsidR="00DD13BF" w:rsidRPr="00790120" w:rsidRDefault="00DD13BF" w:rsidP="00355A56">
            <w:pPr>
              <w:widowControl/>
              <w:autoSpaceDE/>
              <w:autoSpaceDN/>
              <w:rPr>
                <w:rFonts w:eastAsia="Calibri"/>
              </w:rPr>
            </w:pPr>
          </w:p>
        </w:tc>
        <w:tc>
          <w:tcPr>
            <w:tcW w:w="1134" w:type="dxa"/>
            <w:vMerge/>
          </w:tcPr>
          <w:p w14:paraId="5F64743C" w14:textId="77777777" w:rsidR="00DD13BF" w:rsidRPr="00790120" w:rsidRDefault="00DD13BF" w:rsidP="00355A56">
            <w:pPr>
              <w:widowControl/>
              <w:autoSpaceDE/>
              <w:autoSpaceDN/>
              <w:rPr>
                <w:rFonts w:eastAsia="Calibri"/>
              </w:rPr>
            </w:pPr>
          </w:p>
        </w:tc>
        <w:tc>
          <w:tcPr>
            <w:tcW w:w="1984" w:type="dxa"/>
          </w:tcPr>
          <w:p w14:paraId="2BCC0DC5" w14:textId="77777777" w:rsidR="00DD13BF" w:rsidRPr="00790120" w:rsidRDefault="00DD13BF" w:rsidP="00355A56">
            <w:pPr>
              <w:widowControl/>
              <w:autoSpaceDE/>
              <w:autoSpaceDN/>
              <w:rPr>
                <w:rFonts w:eastAsia="Calibri"/>
              </w:rPr>
            </w:pPr>
            <w:r>
              <w:t>5. Actions necessary to improve national or regional</w:t>
            </w:r>
          </w:p>
          <w:p w14:paraId="4E390E97" w14:textId="77777777" w:rsidR="00DD13BF" w:rsidRPr="00790120" w:rsidRDefault="00DD13BF" w:rsidP="00355A56">
            <w:pPr>
              <w:widowControl/>
              <w:autoSpaceDE/>
              <w:autoSpaceDN/>
              <w:rPr>
                <w:rFonts w:eastAsia="Calibri"/>
              </w:rPr>
            </w:pPr>
            <w:r>
              <w:lastRenderedPageBreak/>
              <w:t>research and innovation systems, where relevant.</w:t>
            </w:r>
          </w:p>
        </w:tc>
        <w:tc>
          <w:tcPr>
            <w:tcW w:w="709" w:type="dxa"/>
          </w:tcPr>
          <w:p w14:paraId="7DF19064" w14:textId="77777777" w:rsidR="00DD13BF" w:rsidRPr="00790120" w:rsidRDefault="00DD13BF" w:rsidP="00355A56">
            <w:pPr>
              <w:widowControl/>
              <w:autoSpaceDE/>
              <w:autoSpaceDN/>
              <w:rPr>
                <w:rFonts w:eastAsia="Calibri"/>
              </w:rPr>
            </w:pPr>
            <w:r>
              <w:lastRenderedPageBreak/>
              <w:t>Yes</w:t>
            </w:r>
          </w:p>
        </w:tc>
        <w:tc>
          <w:tcPr>
            <w:tcW w:w="2267" w:type="dxa"/>
          </w:tcPr>
          <w:p w14:paraId="373D4EDB" w14:textId="77777777" w:rsidR="00DD13BF" w:rsidRPr="00790120" w:rsidRDefault="00DD13BF" w:rsidP="00355A56">
            <w:pPr>
              <w:widowControl/>
              <w:autoSpaceDE/>
              <w:autoSpaceDN/>
              <w:rPr>
                <w:rFonts w:eastAsia="Calibri"/>
              </w:rPr>
            </w:pPr>
            <w:r>
              <w:t>Final report of the REFORM project “Strengthening the Innovation Ecosystem in Slovenia” (</w:t>
            </w:r>
            <w:hyperlink r:id="rId127" w:history="1">
              <w:r>
                <w:rPr>
                  <w:color w:val="0563C1"/>
                  <w:u w:val="single"/>
                </w:rPr>
                <w:t>Link to document</w:t>
              </w:r>
            </w:hyperlink>
            <w:r>
              <w:t>)</w:t>
            </w:r>
          </w:p>
        </w:tc>
        <w:tc>
          <w:tcPr>
            <w:tcW w:w="3402" w:type="dxa"/>
          </w:tcPr>
          <w:p w14:paraId="4606EB38" w14:textId="77777777" w:rsidR="00DD13BF" w:rsidRPr="00790120" w:rsidRDefault="00DD13BF" w:rsidP="00355A56">
            <w:pPr>
              <w:widowControl/>
              <w:autoSpaceDE/>
              <w:autoSpaceDN/>
              <w:jc w:val="both"/>
              <w:rPr>
                <w:rFonts w:eastAsia="Calibri"/>
              </w:rPr>
            </w:pPr>
            <w:r>
              <w:t xml:space="preserve">REFORM “Strengthening the Innovation Ecosystem in Slovenia” project implementation – the recommendations will be implemented on the basis of the final version of the project </w:t>
            </w:r>
            <w:r>
              <w:lastRenderedPageBreak/>
              <w:t>recommendations. The S5 text is harmonised with the project findings.</w:t>
            </w:r>
          </w:p>
        </w:tc>
      </w:tr>
      <w:tr w:rsidR="00DD13BF" w:rsidRPr="00790120" w14:paraId="23D9187D" w14:textId="77777777" w:rsidTr="00355A56">
        <w:trPr>
          <w:trHeight w:val="353"/>
        </w:trPr>
        <w:tc>
          <w:tcPr>
            <w:tcW w:w="1538" w:type="dxa"/>
            <w:vMerge/>
          </w:tcPr>
          <w:p w14:paraId="050C8454" w14:textId="77777777" w:rsidR="00DD13BF" w:rsidRPr="00790120" w:rsidRDefault="00DD13BF" w:rsidP="00355A56">
            <w:pPr>
              <w:widowControl/>
              <w:autoSpaceDE/>
              <w:autoSpaceDN/>
              <w:rPr>
                <w:rFonts w:eastAsia="Calibri"/>
              </w:rPr>
            </w:pPr>
          </w:p>
        </w:tc>
        <w:tc>
          <w:tcPr>
            <w:tcW w:w="877" w:type="dxa"/>
            <w:vMerge/>
          </w:tcPr>
          <w:p w14:paraId="4C3D3693" w14:textId="77777777" w:rsidR="00DD13BF" w:rsidRPr="00790120" w:rsidRDefault="00DD13BF" w:rsidP="00355A56">
            <w:pPr>
              <w:widowControl/>
              <w:autoSpaceDE/>
              <w:autoSpaceDN/>
              <w:rPr>
                <w:rFonts w:eastAsia="Calibri"/>
              </w:rPr>
            </w:pPr>
          </w:p>
        </w:tc>
        <w:tc>
          <w:tcPr>
            <w:tcW w:w="1985" w:type="dxa"/>
            <w:vMerge/>
          </w:tcPr>
          <w:p w14:paraId="636377BF" w14:textId="77777777" w:rsidR="00DD13BF" w:rsidRPr="00790120" w:rsidRDefault="00DD13BF" w:rsidP="00355A56">
            <w:pPr>
              <w:widowControl/>
              <w:autoSpaceDE/>
              <w:autoSpaceDN/>
              <w:rPr>
                <w:rFonts w:eastAsia="Calibri"/>
              </w:rPr>
            </w:pPr>
          </w:p>
        </w:tc>
        <w:tc>
          <w:tcPr>
            <w:tcW w:w="1134" w:type="dxa"/>
            <w:vMerge/>
          </w:tcPr>
          <w:p w14:paraId="79F5CC20" w14:textId="77777777" w:rsidR="00DD13BF" w:rsidRPr="00790120" w:rsidRDefault="00DD13BF" w:rsidP="00355A56">
            <w:pPr>
              <w:widowControl/>
              <w:autoSpaceDE/>
              <w:autoSpaceDN/>
              <w:rPr>
                <w:rFonts w:eastAsia="Calibri"/>
              </w:rPr>
            </w:pPr>
          </w:p>
        </w:tc>
        <w:tc>
          <w:tcPr>
            <w:tcW w:w="1984" w:type="dxa"/>
          </w:tcPr>
          <w:p w14:paraId="65A4DD7C" w14:textId="77777777" w:rsidR="00DD13BF" w:rsidRPr="00790120" w:rsidRDefault="00DD13BF" w:rsidP="00355A56">
            <w:pPr>
              <w:widowControl/>
              <w:autoSpaceDE/>
              <w:autoSpaceDN/>
              <w:rPr>
                <w:rFonts w:eastAsia="Calibri"/>
              </w:rPr>
            </w:pPr>
            <w:r>
              <w:t>6. Where relevant, actions to support industrial transition.</w:t>
            </w:r>
          </w:p>
        </w:tc>
        <w:tc>
          <w:tcPr>
            <w:tcW w:w="709" w:type="dxa"/>
          </w:tcPr>
          <w:p w14:paraId="00D1D39D" w14:textId="77777777" w:rsidR="00DD13BF" w:rsidRPr="00790120" w:rsidRDefault="00DD13BF" w:rsidP="00355A56">
            <w:pPr>
              <w:widowControl/>
              <w:autoSpaceDE/>
              <w:autoSpaceDN/>
              <w:rPr>
                <w:rFonts w:eastAsia="Calibri"/>
              </w:rPr>
            </w:pPr>
            <w:r>
              <w:t>Yes</w:t>
            </w:r>
          </w:p>
        </w:tc>
        <w:tc>
          <w:tcPr>
            <w:tcW w:w="2267" w:type="dxa"/>
          </w:tcPr>
          <w:p w14:paraId="0CAFE14A" w14:textId="77777777" w:rsidR="00DD13BF" w:rsidRPr="00790120" w:rsidRDefault="00DD13BF" w:rsidP="00355A56">
            <w:pPr>
              <w:widowControl/>
              <w:autoSpaceDE/>
              <w:autoSpaceDN/>
              <w:rPr>
                <w:rFonts w:eastAsia="Calibri"/>
                <w:bCs/>
              </w:rPr>
            </w:pPr>
            <w:r>
              <w:t>Project: National Smart Factory Demonstration Centre (Source: SVRK)</w:t>
            </w:r>
          </w:p>
          <w:p w14:paraId="526290A6" w14:textId="77777777" w:rsidR="00DD13BF" w:rsidRPr="00790120" w:rsidRDefault="00DD13BF" w:rsidP="00355A56">
            <w:pPr>
              <w:widowControl/>
              <w:autoSpaceDE/>
              <w:autoSpaceDN/>
              <w:rPr>
                <w:rFonts w:eastAsia="Calibri"/>
                <w:bCs/>
              </w:rPr>
            </w:pPr>
          </w:p>
          <w:p w14:paraId="2A54218F" w14:textId="77777777" w:rsidR="00DD13BF" w:rsidRPr="00790120" w:rsidRDefault="00DD13BF" w:rsidP="00355A56">
            <w:pPr>
              <w:widowControl/>
              <w:autoSpaceDE/>
              <w:autoSpaceDN/>
              <w:rPr>
                <w:rFonts w:eastAsia="Calibri"/>
                <w:bCs/>
              </w:rPr>
            </w:pPr>
            <w:r>
              <w:t>Just transition in Zasavje and the SAŠA region – territorial just transition plans (both in preparation)</w:t>
            </w:r>
          </w:p>
          <w:p w14:paraId="789846A9" w14:textId="77777777" w:rsidR="00DD13BF" w:rsidRPr="00790120" w:rsidRDefault="00DD13BF" w:rsidP="00355A56">
            <w:pPr>
              <w:widowControl/>
              <w:autoSpaceDE/>
              <w:autoSpaceDN/>
              <w:rPr>
                <w:rFonts w:eastAsia="Calibri"/>
              </w:rPr>
            </w:pPr>
          </w:p>
          <w:p w14:paraId="04DBA7D3" w14:textId="77777777" w:rsidR="00DD13BF" w:rsidRPr="00790120" w:rsidRDefault="00DD13BF" w:rsidP="00355A56">
            <w:pPr>
              <w:widowControl/>
              <w:autoSpaceDE/>
              <w:autoSpaceDN/>
              <w:rPr>
                <w:rFonts w:eastAsia="Calibri"/>
              </w:rPr>
            </w:pPr>
          </w:p>
        </w:tc>
        <w:tc>
          <w:tcPr>
            <w:tcW w:w="3402" w:type="dxa"/>
          </w:tcPr>
          <w:p w14:paraId="79C208D0" w14:textId="77777777" w:rsidR="00DD13BF" w:rsidRPr="00790120" w:rsidRDefault="00DD13BF" w:rsidP="00355A56">
            <w:pPr>
              <w:widowControl/>
              <w:autoSpaceDE/>
              <w:autoSpaceDN/>
              <w:jc w:val="both"/>
              <w:rPr>
                <w:rFonts w:eastAsia="Calibri"/>
              </w:rPr>
            </w:pPr>
            <w:r>
              <w:t>The National Smart Factory Demonstration Centre (NDC PT) is a strategic instrument devised on distributed systems, which will provide enterprises, particularly SMEs, with an efficient access to new technologies, practical training, and knowledge transfer from scientific and research environments in the real industrial environment, taking into account the good practice principle. The NDC PT will constitute a demonstration environment for the application and implementation of Industry 4.0 principles and key enabling technologies, and the development and test environment for high-tech products, technologies and services for manufacturing and start-up companies and research institutions.</w:t>
            </w:r>
          </w:p>
        </w:tc>
      </w:tr>
      <w:tr w:rsidR="00DD13BF" w:rsidRPr="00790120" w14:paraId="0E348A0A" w14:textId="77777777" w:rsidTr="00355A56">
        <w:trPr>
          <w:trHeight w:val="353"/>
        </w:trPr>
        <w:tc>
          <w:tcPr>
            <w:tcW w:w="1538" w:type="dxa"/>
            <w:vMerge/>
          </w:tcPr>
          <w:p w14:paraId="5A8D2FE0" w14:textId="77777777" w:rsidR="00DD13BF" w:rsidRPr="00790120" w:rsidRDefault="00DD13BF" w:rsidP="00355A56">
            <w:pPr>
              <w:widowControl/>
              <w:autoSpaceDE/>
              <w:autoSpaceDN/>
              <w:rPr>
                <w:rFonts w:eastAsia="Calibri"/>
              </w:rPr>
            </w:pPr>
          </w:p>
        </w:tc>
        <w:tc>
          <w:tcPr>
            <w:tcW w:w="877" w:type="dxa"/>
            <w:vMerge/>
          </w:tcPr>
          <w:p w14:paraId="7572949D" w14:textId="77777777" w:rsidR="00DD13BF" w:rsidRPr="00790120" w:rsidRDefault="00DD13BF" w:rsidP="00355A56">
            <w:pPr>
              <w:widowControl/>
              <w:autoSpaceDE/>
              <w:autoSpaceDN/>
              <w:rPr>
                <w:rFonts w:eastAsia="Calibri"/>
              </w:rPr>
            </w:pPr>
          </w:p>
        </w:tc>
        <w:tc>
          <w:tcPr>
            <w:tcW w:w="1985" w:type="dxa"/>
            <w:vMerge/>
          </w:tcPr>
          <w:p w14:paraId="47BC4EFC" w14:textId="77777777" w:rsidR="00DD13BF" w:rsidRPr="00790120" w:rsidRDefault="00DD13BF" w:rsidP="00355A56">
            <w:pPr>
              <w:widowControl/>
              <w:autoSpaceDE/>
              <w:autoSpaceDN/>
              <w:rPr>
                <w:rFonts w:eastAsia="Calibri"/>
              </w:rPr>
            </w:pPr>
          </w:p>
        </w:tc>
        <w:tc>
          <w:tcPr>
            <w:tcW w:w="1134" w:type="dxa"/>
            <w:vMerge/>
          </w:tcPr>
          <w:p w14:paraId="1E2EEE71" w14:textId="77777777" w:rsidR="00DD13BF" w:rsidRPr="00790120" w:rsidRDefault="00DD13BF" w:rsidP="00355A56">
            <w:pPr>
              <w:widowControl/>
              <w:autoSpaceDE/>
              <w:autoSpaceDN/>
              <w:rPr>
                <w:rFonts w:eastAsia="Calibri"/>
              </w:rPr>
            </w:pPr>
          </w:p>
        </w:tc>
        <w:tc>
          <w:tcPr>
            <w:tcW w:w="1984" w:type="dxa"/>
          </w:tcPr>
          <w:p w14:paraId="097E372D" w14:textId="77777777" w:rsidR="00DD13BF" w:rsidRPr="00790120" w:rsidRDefault="00DD13BF" w:rsidP="00355A56">
            <w:pPr>
              <w:widowControl/>
              <w:autoSpaceDE/>
              <w:autoSpaceDN/>
              <w:rPr>
                <w:rFonts w:eastAsia="Calibri"/>
              </w:rPr>
            </w:pPr>
            <w:r>
              <w:t>7. Measures for enhancing cooperation with partners outside a given</w:t>
            </w:r>
          </w:p>
          <w:p w14:paraId="4A176FD2" w14:textId="77777777" w:rsidR="00DD13BF" w:rsidRPr="00790120" w:rsidRDefault="00DD13BF" w:rsidP="00355A56">
            <w:pPr>
              <w:widowControl/>
              <w:autoSpaceDE/>
              <w:autoSpaceDN/>
              <w:rPr>
                <w:rFonts w:eastAsia="Calibri"/>
              </w:rPr>
            </w:pPr>
            <w:r>
              <w:lastRenderedPageBreak/>
              <w:t>Member State in priority areas supported by the smart specialisation</w:t>
            </w:r>
          </w:p>
          <w:p w14:paraId="0029A728" w14:textId="77777777" w:rsidR="00DD13BF" w:rsidRPr="00790120" w:rsidRDefault="00DD13BF" w:rsidP="00355A56">
            <w:pPr>
              <w:widowControl/>
              <w:autoSpaceDE/>
              <w:autoSpaceDN/>
              <w:rPr>
                <w:rFonts w:eastAsia="Calibri"/>
              </w:rPr>
            </w:pPr>
            <w:r>
              <w:t>strategy.</w:t>
            </w:r>
          </w:p>
        </w:tc>
        <w:tc>
          <w:tcPr>
            <w:tcW w:w="709" w:type="dxa"/>
          </w:tcPr>
          <w:p w14:paraId="58FE512B" w14:textId="77777777" w:rsidR="00DD13BF" w:rsidRPr="00790120" w:rsidRDefault="00DD13BF" w:rsidP="00355A56">
            <w:pPr>
              <w:widowControl/>
              <w:autoSpaceDE/>
              <w:autoSpaceDN/>
              <w:rPr>
                <w:rFonts w:eastAsia="Calibri"/>
              </w:rPr>
            </w:pPr>
            <w:r>
              <w:lastRenderedPageBreak/>
              <w:t>Yes</w:t>
            </w:r>
          </w:p>
        </w:tc>
        <w:tc>
          <w:tcPr>
            <w:tcW w:w="2267" w:type="dxa"/>
          </w:tcPr>
          <w:p w14:paraId="2F7CBBD6" w14:textId="77777777" w:rsidR="00DD13BF" w:rsidRPr="00790120" w:rsidRDefault="00DD13BF" w:rsidP="00355A56">
            <w:pPr>
              <w:widowControl/>
              <w:autoSpaceDE/>
              <w:autoSpaceDN/>
              <w:rPr>
                <w:rFonts w:eastAsia="Calibri"/>
              </w:rPr>
            </w:pPr>
            <w:r>
              <w:t>Support documents of the renewed S5: International cooperation analysis (Source: SVRK)</w:t>
            </w:r>
          </w:p>
          <w:p w14:paraId="5F3EC11B" w14:textId="77777777" w:rsidR="00DD13BF" w:rsidRPr="00790120" w:rsidRDefault="00DD13BF" w:rsidP="00355A56">
            <w:pPr>
              <w:widowControl/>
              <w:autoSpaceDE/>
              <w:autoSpaceDN/>
              <w:rPr>
                <w:rFonts w:eastAsia="Calibri"/>
              </w:rPr>
            </w:pPr>
            <w:r>
              <w:t>Special chapter of S5</w:t>
            </w:r>
          </w:p>
        </w:tc>
        <w:tc>
          <w:tcPr>
            <w:tcW w:w="3402" w:type="dxa"/>
          </w:tcPr>
          <w:p w14:paraId="058303C7" w14:textId="77777777" w:rsidR="00DD13BF" w:rsidRPr="00790120" w:rsidRDefault="00DD13BF" w:rsidP="00355A56">
            <w:pPr>
              <w:widowControl/>
              <w:autoSpaceDE/>
              <w:autoSpaceDN/>
              <w:jc w:val="both"/>
              <w:rPr>
                <w:rFonts w:eastAsia="Calibri"/>
              </w:rPr>
            </w:pPr>
            <w:r>
              <w:t xml:space="preserve">The document describes how Slovenia strengthened multilateral and bilateral international cooperation at strategic, programme and project levels between 2014 and 2021 to enhance the positioning of </w:t>
            </w:r>
            <w:r>
              <w:lastRenderedPageBreak/>
              <w:t>Slovenian innovation stakeholders in regional and global value chains (outward internationalisation), strengthen research and development departments and the competences of employees in enterprises and knowledge institutions, and attract top foreign personnel and high-tech companies (inward internationalisation).</w:t>
            </w:r>
          </w:p>
        </w:tc>
      </w:tr>
      <w:tr w:rsidR="00DD13BF" w:rsidRPr="00790120" w14:paraId="0AB9FB83" w14:textId="77777777" w:rsidTr="00355A56">
        <w:trPr>
          <w:trHeight w:val="353"/>
        </w:trPr>
        <w:tc>
          <w:tcPr>
            <w:tcW w:w="1538" w:type="dxa"/>
            <w:vMerge w:val="restart"/>
          </w:tcPr>
          <w:p w14:paraId="10A06393" w14:textId="77777777" w:rsidR="00DD13BF" w:rsidRPr="00790120" w:rsidRDefault="00DD13BF" w:rsidP="00355A56">
            <w:pPr>
              <w:widowControl/>
              <w:autoSpaceDE/>
              <w:autoSpaceDN/>
              <w:rPr>
                <w:rFonts w:eastAsia="Calibri"/>
              </w:rPr>
            </w:pPr>
            <w:r>
              <w:lastRenderedPageBreak/>
              <w:t>1.2 National or</w:t>
            </w:r>
          </w:p>
          <w:p w14:paraId="7418ABE2" w14:textId="77777777" w:rsidR="00DD13BF" w:rsidRPr="00790120" w:rsidRDefault="00DD13BF" w:rsidP="00355A56">
            <w:pPr>
              <w:widowControl/>
              <w:autoSpaceDE/>
              <w:autoSpaceDN/>
              <w:rPr>
                <w:rFonts w:eastAsia="Calibri"/>
              </w:rPr>
            </w:pPr>
            <w:r>
              <w:t>regional</w:t>
            </w:r>
          </w:p>
          <w:p w14:paraId="7186E0C1" w14:textId="77777777" w:rsidR="00DD13BF" w:rsidRPr="00790120" w:rsidRDefault="00DD13BF" w:rsidP="00355A56">
            <w:pPr>
              <w:widowControl/>
              <w:autoSpaceDE/>
              <w:autoSpaceDN/>
              <w:rPr>
                <w:rFonts w:eastAsia="Calibri"/>
              </w:rPr>
            </w:pPr>
            <w:r>
              <w:t>broadband</w:t>
            </w:r>
          </w:p>
          <w:p w14:paraId="5E693C6E" w14:textId="77777777" w:rsidR="00DD13BF" w:rsidRPr="00790120" w:rsidRDefault="00DD13BF" w:rsidP="00355A56">
            <w:pPr>
              <w:widowControl/>
              <w:autoSpaceDE/>
              <w:autoSpaceDN/>
              <w:rPr>
                <w:rFonts w:eastAsia="Calibri"/>
              </w:rPr>
            </w:pPr>
            <w:r>
              <w:t>plan</w:t>
            </w:r>
          </w:p>
        </w:tc>
        <w:tc>
          <w:tcPr>
            <w:tcW w:w="877" w:type="dxa"/>
            <w:vMerge w:val="restart"/>
          </w:tcPr>
          <w:p w14:paraId="06402C98" w14:textId="77777777" w:rsidR="00DD13BF" w:rsidRPr="00790120" w:rsidRDefault="00DD13BF" w:rsidP="00355A56">
            <w:pPr>
              <w:widowControl/>
              <w:autoSpaceDE/>
              <w:autoSpaceDN/>
              <w:rPr>
                <w:rFonts w:eastAsia="Calibri"/>
              </w:rPr>
            </w:pPr>
            <w:r>
              <w:t>ERDF</w:t>
            </w:r>
          </w:p>
        </w:tc>
        <w:tc>
          <w:tcPr>
            <w:tcW w:w="1985" w:type="dxa"/>
            <w:vMerge w:val="restart"/>
          </w:tcPr>
          <w:p w14:paraId="66FB7485" w14:textId="77777777" w:rsidR="00DD13BF" w:rsidRPr="00790120" w:rsidRDefault="00DD13BF" w:rsidP="00355A56">
            <w:pPr>
              <w:widowControl/>
              <w:autoSpaceDE/>
              <w:autoSpaceDN/>
              <w:rPr>
                <w:rFonts w:eastAsia="Calibri"/>
              </w:rPr>
            </w:pPr>
            <w:r>
              <w:t>RSO1.5: Enhancing digital</w:t>
            </w:r>
          </w:p>
          <w:p w14:paraId="57B20016" w14:textId="77777777" w:rsidR="00DD13BF" w:rsidRPr="00790120" w:rsidRDefault="00DD13BF" w:rsidP="00355A56">
            <w:pPr>
              <w:widowControl/>
              <w:autoSpaceDE/>
              <w:autoSpaceDN/>
              <w:rPr>
                <w:rFonts w:eastAsia="Calibri"/>
              </w:rPr>
            </w:pPr>
            <w:r>
              <w:t>connectivity</w:t>
            </w:r>
          </w:p>
        </w:tc>
        <w:tc>
          <w:tcPr>
            <w:tcW w:w="1134" w:type="dxa"/>
            <w:vMerge w:val="restart"/>
          </w:tcPr>
          <w:p w14:paraId="62BA29CD" w14:textId="77777777" w:rsidR="00DD13BF" w:rsidRPr="00790120" w:rsidRDefault="00DD13BF" w:rsidP="00355A56">
            <w:pPr>
              <w:widowControl/>
              <w:autoSpaceDE/>
              <w:autoSpaceDN/>
              <w:rPr>
                <w:rFonts w:eastAsia="Calibri"/>
              </w:rPr>
            </w:pPr>
            <w:r>
              <w:t>Yes</w:t>
            </w:r>
          </w:p>
        </w:tc>
        <w:tc>
          <w:tcPr>
            <w:tcW w:w="8362" w:type="dxa"/>
            <w:gridSpan w:val="4"/>
            <w:shd w:val="clear" w:color="auto" w:fill="92D050"/>
          </w:tcPr>
          <w:p w14:paraId="1AE28733" w14:textId="77777777" w:rsidR="00DD13BF" w:rsidRPr="00790120" w:rsidRDefault="00DD13BF" w:rsidP="00355A56">
            <w:pPr>
              <w:widowControl/>
              <w:autoSpaceDE/>
              <w:autoSpaceDN/>
              <w:jc w:val="center"/>
              <w:rPr>
                <w:rFonts w:eastAsia="Calibri"/>
              </w:rPr>
            </w:pPr>
            <w:r>
              <w:t>A national or regional broadband plan is in place</w:t>
            </w:r>
          </w:p>
          <w:p w14:paraId="7F696E50" w14:textId="77777777" w:rsidR="00DD13BF" w:rsidRPr="00790120" w:rsidRDefault="00DD13BF" w:rsidP="00355A56">
            <w:pPr>
              <w:widowControl/>
              <w:autoSpaceDE/>
              <w:autoSpaceDN/>
              <w:jc w:val="center"/>
              <w:rPr>
                <w:rFonts w:eastAsia="Calibri"/>
              </w:rPr>
            </w:pPr>
            <w:r>
              <w:t>which includes:</w:t>
            </w:r>
          </w:p>
        </w:tc>
      </w:tr>
      <w:tr w:rsidR="00DD13BF" w:rsidRPr="00790120" w14:paraId="0D4DCFDB" w14:textId="77777777" w:rsidTr="00355A56">
        <w:trPr>
          <w:trHeight w:val="353"/>
        </w:trPr>
        <w:tc>
          <w:tcPr>
            <w:tcW w:w="1538" w:type="dxa"/>
            <w:vMerge/>
          </w:tcPr>
          <w:p w14:paraId="1BF27B3A" w14:textId="77777777" w:rsidR="00DD13BF" w:rsidRPr="00790120" w:rsidRDefault="00DD13BF" w:rsidP="00355A56">
            <w:pPr>
              <w:widowControl/>
              <w:autoSpaceDE/>
              <w:autoSpaceDN/>
              <w:rPr>
                <w:rFonts w:eastAsia="Calibri"/>
              </w:rPr>
            </w:pPr>
          </w:p>
        </w:tc>
        <w:tc>
          <w:tcPr>
            <w:tcW w:w="877" w:type="dxa"/>
            <w:vMerge/>
          </w:tcPr>
          <w:p w14:paraId="406E211C" w14:textId="77777777" w:rsidR="00DD13BF" w:rsidRPr="00790120" w:rsidRDefault="00DD13BF" w:rsidP="00355A56">
            <w:pPr>
              <w:widowControl/>
              <w:autoSpaceDE/>
              <w:autoSpaceDN/>
              <w:rPr>
                <w:rFonts w:eastAsia="Calibri"/>
              </w:rPr>
            </w:pPr>
          </w:p>
        </w:tc>
        <w:tc>
          <w:tcPr>
            <w:tcW w:w="1985" w:type="dxa"/>
            <w:vMerge/>
          </w:tcPr>
          <w:p w14:paraId="5BF8FC1F" w14:textId="77777777" w:rsidR="00DD13BF" w:rsidRPr="00790120" w:rsidRDefault="00DD13BF" w:rsidP="00355A56">
            <w:pPr>
              <w:widowControl/>
              <w:autoSpaceDE/>
              <w:autoSpaceDN/>
              <w:rPr>
                <w:rFonts w:eastAsia="Calibri"/>
              </w:rPr>
            </w:pPr>
          </w:p>
        </w:tc>
        <w:tc>
          <w:tcPr>
            <w:tcW w:w="1134" w:type="dxa"/>
            <w:vMerge/>
          </w:tcPr>
          <w:p w14:paraId="79ED2001" w14:textId="77777777" w:rsidR="00DD13BF" w:rsidRPr="00790120" w:rsidRDefault="00DD13BF" w:rsidP="00355A56">
            <w:pPr>
              <w:widowControl/>
              <w:autoSpaceDE/>
              <w:autoSpaceDN/>
              <w:rPr>
                <w:rFonts w:eastAsia="Calibri"/>
              </w:rPr>
            </w:pPr>
          </w:p>
        </w:tc>
        <w:tc>
          <w:tcPr>
            <w:tcW w:w="1984" w:type="dxa"/>
          </w:tcPr>
          <w:p w14:paraId="18F1B20A" w14:textId="77777777" w:rsidR="00DD13BF" w:rsidRPr="00790120" w:rsidRDefault="00DD13BF" w:rsidP="00355A56">
            <w:pPr>
              <w:widowControl/>
              <w:autoSpaceDE/>
              <w:autoSpaceDN/>
              <w:rPr>
                <w:rFonts w:eastAsia="Calibri"/>
              </w:rPr>
            </w:pPr>
            <w:r>
              <w:t>1. An assessment of the investment gap that needs to be addressed to ensure that all Union citizens have access to very high capacity networks (1), based on:</w:t>
            </w:r>
          </w:p>
          <w:p w14:paraId="0B47DDDD" w14:textId="77777777" w:rsidR="00DD13BF" w:rsidRPr="00790120" w:rsidRDefault="00DD13BF" w:rsidP="00355A56">
            <w:pPr>
              <w:widowControl/>
              <w:autoSpaceDE/>
              <w:autoSpaceDN/>
              <w:rPr>
                <w:rFonts w:eastAsia="Calibri"/>
              </w:rPr>
            </w:pPr>
            <w:r>
              <w:t>(a) a recent mapping (2) of existing private and public</w:t>
            </w:r>
          </w:p>
          <w:p w14:paraId="5F170B8D" w14:textId="77777777" w:rsidR="00DD13BF" w:rsidRPr="00790120" w:rsidRDefault="00DD13BF" w:rsidP="00355A56">
            <w:pPr>
              <w:widowControl/>
              <w:autoSpaceDE/>
              <w:autoSpaceDN/>
              <w:rPr>
                <w:rFonts w:eastAsia="Calibri"/>
              </w:rPr>
            </w:pPr>
            <w:r>
              <w:t>infrastructure and quality of service using standard</w:t>
            </w:r>
          </w:p>
          <w:p w14:paraId="1222F6C5" w14:textId="77777777" w:rsidR="00DD13BF" w:rsidRPr="00790120" w:rsidRDefault="00DD13BF" w:rsidP="00355A56">
            <w:pPr>
              <w:widowControl/>
              <w:autoSpaceDE/>
              <w:autoSpaceDN/>
              <w:rPr>
                <w:rFonts w:eastAsia="Calibri"/>
              </w:rPr>
            </w:pPr>
            <w:r>
              <w:t>broadband mapping indicators;</w:t>
            </w:r>
          </w:p>
          <w:p w14:paraId="62618F2C" w14:textId="77777777" w:rsidR="00DD13BF" w:rsidRPr="00790120" w:rsidRDefault="00DD13BF" w:rsidP="00355A56">
            <w:pPr>
              <w:widowControl/>
              <w:autoSpaceDE/>
              <w:autoSpaceDN/>
              <w:rPr>
                <w:rFonts w:eastAsia="Calibri"/>
              </w:rPr>
            </w:pPr>
            <w:r>
              <w:lastRenderedPageBreak/>
              <w:t>(b) a consultation on planned investments in line with</w:t>
            </w:r>
          </w:p>
          <w:p w14:paraId="53BE803F" w14:textId="77777777" w:rsidR="00DD13BF" w:rsidRPr="00790120" w:rsidRDefault="00DD13BF" w:rsidP="00355A56">
            <w:pPr>
              <w:widowControl/>
              <w:autoSpaceDE/>
              <w:autoSpaceDN/>
              <w:rPr>
                <w:rFonts w:eastAsia="Calibri"/>
              </w:rPr>
            </w:pPr>
            <w:r>
              <w:t>State aid requirements.</w:t>
            </w:r>
          </w:p>
        </w:tc>
        <w:tc>
          <w:tcPr>
            <w:tcW w:w="709" w:type="dxa"/>
          </w:tcPr>
          <w:p w14:paraId="4E4AD4FE" w14:textId="77777777" w:rsidR="00DD13BF" w:rsidRPr="00790120" w:rsidRDefault="00DD13BF" w:rsidP="00355A56">
            <w:pPr>
              <w:widowControl/>
              <w:autoSpaceDE/>
              <w:autoSpaceDN/>
              <w:rPr>
                <w:rFonts w:eastAsia="Calibri"/>
              </w:rPr>
            </w:pPr>
            <w:r>
              <w:lastRenderedPageBreak/>
              <w:t>Yes</w:t>
            </w:r>
          </w:p>
        </w:tc>
        <w:tc>
          <w:tcPr>
            <w:tcW w:w="2267" w:type="dxa"/>
          </w:tcPr>
          <w:p w14:paraId="27D9E187" w14:textId="77777777" w:rsidR="00DD13BF" w:rsidRPr="00790120" w:rsidRDefault="00DD13BF" w:rsidP="00355A56">
            <w:pPr>
              <w:widowControl/>
              <w:autoSpaceDE/>
              <w:autoSpaceDN/>
              <w:rPr>
                <w:rFonts w:eastAsia="Calibri"/>
              </w:rPr>
            </w:pPr>
            <w:r>
              <w:t xml:space="preserve">Mapping by the state regulator AKOS: </w:t>
            </w:r>
            <w:hyperlink r:id="rId128" w:history="1">
              <w:r>
                <w:rPr>
                  <w:color w:val="0563C1"/>
                  <w:u w:val="single"/>
                </w:rPr>
                <w:t>https://gis.akos-rs.si/</w:t>
              </w:r>
            </w:hyperlink>
          </w:p>
          <w:p w14:paraId="6CADB5EE" w14:textId="77777777" w:rsidR="00DD13BF" w:rsidRPr="00790120" w:rsidRDefault="00DD13BF" w:rsidP="00355A56">
            <w:pPr>
              <w:widowControl/>
              <w:autoSpaceDE/>
              <w:autoSpaceDN/>
              <w:rPr>
                <w:rFonts w:eastAsia="Calibri"/>
              </w:rPr>
            </w:pPr>
            <w:r>
              <w:t xml:space="preserve">Mapping by the Mapping Authority: </w:t>
            </w:r>
            <w:hyperlink r:id="rId129" w:history="1">
              <w:r>
                <w:rPr>
                  <w:color w:val="0563C1"/>
                  <w:u w:val="single"/>
                </w:rPr>
                <w:t>https://egp.gu.gov.si/egp/</w:t>
              </w:r>
            </w:hyperlink>
          </w:p>
          <w:p w14:paraId="5F296D03" w14:textId="77777777" w:rsidR="00DD13BF" w:rsidRPr="00790120" w:rsidRDefault="00DD13BF" w:rsidP="00355A56">
            <w:pPr>
              <w:rPr>
                <w:rFonts w:eastAsia="Calibri"/>
              </w:rPr>
            </w:pPr>
          </w:p>
          <w:p w14:paraId="5347E82D" w14:textId="77777777" w:rsidR="00DD13BF" w:rsidRPr="00790120" w:rsidRDefault="00DD13BF" w:rsidP="00355A56">
            <w:r>
              <w:t xml:space="preserve">Public consultation on state aid for 2019 and 2021: </w:t>
            </w:r>
            <w:hyperlink r:id="rId130" w:history="1">
              <w:r>
                <w:rPr>
                  <w:color w:val="0563C1"/>
                  <w:u w:val="single"/>
                </w:rPr>
                <w:t>https://www.gov.si/teme/elektronske-komunikacije/</w:t>
              </w:r>
            </w:hyperlink>
          </w:p>
          <w:p w14:paraId="08A2E942" w14:textId="77777777" w:rsidR="00DD13BF" w:rsidRPr="00790120" w:rsidRDefault="00DD13BF" w:rsidP="00355A56">
            <w:pPr>
              <w:widowControl/>
              <w:autoSpaceDE/>
              <w:autoSpaceDN/>
            </w:pPr>
          </w:p>
          <w:p w14:paraId="6CDB3375" w14:textId="77777777" w:rsidR="00DD13BF" w:rsidRPr="00790120" w:rsidRDefault="00425F22" w:rsidP="00355A56">
            <w:pPr>
              <w:widowControl/>
              <w:autoSpaceDE/>
              <w:autoSpaceDN/>
              <w:rPr>
                <w:rFonts w:eastAsia="Calibri"/>
              </w:rPr>
            </w:pPr>
            <w:hyperlink r:id="rId131" w:history="1">
              <w:r w:rsidR="00DD13BF">
                <w:rPr>
                  <w:color w:val="0563C1" w:themeColor="hyperlink"/>
                  <w:u w:val="single"/>
                </w:rPr>
                <w:t xml:space="preserve">Gigabyte Infrastructure </w:t>
              </w:r>
              <w:r w:rsidR="00DD13BF">
                <w:rPr>
                  <w:color w:val="0563C1" w:themeColor="hyperlink"/>
                  <w:u w:val="single"/>
                </w:rPr>
                <w:lastRenderedPageBreak/>
                <w:t>Development Plan by 2030</w:t>
              </w:r>
            </w:hyperlink>
          </w:p>
          <w:p w14:paraId="30520F55" w14:textId="77777777" w:rsidR="00DD13BF" w:rsidRPr="00790120" w:rsidRDefault="00DD13BF" w:rsidP="00355A56">
            <w:pPr>
              <w:widowControl/>
              <w:autoSpaceDE/>
              <w:autoSpaceDN/>
              <w:jc w:val="center"/>
              <w:rPr>
                <w:rFonts w:eastAsia="Calibri"/>
              </w:rPr>
            </w:pPr>
          </w:p>
        </w:tc>
        <w:tc>
          <w:tcPr>
            <w:tcW w:w="3402" w:type="dxa"/>
          </w:tcPr>
          <w:p w14:paraId="57230539" w14:textId="77777777" w:rsidR="00DD13BF" w:rsidRPr="00790120" w:rsidRDefault="00DD13BF" w:rsidP="00355A56">
            <w:pPr>
              <w:jc w:val="both"/>
            </w:pPr>
            <w:r>
              <w:lastRenderedPageBreak/>
              <w:t xml:space="preserve">The assessment of the investment gap is part of the Gigabyte Infrastructure Development Plan by 2030 adopted by the Government of the Republic of Slovenia on 25 August 2022. </w:t>
            </w:r>
          </w:p>
          <w:p w14:paraId="758C3146" w14:textId="77777777" w:rsidR="00DD13BF" w:rsidRPr="00790120" w:rsidRDefault="00DD13BF" w:rsidP="00355A56">
            <w:pPr>
              <w:jc w:val="both"/>
            </w:pPr>
          </w:p>
          <w:p w14:paraId="1E4B34E8" w14:textId="77777777" w:rsidR="00DD13BF" w:rsidRPr="00790120" w:rsidRDefault="00DD13BF" w:rsidP="00355A56">
            <w:pPr>
              <w:widowControl/>
              <w:autoSpaceDE/>
              <w:autoSpaceDN/>
              <w:jc w:val="both"/>
            </w:pPr>
            <w:r>
              <w:t xml:space="preserve">Mapping and public consultations on the planned investments are carried out prior to each public tender for co-financing the construction of next-generation broadband networks or will be carried out prior to the implementation of other measures to promote connectivity, which will be co-financed from public funds. </w:t>
            </w:r>
          </w:p>
          <w:p w14:paraId="4639601A" w14:textId="77777777" w:rsidR="00DD13BF" w:rsidRPr="00790120" w:rsidRDefault="00DD13BF" w:rsidP="00355A56">
            <w:pPr>
              <w:widowControl/>
              <w:autoSpaceDE/>
              <w:autoSpaceDN/>
              <w:jc w:val="both"/>
              <w:rPr>
                <w:rFonts w:eastAsia="Calibri"/>
              </w:rPr>
            </w:pPr>
          </w:p>
          <w:p w14:paraId="2228ABA6" w14:textId="77777777" w:rsidR="00DD13BF" w:rsidRPr="00790120" w:rsidRDefault="00DD13BF" w:rsidP="00355A56">
            <w:pPr>
              <w:widowControl/>
              <w:autoSpaceDE/>
              <w:autoSpaceDN/>
              <w:spacing w:after="160" w:line="259" w:lineRule="auto"/>
              <w:contextualSpacing/>
              <w:jc w:val="both"/>
              <w:rPr>
                <w:rFonts w:eastAsia="Calibri"/>
              </w:rPr>
            </w:pPr>
          </w:p>
        </w:tc>
      </w:tr>
      <w:tr w:rsidR="00DD13BF" w:rsidRPr="00790120" w14:paraId="1791CDD5" w14:textId="77777777" w:rsidTr="00355A56">
        <w:trPr>
          <w:trHeight w:val="353"/>
        </w:trPr>
        <w:tc>
          <w:tcPr>
            <w:tcW w:w="1538" w:type="dxa"/>
            <w:vMerge/>
          </w:tcPr>
          <w:p w14:paraId="7D2BC225" w14:textId="77777777" w:rsidR="00DD13BF" w:rsidRPr="00790120" w:rsidRDefault="00DD13BF" w:rsidP="00355A56">
            <w:pPr>
              <w:widowControl/>
              <w:autoSpaceDE/>
              <w:autoSpaceDN/>
              <w:rPr>
                <w:rFonts w:eastAsia="Calibri"/>
              </w:rPr>
            </w:pPr>
          </w:p>
        </w:tc>
        <w:tc>
          <w:tcPr>
            <w:tcW w:w="877" w:type="dxa"/>
            <w:vMerge/>
          </w:tcPr>
          <w:p w14:paraId="12C4117C" w14:textId="77777777" w:rsidR="00DD13BF" w:rsidRPr="00790120" w:rsidRDefault="00DD13BF" w:rsidP="00355A56">
            <w:pPr>
              <w:widowControl/>
              <w:autoSpaceDE/>
              <w:autoSpaceDN/>
              <w:rPr>
                <w:rFonts w:eastAsia="Calibri"/>
              </w:rPr>
            </w:pPr>
          </w:p>
        </w:tc>
        <w:tc>
          <w:tcPr>
            <w:tcW w:w="1985" w:type="dxa"/>
            <w:vMerge/>
          </w:tcPr>
          <w:p w14:paraId="06DF8842" w14:textId="77777777" w:rsidR="00DD13BF" w:rsidRPr="00790120" w:rsidRDefault="00DD13BF" w:rsidP="00355A56">
            <w:pPr>
              <w:widowControl/>
              <w:autoSpaceDE/>
              <w:autoSpaceDN/>
              <w:rPr>
                <w:rFonts w:eastAsia="Calibri"/>
              </w:rPr>
            </w:pPr>
          </w:p>
        </w:tc>
        <w:tc>
          <w:tcPr>
            <w:tcW w:w="1134" w:type="dxa"/>
            <w:vMerge/>
          </w:tcPr>
          <w:p w14:paraId="487B0705" w14:textId="77777777" w:rsidR="00DD13BF" w:rsidRPr="00790120" w:rsidRDefault="00DD13BF" w:rsidP="00355A56">
            <w:pPr>
              <w:widowControl/>
              <w:autoSpaceDE/>
              <w:autoSpaceDN/>
              <w:rPr>
                <w:rFonts w:eastAsia="Calibri"/>
              </w:rPr>
            </w:pPr>
          </w:p>
        </w:tc>
        <w:tc>
          <w:tcPr>
            <w:tcW w:w="1984" w:type="dxa"/>
          </w:tcPr>
          <w:p w14:paraId="32C929C0" w14:textId="77777777" w:rsidR="00DD13BF" w:rsidRPr="00790120" w:rsidRDefault="00DD13BF" w:rsidP="00355A56">
            <w:pPr>
              <w:widowControl/>
              <w:autoSpaceDE/>
              <w:autoSpaceDN/>
              <w:rPr>
                <w:rFonts w:eastAsia="Calibri"/>
              </w:rPr>
            </w:pPr>
            <w:r>
              <w:t>2. The justification of planned public intervention on the basis of</w:t>
            </w:r>
          </w:p>
          <w:p w14:paraId="6A5389E8" w14:textId="77777777" w:rsidR="00DD13BF" w:rsidRPr="00790120" w:rsidRDefault="00DD13BF" w:rsidP="00355A56">
            <w:pPr>
              <w:widowControl/>
              <w:autoSpaceDE/>
              <w:autoSpaceDN/>
              <w:rPr>
                <w:rFonts w:eastAsia="Calibri"/>
              </w:rPr>
            </w:pPr>
            <w:r>
              <w:t>sustainable investment models that:</w:t>
            </w:r>
          </w:p>
          <w:p w14:paraId="21DE7D59" w14:textId="77777777" w:rsidR="00DD13BF" w:rsidRPr="00790120" w:rsidRDefault="00DD13BF" w:rsidP="00355A56">
            <w:pPr>
              <w:widowControl/>
              <w:autoSpaceDE/>
              <w:autoSpaceDN/>
              <w:rPr>
                <w:rFonts w:eastAsia="Calibri"/>
              </w:rPr>
            </w:pPr>
          </w:p>
          <w:p w14:paraId="6F7B80AB" w14:textId="77777777" w:rsidR="00DD13BF" w:rsidRPr="00790120" w:rsidRDefault="00DD13BF" w:rsidP="00355A56">
            <w:pPr>
              <w:widowControl/>
              <w:autoSpaceDE/>
              <w:autoSpaceDN/>
              <w:rPr>
                <w:rFonts w:eastAsia="Calibri"/>
              </w:rPr>
            </w:pPr>
            <w:r>
              <w:t>(a) enhance affordability and access to open,</w:t>
            </w:r>
          </w:p>
          <w:p w14:paraId="700408F1" w14:textId="77777777" w:rsidR="00DD13BF" w:rsidRPr="00790120" w:rsidRDefault="00DD13BF" w:rsidP="00355A56">
            <w:pPr>
              <w:widowControl/>
              <w:autoSpaceDE/>
              <w:autoSpaceDN/>
              <w:rPr>
                <w:rFonts w:eastAsia="Calibri"/>
              </w:rPr>
            </w:pPr>
            <w:r>
              <w:t>quality and future-proof infrastructure and</w:t>
            </w:r>
          </w:p>
          <w:p w14:paraId="65D80A3F" w14:textId="77777777" w:rsidR="00DD13BF" w:rsidRPr="00790120" w:rsidRDefault="00DD13BF" w:rsidP="00355A56">
            <w:pPr>
              <w:widowControl/>
              <w:autoSpaceDE/>
              <w:autoSpaceDN/>
              <w:rPr>
                <w:rFonts w:eastAsia="Calibri"/>
              </w:rPr>
            </w:pPr>
            <w:r>
              <w:t>services;</w:t>
            </w:r>
          </w:p>
          <w:p w14:paraId="2C0E071A" w14:textId="77777777" w:rsidR="00DD13BF" w:rsidRPr="00790120" w:rsidRDefault="00DD13BF" w:rsidP="00355A56">
            <w:pPr>
              <w:widowControl/>
              <w:autoSpaceDE/>
              <w:autoSpaceDN/>
              <w:rPr>
                <w:rFonts w:eastAsia="Calibri"/>
              </w:rPr>
            </w:pPr>
          </w:p>
          <w:p w14:paraId="31333FB8" w14:textId="77777777" w:rsidR="00DD13BF" w:rsidRPr="00790120" w:rsidRDefault="00DD13BF" w:rsidP="00355A56">
            <w:pPr>
              <w:widowControl/>
              <w:autoSpaceDE/>
              <w:autoSpaceDN/>
              <w:rPr>
                <w:rFonts w:eastAsia="Calibri"/>
              </w:rPr>
            </w:pPr>
            <w:r>
              <w:t>(b) adjust the forms of financial assistance to the identified</w:t>
            </w:r>
          </w:p>
          <w:p w14:paraId="1620566E" w14:textId="77777777" w:rsidR="00DD13BF" w:rsidRPr="00790120" w:rsidRDefault="00DD13BF" w:rsidP="00355A56">
            <w:pPr>
              <w:widowControl/>
              <w:autoSpaceDE/>
              <w:autoSpaceDN/>
              <w:rPr>
                <w:rFonts w:eastAsia="Calibri"/>
              </w:rPr>
            </w:pPr>
            <w:r>
              <w:t>market failures;</w:t>
            </w:r>
          </w:p>
          <w:p w14:paraId="71A0729B" w14:textId="77777777" w:rsidR="00DD13BF" w:rsidRPr="00790120" w:rsidRDefault="00DD13BF" w:rsidP="00355A56">
            <w:pPr>
              <w:widowControl/>
              <w:autoSpaceDE/>
              <w:autoSpaceDN/>
              <w:rPr>
                <w:rFonts w:eastAsia="Calibri"/>
              </w:rPr>
            </w:pPr>
          </w:p>
          <w:p w14:paraId="33598A70" w14:textId="77777777" w:rsidR="00DD13BF" w:rsidRPr="00790120" w:rsidRDefault="00DD13BF" w:rsidP="00355A56">
            <w:pPr>
              <w:widowControl/>
              <w:autoSpaceDE/>
              <w:autoSpaceDN/>
              <w:rPr>
                <w:rFonts w:eastAsia="Calibri"/>
              </w:rPr>
            </w:pPr>
            <w:r>
              <w:t xml:space="preserve">(c) allow for a complementary use </w:t>
            </w:r>
            <w:r>
              <w:lastRenderedPageBreak/>
              <w:t>of different forms of financing</w:t>
            </w:r>
          </w:p>
          <w:p w14:paraId="0D20B458" w14:textId="77777777" w:rsidR="00DD13BF" w:rsidRPr="00790120" w:rsidRDefault="00DD13BF" w:rsidP="00355A56">
            <w:pPr>
              <w:widowControl/>
              <w:autoSpaceDE/>
              <w:autoSpaceDN/>
              <w:rPr>
                <w:rFonts w:eastAsia="Calibri"/>
              </w:rPr>
            </w:pPr>
            <w:r>
              <w:t>from Union, national or regional sources.</w:t>
            </w:r>
          </w:p>
        </w:tc>
        <w:tc>
          <w:tcPr>
            <w:tcW w:w="709" w:type="dxa"/>
          </w:tcPr>
          <w:p w14:paraId="3AB35CA6" w14:textId="77777777" w:rsidR="00DD13BF" w:rsidRPr="00790120" w:rsidRDefault="00DD13BF" w:rsidP="00355A56">
            <w:pPr>
              <w:widowControl/>
              <w:autoSpaceDE/>
              <w:autoSpaceDN/>
              <w:rPr>
                <w:rFonts w:eastAsia="Calibri"/>
              </w:rPr>
            </w:pPr>
            <w:r>
              <w:lastRenderedPageBreak/>
              <w:t>Yes</w:t>
            </w:r>
          </w:p>
        </w:tc>
        <w:tc>
          <w:tcPr>
            <w:tcW w:w="2267" w:type="dxa"/>
          </w:tcPr>
          <w:p w14:paraId="0DF62D7D" w14:textId="77777777" w:rsidR="00DD13BF" w:rsidRPr="00790120" w:rsidRDefault="00DD13BF" w:rsidP="00355A56">
            <w:r>
              <w:t xml:space="preserve">Proposal for a new </w:t>
            </w:r>
            <w:hyperlink r:id="rId132" w:history="1">
              <w:r>
                <w:rPr>
                  <w:color w:val="0563C1" w:themeColor="hyperlink"/>
                  <w:u w:val="single"/>
                </w:rPr>
                <w:t>Electronic Communications Act (ZEKom-2) – draft in discussion</w:t>
              </w:r>
            </w:hyperlink>
          </w:p>
          <w:p w14:paraId="383BDE71" w14:textId="77777777" w:rsidR="00DD13BF" w:rsidRPr="00790120" w:rsidRDefault="00DD13BF" w:rsidP="00355A56">
            <w:pPr>
              <w:widowControl/>
              <w:autoSpaceDE/>
              <w:autoSpaceDN/>
              <w:rPr>
                <w:rFonts w:eastAsia="Calibri"/>
              </w:rPr>
            </w:pPr>
          </w:p>
        </w:tc>
        <w:tc>
          <w:tcPr>
            <w:tcW w:w="3402" w:type="dxa"/>
          </w:tcPr>
          <w:p w14:paraId="6BD15A35" w14:textId="77777777" w:rsidR="00DD13BF" w:rsidRPr="00790120" w:rsidRDefault="00DD13BF" w:rsidP="00355A56">
            <w:pPr>
              <w:widowControl/>
              <w:autoSpaceDE/>
              <w:autoSpaceDN/>
              <w:jc w:val="both"/>
              <w:rPr>
                <w:rFonts w:eastAsia="Calibri"/>
              </w:rPr>
            </w:pPr>
            <w:r>
              <w:t>The market analysis of needs is ongoing.</w:t>
            </w:r>
          </w:p>
          <w:p w14:paraId="597E9631" w14:textId="77777777" w:rsidR="00DD13BF" w:rsidRPr="00790120" w:rsidRDefault="00DD13BF" w:rsidP="00355A56">
            <w:pPr>
              <w:widowControl/>
              <w:autoSpaceDE/>
              <w:autoSpaceDN/>
              <w:jc w:val="both"/>
              <w:rPr>
                <w:rFonts w:eastAsia="Calibri"/>
              </w:rPr>
            </w:pPr>
            <w:r>
              <w:t>Based on market interest and the results of public tenders, the measures proposed in the ECP 2021–2027 Programme will enhance access to open and high-quality infrastructure and services. The AKOS will monitor the openness of the infrastructure. The draft of the new Electronic Communications Act (ZEK) includes the necessary provisions, also from the aspect of commissions.</w:t>
            </w:r>
          </w:p>
          <w:p w14:paraId="6854C837" w14:textId="77777777" w:rsidR="00DD13BF" w:rsidRPr="00790120" w:rsidRDefault="00DD13BF" w:rsidP="00355A56">
            <w:pPr>
              <w:widowControl/>
              <w:autoSpaceDE/>
              <w:autoSpaceDN/>
              <w:jc w:val="both"/>
              <w:rPr>
                <w:rFonts w:eastAsia="Calibri"/>
              </w:rPr>
            </w:pPr>
            <w:r>
              <w:t>In addition to funds allocated in the MFF for 2021–2027, funds are also planned for the RRP. Measures to prevent double funding will be implemented systematically.</w:t>
            </w:r>
          </w:p>
        </w:tc>
      </w:tr>
      <w:tr w:rsidR="00DD13BF" w:rsidRPr="00790120" w14:paraId="30F479C5" w14:textId="77777777" w:rsidTr="00355A56">
        <w:trPr>
          <w:trHeight w:val="353"/>
        </w:trPr>
        <w:tc>
          <w:tcPr>
            <w:tcW w:w="1538" w:type="dxa"/>
            <w:vMerge/>
          </w:tcPr>
          <w:p w14:paraId="4F9234C7" w14:textId="77777777" w:rsidR="00DD13BF" w:rsidRPr="00790120" w:rsidRDefault="00DD13BF" w:rsidP="00355A56">
            <w:pPr>
              <w:widowControl/>
              <w:autoSpaceDE/>
              <w:autoSpaceDN/>
              <w:rPr>
                <w:rFonts w:eastAsia="Calibri"/>
              </w:rPr>
            </w:pPr>
          </w:p>
        </w:tc>
        <w:tc>
          <w:tcPr>
            <w:tcW w:w="877" w:type="dxa"/>
            <w:vMerge/>
          </w:tcPr>
          <w:p w14:paraId="36FF8C50" w14:textId="77777777" w:rsidR="00DD13BF" w:rsidRPr="00790120" w:rsidRDefault="00DD13BF" w:rsidP="00355A56">
            <w:pPr>
              <w:widowControl/>
              <w:autoSpaceDE/>
              <w:autoSpaceDN/>
              <w:rPr>
                <w:rFonts w:eastAsia="Calibri"/>
              </w:rPr>
            </w:pPr>
          </w:p>
        </w:tc>
        <w:tc>
          <w:tcPr>
            <w:tcW w:w="1985" w:type="dxa"/>
            <w:vMerge/>
          </w:tcPr>
          <w:p w14:paraId="04B6A09F" w14:textId="77777777" w:rsidR="00DD13BF" w:rsidRPr="00790120" w:rsidRDefault="00DD13BF" w:rsidP="00355A56">
            <w:pPr>
              <w:widowControl/>
              <w:autoSpaceDE/>
              <w:autoSpaceDN/>
              <w:rPr>
                <w:rFonts w:eastAsia="Calibri"/>
              </w:rPr>
            </w:pPr>
          </w:p>
        </w:tc>
        <w:tc>
          <w:tcPr>
            <w:tcW w:w="1134" w:type="dxa"/>
            <w:vMerge/>
          </w:tcPr>
          <w:p w14:paraId="6D3CB925" w14:textId="77777777" w:rsidR="00DD13BF" w:rsidRPr="00790120" w:rsidRDefault="00DD13BF" w:rsidP="00355A56">
            <w:pPr>
              <w:widowControl/>
              <w:autoSpaceDE/>
              <w:autoSpaceDN/>
              <w:rPr>
                <w:rFonts w:eastAsia="Calibri"/>
              </w:rPr>
            </w:pPr>
          </w:p>
        </w:tc>
        <w:tc>
          <w:tcPr>
            <w:tcW w:w="1984" w:type="dxa"/>
          </w:tcPr>
          <w:p w14:paraId="4D97A1EC" w14:textId="77777777" w:rsidR="00DD13BF" w:rsidRPr="00790120" w:rsidRDefault="00DD13BF" w:rsidP="00355A56">
            <w:pPr>
              <w:widowControl/>
              <w:autoSpaceDE/>
              <w:autoSpaceDN/>
              <w:rPr>
                <w:rFonts w:eastAsia="Calibri"/>
              </w:rPr>
            </w:pPr>
            <w:r>
              <w:t>3. Measures to support demand and use of very high</w:t>
            </w:r>
          </w:p>
          <w:p w14:paraId="4D2BC0B6" w14:textId="77777777" w:rsidR="00DD13BF" w:rsidRPr="00790120" w:rsidRDefault="00DD13BF" w:rsidP="00355A56">
            <w:pPr>
              <w:widowControl/>
              <w:autoSpaceDE/>
              <w:autoSpaceDN/>
              <w:rPr>
                <w:rFonts w:eastAsia="Calibri"/>
              </w:rPr>
            </w:pPr>
            <w:r>
              <w:t>capacity networks, including actions to facilitate their</w:t>
            </w:r>
          </w:p>
          <w:p w14:paraId="228CE820" w14:textId="77777777" w:rsidR="00DD13BF" w:rsidRPr="00790120" w:rsidRDefault="00DD13BF" w:rsidP="00355A56">
            <w:pPr>
              <w:widowControl/>
              <w:autoSpaceDE/>
              <w:autoSpaceDN/>
              <w:rPr>
                <w:rFonts w:eastAsia="Calibri"/>
              </w:rPr>
            </w:pPr>
            <w:r>
              <w:t>roll-out, in particular through the effective implementation of the Directive 2014/61/EU</w:t>
            </w:r>
          </w:p>
          <w:p w14:paraId="12B1DD95" w14:textId="77777777" w:rsidR="00DD13BF" w:rsidRPr="00790120" w:rsidRDefault="00DD13BF" w:rsidP="00355A56">
            <w:pPr>
              <w:widowControl/>
              <w:autoSpaceDE/>
              <w:autoSpaceDN/>
              <w:rPr>
                <w:rFonts w:eastAsia="Calibri"/>
              </w:rPr>
            </w:pPr>
            <w:r>
              <w:t>of the European Parliament and of the Council.</w:t>
            </w:r>
          </w:p>
        </w:tc>
        <w:tc>
          <w:tcPr>
            <w:tcW w:w="709" w:type="dxa"/>
          </w:tcPr>
          <w:p w14:paraId="4C8E5B52" w14:textId="77777777" w:rsidR="00DD13BF" w:rsidRPr="00790120" w:rsidRDefault="00DD13BF" w:rsidP="00355A56">
            <w:pPr>
              <w:widowControl/>
              <w:autoSpaceDE/>
              <w:autoSpaceDN/>
              <w:rPr>
                <w:rFonts w:eastAsia="Calibri"/>
              </w:rPr>
            </w:pPr>
            <w:r>
              <w:t>Yes</w:t>
            </w:r>
          </w:p>
        </w:tc>
        <w:tc>
          <w:tcPr>
            <w:tcW w:w="2267" w:type="dxa"/>
          </w:tcPr>
          <w:p w14:paraId="0C52297E" w14:textId="77777777" w:rsidR="00DD13BF" w:rsidRPr="00790120" w:rsidRDefault="00DD13BF" w:rsidP="00355A56">
            <w:r>
              <w:t xml:space="preserve">Currently applicable </w:t>
            </w:r>
            <w:hyperlink r:id="rId133" w:history="1">
              <w:r>
                <w:rPr>
                  <w:color w:val="0563C1" w:themeColor="hyperlink"/>
                  <w:u w:val="single"/>
                </w:rPr>
                <w:t xml:space="preserve">Electronic Communications Act </w:t>
              </w:r>
            </w:hyperlink>
            <w:r>
              <w:t xml:space="preserve"> (ZEKom-1) </w:t>
            </w:r>
          </w:p>
          <w:p w14:paraId="470E6BF0" w14:textId="77777777" w:rsidR="00DD13BF" w:rsidRPr="00790120" w:rsidRDefault="00DD13BF" w:rsidP="00355A56"/>
          <w:p w14:paraId="0F4FB3A0" w14:textId="77777777" w:rsidR="00DD13BF" w:rsidRPr="00790120" w:rsidRDefault="00DD13BF" w:rsidP="00355A56">
            <w:pPr>
              <w:rPr>
                <w:color w:val="0563C1"/>
                <w:u w:val="single"/>
              </w:rPr>
            </w:pPr>
            <w:r w:rsidRPr="00790120">
              <w:fldChar w:fldCharType="begin"/>
            </w:r>
            <w:r w:rsidRPr="00790120">
              <w:instrText xml:space="preserve"> HYPERLINK "https://ec.europa.eu/newsroom/dae/redirection/document/86972" </w:instrText>
            </w:r>
            <w:r w:rsidRPr="00790120">
              <w:fldChar w:fldCharType="separate"/>
            </w:r>
            <w:r>
              <w:rPr>
                <w:color w:val="0563C1"/>
                <w:u w:val="single"/>
              </w:rPr>
              <w:t>Connectivity Toolbox</w:t>
            </w:r>
          </w:p>
          <w:p w14:paraId="7FAAC801" w14:textId="77777777" w:rsidR="00DD13BF" w:rsidRPr="00790120" w:rsidRDefault="00DD13BF" w:rsidP="00355A56">
            <w:pPr>
              <w:rPr>
                <w:color w:val="0563C1"/>
                <w:u w:val="single"/>
              </w:rPr>
            </w:pPr>
            <w:r>
              <w:rPr>
                <w:color w:val="0563C1"/>
                <w:u w:val="single"/>
              </w:rPr>
              <w:t>Implementation Report of</w:t>
            </w:r>
          </w:p>
          <w:p w14:paraId="55C7C81F" w14:textId="77777777" w:rsidR="00DD13BF" w:rsidRPr="00790120" w:rsidRDefault="00DD13BF" w:rsidP="00355A56">
            <w:r>
              <w:rPr>
                <w:color w:val="0563C1"/>
                <w:u w:val="single"/>
              </w:rPr>
              <w:t>the Republic of Slovenia</w:t>
            </w:r>
            <w:r w:rsidRPr="00790120">
              <w:fldChar w:fldCharType="end"/>
            </w:r>
          </w:p>
        </w:tc>
        <w:tc>
          <w:tcPr>
            <w:tcW w:w="3402" w:type="dxa"/>
          </w:tcPr>
          <w:p w14:paraId="6C552D8B" w14:textId="77777777" w:rsidR="00DD13BF" w:rsidRPr="00790120" w:rsidRDefault="00DD13BF" w:rsidP="00355A56">
            <w:pPr>
              <w:widowControl/>
              <w:autoSpaceDE/>
              <w:autoSpaceDN/>
              <w:jc w:val="both"/>
              <w:rPr>
                <w:rFonts w:eastAsia="Calibri"/>
              </w:rPr>
            </w:pPr>
            <w:r>
              <w:t>Directive 2014/61/EU</w:t>
            </w:r>
          </w:p>
          <w:p w14:paraId="1AC116FF" w14:textId="77777777" w:rsidR="00DD13BF" w:rsidRPr="00790120" w:rsidRDefault="00DD13BF" w:rsidP="00355A56">
            <w:pPr>
              <w:widowControl/>
              <w:autoSpaceDE/>
              <w:autoSpaceDN/>
              <w:jc w:val="both"/>
              <w:rPr>
                <w:rFonts w:eastAsia="Calibri"/>
              </w:rPr>
            </w:pPr>
            <w:r>
              <w:t xml:space="preserve">of the European Parliament and of the Council was transposed to the Slovenian legislation with the currently applicable ZEKom-1. </w:t>
            </w:r>
          </w:p>
          <w:p w14:paraId="7C9C04E2" w14:textId="77777777" w:rsidR="00DD13BF" w:rsidRPr="00790120" w:rsidRDefault="00DD13BF" w:rsidP="00355A56">
            <w:pPr>
              <w:jc w:val="both"/>
            </w:pPr>
            <w:r>
              <w:t>The European Electronic Communications Code will be transposed to the Slovenian legislation with the ZEKom-1, which is currently undergoing the first reading of the ordinary legislative procedure in the National Assembly. Following general discussion, the National Assembly, on 1 July 2022, adopted the decision that the proposal for the ZEKom-2 is suitable for further consideration; therefore, the legislative procedure continues, and the draft act is expected to be adopted in the coming months.</w:t>
            </w:r>
          </w:p>
          <w:p w14:paraId="0874408D" w14:textId="77777777" w:rsidR="00DD13BF" w:rsidRPr="00790120" w:rsidRDefault="00DD13BF" w:rsidP="00355A56">
            <w:pPr>
              <w:jc w:val="both"/>
            </w:pPr>
          </w:p>
          <w:p w14:paraId="6EDD0ACE" w14:textId="77777777" w:rsidR="00DD13BF" w:rsidRPr="00790120" w:rsidRDefault="00DD13BF" w:rsidP="00355A56">
            <w:pPr>
              <w:widowControl/>
              <w:autoSpaceDE/>
              <w:autoSpaceDN/>
              <w:jc w:val="both"/>
              <w:rPr>
                <w:rFonts w:eastAsia="Calibri"/>
              </w:rPr>
            </w:pPr>
            <w:r>
              <w:t xml:space="preserve">A full report on measures to support demand and use of very high capacity networks is available as </w:t>
            </w:r>
            <w:r>
              <w:lastRenderedPageBreak/>
              <w:t>part of the “Connectivity Toolbox Implementation Report of the Republic of Slovenia”.</w:t>
            </w:r>
          </w:p>
        </w:tc>
      </w:tr>
      <w:tr w:rsidR="00DD13BF" w:rsidRPr="00790120" w14:paraId="17DF80EF" w14:textId="77777777" w:rsidTr="00355A56">
        <w:trPr>
          <w:trHeight w:val="353"/>
        </w:trPr>
        <w:tc>
          <w:tcPr>
            <w:tcW w:w="1538" w:type="dxa"/>
            <w:vMerge/>
          </w:tcPr>
          <w:p w14:paraId="2DF05B00" w14:textId="77777777" w:rsidR="00DD13BF" w:rsidRPr="00790120" w:rsidRDefault="00DD13BF" w:rsidP="00355A56">
            <w:pPr>
              <w:widowControl/>
              <w:autoSpaceDE/>
              <w:autoSpaceDN/>
              <w:rPr>
                <w:rFonts w:eastAsia="Calibri"/>
              </w:rPr>
            </w:pPr>
          </w:p>
        </w:tc>
        <w:tc>
          <w:tcPr>
            <w:tcW w:w="877" w:type="dxa"/>
            <w:vMerge/>
          </w:tcPr>
          <w:p w14:paraId="78DFE012" w14:textId="77777777" w:rsidR="00DD13BF" w:rsidRPr="00790120" w:rsidRDefault="00DD13BF" w:rsidP="00355A56">
            <w:pPr>
              <w:widowControl/>
              <w:autoSpaceDE/>
              <w:autoSpaceDN/>
              <w:rPr>
                <w:rFonts w:eastAsia="Calibri"/>
              </w:rPr>
            </w:pPr>
          </w:p>
        </w:tc>
        <w:tc>
          <w:tcPr>
            <w:tcW w:w="1985" w:type="dxa"/>
            <w:vMerge/>
          </w:tcPr>
          <w:p w14:paraId="3FA400E9" w14:textId="77777777" w:rsidR="00DD13BF" w:rsidRPr="00790120" w:rsidRDefault="00DD13BF" w:rsidP="00355A56">
            <w:pPr>
              <w:widowControl/>
              <w:autoSpaceDE/>
              <w:autoSpaceDN/>
              <w:rPr>
                <w:rFonts w:eastAsia="Calibri"/>
              </w:rPr>
            </w:pPr>
          </w:p>
        </w:tc>
        <w:tc>
          <w:tcPr>
            <w:tcW w:w="1134" w:type="dxa"/>
            <w:vMerge/>
          </w:tcPr>
          <w:p w14:paraId="11C3B38E" w14:textId="77777777" w:rsidR="00DD13BF" w:rsidRPr="00790120" w:rsidRDefault="00DD13BF" w:rsidP="00355A56">
            <w:pPr>
              <w:widowControl/>
              <w:autoSpaceDE/>
              <w:autoSpaceDN/>
              <w:rPr>
                <w:rFonts w:eastAsia="Calibri"/>
              </w:rPr>
            </w:pPr>
          </w:p>
        </w:tc>
        <w:tc>
          <w:tcPr>
            <w:tcW w:w="1984" w:type="dxa"/>
          </w:tcPr>
          <w:p w14:paraId="1BCBF7F3" w14:textId="77777777" w:rsidR="00DD13BF" w:rsidRPr="00790120" w:rsidRDefault="00DD13BF" w:rsidP="00355A56">
            <w:pPr>
              <w:widowControl/>
              <w:autoSpaceDE/>
              <w:autoSpaceDN/>
              <w:rPr>
                <w:rFonts w:eastAsia="Calibri"/>
              </w:rPr>
            </w:pPr>
            <w:r>
              <w:t>4. Technical assistance and expert advice mechanisms, such as a Broadband Competence Office, to reinforce</w:t>
            </w:r>
          </w:p>
          <w:p w14:paraId="7AF3E2F1" w14:textId="77777777" w:rsidR="00DD13BF" w:rsidRPr="00790120" w:rsidRDefault="00DD13BF" w:rsidP="00355A56">
            <w:pPr>
              <w:widowControl/>
              <w:autoSpaceDE/>
              <w:autoSpaceDN/>
              <w:rPr>
                <w:rFonts w:eastAsia="Calibri"/>
              </w:rPr>
            </w:pPr>
            <w:r>
              <w:t>the capacity of local stakeholders and advise</w:t>
            </w:r>
          </w:p>
          <w:p w14:paraId="79562432" w14:textId="77777777" w:rsidR="00DD13BF" w:rsidRPr="00790120" w:rsidRDefault="00DD13BF" w:rsidP="00355A56">
            <w:pPr>
              <w:widowControl/>
              <w:autoSpaceDE/>
              <w:autoSpaceDN/>
              <w:rPr>
                <w:rFonts w:eastAsia="Calibri"/>
              </w:rPr>
            </w:pPr>
            <w:r>
              <w:t>project promoters.</w:t>
            </w:r>
          </w:p>
        </w:tc>
        <w:tc>
          <w:tcPr>
            <w:tcW w:w="709" w:type="dxa"/>
          </w:tcPr>
          <w:p w14:paraId="78B77AB0" w14:textId="77777777" w:rsidR="00DD13BF" w:rsidRPr="00790120" w:rsidRDefault="00DD13BF" w:rsidP="00355A56">
            <w:pPr>
              <w:widowControl/>
              <w:autoSpaceDE/>
              <w:autoSpaceDN/>
              <w:rPr>
                <w:rFonts w:eastAsia="Calibri"/>
              </w:rPr>
            </w:pPr>
            <w:r>
              <w:t>Yes</w:t>
            </w:r>
          </w:p>
        </w:tc>
        <w:tc>
          <w:tcPr>
            <w:tcW w:w="2267" w:type="dxa"/>
          </w:tcPr>
          <w:p w14:paraId="31EA9AC3" w14:textId="77777777" w:rsidR="00DD13BF" w:rsidRPr="00790120" w:rsidRDefault="00DD13BF" w:rsidP="00355A56">
            <w:pPr>
              <w:widowControl/>
              <w:autoSpaceDE/>
              <w:autoSpaceDN/>
              <w:rPr>
                <w:rFonts w:eastAsia="Calibri"/>
              </w:rPr>
            </w:pPr>
            <w:r>
              <w:t xml:space="preserve">Broadband Competence Office: </w:t>
            </w:r>
            <w:hyperlink r:id="rId134" w:history="1">
              <w:r>
                <w:rPr>
                  <w:color w:val="0563C1"/>
                  <w:u w:val="single"/>
                </w:rPr>
                <w:t>https://www.gov.si/teme/elektronske-komunikacije/</w:t>
              </w:r>
            </w:hyperlink>
          </w:p>
          <w:p w14:paraId="1040092E" w14:textId="77777777" w:rsidR="00DD13BF" w:rsidRPr="00790120" w:rsidRDefault="00DD13BF" w:rsidP="00355A56">
            <w:pPr>
              <w:widowControl/>
              <w:autoSpaceDE/>
              <w:autoSpaceDN/>
              <w:rPr>
                <w:rFonts w:eastAsia="Calibri"/>
              </w:rPr>
            </w:pPr>
          </w:p>
        </w:tc>
        <w:tc>
          <w:tcPr>
            <w:tcW w:w="3402" w:type="dxa"/>
          </w:tcPr>
          <w:p w14:paraId="03ACD121" w14:textId="77777777" w:rsidR="00DD13BF" w:rsidRPr="00790120" w:rsidRDefault="00DD13BF" w:rsidP="00355A56">
            <w:pPr>
              <w:widowControl/>
              <w:autoSpaceDE/>
              <w:autoSpaceDN/>
              <w:jc w:val="both"/>
              <w:rPr>
                <w:rFonts w:eastAsia="Calibri"/>
              </w:rPr>
            </w:pPr>
            <w:r>
              <w:t xml:space="preserve">The Broadband Competence Office (BCO) operates within the Office of the Government of the Republic of Slovenia for Digital Transformation. Its objective is to provide support for local stakeholders in the field of broadband infrastructure. </w:t>
            </w:r>
          </w:p>
        </w:tc>
      </w:tr>
      <w:tr w:rsidR="00DD13BF" w:rsidRPr="00790120" w14:paraId="532BE1C5" w14:textId="77777777" w:rsidTr="00355A56">
        <w:trPr>
          <w:trHeight w:val="353"/>
        </w:trPr>
        <w:tc>
          <w:tcPr>
            <w:tcW w:w="1538" w:type="dxa"/>
            <w:vMerge/>
          </w:tcPr>
          <w:p w14:paraId="74620F29" w14:textId="77777777" w:rsidR="00DD13BF" w:rsidRPr="00790120" w:rsidRDefault="00DD13BF" w:rsidP="00355A56">
            <w:pPr>
              <w:widowControl/>
              <w:autoSpaceDE/>
              <w:autoSpaceDN/>
              <w:rPr>
                <w:rFonts w:eastAsia="Calibri"/>
              </w:rPr>
            </w:pPr>
          </w:p>
        </w:tc>
        <w:tc>
          <w:tcPr>
            <w:tcW w:w="877" w:type="dxa"/>
            <w:vMerge/>
          </w:tcPr>
          <w:p w14:paraId="70EC9CE4" w14:textId="77777777" w:rsidR="00DD13BF" w:rsidRPr="00790120" w:rsidRDefault="00DD13BF" w:rsidP="00355A56">
            <w:pPr>
              <w:widowControl/>
              <w:autoSpaceDE/>
              <w:autoSpaceDN/>
              <w:rPr>
                <w:rFonts w:eastAsia="Calibri"/>
              </w:rPr>
            </w:pPr>
          </w:p>
        </w:tc>
        <w:tc>
          <w:tcPr>
            <w:tcW w:w="1985" w:type="dxa"/>
            <w:vMerge/>
          </w:tcPr>
          <w:p w14:paraId="404BC08D" w14:textId="77777777" w:rsidR="00DD13BF" w:rsidRPr="00790120" w:rsidRDefault="00DD13BF" w:rsidP="00355A56">
            <w:pPr>
              <w:widowControl/>
              <w:autoSpaceDE/>
              <w:autoSpaceDN/>
              <w:rPr>
                <w:rFonts w:eastAsia="Calibri"/>
              </w:rPr>
            </w:pPr>
          </w:p>
        </w:tc>
        <w:tc>
          <w:tcPr>
            <w:tcW w:w="1134" w:type="dxa"/>
            <w:vMerge/>
          </w:tcPr>
          <w:p w14:paraId="3526C674" w14:textId="77777777" w:rsidR="00DD13BF" w:rsidRPr="00790120" w:rsidRDefault="00DD13BF" w:rsidP="00355A56">
            <w:pPr>
              <w:widowControl/>
              <w:autoSpaceDE/>
              <w:autoSpaceDN/>
              <w:rPr>
                <w:rFonts w:eastAsia="Calibri"/>
              </w:rPr>
            </w:pPr>
          </w:p>
        </w:tc>
        <w:tc>
          <w:tcPr>
            <w:tcW w:w="1984" w:type="dxa"/>
          </w:tcPr>
          <w:p w14:paraId="2B9812D4" w14:textId="77777777" w:rsidR="00DD13BF" w:rsidRPr="00790120" w:rsidRDefault="00DD13BF" w:rsidP="00355A56">
            <w:pPr>
              <w:widowControl/>
              <w:autoSpaceDE/>
              <w:autoSpaceDN/>
              <w:rPr>
                <w:rFonts w:eastAsia="Calibri"/>
              </w:rPr>
            </w:pPr>
            <w:r>
              <w:t>5. A monitoring mechanism based on standard</w:t>
            </w:r>
          </w:p>
          <w:p w14:paraId="04171BD2" w14:textId="77777777" w:rsidR="00DD13BF" w:rsidRPr="00790120" w:rsidRDefault="00DD13BF" w:rsidP="00355A56">
            <w:pPr>
              <w:widowControl/>
              <w:autoSpaceDE/>
              <w:autoSpaceDN/>
              <w:rPr>
                <w:rFonts w:eastAsia="Calibri"/>
              </w:rPr>
            </w:pPr>
            <w:r>
              <w:t>broadband mapping indicators.</w:t>
            </w:r>
          </w:p>
        </w:tc>
        <w:tc>
          <w:tcPr>
            <w:tcW w:w="709" w:type="dxa"/>
          </w:tcPr>
          <w:p w14:paraId="059301BD" w14:textId="77777777" w:rsidR="00DD13BF" w:rsidRPr="00790120" w:rsidRDefault="00DD13BF" w:rsidP="00355A56">
            <w:pPr>
              <w:widowControl/>
              <w:autoSpaceDE/>
              <w:autoSpaceDN/>
              <w:rPr>
                <w:rFonts w:eastAsia="Calibri"/>
              </w:rPr>
            </w:pPr>
            <w:r>
              <w:t>Yes</w:t>
            </w:r>
          </w:p>
        </w:tc>
        <w:tc>
          <w:tcPr>
            <w:tcW w:w="2267" w:type="dxa"/>
          </w:tcPr>
          <w:p w14:paraId="73B656D8" w14:textId="77777777" w:rsidR="00DD13BF" w:rsidRPr="00790120" w:rsidRDefault="00DD13BF" w:rsidP="00355A56">
            <w:pPr>
              <w:widowControl/>
              <w:autoSpaceDE/>
              <w:autoSpaceDN/>
              <w:rPr>
                <w:rFonts w:eastAsia="Calibri"/>
              </w:rPr>
            </w:pPr>
            <w:r>
              <w:t xml:space="preserve">Mapping by the Mapping Authority: </w:t>
            </w:r>
            <w:hyperlink r:id="rId135" w:history="1">
              <w:r>
                <w:rPr>
                  <w:color w:val="0563C1"/>
                  <w:u w:val="single"/>
                </w:rPr>
                <w:t>https://egp.gu.gov.si/egp/</w:t>
              </w:r>
            </w:hyperlink>
          </w:p>
        </w:tc>
        <w:tc>
          <w:tcPr>
            <w:tcW w:w="3402" w:type="dxa"/>
          </w:tcPr>
          <w:p w14:paraId="352E9C99" w14:textId="77777777" w:rsidR="00DD13BF" w:rsidRPr="00790120" w:rsidRDefault="00DD13BF" w:rsidP="00355A56">
            <w:pPr>
              <w:jc w:val="both"/>
            </w:pPr>
            <w:r>
              <w:t xml:space="preserve">A monitoring mechanism based on standard broadband mapping indicators has been established and is freely available. </w:t>
            </w:r>
          </w:p>
          <w:p w14:paraId="583A646F" w14:textId="77777777" w:rsidR="00DD13BF" w:rsidRPr="00790120" w:rsidRDefault="00DD13BF" w:rsidP="00355A56">
            <w:pPr>
              <w:widowControl/>
              <w:autoSpaceDE/>
              <w:autoSpaceDN/>
              <w:jc w:val="both"/>
              <w:rPr>
                <w:rFonts w:eastAsia="Calibri"/>
              </w:rPr>
            </w:pPr>
          </w:p>
        </w:tc>
      </w:tr>
      <w:tr w:rsidR="00DD13BF" w:rsidRPr="00790120" w14:paraId="2237970A" w14:textId="77777777" w:rsidTr="00355A56">
        <w:trPr>
          <w:trHeight w:val="353"/>
        </w:trPr>
        <w:tc>
          <w:tcPr>
            <w:tcW w:w="1538" w:type="dxa"/>
            <w:vMerge w:val="restart"/>
          </w:tcPr>
          <w:p w14:paraId="55812E89" w14:textId="77777777" w:rsidR="00DD13BF" w:rsidRPr="00790120" w:rsidRDefault="00DD13BF" w:rsidP="00355A56">
            <w:pPr>
              <w:widowControl/>
              <w:autoSpaceDE/>
              <w:autoSpaceDN/>
              <w:rPr>
                <w:rFonts w:eastAsia="Calibri"/>
              </w:rPr>
            </w:pPr>
            <w:r>
              <w:t>2.1. Strategic policy</w:t>
            </w:r>
          </w:p>
          <w:p w14:paraId="57E33428" w14:textId="77777777" w:rsidR="00DD13BF" w:rsidRPr="00790120" w:rsidRDefault="00DD13BF" w:rsidP="00355A56">
            <w:pPr>
              <w:widowControl/>
              <w:autoSpaceDE/>
              <w:autoSpaceDN/>
              <w:rPr>
                <w:rFonts w:eastAsia="Calibri"/>
              </w:rPr>
            </w:pPr>
            <w:r>
              <w:t>framework</w:t>
            </w:r>
          </w:p>
          <w:p w14:paraId="4254BC12" w14:textId="77777777" w:rsidR="00DD13BF" w:rsidRPr="00790120" w:rsidRDefault="00DD13BF" w:rsidP="00355A56">
            <w:pPr>
              <w:widowControl/>
              <w:autoSpaceDE/>
              <w:autoSpaceDN/>
              <w:rPr>
                <w:rFonts w:eastAsia="Calibri"/>
              </w:rPr>
            </w:pPr>
            <w:r>
              <w:t>to support</w:t>
            </w:r>
          </w:p>
          <w:p w14:paraId="47BFDAB3" w14:textId="77777777" w:rsidR="00DD13BF" w:rsidRPr="00790120" w:rsidRDefault="00DD13BF" w:rsidP="00355A56">
            <w:pPr>
              <w:widowControl/>
              <w:autoSpaceDE/>
              <w:autoSpaceDN/>
              <w:rPr>
                <w:rFonts w:eastAsia="Calibri"/>
              </w:rPr>
            </w:pPr>
            <w:r>
              <w:t>energy efficiency</w:t>
            </w:r>
          </w:p>
          <w:p w14:paraId="2635EEE7" w14:textId="77777777" w:rsidR="00DD13BF" w:rsidRPr="00790120" w:rsidRDefault="00DD13BF" w:rsidP="00355A56">
            <w:pPr>
              <w:widowControl/>
              <w:autoSpaceDE/>
              <w:autoSpaceDN/>
              <w:rPr>
                <w:rFonts w:eastAsia="Calibri"/>
              </w:rPr>
            </w:pPr>
            <w:r>
              <w:t>renovation of</w:t>
            </w:r>
          </w:p>
          <w:p w14:paraId="7E1AE0A4" w14:textId="77777777" w:rsidR="00DD13BF" w:rsidRPr="00790120" w:rsidRDefault="00DD13BF" w:rsidP="00355A56">
            <w:pPr>
              <w:widowControl/>
              <w:autoSpaceDE/>
              <w:autoSpaceDN/>
              <w:rPr>
                <w:rFonts w:eastAsia="Calibri"/>
              </w:rPr>
            </w:pPr>
            <w:r>
              <w:t>residential and</w:t>
            </w:r>
          </w:p>
          <w:p w14:paraId="6828F3C7" w14:textId="77777777" w:rsidR="00DD13BF" w:rsidRPr="00790120" w:rsidRDefault="00DD13BF" w:rsidP="00355A56">
            <w:pPr>
              <w:widowControl/>
              <w:autoSpaceDE/>
              <w:autoSpaceDN/>
              <w:rPr>
                <w:rFonts w:eastAsia="Calibri"/>
              </w:rPr>
            </w:pPr>
            <w:r>
              <w:t>non-residential</w:t>
            </w:r>
          </w:p>
          <w:p w14:paraId="061D1168" w14:textId="77777777" w:rsidR="00DD13BF" w:rsidRPr="00790120" w:rsidRDefault="00DD13BF" w:rsidP="00355A56">
            <w:pPr>
              <w:widowControl/>
              <w:autoSpaceDE/>
              <w:autoSpaceDN/>
              <w:rPr>
                <w:rFonts w:eastAsia="Calibri"/>
              </w:rPr>
            </w:pPr>
            <w:r>
              <w:t>buildings</w:t>
            </w:r>
          </w:p>
        </w:tc>
        <w:tc>
          <w:tcPr>
            <w:tcW w:w="877" w:type="dxa"/>
            <w:vMerge w:val="restart"/>
          </w:tcPr>
          <w:p w14:paraId="24317CC7" w14:textId="77777777" w:rsidR="00DD13BF" w:rsidRPr="00790120" w:rsidRDefault="00DD13BF" w:rsidP="00355A56">
            <w:pPr>
              <w:widowControl/>
              <w:autoSpaceDE/>
              <w:autoSpaceDN/>
              <w:rPr>
                <w:rFonts w:eastAsia="Calibri"/>
              </w:rPr>
            </w:pPr>
            <w:r>
              <w:t>ERDF and CF</w:t>
            </w:r>
          </w:p>
        </w:tc>
        <w:tc>
          <w:tcPr>
            <w:tcW w:w="1985" w:type="dxa"/>
            <w:vMerge w:val="restart"/>
          </w:tcPr>
          <w:p w14:paraId="198CA866" w14:textId="77777777" w:rsidR="00DD13BF" w:rsidRPr="00790120" w:rsidRDefault="00DD13BF" w:rsidP="00355A56">
            <w:pPr>
              <w:widowControl/>
              <w:autoSpaceDE/>
              <w:autoSpaceDN/>
              <w:rPr>
                <w:rFonts w:eastAsia="Calibri"/>
              </w:rPr>
            </w:pPr>
            <w:r>
              <w:t>RSO2.1: Promoting energy efficiency and reducing greenhouse gas emissions</w:t>
            </w:r>
          </w:p>
        </w:tc>
        <w:tc>
          <w:tcPr>
            <w:tcW w:w="1134" w:type="dxa"/>
            <w:vMerge w:val="restart"/>
          </w:tcPr>
          <w:p w14:paraId="44251D2F" w14:textId="77777777" w:rsidR="00DD13BF" w:rsidRPr="00790120" w:rsidRDefault="00DD13BF" w:rsidP="00355A56">
            <w:pPr>
              <w:widowControl/>
              <w:autoSpaceDE/>
              <w:autoSpaceDN/>
              <w:rPr>
                <w:rFonts w:eastAsia="Calibri"/>
              </w:rPr>
            </w:pPr>
            <w:r>
              <w:t>No</w:t>
            </w:r>
          </w:p>
        </w:tc>
        <w:tc>
          <w:tcPr>
            <w:tcW w:w="1984" w:type="dxa"/>
          </w:tcPr>
          <w:p w14:paraId="5EDD5C87" w14:textId="77777777" w:rsidR="00DD13BF" w:rsidRPr="00790120" w:rsidRDefault="00DD13BF" w:rsidP="00355A56">
            <w:pPr>
              <w:widowControl/>
              <w:autoSpaceDE/>
              <w:autoSpaceDN/>
              <w:rPr>
                <w:rFonts w:eastAsia="Calibri"/>
              </w:rPr>
            </w:pPr>
            <w:r>
              <w:t>1. A national long term renovation strategy to support the renovation</w:t>
            </w:r>
          </w:p>
          <w:p w14:paraId="6D3399AE" w14:textId="77777777" w:rsidR="00DD13BF" w:rsidRPr="00790120" w:rsidRDefault="00DD13BF" w:rsidP="00355A56">
            <w:pPr>
              <w:widowControl/>
              <w:autoSpaceDE/>
              <w:autoSpaceDN/>
              <w:rPr>
                <w:rFonts w:eastAsia="Calibri"/>
              </w:rPr>
            </w:pPr>
            <w:r>
              <w:t>of the national stock of residential and non-residential buildings</w:t>
            </w:r>
          </w:p>
          <w:p w14:paraId="6F9BA4F7" w14:textId="77777777" w:rsidR="00DD13BF" w:rsidRPr="00790120" w:rsidRDefault="00DD13BF" w:rsidP="00355A56">
            <w:pPr>
              <w:widowControl/>
              <w:autoSpaceDE/>
              <w:autoSpaceDN/>
              <w:rPr>
                <w:rFonts w:eastAsia="Calibri"/>
              </w:rPr>
            </w:pPr>
            <w:r>
              <w:t xml:space="preserve">is adopted, in line with the requirements of </w:t>
            </w:r>
            <w:r>
              <w:lastRenderedPageBreak/>
              <w:t>Directive (EU) 2010/31/EU of the European</w:t>
            </w:r>
          </w:p>
          <w:p w14:paraId="41148234" w14:textId="77777777" w:rsidR="00DD13BF" w:rsidRPr="00790120" w:rsidRDefault="00DD13BF" w:rsidP="00355A56">
            <w:pPr>
              <w:widowControl/>
              <w:autoSpaceDE/>
              <w:autoSpaceDN/>
              <w:rPr>
                <w:rFonts w:eastAsia="Calibri"/>
              </w:rPr>
            </w:pPr>
            <w:r>
              <w:t>Parliament and of the Council, which:</w:t>
            </w:r>
          </w:p>
          <w:p w14:paraId="4AD3E313" w14:textId="77777777" w:rsidR="00DD13BF" w:rsidRPr="00790120" w:rsidRDefault="00DD13BF" w:rsidP="00355A56">
            <w:pPr>
              <w:widowControl/>
              <w:autoSpaceDE/>
              <w:autoSpaceDN/>
              <w:rPr>
                <w:rFonts w:eastAsia="Calibri"/>
              </w:rPr>
            </w:pPr>
          </w:p>
          <w:p w14:paraId="3DBB361B" w14:textId="77777777" w:rsidR="00DD13BF" w:rsidRPr="00790120" w:rsidRDefault="00DD13BF" w:rsidP="00355A56">
            <w:pPr>
              <w:widowControl/>
              <w:autoSpaceDE/>
              <w:autoSpaceDN/>
              <w:rPr>
                <w:rFonts w:eastAsia="Calibri"/>
              </w:rPr>
            </w:pPr>
            <w:r>
              <w:t>(a) entails indicative milestones for 2030, 2040 and 2050;</w:t>
            </w:r>
          </w:p>
          <w:p w14:paraId="52177A5B" w14:textId="77777777" w:rsidR="00DD13BF" w:rsidRPr="00790120" w:rsidRDefault="00DD13BF" w:rsidP="00355A56">
            <w:pPr>
              <w:widowControl/>
              <w:autoSpaceDE/>
              <w:autoSpaceDN/>
              <w:rPr>
                <w:rFonts w:eastAsia="Calibri"/>
              </w:rPr>
            </w:pPr>
          </w:p>
          <w:p w14:paraId="69BDD903" w14:textId="77777777" w:rsidR="00DD13BF" w:rsidRPr="00790120" w:rsidRDefault="00DD13BF" w:rsidP="00355A56">
            <w:pPr>
              <w:widowControl/>
              <w:autoSpaceDE/>
              <w:autoSpaceDN/>
              <w:rPr>
                <w:rFonts w:eastAsia="Calibri"/>
              </w:rPr>
            </w:pPr>
            <w:r>
              <w:t>(b) provides an indicative outline of financial resources to support</w:t>
            </w:r>
          </w:p>
          <w:p w14:paraId="333B2DC5" w14:textId="77777777" w:rsidR="00DD13BF" w:rsidRPr="00790120" w:rsidRDefault="00DD13BF" w:rsidP="00355A56">
            <w:pPr>
              <w:widowControl/>
              <w:autoSpaceDE/>
              <w:autoSpaceDN/>
              <w:rPr>
                <w:rFonts w:eastAsia="Calibri"/>
              </w:rPr>
            </w:pPr>
            <w:r>
              <w:t>the implementation of the strategy;</w:t>
            </w:r>
          </w:p>
          <w:p w14:paraId="0057A4B4" w14:textId="77777777" w:rsidR="00DD13BF" w:rsidRPr="00790120" w:rsidRDefault="00DD13BF" w:rsidP="00355A56">
            <w:pPr>
              <w:widowControl/>
              <w:autoSpaceDE/>
              <w:autoSpaceDN/>
              <w:rPr>
                <w:rFonts w:eastAsia="Calibri"/>
              </w:rPr>
            </w:pPr>
          </w:p>
          <w:p w14:paraId="3D564177" w14:textId="77777777" w:rsidR="00DD13BF" w:rsidRPr="00790120" w:rsidRDefault="00DD13BF" w:rsidP="00355A56">
            <w:pPr>
              <w:widowControl/>
              <w:autoSpaceDE/>
              <w:autoSpaceDN/>
              <w:rPr>
                <w:rFonts w:eastAsia="Calibri"/>
              </w:rPr>
            </w:pPr>
            <w:r>
              <w:t>(c) defines effective mechanisms for promoting investments in</w:t>
            </w:r>
          </w:p>
          <w:p w14:paraId="311A554A" w14:textId="77777777" w:rsidR="00DD13BF" w:rsidRPr="00790120" w:rsidRDefault="00DD13BF" w:rsidP="00355A56">
            <w:pPr>
              <w:widowControl/>
              <w:autoSpaceDE/>
              <w:autoSpaceDN/>
              <w:rPr>
                <w:rFonts w:eastAsia="Calibri"/>
              </w:rPr>
            </w:pPr>
            <w:r>
              <w:t>building renovation.</w:t>
            </w:r>
          </w:p>
        </w:tc>
        <w:tc>
          <w:tcPr>
            <w:tcW w:w="709" w:type="dxa"/>
          </w:tcPr>
          <w:p w14:paraId="5A46BEB0" w14:textId="77777777" w:rsidR="00DD13BF" w:rsidRPr="00790120" w:rsidRDefault="00DD13BF" w:rsidP="00355A56">
            <w:pPr>
              <w:widowControl/>
              <w:autoSpaceDE/>
              <w:autoSpaceDN/>
              <w:rPr>
                <w:rFonts w:eastAsia="Calibri"/>
              </w:rPr>
            </w:pPr>
            <w:r>
              <w:lastRenderedPageBreak/>
              <w:t>Yes</w:t>
            </w:r>
          </w:p>
        </w:tc>
        <w:tc>
          <w:tcPr>
            <w:tcW w:w="2267" w:type="dxa"/>
          </w:tcPr>
          <w:p w14:paraId="670E58BA" w14:textId="77777777" w:rsidR="00DD13BF" w:rsidRPr="00790120" w:rsidRDefault="00425F22" w:rsidP="00355A56">
            <w:pPr>
              <w:widowControl/>
              <w:autoSpaceDE/>
              <w:autoSpaceDN/>
              <w:rPr>
                <w:rFonts w:eastAsia="Calibri"/>
              </w:rPr>
            </w:pPr>
            <w:hyperlink r:id="rId136" w:history="1">
              <w:r w:rsidR="00DD13BF">
                <w:rPr>
                  <w:color w:val="0563C1"/>
                  <w:u w:val="single"/>
                </w:rPr>
                <w:t>Long-term Strategy for Energy Renovation of Buildings by 2050</w:t>
              </w:r>
            </w:hyperlink>
          </w:p>
        </w:tc>
        <w:tc>
          <w:tcPr>
            <w:tcW w:w="3402" w:type="dxa"/>
          </w:tcPr>
          <w:p w14:paraId="2C6EBBE7" w14:textId="77777777" w:rsidR="00DD13BF" w:rsidRPr="00790120" w:rsidRDefault="00DD13BF" w:rsidP="00DD13BF">
            <w:pPr>
              <w:widowControl/>
              <w:numPr>
                <w:ilvl w:val="0"/>
                <w:numId w:val="51"/>
              </w:numPr>
              <w:autoSpaceDE/>
              <w:autoSpaceDN/>
              <w:spacing w:after="160" w:line="259" w:lineRule="auto"/>
              <w:contextualSpacing/>
              <w:jc w:val="both"/>
              <w:rPr>
                <w:rFonts w:eastAsia="Calibri"/>
              </w:rPr>
            </w:pPr>
            <w:r>
              <w:t xml:space="preserve">The documents specifies the indicators and milestones for 2030, 2040 and 2050. Milestones contributing to the Union’s energy efficiency targets under Directive 201227EU are also included.  The milestones are defined in the document on pages 11 and 12. </w:t>
            </w:r>
          </w:p>
          <w:p w14:paraId="2F2B48B6" w14:textId="77777777" w:rsidR="00DD13BF" w:rsidRPr="00790120" w:rsidRDefault="00DD13BF" w:rsidP="00DD13BF">
            <w:pPr>
              <w:widowControl/>
              <w:numPr>
                <w:ilvl w:val="0"/>
                <w:numId w:val="51"/>
              </w:numPr>
              <w:autoSpaceDE/>
              <w:autoSpaceDN/>
              <w:spacing w:after="160" w:line="259" w:lineRule="auto"/>
              <w:contextualSpacing/>
              <w:jc w:val="both"/>
              <w:rPr>
                <w:rFonts w:eastAsia="Calibri"/>
              </w:rPr>
            </w:pPr>
            <w:r>
              <w:lastRenderedPageBreak/>
              <w:t xml:space="preserve">The Strategy lists investments and financing sources by sectors. In addition to the existing instruments, new instruments are also planned to attain the demanding objectives of the NECP. Funds are defined on page 86 and refer to state and other resources. </w:t>
            </w:r>
          </w:p>
          <w:p w14:paraId="2A914602" w14:textId="77777777" w:rsidR="00DD13BF" w:rsidRPr="00790120" w:rsidRDefault="00DD13BF" w:rsidP="00355A56">
            <w:pPr>
              <w:widowControl/>
              <w:autoSpaceDE/>
              <w:autoSpaceDN/>
              <w:jc w:val="both"/>
              <w:rPr>
                <w:rFonts w:eastAsia="Calibri"/>
              </w:rPr>
            </w:pPr>
            <w:r>
              <w:t>Promotion and awareness mechanisms are defined in the Strategy. Chapter 4 of the Strategy sets out policies and measures to promote energy-efficient renovations. The measures include promotional activities.</w:t>
            </w:r>
          </w:p>
        </w:tc>
      </w:tr>
      <w:tr w:rsidR="00DD13BF" w:rsidRPr="00790120" w14:paraId="4C4F2644" w14:textId="77777777" w:rsidTr="00355A56">
        <w:trPr>
          <w:trHeight w:val="353"/>
        </w:trPr>
        <w:tc>
          <w:tcPr>
            <w:tcW w:w="1538" w:type="dxa"/>
            <w:vMerge/>
          </w:tcPr>
          <w:p w14:paraId="49AA2C14" w14:textId="77777777" w:rsidR="00DD13BF" w:rsidRPr="00790120" w:rsidRDefault="00DD13BF" w:rsidP="00355A56">
            <w:pPr>
              <w:widowControl/>
              <w:autoSpaceDE/>
              <w:autoSpaceDN/>
              <w:rPr>
                <w:rFonts w:eastAsia="Calibri"/>
              </w:rPr>
            </w:pPr>
          </w:p>
        </w:tc>
        <w:tc>
          <w:tcPr>
            <w:tcW w:w="877" w:type="dxa"/>
            <w:vMerge/>
          </w:tcPr>
          <w:p w14:paraId="2069E61E" w14:textId="77777777" w:rsidR="00DD13BF" w:rsidRPr="00790120" w:rsidRDefault="00DD13BF" w:rsidP="00355A56">
            <w:pPr>
              <w:widowControl/>
              <w:autoSpaceDE/>
              <w:autoSpaceDN/>
              <w:rPr>
                <w:rFonts w:eastAsia="Calibri"/>
              </w:rPr>
            </w:pPr>
          </w:p>
        </w:tc>
        <w:tc>
          <w:tcPr>
            <w:tcW w:w="1985" w:type="dxa"/>
            <w:vMerge/>
          </w:tcPr>
          <w:p w14:paraId="19ADC120" w14:textId="77777777" w:rsidR="00DD13BF" w:rsidRPr="00790120" w:rsidRDefault="00DD13BF" w:rsidP="00355A56">
            <w:pPr>
              <w:widowControl/>
              <w:autoSpaceDE/>
              <w:autoSpaceDN/>
              <w:rPr>
                <w:rFonts w:eastAsia="Calibri"/>
              </w:rPr>
            </w:pPr>
          </w:p>
        </w:tc>
        <w:tc>
          <w:tcPr>
            <w:tcW w:w="1134" w:type="dxa"/>
            <w:vMerge/>
          </w:tcPr>
          <w:p w14:paraId="39D6B341" w14:textId="77777777" w:rsidR="00DD13BF" w:rsidRPr="00790120" w:rsidRDefault="00DD13BF" w:rsidP="00355A56">
            <w:pPr>
              <w:widowControl/>
              <w:autoSpaceDE/>
              <w:autoSpaceDN/>
              <w:rPr>
                <w:rFonts w:eastAsia="Calibri"/>
              </w:rPr>
            </w:pPr>
          </w:p>
        </w:tc>
        <w:tc>
          <w:tcPr>
            <w:tcW w:w="1984" w:type="dxa"/>
          </w:tcPr>
          <w:p w14:paraId="7CA79B27" w14:textId="77777777" w:rsidR="00DD13BF" w:rsidRPr="00790120" w:rsidRDefault="00DD13BF" w:rsidP="00355A56">
            <w:pPr>
              <w:widowControl/>
              <w:autoSpaceDE/>
              <w:autoSpaceDN/>
              <w:rPr>
                <w:rFonts w:eastAsia="Calibri"/>
              </w:rPr>
            </w:pPr>
            <w:r>
              <w:t xml:space="preserve">2. Energy efficiency improvement </w:t>
            </w:r>
            <w:r>
              <w:lastRenderedPageBreak/>
              <w:t>measures to achieve</w:t>
            </w:r>
          </w:p>
          <w:p w14:paraId="44F81F81" w14:textId="77777777" w:rsidR="00DD13BF" w:rsidRPr="00790120" w:rsidRDefault="00DD13BF" w:rsidP="00355A56">
            <w:pPr>
              <w:widowControl/>
              <w:autoSpaceDE/>
              <w:autoSpaceDN/>
              <w:rPr>
                <w:rFonts w:eastAsia="Calibri"/>
              </w:rPr>
            </w:pPr>
            <w:r>
              <w:t>required energy savings</w:t>
            </w:r>
          </w:p>
        </w:tc>
        <w:tc>
          <w:tcPr>
            <w:tcW w:w="709" w:type="dxa"/>
          </w:tcPr>
          <w:p w14:paraId="7DDD66E9" w14:textId="77777777" w:rsidR="00DD13BF" w:rsidRPr="00790120" w:rsidRDefault="00DD13BF" w:rsidP="00355A56">
            <w:pPr>
              <w:widowControl/>
              <w:autoSpaceDE/>
              <w:autoSpaceDN/>
              <w:rPr>
                <w:rFonts w:eastAsia="Calibri"/>
              </w:rPr>
            </w:pPr>
            <w:r>
              <w:lastRenderedPageBreak/>
              <w:t>No</w:t>
            </w:r>
          </w:p>
        </w:tc>
        <w:tc>
          <w:tcPr>
            <w:tcW w:w="2267" w:type="dxa"/>
          </w:tcPr>
          <w:p w14:paraId="31C1EAB0" w14:textId="77777777" w:rsidR="00DD13BF" w:rsidRPr="00790120" w:rsidRDefault="00425F22" w:rsidP="00355A56">
            <w:pPr>
              <w:widowControl/>
              <w:autoSpaceDE/>
              <w:autoSpaceDN/>
              <w:spacing w:line="257" w:lineRule="auto"/>
              <w:rPr>
                <w:rFonts w:ascii="Calibri" w:eastAsia="Calibri" w:hAnsi="Calibri" w:cs="Calibri"/>
              </w:rPr>
            </w:pPr>
            <w:hyperlink r:id="rId137" w:history="1">
              <w:r w:rsidR="00DD13BF">
                <w:rPr>
                  <w:color w:val="0563C1"/>
                  <w:u w:val="single"/>
                </w:rPr>
                <w:t>Integrated National Energy and Climate Plan</w:t>
              </w:r>
            </w:hyperlink>
            <w:r w:rsidR="00DD13BF">
              <w:rPr>
                <w:color w:val="0563C1"/>
                <w:u w:val="single"/>
              </w:rPr>
              <w:t xml:space="preserve"> (NECP), </w:t>
            </w:r>
            <w:r w:rsidR="00DD13BF">
              <w:t>p. 89</w:t>
            </w:r>
          </w:p>
          <w:p w14:paraId="77552718" w14:textId="77777777" w:rsidR="00DD13BF" w:rsidRPr="00790120" w:rsidRDefault="00DD13BF" w:rsidP="00355A56">
            <w:pPr>
              <w:widowControl/>
              <w:autoSpaceDE/>
              <w:autoSpaceDN/>
            </w:pPr>
          </w:p>
        </w:tc>
        <w:tc>
          <w:tcPr>
            <w:tcW w:w="3402" w:type="dxa"/>
          </w:tcPr>
          <w:p w14:paraId="18C9B6A9" w14:textId="77777777" w:rsidR="00DD13BF" w:rsidRPr="00790120" w:rsidRDefault="00DD13BF" w:rsidP="00355A56">
            <w:pPr>
              <w:widowControl/>
              <w:autoSpaceDE/>
              <w:autoSpaceDN/>
              <w:jc w:val="both"/>
              <w:rPr>
                <w:rFonts w:eastAsia="Calibri"/>
              </w:rPr>
            </w:pPr>
            <w:r>
              <w:t xml:space="preserve">The NECP defines policies and measures to promote energy-efficient renovations on legal and strategic bases for defining </w:t>
            </w:r>
            <w:r>
              <w:lastRenderedPageBreak/>
              <w:t xml:space="preserve">objectives. Development measures are defined, i.e. horizontal and specific for residential buildings, public buildings, and the buildings of the private service sector and complementary policies. </w:t>
            </w:r>
          </w:p>
          <w:p w14:paraId="0D713D73" w14:textId="77777777" w:rsidR="00DD13BF" w:rsidRPr="00790120" w:rsidRDefault="00DD13BF" w:rsidP="00355A56">
            <w:pPr>
              <w:widowControl/>
              <w:autoSpaceDE/>
              <w:autoSpaceDN/>
              <w:jc w:val="both"/>
              <w:rPr>
                <w:rFonts w:eastAsia="Calibri"/>
              </w:rPr>
            </w:pPr>
            <w:r>
              <w:t>Also included is an overview of policies and measures in the field of wider renovation, which covers the promotion of energy efficiency and the use of renewable energy sources in buildings in general, households, and in public buildings.</w:t>
            </w:r>
          </w:p>
        </w:tc>
      </w:tr>
      <w:tr w:rsidR="00DD13BF" w:rsidRPr="00790120" w14:paraId="1110F5E8" w14:textId="77777777" w:rsidTr="00355A56">
        <w:trPr>
          <w:trHeight w:val="353"/>
        </w:trPr>
        <w:tc>
          <w:tcPr>
            <w:tcW w:w="1538" w:type="dxa"/>
            <w:vMerge w:val="restart"/>
          </w:tcPr>
          <w:p w14:paraId="137BCF1B" w14:textId="77777777" w:rsidR="00DD13BF" w:rsidRPr="00790120" w:rsidRDefault="00DD13BF" w:rsidP="00355A56">
            <w:pPr>
              <w:widowControl/>
              <w:autoSpaceDE/>
              <w:autoSpaceDN/>
              <w:rPr>
                <w:rFonts w:eastAsia="Calibri"/>
              </w:rPr>
            </w:pPr>
            <w:r>
              <w:lastRenderedPageBreak/>
              <w:t>2.2 Governance</w:t>
            </w:r>
          </w:p>
          <w:p w14:paraId="0FC4EE77" w14:textId="77777777" w:rsidR="00DD13BF" w:rsidRPr="00790120" w:rsidRDefault="00DD13BF" w:rsidP="00355A56">
            <w:pPr>
              <w:widowControl/>
              <w:autoSpaceDE/>
              <w:autoSpaceDN/>
              <w:rPr>
                <w:rFonts w:eastAsia="Calibri"/>
              </w:rPr>
            </w:pPr>
            <w:r>
              <w:t>of the energy</w:t>
            </w:r>
          </w:p>
          <w:p w14:paraId="10FD12CA" w14:textId="77777777" w:rsidR="00DD13BF" w:rsidRPr="00790120" w:rsidRDefault="00DD13BF" w:rsidP="00355A56">
            <w:pPr>
              <w:widowControl/>
              <w:autoSpaceDE/>
              <w:autoSpaceDN/>
              <w:rPr>
                <w:rFonts w:eastAsia="Calibri"/>
              </w:rPr>
            </w:pPr>
            <w:r>
              <w:t>sector</w:t>
            </w:r>
          </w:p>
        </w:tc>
        <w:tc>
          <w:tcPr>
            <w:tcW w:w="877" w:type="dxa"/>
            <w:vMerge w:val="restart"/>
          </w:tcPr>
          <w:p w14:paraId="57C694C4" w14:textId="77777777" w:rsidR="00DD13BF" w:rsidRPr="00790120" w:rsidRDefault="00DD13BF" w:rsidP="00355A56">
            <w:pPr>
              <w:widowControl/>
              <w:autoSpaceDE/>
              <w:autoSpaceDN/>
              <w:rPr>
                <w:rFonts w:eastAsia="Calibri"/>
              </w:rPr>
            </w:pPr>
            <w:r>
              <w:t>ERDF and CF</w:t>
            </w:r>
          </w:p>
        </w:tc>
        <w:tc>
          <w:tcPr>
            <w:tcW w:w="1985" w:type="dxa"/>
            <w:vMerge w:val="restart"/>
          </w:tcPr>
          <w:p w14:paraId="784604AF" w14:textId="77777777" w:rsidR="00DD13BF" w:rsidRPr="00790120" w:rsidRDefault="00DD13BF" w:rsidP="00355A56">
            <w:pPr>
              <w:widowControl/>
              <w:autoSpaceDE/>
              <w:autoSpaceDN/>
              <w:rPr>
                <w:rFonts w:eastAsia="Calibri"/>
              </w:rPr>
            </w:pPr>
            <w:r>
              <w:t>RSO2.1: Promoting energy efficiency and</w:t>
            </w:r>
          </w:p>
          <w:p w14:paraId="312E937A" w14:textId="77777777" w:rsidR="00DD13BF" w:rsidRPr="00790120" w:rsidRDefault="00DD13BF" w:rsidP="00355A56">
            <w:pPr>
              <w:widowControl/>
              <w:autoSpaceDE/>
              <w:autoSpaceDN/>
              <w:rPr>
                <w:rFonts w:eastAsia="Calibri"/>
              </w:rPr>
            </w:pPr>
            <w:r>
              <w:t>reducing greenhouse gas emissions</w:t>
            </w:r>
          </w:p>
          <w:p w14:paraId="62DC8A5B" w14:textId="77777777" w:rsidR="00DD13BF" w:rsidRPr="00790120" w:rsidRDefault="00DD13BF" w:rsidP="00355A56">
            <w:pPr>
              <w:widowControl/>
              <w:autoSpaceDE/>
              <w:autoSpaceDN/>
              <w:rPr>
                <w:rFonts w:eastAsia="Calibri"/>
              </w:rPr>
            </w:pPr>
          </w:p>
          <w:p w14:paraId="41B4B97F" w14:textId="77777777" w:rsidR="00DD13BF" w:rsidRPr="00790120" w:rsidRDefault="00DD13BF" w:rsidP="00355A56">
            <w:pPr>
              <w:widowControl/>
              <w:autoSpaceDE/>
              <w:autoSpaceDN/>
              <w:rPr>
                <w:rFonts w:eastAsia="Calibri"/>
              </w:rPr>
            </w:pPr>
            <w:r>
              <w:t>RSO2.2: Promoting renewable energy in accordance with Renewable Energy Directive (EU) 2018/2001</w:t>
            </w:r>
          </w:p>
          <w:p w14:paraId="4D3D2151" w14:textId="77777777" w:rsidR="00DD13BF" w:rsidRPr="00790120" w:rsidRDefault="00DD13BF" w:rsidP="00355A56">
            <w:pPr>
              <w:widowControl/>
              <w:autoSpaceDE/>
              <w:autoSpaceDN/>
              <w:rPr>
                <w:rFonts w:eastAsia="Calibri"/>
              </w:rPr>
            </w:pPr>
            <w:r>
              <w:t>including the sustainability criteria</w:t>
            </w:r>
          </w:p>
          <w:p w14:paraId="3D33F4A5" w14:textId="77777777" w:rsidR="00DD13BF" w:rsidRPr="00790120" w:rsidRDefault="00DD13BF" w:rsidP="00355A56">
            <w:pPr>
              <w:widowControl/>
              <w:autoSpaceDE/>
              <w:autoSpaceDN/>
              <w:rPr>
                <w:rFonts w:eastAsia="Calibri"/>
              </w:rPr>
            </w:pPr>
            <w:r>
              <w:lastRenderedPageBreak/>
              <w:t>set out therein</w:t>
            </w:r>
          </w:p>
          <w:p w14:paraId="0D3D3E14" w14:textId="77777777" w:rsidR="00DD13BF" w:rsidRPr="00790120" w:rsidRDefault="00DD13BF" w:rsidP="00355A56">
            <w:pPr>
              <w:widowControl/>
              <w:autoSpaceDE/>
              <w:autoSpaceDN/>
              <w:rPr>
                <w:rFonts w:eastAsia="Calibri"/>
              </w:rPr>
            </w:pPr>
          </w:p>
          <w:p w14:paraId="01833A78" w14:textId="77777777" w:rsidR="00DD13BF" w:rsidRPr="00790120" w:rsidRDefault="00DD13BF" w:rsidP="00355A56">
            <w:pPr>
              <w:widowControl/>
              <w:autoSpaceDE/>
              <w:autoSpaceDN/>
              <w:rPr>
                <w:rFonts w:eastAsia="Calibri"/>
              </w:rPr>
            </w:pPr>
            <w:r>
              <w:t>RSO2.3: Developing smart energy systems, grids and storage outside the Trans-European Energy Network</w:t>
            </w:r>
          </w:p>
          <w:p w14:paraId="2266BFB9" w14:textId="77777777" w:rsidR="00DD13BF" w:rsidRPr="00790120" w:rsidRDefault="00DD13BF" w:rsidP="00355A56">
            <w:pPr>
              <w:widowControl/>
              <w:autoSpaceDE/>
              <w:autoSpaceDN/>
              <w:rPr>
                <w:rFonts w:eastAsia="Calibri"/>
              </w:rPr>
            </w:pPr>
          </w:p>
          <w:p w14:paraId="5AD5E38A" w14:textId="77777777" w:rsidR="00DD13BF" w:rsidRPr="00790120" w:rsidRDefault="00DD13BF" w:rsidP="00355A56">
            <w:pPr>
              <w:widowControl/>
              <w:autoSpaceDE/>
              <w:autoSpaceDN/>
              <w:rPr>
                <w:rFonts w:eastAsia="Calibri"/>
              </w:rPr>
            </w:pPr>
          </w:p>
        </w:tc>
        <w:tc>
          <w:tcPr>
            <w:tcW w:w="1134" w:type="dxa"/>
            <w:vMerge w:val="restart"/>
          </w:tcPr>
          <w:p w14:paraId="5A87077A"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0936A97E" w14:textId="77777777" w:rsidR="00DD13BF" w:rsidRPr="00790120" w:rsidRDefault="00DD13BF" w:rsidP="00355A56">
            <w:pPr>
              <w:widowControl/>
              <w:autoSpaceDE/>
              <w:autoSpaceDN/>
              <w:jc w:val="center"/>
              <w:rPr>
                <w:rFonts w:eastAsia="Calibri"/>
              </w:rPr>
            </w:pPr>
            <w:r>
              <w:t>The integrated national energy and climate plan is notified to the Commission, in accordance with Article 3 of Regulation (EU) 2018/1999 and consistent with the long-term greenhouse gas emission reduction objectives under the Paris Agreement, which includes:</w:t>
            </w:r>
          </w:p>
        </w:tc>
      </w:tr>
      <w:tr w:rsidR="00DD13BF" w:rsidRPr="00790120" w14:paraId="36E8C7A3" w14:textId="77777777" w:rsidTr="00355A56">
        <w:trPr>
          <w:trHeight w:val="353"/>
        </w:trPr>
        <w:tc>
          <w:tcPr>
            <w:tcW w:w="1538" w:type="dxa"/>
            <w:vMerge/>
          </w:tcPr>
          <w:p w14:paraId="52B6826C" w14:textId="77777777" w:rsidR="00DD13BF" w:rsidRPr="00790120" w:rsidRDefault="00DD13BF" w:rsidP="00355A56">
            <w:pPr>
              <w:widowControl/>
              <w:autoSpaceDE/>
              <w:autoSpaceDN/>
              <w:rPr>
                <w:rFonts w:eastAsia="Calibri"/>
              </w:rPr>
            </w:pPr>
          </w:p>
        </w:tc>
        <w:tc>
          <w:tcPr>
            <w:tcW w:w="877" w:type="dxa"/>
            <w:vMerge/>
          </w:tcPr>
          <w:p w14:paraId="3EB64B77" w14:textId="77777777" w:rsidR="00DD13BF" w:rsidRPr="00790120" w:rsidRDefault="00DD13BF" w:rsidP="00355A56">
            <w:pPr>
              <w:widowControl/>
              <w:autoSpaceDE/>
              <w:autoSpaceDN/>
              <w:rPr>
                <w:rFonts w:eastAsia="Calibri"/>
              </w:rPr>
            </w:pPr>
          </w:p>
        </w:tc>
        <w:tc>
          <w:tcPr>
            <w:tcW w:w="1985" w:type="dxa"/>
            <w:vMerge/>
          </w:tcPr>
          <w:p w14:paraId="7279F316" w14:textId="77777777" w:rsidR="00DD13BF" w:rsidRPr="00790120" w:rsidRDefault="00DD13BF" w:rsidP="00355A56">
            <w:pPr>
              <w:widowControl/>
              <w:autoSpaceDE/>
              <w:autoSpaceDN/>
              <w:rPr>
                <w:rFonts w:eastAsia="Calibri"/>
              </w:rPr>
            </w:pPr>
          </w:p>
        </w:tc>
        <w:tc>
          <w:tcPr>
            <w:tcW w:w="1134" w:type="dxa"/>
            <w:vMerge/>
          </w:tcPr>
          <w:p w14:paraId="4B6F918C" w14:textId="77777777" w:rsidR="00DD13BF" w:rsidRPr="00790120" w:rsidRDefault="00DD13BF" w:rsidP="00355A56">
            <w:pPr>
              <w:widowControl/>
              <w:autoSpaceDE/>
              <w:autoSpaceDN/>
              <w:rPr>
                <w:rFonts w:eastAsia="Calibri"/>
              </w:rPr>
            </w:pPr>
          </w:p>
        </w:tc>
        <w:tc>
          <w:tcPr>
            <w:tcW w:w="1984" w:type="dxa"/>
          </w:tcPr>
          <w:p w14:paraId="122F79C2" w14:textId="77777777" w:rsidR="00DD13BF" w:rsidRPr="00790120" w:rsidRDefault="00DD13BF" w:rsidP="00355A56">
            <w:pPr>
              <w:widowControl/>
              <w:autoSpaceDE/>
              <w:autoSpaceDN/>
              <w:rPr>
                <w:rFonts w:eastAsia="Calibri"/>
              </w:rPr>
            </w:pPr>
            <w:r>
              <w:t>1. All elements required by the template set out in Annex I to Regulation</w:t>
            </w:r>
          </w:p>
          <w:p w14:paraId="425ECF68" w14:textId="77777777" w:rsidR="00DD13BF" w:rsidRPr="00790120" w:rsidRDefault="00DD13BF" w:rsidP="00355A56">
            <w:pPr>
              <w:widowControl/>
              <w:autoSpaceDE/>
              <w:autoSpaceDN/>
              <w:rPr>
                <w:rFonts w:eastAsia="Calibri"/>
              </w:rPr>
            </w:pPr>
            <w:r>
              <w:t>(EU) 2018/1999.</w:t>
            </w:r>
          </w:p>
        </w:tc>
        <w:tc>
          <w:tcPr>
            <w:tcW w:w="709" w:type="dxa"/>
          </w:tcPr>
          <w:p w14:paraId="4A47B102" w14:textId="77777777" w:rsidR="00DD13BF" w:rsidRPr="00790120" w:rsidRDefault="00DD13BF" w:rsidP="00355A56">
            <w:pPr>
              <w:widowControl/>
              <w:autoSpaceDE/>
              <w:autoSpaceDN/>
              <w:rPr>
                <w:rFonts w:eastAsia="Calibri"/>
              </w:rPr>
            </w:pPr>
            <w:r>
              <w:t>Yes</w:t>
            </w:r>
          </w:p>
        </w:tc>
        <w:tc>
          <w:tcPr>
            <w:tcW w:w="2267" w:type="dxa"/>
          </w:tcPr>
          <w:p w14:paraId="3B5E669B" w14:textId="77777777" w:rsidR="00DD13BF" w:rsidRPr="00790120" w:rsidRDefault="00425F22" w:rsidP="00355A56">
            <w:pPr>
              <w:widowControl/>
              <w:autoSpaceDE/>
              <w:autoSpaceDN/>
            </w:pPr>
            <w:hyperlink r:id="rId138" w:history="1">
              <w:r w:rsidR="00DD13BF">
                <w:rPr>
                  <w:color w:val="0563C1" w:themeColor="hyperlink"/>
                  <w:u w:val="single"/>
                </w:rPr>
                <w:t>Act on Energy Efficiency</w:t>
              </w:r>
            </w:hyperlink>
            <w:r w:rsidR="00DD13BF">
              <w:t xml:space="preserve"> (Official Gazette of the Republic of Slovenia [</w:t>
            </w:r>
            <w:r w:rsidR="00DD13BF">
              <w:rPr>
                <w:i/>
                <w:iCs/>
              </w:rPr>
              <w:t>Uradni list RS</w:t>
            </w:r>
            <w:r w:rsidR="00DD13BF">
              <w:t>], No. 158/20)</w:t>
            </w:r>
          </w:p>
        </w:tc>
        <w:tc>
          <w:tcPr>
            <w:tcW w:w="3402" w:type="dxa"/>
          </w:tcPr>
          <w:p w14:paraId="2F9309B9" w14:textId="77777777" w:rsidR="00DD13BF" w:rsidRPr="00790120" w:rsidRDefault="00DD13BF" w:rsidP="00355A56">
            <w:pPr>
              <w:widowControl/>
              <w:autoSpaceDE/>
              <w:autoSpaceDN/>
              <w:jc w:val="both"/>
            </w:pPr>
            <w:r>
              <w:t>The obligation to achieve energy savings and the methodology are prescribed by the Act on Energy Efficiency and the Decree on energy savings requirements (Official Gazette of the Republic of Slovenia [</w:t>
            </w:r>
            <w:r>
              <w:rPr>
                <w:i/>
                <w:iCs/>
              </w:rPr>
              <w:t>Uradni list RS</w:t>
            </w:r>
            <w:r>
              <w:t>], Nos. 96/14 and 158/20 – ZURE). It is specified in more detail in the Rules on the methods for determining energy savings (Official Gazette of the Republic of Slovenia [</w:t>
            </w:r>
            <w:r>
              <w:rPr>
                <w:i/>
                <w:iCs/>
              </w:rPr>
              <w:t>Uradni list RS</w:t>
            </w:r>
            <w:r>
              <w:t>], No. 57/21).</w:t>
            </w:r>
          </w:p>
        </w:tc>
      </w:tr>
      <w:tr w:rsidR="00DD13BF" w:rsidRPr="00790120" w14:paraId="766371BE" w14:textId="77777777" w:rsidTr="00355A56">
        <w:trPr>
          <w:trHeight w:val="353"/>
        </w:trPr>
        <w:tc>
          <w:tcPr>
            <w:tcW w:w="1538" w:type="dxa"/>
            <w:vMerge/>
          </w:tcPr>
          <w:p w14:paraId="1B3F925B" w14:textId="77777777" w:rsidR="00DD13BF" w:rsidRPr="00790120" w:rsidRDefault="00DD13BF" w:rsidP="00355A56">
            <w:pPr>
              <w:widowControl/>
              <w:autoSpaceDE/>
              <w:autoSpaceDN/>
              <w:rPr>
                <w:rFonts w:eastAsia="Calibri"/>
              </w:rPr>
            </w:pPr>
          </w:p>
        </w:tc>
        <w:tc>
          <w:tcPr>
            <w:tcW w:w="877" w:type="dxa"/>
            <w:vMerge/>
          </w:tcPr>
          <w:p w14:paraId="70DE743D" w14:textId="77777777" w:rsidR="00DD13BF" w:rsidRPr="00790120" w:rsidRDefault="00DD13BF" w:rsidP="00355A56">
            <w:pPr>
              <w:widowControl/>
              <w:autoSpaceDE/>
              <w:autoSpaceDN/>
              <w:rPr>
                <w:rFonts w:eastAsia="Calibri"/>
              </w:rPr>
            </w:pPr>
          </w:p>
        </w:tc>
        <w:tc>
          <w:tcPr>
            <w:tcW w:w="1985" w:type="dxa"/>
            <w:vMerge/>
          </w:tcPr>
          <w:p w14:paraId="211E376E" w14:textId="77777777" w:rsidR="00DD13BF" w:rsidRPr="00790120" w:rsidRDefault="00DD13BF" w:rsidP="00355A56">
            <w:pPr>
              <w:widowControl/>
              <w:autoSpaceDE/>
              <w:autoSpaceDN/>
              <w:rPr>
                <w:rFonts w:eastAsia="Calibri"/>
              </w:rPr>
            </w:pPr>
          </w:p>
        </w:tc>
        <w:tc>
          <w:tcPr>
            <w:tcW w:w="1134" w:type="dxa"/>
            <w:vMerge/>
          </w:tcPr>
          <w:p w14:paraId="1F4146C3" w14:textId="77777777" w:rsidR="00DD13BF" w:rsidRPr="00790120" w:rsidRDefault="00DD13BF" w:rsidP="00355A56">
            <w:pPr>
              <w:widowControl/>
              <w:autoSpaceDE/>
              <w:autoSpaceDN/>
              <w:rPr>
                <w:rFonts w:eastAsia="Calibri"/>
              </w:rPr>
            </w:pPr>
          </w:p>
        </w:tc>
        <w:tc>
          <w:tcPr>
            <w:tcW w:w="1984" w:type="dxa"/>
          </w:tcPr>
          <w:p w14:paraId="26446B7A" w14:textId="77777777" w:rsidR="00DD13BF" w:rsidRPr="00790120" w:rsidRDefault="00DD13BF" w:rsidP="00355A56">
            <w:pPr>
              <w:widowControl/>
              <w:autoSpaceDE/>
              <w:autoSpaceDN/>
              <w:rPr>
                <w:rFonts w:eastAsia="Calibri"/>
              </w:rPr>
            </w:pPr>
            <w:r>
              <w:t>2. An outline of envisaged financial resources and mechanisms for measures</w:t>
            </w:r>
          </w:p>
          <w:p w14:paraId="29DBE97C" w14:textId="77777777" w:rsidR="00DD13BF" w:rsidRPr="00790120" w:rsidRDefault="00DD13BF" w:rsidP="00355A56">
            <w:pPr>
              <w:widowControl/>
              <w:autoSpaceDE/>
              <w:autoSpaceDN/>
              <w:rPr>
                <w:rFonts w:eastAsia="Calibri"/>
              </w:rPr>
            </w:pPr>
            <w:r>
              <w:t>promoting low-carbon energy.</w:t>
            </w:r>
          </w:p>
        </w:tc>
        <w:tc>
          <w:tcPr>
            <w:tcW w:w="709" w:type="dxa"/>
            <w:tcBorders>
              <w:right w:val="single" w:sz="4" w:space="0" w:color="auto"/>
            </w:tcBorders>
          </w:tcPr>
          <w:p w14:paraId="7498FC6E" w14:textId="77777777" w:rsidR="00DD13BF" w:rsidRPr="00790120" w:rsidRDefault="00DD13BF" w:rsidP="00355A56">
            <w:pPr>
              <w:widowControl/>
              <w:autoSpaceDE/>
              <w:autoSpaceDN/>
              <w:rPr>
                <w:rFonts w:eastAsia="Calibri"/>
              </w:rPr>
            </w:pPr>
            <w:r>
              <w:t>Yes</w:t>
            </w:r>
          </w:p>
        </w:tc>
        <w:tc>
          <w:tcPr>
            <w:tcW w:w="2267" w:type="dxa"/>
            <w:tcBorders>
              <w:left w:val="single" w:sz="4" w:space="0" w:color="auto"/>
              <w:right w:val="single" w:sz="4" w:space="0" w:color="000000" w:themeColor="text1"/>
            </w:tcBorders>
          </w:tcPr>
          <w:p w14:paraId="2C19059E" w14:textId="77777777" w:rsidR="00DD13BF" w:rsidRPr="00790120" w:rsidRDefault="00425F22" w:rsidP="00355A56">
            <w:pPr>
              <w:widowControl/>
              <w:autoSpaceDE/>
              <w:autoSpaceDN/>
            </w:pPr>
            <w:hyperlink r:id="rId139" w:history="1">
              <w:r w:rsidR="00DD13BF">
                <w:rPr>
                  <w:color w:val="0563C1"/>
                  <w:u w:val="single"/>
                </w:rPr>
                <w:t>Integrated National Energy and Climate Plan</w:t>
              </w:r>
            </w:hyperlink>
            <w:r w:rsidR="00DD13BF">
              <w:rPr>
                <w:color w:val="0563C1"/>
                <w:u w:val="single"/>
              </w:rPr>
              <w:t xml:space="preserve"> (NECP), </w:t>
            </w:r>
            <w:r w:rsidR="00DD13BF">
              <w:t>p. 214</w:t>
            </w:r>
          </w:p>
        </w:tc>
        <w:tc>
          <w:tcPr>
            <w:tcW w:w="3402" w:type="dxa"/>
            <w:tcBorders>
              <w:left w:val="single" w:sz="4" w:space="0" w:color="000000" w:themeColor="text1"/>
            </w:tcBorders>
          </w:tcPr>
          <w:p w14:paraId="56F94967" w14:textId="77777777" w:rsidR="00DD13BF" w:rsidRPr="00790120" w:rsidRDefault="00DD13BF" w:rsidP="00355A56">
            <w:pPr>
              <w:widowControl/>
              <w:autoSpaceDE/>
              <w:autoSpaceDN/>
              <w:jc w:val="both"/>
              <w:rPr>
                <w:rFonts w:eastAsia="Calibri"/>
              </w:rPr>
            </w:pPr>
            <w:r>
              <w:t>Slovenia has prepared its NECP in accordance with Regulation (EU) 2018/1999 of 11 December 2018 on the Governance of the Energy Union and Climate Action. An overview of investment needs is available in paragraph 5.3.</w:t>
            </w:r>
          </w:p>
          <w:p w14:paraId="3481C771" w14:textId="77777777" w:rsidR="00DD13BF" w:rsidRPr="00790120" w:rsidRDefault="00DD13BF" w:rsidP="00355A56">
            <w:pPr>
              <w:widowControl/>
              <w:autoSpaceDE/>
              <w:autoSpaceDN/>
              <w:jc w:val="both"/>
              <w:rPr>
                <w:rFonts w:eastAsia="Calibri"/>
              </w:rPr>
            </w:pPr>
          </w:p>
          <w:p w14:paraId="71CCF76A" w14:textId="77777777" w:rsidR="00DD13BF" w:rsidRPr="00790120" w:rsidRDefault="00DD13BF" w:rsidP="00355A56">
            <w:pPr>
              <w:widowControl/>
              <w:autoSpaceDE/>
              <w:autoSpaceDN/>
              <w:jc w:val="both"/>
              <w:rPr>
                <w:rFonts w:eastAsia="Calibri"/>
              </w:rPr>
            </w:pPr>
            <w:r>
              <w:t xml:space="preserve">In the process of programming political interventions and instruments/measures listed in the NECP, it was estimated that the total investments for the 2021–2030 period should amount to approx. EUR 28.4 billion, including investments in transport infrastructure and sustainable mobility. </w:t>
            </w:r>
          </w:p>
          <w:p w14:paraId="5F3C94A4" w14:textId="77777777" w:rsidR="00DD13BF" w:rsidRPr="00790120" w:rsidRDefault="00DD13BF" w:rsidP="00355A56">
            <w:pPr>
              <w:widowControl/>
              <w:autoSpaceDE/>
              <w:autoSpaceDN/>
              <w:jc w:val="both"/>
              <w:rPr>
                <w:rFonts w:eastAsia="Calibri"/>
              </w:rPr>
            </w:pPr>
          </w:p>
          <w:p w14:paraId="321F5097" w14:textId="77777777" w:rsidR="00DD13BF" w:rsidRPr="00790120" w:rsidRDefault="00DD13BF" w:rsidP="00355A56">
            <w:pPr>
              <w:widowControl/>
              <w:autoSpaceDE/>
              <w:autoSpaceDN/>
              <w:jc w:val="both"/>
              <w:rPr>
                <w:rFonts w:eastAsia="Calibri"/>
              </w:rPr>
            </w:pPr>
            <w:r>
              <w:t xml:space="preserve">As part of the planning of the cohesion funds for the 2021–2027 period, EUR 600 to 700 million are planned for NECP activities. </w:t>
            </w:r>
          </w:p>
        </w:tc>
      </w:tr>
      <w:tr w:rsidR="00DD13BF" w:rsidRPr="00790120" w14:paraId="701C1120" w14:textId="77777777" w:rsidTr="00355A56">
        <w:trPr>
          <w:trHeight w:val="353"/>
        </w:trPr>
        <w:tc>
          <w:tcPr>
            <w:tcW w:w="1538" w:type="dxa"/>
            <w:vMerge w:val="restart"/>
          </w:tcPr>
          <w:p w14:paraId="600F6B66" w14:textId="77777777" w:rsidR="00DD13BF" w:rsidRPr="00790120" w:rsidRDefault="00DD13BF" w:rsidP="00355A56">
            <w:pPr>
              <w:widowControl/>
              <w:autoSpaceDE/>
              <w:autoSpaceDN/>
              <w:rPr>
                <w:rFonts w:eastAsia="Calibri"/>
              </w:rPr>
            </w:pPr>
            <w:r>
              <w:t>2.3 Effective</w:t>
            </w:r>
          </w:p>
          <w:p w14:paraId="4A981F1E" w14:textId="77777777" w:rsidR="00DD13BF" w:rsidRPr="00790120" w:rsidRDefault="00DD13BF" w:rsidP="00355A56">
            <w:pPr>
              <w:widowControl/>
              <w:autoSpaceDE/>
              <w:autoSpaceDN/>
              <w:rPr>
                <w:rFonts w:eastAsia="Calibri"/>
              </w:rPr>
            </w:pPr>
            <w:r>
              <w:t>promotion of the use</w:t>
            </w:r>
          </w:p>
          <w:p w14:paraId="48EE8D6D" w14:textId="77777777" w:rsidR="00DD13BF" w:rsidRPr="00790120" w:rsidRDefault="00DD13BF" w:rsidP="00355A56">
            <w:pPr>
              <w:widowControl/>
              <w:autoSpaceDE/>
              <w:autoSpaceDN/>
              <w:rPr>
                <w:rFonts w:eastAsia="Calibri"/>
              </w:rPr>
            </w:pPr>
            <w:r>
              <w:t>of renewable energy</w:t>
            </w:r>
          </w:p>
          <w:p w14:paraId="02B46C0A" w14:textId="77777777" w:rsidR="00DD13BF" w:rsidRPr="00790120" w:rsidRDefault="00DD13BF" w:rsidP="00355A56">
            <w:pPr>
              <w:widowControl/>
              <w:autoSpaceDE/>
              <w:autoSpaceDN/>
              <w:rPr>
                <w:rFonts w:eastAsia="Calibri"/>
              </w:rPr>
            </w:pPr>
            <w:r>
              <w:lastRenderedPageBreak/>
              <w:t>across sectors and across the Union</w:t>
            </w:r>
          </w:p>
        </w:tc>
        <w:tc>
          <w:tcPr>
            <w:tcW w:w="877" w:type="dxa"/>
            <w:vMerge w:val="restart"/>
          </w:tcPr>
          <w:p w14:paraId="5EA15C26" w14:textId="77777777" w:rsidR="00DD13BF" w:rsidRPr="00790120" w:rsidRDefault="00DD13BF" w:rsidP="00355A56">
            <w:pPr>
              <w:widowControl/>
              <w:autoSpaceDE/>
              <w:autoSpaceDN/>
              <w:rPr>
                <w:rFonts w:eastAsia="Calibri"/>
              </w:rPr>
            </w:pPr>
            <w:r>
              <w:lastRenderedPageBreak/>
              <w:t>ERDF and CF</w:t>
            </w:r>
          </w:p>
        </w:tc>
        <w:tc>
          <w:tcPr>
            <w:tcW w:w="1985" w:type="dxa"/>
            <w:vMerge w:val="restart"/>
          </w:tcPr>
          <w:p w14:paraId="6F591790" w14:textId="77777777" w:rsidR="00DD13BF" w:rsidRPr="00790120" w:rsidRDefault="00DD13BF" w:rsidP="00355A56">
            <w:pPr>
              <w:widowControl/>
              <w:autoSpaceDE/>
              <w:autoSpaceDN/>
              <w:rPr>
                <w:rFonts w:eastAsia="Calibri"/>
              </w:rPr>
            </w:pPr>
            <w:r>
              <w:t>RSO2.2: Promoting renewable energy in accordance with Renewable Energy Directive (EU) 2018/2001</w:t>
            </w:r>
          </w:p>
          <w:p w14:paraId="47E9E686" w14:textId="77777777" w:rsidR="00DD13BF" w:rsidRPr="00790120" w:rsidRDefault="00DD13BF" w:rsidP="00355A56">
            <w:pPr>
              <w:widowControl/>
              <w:autoSpaceDE/>
              <w:autoSpaceDN/>
              <w:rPr>
                <w:rFonts w:eastAsia="Calibri"/>
              </w:rPr>
            </w:pPr>
            <w:r>
              <w:lastRenderedPageBreak/>
              <w:t>including the sustainability criteria set out therein</w:t>
            </w:r>
          </w:p>
          <w:p w14:paraId="733D7C37" w14:textId="77777777" w:rsidR="00DD13BF" w:rsidRPr="00790120" w:rsidRDefault="00DD13BF" w:rsidP="00355A56">
            <w:pPr>
              <w:widowControl/>
              <w:autoSpaceDE/>
              <w:autoSpaceDN/>
              <w:rPr>
                <w:rFonts w:eastAsia="Calibri"/>
              </w:rPr>
            </w:pPr>
          </w:p>
        </w:tc>
        <w:tc>
          <w:tcPr>
            <w:tcW w:w="1134" w:type="dxa"/>
            <w:vMerge w:val="restart"/>
          </w:tcPr>
          <w:p w14:paraId="18D34C82"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7D2ADAE2" w14:textId="77777777" w:rsidR="00DD13BF" w:rsidRPr="00790120" w:rsidRDefault="00DD13BF" w:rsidP="00355A56">
            <w:pPr>
              <w:widowControl/>
              <w:autoSpaceDE/>
              <w:autoSpaceDN/>
              <w:jc w:val="center"/>
              <w:rPr>
                <w:rFonts w:eastAsia="Calibri"/>
              </w:rPr>
            </w:pPr>
            <w:r>
              <w:t>Measures are in place which ensure:</w:t>
            </w:r>
          </w:p>
        </w:tc>
      </w:tr>
      <w:tr w:rsidR="00DD13BF" w:rsidRPr="00790120" w14:paraId="0DBC0B6B" w14:textId="77777777" w:rsidTr="00355A56">
        <w:trPr>
          <w:trHeight w:val="353"/>
        </w:trPr>
        <w:tc>
          <w:tcPr>
            <w:tcW w:w="1538" w:type="dxa"/>
            <w:vMerge/>
          </w:tcPr>
          <w:p w14:paraId="7FC9F0BB" w14:textId="77777777" w:rsidR="00DD13BF" w:rsidRPr="00790120" w:rsidRDefault="00DD13BF" w:rsidP="00355A56">
            <w:pPr>
              <w:widowControl/>
              <w:autoSpaceDE/>
              <w:autoSpaceDN/>
              <w:rPr>
                <w:rFonts w:eastAsia="Calibri"/>
              </w:rPr>
            </w:pPr>
          </w:p>
        </w:tc>
        <w:tc>
          <w:tcPr>
            <w:tcW w:w="877" w:type="dxa"/>
            <w:vMerge/>
          </w:tcPr>
          <w:p w14:paraId="01253CBC" w14:textId="77777777" w:rsidR="00DD13BF" w:rsidRPr="00790120" w:rsidRDefault="00DD13BF" w:rsidP="00355A56">
            <w:pPr>
              <w:widowControl/>
              <w:autoSpaceDE/>
              <w:autoSpaceDN/>
              <w:rPr>
                <w:rFonts w:eastAsia="Calibri"/>
              </w:rPr>
            </w:pPr>
          </w:p>
        </w:tc>
        <w:tc>
          <w:tcPr>
            <w:tcW w:w="1985" w:type="dxa"/>
            <w:vMerge/>
          </w:tcPr>
          <w:p w14:paraId="0C97A316" w14:textId="77777777" w:rsidR="00DD13BF" w:rsidRPr="00790120" w:rsidRDefault="00DD13BF" w:rsidP="00355A56">
            <w:pPr>
              <w:widowControl/>
              <w:autoSpaceDE/>
              <w:autoSpaceDN/>
              <w:rPr>
                <w:rFonts w:eastAsia="Calibri"/>
              </w:rPr>
            </w:pPr>
          </w:p>
        </w:tc>
        <w:tc>
          <w:tcPr>
            <w:tcW w:w="1134" w:type="dxa"/>
            <w:vMerge/>
          </w:tcPr>
          <w:p w14:paraId="30582B9B" w14:textId="77777777" w:rsidR="00DD13BF" w:rsidRPr="00790120" w:rsidRDefault="00DD13BF" w:rsidP="00355A56">
            <w:pPr>
              <w:widowControl/>
              <w:autoSpaceDE/>
              <w:autoSpaceDN/>
              <w:rPr>
                <w:rFonts w:eastAsia="Calibri"/>
              </w:rPr>
            </w:pPr>
          </w:p>
        </w:tc>
        <w:tc>
          <w:tcPr>
            <w:tcW w:w="1984" w:type="dxa"/>
          </w:tcPr>
          <w:p w14:paraId="418DA985" w14:textId="77777777" w:rsidR="00DD13BF" w:rsidRPr="00790120" w:rsidRDefault="00DD13BF" w:rsidP="00355A56">
            <w:pPr>
              <w:widowControl/>
              <w:autoSpaceDE/>
              <w:autoSpaceDN/>
              <w:rPr>
                <w:rFonts w:eastAsia="Calibri"/>
              </w:rPr>
            </w:pPr>
            <w:r>
              <w:t>1. Compliance with the 2020 binding national renewable</w:t>
            </w:r>
          </w:p>
          <w:p w14:paraId="72AD2B18" w14:textId="77777777" w:rsidR="00DD13BF" w:rsidRPr="00790120" w:rsidRDefault="00DD13BF" w:rsidP="00355A56">
            <w:pPr>
              <w:widowControl/>
              <w:autoSpaceDE/>
              <w:autoSpaceDN/>
              <w:rPr>
                <w:rFonts w:eastAsia="Calibri"/>
              </w:rPr>
            </w:pPr>
            <w:r>
              <w:t>energy target and with this share of renewable</w:t>
            </w:r>
          </w:p>
          <w:p w14:paraId="785B1CB8" w14:textId="77777777" w:rsidR="00DD13BF" w:rsidRPr="00790120" w:rsidRDefault="00DD13BF" w:rsidP="00355A56">
            <w:pPr>
              <w:widowControl/>
              <w:autoSpaceDE/>
              <w:autoSpaceDN/>
              <w:rPr>
                <w:rFonts w:eastAsia="Calibri"/>
              </w:rPr>
            </w:pPr>
            <w:r>
              <w:lastRenderedPageBreak/>
              <w:t>energy as a baseline up to 2030 or adoption of</w:t>
            </w:r>
          </w:p>
          <w:p w14:paraId="5A69B95A" w14:textId="77777777" w:rsidR="00DD13BF" w:rsidRPr="00790120" w:rsidRDefault="00DD13BF" w:rsidP="00355A56">
            <w:pPr>
              <w:widowControl/>
              <w:autoSpaceDE/>
              <w:autoSpaceDN/>
              <w:rPr>
                <w:rFonts w:eastAsia="Calibri"/>
              </w:rPr>
            </w:pPr>
            <w:r>
              <w:t>additional measures in the event that the baseline is not maintained over any one-year period in accordance with the Directive (EU) 2018/2001 and</w:t>
            </w:r>
          </w:p>
          <w:p w14:paraId="24F88AF0" w14:textId="77777777" w:rsidR="00DD13BF" w:rsidRPr="00790120" w:rsidRDefault="00DD13BF" w:rsidP="00355A56">
            <w:pPr>
              <w:widowControl/>
              <w:autoSpaceDE/>
              <w:autoSpaceDN/>
              <w:rPr>
                <w:rFonts w:eastAsia="Calibri"/>
              </w:rPr>
            </w:pPr>
            <w:r>
              <w:t xml:space="preserve">Regulation (EU) 2018/1999. </w:t>
            </w:r>
          </w:p>
        </w:tc>
        <w:tc>
          <w:tcPr>
            <w:tcW w:w="709" w:type="dxa"/>
          </w:tcPr>
          <w:p w14:paraId="6DF6D979" w14:textId="77777777" w:rsidR="00DD13BF" w:rsidRPr="00790120" w:rsidRDefault="00DD13BF" w:rsidP="00355A56">
            <w:pPr>
              <w:widowControl/>
              <w:autoSpaceDE/>
              <w:autoSpaceDN/>
              <w:rPr>
                <w:rFonts w:eastAsia="Calibri"/>
              </w:rPr>
            </w:pPr>
            <w:r>
              <w:lastRenderedPageBreak/>
              <w:t>Yes</w:t>
            </w:r>
          </w:p>
        </w:tc>
        <w:tc>
          <w:tcPr>
            <w:tcW w:w="2267" w:type="dxa"/>
          </w:tcPr>
          <w:p w14:paraId="3201F151" w14:textId="77777777" w:rsidR="00DD13BF" w:rsidRPr="00790120" w:rsidRDefault="00DD13BF" w:rsidP="00355A56">
            <w:pPr>
              <w:widowControl/>
              <w:autoSpaceDE/>
              <w:autoSpaceDN/>
              <w:rPr>
                <w:rFonts w:eastAsia="Calibri"/>
              </w:rPr>
            </w:pPr>
            <w:r>
              <w:t xml:space="preserve">Data of the Statistical Office of the Republic of Slovenia available at </w:t>
            </w:r>
            <w:hyperlink r:id="rId140" w:history="1">
              <w:r>
                <w:rPr>
                  <w:color w:val="0563C1"/>
                  <w:u w:val="single"/>
                </w:rPr>
                <w:t>https://www.stat.si/StatWeb/Field/Index/5</w:t>
              </w:r>
            </w:hyperlink>
          </w:p>
          <w:p w14:paraId="0F937BBB" w14:textId="77777777" w:rsidR="00DD13BF" w:rsidRPr="00790120" w:rsidRDefault="00DD13BF" w:rsidP="00355A56">
            <w:pPr>
              <w:widowControl/>
              <w:autoSpaceDE/>
              <w:autoSpaceDN/>
              <w:rPr>
                <w:rFonts w:eastAsia="Calibri"/>
              </w:rPr>
            </w:pPr>
          </w:p>
          <w:p w14:paraId="27FE7D77" w14:textId="77777777" w:rsidR="00DD13BF" w:rsidRPr="00790120" w:rsidRDefault="00DD13BF" w:rsidP="00355A56">
            <w:pPr>
              <w:widowControl/>
              <w:autoSpaceDE/>
              <w:autoSpaceDN/>
              <w:rPr>
                <w:rFonts w:eastAsia="Calibri"/>
                <w:iCs/>
              </w:rPr>
            </w:pPr>
            <w:r>
              <w:t>Agreement on Statistical Transfer of Energy from Renewable Sources between the Republic of Slovenia and the Czech Republic</w:t>
            </w:r>
          </w:p>
          <w:p w14:paraId="69201179" w14:textId="77777777" w:rsidR="00DD13BF" w:rsidRPr="00790120" w:rsidRDefault="00DD13BF" w:rsidP="00355A56">
            <w:pPr>
              <w:widowControl/>
              <w:autoSpaceDE/>
              <w:autoSpaceDN/>
              <w:rPr>
                <w:rFonts w:eastAsia="Calibri"/>
                <w:iCs/>
              </w:rPr>
            </w:pPr>
          </w:p>
          <w:p w14:paraId="0E4B4798" w14:textId="77777777" w:rsidR="00DD13BF" w:rsidRPr="00790120" w:rsidRDefault="00DD13BF" w:rsidP="00355A56">
            <w:pPr>
              <w:widowControl/>
              <w:autoSpaceDE/>
              <w:autoSpaceDN/>
              <w:rPr>
                <w:rFonts w:eastAsia="Calibri"/>
                <w:iCs/>
              </w:rPr>
            </w:pPr>
          </w:p>
          <w:p w14:paraId="790656A0" w14:textId="77777777" w:rsidR="00DD13BF" w:rsidRPr="00790120" w:rsidRDefault="00DD13BF" w:rsidP="00355A56">
            <w:pPr>
              <w:widowControl/>
              <w:autoSpaceDE/>
              <w:autoSpaceDN/>
              <w:rPr>
                <w:rFonts w:eastAsia="Calibri"/>
              </w:rPr>
            </w:pPr>
          </w:p>
        </w:tc>
        <w:tc>
          <w:tcPr>
            <w:tcW w:w="3402" w:type="dxa"/>
          </w:tcPr>
          <w:p w14:paraId="0336321D" w14:textId="77777777" w:rsidR="00DD13BF" w:rsidRPr="00790120" w:rsidRDefault="00DD13BF" w:rsidP="00355A56">
            <w:pPr>
              <w:widowControl/>
              <w:autoSpaceDE/>
              <w:autoSpaceDN/>
              <w:jc w:val="both"/>
              <w:rPr>
                <w:rFonts w:eastAsia="Calibri"/>
              </w:rPr>
            </w:pPr>
            <w:r>
              <w:lastRenderedPageBreak/>
              <w:t>Slovenia has achieved the RES 2020 target; 24.14% was achieved in the Republic of Slovenia, and the rest through statistical transfer with the Czech Republic.</w:t>
            </w:r>
          </w:p>
          <w:p w14:paraId="512D2AEC" w14:textId="77777777" w:rsidR="00DD13BF" w:rsidRPr="00790120" w:rsidRDefault="00DD13BF" w:rsidP="00355A56">
            <w:pPr>
              <w:widowControl/>
              <w:autoSpaceDE/>
              <w:autoSpaceDN/>
              <w:jc w:val="both"/>
              <w:rPr>
                <w:rFonts w:eastAsia="Calibri"/>
              </w:rPr>
            </w:pPr>
          </w:p>
          <w:p w14:paraId="4CD475E7" w14:textId="77777777" w:rsidR="00DD13BF" w:rsidRPr="00790120" w:rsidRDefault="00DD13BF" w:rsidP="00355A56">
            <w:pPr>
              <w:widowControl/>
              <w:autoSpaceDE/>
              <w:autoSpaceDN/>
              <w:jc w:val="both"/>
              <w:rPr>
                <w:rFonts w:eastAsia="Calibri"/>
              </w:rPr>
            </w:pPr>
            <w:r>
              <w:lastRenderedPageBreak/>
              <w:t>Slovenia notified the European Commission of the agreement on statistical transfer in December 2021.</w:t>
            </w:r>
          </w:p>
        </w:tc>
      </w:tr>
      <w:tr w:rsidR="00DD13BF" w:rsidRPr="00790120" w14:paraId="734FCE0E" w14:textId="77777777" w:rsidTr="00355A56">
        <w:trPr>
          <w:trHeight w:val="353"/>
        </w:trPr>
        <w:tc>
          <w:tcPr>
            <w:tcW w:w="1538" w:type="dxa"/>
            <w:vMerge/>
          </w:tcPr>
          <w:p w14:paraId="020EBBF3" w14:textId="77777777" w:rsidR="00DD13BF" w:rsidRPr="00790120" w:rsidRDefault="00DD13BF" w:rsidP="00355A56">
            <w:pPr>
              <w:widowControl/>
              <w:autoSpaceDE/>
              <w:autoSpaceDN/>
              <w:rPr>
                <w:rFonts w:eastAsia="Calibri"/>
              </w:rPr>
            </w:pPr>
          </w:p>
        </w:tc>
        <w:tc>
          <w:tcPr>
            <w:tcW w:w="877" w:type="dxa"/>
            <w:vMerge/>
          </w:tcPr>
          <w:p w14:paraId="0A4D15F9" w14:textId="77777777" w:rsidR="00DD13BF" w:rsidRPr="00790120" w:rsidRDefault="00DD13BF" w:rsidP="00355A56">
            <w:pPr>
              <w:widowControl/>
              <w:autoSpaceDE/>
              <w:autoSpaceDN/>
              <w:rPr>
                <w:rFonts w:eastAsia="Calibri"/>
              </w:rPr>
            </w:pPr>
          </w:p>
        </w:tc>
        <w:tc>
          <w:tcPr>
            <w:tcW w:w="1985" w:type="dxa"/>
            <w:vMerge/>
          </w:tcPr>
          <w:p w14:paraId="4A50A9E1" w14:textId="77777777" w:rsidR="00DD13BF" w:rsidRPr="00790120" w:rsidRDefault="00DD13BF" w:rsidP="00355A56">
            <w:pPr>
              <w:widowControl/>
              <w:autoSpaceDE/>
              <w:autoSpaceDN/>
              <w:rPr>
                <w:rFonts w:eastAsia="Calibri"/>
              </w:rPr>
            </w:pPr>
          </w:p>
        </w:tc>
        <w:tc>
          <w:tcPr>
            <w:tcW w:w="1134" w:type="dxa"/>
            <w:vMerge/>
          </w:tcPr>
          <w:p w14:paraId="139204F5" w14:textId="77777777" w:rsidR="00DD13BF" w:rsidRPr="00790120" w:rsidRDefault="00DD13BF" w:rsidP="00355A56">
            <w:pPr>
              <w:widowControl/>
              <w:autoSpaceDE/>
              <w:autoSpaceDN/>
              <w:rPr>
                <w:rFonts w:eastAsia="Calibri"/>
              </w:rPr>
            </w:pPr>
          </w:p>
        </w:tc>
        <w:tc>
          <w:tcPr>
            <w:tcW w:w="1984" w:type="dxa"/>
          </w:tcPr>
          <w:p w14:paraId="63D4E898" w14:textId="77777777" w:rsidR="00DD13BF" w:rsidRPr="00790120" w:rsidRDefault="00DD13BF" w:rsidP="00355A56">
            <w:pPr>
              <w:widowControl/>
              <w:autoSpaceDE/>
              <w:autoSpaceDN/>
              <w:rPr>
                <w:rFonts w:eastAsia="Calibri"/>
              </w:rPr>
            </w:pPr>
            <w:r>
              <w:t>2. In accordance with the requirements of Directive (EU) 2018/2001 and Regulation (EU) 2018/1999, an increase of the share of renewable energy in the heating and cooling sector in line with Article 23 of Directive (EU)</w:t>
            </w:r>
          </w:p>
          <w:p w14:paraId="79EBF4E5" w14:textId="77777777" w:rsidR="00DD13BF" w:rsidRPr="00790120" w:rsidRDefault="00DD13BF" w:rsidP="00355A56">
            <w:pPr>
              <w:widowControl/>
              <w:autoSpaceDE/>
              <w:autoSpaceDN/>
              <w:rPr>
                <w:rFonts w:eastAsia="Calibri"/>
              </w:rPr>
            </w:pPr>
            <w:r>
              <w:t>2018/2001.</w:t>
            </w:r>
          </w:p>
        </w:tc>
        <w:tc>
          <w:tcPr>
            <w:tcW w:w="709" w:type="dxa"/>
          </w:tcPr>
          <w:p w14:paraId="6C1EE1AF" w14:textId="77777777" w:rsidR="00DD13BF" w:rsidRPr="00790120" w:rsidRDefault="00DD13BF" w:rsidP="00355A56">
            <w:pPr>
              <w:widowControl/>
              <w:autoSpaceDE/>
              <w:autoSpaceDN/>
              <w:rPr>
                <w:rFonts w:eastAsia="Calibri"/>
              </w:rPr>
            </w:pPr>
            <w:r>
              <w:t>Yes</w:t>
            </w:r>
          </w:p>
        </w:tc>
        <w:tc>
          <w:tcPr>
            <w:tcW w:w="2267" w:type="dxa"/>
          </w:tcPr>
          <w:p w14:paraId="77C4F75F" w14:textId="77777777" w:rsidR="00DD13BF" w:rsidRPr="00790120" w:rsidRDefault="00425F22" w:rsidP="00355A56">
            <w:pPr>
              <w:widowControl/>
              <w:autoSpaceDE/>
              <w:autoSpaceDN/>
              <w:spacing w:line="257" w:lineRule="auto"/>
              <w:rPr>
                <w:rFonts w:eastAsia="Calibri"/>
              </w:rPr>
            </w:pPr>
            <w:hyperlink r:id="rId141" w:history="1">
              <w:r w:rsidR="00DD13BF">
                <w:rPr>
                  <w:color w:val="0563C1"/>
                  <w:u w:val="single"/>
                </w:rPr>
                <w:t>Integrated National Energy and Climate Plan</w:t>
              </w:r>
            </w:hyperlink>
            <w:r w:rsidR="00DD13BF">
              <w:rPr>
                <w:color w:val="0563C1"/>
                <w:u w:val="single"/>
              </w:rPr>
              <w:t xml:space="preserve"> (NECP), </w:t>
            </w:r>
            <w:r w:rsidR="00DD13BF">
              <w:t>p. 138</w:t>
            </w:r>
          </w:p>
          <w:p w14:paraId="5A530101" w14:textId="77777777" w:rsidR="00DD13BF" w:rsidRPr="00790120" w:rsidRDefault="00DD13BF" w:rsidP="00355A56">
            <w:pPr>
              <w:widowControl/>
              <w:autoSpaceDE/>
              <w:autoSpaceDN/>
            </w:pPr>
          </w:p>
        </w:tc>
        <w:tc>
          <w:tcPr>
            <w:tcW w:w="3402" w:type="dxa"/>
          </w:tcPr>
          <w:p w14:paraId="3D5A6931" w14:textId="77777777" w:rsidR="00DD13BF" w:rsidRPr="00790120" w:rsidRDefault="00DD13BF" w:rsidP="00355A56">
            <w:pPr>
              <w:widowControl/>
              <w:autoSpaceDE/>
              <w:autoSpaceDN/>
              <w:jc w:val="both"/>
              <w:rPr>
                <w:rFonts w:eastAsia="Calibri"/>
              </w:rPr>
            </w:pPr>
            <w:r>
              <w:t xml:space="preserve">In 2021, the Act on the Promotion of the Use of Renewable Energy Sources (ZRSOVE) was adopted, which attains the objective of increasing the share of energy from renewable sources in the heating and cooling sector by approximately 1.3 percentage points as an annual average calculated for the periods between 2021 and 2025 and between 2026 and 2030, commencing with the share of energy from renewable sources in this sector in 2020. If this objective is not attained, it is published in the integrated national energy and climate progress report pursuant to </w:t>
            </w:r>
            <w:r>
              <w:lastRenderedPageBreak/>
              <w:t>Article 20 of Regulation (EU) 2018/1999. The ministry responsible for energy submits to the European Commission a justification including the measures to help attain the objective.</w:t>
            </w:r>
          </w:p>
          <w:p w14:paraId="508250DF" w14:textId="77777777" w:rsidR="00DD13BF" w:rsidRPr="00790120" w:rsidRDefault="00DD13BF" w:rsidP="00355A56">
            <w:pPr>
              <w:jc w:val="both"/>
              <w:rPr>
                <w:rFonts w:eastAsia="Calibri"/>
              </w:rPr>
            </w:pPr>
          </w:p>
          <w:p w14:paraId="32654D36" w14:textId="77777777" w:rsidR="00DD13BF" w:rsidRPr="00790120" w:rsidRDefault="00DD13BF" w:rsidP="00355A56">
            <w:pPr>
              <w:jc w:val="both"/>
            </w:pPr>
            <w:r>
              <w:t>It was established during the preparation of the NECP that it will be difficult to attain the tentative objective of 1.3 percentage points due to the already implemented measures, and it is realistically estimated at 0.7 percentage points. A new NECP is already being prepared, which will define complementary measures in other areas, especially in the field of ​​electricity generation, energy from RES, and transport, and also the ban on the installation of fossil fuel boilers (Article 53 of the Act on the Promotion of the Use of Renewable Energy Sources).</w:t>
            </w:r>
          </w:p>
        </w:tc>
      </w:tr>
      <w:tr w:rsidR="00DD13BF" w:rsidRPr="00790120" w14:paraId="059E5AA3" w14:textId="77777777" w:rsidTr="00355A56">
        <w:trPr>
          <w:trHeight w:val="353"/>
        </w:trPr>
        <w:tc>
          <w:tcPr>
            <w:tcW w:w="1538" w:type="dxa"/>
            <w:vMerge w:val="restart"/>
          </w:tcPr>
          <w:p w14:paraId="57A0ED30" w14:textId="77777777" w:rsidR="00DD13BF" w:rsidRPr="00790120" w:rsidRDefault="00DD13BF" w:rsidP="00355A56">
            <w:pPr>
              <w:widowControl/>
              <w:autoSpaceDE/>
              <w:autoSpaceDN/>
              <w:rPr>
                <w:rFonts w:eastAsia="Calibri"/>
              </w:rPr>
            </w:pPr>
            <w:r>
              <w:lastRenderedPageBreak/>
              <w:t>2.4 Effective</w:t>
            </w:r>
          </w:p>
          <w:p w14:paraId="53B83F40" w14:textId="77777777" w:rsidR="00DD13BF" w:rsidRPr="00790120" w:rsidRDefault="00DD13BF" w:rsidP="00355A56">
            <w:pPr>
              <w:widowControl/>
              <w:autoSpaceDE/>
              <w:autoSpaceDN/>
              <w:rPr>
                <w:rFonts w:eastAsia="Calibri"/>
              </w:rPr>
            </w:pPr>
            <w:r>
              <w:t>disaster risk</w:t>
            </w:r>
          </w:p>
          <w:p w14:paraId="5E5F5AE8" w14:textId="77777777" w:rsidR="00DD13BF" w:rsidRPr="00790120" w:rsidRDefault="00DD13BF" w:rsidP="00355A56">
            <w:pPr>
              <w:widowControl/>
              <w:autoSpaceDE/>
              <w:autoSpaceDN/>
              <w:rPr>
                <w:rFonts w:eastAsia="Calibri"/>
              </w:rPr>
            </w:pPr>
            <w:r>
              <w:t>management framework</w:t>
            </w:r>
          </w:p>
        </w:tc>
        <w:tc>
          <w:tcPr>
            <w:tcW w:w="877" w:type="dxa"/>
            <w:vMerge w:val="restart"/>
          </w:tcPr>
          <w:p w14:paraId="0B2F5C43" w14:textId="77777777" w:rsidR="00DD13BF" w:rsidRPr="00790120" w:rsidRDefault="00DD13BF" w:rsidP="00355A56">
            <w:pPr>
              <w:widowControl/>
              <w:autoSpaceDE/>
              <w:autoSpaceDN/>
              <w:rPr>
                <w:rFonts w:eastAsia="Calibri"/>
              </w:rPr>
            </w:pPr>
            <w:r>
              <w:t>ERDF and CF</w:t>
            </w:r>
          </w:p>
        </w:tc>
        <w:tc>
          <w:tcPr>
            <w:tcW w:w="1985" w:type="dxa"/>
            <w:vMerge w:val="restart"/>
          </w:tcPr>
          <w:p w14:paraId="32F331FC" w14:textId="77777777" w:rsidR="00DD13BF" w:rsidRPr="00790120" w:rsidRDefault="00DD13BF" w:rsidP="00355A56">
            <w:pPr>
              <w:widowControl/>
              <w:autoSpaceDE/>
              <w:autoSpaceDN/>
              <w:rPr>
                <w:rFonts w:eastAsia="Calibri"/>
              </w:rPr>
            </w:pPr>
            <w:r>
              <w:t>RSO2.4: Promoting climate change</w:t>
            </w:r>
          </w:p>
          <w:p w14:paraId="36D15A81" w14:textId="77777777" w:rsidR="00DD13BF" w:rsidRPr="00790120" w:rsidRDefault="00DD13BF" w:rsidP="00355A56">
            <w:pPr>
              <w:widowControl/>
              <w:autoSpaceDE/>
              <w:autoSpaceDN/>
              <w:rPr>
                <w:rFonts w:eastAsia="Calibri"/>
              </w:rPr>
            </w:pPr>
            <w:r>
              <w:t>adaptation and</w:t>
            </w:r>
          </w:p>
          <w:p w14:paraId="1889C50E" w14:textId="77777777" w:rsidR="00DD13BF" w:rsidRPr="00790120" w:rsidRDefault="00DD13BF" w:rsidP="00355A56">
            <w:pPr>
              <w:widowControl/>
              <w:autoSpaceDE/>
              <w:autoSpaceDN/>
              <w:rPr>
                <w:rFonts w:eastAsia="Calibri"/>
              </w:rPr>
            </w:pPr>
            <w:r>
              <w:lastRenderedPageBreak/>
              <w:t>disaster risk prevention and</w:t>
            </w:r>
          </w:p>
          <w:p w14:paraId="78597AC8" w14:textId="77777777" w:rsidR="00DD13BF" w:rsidRPr="00790120" w:rsidRDefault="00DD13BF" w:rsidP="00355A56">
            <w:pPr>
              <w:widowControl/>
              <w:autoSpaceDE/>
              <w:autoSpaceDN/>
              <w:rPr>
                <w:rFonts w:eastAsia="Calibri"/>
              </w:rPr>
            </w:pPr>
            <w:r>
              <w:t>resilience, taking into account</w:t>
            </w:r>
          </w:p>
          <w:p w14:paraId="1BC83C8D" w14:textId="77777777" w:rsidR="00DD13BF" w:rsidRPr="00790120" w:rsidRDefault="00DD13BF" w:rsidP="00355A56">
            <w:pPr>
              <w:widowControl/>
              <w:autoSpaceDE/>
              <w:autoSpaceDN/>
              <w:rPr>
                <w:rFonts w:eastAsia="Calibri"/>
              </w:rPr>
            </w:pPr>
            <w:r>
              <w:t>eco-system based approaches</w:t>
            </w:r>
          </w:p>
        </w:tc>
        <w:tc>
          <w:tcPr>
            <w:tcW w:w="1134" w:type="dxa"/>
            <w:vMerge w:val="restart"/>
          </w:tcPr>
          <w:p w14:paraId="6BC7A44B"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64F6BE7D" w14:textId="77777777" w:rsidR="00DD13BF" w:rsidRPr="00790120" w:rsidRDefault="00DD13BF" w:rsidP="00355A56">
            <w:pPr>
              <w:widowControl/>
              <w:autoSpaceDE/>
              <w:autoSpaceDN/>
              <w:jc w:val="center"/>
              <w:rPr>
                <w:rFonts w:eastAsia="Calibri"/>
              </w:rPr>
            </w:pPr>
            <w:r>
              <w:t>A national or regional disaster</w:t>
            </w:r>
          </w:p>
          <w:p w14:paraId="68F6BB51" w14:textId="77777777" w:rsidR="00DD13BF" w:rsidRPr="00790120" w:rsidRDefault="00DD13BF" w:rsidP="00355A56">
            <w:pPr>
              <w:widowControl/>
              <w:autoSpaceDE/>
              <w:autoSpaceDN/>
              <w:jc w:val="center"/>
              <w:rPr>
                <w:rFonts w:eastAsia="Calibri"/>
              </w:rPr>
            </w:pPr>
            <w:r>
              <w:t>risk management plan, established on the basis of risk assessments, taking due account</w:t>
            </w:r>
          </w:p>
          <w:p w14:paraId="5C7D0092" w14:textId="77777777" w:rsidR="00DD13BF" w:rsidRPr="00790120" w:rsidRDefault="00DD13BF" w:rsidP="00355A56">
            <w:pPr>
              <w:widowControl/>
              <w:autoSpaceDE/>
              <w:autoSpaceDN/>
              <w:jc w:val="center"/>
              <w:rPr>
                <w:rFonts w:eastAsia="Calibri"/>
              </w:rPr>
            </w:pPr>
            <w:r>
              <w:t>of the likely impacts of climate change and the existing</w:t>
            </w:r>
          </w:p>
          <w:p w14:paraId="428BBB54" w14:textId="77777777" w:rsidR="00DD13BF" w:rsidRPr="00790120" w:rsidRDefault="00DD13BF" w:rsidP="00355A56">
            <w:pPr>
              <w:widowControl/>
              <w:autoSpaceDE/>
              <w:autoSpaceDN/>
              <w:jc w:val="center"/>
              <w:rPr>
                <w:rFonts w:eastAsia="Calibri"/>
              </w:rPr>
            </w:pPr>
            <w:r>
              <w:t>climate adaptation strategies, is in place and includes:</w:t>
            </w:r>
          </w:p>
        </w:tc>
      </w:tr>
      <w:tr w:rsidR="00DD13BF" w:rsidRPr="00790120" w14:paraId="0D794198" w14:textId="77777777" w:rsidTr="00355A56">
        <w:trPr>
          <w:trHeight w:val="353"/>
        </w:trPr>
        <w:tc>
          <w:tcPr>
            <w:tcW w:w="1538" w:type="dxa"/>
            <w:vMerge/>
          </w:tcPr>
          <w:p w14:paraId="2707DFE1" w14:textId="77777777" w:rsidR="00DD13BF" w:rsidRPr="00790120" w:rsidRDefault="00DD13BF" w:rsidP="00355A56">
            <w:pPr>
              <w:widowControl/>
              <w:autoSpaceDE/>
              <w:autoSpaceDN/>
              <w:rPr>
                <w:rFonts w:eastAsia="Calibri"/>
              </w:rPr>
            </w:pPr>
          </w:p>
        </w:tc>
        <w:tc>
          <w:tcPr>
            <w:tcW w:w="877" w:type="dxa"/>
            <w:vMerge/>
          </w:tcPr>
          <w:p w14:paraId="74248B35" w14:textId="77777777" w:rsidR="00DD13BF" w:rsidRPr="00790120" w:rsidRDefault="00DD13BF" w:rsidP="00355A56">
            <w:pPr>
              <w:widowControl/>
              <w:autoSpaceDE/>
              <w:autoSpaceDN/>
              <w:rPr>
                <w:rFonts w:eastAsia="Calibri"/>
              </w:rPr>
            </w:pPr>
          </w:p>
        </w:tc>
        <w:tc>
          <w:tcPr>
            <w:tcW w:w="1985" w:type="dxa"/>
            <w:vMerge/>
          </w:tcPr>
          <w:p w14:paraId="38FD739B" w14:textId="77777777" w:rsidR="00DD13BF" w:rsidRPr="00790120" w:rsidRDefault="00DD13BF" w:rsidP="00355A56">
            <w:pPr>
              <w:widowControl/>
              <w:autoSpaceDE/>
              <w:autoSpaceDN/>
              <w:rPr>
                <w:rFonts w:eastAsia="Calibri"/>
              </w:rPr>
            </w:pPr>
          </w:p>
        </w:tc>
        <w:tc>
          <w:tcPr>
            <w:tcW w:w="1134" w:type="dxa"/>
            <w:vMerge/>
          </w:tcPr>
          <w:p w14:paraId="6E48C4D1" w14:textId="77777777" w:rsidR="00DD13BF" w:rsidRPr="00790120" w:rsidRDefault="00DD13BF" w:rsidP="00355A56">
            <w:pPr>
              <w:widowControl/>
              <w:autoSpaceDE/>
              <w:autoSpaceDN/>
              <w:rPr>
                <w:rFonts w:eastAsia="Calibri"/>
              </w:rPr>
            </w:pPr>
          </w:p>
        </w:tc>
        <w:tc>
          <w:tcPr>
            <w:tcW w:w="1984" w:type="dxa"/>
          </w:tcPr>
          <w:p w14:paraId="78B37903" w14:textId="77777777" w:rsidR="00DD13BF" w:rsidRPr="00790120" w:rsidRDefault="00DD13BF" w:rsidP="00355A56">
            <w:pPr>
              <w:widowControl/>
              <w:autoSpaceDE/>
              <w:autoSpaceDN/>
              <w:rPr>
                <w:rFonts w:eastAsia="Calibri"/>
              </w:rPr>
            </w:pPr>
            <w:r>
              <w:t>1. Description of key risks, assessed in accordance with Article 6(1) of Decision No 1313/2013/EU of the European Parliament and of the Council (6), reflecting the current and evolving risk profile with an indicative 25 to 35 years timespan. The assessment shall build, for climate-related risks, on climate change projections and scenarios.</w:t>
            </w:r>
          </w:p>
        </w:tc>
        <w:tc>
          <w:tcPr>
            <w:tcW w:w="709" w:type="dxa"/>
          </w:tcPr>
          <w:p w14:paraId="1836684B" w14:textId="77777777" w:rsidR="00DD13BF" w:rsidRPr="00790120" w:rsidRDefault="00DD13BF" w:rsidP="00355A56">
            <w:pPr>
              <w:widowControl/>
              <w:autoSpaceDE/>
              <w:autoSpaceDN/>
              <w:rPr>
                <w:rFonts w:eastAsia="Calibri"/>
              </w:rPr>
            </w:pPr>
            <w:r>
              <w:t>Yes</w:t>
            </w:r>
          </w:p>
        </w:tc>
        <w:tc>
          <w:tcPr>
            <w:tcW w:w="2267" w:type="dxa"/>
          </w:tcPr>
          <w:p w14:paraId="7A4BD6FD" w14:textId="77777777" w:rsidR="00DD13BF" w:rsidRPr="00790120" w:rsidRDefault="00425F22" w:rsidP="00355A56">
            <w:pPr>
              <w:widowControl/>
              <w:autoSpaceDE/>
              <w:autoSpaceDN/>
              <w:rPr>
                <w:rFonts w:eastAsia="Calibri"/>
              </w:rPr>
            </w:pPr>
            <w:hyperlink r:id="rId142" w:history="1">
              <w:r w:rsidR="00DD13BF">
                <w:rPr>
                  <w:color w:val="0563C1" w:themeColor="hyperlink"/>
                  <w:u w:val="single"/>
                </w:rPr>
                <w:t>National disaster risk assessment, version 2.0</w:t>
              </w:r>
            </w:hyperlink>
          </w:p>
          <w:p w14:paraId="4A83AEA2" w14:textId="77777777" w:rsidR="00DD13BF" w:rsidRPr="00790120" w:rsidRDefault="00DD13BF" w:rsidP="00355A56">
            <w:pPr>
              <w:widowControl/>
              <w:autoSpaceDE/>
              <w:autoSpaceDN/>
              <w:rPr>
                <w:rFonts w:eastAsia="Calibri"/>
              </w:rPr>
            </w:pPr>
          </w:p>
          <w:p w14:paraId="38CF471B" w14:textId="77777777" w:rsidR="00DD13BF" w:rsidRPr="00790120" w:rsidRDefault="00DD13BF" w:rsidP="00355A56">
            <w:pPr>
              <w:widowControl/>
              <w:autoSpaceDE/>
              <w:autoSpaceDN/>
              <w:rPr>
                <w:rFonts w:eastAsia="Calibri"/>
              </w:rPr>
            </w:pPr>
            <w:r>
              <w:t>The national disaster risk assessment has been prepared on the basis of current and changing risks. It is amended periodically in accordance with the Decree implementing the Decision on the Union Civil Protection Mechanism or when an existing risk changes or a new one emerges. Due to the foreseen amendments to the Resolution on the National Programme for Protection against Natural and Other Disasters, the national disaster risk assessment will also be amended at the beginning of 2023.</w:t>
            </w:r>
          </w:p>
        </w:tc>
        <w:tc>
          <w:tcPr>
            <w:tcW w:w="3402" w:type="dxa"/>
          </w:tcPr>
          <w:p w14:paraId="02E7B0E0" w14:textId="77777777" w:rsidR="00DD13BF" w:rsidRPr="00790120" w:rsidRDefault="00DD13BF" w:rsidP="00355A56">
            <w:pPr>
              <w:widowControl/>
              <w:autoSpaceDE/>
              <w:autoSpaceDN/>
              <w:jc w:val="both"/>
              <w:rPr>
                <w:rFonts w:eastAsia="Calibri"/>
              </w:rPr>
            </w:pPr>
            <w:r>
              <w:t xml:space="preserve">In accordance with Article 6(1) of the Decision No 1313/2013/EU of the European Parliament and of the Council, crucial risks are included in the national disaster risk assessment, according to which floods present the greatest risk. A high risk of floods stems from the high probability of their occurrence and of their severe consequences for residents, the economy, society, politics and cultural heritage. In addition to floods, the competent national authorities recognise other important risks of climate-related disasters, such as large wildfires and storms with hail or glaze ice on the basis of past disasters and climate projections. Large wildfires and storms with accompanying phenomena, taking into account climate projections for the coming decades, pose a great risk for the Republic of Slovenia, since the probability of their occurrence is very high with otherwise minor consequences or damage caused, and changes in the areas where such disasters usually occur are also evident due to climate change. The </w:t>
            </w:r>
            <w:r>
              <w:lastRenderedPageBreak/>
              <w:t xml:space="preserve">expansion of areas where large wildfires and storms occur in the coming years and decades could lead to significantly higher material and other damage in larger geographical areas. </w:t>
            </w:r>
          </w:p>
        </w:tc>
      </w:tr>
      <w:tr w:rsidR="00DD13BF" w:rsidRPr="00790120" w14:paraId="7FD2D27C" w14:textId="77777777" w:rsidTr="00355A56">
        <w:trPr>
          <w:trHeight w:val="353"/>
        </w:trPr>
        <w:tc>
          <w:tcPr>
            <w:tcW w:w="1538" w:type="dxa"/>
            <w:vMerge/>
          </w:tcPr>
          <w:p w14:paraId="7FD60AE1" w14:textId="77777777" w:rsidR="00DD13BF" w:rsidRPr="00790120" w:rsidRDefault="00DD13BF" w:rsidP="00355A56">
            <w:pPr>
              <w:widowControl/>
              <w:autoSpaceDE/>
              <w:autoSpaceDN/>
              <w:rPr>
                <w:rFonts w:eastAsia="Calibri"/>
              </w:rPr>
            </w:pPr>
          </w:p>
        </w:tc>
        <w:tc>
          <w:tcPr>
            <w:tcW w:w="877" w:type="dxa"/>
            <w:vMerge/>
          </w:tcPr>
          <w:p w14:paraId="516C6674" w14:textId="77777777" w:rsidR="00DD13BF" w:rsidRPr="00790120" w:rsidRDefault="00DD13BF" w:rsidP="00355A56">
            <w:pPr>
              <w:widowControl/>
              <w:autoSpaceDE/>
              <w:autoSpaceDN/>
              <w:rPr>
                <w:rFonts w:eastAsia="Calibri"/>
              </w:rPr>
            </w:pPr>
          </w:p>
        </w:tc>
        <w:tc>
          <w:tcPr>
            <w:tcW w:w="1985" w:type="dxa"/>
            <w:vMerge/>
          </w:tcPr>
          <w:p w14:paraId="46A34EC6" w14:textId="77777777" w:rsidR="00DD13BF" w:rsidRPr="00790120" w:rsidRDefault="00DD13BF" w:rsidP="00355A56">
            <w:pPr>
              <w:widowControl/>
              <w:autoSpaceDE/>
              <w:autoSpaceDN/>
              <w:rPr>
                <w:rFonts w:eastAsia="Calibri"/>
              </w:rPr>
            </w:pPr>
          </w:p>
        </w:tc>
        <w:tc>
          <w:tcPr>
            <w:tcW w:w="1134" w:type="dxa"/>
            <w:vMerge/>
          </w:tcPr>
          <w:p w14:paraId="0211EB95" w14:textId="77777777" w:rsidR="00DD13BF" w:rsidRPr="00790120" w:rsidRDefault="00DD13BF" w:rsidP="00355A56">
            <w:pPr>
              <w:widowControl/>
              <w:autoSpaceDE/>
              <w:autoSpaceDN/>
              <w:rPr>
                <w:rFonts w:eastAsia="Calibri"/>
              </w:rPr>
            </w:pPr>
          </w:p>
        </w:tc>
        <w:tc>
          <w:tcPr>
            <w:tcW w:w="1984" w:type="dxa"/>
          </w:tcPr>
          <w:p w14:paraId="04876AF4" w14:textId="77777777" w:rsidR="00DD13BF" w:rsidRPr="00790120" w:rsidRDefault="00DD13BF" w:rsidP="00355A56">
            <w:pPr>
              <w:widowControl/>
              <w:autoSpaceDE/>
              <w:autoSpaceDN/>
              <w:rPr>
                <w:rFonts w:eastAsia="Calibri"/>
              </w:rPr>
            </w:pPr>
            <w:r>
              <w:t>2. Description of the disaster prevention, preparedness and response</w:t>
            </w:r>
          </w:p>
          <w:p w14:paraId="5A1ED27B" w14:textId="77777777" w:rsidR="00DD13BF" w:rsidRPr="00790120" w:rsidRDefault="00DD13BF" w:rsidP="00355A56">
            <w:pPr>
              <w:widowControl/>
              <w:autoSpaceDE/>
              <w:autoSpaceDN/>
              <w:rPr>
                <w:rFonts w:eastAsia="Calibri"/>
              </w:rPr>
            </w:pPr>
            <w:r>
              <w:t>measures to address the key risks identified. The measures shall be</w:t>
            </w:r>
          </w:p>
          <w:p w14:paraId="6B7DA039" w14:textId="77777777" w:rsidR="00DD13BF" w:rsidRPr="00790120" w:rsidRDefault="00DD13BF" w:rsidP="00355A56">
            <w:pPr>
              <w:widowControl/>
              <w:autoSpaceDE/>
              <w:autoSpaceDN/>
              <w:rPr>
                <w:rFonts w:eastAsia="Calibri"/>
              </w:rPr>
            </w:pPr>
            <w:r>
              <w:t>prioritised in proportion to the risks and their economic</w:t>
            </w:r>
          </w:p>
          <w:p w14:paraId="4D789CAC" w14:textId="77777777" w:rsidR="00DD13BF" w:rsidRPr="00790120" w:rsidRDefault="00DD13BF" w:rsidP="00355A56">
            <w:pPr>
              <w:widowControl/>
              <w:autoSpaceDE/>
              <w:autoSpaceDN/>
              <w:rPr>
                <w:rFonts w:eastAsia="Calibri"/>
              </w:rPr>
            </w:pPr>
            <w:r>
              <w:t>impact, capacity gaps, effectiveness and</w:t>
            </w:r>
          </w:p>
          <w:p w14:paraId="271F56F7" w14:textId="77777777" w:rsidR="00DD13BF" w:rsidRPr="00790120" w:rsidRDefault="00DD13BF" w:rsidP="00355A56">
            <w:pPr>
              <w:widowControl/>
              <w:autoSpaceDE/>
              <w:autoSpaceDN/>
              <w:rPr>
                <w:rFonts w:eastAsia="Calibri"/>
              </w:rPr>
            </w:pPr>
            <w:r>
              <w:t>efficiency, taking into account possible alternatives.</w:t>
            </w:r>
          </w:p>
        </w:tc>
        <w:tc>
          <w:tcPr>
            <w:tcW w:w="709" w:type="dxa"/>
          </w:tcPr>
          <w:p w14:paraId="78580B75" w14:textId="77777777" w:rsidR="00DD13BF" w:rsidRPr="00790120" w:rsidRDefault="00DD13BF" w:rsidP="00355A56">
            <w:pPr>
              <w:widowControl/>
              <w:autoSpaceDE/>
              <w:autoSpaceDN/>
              <w:rPr>
                <w:rFonts w:eastAsia="Calibri"/>
              </w:rPr>
            </w:pPr>
            <w:r>
              <w:t>Yes</w:t>
            </w:r>
          </w:p>
        </w:tc>
        <w:tc>
          <w:tcPr>
            <w:tcW w:w="2267" w:type="dxa"/>
          </w:tcPr>
          <w:p w14:paraId="64BC7D84" w14:textId="77777777" w:rsidR="00DD13BF" w:rsidRPr="00790120" w:rsidRDefault="00425F22" w:rsidP="00355A56">
            <w:pPr>
              <w:widowControl/>
              <w:autoSpaceDE/>
              <w:autoSpaceDN/>
              <w:rPr>
                <w:rFonts w:eastAsia="Calibri"/>
              </w:rPr>
            </w:pPr>
            <w:hyperlink r:id="rId143" w:history="1">
              <w:r w:rsidR="00DD13BF">
                <w:rPr>
                  <w:color w:val="0563C1" w:themeColor="hyperlink"/>
                  <w:u w:val="single"/>
                </w:rPr>
                <w:t>National disaster risk assessment, version 2.0</w:t>
              </w:r>
            </w:hyperlink>
          </w:p>
          <w:p w14:paraId="2E280E17" w14:textId="77777777" w:rsidR="00DD13BF" w:rsidRPr="00790120" w:rsidRDefault="00DD13BF" w:rsidP="00355A56">
            <w:pPr>
              <w:widowControl/>
              <w:autoSpaceDE/>
              <w:autoSpaceDN/>
              <w:rPr>
                <w:rFonts w:eastAsia="Calibri"/>
              </w:rPr>
            </w:pPr>
          </w:p>
          <w:p w14:paraId="51B159BA" w14:textId="77777777" w:rsidR="00DD13BF" w:rsidRPr="00790120" w:rsidRDefault="00DD13BF" w:rsidP="00355A56">
            <w:pPr>
              <w:widowControl/>
              <w:autoSpaceDE/>
              <w:autoSpaceDN/>
              <w:rPr>
                <w:rFonts w:eastAsia="Calibri"/>
              </w:rPr>
            </w:pPr>
            <w:r>
              <w:t xml:space="preserve">Amendments to the risk management capability assessment in December 2020. The assessment is amended periodically in accordance with the Decree implementing the Decision on the Union Civil Protection Mechanism or when an existing risk changes or a new one emerges. Due to the foreseen amendments to the Resolution on the National Programme for Protection against Natural and Other </w:t>
            </w:r>
            <w:r>
              <w:lastRenderedPageBreak/>
              <w:t>Disasters, the risk management capability assessment will be amended at the beginning of 2023.</w:t>
            </w:r>
          </w:p>
        </w:tc>
        <w:tc>
          <w:tcPr>
            <w:tcW w:w="3402" w:type="dxa"/>
          </w:tcPr>
          <w:p w14:paraId="1BCC1874" w14:textId="77777777" w:rsidR="00DD13BF" w:rsidRPr="00790120" w:rsidRDefault="00DD13BF" w:rsidP="00355A56">
            <w:pPr>
              <w:widowControl/>
              <w:autoSpaceDE/>
              <w:autoSpaceDN/>
              <w:jc w:val="both"/>
              <w:rPr>
                <w:rFonts w:eastAsia="Calibri"/>
              </w:rPr>
            </w:pPr>
            <w:r>
              <w:lastRenderedPageBreak/>
              <w:t>Planning and implementing prevention, preparedness and response measures to floods, large wildfires, hailstorms and glaze ice are defined in the risk management capability assessment and further in individual assessments of individual risks. The national assessment includes data on administrative (coordination, expertise, methodology, communication and information), technical (equipment, supplies, infrastructure, ICT technical support) and financial capacities. Response measures at various levels are detailed in response plans for individual risks.</w:t>
            </w:r>
          </w:p>
        </w:tc>
      </w:tr>
      <w:tr w:rsidR="00DD13BF" w:rsidRPr="00790120" w14:paraId="6639A122" w14:textId="77777777" w:rsidTr="00355A56">
        <w:trPr>
          <w:trHeight w:val="353"/>
        </w:trPr>
        <w:tc>
          <w:tcPr>
            <w:tcW w:w="1538" w:type="dxa"/>
            <w:vMerge/>
          </w:tcPr>
          <w:p w14:paraId="55E1CFAA" w14:textId="77777777" w:rsidR="00DD13BF" w:rsidRPr="00790120" w:rsidRDefault="00DD13BF" w:rsidP="00355A56">
            <w:pPr>
              <w:widowControl/>
              <w:autoSpaceDE/>
              <w:autoSpaceDN/>
              <w:rPr>
                <w:rFonts w:eastAsia="Calibri"/>
              </w:rPr>
            </w:pPr>
          </w:p>
        </w:tc>
        <w:tc>
          <w:tcPr>
            <w:tcW w:w="877" w:type="dxa"/>
            <w:vMerge/>
          </w:tcPr>
          <w:p w14:paraId="52E886E5" w14:textId="77777777" w:rsidR="00DD13BF" w:rsidRPr="00790120" w:rsidRDefault="00DD13BF" w:rsidP="00355A56">
            <w:pPr>
              <w:widowControl/>
              <w:autoSpaceDE/>
              <w:autoSpaceDN/>
              <w:rPr>
                <w:rFonts w:eastAsia="Calibri"/>
              </w:rPr>
            </w:pPr>
          </w:p>
        </w:tc>
        <w:tc>
          <w:tcPr>
            <w:tcW w:w="1985" w:type="dxa"/>
            <w:vMerge/>
          </w:tcPr>
          <w:p w14:paraId="3D8BECBD" w14:textId="77777777" w:rsidR="00DD13BF" w:rsidRPr="00790120" w:rsidRDefault="00DD13BF" w:rsidP="00355A56">
            <w:pPr>
              <w:widowControl/>
              <w:autoSpaceDE/>
              <w:autoSpaceDN/>
              <w:rPr>
                <w:rFonts w:eastAsia="Calibri"/>
              </w:rPr>
            </w:pPr>
          </w:p>
        </w:tc>
        <w:tc>
          <w:tcPr>
            <w:tcW w:w="1134" w:type="dxa"/>
            <w:vMerge/>
          </w:tcPr>
          <w:p w14:paraId="3C05D791" w14:textId="77777777" w:rsidR="00DD13BF" w:rsidRPr="00790120" w:rsidRDefault="00DD13BF" w:rsidP="00355A56">
            <w:pPr>
              <w:widowControl/>
              <w:autoSpaceDE/>
              <w:autoSpaceDN/>
              <w:rPr>
                <w:rFonts w:eastAsia="Calibri"/>
              </w:rPr>
            </w:pPr>
          </w:p>
        </w:tc>
        <w:tc>
          <w:tcPr>
            <w:tcW w:w="1984" w:type="dxa"/>
          </w:tcPr>
          <w:p w14:paraId="472BA566" w14:textId="77777777" w:rsidR="00DD13BF" w:rsidRPr="00790120" w:rsidRDefault="00DD13BF" w:rsidP="00355A56">
            <w:pPr>
              <w:widowControl/>
              <w:autoSpaceDE/>
              <w:autoSpaceDN/>
              <w:rPr>
                <w:rFonts w:eastAsia="Calibri"/>
              </w:rPr>
            </w:pPr>
            <w:r>
              <w:t>3. Information on financing resources and mechanisms available for covering the operation and maintenance costs related to prevention,</w:t>
            </w:r>
          </w:p>
          <w:p w14:paraId="70751E15" w14:textId="77777777" w:rsidR="00DD13BF" w:rsidRPr="00790120" w:rsidRDefault="00DD13BF" w:rsidP="00355A56">
            <w:pPr>
              <w:widowControl/>
              <w:autoSpaceDE/>
              <w:autoSpaceDN/>
              <w:rPr>
                <w:rFonts w:eastAsia="Calibri"/>
              </w:rPr>
            </w:pPr>
            <w:r>
              <w:t>preparedness and response.</w:t>
            </w:r>
          </w:p>
        </w:tc>
        <w:tc>
          <w:tcPr>
            <w:tcW w:w="709" w:type="dxa"/>
          </w:tcPr>
          <w:p w14:paraId="580FF846" w14:textId="77777777" w:rsidR="00DD13BF" w:rsidRPr="00790120" w:rsidRDefault="00DD13BF" w:rsidP="00355A56">
            <w:pPr>
              <w:widowControl/>
              <w:autoSpaceDE/>
              <w:autoSpaceDN/>
              <w:rPr>
                <w:rFonts w:eastAsia="Calibri"/>
              </w:rPr>
            </w:pPr>
            <w:r>
              <w:t>Yes</w:t>
            </w:r>
          </w:p>
        </w:tc>
        <w:tc>
          <w:tcPr>
            <w:tcW w:w="2267" w:type="dxa"/>
          </w:tcPr>
          <w:p w14:paraId="77B47DF4" w14:textId="77777777" w:rsidR="00DD13BF" w:rsidRPr="00790120" w:rsidRDefault="00425F22" w:rsidP="00355A56">
            <w:pPr>
              <w:widowControl/>
              <w:autoSpaceDE/>
              <w:autoSpaceDN/>
              <w:rPr>
                <w:rFonts w:eastAsia="Calibri"/>
                <w:u w:val="single"/>
              </w:rPr>
            </w:pPr>
            <w:hyperlink r:id="rId144" w:history="1">
              <w:r w:rsidR="00DD13BF">
                <w:rPr>
                  <w:color w:val="0563C1" w:themeColor="hyperlink"/>
                  <w:u w:val="single"/>
                </w:rPr>
                <w:t>Resolution on the National Programme for Protection against Natural and Other Disasters 2016–2022 (ReNPVNDN16-22),</w:t>
              </w:r>
            </w:hyperlink>
            <w:r w:rsidR="00DD13BF">
              <w:t xml:space="preserve"> </w:t>
            </w:r>
          </w:p>
          <w:p w14:paraId="6250E263" w14:textId="77777777" w:rsidR="00DD13BF" w:rsidRPr="00790120" w:rsidRDefault="00DD13BF" w:rsidP="00355A56">
            <w:pPr>
              <w:widowControl/>
              <w:autoSpaceDE/>
              <w:autoSpaceDN/>
              <w:rPr>
                <w:rFonts w:eastAsia="Calibri"/>
              </w:rPr>
            </w:pPr>
          </w:p>
          <w:p w14:paraId="5409EDC5" w14:textId="77777777" w:rsidR="00DD13BF" w:rsidRPr="00790120" w:rsidRDefault="00DD13BF" w:rsidP="00355A56">
            <w:pPr>
              <w:widowControl/>
              <w:autoSpaceDE/>
              <w:autoSpaceDN/>
              <w:rPr>
                <w:rFonts w:eastAsia="Calibri"/>
              </w:rPr>
            </w:pPr>
            <w:r>
              <w:t xml:space="preserve">Data on financial resources and mechanisms for prevention, preparedness and response will also be included in the new resolution for the 2023–2028/2030 period, which is being prepared, and in the upgraded risk management capability assessment. The data will be supplemented by EU sources and mechanisms during the period of validity of </w:t>
            </w:r>
            <w:r>
              <w:lastRenderedPageBreak/>
              <w:t>the said bases (the RRP, the ECP, etc.).</w:t>
            </w:r>
          </w:p>
        </w:tc>
        <w:tc>
          <w:tcPr>
            <w:tcW w:w="3402" w:type="dxa"/>
          </w:tcPr>
          <w:p w14:paraId="1BF3776F" w14:textId="77777777" w:rsidR="00DD13BF" w:rsidRPr="00790120" w:rsidRDefault="00DD13BF" w:rsidP="00355A56">
            <w:pPr>
              <w:widowControl/>
              <w:autoSpaceDE/>
              <w:autoSpaceDN/>
              <w:jc w:val="both"/>
              <w:rPr>
                <w:rFonts w:eastAsia="Calibri"/>
              </w:rPr>
            </w:pPr>
            <w:r>
              <w:lastRenderedPageBreak/>
              <w:t xml:space="preserve">The Resolution on the National Programme for Protection against Natural and Other Disasters 2016-2022 contains detailed information regarding financial resources and mechanisms on an annual level for the field of protection against natural and other disasters (the financing of prevention, preparedness, activities and response capabilities). Resources and mechanisms include the state budget (for regular tasks of prevention, preparedness and response, in accordance with legislation), state reserves in the event of major natural and other disasters (mainly the equipment of protection, rescue and relief forces), European cohesion and other funds (for specific projects, in the 2014–2020 period for upgrading the public information and alarm system), funds from the Fire Fund (for the modernisation of training </w:t>
            </w:r>
            <w:r>
              <w:lastRenderedPageBreak/>
              <w:t>infrastructure). Financial resources will also be included in the risk management capability assessment. The RRP will be added as a new financing source, and new priorities in the field of natural and other disasters in the 2021–2027 period within the framework of the European Cohesion Policy as a potential financing source and other possible sources in the current period will be added.</w:t>
            </w:r>
          </w:p>
        </w:tc>
      </w:tr>
      <w:tr w:rsidR="00DD13BF" w:rsidRPr="00790120" w14:paraId="64DABFBF" w14:textId="77777777" w:rsidTr="00355A56">
        <w:trPr>
          <w:trHeight w:val="353"/>
        </w:trPr>
        <w:tc>
          <w:tcPr>
            <w:tcW w:w="1538" w:type="dxa"/>
            <w:vMerge w:val="restart"/>
          </w:tcPr>
          <w:p w14:paraId="4BE77DF3" w14:textId="77777777" w:rsidR="00DD13BF" w:rsidRPr="00790120" w:rsidRDefault="00DD13BF" w:rsidP="00355A56">
            <w:pPr>
              <w:widowControl/>
              <w:autoSpaceDE/>
              <w:autoSpaceDN/>
              <w:rPr>
                <w:rFonts w:eastAsia="Calibri"/>
              </w:rPr>
            </w:pPr>
            <w:r>
              <w:lastRenderedPageBreak/>
              <w:t>2.5 Updated</w:t>
            </w:r>
          </w:p>
          <w:p w14:paraId="0AD7C300" w14:textId="77777777" w:rsidR="00DD13BF" w:rsidRPr="00790120" w:rsidRDefault="00DD13BF" w:rsidP="00355A56">
            <w:pPr>
              <w:widowControl/>
              <w:autoSpaceDE/>
              <w:autoSpaceDN/>
              <w:rPr>
                <w:rFonts w:eastAsia="Calibri"/>
              </w:rPr>
            </w:pPr>
            <w:r>
              <w:t>planning for</w:t>
            </w:r>
          </w:p>
          <w:p w14:paraId="126083CF" w14:textId="77777777" w:rsidR="00DD13BF" w:rsidRPr="00790120" w:rsidRDefault="00DD13BF" w:rsidP="00355A56">
            <w:pPr>
              <w:widowControl/>
              <w:autoSpaceDE/>
              <w:autoSpaceDN/>
              <w:rPr>
                <w:rFonts w:eastAsia="Calibri"/>
              </w:rPr>
            </w:pPr>
            <w:r>
              <w:t>required investments in</w:t>
            </w:r>
          </w:p>
          <w:p w14:paraId="1BAD6781" w14:textId="77777777" w:rsidR="00DD13BF" w:rsidRPr="00790120" w:rsidRDefault="00DD13BF" w:rsidP="00355A56">
            <w:pPr>
              <w:widowControl/>
              <w:autoSpaceDE/>
              <w:autoSpaceDN/>
              <w:rPr>
                <w:rFonts w:eastAsia="Calibri"/>
              </w:rPr>
            </w:pPr>
            <w:r>
              <w:t>water and</w:t>
            </w:r>
          </w:p>
          <w:p w14:paraId="66688864" w14:textId="77777777" w:rsidR="00DD13BF" w:rsidRPr="00790120" w:rsidRDefault="00DD13BF" w:rsidP="00355A56">
            <w:pPr>
              <w:widowControl/>
              <w:autoSpaceDE/>
              <w:autoSpaceDN/>
              <w:rPr>
                <w:rFonts w:eastAsia="Calibri"/>
              </w:rPr>
            </w:pPr>
            <w:r>
              <w:t>wastewater</w:t>
            </w:r>
          </w:p>
          <w:p w14:paraId="53455DF0" w14:textId="77777777" w:rsidR="00DD13BF" w:rsidRPr="00790120" w:rsidRDefault="00DD13BF" w:rsidP="00355A56">
            <w:pPr>
              <w:widowControl/>
              <w:autoSpaceDE/>
              <w:autoSpaceDN/>
              <w:rPr>
                <w:rFonts w:eastAsia="Calibri"/>
              </w:rPr>
            </w:pPr>
            <w:r>
              <w:t>sectors</w:t>
            </w:r>
          </w:p>
        </w:tc>
        <w:tc>
          <w:tcPr>
            <w:tcW w:w="877" w:type="dxa"/>
            <w:vMerge w:val="restart"/>
          </w:tcPr>
          <w:p w14:paraId="27319276" w14:textId="77777777" w:rsidR="00DD13BF" w:rsidRPr="00790120" w:rsidRDefault="00DD13BF" w:rsidP="00355A56">
            <w:pPr>
              <w:widowControl/>
              <w:autoSpaceDE/>
              <w:autoSpaceDN/>
              <w:rPr>
                <w:rFonts w:eastAsia="Calibri"/>
              </w:rPr>
            </w:pPr>
            <w:r>
              <w:t>ERDF and CF</w:t>
            </w:r>
          </w:p>
        </w:tc>
        <w:tc>
          <w:tcPr>
            <w:tcW w:w="1985" w:type="dxa"/>
            <w:vMerge w:val="restart"/>
          </w:tcPr>
          <w:p w14:paraId="33CC7D47" w14:textId="77777777" w:rsidR="00DD13BF" w:rsidRPr="00790120" w:rsidRDefault="00DD13BF" w:rsidP="00355A56">
            <w:pPr>
              <w:widowControl/>
              <w:autoSpaceDE/>
              <w:autoSpaceDN/>
              <w:rPr>
                <w:rFonts w:eastAsia="Calibri"/>
              </w:rPr>
            </w:pPr>
            <w:r>
              <w:t>RSO2.5: Promoting access to water and</w:t>
            </w:r>
          </w:p>
          <w:p w14:paraId="46EEE06A" w14:textId="77777777" w:rsidR="00DD13BF" w:rsidRPr="00790120" w:rsidRDefault="00DD13BF" w:rsidP="00355A56">
            <w:pPr>
              <w:widowControl/>
              <w:autoSpaceDE/>
              <w:autoSpaceDN/>
              <w:rPr>
                <w:rFonts w:eastAsia="Calibri"/>
              </w:rPr>
            </w:pPr>
            <w:r>
              <w:t>sustainable water</w:t>
            </w:r>
          </w:p>
          <w:p w14:paraId="55241142" w14:textId="77777777" w:rsidR="00DD13BF" w:rsidRPr="00790120" w:rsidRDefault="00DD13BF" w:rsidP="00355A56">
            <w:pPr>
              <w:widowControl/>
              <w:autoSpaceDE/>
              <w:autoSpaceDN/>
              <w:rPr>
                <w:rFonts w:eastAsia="Calibri"/>
              </w:rPr>
            </w:pPr>
            <w:r>
              <w:t>management</w:t>
            </w:r>
          </w:p>
        </w:tc>
        <w:tc>
          <w:tcPr>
            <w:tcW w:w="1134" w:type="dxa"/>
            <w:vMerge w:val="restart"/>
          </w:tcPr>
          <w:p w14:paraId="63B6E724" w14:textId="77777777" w:rsidR="00DD13BF" w:rsidRPr="00790120" w:rsidRDefault="00DD13BF" w:rsidP="00355A56">
            <w:pPr>
              <w:widowControl/>
              <w:autoSpaceDE/>
              <w:autoSpaceDN/>
              <w:rPr>
                <w:rFonts w:eastAsia="Calibri"/>
              </w:rPr>
            </w:pPr>
            <w:r>
              <w:t>No</w:t>
            </w:r>
          </w:p>
        </w:tc>
        <w:tc>
          <w:tcPr>
            <w:tcW w:w="8362" w:type="dxa"/>
            <w:gridSpan w:val="4"/>
            <w:shd w:val="clear" w:color="auto" w:fill="92D050"/>
          </w:tcPr>
          <w:p w14:paraId="7ACE4BEE" w14:textId="77777777" w:rsidR="00DD13BF" w:rsidRPr="00790120" w:rsidRDefault="00DD13BF" w:rsidP="00355A56">
            <w:pPr>
              <w:widowControl/>
              <w:autoSpaceDE/>
              <w:autoSpaceDN/>
              <w:jc w:val="center"/>
              <w:rPr>
                <w:rFonts w:eastAsia="Calibri"/>
              </w:rPr>
            </w:pPr>
            <w:r>
              <w:t>For each or both sectors, a national investment</w:t>
            </w:r>
          </w:p>
          <w:p w14:paraId="5743F354" w14:textId="77777777" w:rsidR="00DD13BF" w:rsidRPr="00790120" w:rsidRDefault="00DD13BF" w:rsidP="00355A56">
            <w:pPr>
              <w:widowControl/>
              <w:autoSpaceDE/>
              <w:autoSpaceDN/>
              <w:jc w:val="center"/>
              <w:rPr>
                <w:rFonts w:eastAsia="Calibri"/>
              </w:rPr>
            </w:pPr>
            <w:r>
              <w:t>plan is in place and includes:</w:t>
            </w:r>
          </w:p>
        </w:tc>
      </w:tr>
      <w:tr w:rsidR="00DD13BF" w:rsidRPr="00790120" w14:paraId="5EE2C612" w14:textId="77777777" w:rsidTr="00355A56">
        <w:trPr>
          <w:trHeight w:val="353"/>
        </w:trPr>
        <w:tc>
          <w:tcPr>
            <w:tcW w:w="1538" w:type="dxa"/>
            <w:vMerge/>
          </w:tcPr>
          <w:p w14:paraId="36FAE13F" w14:textId="77777777" w:rsidR="00DD13BF" w:rsidRPr="00790120" w:rsidRDefault="00DD13BF" w:rsidP="00355A56">
            <w:pPr>
              <w:widowControl/>
              <w:autoSpaceDE/>
              <w:autoSpaceDN/>
              <w:rPr>
                <w:rFonts w:eastAsia="Calibri"/>
              </w:rPr>
            </w:pPr>
          </w:p>
        </w:tc>
        <w:tc>
          <w:tcPr>
            <w:tcW w:w="877" w:type="dxa"/>
            <w:vMerge/>
          </w:tcPr>
          <w:p w14:paraId="51A00614" w14:textId="77777777" w:rsidR="00DD13BF" w:rsidRPr="00790120" w:rsidRDefault="00DD13BF" w:rsidP="00355A56">
            <w:pPr>
              <w:widowControl/>
              <w:autoSpaceDE/>
              <w:autoSpaceDN/>
              <w:rPr>
                <w:rFonts w:eastAsia="Calibri"/>
              </w:rPr>
            </w:pPr>
          </w:p>
        </w:tc>
        <w:tc>
          <w:tcPr>
            <w:tcW w:w="1985" w:type="dxa"/>
            <w:vMerge/>
          </w:tcPr>
          <w:p w14:paraId="0315FF17" w14:textId="77777777" w:rsidR="00DD13BF" w:rsidRPr="00790120" w:rsidRDefault="00DD13BF" w:rsidP="00355A56">
            <w:pPr>
              <w:widowControl/>
              <w:autoSpaceDE/>
              <w:autoSpaceDN/>
              <w:rPr>
                <w:rFonts w:eastAsia="Calibri"/>
              </w:rPr>
            </w:pPr>
          </w:p>
        </w:tc>
        <w:tc>
          <w:tcPr>
            <w:tcW w:w="1134" w:type="dxa"/>
            <w:vMerge/>
          </w:tcPr>
          <w:p w14:paraId="7DE7D651" w14:textId="77777777" w:rsidR="00DD13BF" w:rsidRPr="00790120" w:rsidRDefault="00DD13BF" w:rsidP="00355A56">
            <w:pPr>
              <w:widowControl/>
              <w:autoSpaceDE/>
              <w:autoSpaceDN/>
              <w:rPr>
                <w:rFonts w:eastAsia="Calibri"/>
              </w:rPr>
            </w:pPr>
          </w:p>
        </w:tc>
        <w:tc>
          <w:tcPr>
            <w:tcW w:w="1984" w:type="dxa"/>
          </w:tcPr>
          <w:p w14:paraId="4215CDC6" w14:textId="77777777" w:rsidR="00DD13BF" w:rsidRPr="00790120" w:rsidRDefault="00DD13BF" w:rsidP="00355A56">
            <w:pPr>
              <w:widowControl/>
              <w:autoSpaceDE/>
              <w:autoSpaceDN/>
              <w:rPr>
                <w:rFonts w:eastAsia="Calibri"/>
              </w:rPr>
            </w:pPr>
            <w:r>
              <w:t>1. An assessment of the current state of implementation of Council Directive 91/271/EEC (8) and of Council Directive 98/83/EC (9).</w:t>
            </w:r>
          </w:p>
        </w:tc>
        <w:tc>
          <w:tcPr>
            <w:tcW w:w="709" w:type="dxa"/>
          </w:tcPr>
          <w:p w14:paraId="59840882" w14:textId="77777777" w:rsidR="00DD13BF" w:rsidRPr="00790120" w:rsidRDefault="00DD13BF" w:rsidP="00355A56">
            <w:pPr>
              <w:widowControl/>
              <w:autoSpaceDE/>
              <w:autoSpaceDN/>
              <w:rPr>
                <w:rFonts w:eastAsia="Calibri"/>
              </w:rPr>
            </w:pPr>
            <w:r>
              <w:t>No</w:t>
            </w:r>
          </w:p>
        </w:tc>
        <w:tc>
          <w:tcPr>
            <w:tcW w:w="2267" w:type="dxa"/>
          </w:tcPr>
          <w:p w14:paraId="39474C6D" w14:textId="77777777" w:rsidR="00DD13BF" w:rsidRPr="00790120" w:rsidRDefault="00DD13BF" w:rsidP="00355A56">
            <w:pPr>
              <w:widowControl/>
              <w:autoSpaceDE/>
              <w:autoSpaceDN/>
              <w:rPr>
                <w:rFonts w:eastAsia="Calibri"/>
              </w:rPr>
            </w:pPr>
            <w:r>
              <w:t xml:space="preserve">On 17 September 2020, the Government adopted the </w:t>
            </w:r>
            <w:hyperlink r:id="rId145" w:history="1">
              <w:r>
                <w:rPr>
                  <w:color w:val="0563C1"/>
                  <w:u w:val="single"/>
                </w:rPr>
                <w:t>Operational Programme for the discharge and treatment of urban waste water</w:t>
              </w:r>
            </w:hyperlink>
          </w:p>
          <w:p w14:paraId="7F4BCC55" w14:textId="77777777" w:rsidR="00DD13BF" w:rsidRPr="00790120" w:rsidRDefault="00DD13BF" w:rsidP="00355A56">
            <w:pPr>
              <w:widowControl/>
              <w:autoSpaceDE/>
              <w:autoSpaceDN/>
              <w:rPr>
                <w:rFonts w:eastAsia="Calibri"/>
              </w:rPr>
            </w:pPr>
          </w:p>
          <w:p w14:paraId="19EAD7CF" w14:textId="77777777" w:rsidR="00DD13BF" w:rsidRPr="00790120" w:rsidRDefault="00DD13BF" w:rsidP="00355A56">
            <w:pPr>
              <w:widowControl/>
              <w:autoSpaceDE/>
              <w:autoSpaceDN/>
              <w:rPr>
                <w:rFonts w:eastAsia="Calibri"/>
              </w:rPr>
            </w:pPr>
          </w:p>
          <w:p w14:paraId="6165EEA6" w14:textId="77777777" w:rsidR="00DD13BF" w:rsidRPr="00790120" w:rsidRDefault="00DD13BF" w:rsidP="00355A56">
            <w:pPr>
              <w:widowControl/>
              <w:autoSpaceDE/>
              <w:autoSpaceDN/>
              <w:rPr>
                <w:rFonts w:eastAsia="Calibri"/>
              </w:rPr>
            </w:pPr>
            <w:r>
              <w:t xml:space="preserve">On 21 April 2022, the Government adopted the </w:t>
            </w:r>
            <w:hyperlink r:id="rId146" w:history="1">
              <w:r>
                <w:rPr>
                  <w:color w:val="0563C1"/>
                  <w:u w:val="single"/>
                </w:rPr>
                <w:t xml:space="preserve">Operational Programme for drinking water supply </w:t>
              </w:r>
              <w:r>
                <w:rPr>
                  <w:color w:val="0563C1"/>
                  <w:u w:val="single"/>
                </w:rPr>
                <w:lastRenderedPageBreak/>
                <w:t>for the 2022–2027 period</w:t>
              </w:r>
            </w:hyperlink>
          </w:p>
          <w:p w14:paraId="1E8136F7" w14:textId="77777777" w:rsidR="00DD13BF" w:rsidRPr="00790120" w:rsidRDefault="00DD13BF" w:rsidP="00355A56">
            <w:pPr>
              <w:widowControl/>
              <w:autoSpaceDE/>
              <w:autoSpaceDN/>
              <w:rPr>
                <w:rFonts w:eastAsia="Calibri"/>
              </w:rPr>
            </w:pPr>
            <w:r>
              <w:t xml:space="preserve">  </w:t>
            </w:r>
          </w:p>
          <w:p w14:paraId="5E266158" w14:textId="77777777" w:rsidR="00DD13BF" w:rsidRPr="00790120" w:rsidRDefault="00DD13BF" w:rsidP="00355A56">
            <w:pPr>
              <w:widowControl/>
              <w:autoSpaceDE/>
              <w:autoSpaceDN/>
              <w:rPr>
                <w:rFonts w:eastAsia="Calibri"/>
              </w:rPr>
            </w:pPr>
          </w:p>
          <w:p w14:paraId="01714EFB" w14:textId="77777777" w:rsidR="00DD13BF" w:rsidRPr="00790120" w:rsidRDefault="00DD13BF" w:rsidP="00355A56">
            <w:pPr>
              <w:widowControl/>
              <w:autoSpaceDE/>
              <w:autoSpaceDN/>
              <w:rPr>
                <w:rFonts w:eastAsia="Calibri"/>
              </w:rPr>
            </w:pPr>
          </w:p>
          <w:p w14:paraId="72EF96C6" w14:textId="77777777" w:rsidR="00DD13BF" w:rsidRPr="00790120" w:rsidRDefault="00DD13BF" w:rsidP="00355A56">
            <w:pPr>
              <w:widowControl/>
              <w:autoSpaceDE/>
              <w:autoSpaceDN/>
              <w:jc w:val="center"/>
              <w:rPr>
                <w:rFonts w:eastAsia="Calibri"/>
              </w:rPr>
            </w:pPr>
          </w:p>
        </w:tc>
        <w:tc>
          <w:tcPr>
            <w:tcW w:w="3402" w:type="dxa"/>
          </w:tcPr>
          <w:p w14:paraId="6C780E7B" w14:textId="77777777" w:rsidR="00DD13BF" w:rsidRPr="00790120" w:rsidRDefault="00DD13BF" w:rsidP="00355A56">
            <w:pPr>
              <w:widowControl/>
              <w:autoSpaceDE/>
              <w:autoSpaceDN/>
              <w:jc w:val="both"/>
              <w:rPr>
                <w:rFonts w:eastAsia="Calibri"/>
              </w:rPr>
            </w:pPr>
            <w:r>
              <w:lastRenderedPageBreak/>
              <w:t xml:space="preserve">The Operational Programme for the discharge and treatment of urban waste water includes the current implementation status of Council Directive 91/271/EEC of 21 May 1991 concerning urban waste-water treatment for the 2018 reference year. </w:t>
            </w:r>
          </w:p>
          <w:p w14:paraId="54D08748" w14:textId="77777777" w:rsidR="00DD13BF" w:rsidRPr="00790120" w:rsidRDefault="00DD13BF" w:rsidP="00355A56">
            <w:pPr>
              <w:widowControl/>
              <w:autoSpaceDE/>
              <w:autoSpaceDN/>
              <w:jc w:val="both"/>
              <w:rPr>
                <w:rFonts w:eastAsia="Calibri"/>
              </w:rPr>
            </w:pPr>
            <w:r>
              <w:t xml:space="preserve">The Operational Programme for drinking water supply for the 2022–2027 period was adopted for the field of drinking water supply. Council Directive 98/83/EC on the quality of water intended for human consumption has been transposed into the Rules on drinking water. </w:t>
            </w:r>
            <w:r>
              <w:lastRenderedPageBreak/>
              <w:t xml:space="preserve">The deadline for the transposition of the content of Directive (EU) 2020/2184 into Slovenian legislation is 12 January 2023. Due to the content of recast Directive (EU) 2020/2184 under the jurisdiction of the Ministry of Health, a new regulation for the field of drinking water is being prepared. In the autumn, a draft will be submitted for coordination, and the directive will be transposed with a regulation by the deadline (12 January 2023).  </w:t>
            </w:r>
          </w:p>
        </w:tc>
      </w:tr>
      <w:tr w:rsidR="00DD13BF" w:rsidRPr="00790120" w14:paraId="5A8228AA" w14:textId="77777777" w:rsidTr="00355A56">
        <w:trPr>
          <w:trHeight w:val="353"/>
        </w:trPr>
        <w:tc>
          <w:tcPr>
            <w:tcW w:w="1538" w:type="dxa"/>
            <w:vMerge/>
          </w:tcPr>
          <w:p w14:paraId="3CD5967A" w14:textId="77777777" w:rsidR="00DD13BF" w:rsidRPr="00790120" w:rsidRDefault="00DD13BF" w:rsidP="00355A56">
            <w:pPr>
              <w:widowControl/>
              <w:autoSpaceDE/>
              <w:autoSpaceDN/>
              <w:rPr>
                <w:rFonts w:eastAsia="Calibri"/>
              </w:rPr>
            </w:pPr>
          </w:p>
        </w:tc>
        <w:tc>
          <w:tcPr>
            <w:tcW w:w="877" w:type="dxa"/>
            <w:vMerge/>
          </w:tcPr>
          <w:p w14:paraId="68FA9C69" w14:textId="77777777" w:rsidR="00DD13BF" w:rsidRPr="00790120" w:rsidRDefault="00DD13BF" w:rsidP="00355A56">
            <w:pPr>
              <w:widowControl/>
              <w:autoSpaceDE/>
              <w:autoSpaceDN/>
              <w:rPr>
                <w:rFonts w:eastAsia="Calibri"/>
              </w:rPr>
            </w:pPr>
          </w:p>
        </w:tc>
        <w:tc>
          <w:tcPr>
            <w:tcW w:w="1985" w:type="dxa"/>
            <w:vMerge/>
          </w:tcPr>
          <w:p w14:paraId="714F5D08" w14:textId="77777777" w:rsidR="00DD13BF" w:rsidRPr="00790120" w:rsidRDefault="00DD13BF" w:rsidP="00355A56">
            <w:pPr>
              <w:widowControl/>
              <w:autoSpaceDE/>
              <w:autoSpaceDN/>
              <w:rPr>
                <w:rFonts w:eastAsia="Calibri"/>
              </w:rPr>
            </w:pPr>
          </w:p>
        </w:tc>
        <w:tc>
          <w:tcPr>
            <w:tcW w:w="1134" w:type="dxa"/>
            <w:vMerge/>
          </w:tcPr>
          <w:p w14:paraId="0CB0E389" w14:textId="77777777" w:rsidR="00DD13BF" w:rsidRPr="00790120" w:rsidRDefault="00DD13BF" w:rsidP="00355A56">
            <w:pPr>
              <w:widowControl/>
              <w:autoSpaceDE/>
              <w:autoSpaceDN/>
              <w:rPr>
                <w:rFonts w:eastAsia="Calibri"/>
              </w:rPr>
            </w:pPr>
          </w:p>
        </w:tc>
        <w:tc>
          <w:tcPr>
            <w:tcW w:w="1984" w:type="dxa"/>
          </w:tcPr>
          <w:p w14:paraId="7915BA56" w14:textId="77777777" w:rsidR="00DD13BF" w:rsidRPr="00790120" w:rsidRDefault="00DD13BF" w:rsidP="00355A56">
            <w:pPr>
              <w:widowControl/>
              <w:autoSpaceDE/>
              <w:autoSpaceDN/>
              <w:rPr>
                <w:rFonts w:eastAsia="Calibri"/>
              </w:rPr>
            </w:pPr>
            <w:r>
              <w:t>2. The identification and planning of any public investments, including</w:t>
            </w:r>
          </w:p>
          <w:p w14:paraId="519A5E97" w14:textId="77777777" w:rsidR="00DD13BF" w:rsidRPr="00790120" w:rsidRDefault="00DD13BF" w:rsidP="00355A56">
            <w:pPr>
              <w:widowControl/>
              <w:autoSpaceDE/>
              <w:autoSpaceDN/>
              <w:rPr>
                <w:rFonts w:eastAsia="Calibri"/>
              </w:rPr>
            </w:pPr>
            <w:r>
              <w:t>an indicative financial estimation:</w:t>
            </w:r>
          </w:p>
          <w:p w14:paraId="2A2BAFAF" w14:textId="77777777" w:rsidR="00DD13BF" w:rsidRPr="00790120" w:rsidRDefault="00DD13BF" w:rsidP="00355A56">
            <w:pPr>
              <w:widowControl/>
              <w:autoSpaceDE/>
              <w:autoSpaceDN/>
              <w:rPr>
                <w:rFonts w:eastAsia="Calibri"/>
              </w:rPr>
            </w:pPr>
          </w:p>
          <w:p w14:paraId="68FF8478" w14:textId="77777777" w:rsidR="00DD13BF" w:rsidRPr="00790120" w:rsidRDefault="00DD13BF" w:rsidP="00355A56">
            <w:pPr>
              <w:widowControl/>
              <w:autoSpaceDE/>
              <w:autoSpaceDN/>
              <w:rPr>
                <w:rFonts w:eastAsia="Calibri"/>
              </w:rPr>
            </w:pPr>
            <w:r>
              <w:t xml:space="preserve">(a) required to implement the Directive 91/271/EEC, including a prioritisation with regard to the size of </w:t>
            </w:r>
            <w:r>
              <w:lastRenderedPageBreak/>
              <w:t>agglomerations and the environmental impact, with investments broken down for each</w:t>
            </w:r>
          </w:p>
          <w:p w14:paraId="2D89DCC4" w14:textId="77777777" w:rsidR="00DD13BF" w:rsidRPr="00790120" w:rsidRDefault="00DD13BF" w:rsidP="00355A56">
            <w:pPr>
              <w:widowControl/>
              <w:autoSpaceDE/>
              <w:autoSpaceDN/>
              <w:rPr>
                <w:rFonts w:eastAsia="Calibri"/>
              </w:rPr>
            </w:pPr>
            <w:r>
              <w:t>wastewater agglomeration;</w:t>
            </w:r>
          </w:p>
          <w:p w14:paraId="1CE717A2" w14:textId="77777777" w:rsidR="00DD13BF" w:rsidRPr="00790120" w:rsidRDefault="00DD13BF" w:rsidP="00355A56">
            <w:pPr>
              <w:widowControl/>
              <w:autoSpaceDE/>
              <w:autoSpaceDN/>
              <w:rPr>
                <w:rFonts w:eastAsia="Calibri"/>
              </w:rPr>
            </w:pPr>
          </w:p>
          <w:p w14:paraId="68825FD1" w14:textId="77777777" w:rsidR="00DD13BF" w:rsidRPr="00790120" w:rsidRDefault="00DD13BF" w:rsidP="00355A56">
            <w:pPr>
              <w:widowControl/>
              <w:autoSpaceDE/>
              <w:autoSpaceDN/>
              <w:rPr>
                <w:rFonts w:eastAsia="Calibri"/>
              </w:rPr>
            </w:pPr>
            <w:r>
              <w:t>(b) required to implement Directive 98/83/EC;</w:t>
            </w:r>
          </w:p>
          <w:p w14:paraId="6CA2B714" w14:textId="77777777" w:rsidR="00DD13BF" w:rsidRPr="00790120" w:rsidRDefault="00DD13BF" w:rsidP="00355A56">
            <w:pPr>
              <w:widowControl/>
              <w:autoSpaceDE/>
              <w:autoSpaceDN/>
              <w:rPr>
                <w:rFonts w:eastAsia="Calibri"/>
              </w:rPr>
            </w:pPr>
          </w:p>
          <w:p w14:paraId="39567885" w14:textId="77777777" w:rsidR="00DD13BF" w:rsidRPr="00790120" w:rsidRDefault="00DD13BF" w:rsidP="00355A56">
            <w:pPr>
              <w:widowControl/>
              <w:autoSpaceDE/>
              <w:autoSpaceDN/>
              <w:rPr>
                <w:rFonts w:eastAsia="Calibri"/>
              </w:rPr>
            </w:pPr>
            <w:r>
              <w:t>(c) required to match the needs stemming from Directive</w:t>
            </w:r>
          </w:p>
          <w:p w14:paraId="455A62B4" w14:textId="77777777" w:rsidR="00DD13BF" w:rsidRPr="00790120" w:rsidRDefault="00DD13BF" w:rsidP="00355A56">
            <w:pPr>
              <w:widowControl/>
              <w:autoSpaceDE/>
              <w:autoSpaceDN/>
              <w:rPr>
                <w:rFonts w:eastAsia="Calibri"/>
              </w:rPr>
            </w:pPr>
            <w:r>
              <w:t>(EU) 2020/2184 (10), regarding in particular the revised quality</w:t>
            </w:r>
          </w:p>
          <w:p w14:paraId="37896BCF" w14:textId="77777777" w:rsidR="00DD13BF" w:rsidRPr="00790120" w:rsidRDefault="00DD13BF" w:rsidP="00355A56">
            <w:pPr>
              <w:widowControl/>
              <w:autoSpaceDE/>
              <w:autoSpaceDN/>
              <w:rPr>
                <w:rFonts w:eastAsia="Calibri"/>
              </w:rPr>
            </w:pPr>
            <w:r>
              <w:t>parameters set out in Annex I of that Directive.</w:t>
            </w:r>
          </w:p>
        </w:tc>
        <w:tc>
          <w:tcPr>
            <w:tcW w:w="709" w:type="dxa"/>
          </w:tcPr>
          <w:p w14:paraId="2DF9A490" w14:textId="77777777" w:rsidR="00DD13BF" w:rsidRPr="00790120" w:rsidRDefault="00DD13BF" w:rsidP="00355A56">
            <w:pPr>
              <w:widowControl/>
              <w:autoSpaceDE/>
              <w:autoSpaceDN/>
              <w:rPr>
                <w:rFonts w:eastAsia="Calibri"/>
              </w:rPr>
            </w:pPr>
            <w:r>
              <w:lastRenderedPageBreak/>
              <w:t>No</w:t>
            </w:r>
          </w:p>
        </w:tc>
        <w:tc>
          <w:tcPr>
            <w:tcW w:w="2267" w:type="dxa"/>
          </w:tcPr>
          <w:p w14:paraId="5D2B0346" w14:textId="77777777" w:rsidR="00DD13BF" w:rsidRPr="00790120" w:rsidRDefault="00425F22" w:rsidP="00355A56">
            <w:pPr>
              <w:widowControl/>
              <w:autoSpaceDE/>
              <w:autoSpaceDN/>
              <w:rPr>
                <w:rFonts w:eastAsia="Calibri"/>
              </w:rPr>
            </w:pPr>
            <w:hyperlink r:id="rId147" w:history="1">
              <w:r w:rsidR="00DD13BF">
                <w:rPr>
                  <w:color w:val="0563C1"/>
                  <w:u w:val="single"/>
                </w:rPr>
                <w:t>Operational Programme for the discharge and treatment of urban waste water</w:t>
              </w:r>
            </w:hyperlink>
          </w:p>
          <w:p w14:paraId="562981E6" w14:textId="77777777" w:rsidR="00DD13BF" w:rsidRPr="00790120" w:rsidRDefault="00DD13BF" w:rsidP="00355A56">
            <w:pPr>
              <w:widowControl/>
              <w:autoSpaceDE/>
              <w:autoSpaceDN/>
              <w:rPr>
                <w:rFonts w:eastAsia="Calibri"/>
              </w:rPr>
            </w:pPr>
          </w:p>
          <w:p w14:paraId="11693CDC" w14:textId="77777777" w:rsidR="00DD13BF" w:rsidRPr="00790120" w:rsidRDefault="00DD13BF" w:rsidP="00355A56">
            <w:pPr>
              <w:widowControl/>
              <w:autoSpaceDE/>
              <w:autoSpaceDN/>
              <w:rPr>
                <w:rFonts w:eastAsia="Calibri"/>
              </w:rPr>
            </w:pPr>
            <w:r>
              <w:t xml:space="preserve">On 21 April 2022, the Government adopted the </w:t>
            </w:r>
            <w:hyperlink r:id="rId148" w:history="1">
              <w:r>
                <w:rPr>
                  <w:color w:val="0563C1"/>
                  <w:u w:val="single"/>
                </w:rPr>
                <w:t>Operational Programme for drinking water supply for the 2022–2027 period</w:t>
              </w:r>
            </w:hyperlink>
          </w:p>
          <w:p w14:paraId="0D507168" w14:textId="77777777" w:rsidR="00DD13BF" w:rsidRPr="00790120" w:rsidRDefault="00DD13BF" w:rsidP="00355A56">
            <w:pPr>
              <w:widowControl/>
              <w:autoSpaceDE/>
              <w:autoSpaceDN/>
              <w:jc w:val="center"/>
              <w:rPr>
                <w:rFonts w:eastAsia="Calibri"/>
              </w:rPr>
            </w:pPr>
          </w:p>
          <w:p w14:paraId="621B6012" w14:textId="77777777" w:rsidR="00DD13BF" w:rsidRPr="00790120" w:rsidRDefault="00DD13BF" w:rsidP="00355A56">
            <w:pPr>
              <w:widowControl/>
              <w:autoSpaceDE/>
              <w:autoSpaceDN/>
              <w:jc w:val="center"/>
              <w:rPr>
                <w:rFonts w:eastAsia="Calibri"/>
              </w:rPr>
            </w:pPr>
          </w:p>
        </w:tc>
        <w:tc>
          <w:tcPr>
            <w:tcW w:w="3402" w:type="dxa"/>
          </w:tcPr>
          <w:p w14:paraId="4F4182B5" w14:textId="77777777" w:rsidR="00DD13BF" w:rsidRPr="00790120" w:rsidRDefault="00DD13BF" w:rsidP="00355A56">
            <w:pPr>
              <w:widowControl/>
              <w:autoSpaceDE/>
              <w:autoSpaceDN/>
              <w:jc w:val="both"/>
              <w:rPr>
                <w:rFonts w:eastAsia="Calibri"/>
              </w:rPr>
            </w:pPr>
            <w:r>
              <w:t xml:space="preserve">A) The Operational Programme for the discharge and treatment of urban waste water contains a financial assessment of the investment costs of the measures required to equip agglomerations with a total load equal to or greater than 2,000 PE. The estimated funds required for the construction of public sewage networks amount to 276.4 million, and to 56.3 million for the construction or reconstruction of waste water treatment plants. The total value of the required funds is thus estimated at 332.7 million. The Operational Programme also </w:t>
            </w:r>
            <w:r>
              <w:lastRenderedPageBreak/>
              <w:t>contains the order of priorities for the implementation of measures. The first priority is agglomerations which, based on a preliminary compliance assessment, are assessed as non-compliant with Articles 3, 4 and 5 of Council Directive 91/271/EEC concerning urban waste water treatment.</w:t>
            </w:r>
          </w:p>
          <w:p w14:paraId="1F403060" w14:textId="77777777" w:rsidR="00DD13BF" w:rsidRPr="00790120" w:rsidRDefault="00DD13BF" w:rsidP="00355A56">
            <w:pPr>
              <w:widowControl/>
              <w:jc w:val="both"/>
              <w:rPr>
                <w:rFonts w:eastAsia="Calibri"/>
              </w:rPr>
            </w:pPr>
          </w:p>
          <w:p w14:paraId="7C8C8573" w14:textId="77777777" w:rsidR="00DD13BF" w:rsidRPr="00790120" w:rsidRDefault="00DD13BF" w:rsidP="00355A56">
            <w:pPr>
              <w:widowControl/>
              <w:autoSpaceDE/>
              <w:autoSpaceDN/>
              <w:jc w:val="both"/>
              <w:rPr>
                <w:rFonts w:eastAsia="Calibri"/>
              </w:rPr>
            </w:pPr>
            <w:r>
              <w:t>B) The Operational Programme for drinking water supply for the 2022–2027 period requires funds in the amount of 621.7 million, of which 486 million is required to reduce water losses in public water supply systems, and 58.6 million for the construction of new public water supply systems.</w:t>
            </w:r>
          </w:p>
          <w:p w14:paraId="35E87DEC" w14:textId="77777777" w:rsidR="00DD13BF" w:rsidRPr="00790120" w:rsidRDefault="00DD13BF" w:rsidP="00355A56">
            <w:pPr>
              <w:widowControl/>
              <w:jc w:val="both"/>
              <w:rPr>
                <w:rFonts w:eastAsia="Calibri"/>
              </w:rPr>
            </w:pPr>
          </w:p>
          <w:p w14:paraId="33338500" w14:textId="77777777" w:rsidR="00DD13BF" w:rsidRPr="00790120" w:rsidRDefault="00DD13BF" w:rsidP="00355A56">
            <w:pPr>
              <w:widowControl/>
              <w:autoSpaceDE/>
              <w:autoSpaceDN/>
              <w:jc w:val="both"/>
              <w:rPr>
                <w:rFonts w:eastAsia="Calibri"/>
              </w:rPr>
            </w:pPr>
            <w:r>
              <w:t>C) The transposition of Directive (EU) 2020/2184 into Slovenian legislation is under the jurisdiction of the Ministry of Health and is planned by 12 January 2023.</w:t>
            </w:r>
          </w:p>
        </w:tc>
      </w:tr>
      <w:tr w:rsidR="00DD13BF" w:rsidRPr="00790120" w14:paraId="51A13AE9" w14:textId="77777777" w:rsidTr="00355A56">
        <w:trPr>
          <w:trHeight w:val="353"/>
        </w:trPr>
        <w:tc>
          <w:tcPr>
            <w:tcW w:w="1538" w:type="dxa"/>
            <w:vMerge/>
          </w:tcPr>
          <w:p w14:paraId="4E5EEF87" w14:textId="77777777" w:rsidR="00DD13BF" w:rsidRPr="00790120" w:rsidRDefault="00DD13BF" w:rsidP="00355A56">
            <w:pPr>
              <w:widowControl/>
              <w:autoSpaceDE/>
              <w:autoSpaceDN/>
              <w:rPr>
                <w:rFonts w:eastAsia="Calibri"/>
              </w:rPr>
            </w:pPr>
          </w:p>
        </w:tc>
        <w:tc>
          <w:tcPr>
            <w:tcW w:w="877" w:type="dxa"/>
            <w:vMerge/>
          </w:tcPr>
          <w:p w14:paraId="2B17EBDB" w14:textId="77777777" w:rsidR="00DD13BF" w:rsidRPr="00790120" w:rsidRDefault="00DD13BF" w:rsidP="00355A56">
            <w:pPr>
              <w:widowControl/>
              <w:autoSpaceDE/>
              <w:autoSpaceDN/>
              <w:rPr>
                <w:rFonts w:eastAsia="Calibri"/>
              </w:rPr>
            </w:pPr>
          </w:p>
        </w:tc>
        <w:tc>
          <w:tcPr>
            <w:tcW w:w="1985" w:type="dxa"/>
            <w:vMerge/>
          </w:tcPr>
          <w:p w14:paraId="4FBFF3EB" w14:textId="77777777" w:rsidR="00DD13BF" w:rsidRPr="00790120" w:rsidRDefault="00DD13BF" w:rsidP="00355A56">
            <w:pPr>
              <w:widowControl/>
              <w:autoSpaceDE/>
              <w:autoSpaceDN/>
              <w:rPr>
                <w:rFonts w:eastAsia="Calibri"/>
              </w:rPr>
            </w:pPr>
          </w:p>
        </w:tc>
        <w:tc>
          <w:tcPr>
            <w:tcW w:w="1134" w:type="dxa"/>
            <w:vMerge/>
          </w:tcPr>
          <w:p w14:paraId="11FD6387" w14:textId="77777777" w:rsidR="00DD13BF" w:rsidRPr="00790120" w:rsidRDefault="00DD13BF" w:rsidP="00355A56">
            <w:pPr>
              <w:widowControl/>
              <w:autoSpaceDE/>
              <w:autoSpaceDN/>
              <w:rPr>
                <w:rFonts w:eastAsia="Calibri"/>
              </w:rPr>
            </w:pPr>
          </w:p>
        </w:tc>
        <w:tc>
          <w:tcPr>
            <w:tcW w:w="1984" w:type="dxa"/>
          </w:tcPr>
          <w:p w14:paraId="40DFEDC3" w14:textId="77777777" w:rsidR="00DD13BF" w:rsidRPr="00790120" w:rsidRDefault="00DD13BF" w:rsidP="00355A56">
            <w:pPr>
              <w:widowControl/>
              <w:autoSpaceDE/>
              <w:autoSpaceDN/>
              <w:rPr>
                <w:rFonts w:eastAsia="Calibri"/>
              </w:rPr>
            </w:pPr>
            <w:r>
              <w:t>3. An estimate of investments needed to renew existing wastewater</w:t>
            </w:r>
          </w:p>
          <w:p w14:paraId="69B122C3" w14:textId="77777777" w:rsidR="00DD13BF" w:rsidRPr="00790120" w:rsidRDefault="00DD13BF" w:rsidP="00355A56">
            <w:pPr>
              <w:widowControl/>
              <w:autoSpaceDE/>
              <w:autoSpaceDN/>
              <w:rPr>
                <w:rFonts w:eastAsia="Calibri"/>
              </w:rPr>
            </w:pPr>
            <w:r>
              <w:lastRenderedPageBreak/>
              <w:t>and water supply infrastructure, including networks, based on their age and</w:t>
            </w:r>
          </w:p>
          <w:p w14:paraId="4B8F7346" w14:textId="77777777" w:rsidR="00DD13BF" w:rsidRPr="00790120" w:rsidRDefault="00DD13BF" w:rsidP="00355A56">
            <w:pPr>
              <w:widowControl/>
              <w:autoSpaceDE/>
              <w:autoSpaceDN/>
              <w:rPr>
                <w:rFonts w:eastAsia="Calibri"/>
              </w:rPr>
            </w:pPr>
            <w:r>
              <w:t>depreciation plans.</w:t>
            </w:r>
          </w:p>
        </w:tc>
        <w:tc>
          <w:tcPr>
            <w:tcW w:w="709" w:type="dxa"/>
          </w:tcPr>
          <w:p w14:paraId="59461580" w14:textId="77777777" w:rsidR="00DD13BF" w:rsidRPr="00790120" w:rsidRDefault="00DD13BF" w:rsidP="00355A56">
            <w:pPr>
              <w:widowControl/>
              <w:spacing w:line="259" w:lineRule="auto"/>
            </w:pPr>
            <w:r>
              <w:lastRenderedPageBreak/>
              <w:t>Yes</w:t>
            </w:r>
          </w:p>
        </w:tc>
        <w:tc>
          <w:tcPr>
            <w:tcW w:w="2267" w:type="dxa"/>
          </w:tcPr>
          <w:p w14:paraId="70B3BDDE" w14:textId="77777777" w:rsidR="00DD13BF" w:rsidRPr="00790120" w:rsidRDefault="00DD13BF" w:rsidP="00355A56">
            <w:pPr>
              <w:widowControl/>
              <w:autoSpaceDE/>
              <w:autoSpaceDN/>
              <w:rPr>
                <w:rFonts w:eastAsia="Calibri"/>
              </w:rPr>
            </w:pPr>
            <w:r>
              <w:t xml:space="preserve">On 17 September 2020, the Government adopted the </w:t>
            </w:r>
            <w:hyperlink r:id="rId149" w:history="1">
              <w:r>
                <w:rPr>
                  <w:color w:val="0563C1"/>
                  <w:u w:val="single"/>
                </w:rPr>
                <w:t xml:space="preserve">Operational Programme for the </w:t>
              </w:r>
              <w:r>
                <w:rPr>
                  <w:color w:val="0563C1"/>
                  <w:u w:val="single"/>
                </w:rPr>
                <w:lastRenderedPageBreak/>
                <w:t>discharge and treatment of urban waste water</w:t>
              </w:r>
            </w:hyperlink>
            <w:r>
              <w:t xml:space="preserve"> </w:t>
            </w:r>
          </w:p>
          <w:p w14:paraId="3A87DCD8" w14:textId="77777777" w:rsidR="00DD13BF" w:rsidRPr="00790120" w:rsidRDefault="00DD13BF" w:rsidP="00355A56">
            <w:pPr>
              <w:widowControl/>
              <w:autoSpaceDE/>
              <w:autoSpaceDN/>
              <w:rPr>
                <w:rFonts w:eastAsia="Calibri"/>
              </w:rPr>
            </w:pPr>
          </w:p>
          <w:p w14:paraId="0930133A" w14:textId="77777777" w:rsidR="00DD13BF" w:rsidRPr="00790120" w:rsidRDefault="00DD13BF" w:rsidP="00355A56">
            <w:pPr>
              <w:widowControl/>
              <w:autoSpaceDE/>
              <w:autoSpaceDN/>
              <w:rPr>
                <w:rFonts w:eastAsia="Calibri"/>
              </w:rPr>
            </w:pPr>
            <w:r>
              <w:t xml:space="preserve">On 21 April 2022, the Government adopted the </w:t>
            </w:r>
            <w:hyperlink r:id="rId150" w:history="1">
              <w:r>
                <w:rPr>
                  <w:color w:val="0563C1"/>
                  <w:u w:val="single"/>
                </w:rPr>
                <w:t>Operational Programme for drinking water supply for the 2022–2027 period</w:t>
              </w:r>
            </w:hyperlink>
            <w:r>
              <w:t>.</w:t>
            </w:r>
          </w:p>
          <w:p w14:paraId="145E59DC" w14:textId="77777777" w:rsidR="00DD13BF" w:rsidRPr="00790120" w:rsidRDefault="00DD13BF" w:rsidP="00355A56">
            <w:pPr>
              <w:widowControl/>
              <w:autoSpaceDE/>
              <w:autoSpaceDN/>
              <w:rPr>
                <w:rFonts w:eastAsia="Calibri"/>
              </w:rPr>
            </w:pPr>
          </w:p>
        </w:tc>
        <w:tc>
          <w:tcPr>
            <w:tcW w:w="3402" w:type="dxa"/>
          </w:tcPr>
          <w:p w14:paraId="02AA12D6" w14:textId="77777777" w:rsidR="00DD13BF" w:rsidRPr="00790120" w:rsidRDefault="00DD13BF" w:rsidP="00355A56">
            <w:pPr>
              <w:widowControl/>
              <w:autoSpaceDE/>
              <w:autoSpaceDN/>
              <w:jc w:val="both"/>
              <w:rPr>
                <w:rFonts w:eastAsia="Calibri"/>
              </w:rPr>
            </w:pPr>
            <w:r>
              <w:lastRenderedPageBreak/>
              <w:t xml:space="preserve">The Operational Programme for the discharge and treatment of urban waste water and the Operational Programme for drinking water supply for the 2022–2027 period </w:t>
            </w:r>
            <w:r>
              <w:lastRenderedPageBreak/>
              <w:t>contain an estimate of the lengths of the sewage and water supply networks which must be reconstructed after the end of the depreciation period.</w:t>
            </w:r>
          </w:p>
        </w:tc>
      </w:tr>
      <w:tr w:rsidR="00DD13BF" w:rsidRPr="00790120" w14:paraId="71696D59" w14:textId="77777777" w:rsidTr="00355A56">
        <w:trPr>
          <w:trHeight w:val="353"/>
        </w:trPr>
        <w:tc>
          <w:tcPr>
            <w:tcW w:w="1538" w:type="dxa"/>
            <w:vMerge/>
          </w:tcPr>
          <w:p w14:paraId="315DEC11" w14:textId="77777777" w:rsidR="00DD13BF" w:rsidRPr="00790120" w:rsidRDefault="00DD13BF" w:rsidP="00355A56">
            <w:pPr>
              <w:widowControl/>
              <w:autoSpaceDE/>
              <w:autoSpaceDN/>
              <w:rPr>
                <w:rFonts w:eastAsia="Calibri"/>
              </w:rPr>
            </w:pPr>
          </w:p>
        </w:tc>
        <w:tc>
          <w:tcPr>
            <w:tcW w:w="877" w:type="dxa"/>
            <w:vMerge/>
          </w:tcPr>
          <w:p w14:paraId="7B361679" w14:textId="77777777" w:rsidR="00DD13BF" w:rsidRPr="00790120" w:rsidRDefault="00DD13BF" w:rsidP="00355A56">
            <w:pPr>
              <w:widowControl/>
              <w:autoSpaceDE/>
              <w:autoSpaceDN/>
              <w:rPr>
                <w:rFonts w:eastAsia="Calibri"/>
              </w:rPr>
            </w:pPr>
          </w:p>
        </w:tc>
        <w:tc>
          <w:tcPr>
            <w:tcW w:w="1985" w:type="dxa"/>
            <w:vMerge/>
          </w:tcPr>
          <w:p w14:paraId="6509190A" w14:textId="77777777" w:rsidR="00DD13BF" w:rsidRPr="00790120" w:rsidRDefault="00DD13BF" w:rsidP="00355A56">
            <w:pPr>
              <w:widowControl/>
              <w:autoSpaceDE/>
              <w:autoSpaceDN/>
              <w:rPr>
                <w:rFonts w:eastAsia="Calibri"/>
              </w:rPr>
            </w:pPr>
          </w:p>
        </w:tc>
        <w:tc>
          <w:tcPr>
            <w:tcW w:w="1134" w:type="dxa"/>
            <w:vMerge/>
          </w:tcPr>
          <w:p w14:paraId="291282DB" w14:textId="77777777" w:rsidR="00DD13BF" w:rsidRPr="00790120" w:rsidRDefault="00DD13BF" w:rsidP="00355A56">
            <w:pPr>
              <w:widowControl/>
              <w:autoSpaceDE/>
              <w:autoSpaceDN/>
              <w:rPr>
                <w:rFonts w:eastAsia="Calibri"/>
              </w:rPr>
            </w:pPr>
          </w:p>
        </w:tc>
        <w:tc>
          <w:tcPr>
            <w:tcW w:w="1984" w:type="dxa"/>
          </w:tcPr>
          <w:p w14:paraId="4632C674" w14:textId="77777777" w:rsidR="00DD13BF" w:rsidRPr="00790120" w:rsidRDefault="00DD13BF" w:rsidP="00355A56">
            <w:pPr>
              <w:widowControl/>
              <w:autoSpaceDE/>
              <w:autoSpaceDN/>
              <w:rPr>
                <w:rFonts w:eastAsia="Calibri"/>
              </w:rPr>
            </w:pPr>
            <w:r>
              <w:t>4. An indication of potential sources of public financing, when needed to complement user charges.</w:t>
            </w:r>
          </w:p>
        </w:tc>
        <w:tc>
          <w:tcPr>
            <w:tcW w:w="709" w:type="dxa"/>
          </w:tcPr>
          <w:p w14:paraId="24F42124" w14:textId="77777777" w:rsidR="00DD13BF" w:rsidRPr="00790120" w:rsidRDefault="00DD13BF" w:rsidP="00355A56">
            <w:pPr>
              <w:widowControl/>
              <w:autoSpaceDE/>
              <w:autoSpaceDN/>
              <w:rPr>
                <w:rFonts w:eastAsia="Calibri"/>
              </w:rPr>
            </w:pPr>
            <w:r>
              <w:t>Yes</w:t>
            </w:r>
          </w:p>
        </w:tc>
        <w:tc>
          <w:tcPr>
            <w:tcW w:w="2267" w:type="dxa"/>
          </w:tcPr>
          <w:p w14:paraId="44A8231E" w14:textId="77777777" w:rsidR="00DD13BF" w:rsidRPr="00790120" w:rsidRDefault="00DD13BF" w:rsidP="00355A56">
            <w:pPr>
              <w:widowControl/>
              <w:autoSpaceDE/>
              <w:autoSpaceDN/>
              <w:rPr>
                <w:rFonts w:eastAsia="Calibri"/>
              </w:rPr>
            </w:pPr>
            <w:r>
              <w:t xml:space="preserve">On 17 September 2020, the Government adopted the </w:t>
            </w:r>
            <w:hyperlink r:id="rId151" w:history="1">
              <w:r>
                <w:rPr>
                  <w:color w:val="0563C1"/>
                  <w:u w:val="single"/>
                </w:rPr>
                <w:t>Operational Programme for the discharge and treatment of urban waste water</w:t>
              </w:r>
            </w:hyperlink>
          </w:p>
          <w:p w14:paraId="015802DB" w14:textId="77777777" w:rsidR="00DD13BF" w:rsidRPr="00790120" w:rsidRDefault="00DD13BF" w:rsidP="00355A56">
            <w:pPr>
              <w:widowControl/>
              <w:rPr>
                <w:color w:val="0563C1"/>
                <w:u w:val="single"/>
              </w:rPr>
            </w:pPr>
          </w:p>
          <w:p w14:paraId="28722D94" w14:textId="77777777" w:rsidR="00DD13BF" w:rsidRPr="00790120" w:rsidRDefault="00DD13BF" w:rsidP="00355A56">
            <w:pPr>
              <w:widowControl/>
              <w:autoSpaceDE/>
              <w:autoSpaceDN/>
              <w:rPr>
                <w:rFonts w:eastAsia="Calibri"/>
              </w:rPr>
            </w:pPr>
            <w:r>
              <w:t xml:space="preserve">On 21 April 2022, the Government adopted the </w:t>
            </w:r>
            <w:hyperlink r:id="rId152" w:history="1">
              <w:r>
                <w:rPr>
                  <w:color w:val="0563C1"/>
                  <w:u w:val="single"/>
                </w:rPr>
                <w:t>Operational Programme for drinking water supply for the 2022–2027 period</w:t>
              </w:r>
            </w:hyperlink>
          </w:p>
          <w:p w14:paraId="3F4B4C13" w14:textId="77777777" w:rsidR="00DD13BF" w:rsidRPr="00790120" w:rsidRDefault="00DD13BF" w:rsidP="00355A56">
            <w:pPr>
              <w:widowControl/>
              <w:autoSpaceDE/>
              <w:autoSpaceDN/>
              <w:rPr>
                <w:rFonts w:eastAsia="Calibri"/>
              </w:rPr>
            </w:pPr>
          </w:p>
        </w:tc>
        <w:tc>
          <w:tcPr>
            <w:tcW w:w="3402" w:type="dxa"/>
          </w:tcPr>
          <w:p w14:paraId="46B25AEB" w14:textId="77777777" w:rsidR="00DD13BF" w:rsidRPr="00790120" w:rsidRDefault="00DD13BF" w:rsidP="00355A56">
            <w:pPr>
              <w:widowControl/>
              <w:autoSpaceDE/>
              <w:autoSpaceDN/>
              <w:jc w:val="both"/>
              <w:rPr>
                <w:rFonts w:eastAsia="Calibri"/>
              </w:rPr>
            </w:pPr>
            <w:r>
              <w:t xml:space="preserve">The planned investments for the Operational Programme for the discharge and treatment of urban waste water contain all potential financing sources (EU funds, national funds, municipal funds). </w:t>
            </w:r>
          </w:p>
          <w:p w14:paraId="4356BBA4" w14:textId="77777777" w:rsidR="00DD13BF" w:rsidRPr="00790120" w:rsidRDefault="00DD13BF" w:rsidP="00355A56">
            <w:pPr>
              <w:widowControl/>
              <w:autoSpaceDE/>
              <w:autoSpaceDN/>
              <w:jc w:val="both"/>
              <w:rPr>
                <w:rFonts w:eastAsia="Calibri"/>
              </w:rPr>
            </w:pPr>
            <w:r>
              <w:t>The Operational Programme for drinking water supply for the 2022–2027 period contains all potential financing sources (EU funds, national funds, municipal funds). The Operational Programme for drinking water supply for the 2022–2027 period estimates that 456 million is required for investments in the reconstruction of water supply systems based on their age and</w:t>
            </w:r>
            <w:r>
              <w:cr/>
            </w:r>
            <w:r>
              <w:br/>
              <w:t>depreciation plans.</w:t>
            </w:r>
          </w:p>
        </w:tc>
      </w:tr>
      <w:tr w:rsidR="00DD13BF" w:rsidRPr="00790120" w14:paraId="0E511FA1" w14:textId="77777777" w:rsidTr="00355A56">
        <w:trPr>
          <w:trHeight w:val="353"/>
        </w:trPr>
        <w:tc>
          <w:tcPr>
            <w:tcW w:w="1538" w:type="dxa"/>
            <w:vMerge w:val="restart"/>
          </w:tcPr>
          <w:p w14:paraId="7494E950" w14:textId="77777777" w:rsidR="00DD13BF" w:rsidRPr="00790120" w:rsidRDefault="00DD13BF" w:rsidP="00355A56">
            <w:pPr>
              <w:widowControl/>
              <w:autoSpaceDE/>
              <w:autoSpaceDN/>
              <w:rPr>
                <w:rFonts w:eastAsia="Calibri"/>
              </w:rPr>
            </w:pPr>
            <w:r>
              <w:lastRenderedPageBreak/>
              <w:t>2.6 Updated</w:t>
            </w:r>
          </w:p>
          <w:p w14:paraId="0FC7972E" w14:textId="77777777" w:rsidR="00DD13BF" w:rsidRPr="00790120" w:rsidRDefault="00DD13BF" w:rsidP="00355A56">
            <w:pPr>
              <w:widowControl/>
              <w:autoSpaceDE/>
              <w:autoSpaceDN/>
              <w:rPr>
                <w:rFonts w:eastAsia="Calibri"/>
              </w:rPr>
            </w:pPr>
            <w:r>
              <w:t>planning for</w:t>
            </w:r>
          </w:p>
          <w:p w14:paraId="76FF6F96" w14:textId="77777777" w:rsidR="00DD13BF" w:rsidRPr="00790120" w:rsidRDefault="00DD13BF" w:rsidP="00355A56">
            <w:pPr>
              <w:widowControl/>
              <w:autoSpaceDE/>
              <w:autoSpaceDN/>
              <w:rPr>
                <w:rFonts w:eastAsia="Calibri"/>
              </w:rPr>
            </w:pPr>
            <w:r>
              <w:t>waste management</w:t>
            </w:r>
          </w:p>
        </w:tc>
        <w:tc>
          <w:tcPr>
            <w:tcW w:w="877" w:type="dxa"/>
            <w:vMerge w:val="restart"/>
          </w:tcPr>
          <w:p w14:paraId="4068D051" w14:textId="77777777" w:rsidR="00DD13BF" w:rsidRPr="00790120" w:rsidRDefault="00DD13BF" w:rsidP="00355A56">
            <w:pPr>
              <w:widowControl/>
              <w:autoSpaceDE/>
              <w:autoSpaceDN/>
              <w:rPr>
                <w:rFonts w:eastAsia="Calibri"/>
              </w:rPr>
            </w:pPr>
            <w:r>
              <w:t>ERDF and CF</w:t>
            </w:r>
          </w:p>
        </w:tc>
        <w:tc>
          <w:tcPr>
            <w:tcW w:w="1985" w:type="dxa"/>
            <w:vMerge w:val="restart"/>
          </w:tcPr>
          <w:p w14:paraId="100C92F6" w14:textId="77777777" w:rsidR="00DD13BF" w:rsidRPr="00790120" w:rsidRDefault="00DD13BF" w:rsidP="00355A56">
            <w:pPr>
              <w:widowControl/>
              <w:autoSpaceDE/>
              <w:autoSpaceDN/>
              <w:rPr>
                <w:rFonts w:eastAsia="Calibri"/>
              </w:rPr>
            </w:pPr>
            <w:r>
              <w:t>RSO2.6: Promoting the transition to a circular</w:t>
            </w:r>
          </w:p>
          <w:p w14:paraId="4D6EB18C" w14:textId="77777777" w:rsidR="00DD13BF" w:rsidRPr="00790120" w:rsidRDefault="00DD13BF" w:rsidP="00355A56">
            <w:pPr>
              <w:widowControl/>
              <w:autoSpaceDE/>
              <w:autoSpaceDN/>
              <w:rPr>
                <w:rFonts w:eastAsia="Calibri"/>
              </w:rPr>
            </w:pPr>
            <w:r>
              <w:t>and resource efficient economy</w:t>
            </w:r>
          </w:p>
        </w:tc>
        <w:tc>
          <w:tcPr>
            <w:tcW w:w="1134" w:type="dxa"/>
            <w:vMerge w:val="restart"/>
          </w:tcPr>
          <w:p w14:paraId="2A9E1AF5" w14:textId="77777777" w:rsidR="00DD13BF" w:rsidRPr="00790120" w:rsidRDefault="00DD13BF" w:rsidP="00355A56">
            <w:pPr>
              <w:widowControl/>
              <w:autoSpaceDE/>
              <w:autoSpaceDN/>
              <w:rPr>
                <w:rFonts w:eastAsia="Calibri"/>
              </w:rPr>
            </w:pPr>
            <w:r>
              <w:t>Yes</w:t>
            </w:r>
          </w:p>
        </w:tc>
        <w:tc>
          <w:tcPr>
            <w:tcW w:w="8362" w:type="dxa"/>
            <w:gridSpan w:val="4"/>
            <w:shd w:val="clear" w:color="auto" w:fill="92D050"/>
          </w:tcPr>
          <w:p w14:paraId="0E7CED58" w14:textId="77777777" w:rsidR="00DD13BF" w:rsidRPr="00790120" w:rsidRDefault="00DD13BF" w:rsidP="00355A56">
            <w:pPr>
              <w:widowControl/>
              <w:shd w:val="clear" w:color="auto" w:fill="92D050"/>
              <w:autoSpaceDE/>
              <w:autoSpaceDN/>
              <w:jc w:val="center"/>
              <w:rPr>
                <w:rFonts w:eastAsia="Calibri"/>
              </w:rPr>
            </w:pPr>
            <w:r>
              <w:t>One or more waste management plans as referred to in Article 28</w:t>
            </w:r>
          </w:p>
          <w:p w14:paraId="69A9EF41" w14:textId="77777777" w:rsidR="00DD13BF" w:rsidRPr="00790120" w:rsidRDefault="00DD13BF" w:rsidP="00355A56">
            <w:pPr>
              <w:widowControl/>
              <w:shd w:val="clear" w:color="auto" w:fill="92D050"/>
              <w:autoSpaceDE/>
              <w:autoSpaceDN/>
              <w:jc w:val="center"/>
              <w:rPr>
                <w:rFonts w:eastAsia="Calibri"/>
              </w:rPr>
            </w:pPr>
            <w:r>
              <w:t>of Directive 2008/98/EC of the European Parliament and of the Council (11) are in place, covering</w:t>
            </w:r>
          </w:p>
          <w:p w14:paraId="374C89D9" w14:textId="77777777" w:rsidR="00DD13BF" w:rsidRPr="00790120" w:rsidRDefault="00DD13BF" w:rsidP="00355A56">
            <w:pPr>
              <w:widowControl/>
              <w:shd w:val="clear" w:color="auto" w:fill="92D050"/>
              <w:autoSpaceDE/>
              <w:autoSpaceDN/>
              <w:jc w:val="center"/>
              <w:rPr>
                <w:rFonts w:eastAsia="Calibri"/>
              </w:rPr>
            </w:pPr>
            <w:r>
              <w:t>the entire territory of the Member State, and include:</w:t>
            </w:r>
          </w:p>
        </w:tc>
      </w:tr>
      <w:tr w:rsidR="00DD13BF" w:rsidRPr="00790120" w14:paraId="011471D2" w14:textId="77777777" w:rsidTr="00355A56">
        <w:trPr>
          <w:trHeight w:val="353"/>
        </w:trPr>
        <w:tc>
          <w:tcPr>
            <w:tcW w:w="1538" w:type="dxa"/>
            <w:vMerge/>
          </w:tcPr>
          <w:p w14:paraId="59371623" w14:textId="77777777" w:rsidR="00DD13BF" w:rsidRPr="00790120" w:rsidRDefault="00DD13BF" w:rsidP="00355A56">
            <w:pPr>
              <w:widowControl/>
              <w:autoSpaceDE/>
              <w:autoSpaceDN/>
              <w:rPr>
                <w:rFonts w:eastAsia="Calibri"/>
              </w:rPr>
            </w:pPr>
          </w:p>
        </w:tc>
        <w:tc>
          <w:tcPr>
            <w:tcW w:w="877" w:type="dxa"/>
            <w:vMerge/>
          </w:tcPr>
          <w:p w14:paraId="315934D3" w14:textId="77777777" w:rsidR="00DD13BF" w:rsidRPr="00790120" w:rsidRDefault="00DD13BF" w:rsidP="00355A56">
            <w:pPr>
              <w:widowControl/>
              <w:autoSpaceDE/>
              <w:autoSpaceDN/>
              <w:rPr>
                <w:rFonts w:eastAsia="Calibri"/>
              </w:rPr>
            </w:pPr>
          </w:p>
        </w:tc>
        <w:tc>
          <w:tcPr>
            <w:tcW w:w="1985" w:type="dxa"/>
            <w:vMerge/>
          </w:tcPr>
          <w:p w14:paraId="464C6303" w14:textId="77777777" w:rsidR="00DD13BF" w:rsidRPr="00790120" w:rsidRDefault="00DD13BF" w:rsidP="00355A56">
            <w:pPr>
              <w:widowControl/>
              <w:autoSpaceDE/>
              <w:autoSpaceDN/>
              <w:rPr>
                <w:rFonts w:eastAsia="Calibri"/>
              </w:rPr>
            </w:pPr>
          </w:p>
        </w:tc>
        <w:tc>
          <w:tcPr>
            <w:tcW w:w="1134" w:type="dxa"/>
            <w:vMerge/>
          </w:tcPr>
          <w:p w14:paraId="7B7F3431" w14:textId="77777777" w:rsidR="00DD13BF" w:rsidRPr="00790120" w:rsidRDefault="00DD13BF" w:rsidP="00355A56">
            <w:pPr>
              <w:widowControl/>
              <w:autoSpaceDE/>
              <w:autoSpaceDN/>
              <w:rPr>
                <w:rFonts w:eastAsia="Calibri"/>
              </w:rPr>
            </w:pPr>
          </w:p>
        </w:tc>
        <w:tc>
          <w:tcPr>
            <w:tcW w:w="1984" w:type="dxa"/>
          </w:tcPr>
          <w:p w14:paraId="5A022E4A" w14:textId="77777777" w:rsidR="00DD13BF" w:rsidRPr="00790120" w:rsidRDefault="00DD13BF" w:rsidP="00355A56">
            <w:pPr>
              <w:widowControl/>
              <w:autoSpaceDE/>
              <w:autoSpaceDN/>
              <w:rPr>
                <w:rFonts w:eastAsia="Calibri"/>
              </w:rPr>
            </w:pPr>
            <w:r>
              <w:t>1. An analysis of the current waste management situation in the</w:t>
            </w:r>
          </w:p>
          <w:p w14:paraId="20B6BBB4" w14:textId="77777777" w:rsidR="00DD13BF" w:rsidRPr="00790120" w:rsidRDefault="00DD13BF" w:rsidP="00355A56">
            <w:pPr>
              <w:widowControl/>
              <w:autoSpaceDE/>
              <w:autoSpaceDN/>
              <w:rPr>
                <w:rFonts w:eastAsia="Calibri"/>
              </w:rPr>
            </w:pPr>
            <w:r>
              <w:t>geographical entity concerned, including the type, quantity and source of</w:t>
            </w:r>
          </w:p>
          <w:p w14:paraId="1D4BB4AC" w14:textId="77777777" w:rsidR="00DD13BF" w:rsidRPr="00790120" w:rsidRDefault="00DD13BF" w:rsidP="00355A56">
            <w:pPr>
              <w:widowControl/>
              <w:autoSpaceDE/>
              <w:autoSpaceDN/>
              <w:rPr>
                <w:rFonts w:eastAsia="Calibri"/>
              </w:rPr>
            </w:pPr>
            <w:r>
              <w:t>waste generated and an evaluation of their future development taking into account the expected impacts of measures set out in the waste prevention programmes</w:t>
            </w:r>
          </w:p>
          <w:p w14:paraId="7C5EDA83" w14:textId="77777777" w:rsidR="00DD13BF" w:rsidRPr="00790120" w:rsidRDefault="00DD13BF" w:rsidP="00355A56">
            <w:pPr>
              <w:widowControl/>
              <w:autoSpaceDE/>
              <w:autoSpaceDN/>
              <w:rPr>
                <w:rFonts w:eastAsia="Calibri"/>
              </w:rPr>
            </w:pPr>
            <w:r>
              <w:t>developed in accordance with Article 29 of Directive 2008/98/EC.</w:t>
            </w:r>
          </w:p>
        </w:tc>
        <w:tc>
          <w:tcPr>
            <w:tcW w:w="709" w:type="dxa"/>
          </w:tcPr>
          <w:p w14:paraId="5DF1BDFD" w14:textId="77777777" w:rsidR="00DD13BF" w:rsidRPr="00790120" w:rsidRDefault="00DD13BF" w:rsidP="00355A56">
            <w:pPr>
              <w:widowControl/>
              <w:autoSpaceDE/>
              <w:autoSpaceDN/>
              <w:rPr>
                <w:rFonts w:eastAsia="Calibri"/>
              </w:rPr>
            </w:pPr>
            <w:r>
              <w:t>Yes</w:t>
            </w:r>
          </w:p>
        </w:tc>
        <w:tc>
          <w:tcPr>
            <w:tcW w:w="2267" w:type="dxa"/>
          </w:tcPr>
          <w:p w14:paraId="1E126A0E" w14:textId="77777777" w:rsidR="00DD13BF" w:rsidRPr="00790120" w:rsidRDefault="00DD13BF" w:rsidP="00355A56">
            <w:pPr>
              <w:widowControl/>
              <w:autoSpaceDE/>
              <w:autoSpaceDN/>
              <w:rPr>
                <w:rFonts w:eastAsia="Calibri"/>
              </w:rPr>
            </w:pPr>
            <w:r>
              <w:t xml:space="preserve">On 28 April 2022, the Government of the Republic of Slovenia adopted the </w:t>
            </w:r>
            <w:hyperlink r:id="rId153" w:history="1">
              <w:r>
                <w:rPr>
                  <w:color w:val="0563C1"/>
                  <w:u w:val="single"/>
                </w:rPr>
                <w:t>Operational plan for waste management (2022)</w:t>
              </w:r>
            </w:hyperlink>
            <w:r>
              <w:t xml:space="preserve"> with Decision no. 35401-2/2022/5.</w:t>
            </w:r>
          </w:p>
          <w:p w14:paraId="437B5814" w14:textId="77777777" w:rsidR="00DD13BF" w:rsidRPr="00790120" w:rsidRDefault="00DD13BF" w:rsidP="00355A56">
            <w:pPr>
              <w:widowControl/>
              <w:autoSpaceDE/>
              <w:autoSpaceDN/>
            </w:pPr>
          </w:p>
          <w:p w14:paraId="6DEECB8F" w14:textId="77777777" w:rsidR="00DD13BF" w:rsidRPr="00790120" w:rsidRDefault="00DD13BF" w:rsidP="00355A56">
            <w:pPr>
              <w:widowControl/>
              <w:autoSpaceDE/>
              <w:autoSpaceDN/>
              <w:rPr>
                <w:rFonts w:eastAsia="Calibri"/>
              </w:rPr>
            </w:pPr>
          </w:p>
          <w:p w14:paraId="7D04140C" w14:textId="77777777" w:rsidR="00DD13BF" w:rsidRPr="00790120" w:rsidRDefault="00DD13BF" w:rsidP="00355A56">
            <w:pPr>
              <w:widowControl/>
              <w:autoSpaceDE/>
              <w:autoSpaceDN/>
              <w:rPr>
                <w:rFonts w:eastAsia="Calibri"/>
              </w:rPr>
            </w:pPr>
          </w:p>
          <w:p w14:paraId="20820E2B" w14:textId="77777777" w:rsidR="00DD13BF" w:rsidRPr="00790120" w:rsidRDefault="00DD13BF" w:rsidP="00355A56">
            <w:pPr>
              <w:widowControl/>
              <w:autoSpaceDE/>
              <w:autoSpaceDN/>
              <w:rPr>
                <w:rFonts w:eastAsia="Calibri"/>
              </w:rPr>
            </w:pPr>
            <w:r>
              <w:t xml:space="preserve"> </w:t>
            </w:r>
          </w:p>
          <w:p w14:paraId="38663A33" w14:textId="77777777" w:rsidR="00DD13BF" w:rsidRPr="00790120" w:rsidRDefault="00DD13BF" w:rsidP="00355A56">
            <w:pPr>
              <w:widowControl/>
              <w:autoSpaceDE/>
              <w:autoSpaceDN/>
              <w:rPr>
                <w:rFonts w:eastAsia="Calibri"/>
              </w:rPr>
            </w:pPr>
          </w:p>
        </w:tc>
        <w:tc>
          <w:tcPr>
            <w:tcW w:w="3402" w:type="dxa"/>
          </w:tcPr>
          <w:p w14:paraId="44D3814E" w14:textId="77777777" w:rsidR="00DD13BF" w:rsidRPr="00790120" w:rsidRDefault="00DD13BF" w:rsidP="00355A56">
            <w:pPr>
              <w:widowControl/>
              <w:autoSpaceDE/>
              <w:autoSpaceDN/>
              <w:jc w:val="both"/>
              <w:rPr>
                <w:rFonts w:eastAsia="Calibri"/>
              </w:rPr>
            </w:pPr>
            <w:r>
              <w:t>The Operational plan for waste management, which was submitted to JASPERS for evaluation, contains an analysis of the composition of mixed municipal waste, on the basis of which a national assessment of the composition of municipal waste and recycling in the primary category was prepared.</w:t>
            </w:r>
          </w:p>
        </w:tc>
      </w:tr>
      <w:tr w:rsidR="00DD13BF" w:rsidRPr="00790120" w14:paraId="1213DBA4" w14:textId="77777777" w:rsidTr="00355A56">
        <w:trPr>
          <w:trHeight w:val="353"/>
        </w:trPr>
        <w:tc>
          <w:tcPr>
            <w:tcW w:w="1538" w:type="dxa"/>
            <w:vMerge/>
          </w:tcPr>
          <w:p w14:paraId="085F28A9" w14:textId="77777777" w:rsidR="00DD13BF" w:rsidRPr="00790120" w:rsidRDefault="00DD13BF" w:rsidP="00355A56">
            <w:pPr>
              <w:widowControl/>
              <w:autoSpaceDE/>
              <w:autoSpaceDN/>
              <w:rPr>
                <w:rFonts w:eastAsia="Calibri"/>
              </w:rPr>
            </w:pPr>
          </w:p>
        </w:tc>
        <w:tc>
          <w:tcPr>
            <w:tcW w:w="877" w:type="dxa"/>
            <w:vMerge/>
          </w:tcPr>
          <w:p w14:paraId="45A784AE" w14:textId="77777777" w:rsidR="00DD13BF" w:rsidRPr="00790120" w:rsidRDefault="00DD13BF" w:rsidP="00355A56">
            <w:pPr>
              <w:widowControl/>
              <w:autoSpaceDE/>
              <w:autoSpaceDN/>
              <w:rPr>
                <w:rFonts w:eastAsia="Calibri"/>
              </w:rPr>
            </w:pPr>
          </w:p>
        </w:tc>
        <w:tc>
          <w:tcPr>
            <w:tcW w:w="1985" w:type="dxa"/>
            <w:vMerge/>
          </w:tcPr>
          <w:p w14:paraId="4699EFC6" w14:textId="77777777" w:rsidR="00DD13BF" w:rsidRPr="00790120" w:rsidRDefault="00DD13BF" w:rsidP="00355A56">
            <w:pPr>
              <w:widowControl/>
              <w:autoSpaceDE/>
              <w:autoSpaceDN/>
              <w:rPr>
                <w:rFonts w:eastAsia="Calibri"/>
              </w:rPr>
            </w:pPr>
          </w:p>
        </w:tc>
        <w:tc>
          <w:tcPr>
            <w:tcW w:w="1134" w:type="dxa"/>
            <w:vMerge/>
          </w:tcPr>
          <w:p w14:paraId="1A9057F2" w14:textId="77777777" w:rsidR="00DD13BF" w:rsidRPr="00790120" w:rsidRDefault="00DD13BF" w:rsidP="00355A56">
            <w:pPr>
              <w:widowControl/>
              <w:autoSpaceDE/>
              <w:autoSpaceDN/>
              <w:rPr>
                <w:rFonts w:eastAsia="Calibri"/>
              </w:rPr>
            </w:pPr>
          </w:p>
        </w:tc>
        <w:tc>
          <w:tcPr>
            <w:tcW w:w="1984" w:type="dxa"/>
          </w:tcPr>
          <w:p w14:paraId="2E8AB0AA" w14:textId="77777777" w:rsidR="00DD13BF" w:rsidRPr="00790120" w:rsidRDefault="00DD13BF" w:rsidP="00355A56">
            <w:pPr>
              <w:widowControl/>
              <w:autoSpaceDE/>
              <w:autoSpaceDN/>
              <w:rPr>
                <w:rFonts w:eastAsia="Calibri"/>
              </w:rPr>
            </w:pPr>
            <w:r>
              <w:t xml:space="preserve">2. An assessment of existing waste </w:t>
            </w:r>
            <w:r>
              <w:lastRenderedPageBreak/>
              <w:t>collection schemes, including the material and territorial coverage of separate collection</w:t>
            </w:r>
          </w:p>
          <w:p w14:paraId="19A823C1" w14:textId="77777777" w:rsidR="00DD13BF" w:rsidRPr="00790120" w:rsidRDefault="00DD13BF" w:rsidP="00355A56">
            <w:pPr>
              <w:widowControl/>
              <w:autoSpaceDE/>
              <w:autoSpaceDN/>
              <w:rPr>
                <w:rFonts w:eastAsia="Calibri"/>
              </w:rPr>
            </w:pPr>
            <w:r>
              <w:t>and measures to improve its operation, as well as the need for new</w:t>
            </w:r>
          </w:p>
          <w:p w14:paraId="62706D37" w14:textId="77777777" w:rsidR="00DD13BF" w:rsidRPr="00790120" w:rsidRDefault="00DD13BF" w:rsidP="00355A56">
            <w:pPr>
              <w:widowControl/>
              <w:autoSpaceDE/>
              <w:autoSpaceDN/>
              <w:rPr>
                <w:rFonts w:eastAsia="Calibri"/>
              </w:rPr>
            </w:pPr>
            <w:r>
              <w:t>collection schemes.</w:t>
            </w:r>
          </w:p>
        </w:tc>
        <w:tc>
          <w:tcPr>
            <w:tcW w:w="709" w:type="dxa"/>
          </w:tcPr>
          <w:p w14:paraId="0E1AC979" w14:textId="77777777" w:rsidR="00DD13BF" w:rsidRPr="00790120" w:rsidRDefault="00DD13BF" w:rsidP="00355A56">
            <w:pPr>
              <w:widowControl/>
              <w:autoSpaceDE/>
              <w:autoSpaceDN/>
              <w:rPr>
                <w:rFonts w:eastAsia="Calibri"/>
              </w:rPr>
            </w:pPr>
            <w:r>
              <w:lastRenderedPageBreak/>
              <w:t>Yes</w:t>
            </w:r>
          </w:p>
        </w:tc>
        <w:tc>
          <w:tcPr>
            <w:tcW w:w="2267" w:type="dxa"/>
          </w:tcPr>
          <w:p w14:paraId="34AFEF6A" w14:textId="77777777" w:rsidR="00DD13BF" w:rsidRPr="00790120" w:rsidRDefault="00DD13BF" w:rsidP="00355A56">
            <w:pPr>
              <w:widowControl/>
              <w:autoSpaceDE/>
              <w:autoSpaceDN/>
              <w:rPr>
                <w:rFonts w:eastAsia="Calibri"/>
              </w:rPr>
            </w:pPr>
            <w:r>
              <w:t xml:space="preserve">On 28 April 2022, the Government of the </w:t>
            </w:r>
            <w:r>
              <w:lastRenderedPageBreak/>
              <w:t xml:space="preserve">Republic of Slovenia adopted the </w:t>
            </w:r>
            <w:hyperlink r:id="rId154" w:history="1">
              <w:r>
                <w:rPr>
                  <w:color w:val="0563C1"/>
                  <w:u w:val="single"/>
                </w:rPr>
                <w:t>Operational plan for waste management (2022)</w:t>
              </w:r>
            </w:hyperlink>
            <w:r>
              <w:t xml:space="preserve"> with Decision no. 35401-2/2022/5.</w:t>
            </w:r>
          </w:p>
          <w:p w14:paraId="5C8081C9" w14:textId="77777777" w:rsidR="00DD13BF" w:rsidRPr="00790120" w:rsidRDefault="00DD13BF" w:rsidP="00355A56">
            <w:pPr>
              <w:widowControl/>
              <w:autoSpaceDE/>
              <w:autoSpaceDN/>
            </w:pPr>
          </w:p>
          <w:p w14:paraId="48FFD269" w14:textId="77777777" w:rsidR="00DD13BF" w:rsidRPr="00790120" w:rsidRDefault="00DD13BF" w:rsidP="00355A56">
            <w:pPr>
              <w:widowControl/>
              <w:autoSpaceDE/>
              <w:autoSpaceDN/>
              <w:rPr>
                <w:rFonts w:eastAsia="Calibri"/>
              </w:rPr>
            </w:pPr>
            <w:r>
              <w:t xml:space="preserve"> </w:t>
            </w:r>
          </w:p>
        </w:tc>
        <w:tc>
          <w:tcPr>
            <w:tcW w:w="3402" w:type="dxa"/>
          </w:tcPr>
          <w:p w14:paraId="1937F08C" w14:textId="77777777" w:rsidR="00DD13BF" w:rsidRPr="00790120" w:rsidRDefault="00DD13BF" w:rsidP="00355A56">
            <w:pPr>
              <w:widowControl/>
              <w:autoSpaceDE/>
              <w:autoSpaceDN/>
              <w:jc w:val="both"/>
              <w:rPr>
                <w:rFonts w:eastAsia="Calibri"/>
              </w:rPr>
            </w:pPr>
            <w:r>
              <w:lastRenderedPageBreak/>
              <w:t xml:space="preserve">The programme, which contains an analysis of the efficiency of </w:t>
            </w:r>
            <w:r>
              <w:lastRenderedPageBreak/>
              <w:t xml:space="preserve">municipal and other waste management based on the 2018 reference year, and scenarios of possible development for the next 20 years, was submitted for review to JASPERS. </w:t>
            </w:r>
          </w:p>
        </w:tc>
      </w:tr>
      <w:tr w:rsidR="00DD13BF" w:rsidRPr="00790120" w14:paraId="5E8FB8D0" w14:textId="77777777" w:rsidTr="00355A56">
        <w:trPr>
          <w:trHeight w:val="353"/>
        </w:trPr>
        <w:tc>
          <w:tcPr>
            <w:tcW w:w="1538" w:type="dxa"/>
            <w:vMerge/>
          </w:tcPr>
          <w:p w14:paraId="1EDDDF92" w14:textId="77777777" w:rsidR="00DD13BF" w:rsidRPr="00790120" w:rsidRDefault="00DD13BF" w:rsidP="00355A56">
            <w:pPr>
              <w:widowControl/>
              <w:autoSpaceDE/>
              <w:autoSpaceDN/>
              <w:rPr>
                <w:rFonts w:eastAsia="Calibri"/>
              </w:rPr>
            </w:pPr>
          </w:p>
        </w:tc>
        <w:tc>
          <w:tcPr>
            <w:tcW w:w="877" w:type="dxa"/>
            <w:vMerge/>
          </w:tcPr>
          <w:p w14:paraId="40D6B855" w14:textId="77777777" w:rsidR="00DD13BF" w:rsidRPr="00790120" w:rsidRDefault="00DD13BF" w:rsidP="00355A56">
            <w:pPr>
              <w:widowControl/>
              <w:autoSpaceDE/>
              <w:autoSpaceDN/>
              <w:rPr>
                <w:rFonts w:eastAsia="Calibri"/>
              </w:rPr>
            </w:pPr>
          </w:p>
        </w:tc>
        <w:tc>
          <w:tcPr>
            <w:tcW w:w="1985" w:type="dxa"/>
            <w:vMerge/>
          </w:tcPr>
          <w:p w14:paraId="086A7BFC" w14:textId="77777777" w:rsidR="00DD13BF" w:rsidRPr="00790120" w:rsidRDefault="00DD13BF" w:rsidP="00355A56">
            <w:pPr>
              <w:widowControl/>
              <w:autoSpaceDE/>
              <w:autoSpaceDN/>
              <w:rPr>
                <w:rFonts w:eastAsia="Calibri"/>
              </w:rPr>
            </w:pPr>
          </w:p>
        </w:tc>
        <w:tc>
          <w:tcPr>
            <w:tcW w:w="1134" w:type="dxa"/>
            <w:vMerge/>
          </w:tcPr>
          <w:p w14:paraId="7823239F" w14:textId="77777777" w:rsidR="00DD13BF" w:rsidRPr="00790120" w:rsidRDefault="00DD13BF" w:rsidP="00355A56">
            <w:pPr>
              <w:widowControl/>
              <w:autoSpaceDE/>
              <w:autoSpaceDN/>
              <w:rPr>
                <w:rFonts w:eastAsia="Calibri"/>
              </w:rPr>
            </w:pPr>
          </w:p>
        </w:tc>
        <w:tc>
          <w:tcPr>
            <w:tcW w:w="1984" w:type="dxa"/>
          </w:tcPr>
          <w:p w14:paraId="771A89FD" w14:textId="77777777" w:rsidR="00DD13BF" w:rsidRPr="00790120" w:rsidRDefault="00DD13BF" w:rsidP="00355A56">
            <w:pPr>
              <w:widowControl/>
              <w:autoSpaceDE/>
              <w:autoSpaceDN/>
              <w:rPr>
                <w:rFonts w:eastAsia="Calibri"/>
              </w:rPr>
            </w:pPr>
            <w:r>
              <w:t>3. An investment gap assessment justifying the need for the closure of</w:t>
            </w:r>
          </w:p>
          <w:p w14:paraId="502C993C" w14:textId="77777777" w:rsidR="00DD13BF" w:rsidRPr="00790120" w:rsidRDefault="00DD13BF" w:rsidP="00355A56">
            <w:pPr>
              <w:widowControl/>
              <w:autoSpaceDE/>
              <w:autoSpaceDN/>
              <w:rPr>
                <w:rFonts w:eastAsia="Calibri"/>
              </w:rPr>
            </w:pPr>
            <w:r>
              <w:t>existing waste installations and additional or upgraded waste infrastructure, with an information of</w:t>
            </w:r>
          </w:p>
          <w:p w14:paraId="59FF630B" w14:textId="77777777" w:rsidR="00DD13BF" w:rsidRPr="00790120" w:rsidRDefault="00DD13BF" w:rsidP="00355A56">
            <w:pPr>
              <w:widowControl/>
              <w:autoSpaceDE/>
              <w:autoSpaceDN/>
              <w:rPr>
                <w:rFonts w:eastAsia="Calibri"/>
              </w:rPr>
            </w:pPr>
            <w:r>
              <w:t>the sources of revenues available to meet operation and maintenance costs.</w:t>
            </w:r>
          </w:p>
        </w:tc>
        <w:tc>
          <w:tcPr>
            <w:tcW w:w="709" w:type="dxa"/>
          </w:tcPr>
          <w:p w14:paraId="35878B71" w14:textId="77777777" w:rsidR="00DD13BF" w:rsidRPr="00790120" w:rsidRDefault="00DD13BF" w:rsidP="00355A56">
            <w:pPr>
              <w:widowControl/>
              <w:autoSpaceDE/>
              <w:autoSpaceDN/>
              <w:rPr>
                <w:rFonts w:eastAsia="Calibri"/>
              </w:rPr>
            </w:pPr>
            <w:r>
              <w:t>Yes</w:t>
            </w:r>
          </w:p>
        </w:tc>
        <w:tc>
          <w:tcPr>
            <w:tcW w:w="2267" w:type="dxa"/>
          </w:tcPr>
          <w:p w14:paraId="2BFD3DDA" w14:textId="77777777" w:rsidR="00DD13BF" w:rsidRPr="00790120" w:rsidRDefault="00DD13BF" w:rsidP="00355A56">
            <w:pPr>
              <w:widowControl/>
              <w:autoSpaceDE/>
              <w:autoSpaceDN/>
              <w:rPr>
                <w:rFonts w:eastAsia="Calibri"/>
              </w:rPr>
            </w:pPr>
            <w:r>
              <w:t xml:space="preserve">On 28 April 2022, the Government of the Republic of Slovenia adopted the </w:t>
            </w:r>
            <w:hyperlink r:id="rId155" w:history="1">
              <w:r>
                <w:rPr>
                  <w:color w:val="0563C1"/>
                  <w:u w:val="single"/>
                </w:rPr>
                <w:t>Operational plan for waste management (2022)</w:t>
              </w:r>
            </w:hyperlink>
            <w:r>
              <w:t xml:space="preserve"> with Decision no. 35401-2/2022/5.</w:t>
            </w:r>
          </w:p>
          <w:p w14:paraId="2D3A98D5" w14:textId="77777777" w:rsidR="00DD13BF" w:rsidRPr="00790120" w:rsidRDefault="00DD13BF" w:rsidP="00355A56">
            <w:pPr>
              <w:widowControl/>
              <w:autoSpaceDE/>
              <w:autoSpaceDN/>
              <w:rPr>
                <w:rFonts w:eastAsia="Calibri"/>
              </w:rPr>
            </w:pPr>
          </w:p>
          <w:p w14:paraId="3C05E58B" w14:textId="77777777" w:rsidR="00DD13BF" w:rsidRPr="00790120" w:rsidRDefault="00DD13BF" w:rsidP="00355A56">
            <w:pPr>
              <w:widowControl/>
              <w:autoSpaceDE/>
              <w:autoSpaceDN/>
              <w:rPr>
                <w:rFonts w:eastAsia="Calibri"/>
              </w:rPr>
            </w:pPr>
          </w:p>
          <w:p w14:paraId="4943C7E2" w14:textId="77777777" w:rsidR="00DD13BF" w:rsidRPr="00790120" w:rsidRDefault="00DD13BF" w:rsidP="00355A56">
            <w:pPr>
              <w:widowControl/>
              <w:autoSpaceDE/>
              <w:autoSpaceDN/>
              <w:rPr>
                <w:rFonts w:eastAsia="Calibri"/>
              </w:rPr>
            </w:pPr>
          </w:p>
          <w:p w14:paraId="48580065" w14:textId="77777777" w:rsidR="00DD13BF" w:rsidRPr="00790120" w:rsidRDefault="00DD13BF" w:rsidP="00355A56">
            <w:pPr>
              <w:widowControl/>
              <w:autoSpaceDE/>
              <w:autoSpaceDN/>
              <w:rPr>
                <w:rFonts w:eastAsia="Calibri"/>
              </w:rPr>
            </w:pPr>
            <w:r>
              <w:t xml:space="preserve"> </w:t>
            </w:r>
          </w:p>
        </w:tc>
        <w:tc>
          <w:tcPr>
            <w:tcW w:w="3402" w:type="dxa"/>
          </w:tcPr>
          <w:p w14:paraId="7313ED9E" w14:textId="77777777" w:rsidR="00DD13BF" w:rsidRPr="00790120" w:rsidRDefault="00DD13BF" w:rsidP="00355A56">
            <w:pPr>
              <w:widowControl/>
              <w:autoSpaceDE/>
              <w:autoSpaceDN/>
              <w:jc w:val="both"/>
              <w:rPr>
                <w:rFonts w:eastAsia="Calibri"/>
              </w:rPr>
            </w:pPr>
            <w:r>
              <w:t>The programme, which contains an overview of existing and planned infrastructure upgrades, was submitted for review to JASPERS. The closure of existing plants (landfills in the Republic of Slovenia) is regulated by the legislation in the field of waste landfills, which also includes the obligation of the operator to provide a financial guarantee for the implementation of the measures specified by an environmental permit, for the period of operation, and after the closure, of the landfill.</w:t>
            </w:r>
          </w:p>
        </w:tc>
      </w:tr>
      <w:tr w:rsidR="00DD13BF" w:rsidRPr="00790120" w14:paraId="48A54269" w14:textId="77777777" w:rsidTr="00355A56">
        <w:trPr>
          <w:trHeight w:val="353"/>
        </w:trPr>
        <w:tc>
          <w:tcPr>
            <w:tcW w:w="1538" w:type="dxa"/>
            <w:vMerge/>
          </w:tcPr>
          <w:p w14:paraId="4AB1EB7D" w14:textId="77777777" w:rsidR="00DD13BF" w:rsidRPr="00790120" w:rsidRDefault="00DD13BF" w:rsidP="00355A56">
            <w:pPr>
              <w:widowControl/>
              <w:autoSpaceDE/>
              <w:autoSpaceDN/>
              <w:rPr>
                <w:rFonts w:eastAsia="Calibri"/>
              </w:rPr>
            </w:pPr>
          </w:p>
        </w:tc>
        <w:tc>
          <w:tcPr>
            <w:tcW w:w="877" w:type="dxa"/>
            <w:vMerge/>
          </w:tcPr>
          <w:p w14:paraId="26A3F1C7" w14:textId="77777777" w:rsidR="00DD13BF" w:rsidRPr="00790120" w:rsidRDefault="00DD13BF" w:rsidP="00355A56">
            <w:pPr>
              <w:widowControl/>
              <w:autoSpaceDE/>
              <w:autoSpaceDN/>
              <w:rPr>
                <w:rFonts w:eastAsia="Calibri"/>
              </w:rPr>
            </w:pPr>
          </w:p>
        </w:tc>
        <w:tc>
          <w:tcPr>
            <w:tcW w:w="1985" w:type="dxa"/>
            <w:vMerge/>
          </w:tcPr>
          <w:p w14:paraId="7A7F3130" w14:textId="77777777" w:rsidR="00DD13BF" w:rsidRPr="00790120" w:rsidRDefault="00DD13BF" w:rsidP="00355A56">
            <w:pPr>
              <w:widowControl/>
              <w:autoSpaceDE/>
              <w:autoSpaceDN/>
              <w:rPr>
                <w:rFonts w:eastAsia="Calibri"/>
              </w:rPr>
            </w:pPr>
          </w:p>
        </w:tc>
        <w:tc>
          <w:tcPr>
            <w:tcW w:w="1134" w:type="dxa"/>
            <w:vMerge/>
          </w:tcPr>
          <w:p w14:paraId="7C8EECBB" w14:textId="77777777" w:rsidR="00DD13BF" w:rsidRPr="00790120" w:rsidRDefault="00DD13BF" w:rsidP="00355A56">
            <w:pPr>
              <w:widowControl/>
              <w:autoSpaceDE/>
              <w:autoSpaceDN/>
              <w:rPr>
                <w:rFonts w:eastAsia="Calibri"/>
              </w:rPr>
            </w:pPr>
          </w:p>
        </w:tc>
        <w:tc>
          <w:tcPr>
            <w:tcW w:w="1984" w:type="dxa"/>
          </w:tcPr>
          <w:p w14:paraId="121CAA29" w14:textId="77777777" w:rsidR="00DD13BF" w:rsidRPr="00790120" w:rsidRDefault="00DD13BF" w:rsidP="00355A56">
            <w:pPr>
              <w:widowControl/>
              <w:autoSpaceDE/>
              <w:autoSpaceDN/>
              <w:rPr>
                <w:rFonts w:eastAsia="Calibri"/>
              </w:rPr>
            </w:pPr>
            <w:r>
              <w:t xml:space="preserve">4. Information on the location criteria for how future site </w:t>
            </w:r>
            <w:r>
              <w:lastRenderedPageBreak/>
              <w:t>locations identification</w:t>
            </w:r>
          </w:p>
          <w:p w14:paraId="70B8B3D8" w14:textId="77777777" w:rsidR="00DD13BF" w:rsidRPr="00790120" w:rsidRDefault="00DD13BF" w:rsidP="00355A56">
            <w:pPr>
              <w:widowControl/>
              <w:autoSpaceDE/>
              <w:autoSpaceDN/>
              <w:rPr>
                <w:rFonts w:eastAsia="Calibri"/>
              </w:rPr>
            </w:pPr>
            <w:r>
              <w:t>will be determined and on the capacity of future waste treatment installations.</w:t>
            </w:r>
          </w:p>
        </w:tc>
        <w:tc>
          <w:tcPr>
            <w:tcW w:w="709" w:type="dxa"/>
          </w:tcPr>
          <w:p w14:paraId="78D85436" w14:textId="77777777" w:rsidR="00DD13BF" w:rsidRPr="00790120" w:rsidRDefault="00DD13BF" w:rsidP="00355A56">
            <w:pPr>
              <w:widowControl/>
              <w:autoSpaceDE/>
              <w:autoSpaceDN/>
              <w:rPr>
                <w:rFonts w:eastAsia="Calibri"/>
              </w:rPr>
            </w:pPr>
            <w:r>
              <w:lastRenderedPageBreak/>
              <w:t>Yes</w:t>
            </w:r>
          </w:p>
        </w:tc>
        <w:tc>
          <w:tcPr>
            <w:tcW w:w="2267" w:type="dxa"/>
          </w:tcPr>
          <w:p w14:paraId="1E238771" w14:textId="77777777" w:rsidR="00DD13BF" w:rsidRPr="00790120" w:rsidRDefault="00DD13BF" w:rsidP="00355A56">
            <w:pPr>
              <w:widowControl/>
              <w:rPr>
                <w:rFonts w:eastAsia="Calibri"/>
              </w:rPr>
            </w:pPr>
            <w:r>
              <w:t xml:space="preserve">On 28 April 2022, the Government of the Republic of Slovenia adopted the </w:t>
            </w:r>
            <w:hyperlink r:id="rId156" w:history="1">
              <w:r>
                <w:rPr>
                  <w:color w:val="0563C1"/>
                  <w:u w:val="single"/>
                </w:rPr>
                <w:t>Operational plan for waste management (2022)</w:t>
              </w:r>
            </w:hyperlink>
            <w:r>
              <w:t xml:space="preserve"> with Decision no. 35401-2/2022/5.</w:t>
            </w:r>
          </w:p>
          <w:p w14:paraId="540FBC36" w14:textId="77777777" w:rsidR="00DD13BF" w:rsidRPr="00790120" w:rsidRDefault="00DD13BF" w:rsidP="00355A56">
            <w:pPr>
              <w:widowControl/>
              <w:rPr>
                <w:rFonts w:eastAsia="Calibri"/>
              </w:rPr>
            </w:pPr>
          </w:p>
          <w:p w14:paraId="7AB44C5D" w14:textId="77777777" w:rsidR="00DD13BF" w:rsidRPr="00790120" w:rsidRDefault="00DD13BF" w:rsidP="00355A56">
            <w:pPr>
              <w:widowControl/>
              <w:rPr>
                <w:rFonts w:eastAsia="Calibri"/>
              </w:rPr>
            </w:pPr>
          </w:p>
          <w:p w14:paraId="71E28970" w14:textId="77777777" w:rsidR="00DD13BF" w:rsidRPr="00790120" w:rsidRDefault="00DD13BF" w:rsidP="00355A56">
            <w:pPr>
              <w:widowControl/>
              <w:rPr>
                <w:rFonts w:eastAsia="Calibri"/>
              </w:rPr>
            </w:pPr>
          </w:p>
          <w:p w14:paraId="1ABF7F0E" w14:textId="77777777" w:rsidR="00DD13BF" w:rsidRPr="00790120" w:rsidRDefault="00DD13BF" w:rsidP="00355A56">
            <w:pPr>
              <w:widowControl/>
              <w:autoSpaceDE/>
              <w:autoSpaceDN/>
              <w:rPr>
                <w:rFonts w:eastAsia="Calibri"/>
              </w:rPr>
            </w:pPr>
            <w:r>
              <w:t xml:space="preserve"> </w:t>
            </w:r>
          </w:p>
        </w:tc>
        <w:tc>
          <w:tcPr>
            <w:tcW w:w="3402" w:type="dxa"/>
          </w:tcPr>
          <w:p w14:paraId="3F7A0F2F" w14:textId="77777777" w:rsidR="00DD13BF" w:rsidRPr="00790120" w:rsidRDefault="00DD13BF" w:rsidP="00355A56">
            <w:pPr>
              <w:widowControl/>
              <w:autoSpaceDE/>
              <w:autoSpaceDN/>
              <w:jc w:val="both"/>
              <w:rPr>
                <w:rFonts w:eastAsia="Calibri"/>
              </w:rPr>
            </w:pPr>
            <w:r>
              <w:lastRenderedPageBreak/>
              <w:t xml:space="preserve">The programme contains information on location criteria (in particular the accessibility of suitable transport infrastructure and </w:t>
            </w:r>
            <w:r>
              <w:lastRenderedPageBreak/>
              <w:t xml:space="preserve">the possibility of integration into existing district heating systems, where devices as a heat source replace devices that use fossil fuels). The programme also clearly defines the capacity with the demonstrated capacity deficit of such devices (140,000 t per year) with the achieved recycling targets in accordance with Directive 2008/98/EC and the fulfilment of the conditions (factors) specified in the Commission document COM(2017) 34 final to assess the capacity needs for energy recovery from waste. </w:t>
            </w:r>
          </w:p>
        </w:tc>
      </w:tr>
      <w:tr w:rsidR="00DD13BF" w:rsidRPr="00790120" w14:paraId="57AB80E3" w14:textId="77777777" w:rsidTr="00355A56">
        <w:trPr>
          <w:trHeight w:val="353"/>
        </w:trPr>
        <w:tc>
          <w:tcPr>
            <w:tcW w:w="1538" w:type="dxa"/>
          </w:tcPr>
          <w:p w14:paraId="06F182CD" w14:textId="77777777" w:rsidR="00DD13BF" w:rsidRPr="00790120" w:rsidRDefault="00DD13BF" w:rsidP="00355A56">
            <w:pPr>
              <w:widowControl/>
              <w:autoSpaceDE/>
              <w:autoSpaceDN/>
              <w:rPr>
                <w:rFonts w:eastAsia="Calibri"/>
              </w:rPr>
            </w:pPr>
            <w:r>
              <w:lastRenderedPageBreak/>
              <w:t>2.7 Prioritised action</w:t>
            </w:r>
          </w:p>
          <w:p w14:paraId="7A339EFA" w14:textId="77777777" w:rsidR="00DD13BF" w:rsidRPr="00790120" w:rsidRDefault="00DD13BF" w:rsidP="00355A56">
            <w:pPr>
              <w:widowControl/>
              <w:autoSpaceDE/>
              <w:autoSpaceDN/>
              <w:rPr>
                <w:rFonts w:eastAsia="Calibri"/>
              </w:rPr>
            </w:pPr>
            <w:r>
              <w:t>framework for</w:t>
            </w:r>
          </w:p>
          <w:p w14:paraId="2966D8FA" w14:textId="77777777" w:rsidR="00DD13BF" w:rsidRPr="00790120" w:rsidRDefault="00DD13BF" w:rsidP="00355A56">
            <w:pPr>
              <w:widowControl/>
              <w:autoSpaceDE/>
              <w:autoSpaceDN/>
              <w:rPr>
                <w:rFonts w:eastAsia="Calibri"/>
              </w:rPr>
            </w:pPr>
            <w:r>
              <w:t>the necessary conservation</w:t>
            </w:r>
          </w:p>
          <w:p w14:paraId="699EC7E8" w14:textId="77777777" w:rsidR="00DD13BF" w:rsidRPr="00790120" w:rsidRDefault="00DD13BF" w:rsidP="00355A56">
            <w:pPr>
              <w:widowControl/>
              <w:autoSpaceDE/>
              <w:autoSpaceDN/>
              <w:rPr>
                <w:rFonts w:eastAsia="Calibri"/>
              </w:rPr>
            </w:pPr>
            <w:r>
              <w:t>measures</w:t>
            </w:r>
          </w:p>
          <w:p w14:paraId="0B680E5D" w14:textId="77777777" w:rsidR="00DD13BF" w:rsidRPr="00790120" w:rsidRDefault="00DD13BF" w:rsidP="00355A56">
            <w:pPr>
              <w:widowControl/>
              <w:autoSpaceDE/>
              <w:autoSpaceDN/>
              <w:rPr>
                <w:rFonts w:eastAsia="Calibri"/>
              </w:rPr>
            </w:pPr>
            <w:r>
              <w:t>involving</w:t>
            </w:r>
          </w:p>
          <w:p w14:paraId="31FBBBA9" w14:textId="77777777" w:rsidR="00DD13BF" w:rsidRPr="00790120" w:rsidRDefault="00DD13BF" w:rsidP="00355A56">
            <w:pPr>
              <w:widowControl/>
              <w:autoSpaceDE/>
              <w:autoSpaceDN/>
              <w:rPr>
                <w:rFonts w:eastAsia="Calibri"/>
              </w:rPr>
            </w:pPr>
            <w:r>
              <w:t>Union co-financing.</w:t>
            </w:r>
          </w:p>
        </w:tc>
        <w:tc>
          <w:tcPr>
            <w:tcW w:w="877" w:type="dxa"/>
          </w:tcPr>
          <w:p w14:paraId="215B0CE0" w14:textId="77777777" w:rsidR="00DD13BF" w:rsidRPr="00790120" w:rsidRDefault="00DD13BF" w:rsidP="00355A56">
            <w:pPr>
              <w:widowControl/>
              <w:autoSpaceDE/>
              <w:autoSpaceDN/>
              <w:rPr>
                <w:rFonts w:eastAsia="Calibri"/>
              </w:rPr>
            </w:pPr>
            <w:r>
              <w:t>ERDF and CF</w:t>
            </w:r>
          </w:p>
        </w:tc>
        <w:tc>
          <w:tcPr>
            <w:tcW w:w="1985" w:type="dxa"/>
          </w:tcPr>
          <w:p w14:paraId="3D09B5FB" w14:textId="77777777" w:rsidR="00DD13BF" w:rsidRPr="00790120" w:rsidRDefault="00DD13BF" w:rsidP="00355A56">
            <w:pPr>
              <w:widowControl/>
              <w:autoSpaceDE/>
              <w:autoSpaceDN/>
              <w:rPr>
                <w:rFonts w:eastAsia="Calibri"/>
              </w:rPr>
            </w:pPr>
            <w:r>
              <w:t>RSO2.7: Enhancing protection and preservation of nature, biodiversity and green infrastructure, including in urban areas, and reducing all forms of pollution</w:t>
            </w:r>
          </w:p>
        </w:tc>
        <w:tc>
          <w:tcPr>
            <w:tcW w:w="1134" w:type="dxa"/>
          </w:tcPr>
          <w:p w14:paraId="38973866" w14:textId="77777777" w:rsidR="00DD13BF" w:rsidRPr="00790120" w:rsidRDefault="00DD13BF" w:rsidP="00355A56">
            <w:pPr>
              <w:widowControl/>
              <w:autoSpaceDE/>
              <w:autoSpaceDN/>
              <w:rPr>
                <w:rFonts w:eastAsia="Calibri"/>
              </w:rPr>
            </w:pPr>
            <w:r>
              <w:t>Yes</w:t>
            </w:r>
          </w:p>
        </w:tc>
        <w:tc>
          <w:tcPr>
            <w:tcW w:w="1984" w:type="dxa"/>
          </w:tcPr>
          <w:p w14:paraId="1C5B6F35" w14:textId="77777777" w:rsidR="00DD13BF" w:rsidRPr="00790120" w:rsidRDefault="00DD13BF" w:rsidP="00355A56">
            <w:pPr>
              <w:widowControl/>
              <w:autoSpaceDE/>
              <w:autoSpaceDN/>
              <w:rPr>
                <w:rFonts w:eastAsia="Calibri"/>
              </w:rPr>
            </w:pPr>
            <w:r>
              <w:t>For interventions supporting nature conservation measures in connection with Natura 2000 areas within the scope of Council Directive</w:t>
            </w:r>
          </w:p>
          <w:p w14:paraId="7AC60909" w14:textId="77777777" w:rsidR="00DD13BF" w:rsidRPr="00790120" w:rsidRDefault="00DD13BF" w:rsidP="00355A56">
            <w:pPr>
              <w:widowControl/>
              <w:autoSpaceDE/>
              <w:autoSpaceDN/>
              <w:rPr>
                <w:rFonts w:eastAsia="Calibri"/>
              </w:rPr>
            </w:pPr>
            <w:r>
              <w:t>92/43/EEC: A priority action framework pursuant to Article 8</w:t>
            </w:r>
          </w:p>
          <w:p w14:paraId="1A5594BC" w14:textId="77777777" w:rsidR="00DD13BF" w:rsidRPr="00790120" w:rsidRDefault="00DD13BF" w:rsidP="00355A56">
            <w:pPr>
              <w:widowControl/>
              <w:autoSpaceDE/>
              <w:autoSpaceDN/>
              <w:rPr>
                <w:rFonts w:eastAsia="Calibri"/>
              </w:rPr>
            </w:pPr>
            <w:r>
              <w:lastRenderedPageBreak/>
              <w:t>of Directive 92/43/EEC is in place and includes all elements required by the template for the priority action framework for 2021-2027 agreed by the Commission and the Member States, including the identification of the priority measures and an estimate of financing needs.</w:t>
            </w:r>
          </w:p>
        </w:tc>
        <w:tc>
          <w:tcPr>
            <w:tcW w:w="709" w:type="dxa"/>
          </w:tcPr>
          <w:p w14:paraId="6037AA84" w14:textId="77777777" w:rsidR="00DD13BF" w:rsidRPr="00790120" w:rsidRDefault="00DD13BF" w:rsidP="00355A56">
            <w:pPr>
              <w:widowControl/>
              <w:autoSpaceDE/>
              <w:autoSpaceDN/>
              <w:rPr>
                <w:rFonts w:eastAsia="Calibri"/>
              </w:rPr>
            </w:pPr>
            <w:r>
              <w:lastRenderedPageBreak/>
              <w:t>Yes</w:t>
            </w:r>
          </w:p>
        </w:tc>
        <w:tc>
          <w:tcPr>
            <w:tcW w:w="2267" w:type="dxa"/>
          </w:tcPr>
          <w:p w14:paraId="529568F6" w14:textId="77777777" w:rsidR="00DD13BF" w:rsidRPr="00790120" w:rsidRDefault="00425F22" w:rsidP="00355A56">
            <w:pPr>
              <w:widowControl/>
              <w:autoSpaceDE/>
              <w:autoSpaceDN/>
              <w:rPr>
                <w:rFonts w:eastAsia="Calibri"/>
              </w:rPr>
            </w:pPr>
            <w:hyperlink r:id="rId157" w:history="1">
              <w:r w:rsidR="00DD13BF">
                <w:rPr>
                  <w:color w:val="0563C1"/>
                  <w:u w:val="single"/>
                </w:rPr>
                <w:t>Prioritised Action Framework for Slovenia</w:t>
              </w:r>
            </w:hyperlink>
            <w:r w:rsidR="00DD13BF">
              <w:t xml:space="preserve"> (PAF): the amended version was sent to the European Commission in January 2021. </w:t>
            </w:r>
          </w:p>
          <w:p w14:paraId="48E88B7F" w14:textId="77777777" w:rsidR="00DD13BF" w:rsidRPr="00790120" w:rsidRDefault="00DD13BF" w:rsidP="00355A56">
            <w:pPr>
              <w:widowControl/>
              <w:autoSpaceDE/>
              <w:autoSpaceDN/>
              <w:rPr>
                <w:rFonts w:eastAsia="Calibri"/>
              </w:rPr>
            </w:pPr>
          </w:p>
          <w:p w14:paraId="1C3C50B8" w14:textId="77777777" w:rsidR="00DD13BF" w:rsidRPr="00790120" w:rsidRDefault="00DD13BF" w:rsidP="00355A56">
            <w:pPr>
              <w:widowControl/>
              <w:autoSpaceDE/>
              <w:autoSpaceDN/>
              <w:rPr>
                <w:rFonts w:eastAsia="Calibri"/>
              </w:rPr>
            </w:pPr>
            <w:r>
              <w:t xml:space="preserve">More detailed objectives and measures will be defined in the Natura 2000 Management Programme for the </w:t>
            </w:r>
            <w:r>
              <w:lastRenderedPageBreak/>
              <w:t xml:space="preserve">2022–2028 period (NMP): activities for the preparation of the NMP take place within the framework of the LIFE integrated project Natura.si. </w:t>
            </w:r>
          </w:p>
        </w:tc>
        <w:tc>
          <w:tcPr>
            <w:tcW w:w="3402" w:type="dxa"/>
          </w:tcPr>
          <w:p w14:paraId="50F1648E" w14:textId="77777777" w:rsidR="00DD13BF" w:rsidRPr="00790120" w:rsidRDefault="00DD13BF" w:rsidP="00355A56">
            <w:pPr>
              <w:widowControl/>
              <w:autoSpaceDE/>
              <w:autoSpaceDN/>
              <w:jc w:val="both"/>
              <w:rPr>
                <w:rFonts w:eastAsia="Calibri"/>
              </w:rPr>
            </w:pPr>
            <w:r>
              <w:lastRenderedPageBreak/>
              <w:t xml:space="preserve">All required elements of the PAF proposal are taken into account in the proposal submitted to the European Commission. The chapters of the PAF submitted to the European Commission contain summaries of the definitions of priority measures with a financial assessment and potential financing sources. The list of priority projects will be prepared with the approval of the Natura 2000 Management Programme by the Government of </w:t>
            </w:r>
            <w:r>
              <w:lastRenderedPageBreak/>
              <w:t>the Republic of Slovenia (by the end of 2022).</w:t>
            </w:r>
          </w:p>
        </w:tc>
      </w:tr>
      <w:tr w:rsidR="00DD13BF" w:rsidRPr="00790120" w14:paraId="70BA211F" w14:textId="77777777" w:rsidTr="00355A56">
        <w:trPr>
          <w:trHeight w:val="353"/>
        </w:trPr>
        <w:tc>
          <w:tcPr>
            <w:tcW w:w="1538" w:type="dxa"/>
            <w:vMerge w:val="restart"/>
          </w:tcPr>
          <w:p w14:paraId="697C747B" w14:textId="77777777" w:rsidR="00DD13BF" w:rsidRPr="00790120" w:rsidRDefault="00DD13BF" w:rsidP="00355A56">
            <w:pPr>
              <w:widowControl/>
              <w:autoSpaceDE/>
              <w:autoSpaceDN/>
              <w:rPr>
                <w:rFonts w:eastAsia="Calibri"/>
              </w:rPr>
            </w:pPr>
            <w:r>
              <w:lastRenderedPageBreak/>
              <w:t>3.1 Comprehensive</w:t>
            </w:r>
          </w:p>
          <w:p w14:paraId="668D81BA" w14:textId="77777777" w:rsidR="00DD13BF" w:rsidRPr="00790120" w:rsidRDefault="00DD13BF" w:rsidP="00355A56">
            <w:pPr>
              <w:widowControl/>
              <w:autoSpaceDE/>
              <w:autoSpaceDN/>
              <w:rPr>
                <w:rFonts w:eastAsia="Calibri"/>
              </w:rPr>
            </w:pPr>
            <w:r>
              <w:t>transport planning</w:t>
            </w:r>
          </w:p>
          <w:p w14:paraId="5DB69DC0" w14:textId="77777777" w:rsidR="00DD13BF" w:rsidRPr="00790120" w:rsidRDefault="00DD13BF" w:rsidP="00355A56">
            <w:pPr>
              <w:widowControl/>
              <w:autoSpaceDE/>
              <w:autoSpaceDN/>
              <w:rPr>
                <w:rFonts w:eastAsia="Calibri"/>
              </w:rPr>
            </w:pPr>
            <w:r>
              <w:t>at the appropriate level</w:t>
            </w:r>
          </w:p>
        </w:tc>
        <w:tc>
          <w:tcPr>
            <w:tcW w:w="877" w:type="dxa"/>
            <w:vMerge w:val="restart"/>
          </w:tcPr>
          <w:p w14:paraId="41CEBF25" w14:textId="77777777" w:rsidR="00DD13BF" w:rsidRPr="00790120" w:rsidRDefault="00DD13BF" w:rsidP="00355A56">
            <w:pPr>
              <w:widowControl/>
              <w:autoSpaceDE/>
              <w:autoSpaceDN/>
              <w:rPr>
                <w:rFonts w:eastAsia="Calibri"/>
              </w:rPr>
            </w:pPr>
            <w:r>
              <w:t>ERDF and CF</w:t>
            </w:r>
          </w:p>
        </w:tc>
        <w:tc>
          <w:tcPr>
            <w:tcW w:w="1985" w:type="dxa"/>
            <w:vMerge w:val="restart"/>
          </w:tcPr>
          <w:p w14:paraId="3387B39A" w14:textId="77777777" w:rsidR="00DD13BF" w:rsidRPr="00790120" w:rsidRDefault="00DD13BF" w:rsidP="00355A56">
            <w:pPr>
              <w:widowControl/>
              <w:autoSpaceDE/>
              <w:autoSpaceDN/>
              <w:rPr>
                <w:rFonts w:eastAsia="Calibri"/>
              </w:rPr>
            </w:pPr>
            <w:r>
              <w:t>RSO2.8: Promoting sustainable multimodal urban mobility, as part of transition to</w:t>
            </w:r>
          </w:p>
          <w:p w14:paraId="7801E785" w14:textId="77777777" w:rsidR="00DD13BF" w:rsidRPr="00790120" w:rsidRDefault="00DD13BF" w:rsidP="00355A56">
            <w:pPr>
              <w:widowControl/>
              <w:autoSpaceDE/>
              <w:autoSpaceDN/>
              <w:rPr>
                <w:rFonts w:eastAsia="Calibri"/>
              </w:rPr>
            </w:pPr>
            <w:r>
              <w:t>a net zero carbon economy</w:t>
            </w:r>
          </w:p>
          <w:p w14:paraId="7C1BCB94" w14:textId="77777777" w:rsidR="00DD13BF" w:rsidRPr="00790120" w:rsidRDefault="00DD13BF" w:rsidP="00355A56">
            <w:pPr>
              <w:widowControl/>
              <w:autoSpaceDE/>
              <w:autoSpaceDN/>
              <w:rPr>
                <w:rFonts w:eastAsia="Calibri"/>
              </w:rPr>
            </w:pPr>
          </w:p>
          <w:p w14:paraId="515DED1E" w14:textId="77777777" w:rsidR="00DD13BF" w:rsidRPr="00790120" w:rsidRDefault="00DD13BF" w:rsidP="00355A56">
            <w:pPr>
              <w:widowControl/>
              <w:autoSpaceDE/>
              <w:autoSpaceDN/>
              <w:rPr>
                <w:rFonts w:eastAsia="Calibri"/>
              </w:rPr>
            </w:pPr>
            <w:r>
              <w:t xml:space="preserve">RSO3.1: </w:t>
            </w:r>
            <w:bookmarkStart w:id="86" w:name="_Hlk128124125"/>
            <w:r>
              <w:t>Developing a sustainable,</w:t>
            </w:r>
          </w:p>
          <w:p w14:paraId="1B5E7796" w14:textId="77777777" w:rsidR="00DD13BF" w:rsidRPr="00790120" w:rsidRDefault="00DD13BF" w:rsidP="00355A56">
            <w:pPr>
              <w:widowControl/>
              <w:autoSpaceDE/>
              <w:autoSpaceDN/>
              <w:rPr>
                <w:rFonts w:eastAsia="Calibri"/>
              </w:rPr>
            </w:pPr>
            <w:r>
              <w:t>climate resilient, intelligent,</w:t>
            </w:r>
          </w:p>
          <w:p w14:paraId="121E673F" w14:textId="77777777" w:rsidR="00DD13BF" w:rsidRPr="00790120" w:rsidRDefault="00DD13BF" w:rsidP="00355A56">
            <w:pPr>
              <w:widowControl/>
              <w:autoSpaceDE/>
              <w:autoSpaceDN/>
              <w:rPr>
                <w:rFonts w:eastAsia="Calibri"/>
              </w:rPr>
            </w:pPr>
            <w:r>
              <w:lastRenderedPageBreak/>
              <w:t>secure, sustainable</w:t>
            </w:r>
          </w:p>
          <w:p w14:paraId="336BA6BE" w14:textId="77777777" w:rsidR="00DD13BF" w:rsidRPr="00790120" w:rsidRDefault="00DD13BF" w:rsidP="00355A56">
            <w:pPr>
              <w:widowControl/>
              <w:autoSpaceDE/>
              <w:autoSpaceDN/>
              <w:rPr>
                <w:rFonts w:eastAsia="Calibri"/>
              </w:rPr>
            </w:pPr>
            <w:r>
              <w:t>and intermodal TEN-T</w:t>
            </w:r>
            <w:bookmarkEnd w:id="86"/>
          </w:p>
          <w:p w14:paraId="43E88C1B" w14:textId="77777777" w:rsidR="00DD13BF" w:rsidRPr="00790120" w:rsidRDefault="00DD13BF" w:rsidP="00355A56">
            <w:pPr>
              <w:widowControl/>
              <w:autoSpaceDE/>
              <w:autoSpaceDN/>
              <w:rPr>
                <w:rFonts w:eastAsia="Calibri"/>
              </w:rPr>
            </w:pPr>
          </w:p>
          <w:p w14:paraId="4B53D3C8" w14:textId="77777777" w:rsidR="00DD13BF" w:rsidRPr="00790120" w:rsidRDefault="00DD13BF" w:rsidP="00355A56">
            <w:pPr>
              <w:widowControl/>
              <w:autoSpaceDE/>
              <w:autoSpaceDN/>
              <w:rPr>
                <w:rFonts w:eastAsia="Calibri"/>
              </w:rPr>
            </w:pPr>
            <w:r>
              <w:t>RSO3.2: Developing and enhancing sustainable,</w:t>
            </w:r>
          </w:p>
          <w:p w14:paraId="69F06FAD" w14:textId="77777777" w:rsidR="00DD13BF" w:rsidRPr="00790120" w:rsidRDefault="00DD13BF" w:rsidP="00355A56">
            <w:pPr>
              <w:widowControl/>
              <w:autoSpaceDE/>
              <w:autoSpaceDN/>
              <w:rPr>
                <w:rFonts w:eastAsia="Calibri"/>
              </w:rPr>
            </w:pPr>
            <w:r>
              <w:t>climate resilient, intelligent</w:t>
            </w:r>
          </w:p>
          <w:p w14:paraId="47F93FC0" w14:textId="77777777" w:rsidR="00DD13BF" w:rsidRPr="00790120" w:rsidRDefault="00DD13BF" w:rsidP="00355A56">
            <w:pPr>
              <w:widowControl/>
              <w:autoSpaceDE/>
              <w:autoSpaceDN/>
              <w:rPr>
                <w:rFonts w:eastAsia="Calibri"/>
              </w:rPr>
            </w:pPr>
            <w:r>
              <w:t>and intermodal national, regional</w:t>
            </w:r>
          </w:p>
          <w:p w14:paraId="400F84EA" w14:textId="77777777" w:rsidR="00DD13BF" w:rsidRPr="00790120" w:rsidRDefault="00DD13BF" w:rsidP="00355A56">
            <w:pPr>
              <w:widowControl/>
              <w:autoSpaceDE/>
              <w:autoSpaceDN/>
              <w:rPr>
                <w:rFonts w:eastAsia="Calibri"/>
              </w:rPr>
            </w:pPr>
            <w:r>
              <w:t>and local mobility,</w:t>
            </w:r>
          </w:p>
          <w:p w14:paraId="2E6AC885" w14:textId="77777777" w:rsidR="00DD13BF" w:rsidRPr="00790120" w:rsidRDefault="00DD13BF" w:rsidP="00355A56">
            <w:pPr>
              <w:widowControl/>
              <w:autoSpaceDE/>
              <w:autoSpaceDN/>
              <w:rPr>
                <w:rFonts w:eastAsia="Calibri"/>
              </w:rPr>
            </w:pPr>
            <w:r>
              <w:t>including</w:t>
            </w:r>
          </w:p>
          <w:p w14:paraId="519B630B" w14:textId="77777777" w:rsidR="00DD13BF" w:rsidRPr="00790120" w:rsidRDefault="00DD13BF" w:rsidP="00355A56">
            <w:pPr>
              <w:widowControl/>
              <w:autoSpaceDE/>
              <w:autoSpaceDN/>
              <w:rPr>
                <w:rFonts w:eastAsia="Calibri"/>
              </w:rPr>
            </w:pPr>
            <w:r>
              <w:t>improved access to</w:t>
            </w:r>
          </w:p>
          <w:p w14:paraId="513376D6" w14:textId="77777777" w:rsidR="00DD13BF" w:rsidRPr="00790120" w:rsidRDefault="00DD13BF" w:rsidP="00355A56">
            <w:pPr>
              <w:widowControl/>
              <w:autoSpaceDE/>
              <w:autoSpaceDN/>
              <w:rPr>
                <w:rFonts w:eastAsia="Calibri"/>
              </w:rPr>
            </w:pPr>
            <w:r>
              <w:t>TEN-T and cross-border</w:t>
            </w:r>
          </w:p>
          <w:p w14:paraId="3E62C16A" w14:textId="77777777" w:rsidR="00DD13BF" w:rsidRPr="00790120" w:rsidRDefault="00DD13BF" w:rsidP="00355A56">
            <w:pPr>
              <w:widowControl/>
              <w:autoSpaceDE/>
              <w:autoSpaceDN/>
              <w:rPr>
                <w:rFonts w:eastAsia="Calibri"/>
              </w:rPr>
            </w:pPr>
            <w:r>
              <w:t>mobility</w:t>
            </w:r>
          </w:p>
        </w:tc>
        <w:tc>
          <w:tcPr>
            <w:tcW w:w="1134" w:type="dxa"/>
            <w:vMerge w:val="restart"/>
          </w:tcPr>
          <w:p w14:paraId="6DA2D8E5"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1B67BDC8" w14:textId="77777777" w:rsidR="00DD13BF" w:rsidRPr="00790120" w:rsidRDefault="00DD13BF" w:rsidP="00355A56">
            <w:pPr>
              <w:widowControl/>
              <w:autoSpaceDE/>
              <w:autoSpaceDN/>
              <w:jc w:val="center"/>
              <w:rPr>
                <w:rFonts w:eastAsia="Calibri"/>
              </w:rPr>
            </w:pPr>
            <w:r>
              <w:t>Multimodal mapping of existing and planned</w:t>
            </w:r>
          </w:p>
          <w:p w14:paraId="75E86D68" w14:textId="77777777" w:rsidR="00DD13BF" w:rsidRPr="00790120" w:rsidRDefault="00DD13BF" w:rsidP="00355A56">
            <w:pPr>
              <w:widowControl/>
              <w:autoSpaceDE/>
              <w:autoSpaceDN/>
              <w:jc w:val="center"/>
              <w:rPr>
                <w:rFonts w:eastAsia="Calibri"/>
              </w:rPr>
            </w:pPr>
            <w:r>
              <w:t>infrastructures, except at local level, until 2030 is in place which:</w:t>
            </w:r>
          </w:p>
        </w:tc>
      </w:tr>
      <w:tr w:rsidR="00DD13BF" w:rsidRPr="00790120" w14:paraId="26D246F9" w14:textId="77777777" w:rsidTr="00355A56">
        <w:trPr>
          <w:trHeight w:val="353"/>
        </w:trPr>
        <w:tc>
          <w:tcPr>
            <w:tcW w:w="1538" w:type="dxa"/>
            <w:vMerge/>
          </w:tcPr>
          <w:p w14:paraId="2F95834C" w14:textId="77777777" w:rsidR="00DD13BF" w:rsidRPr="00790120" w:rsidRDefault="00DD13BF" w:rsidP="00355A56">
            <w:pPr>
              <w:widowControl/>
              <w:autoSpaceDE/>
              <w:autoSpaceDN/>
              <w:rPr>
                <w:rFonts w:eastAsia="Calibri"/>
              </w:rPr>
            </w:pPr>
          </w:p>
        </w:tc>
        <w:tc>
          <w:tcPr>
            <w:tcW w:w="877" w:type="dxa"/>
            <w:vMerge/>
          </w:tcPr>
          <w:p w14:paraId="15DAB6C8" w14:textId="77777777" w:rsidR="00DD13BF" w:rsidRPr="00790120" w:rsidRDefault="00DD13BF" w:rsidP="00355A56">
            <w:pPr>
              <w:widowControl/>
              <w:autoSpaceDE/>
              <w:autoSpaceDN/>
              <w:rPr>
                <w:rFonts w:eastAsia="Calibri"/>
              </w:rPr>
            </w:pPr>
          </w:p>
        </w:tc>
        <w:tc>
          <w:tcPr>
            <w:tcW w:w="1985" w:type="dxa"/>
            <w:vMerge/>
          </w:tcPr>
          <w:p w14:paraId="02A2C4AB" w14:textId="77777777" w:rsidR="00DD13BF" w:rsidRPr="00790120" w:rsidRDefault="00DD13BF" w:rsidP="00355A56">
            <w:pPr>
              <w:widowControl/>
              <w:autoSpaceDE/>
              <w:autoSpaceDN/>
              <w:rPr>
                <w:rFonts w:eastAsia="Calibri"/>
              </w:rPr>
            </w:pPr>
          </w:p>
        </w:tc>
        <w:tc>
          <w:tcPr>
            <w:tcW w:w="1134" w:type="dxa"/>
            <w:vMerge/>
          </w:tcPr>
          <w:p w14:paraId="395F7577" w14:textId="77777777" w:rsidR="00DD13BF" w:rsidRPr="00790120" w:rsidRDefault="00DD13BF" w:rsidP="00355A56">
            <w:pPr>
              <w:widowControl/>
              <w:autoSpaceDE/>
              <w:autoSpaceDN/>
              <w:rPr>
                <w:rFonts w:eastAsia="Calibri"/>
              </w:rPr>
            </w:pPr>
          </w:p>
        </w:tc>
        <w:tc>
          <w:tcPr>
            <w:tcW w:w="1984" w:type="dxa"/>
          </w:tcPr>
          <w:p w14:paraId="1E2A298E" w14:textId="77777777" w:rsidR="00DD13BF" w:rsidRPr="00790120" w:rsidRDefault="00DD13BF" w:rsidP="00355A56">
            <w:pPr>
              <w:widowControl/>
              <w:autoSpaceDE/>
              <w:autoSpaceDN/>
              <w:rPr>
                <w:rFonts w:eastAsia="Calibri"/>
              </w:rPr>
            </w:pPr>
            <w:r>
              <w:t>1. Includes economic assessment of the planned investments, underpinned by demand analysis and traffic modelling, which should</w:t>
            </w:r>
          </w:p>
          <w:p w14:paraId="5288F677" w14:textId="77777777" w:rsidR="00DD13BF" w:rsidRPr="00790120" w:rsidRDefault="00DD13BF" w:rsidP="00355A56">
            <w:pPr>
              <w:widowControl/>
              <w:autoSpaceDE/>
              <w:autoSpaceDN/>
              <w:rPr>
                <w:rFonts w:eastAsia="Calibri"/>
              </w:rPr>
            </w:pPr>
            <w:r>
              <w:lastRenderedPageBreak/>
              <w:t>take into account the anticipated impact of the opening of</w:t>
            </w:r>
          </w:p>
          <w:p w14:paraId="6B6410D0" w14:textId="77777777" w:rsidR="00DD13BF" w:rsidRPr="00790120" w:rsidRDefault="00DD13BF" w:rsidP="00355A56">
            <w:pPr>
              <w:widowControl/>
              <w:autoSpaceDE/>
              <w:autoSpaceDN/>
              <w:rPr>
                <w:rFonts w:eastAsia="Calibri"/>
              </w:rPr>
            </w:pPr>
            <w:r>
              <w:t>the rail services markets.</w:t>
            </w:r>
          </w:p>
        </w:tc>
        <w:tc>
          <w:tcPr>
            <w:tcW w:w="709" w:type="dxa"/>
          </w:tcPr>
          <w:p w14:paraId="78E5F6BE" w14:textId="77777777" w:rsidR="00DD13BF" w:rsidRPr="00790120" w:rsidRDefault="00DD13BF" w:rsidP="00355A56">
            <w:pPr>
              <w:widowControl/>
              <w:autoSpaceDE/>
              <w:autoSpaceDN/>
              <w:rPr>
                <w:rFonts w:eastAsia="Calibri"/>
              </w:rPr>
            </w:pPr>
            <w:r>
              <w:lastRenderedPageBreak/>
              <w:t>Yes</w:t>
            </w:r>
          </w:p>
        </w:tc>
        <w:tc>
          <w:tcPr>
            <w:tcW w:w="2267" w:type="dxa"/>
          </w:tcPr>
          <w:p w14:paraId="2937C88B" w14:textId="77777777" w:rsidR="00DD13BF" w:rsidRPr="00790120" w:rsidRDefault="00425F22" w:rsidP="00355A56">
            <w:pPr>
              <w:widowControl/>
              <w:autoSpaceDE/>
              <w:autoSpaceDN/>
              <w:rPr>
                <w:rFonts w:eastAsia="Calibri"/>
              </w:rPr>
            </w:pPr>
            <w:hyperlink r:id="rId158" w:history="1">
              <w:r w:rsidR="00DD13BF">
                <w:rPr>
                  <w:color w:val="0563C1"/>
                  <w:u w:val="single"/>
                </w:rPr>
                <w:t>Transport Development Strategy of the Republic of Slovenia</w:t>
              </w:r>
            </w:hyperlink>
          </w:p>
          <w:p w14:paraId="5C15372A" w14:textId="77777777" w:rsidR="00DD13BF" w:rsidRPr="00790120" w:rsidRDefault="00DD13BF" w:rsidP="00355A56">
            <w:pPr>
              <w:widowControl/>
              <w:autoSpaceDE/>
              <w:autoSpaceDN/>
              <w:rPr>
                <w:rFonts w:eastAsia="Calibri"/>
              </w:rPr>
            </w:pPr>
          </w:p>
          <w:p w14:paraId="34F228B7" w14:textId="77777777" w:rsidR="00DD13BF" w:rsidRPr="00790120" w:rsidRDefault="00425F22" w:rsidP="00355A56">
            <w:pPr>
              <w:widowControl/>
              <w:autoSpaceDE/>
              <w:autoSpaceDN/>
              <w:rPr>
                <w:rFonts w:eastAsia="Calibri"/>
              </w:rPr>
            </w:pPr>
            <w:hyperlink r:id="rId159" w:history="1">
              <w:r w:rsidR="00DD13BF">
                <w:rPr>
                  <w:color w:val="0563C1"/>
                  <w:u w:val="single"/>
                </w:rPr>
                <w:t xml:space="preserve">Resolution on the National Programme for the Development of Transport of the Republic of Slovenia </w:t>
              </w:r>
              <w:r w:rsidR="00DD13BF">
                <w:rPr>
                  <w:color w:val="0563C1"/>
                  <w:u w:val="single"/>
                </w:rPr>
                <w:lastRenderedPageBreak/>
                <w:t>until 2030 (ReNPRP30)</w:t>
              </w:r>
            </w:hyperlink>
          </w:p>
          <w:p w14:paraId="4910C1E2" w14:textId="77777777" w:rsidR="00DD13BF" w:rsidRPr="00790120" w:rsidRDefault="00DD13BF" w:rsidP="00355A56">
            <w:pPr>
              <w:widowControl/>
              <w:autoSpaceDE/>
              <w:autoSpaceDN/>
              <w:rPr>
                <w:rFonts w:eastAsia="Calibri"/>
              </w:rPr>
            </w:pPr>
          </w:p>
          <w:p w14:paraId="22EAC6EE" w14:textId="77777777" w:rsidR="00DD13BF" w:rsidRPr="00790120" w:rsidRDefault="00425F22" w:rsidP="00355A56">
            <w:pPr>
              <w:widowControl/>
              <w:autoSpaceDE/>
              <w:autoSpaceDN/>
              <w:rPr>
                <w:rFonts w:eastAsia="Calibri"/>
              </w:rPr>
            </w:pPr>
            <w:hyperlink r:id="rId160" w:history="1">
              <w:r w:rsidR="00DD13BF">
                <w:rPr>
                  <w:color w:val="0563C1"/>
                  <w:u w:val="single"/>
                </w:rPr>
                <w:t>Resolution Amending the Resolution on the National Programme for the Development of Transport of the Republic of Slovenia until 2030 (ReNPRP30-A)</w:t>
              </w:r>
            </w:hyperlink>
          </w:p>
        </w:tc>
        <w:tc>
          <w:tcPr>
            <w:tcW w:w="3402" w:type="dxa"/>
          </w:tcPr>
          <w:p w14:paraId="23DE6B69" w14:textId="77777777" w:rsidR="00DD13BF" w:rsidRPr="00790120" w:rsidRDefault="00DD13BF" w:rsidP="00355A56">
            <w:pPr>
              <w:widowControl/>
              <w:autoSpaceDE/>
              <w:autoSpaceDN/>
              <w:jc w:val="both"/>
              <w:rPr>
                <w:rFonts w:eastAsia="Calibri"/>
              </w:rPr>
            </w:pPr>
            <w:r>
              <w:lastRenderedPageBreak/>
              <w:t xml:space="preserve">In the Transport Development Strategy of the Republic of Slovenia, the capacities of the existing transport infrastructure with solutions that do not require large financial investments (traffic management systems, the introduction of intelligent transport systems, small investments) were utilised. If this did not produce satisfactory results, we focused on </w:t>
            </w:r>
            <w:r>
              <w:lastRenderedPageBreak/>
              <w:t xml:space="preserve">larger investments. In such cases (using the transport model), the projects were designed in accordance with the suitable procedure for making feasibility studies, with which potential alternatives are also evaluated. Environmental, spatial and social acceptability are also taken into account. Project selection must be justified with a cost-benefit analysis (CBA). </w:t>
            </w:r>
          </w:p>
          <w:p w14:paraId="26CB518B" w14:textId="77777777" w:rsidR="00DD13BF" w:rsidRPr="00790120" w:rsidRDefault="00DD13BF" w:rsidP="00355A56">
            <w:pPr>
              <w:widowControl/>
              <w:autoSpaceDE/>
              <w:autoSpaceDN/>
              <w:jc w:val="both"/>
              <w:rPr>
                <w:rFonts w:eastAsia="Calibri"/>
              </w:rPr>
            </w:pPr>
          </w:p>
          <w:p w14:paraId="61041663" w14:textId="77777777" w:rsidR="00DD13BF" w:rsidRPr="00790120" w:rsidRDefault="00DD13BF" w:rsidP="00355A56">
            <w:pPr>
              <w:spacing w:line="257" w:lineRule="auto"/>
              <w:jc w:val="both"/>
              <w:rPr>
                <w:rFonts w:eastAsia="Calibri"/>
              </w:rPr>
            </w:pPr>
            <w:r>
              <w:t>In 2022, the MZI is preparing a revision and update of the already approved Transport Development Strategy of the Republic of Slovenia, which will also take into account the objectives set by the NECP, the European Green Deal, the Sustainable and Smart Mobility Strategy, and other strategic documents. A draft will be prepared, and an opinion obtained on the need to carry out a strategic environmental assessment.</w:t>
            </w:r>
          </w:p>
          <w:p w14:paraId="74DBCC72" w14:textId="77777777" w:rsidR="00DD13BF" w:rsidRPr="00790120" w:rsidRDefault="00DD13BF" w:rsidP="00355A56">
            <w:pPr>
              <w:widowControl/>
              <w:jc w:val="both"/>
            </w:pPr>
          </w:p>
          <w:p w14:paraId="2F3F349D" w14:textId="77777777" w:rsidR="00DD13BF" w:rsidRPr="00790120" w:rsidRDefault="00DD13BF" w:rsidP="00355A56">
            <w:pPr>
              <w:widowControl/>
              <w:autoSpaceDE/>
              <w:autoSpaceDN/>
              <w:jc w:val="both"/>
              <w:rPr>
                <w:rFonts w:eastAsia="Calibri"/>
              </w:rPr>
            </w:pPr>
            <w:r>
              <w:t xml:space="preserve">Slovenia has already established a single European railway area and </w:t>
            </w:r>
            <w:r>
              <w:lastRenderedPageBreak/>
              <w:t>opened domestic passenger services. The next updates will also take into account the consequences of the COVID-19 pandemic.</w:t>
            </w:r>
          </w:p>
        </w:tc>
      </w:tr>
      <w:tr w:rsidR="00DD13BF" w:rsidRPr="00790120" w14:paraId="43C8A143" w14:textId="77777777" w:rsidTr="00355A56">
        <w:trPr>
          <w:trHeight w:val="353"/>
        </w:trPr>
        <w:tc>
          <w:tcPr>
            <w:tcW w:w="1538" w:type="dxa"/>
            <w:vMerge/>
          </w:tcPr>
          <w:p w14:paraId="6BF9936C" w14:textId="77777777" w:rsidR="00DD13BF" w:rsidRPr="00790120" w:rsidRDefault="00DD13BF" w:rsidP="00355A56">
            <w:pPr>
              <w:widowControl/>
              <w:autoSpaceDE/>
              <w:autoSpaceDN/>
              <w:rPr>
                <w:rFonts w:eastAsia="Calibri"/>
              </w:rPr>
            </w:pPr>
          </w:p>
        </w:tc>
        <w:tc>
          <w:tcPr>
            <w:tcW w:w="877" w:type="dxa"/>
            <w:vMerge/>
          </w:tcPr>
          <w:p w14:paraId="609995B0" w14:textId="77777777" w:rsidR="00DD13BF" w:rsidRPr="00790120" w:rsidRDefault="00DD13BF" w:rsidP="00355A56">
            <w:pPr>
              <w:widowControl/>
              <w:autoSpaceDE/>
              <w:autoSpaceDN/>
              <w:rPr>
                <w:rFonts w:eastAsia="Calibri"/>
              </w:rPr>
            </w:pPr>
          </w:p>
        </w:tc>
        <w:tc>
          <w:tcPr>
            <w:tcW w:w="1985" w:type="dxa"/>
            <w:vMerge/>
          </w:tcPr>
          <w:p w14:paraId="7F1059B9" w14:textId="77777777" w:rsidR="00DD13BF" w:rsidRPr="00790120" w:rsidRDefault="00DD13BF" w:rsidP="00355A56">
            <w:pPr>
              <w:widowControl/>
              <w:autoSpaceDE/>
              <w:autoSpaceDN/>
              <w:rPr>
                <w:rFonts w:eastAsia="Calibri"/>
              </w:rPr>
            </w:pPr>
          </w:p>
        </w:tc>
        <w:tc>
          <w:tcPr>
            <w:tcW w:w="1134" w:type="dxa"/>
            <w:vMerge/>
          </w:tcPr>
          <w:p w14:paraId="314F17C7" w14:textId="77777777" w:rsidR="00DD13BF" w:rsidRPr="00790120" w:rsidRDefault="00DD13BF" w:rsidP="00355A56">
            <w:pPr>
              <w:widowControl/>
              <w:autoSpaceDE/>
              <w:autoSpaceDN/>
              <w:rPr>
                <w:rFonts w:eastAsia="Calibri"/>
              </w:rPr>
            </w:pPr>
          </w:p>
        </w:tc>
        <w:tc>
          <w:tcPr>
            <w:tcW w:w="1984" w:type="dxa"/>
          </w:tcPr>
          <w:p w14:paraId="424FF3A7" w14:textId="77777777" w:rsidR="00DD13BF" w:rsidRPr="00790120" w:rsidRDefault="00DD13BF" w:rsidP="00355A56">
            <w:pPr>
              <w:widowControl/>
              <w:autoSpaceDE/>
              <w:autoSpaceDN/>
              <w:rPr>
                <w:rFonts w:eastAsia="Calibri"/>
              </w:rPr>
            </w:pPr>
            <w:r>
              <w:t>2. Is consistent with the transport related elements of the integrated national</w:t>
            </w:r>
          </w:p>
          <w:p w14:paraId="104316A7" w14:textId="77777777" w:rsidR="00DD13BF" w:rsidRPr="00790120" w:rsidRDefault="00DD13BF" w:rsidP="00355A56">
            <w:pPr>
              <w:widowControl/>
              <w:autoSpaceDE/>
              <w:autoSpaceDN/>
              <w:rPr>
                <w:rFonts w:eastAsia="Calibri"/>
              </w:rPr>
            </w:pPr>
            <w:r>
              <w:t>energy and climate plan.</w:t>
            </w:r>
          </w:p>
        </w:tc>
        <w:tc>
          <w:tcPr>
            <w:tcW w:w="709" w:type="dxa"/>
          </w:tcPr>
          <w:p w14:paraId="78C8B4FE" w14:textId="77777777" w:rsidR="00DD13BF" w:rsidRPr="00790120" w:rsidRDefault="00DD13BF" w:rsidP="00355A56">
            <w:pPr>
              <w:widowControl/>
              <w:autoSpaceDE/>
              <w:autoSpaceDN/>
              <w:rPr>
                <w:rFonts w:eastAsia="Calibri"/>
              </w:rPr>
            </w:pPr>
            <w:r>
              <w:t>Yes</w:t>
            </w:r>
          </w:p>
        </w:tc>
        <w:tc>
          <w:tcPr>
            <w:tcW w:w="2267" w:type="dxa"/>
          </w:tcPr>
          <w:p w14:paraId="46D47A8B" w14:textId="77777777" w:rsidR="00DD13BF" w:rsidRPr="00790120" w:rsidRDefault="00425F22" w:rsidP="00355A56">
            <w:pPr>
              <w:widowControl/>
              <w:autoSpaceDE/>
              <w:autoSpaceDN/>
              <w:rPr>
                <w:rFonts w:eastAsia="Calibri"/>
              </w:rPr>
            </w:pPr>
            <w:hyperlink r:id="rId161" w:history="1">
              <w:r w:rsidR="00DD13BF">
                <w:rPr>
                  <w:color w:val="0563C1"/>
                  <w:u w:val="single"/>
                </w:rPr>
                <w:t>Integrated National Energy and Climate Plan</w:t>
              </w:r>
            </w:hyperlink>
            <w:r w:rsidR="00DD13BF">
              <w:t xml:space="preserve"> (NECP)</w:t>
            </w:r>
          </w:p>
        </w:tc>
        <w:tc>
          <w:tcPr>
            <w:tcW w:w="3402" w:type="dxa"/>
          </w:tcPr>
          <w:p w14:paraId="606E1384" w14:textId="77777777" w:rsidR="00DD13BF" w:rsidRPr="00790120" w:rsidRDefault="00DD13BF" w:rsidP="00355A56">
            <w:pPr>
              <w:widowControl/>
              <w:tabs>
                <w:tab w:val="left" w:pos="2850"/>
              </w:tabs>
              <w:autoSpaceDE/>
              <w:autoSpaceDN/>
              <w:jc w:val="both"/>
              <w:rPr>
                <w:rFonts w:eastAsia="Calibri"/>
              </w:rPr>
            </w:pPr>
            <w:r>
              <w:t xml:space="preserve">The Integrated National Energy and Climate Plan of the Republic of Slovenia (NECP) provides an overview of the current state of the energy system and policy and sets national targets for each of the five dimensions of the Energy Union, and suitable policies and measures to meet these targets. It pays special attention to the targets for 2030 for the reduction of greenhouse gas emissions, energy from renewable sources, energy efficiency, and electricity interconnection. </w:t>
            </w:r>
          </w:p>
          <w:p w14:paraId="79EF93CE" w14:textId="77777777" w:rsidR="00DD13BF" w:rsidRPr="00790120" w:rsidRDefault="00DD13BF" w:rsidP="00355A56">
            <w:pPr>
              <w:widowControl/>
              <w:tabs>
                <w:tab w:val="left" w:pos="2850"/>
              </w:tabs>
              <w:autoSpaceDE/>
              <w:autoSpaceDN/>
              <w:jc w:val="both"/>
              <w:rPr>
                <w:rFonts w:eastAsia="Calibri"/>
              </w:rPr>
            </w:pPr>
          </w:p>
          <w:p w14:paraId="77063267" w14:textId="77777777" w:rsidR="00DD13BF" w:rsidRPr="00790120" w:rsidRDefault="00DD13BF" w:rsidP="00355A56">
            <w:pPr>
              <w:widowControl/>
              <w:autoSpaceDE/>
              <w:autoSpaceDN/>
              <w:jc w:val="both"/>
              <w:rPr>
                <w:rFonts w:eastAsia="Calibri"/>
              </w:rPr>
            </w:pPr>
            <w:r>
              <w:t xml:space="preserve">In 2022, a revision will be carried out and a proposal will be prepared to update the Transport Development Strategy of the Republic of Slovenia, which will also take into account the objectives set by the Integrated National Energy and Climate Plan of the Republic of Slovenia (NECP), the European Green Deal, the Sustainable and Smart Mobility </w:t>
            </w:r>
            <w:r>
              <w:lastRenderedPageBreak/>
              <w:t>Strategy, and other national and European strategic documents.</w:t>
            </w:r>
          </w:p>
        </w:tc>
      </w:tr>
      <w:tr w:rsidR="00DD13BF" w:rsidRPr="00790120" w14:paraId="1CCA9449" w14:textId="77777777" w:rsidTr="00355A56">
        <w:trPr>
          <w:trHeight w:val="353"/>
        </w:trPr>
        <w:tc>
          <w:tcPr>
            <w:tcW w:w="1538" w:type="dxa"/>
            <w:vMerge/>
          </w:tcPr>
          <w:p w14:paraId="02DF6D52" w14:textId="77777777" w:rsidR="00DD13BF" w:rsidRPr="00790120" w:rsidRDefault="00DD13BF" w:rsidP="00355A56">
            <w:pPr>
              <w:widowControl/>
              <w:autoSpaceDE/>
              <w:autoSpaceDN/>
              <w:rPr>
                <w:rFonts w:eastAsia="Calibri"/>
              </w:rPr>
            </w:pPr>
          </w:p>
        </w:tc>
        <w:tc>
          <w:tcPr>
            <w:tcW w:w="877" w:type="dxa"/>
            <w:vMerge/>
          </w:tcPr>
          <w:p w14:paraId="50719E6E" w14:textId="77777777" w:rsidR="00DD13BF" w:rsidRPr="00790120" w:rsidRDefault="00DD13BF" w:rsidP="00355A56">
            <w:pPr>
              <w:widowControl/>
              <w:autoSpaceDE/>
              <w:autoSpaceDN/>
              <w:rPr>
                <w:rFonts w:eastAsia="Calibri"/>
              </w:rPr>
            </w:pPr>
          </w:p>
        </w:tc>
        <w:tc>
          <w:tcPr>
            <w:tcW w:w="1985" w:type="dxa"/>
            <w:vMerge/>
          </w:tcPr>
          <w:p w14:paraId="31D7D248" w14:textId="77777777" w:rsidR="00DD13BF" w:rsidRPr="00790120" w:rsidRDefault="00DD13BF" w:rsidP="00355A56">
            <w:pPr>
              <w:widowControl/>
              <w:autoSpaceDE/>
              <w:autoSpaceDN/>
              <w:rPr>
                <w:rFonts w:eastAsia="Calibri"/>
              </w:rPr>
            </w:pPr>
          </w:p>
        </w:tc>
        <w:tc>
          <w:tcPr>
            <w:tcW w:w="1134" w:type="dxa"/>
            <w:vMerge/>
          </w:tcPr>
          <w:p w14:paraId="3FAAE95A" w14:textId="77777777" w:rsidR="00DD13BF" w:rsidRPr="00790120" w:rsidRDefault="00DD13BF" w:rsidP="00355A56">
            <w:pPr>
              <w:widowControl/>
              <w:autoSpaceDE/>
              <w:autoSpaceDN/>
              <w:rPr>
                <w:rFonts w:eastAsia="Calibri"/>
              </w:rPr>
            </w:pPr>
          </w:p>
        </w:tc>
        <w:tc>
          <w:tcPr>
            <w:tcW w:w="1984" w:type="dxa"/>
          </w:tcPr>
          <w:p w14:paraId="1AC6E954" w14:textId="77777777" w:rsidR="00DD13BF" w:rsidRPr="00790120" w:rsidRDefault="00DD13BF" w:rsidP="00355A56">
            <w:pPr>
              <w:widowControl/>
              <w:autoSpaceDE/>
              <w:autoSpaceDN/>
              <w:rPr>
                <w:rFonts w:eastAsia="Calibri"/>
              </w:rPr>
            </w:pPr>
            <w:r>
              <w:t>3. Includes investments in TEN-T core network corridors, as</w:t>
            </w:r>
          </w:p>
          <w:p w14:paraId="5BF207DE" w14:textId="77777777" w:rsidR="00DD13BF" w:rsidRPr="00790120" w:rsidRDefault="00DD13BF" w:rsidP="00355A56">
            <w:pPr>
              <w:widowControl/>
              <w:autoSpaceDE/>
              <w:autoSpaceDN/>
              <w:rPr>
                <w:rFonts w:eastAsia="Calibri"/>
              </w:rPr>
            </w:pPr>
            <w:r>
              <w:t>defined by the CEF Regulation, in line with the respective</w:t>
            </w:r>
          </w:p>
          <w:p w14:paraId="6F24AD02" w14:textId="77777777" w:rsidR="00DD13BF" w:rsidRPr="00790120" w:rsidRDefault="00DD13BF" w:rsidP="00355A56">
            <w:pPr>
              <w:widowControl/>
              <w:autoSpaceDE/>
              <w:autoSpaceDN/>
              <w:rPr>
                <w:rFonts w:eastAsia="Calibri"/>
              </w:rPr>
            </w:pPr>
            <w:r>
              <w:t>TEN-T core network corridors work plans.</w:t>
            </w:r>
          </w:p>
        </w:tc>
        <w:tc>
          <w:tcPr>
            <w:tcW w:w="709" w:type="dxa"/>
          </w:tcPr>
          <w:p w14:paraId="6D0E0C00" w14:textId="77777777" w:rsidR="00DD13BF" w:rsidRPr="00790120" w:rsidRDefault="00DD13BF" w:rsidP="00355A56">
            <w:pPr>
              <w:widowControl/>
              <w:autoSpaceDE/>
              <w:autoSpaceDN/>
              <w:rPr>
                <w:rFonts w:eastAsia="Calibri"/>
              </w:rPr>
            </w:pPr>
            <w:r>
              <w:t>Yes</w:t>
            </w:r>
          </w:p>
        </w:tc>
        <w:tc>
          <w:tcPr>
            <w:tcW w:w="2267" w:type="dxa"/>
          </w:tcPr>
          <w:p w14:paraId="4EEF59F4" w14:textId="77777777" w:rsidR="00DD13BF" w:rsidRPr="00790120" w:rsidRDefault="00DD13BF" w:rsidP="00355A56">
            <w:pPr>
              <w:widowControl/>
              <w:autoSpaceDE/>
              <w:autoSpaceDN/>
              <w:rPr>
                <w:rFonts w:eastAsia="Calibri"/>
              </w:rPr>
            </w:pPr>
            <w:r>
              <w:t xml:space="preserve">See Criterion 1. </w:t>
            </w:r>
          </w:p>
        </w:tc>
        <w:tc>
          <w:tcPr>
            <w:tcW w:w="3402" w:type="dxa"/>
          </w:tcPr>
          <w:p w14:paraId="4F5ACC84" w14:textId="77777777" w:rsidR="00DD13BF" w:rsidRPr="00790120" w:rsidRDefault="00DD13BF" w:rsidP="00355A56">
            <w:pPr>
              <w:widowControl/>
              <w:autoSpaceDE/>
              <w:autoSpaceDN/>
              <w:jc w:val="both"/>
              <w:rPr>
                <w:rFonts w:eastAsia="Calibri"/>
              </w:rPr>
            </w:pPr>
            <w:r>
              <w:t>The starting points of the strategy of Chapter 2 defines the criteria and deadlines for the implementation of the future TEN-T network in accordance with the TEN-T Regulation and compares the TEN-T criteria for the core network and the actual state of infrastructure in the Republic of Slovenia.</w:t>
            </w:r>
          </w:p>
          <w:p w14:paraId="6964CCDA" w14:textId="77777777" w:rsidR="00DD13BF" w:rsidRPr="00790120" w:rsidRDefault="00DD13BF" w:rsidP="00355A56">
            <w:pPr>
              <w:widowControl/>
              <w:autoSpaceDE/>
              <w:autoSpaceDN/>
              <w:jc w:val="both"/>
              <w:rPr>
                <w:rFonts w:eastAsia="Calibri"/>
              </w:rPr>
            </w:pPr>
          </w:p>
          <w:p w14:paraId="5B13AC6C" w14:textId="77777777" w:rsidR="00DD13BF" w:rsidRPr="00790120" w:rsidRDefault="00DD13BF" w:rsidP="00355A56">
            <w:pPr>
              <w:widowControl/>
              <w:autoSpaceDE/>
              <w:autoSpaceDN/>
              <w:jc w:val="both"/>
              <w:rPr>
                <w:rFonts w:eastAsia="Calibri"/>
              </w:rPr>
            </w:pPr>
            <w:r>
              <w:t xml:space="preserve">The specific objective of the Transport Development Strategy is to improve transport links with neighbouring countries and to coordinate with neighbouring countries, which means ensuring sufficient network capacity that also meets TEN-T standards. To follow the requirements of the European TEN-T Regulation (Regulation (EU) No 1315/2013), we undertook to achieve TEN-T standards on the TEN-T core network by 2030, in particular a minimum of 22.5 t axle load, 100 km/ h line speed, the possibility of running 740 m long trains, and the implementation of the ERTMS. The lines of the core </w:t>
            </w:r>
            <w:r>
              <w:lastRenderedPageBreak/>
              <w:t>network in the Republic of Slovenia fully comply with the nominal track width and are fully electrified.</w:t>
            </w:r>
          </w:p>
        </w:tc>
      </w:tr>
      <w:tr w:rsidR="00DD13BF" w:rsidRPr="00790120" w14:paraId="16047CE1" w14:textId="77777777" w:rsidTr="00355A56">
        <w:trPr>
          <w:trHeight w:val="353"/>
        </w:trPr>
        <w:tc>
          <w:tcPr>
            <w:tcW w:w="1538" w:type="dxa"/>
            <w:vMerge/>
          </w:tcPr>
          <w:p w14:paraId="22A78153" w14:textId="77777777" w:rsidR="00DD13BF" w:rsidRPr="00790120" w:rsidRDefault="00DD13BF" w:rsidP="00355A56">
            <w:pPr>
              <w:widowControl/>
              <w:autoSpaceDE/>
              <w:autoSpaceDN/>
              <w:rPr>
                <w:rFonts w:eastAsia="Calibri"/>
              </w:rPr>
            </w:pPr>
          </w:p>
        </w:tc>
        <w:tc>
          <w:tcPr>
            <w:tcW w:w="877" w:type="dxa"/>
            <w:vMerge/>
          </w:tcPr>
          <w:p w14:paraId="0F19079A" w14:textId="77777777" w:rsidR="00DD13BF" w:rsidRPr="00790120" w:rsidRDefault="00DD13BF" w:rsidP="00355A56">
            <w:pPr>
              <w:widowControl/>
              <w:autoSpaceDE/>
              <w:autoSpaceDN/>
              <w:rPr>
                <w:rFonts w:eastAsia="Calibri"/>
              </w:rPr>
            </w:pPr>
          </w:p>
        </w:tc>
        <w:tc>
          <w:tcPr>
            <w:tcW w:w="1985" w:type="dxa"/>
            <w:vMerge/>
          </w:tcPr>
          <w:p w14:paraId="4E454622" w14:textId="77777777" w:rsidR="00DD13BF" w:rsidRPr="00790120" w:rsidRDefault="00DD13BF" w:rsidP="00355A56">
            <w:pPr>
              <w:widowControl/>
              <w:autoSpaceDE/>
              <w:autoSpaceDN/>
              <w:rPr>
                <w:rFonts w:eastAsia="Calibri"/>
              </w:rPr>
            </w:pPr>
          </w:p>
        </w:tc>
        <w:tc>
          <w:tcPr>
            <w:tcW w:w="1134" w:type="dxa"/>
            <w:vMerge/>
          </w:tcPr>
          <w:p w14:paraId="52A0601D" w14:textId="77777777" w:rsidR="00DD13BF" w:rsidRPr="00790120" w:rsidRDefault="00DD13BF" w:rsidP="00355A56">
            <w:pPr>
              <w:widowControl/>
              <w:autoSpaceDE/>
              <w:autoSpaceDN/>
              <w:rPr>
                <w:rFonts w:eastAsia="Calibri"/>
              </w:rPr>
            </w:pPr>
          </w:p>
        </w:tc>
        <w:tc>
          <w:tcPr>
            <w:tcW w:w="1984" w:type="dxa"/>
          </w:tcPr>
          <w:p w14:paraId="6D942999" w14:textId="77777777" w:rsidR="00DD13BF" w:rsidRPr="00790120" w:rsidRDefault="00DD13BF" w:rsidP="00355A56">
            <w:pPr>
              <w:widowControl/>
              <w:autoSpaceDE/>
              <w:autoSpaceDN/>
              <w:rPr>
                <w:rFonts w:eastAsia="Calibri"/>
              </w:rPr>
            </w:pPr>
            <w:r>
              <w:t>4. For investments outside the TEN-T core network corridors, including in cross-border sections, ensures complementarity by providing</w:t>
            </w:r>
          </w:p>
          <w:p w14:paraId="680CD674" w14:textId="77777777" w:rsidR="00DD13BF" w:rsidRPr="00790120" w:rsidRDefault="00DD13BF" w:rsidP="00355A56">
            <w:pPr>
              <w:widowControl/>
              <w:autoSpaceDE/>
              <w:autoSpaceDN/>
              <w:rPr>
                <w:rFonts w:eastAsia="Calibri"/>
              </w:rPr>
            </w:pPr>
            <w:r>
              <w:t>sufficient connectivity of the urban networks, regions and local communities to the core TEN-T and its nodes.</w:t>
            </w:r>
          </w:p>
        </w:tc>
        <w:tc>
          <w:tcPr>
            <w:tcW w:w="709" w:type="dxa"/>
          </w:tcPr>
          <w:p w14:paraId="4F8C145B" w14:textId="77777777" w:rsidR="00DD13BF" w:rsidRPr="00790120" w:rsidRDefault="00DD13BF" w:rsidP="00355A56">
            <w:pPr>
              <w:widowControl/>
              <w:autoSpaceDE/>
              <w:autoSpaceDN/>
              <w:rPr>
                <w:rFonts w:eastAsia="Calibri"/>
              </w:rPr>
            </w:pPr>
            <w:r>
              <w:t>Yes</w:t>
            </w:r>
          </w:p>
        </w:tc>
        <w:tc>
          <w:tcPr>
            <w:tcW w:w="2267" w:type="dxa"/>
          </w:tcPr>
          <w:p w14:paraId="4BF5B655" w14:textId="77777777" w:rsidR="00DD13BF" w:rsidRPr="00790120" w:rsidRDefault="00DD13BF" w:rsidP="00355A56">
            <w:pPr>
              <w:widowControl/>
              <w:autoSpaceDE/>
              <w:autoSpaceDN/>
              <w:rPr>
                <w:rFonts w:eastAsia="Calibri"/>
              </w:rPr>
            </w:pPr>
            <w:r>
              <w:t>See Criterion 1.</w:t>
            </w:r>
          </w:p>
        </w:tc>
        <w:tc>
          <w:tcPr>
            <w:tcW w:w="3402" w:type="dxa"/>
          </w:tcPr>
          <w:p w14:paraId="2C60BB77" w14:textId="77777777" w:rsidR="00DD13BF" w:rsidRPr="00790120" w:rsidRDefault="00DD13BF" w:rsidP="00355A56">
            <w:pPr>
              <w:widowControl/>
              <w:autoSpaceDE/>
              <w:autoSpaceDN/>
              <w:jc w:val="both"/>
              <w:rPr>
                <w:rFonts w:eastAsia="Calibri"/>
              </w:rPr>
            </w:pPr>
            <w:r>
              <w:t xml:space="preserve">Another specific objective of the Transport Development Strategy is to improve national and regional links within Slovenia The national programme foresees the preparation of projects on development axes that connect different regions with the TEN-T core network. The updated national transport development programme (ReNPRP30-A) focuses on the regional railway network, which is an important segment of transport system development in the Republic of Slovenia. In most cases, the capacities of lines must be rapidly upgraded, and stations and stops must be modernised and connected with other modes of transport. The key objective is to provide such network upgrades that the railway will provide a so-called backbone transport network where it already exists. Urgent measures on the public railway infrastructure must be prioritised in spatial planning procedures and the conditions for the investments to </w:t>
            </w:r>
            <w:r>
              <w:lastRenderedPageBreak/>
              <w:t>commence must be provided. Plans for sustainable mobility in towns and cities at the regional level will also be prepared to upgrade measures from local ITSs, which go beyond the competence of local authorities and provide a comprehensive approach to common transport problems at the regional level.</w:t>
            </w:r>
          </w:p>
        </w:tc>
      </w:tr>
      <w:tr w:rsidR="00DD13BF" w:rsidRPr="00790120" w14:paraId="18B25FDF" w14:textId="77777777" w:rsidTr="00355A56">
        <w:trPr>
          <w:trHeight w:val="353"/>
        </w:trPr>
        <w:tc>
          <w:tcPr>
            <w:tcW w:w="1538" w:type="dxa"/>
            <w:vMerge/>
          </w:tcPr>
          <w:p w14:paraId="45378381" w14:textId="77777777" w:rsidR="00DD13BF" w:rsidRPr="00790120" w:rsidRDefault="00DD13BF" w:rsidP="00355A56">
            <w:pPr>
              <w:widowControl/>
              <w:autoSpaceDE/>
              <w:autoSpaceDN/>
              <w:rPr>
                <w:rFonts w:eastAsia="Calibri"/>
              </w:rPr>
            </w:pPr>
          </w:p>
        </w:tc>
        <w:tc>
          <w:tcPr>
            <w:tcW w:w="877" w:type="dxa"/>
            <w:vMerge/>
          </w:tcPr>
          <w:p w14:paraId="7DBCB570" w14:textId="77777777" w:rsidR="00DD13BF" w:rsidRPr="00790120" w:rsidRDefault="00DD13BF" w:rsidP="00355A56">
            <w:pPr>
              <w:widowControl/>
              <w:autoSpaceDE/>
              <w:autoSpaceDN/>
              <w:rPr>
                <w:rFonts w:eastAsia="Calibri"/>
              </w:rPr>
            </w:pPr>
          </w:p>
        </w:tc>
        <w:tc>
          <w:tcPr>
            <w:tcW w:w="1985" w:type="dxa"/>
            <w:vMerge/>
          </w:tcPr>
          <w:p w14:paraId="4B899820" w14:textId="77777777" w:rsidR="00DD13BF" w:rsidRPr="00790120" w:rsidRDefault="00DD13BF" w:rsidP="00355A56">
            <w:pPr>
              <w:widowControl/>
              <w:autoSpaceDE/>
              <w:autoSpaceDN/>
              <w:rPr>
                <w:rFonts w:eastAsia="Calibri"/>
              </w:rPr>
            </w:pPr>
          </w:p>
        </w:tc>
        <w:tc>
          <w:tcPr>
            <w:tcW w:w="1134" w:type="dxa"/>
            <w:vMerge/>
          </w:tcPr>
          <w:p w14:paraId="789DE900" w14:textId="77777777" w:rsidR="00DD13BF" w:rsidRPr="00790120" w:rsidRDefault="00DD13BF" w:rsidP="00355A56">
            <w:pPr>
              <w:widowControl/>
              <w:autoSpaceDE/>
              <w:autoSpaceDN/>
              <w:rPr>
                <w:rFonts w:eastAsia="Calibri"/>
              </w:rPr>
            </w:pPr>
          </w:p>
        </w:tc>
        <w:tc>
          <w:tcPr>
            <w:tcW w:w="1984" w:type="dxa"/>
          </w:tcPr>
          <w:p w14:paraId="5D009BFC" w14:textId="77777777" w:rsidR="00DD13BF" w:rsidRPr="00790120" w:rsidRDefault="00DD13BF" w:rsidP="00355A56">
            <w:pPr>
              <w:widowControl/>
              <w:autoSpaceDE/>
              <w:autoSpaceDN/>
              <w:rPr>
                <w:rFonts w:eastAsia="Calibri"/>
              </w:rPr>
            </w:pPr>
            <w:r>
              <w:t>5. Ensures interoperability of the rail network, and, where relevant, reports on the deployment of ERTMS according to Commission</w:t>
            </w:r>
          </w:p>
          <w:p w14:paraId="7B6CFD77" w14:textId="77777777" w:rsidR="00DD13BF" w:rsidRPr="00790120" w:rsidRDefault="00DD13BF" w:rsidP="00355A56">
            <w:pPr>
              <w:widowControl/>
              <w:autoSpaceDE/>
              <w:autoSpaceDN/>
              <w:rPr>
                <w:rFonts w:eastAsia="Calibri"/>
              </w:rPr>
            </w:pPr>
            <w:r>
              <w:t>Implementing Regulation (EU) 2017/6 (13).</w:t>
            </w:r>
          </w:p>
        </w:tc>
        <w:tc>
          <w:tcPr>
            <w:tcW w:w="709" w:type="dxa"/>
          </w:tcPr>
          <w:p w14:paraId="1F44C627" w14:textId="77777777" w:rsidR="00DD13BF" w:rsidRPr="00790120" w:rsidRDefault="00DD13BF" w:rsidP="00355A56">
            <w:pPr>
              <w:widowControl/>
              <w:autoSpaceDE/>
              <w:autoSpaceDN/>
              <w:rPr>
                <w:rFonts w:eastAsia="Calibri"/>
              </w:rPr>
            </w:pPr>
            <w:r>
              <w:t>Yes</w:t>
            </w:r>
          </w:p>
        </w:tc>
        <w:tc>
          <w:tcPr>
            <w:tcW w:w="2267" w:type="dxa"/>
          </w:tcPr>
          <w:p w14:paraId="2C728CD4" w14:textId="77777777" w:rsidR="00DD13BF" w:rsidRPr="00790120" w:rsidRDefault="00425F22" w:rsidP="00355A56">
            <w:pPr>
              <w:widowControl/>
              <w:autoSpaceDE/>
              <w:autoSpaceDN/>
              <w:rPr>
                <w:rFonts w:eastAsia="Calibri"/>
              </w:rPr>
            </w:pPr>
            <w:hyperlink r:id="rId162" w:history="1">
              <w:r w:rsidR="00DD13BF">
                <w:rPr>
                  <w:color w:val="0563C1"/>
                  <w:u w:val="single"/>
                </w:rPr>
                <w:t>Technical Specifications for Interoperability</w:t>
              </w:r>
            </w:hyperlink>
          </w:p>
        </w:tc>
        <w:tc>
          <w:tcPr>
            <w:tcW w:w="3402" w:type="dxa"/>
          </w:tcPr>
          <w:p w14:paraId="41915F82" w14:textId="77777777" w:rsidR="00DD13BF" w:rsidRPr="00790120" w:rsidRDefault="00DD13BF" w:rsidP="00355A56">
            <w:pPr>
              <w:widowControl/>
              <w:autoSpaceDE/>
              <w:autoSpaceDN/>
              <w:jc w:val="both"/>
              <w:rPr>
                <w:rFonts w:eastAsia="Calibri"/>
              </w:rPr>
            </w:pPr>
            <w:r>
              <w:t xml:space="preserve">The national implementation plan for technical specifications for interoperability related to the structural ‘control-command and signalling’ subsystem was sent to the European Commission in February 2018 and will be reviewed and supplemented at least every five years. The European Commission and other Member States will be notified of any changes related to the interoperability development on the Slovenian railway network. The purpose of the document is to provide an outline of the railway infrastructure and vehicles operated by the SŽPP and SŽ-TP and provide an accurate timetable for equipping both lines and vehicles with the ETCS and the GSM-R, and class B </w:t>
            </w:r>
            <w:r>
              <w:lastRenderedPageBreak/>
              <w:t>decommissioning systems. All information about the relevant railway infrastructure is available in the railway infrastructure register.</w:t>
            </w:r>
          </w:p>
          <w:p w14:paraId="0109C470" w14:textId="77777777" w:rsidR="00DD13BF" w:rsidRPr="00790120" w:rsidRDefault="00DD13BF" w:rsidP="00355A56">
            <w:pPr>
              <w:widowControl/>
              <w:autoSpaceDE/>
              <w:autoSpaceDN/>
              <w:jc w:val="both"/>
              <w:rPr>
                <w:rFonts w:eastAsia="Calibri"/>
              </w:rPr>
            </w:pPr>
          </w:p>
          <w:p w14:paraId="6EC1B7BA" w14:textId="77777777" w:rsidR="00DD13BF" w:rsidRPr="00790120" w:rsidRDefault="00DD13BF" w:rsidP="00355A56">
            <w:pPr>
              <w:widowControl/>
              <w:autoSpaceDE/>
              <w:autoSpaceDN/>
              <w:jc w:val="both"/>
              <w:rPr>
                <w:rFonts w:eastAsia="Calibri"/>
              </w:rPr>
            </w:pPr>
            <w:r>
              <w:t>Since the adoption of the SDS, the introduction of the ERTMS in Slovenia has made particular progress. All the lines in the Mediterranean Corridor in Slovenia, which should be built by 2023, are under construction or are already in operation. The introduction of the ERTMS is also progressing in the Baltic-Adriatic Corridor. In Slovenia, the entire length, which should be in operation by 2023, is under construction or already in operation. Only the line connecting Ljubljana and Pragersko is delayed.</w:t>
            </w:r>
          </w:p>
        </w:tc>
      </w:tr>
      <w:tr w:rsidR="00DD13BF" w:rsidRPr="00790120" w14:paraId="02827BBE" w14:textId="77777777" w:rsidTr="00355A56">
        <w:trPr>
          <w:trHeight w:val="353"/>
        </w:trPr>
        <w:tc>
          <w:tcPr>
            <w:tcW w:w="1538" w:type="dxa"/>
            <w:vMerge/>
          </w:tcPr>
          <w:p w14:paraId="0E14B26D" w14:textId="77777777" w:rsidR="00DD13BF" w:rsidRPr="00790120" w:rsidRDefault="00DD13BF" w:rsidP="00355A56">
            <w:pPr>
              <w:widowControl/>
              <w:autoSpaceDE/>
              <w:autoSpaceDN/>
              <w:rPr>
                <w:rFonts w:eastAsia="Calibri"/>
              </w:rPr>
            </w:pPr>
          </w:p>
        </w:tc>
        <w:tc>
          <w:tcPr>
            <w:tcW w:w="877" w:type="dxa"/>
            <w:vMerge/>
          </w:tcPr>
          <w:p w14:paraId="4B0DACDB" w14:textId="77777777" w:rsidR="00DD13BF" w:rsidRPr="00790120" w:rsidRDefault="00DD13BF" w:rsidP="00355A56">
            <w:pPr>
              <w:widowControl/>
              <w:autoSpaceDE/>
              <w:autoSpaceDN/>
              <w:rPr>
                <w:rFonts w:eastAsia="Calibri"/>
              </w:rPr>
            </w:pPr>
          </w:p>
        </w:tc>
        <w:tc>
          <w:tcPr>
            <w:tcW w:w="1985" w:type="dxa"/>
            <w:vMerge/>
          </w:tcPr>
          <w:p w14:paraId="66AD1C4E" w14:textId="77777777" w:rsidR="00DD13BF" w:rsidRPr="00790120" w:rsidRDefault="00DD13BF" w:rsidP="00355A56">
            <w:pPr>
              <w:widowControl/>
              <w:autoSpaceDE/>
              <w:autoSpaceDN/>
              <w:rPr>
                <w:rFonts w:eastAsia="Calibri"/>
              </w:rPr>
            </w:pPr>
          </w:p>
        </w:tc>
        <w:tc>
          <w:tcPr>
            <w:tcW w:w="1134" w:type="dxa"/>
            <w:vMerge/>
          </w:tcPr>
          <w:p w14:paraId="1A23D8DF" w14:textId="77777777" w:rsidR="00DD13BF" w:rsidRPr="00790120" w:rsidRDefault="00DD13BF" w:rsidP="00355A56">
            <w:pPr>
              <w:widowControl/>
              <w:autoSpaceDE/>
              <w:autoSpaceDN/>
              <w:rPr>
                <w:rFonts w:eastAsia="Calibri"/>
              </w:rPr>
            </w:pPr>
          </w:p>
        </w:tc>
        <w:tc>
          <w:tcPr>
            <w:tcW w:w="1984" w:type="dxa"/>
          </w:tcPr>
          <w:p w14:paraId="6C439224" w14:textId="77777777" w:rsidR="00DD13BF" w:rsidRPr="00790120" w:rsidRDefault="00DD13BF" w:rsidP="00355A56">
            <w:pPr>
              <w:widowControl/>
              <w:autoSpaceDE/>
              <w:autoSpaceDN/>
              <w:rPr>
                <w:rFonts w:eastAsia="Calibri"/>
              </w:rPr>
            </w:pPr>
            <w:r>
              <w:t>6. Promotes multimodality, identifying needs for multimodal or</w:t>
            </w:r>
          </w:p>
          <w:p w14:paraId="774A5294" w14:textId="77777777" w:rsidR="00DD13BF" w:rsidRPr="00790120" w:rsidRDefault="00DD13BF" w:rsidP="00355A56">
            <w:pPr>
              <w:widowControl/>
              <w:autoSpaceDE/>
              <w:autoSpaceDN/>
              <w:rPr>
                <w:rFonts w:eastAsia="Calibri"/>
              </w:rPr>
            </w:pPr>
            <w:r>
              <w:t>transhipment freight and passengers</w:t>
            </w:r>
          </w:p>
          <w:p w14:paraId="794F005B" w14:textId="77777777" w:rsidR="00DD13BF" w:rsidRPr="00790120" w:rsidRDefault="00DD13BF" w:rsidP="00355A56">
            <w:pPr>
              <w:widowControl/>
              <w:autoSpaceDE/>
              <w:autoSpaceDN/>
              <w:rPr>
                <w:rFonts w:eastAsia="Calibri"/>
              </w:rPr>
            </w:pPr>
            <w:r>
              <w:t>terminals.</w:t>
            </w:r>
          </w:p>
        </w:tc>
        <w:tc>
          <w:tcPr>
            <w:tcW w:w="709" w:type="dxa"/>
          </w:tcPr>
          <w:p w14:paraId="66CDA85B" w14:textId="77777777" w:rsidR="00DD13BF" w:rsidRPr="00790120" w:rsidRDefault="00DD13BF" w:rsidP="00355A56">
            <w:pPr>
              <w:widowControl/>
              <w:autoSpaceDE/>
              <w:autoSpaceDN/>
              <w:rPr>
                <w:rFonts w:eastAsia="Calibri"/>
              </w:rPr>
            </w:pPr>
            <w:r>
              <w:t>Yes</w:t>
            </w:r>
          </w:p>
        </w:tc>
        <w:tc>
          <w:tcPr>
            <w:tcW w:w="2267" w:type="dxa"/>
          </w:tcPr>
          <w:p w14:paraId="7AC08A4A" w14:textId="77777777" w:rsidR="00DD13BF" w:rsidRPr="00790120" w:rsidRDefault="00DD13BF" w:rsidP="00355A56">
            <w:pPr>
              <w:widowControl/>
              <w:autoSpaceDE/>
              <w:autoSpaceDN/>
              <w:rPr>
                <w:rFonts w:eastAsia="Calibri"/>
              </w:rPr>
            </w:pPr>
            <w:r>
              <w:t>See Criterion 1.</w:t>
            </w:r>
          </w:p>
        </w:tc>
        <w:tc>
          <w:tcPr>
            <w:tcW w:w="3402" w:type="dxa"/>
          </w:tcPr>
          <w:p w14:paraId="478633EA" w14:textId="77777777" w:rsidR="00DD13BF" w:rsidRPr="00790120" w:rsidRDefault="00DD13BF" w:rsidP="00355A56">
            <w:pPr>
              <w:widowControl/>
              <w:autoSpaceDE/>
              <w:autoSpaceDN/>
              <w:jc w:val="both"/>
              <w:rPr>
                <w:rFonts w:eastAsia="Calibri"/>
              </w:rPr>
            </w:pPr>
            <w:r>
              <w:t xml:space="preserve">The national programme foresees the development of the network into intermodal nodes and agglomerations in accordance with demand (R.40). Nodes on the TEN-T network have the best opportunities to develop logistics freight-related activities, while Ljubljana and Maribor have the potential to establish multimodal </w:t>
            </w:r>
            <w:r>
              <w:lastRenderedPageBreak/>
              <w:t xml:space="preserve">platforms of passenger agglomerations. However, Slovenia could also provide a broader approach to freight transport and the transition of passengers from one mode of transport to another. For this purpose, potential points of passage for passengers and goods between different modes of transport must be identified. Where necessary and effective, intermodal passenger platforms should be established to increase the use of public passenger transport or ensure adequate connection of logistic freight terminals with different modes of transport if there is a commercial interest. The said activities will be easier to implement on the basis of the Integrated Transport Planning Act, which will allow the continuation of the process that commenced with the drafting of integrated transport strategies in the past financial period with the help of cohesion policy funds. </w:t>
            </w:r>
          </w:p>
        </w:tc>
      </w:tr>
      <w:tr w:rsidR="00DD13BF" w:rsidRPr="00790120" w14:paraId="2E931DA2" w14:textId="77777777" w:rsidTr="00355A56">
        <w:trPr>
          <w:trHeight w:val="353"/>
        </w:trPr>
        <w:tc>
          <w:tcPr>
            <w:tcW w:w="1538" w:type="dxa"/>
            <w:vMerge/>
          </w:tcPr>
          <w:p w14:paraId="62D1D26E" w14:textId="77777777" w:rsidR="00DD13BF" w:rsidRPr="00790120" w:rsidRDefault="00DD13BF" w:rsidP="00355A56">
            <w:pPr>
              <w:widowControl/>
              <w:autoSpaceDE/>
              <w:autoSpaceDN/>
              <w:rPr>
                <w:rFonts w:eastAsia="Calibri"/>
              </w:rPr>
            </w:pPr>
          </w:p>
        </w:tc>
        <w:tc>
          <w:tcPr>
            <w:tcW w:w="877" w:type="dxa"/>
            <w:vMerge/>
          </w:tcPr>
          <w:p w14:paraId="2682BED3" w14:textId="77777777" w:rsidR="00DD13BF" w:rsidRPr="00790120" w:rsidRDefault="00DD13BF" w:rsidP="00355A56">
            <w:pPr>
              <w:widowControl/>
              <w:autoSpaceDE/>
              <w:autoSpaceDN/>
              <w:rPr>
                <w:rFonts w:eastAsia="Calibri"/>
              </w:rPr>
            </w:pPr>
          </w:p>
        </w:tc>
        <w:tc>
          <w:tcPr>
            <w:tcW w:w="1985" w:type="dxa"/>
            <w:vMerge/>
          </w:tcPr>
          <w:p w14:paraId="00DF6E9C" w14:textId="77777777" w:rsidR="00DD13BF" w:rsidRPr="00790120" w:rsidRDefault="00DD13BF" w:rsidP="00355A56">
            <w:pPr>
              <w:widowControl/>
              <w:autoSpaceDE/>
              <w:autoSpaceDN/>
              <w:rPr>
                <w:rFonts w:eastAsia="Calibri"/>
              </w:rPr>
            </w:pPr>
          </w:p>
        </w:tc>
        <w:tc>
          <w:tcPr>
            <w:tcW w:w="1134" w:type="dxa"/>
            <w:vMerge/>
          </w:tcPr>
          <w:p w14:paraId="16A314DD" w14:textId="77777777" w:rsidR="00DD13BF" w:rsidRPr="00790120" w:rsidRDefault="00DD13BF" w:rsidP="00355A56">
            <w:pPr>
              <w:widowControl/>
              <w:autoSpaceDE/>
              <w:autoSpaceDN/>
              <w:rPr>
                <w:rFonts w:eastAsia="Calibri"/>
              </w:rPr>
            </w:pPr>
          </w:p>
        </w:tc>
        <w:tc>
          <w:tcPr>
            <w:tcW w:w="1984" w:type="dxa"/>
          </w:tcPr>
          <w:p w14:paraId="096432FD" w14:textId="77777777" w:rsidR="00DD13BF" w:rsidRPr="00790120" w:rsidRDefault="00DD13BF" w:rsidP="00355A56">
            <w:pPr>
              <w:widowControl/>
              <w:autoSpaceDE/>
              <w:autoSpaceDN/>
              <w:rPr>
                <w:rFonts w:eastAsia="Calibri"/>
              </w:rPr>
            </w:pPr>
            <w:r>
              <w:t>7. Includes measures relevant for infrastructure planning aiming at</w:t>
            </w:r>
          </w:p>
          <w:p w14:paraId="6404C493" w14:textId="77777777" w:rsidR="00DD13BF" w:rsidRPr="00790120" w:rsidRDefault="00DD13BF" w:rsidP="00355A56">
            <w:pPr>
              <w:widowControl/>
              <w:autoSpaceDE/>
              <w:autoSpaceDN/>
              <w:rPr>
                <w:rFonts w:eastAsia="Calibri"/>
              </w:rPr>
            </w:pPr>
            <w:r>
              <w:lastRenderedPageBreak/>
              <w:t>promoting alternative fuels, in line with the relevant</w:t>
            </w:r>
          </w:p>
          <w:p w14:paraId="25F6277D" w14:textId="77777777" w:rsidR="00DD13BF" w:rsidRPr="00790120" w:rsidRDefault="00DD13BF" w:rsidP="00355A56">
            <w:pPr>
              <w:widowControl/>
              <w:autoSpaceDE/>
              <w:autoSpaceDN/>
              <w:rPr>
                <w:rFonts w:eastAsia="Calibri"/>
              </w:rPr>
            </w:pPr>
            <w:r>
              <w:t>national policy frameworks.</w:t>
            </w:r>
          </w:p>
        </w:tc>
        <w:tc>
          <w:tcPr>
            <w:tcW w:w="709" w:type="dxa"/>
          </w:tcPr>
          <w:p w14:paraId="6F55ADBD" w14:textId="77777777" w:rsidR="00DD13BF" w:rsidRPr="00790120" w:rsidRDefault="00DD13BF" w:rsidP="00355A56">
            <w:pPr>
              <w:widowControl/>
              <w:autoSpaceDE/>
              <w:autoSpaceDN/>
              <w:rPr>
                <w:rFonts w:eastAsia="Calibri"/>
              </w:rPr>
            </w:pPr>
            <w:r>
              <w:lastRenderedPageBreak/>
              <w:t>Yes</w:t>
            </w:r>
          </w:p>
        </w:tc>
        <w:tc>
          <w:tcPr>
            <w:tcW w:w="2267" w:type="dxa"/>
          </w:tcPr>
          <w:p w14:paraId="44F728DE" w14:textId="77777777" w:rsidR="00DD13BF" w:rsidRPr="00790120" w:rsidRDefault="00425F22" w:rsidP="00355A56">
            <w:pPr>
              <w:widowControl/>
              <w:autoSpaceDE/>
              <w:autoSpaceDN/>
              <w:rPr>
                <w:rFonts w:eastAsia="Calibri"/>
              </w:rPr>
            </w:pPr>
            <w:hyperlink r:id="rId163" w:history="1">
              <w:r w:rsidR="00DD13BF">
                <w:rPr>
                  <w:color w:val="0563C1"/>
                  <w:u w:val="single"/>
                </w:rPr>
                <w:t xml:space="preserve">Strategy on market development for the establishment of adequate infrastructure </w:t>
              </w:r>
              <w:r w:rsidR="00DD13BF">
                <w:rPr>
                  <w:color w:val="0563C1"/>
                  <w:u w:val="single"/>
                </w:rPr>
                <w:lastRenderedPageBreak/>
                <w:t>related to alternative fuels in the transport sector in the Republic of Slovenia</w:t>
              </w:r>
            </w:hyperlink>
          </w:p>
          <w:p w14:paraId="58E79434" w14:textId="77777777" w:rsidR="00DD13BF" w:rsidRPr="00790120" w:rsidRDefault="00DD13BF" w:rsidP="00355A56">
            <w:pPr>
              <w:widowControl/>
              <w:autoSpaceDE/>
              <w:autoSpaceDN/>
              <w:rPr>
                <w:rFonts w:eastAsia="Calibri"/>
              </w:rPr>
            </w:pPr>
          </w:p>
          <w:p w14:paraId="472D7AA3" w14:textId="77777777" w:rsidR="00DD13BF" w:rsidRPr="00790120" w:rsidRDefault="00425F22" w:rsidP="00355A56">
            <w:pPr>
              <w:widowControl/>
              <w:autoSpaceDE/>
              <w:autoSpaceDN/>
              <w:rPr>
                <w:rFonts w:eastAsia="Calibri"/>
              </w:rPr>
            </w:pPr>
            <w:hyperlink r:id="rId164" w:history="1">
              <w:r w:rsidR="00DD13BF">
                <w:rPr>
                  <w:color w:val="0563C1"/>
                  <w:u w:val="single"/>
                </w:rPr>
                <w:t>Action Programme for alternative transport fuels</w:t>
              </w:r>
            </w:hyperlink>
          </w:p>
          <w:p w14:paraId="36C6A0B3" w14:textId="77777777" w:rsidR="00DD13BF" w:rsidRPr="00790120" w:rsidRDefault="00DD13BF" w:rsidP="00355A56">
            <w:pPr>
              <w:widowControl/>
              <w:autoSpaceDE/>
              <w:autoSpaceDN/>
              <w:rPr>
                <w:rFonts w:eastAsia="Calibri"/>
              </w:rPr>
            </w:pPr>
          </w:p>
          <w:p w14:paraId="7D0FB290" w14:textId="77777777" w:rsidR="00DD13BF" w:rsidRPr="00790120" w:rsidRDefault="00425F22" w:rsidP="00355A56">
            <w:pPr>
              <w:widowControl/>
              <w:autoSpaceDE/>
              <w:autoSpaceDN/>
              <w:rPr>
                <w:rFonts w:eastAsia="Calibri"/>
              </w:rPr>
            </w:pPr>
            <w:hyperlink r:id="rId165" w:history="1">
              <w:r w:rsidR="00DD13BF">
                <w:rPr>
                  <w:color w:val="0563C1"/>
                  <w:u w:val="single"/>
                </w:rPr>
                <w:t>Decree establishing the infrastructure for alternative transport fuels</w:t>
              </w:r>
            </w:hyperlink>
          </w:p>
        </w:tc>
        <w:tc>
          <w:tcPr>
            <w:tcW w:w="3402" w:type="dxa"/>
          </w:tcPr>
          <w:p w14:paraId="5E423FB6" w14:textId="77777777" w:rsidR="00DD13BF" w:rsidRPr="00790120" w:rsidRDefault="00DD13BF" w:rsidP="00355A56">
            <w:pPr>
              <w:widowControl/>
              <w:autoSpaceDE/>
              <w:autoSpaceDN/>
              <w:jc w:val="both"/>
              <w:rPr>
                <w:rFonts w:eastAsia="Calibri"/>
              </w:rPr>
            </w:pPr>
            <w:r>
              <w:lastRenderedPageBreak/>
              <w:t xml:space="preserve">Slovenia transposed Directive 2014/94/EU of the European Parliament and of the Council of 22 October 2014 on the deployment of </w:t>
            </w:r>
            <w:r>
              <w:lastRenderedPageBreak/>
              <w:t xml:space="preserve">alternative fuels infrastructure into national legislation with the Decree establishing the infrastructure for alternative transport fuels. To speed up the use of alternative fuels in transport, in 2017 the Government of the Republic of Slovenia adopted the Strategy on market development for the establishment of adequate infrastructure related to alternative fuels in the transport sector in the Republic of Slovenia and the related Action Programme for alternative transport fuels. It includes measures for vehicles, alternative fuels infrastructure, normative regulations, etc. Due to an unsuitable national legal framework, Slovenia has not yet attained national objectives in the field of alternative fuels in transport. Slovenia is an active partner in the IDACS project, which is a support measure of the CEF programme. As part of the project, Slovenia established the National Registration Office for ID codes in the field of charging infrastructure for electric vehicles and enabled the exchange of static and dynamic data </w:t>
            </w:r>
            <w:r>
              <w:lastRenderedPageBreak/>
              <w:t>on charging points with the national access point, which was optimised and upgraded on a new domain: www.nap.si.</w:t>
            </w:r>
          </w:p>
        </w:tc>
      </w:tr>
      <w:tr w:rsidR="00DD13BF" w:rsidRPr="00790120" w14:paraId="42954AC6" w14:textId="77777777" w:rsidTr="00355A56">
        <w:trPr>
          <w:trHeight w:val="353"/>
        </w:trPr>
        <w:tc>
          <w:tcPr>
            <w:tcW w:w="1538" w:type="dxa"/>
            <w:vMerge/>
          </w:tcPr>
          <w:p w14:paraId="5CE494A2" w14:textId="77777777" w:rsidR="00DD13BF" w:rsidRPr="00790120" w:rsidRDefault="00DD13BF" w:rsidP="00355A56">
            <w:pPr>
              <w:widowControl/>
              <w:autoSpaceDE/>
              <w:autoSpaceDN/>
              <w:rPr>
                <w:rFonts w:eastAsia="Calibri"/>
              </w:rPr>
            </w:pPr>
          </w:p>
        </w:tc>
        <w:tc>
          <w:tcPr>
            <w:tcW w:w="877" w:type="dxa"/>
            <w:vMerge/>
          </w:tcPr>
          <w:p w14:paraId="48270150" w14:textId="77777777" w:rsidR="00DD13BF" w:rsidRPr="00790120" w:rsidRDefault="00DD13BF" w:rsidP="00355A56">
            <w:pPr>
              <w:widowControl/>
              <w:autoSpaceDE/>
              <w:autoSpaceDN/>
              <w:rPr>
                <w:rFonts w:eastAsia="Calibri"/>
              </w:rPr>
            </w:pPr>
          </w:p>
        </w:tc>
        <w:tc>
          <w:tcPr>
            <w:tcW w:w="1985" w:type="dxa"/>
            <w:vMerge/>
          </w:tcPr>
          <w:p w14:paraId="1B6A3A93" w14:textId="77777777" w:rsidR="00DD13BF" w:rsidRPr="00790120" w:rsidRDefault="00DD13BF" w:rsidP="00355A56">
            <w:pPr>
              <w:widowControl/>
              <w:autoSpaceDE/>
              <w:autoSpaceDN/>
              <w:rPr>
                <w:rFonts w:eastAsia="Calibri"/>
              </w:rPr>
            </w:pPr>
          </w:p>
        </w:tc>
        <w:tc>
          <w:tcPr>
            <w:tcW w:w="1134" w:type="dxa"/>
            <w:vMerge/>
          </w:tcPr>
          <w:p w14:paraId="5555CB14" w14:textId="77777777" w:rsidR="00DD13BF" w:rsidRPr="00790120" w:rsidRDefault="00DD13BF" w:rsidP="00355A56">
            <w:pPr>
              <w:widowControl/>
              <w:autoSpaceDE/>
              <w:autoSpaceDN/>
              <w:rPr>
                <w:rFonts w:eastAsia="Calibri"/>
              </w:rPr>
            </w:pPr>
          </w:p>
        </w:tc>
        <w:tc>
          <w:tcPr>
            <w:tcW w:w="1984" w:type="dxa"/>
          </w:tcPr>
          <w:p w14:paraId="575CA883" w14:textId="77777777" w:rsidR="00DD13BF" w:rsidRPr="00790120" w:rsidRDefault="00DD13BF" w:rsidP="00355A56">
            <w:pPr>
              <w:widowControl/>
              <w:autoSpaceDE/>
              <w:autoSpaceDN/>
              <w:rPr>
                <w:rFonts w:eastAsia="Calibri"/>
              </w:rPr>
            </w:pPr>
            <w:r>
              <w:t>8. Presents the results of the assessment of road safety risks in line with existing national road safety strategies, together with a mapping of the</w:t>
            </w:r>
          </w:p>
          <w:p w14:paraId="18B99929" w14:textId="77777777" w:rsidR="00DD13BF" w:rsidRPr="00790120" w:rsidRDefault="00DD13BF" w:rsidP="00355A56">
            <w:pPr>
              <w:widowControl/>
              <w:autoSpaceDE/>
              <w:autoSpaceDN/>
              <w:rPr>
                <w:rFonts w:eastAsia="Calibri"/>
              </w:rPr>
            </w:pPr>
            <w:r>
              <w:t>affected roads and sections and by ensuring the prioritisation of the corresponding investments.</w:t>
            </w:r>
          </w:p>
        </w:tc>
        <w:tc>
          <w:tcPr>
            <w:tcW w:w="709" w:type="dxa"/>
          </w:tcPr>
          <w:p w14:paraId="23357F21" w14:textId="77777777" w:rsidR="00DD13BF" w:rsidRPr="00790120" w:rsidRDefault="00DD13BF" w:rsidP="00355A56">
            <w:pPr>
              <w:widowControl/>
              <w:autoSpaceDE/>
              <w:autoSpaceDN/>
              <w:rPr>
                <w:rFonts w:eastAsia="Calibri"/>
              </w:rPr>
            </w:pPr>
            <w:r>
              <w:t>Yes</w:t>
            </w:r>
          </w:p>
        </w:tc>
        <w:tc>
          <w:tcPr>
            <w:tcW w:w="2267" w:type="dxa"/>
          </w:tcPr>
          <w:p w14:paraId="565AE888" w14:textId="77777777" w:rsidR="00DD13BF" w:rsidRPr="00790120" w:rsidRDefault="00DD13BF" w:rsidP="00355A56">
            <w:pPr>
              <w:widowControl/>
              <w:autoSpaceDE/>
              <w:autoSpaceDN/>
              <w:rPr>
                <w:rFonts w:eastAsia="Calibri"/>
                <w:color w:val="0563C1"/>
                <w:u w:val="single"/>
              </w:rPr>
            </w:pPr>
            <w:r w:rsidRPr="00790120">
              <w:rPr>
                <w:rFonts w:eastAsia="Calibri"/>
              </w:rPr>
              <w:fldChar w:fldCharType="begin"/>
            </w:r>
            <w:r w:rsidRPr="00790120">
              <w:rPr>
                <w:rFonts w:eastAsia="Calibri"/>
              </w:rPr>
              <w:instrText xml:space="preserve"> HYPERLINK "https://www.gov.si/assets/ministrstva/MzI/Dokumenti/Resolucija-o-nacionalem-programu-varnosti-cestnega-prometa-za-obdobje-od-2013-do-2022.pdf" </w:instrText>
            </w:r>
            <w:r w:rsidRPr="00790120">
              <w:rPr>
                <w:rFonts w:eastAsia="Calibri"/>
              </w:rPr>
              <w:fldChar w:fldCharType="separate"/>
            </w:r>
            <w:r>
              <w:rPr>
                <w:color w:val="0563C1"/>
                <w:u w:val="single"/>
              </w:rPr>
              <w:t>Resolution on</w:t>
            </w:r>
          </w:p>
          <w:p w14:paraId="7897978C" w14:textId="77777777" w:rsidR="00DD13BF" w:rsidRPr="00790120" w:rsidRDefault="00DD13BF" w:rsidP="00355A56">
            <w:pPr>
              <w:widowControl/>
              <w:autoSpaceDE/>
              <w:autoSpaceDN/>
              <w:rPr>
                <w:rFonts w:eastAsia="Calibri"/>
                <w:color w:val="0563C1"/>
                <w:u w:val="single"/>
              </w:rPr>
            </w:pPr>
            <w:r>
              <w:rPr>
                <w:color w:val="0563C1"/>
                <w:u w:val="single"/>
              </w:rPr>
              <w:t>the National</w:t>
            </w:r>
          </w:p>
          <w:p w14:paraId="6A9DD682" w14:textId="77777777" w:rsidR="00DD13BF" w:rsidRPr="00790120" w:rsidRDefault="00DD13BF" w:rsidP="00355A56">
            <w:pPr>
              <w:widowControl/>
              <w:autoSpaceDE/>
              <w:autoSpaceDN/>
              <w:rPr>
                <w:rFonts w:eastAsia="Calibri"/>
                <w:color w:val="0563C1"/>
                <w:u w:val="single"/>
              </w:rPr>
            </w:pPr>
            <w:r>
              <w:rPr>
                <w:color w:val="0563C1"/>
                <w:u w:val="single"/>
              </w:rPr>
              <w:t>Road Safety from</w:t>
            </w:r>
          </w:p>
          <w:p w14:paraId="443B34C9" w14:textId="77777777" w:rsidR="00DD13BF" w:rsidRPr="00790120" w:rsidRDefault="00DD13BF" w:rsidP="00355A56">
            <w:pPr>
              <w:widowControl/>
              <w:autoSpaceDE/>
              <w:autoSpaceDN/>
              <w:rPr>
                <w:rFonts w:eastAsia="Calibri"/>
              </w:rPr>
            </w:pPr>
            <w:r>
              <w:rPr>
                <w:color w:val="0563C1"/>
                <w:u w:val="single"/>
              </w:rPr>
              <w:t>2013 to 2022</w:t>
            </w:r>
            <w:r w:rsidRPr="00790120">
              <w:rPr>
                <w:rFonts w:eastAsia="Calibri"/>
              </w:rPr>
              <w:fldChar w:fldCharType="end"/>
            </w:r>
          </w:p>
        </w:tc>
        <w:tc>
          <w:tcPr>
            <w:tcW w:w="3402" w:type="dxa"/>
          </w:tcPr>
          <w:p w14:paraId="2E64CAA7" w14:textId="77777777" w:rsidR="00DD13BF" w:rsidRPr="00790120" w:rsidRDefault="00DD13BF" w:rsidP="00355A56">
            <w:pPr>
              <w:widowControl/>
              <w:autoSpaceDE/>
              <w:autoSpaceDN/>
              <w:spacing w:line="257" w:lineRule="auto"/>
              <w:jc w:val="both"/>
              <w:rPr>
                <w:rFonts w:eastAsia="Calibri"/>
              </w:rPr>
            </w:pPr>
            <w:r>
              <w:t xml:space="preserve"> The National Programme on Road Traffic Safety is a strategic document that provides a vision and objectives for priority areas and enables the adoption of measures to effectively ensure road traffic safety. To determine the criteria for the inclusion of individual projects in the six-year operational plan for investments in transport and transport infrastructure, the parameters provided by the Resolution on the National Programme for the Development of Transport of the Republic of Slovenia until 2030, which also includes the state of transport safety, must be taken into account. In accordance with Directive 2008/96/EC of the European Parliament and of the Council of 19 November 2008 on road infrastructure safety management, Slovenia provides a systematic </w:t>
            </w:r>
            <w:r>
              <w:lastRenderedPageBreak/>
              <w:t>assessment of road infrastructure safety, which takes place in all phases from the planning to the operation of road infrastructure. The Slovenian Infrastructure Agency annually determines places with a high rate of traffic accidents for the last three years on the basis of traffic accident data. This is the basis for investment plans, interventions and measures.</w:t>
            </w:r>
          </w:p>
          <w:p w14:paraId="6BBF3504" w14:textId="77777777" w:rsidR="00DD13BF" w:rsidRPr="00790120" w:rsidRDefault="00DD13BF" w:rsidP="00355A56">
            <w:pPr>
              <w:widowControl/>
              <w:autoSpaceDE/>
              <w:autoSpaceDN/>
              <w:spacing w:line="257" w:lineRule="auto"/>
              <w:jc w:val="both"/>
              <w:rPr>
                <w:rFonts w:eastAsia="Calibri"/>
              </w:rPr>
            </w:pPr>
          </w:p>
          <w:p w14:paraId="2161DE2E" w14:textId="77777777" w:rsidR="00DD13BF" w:rsidRPr="00790120" w:rsidRDefault="00DD13BF" w:rsidP="00355A56">
            <w:pPr>
              <w:widowControl/>
              <w:autoSpaceDE/>
              <w:autoSpaceDN/>
              <w:spacing w:line="257" w:lineRule="auto"/>
              <w:jc w:val="both"/>
            </w:pPr>
            <w:r>
              <w:t>The Resolution on the National Road Safety from 2013 to 2022 will be adopted by the end of 2022.</w:t>
            </w:r>
          </w:p>
        </w:tc>
      </w:tr>
      <w:tr w:rsidR="00DD13BF" w:rsidRPr="00790120" w14:paraId="017A959B" w14:textId="77777777" w:rsidTr="00355A56">
        <w:trPr>
          <w:trHeight w:val="353"/>
        </w:trPr>
        <w:tc>
          <w:tcPr>
            <w:tcW w:w="1538" w:type="dxa"/>
            <w:vMerge/>
          </w:tcPr>
          <w:p w14:paraId="74627361" w14:textId="77777777" w:rsidR="00DD13BF" w:rsidRPr="00790120" w:rsidRDefault="00DD13BF" w:rsidP="00355A56">
            <w:pPr>
              <w:widowControl/>
              <w:autoSpaceDE/>
              <w:autoSpaceDN/>
              <w:rPr>
                <w:rFonts w:eastAsia="Calibri"/>
              </w:rPr>
            </w:pPr>
          </w:p>
        </w:tc>
        <w:tc>
          <w:tcPr>
            <w:tcW w:w="877" w:type="dxa"/>
            <w:vMerge/>
          </w:tcPr>
          <w:p w14:paraId="7FF14E30" w14:textId="77777777" w:rsidR="00DD13BF" w:rsidRPr="00790120" w:rsidRDefault="00DD13BF" w:rsidP="00355A56">
            <w:pPr>
              <w:widowControl/>
              <w:autoSpaceDE/>
              <w:autoSpaceDN/>
              <w:rPr>
                <w:rFonts w:eastAsia="Calibri"/>
              </w:rPr>
            </w:pPr>
          </w:p>
        </w:tc>
        <w:tc>
          <w:tcPr>
            <w:tcW w:w="1985" w:type="dxa"/>
            <w:vMerge/>
          </w:tcPr>
          <w:p w14:paraId="675194AD" w14:textId="77777777" w:rsidR="00DD13BF" w:rsidRPr="00790120" w:rsidRDefault="00DD13BF" w:rsidP="00355A56">
            <w:pPr>
              <w:widowControl/>
              <w:autoSpaceDE/>
              <w:autoSpaceDN/>
              <w:rPr>
                <w:rFonts w:eastAsia="Calibri"/>
              </w:rPr>
            </w:pPr>
          </w:p>
        </w:tc>
        <w:tc>
          <w:tcPr>
            <w:tcW w:w="1134" w:type="dxa"/>
            <w:vMerge/>
          </w:tcPr>
          <w:p w14:paraId="3FC199D3" w14:textId="77777777" w:rsidR="00DD13BF" w:rsidRPr="00790120" w:rsidRDefault="00DD13BF" w:rsidP="00355A56">
            <w:pPr>
              <w:widowControl/>
              <w:autoSpaceDE/>
              <w:autoSpaceDN/>
              <w:rPr>
                <w:rFonts w:eastAsia="Calibri"/>
              </w:rPr>
            </w:pPr>
          </w:p>
        </w:tc>
        <w:tc>
          <w:tcPr>
            <w:tcW w:w="1984" w:type="dxa"/>
          </w:tcPr>
          <w:p w14:paraId="0136F97D" w14:textId="77777777" w:rsidR="00DD13BF" w:rsidRPr="00790120" w:rsidRDefault="00DD13BF" w:rsidP="00355A56">
            <w:pPr>
              <w:widowControl/>
              <w:autoSpaceDE/>
              <w:autoSpaceDN/>
              <w:rPr>
                <w:rFonts w:eastAsia="Calibri"/>
              </w:rPr>
            </w:pPr>
            <w:r>
              <w:t>9. Provides information on financing resources corresponding</w:t>
            </w:r>
          </w:p>
          <w:p w14:paraId="350DEEFA" w14:textId="77777777" w:rsidR="00DD13BF" w:rsidRPr="00790120" w:rsidRDefault="00DD13BF" w:rsidP="00355A56">
            <w:pPr>
              <w:widowControl/>
              <w:autoSpaceDE/>
              <w:autoSpaceDN/>
              <w:rPr>
                <w:rFonts w:eastAsia="Calibri"/>
              </w:rPr>
            </w:pPr>
            <w:r>
              <w:t>to the planned investments and required to cover operation</w:t>
            </w:r>
          </w:p>
          <w:p w14:paraId="7295B9FF" w14:textId="77777777" w:rsidR="00DD13BF" w:rsidRPr="00790120" w:rsidRDefault="00DD13BF" w:rsidP="00355A56">
            <w:pPr>
              <w:widowControl/>
              <w:autoSpaceDE/>
              <w:autoSpaceDN/>
              <w:rPr>
                <w:rFonts w:eastAsia="Calibri"/>
              </w:rPr>
            </w:pPr>
            <w:r>
              <w:t>and maintenance costs of the existing and planned infrastructures.</w:t>
            </w:r>
          </w:p>
        </w:tc>
        <w:tc>
          <w:tcPr>
            <w:tcW w:w="709" w:type="dxa"/>
          </w:tcPr>
          <w:p w14:paraId="750D546C" w14:textId="77777777" w:rsidR="00DD13BF" w:rsidRPr="00790120" w:rsidRDefault="00DD13BF" w:rsidP="00355A56">
            <w:pPr>
              <w:widowControl/>
              <w:autoSpaceDE/>
              <w:autoSpaceDN/>
              <w:rPr>
                <w:rFonts w:eastAsia="Calibri"/>
              </w:rPr>
            </w:pPr>
            <w:r>
              <w:t>Yes</w:t>
            </w:r>
          </w:p>
        </w:tc>
        <w:tc>
          <w:tcPr>
            <w:tcW w:w="2267" w:type="dxa"/>
          </w:tcPr>
          <w:p w14:paraId="1B6CA14E" w14:textId="77777777" w:rsidR="00DD13BF" w:rsidRPr="00790120" w:rsidRDefault="00425F22" w:rsidP="00355A56">
            <w:pPr>
              <w:widowControl/>
              <w:autoSpaceDE/>
              <w:autoSpaceDN/>
              <w:rPr>
                <w:rFonts w:eastAsia="Calibri"/>
              </w:rPr>
            </w:pPr>
            <w:hyperlink r:id="rId166" w:history="1">
              <w:r w:rsidR="00DD13BF">
                <w:rPr>
                  <w:color w:val="0563C1"/>
                  <w:u w:val="single"/>
                </w:rPr>
                <w:t>Six-year roadmap for investments in transport and transport infrastructure</w:t>
              </w:r>
            </w:hyperlink>
          </w:p>
          <w:p w14:paraId="317500BB" w14:textId="77777777" w:rsidR="00DD13BF" w:rsidRPr="00790120" w:rsidRDefault="00DD13BF" w:rsidP="00355A56">
            <w:pPr>
              <w:widowControl/>
              <w:autoSpaceDE/>
              <w:autoSpaceDN/>
              <w:rPr>
                <w:rFonts w:eastAsia="Calibri"/>
              </w:rPr>
            </w:pPr>
            <w:r>
              <w:t xml:space="preserve"> </w:t>
            </w:r>
          </w:p>
          <w:p w14:paraId="70A9E624" w14:textId="77777777" w:rsidR="00DD13BF" w:rsidRPr="00790120" w:rsidRDefault="00425F22" w:rsidP="00355A56">
            <w:pPr>
              <w:widowControl/>
              <w:autoSpaceDE/>
              <w:autoSpaceDN/>
              <w:rPr>
                <w:rFonts w:eastAsia="Calibri"/>
              </w:rPr>
            </w:pPr>
            <w:hyperlink r:id="rId167" w:history="1">
              <w:r w:rsidR="00DD13BF">
                <w:rPr>
                  <w:color w:val="0563C1"/>
                  <w:u w:val="single"/>
                </w:rPr>
                <w:t>Explanation of the proposal for the investment plan in transport and transport infrastructure for the 2020–2025 period</w:t>
              </w:r>
            </w:hyperlink>
            <w:r w:rsidR="00DD13BF">
              <w:t xml:space="preserve"> </w:t>
            </w:r>
          </w:p>
          <w:p w14:paraId="40EED59C" w14:textId="77777777" w:rsidR="00DD13BF" w:rsidRPr="00790120" w:rsidRDefault="00DD13BF" w:rsidP="00355A56">
            <w:pPr>
              <w:widowControl/>
              <w:autoSpaceDE/>
              <w:autoSpaceDN/>
              <w:rPr>
                <w:rFonts w:eastAsia="Calibri"/>
              </w:rPr>
            </w:pPr>
          </w:p>
        </w:tc>
        <w:tc>
          <w:tcPr>
            <w:tcW w:w="3402" w:type="dxa"/>
          </w:tcPr>
          <w:p w14:paraId="2585961E" w14:textId="77777777" w:rsidR="00DD13BF" w:rsidRPr="00790120" w:rsidRDefault="00DD13BF" w:rsidP="00355A56">
            <w:pPr>
              <w:widowControl/>
              <w:autoSpaceDE/>
              <w:autoSpaceDN/>
              <w:jc w:val="both"/>
              <w:rPr>
                <w:rFonts w:eastAsia="Calibri"/>
              </w:rPr>
            </w:pPr>
            <w:r>
              <w:t xml:space="preserve">The national programme foresees quite stable investments for investments, and the maintenance and operation of the system over a long period, amounting to between 600 and 700 million per year. This facilitates speedier attainment of the objectives of the transport system, particularly the attainment of strategic objectives: to improve mobility and accessibility, supply to the economy, and traffic safety, and to reduce energy consumption in transport, costs for users and </w:t>
            </w:r>
            <w:r>
              <w:lastRenderedPageBreak/>
              <w:t>operators, and environmental pollution. In addition, investments by private investors (e.g. concessionaires) in the amount of approximately EUR 300 million per year are planned for a longer period.</w:t>
            </w:r>
          </w:p>
          <w:p w14:paraId="10DCCB94" w14:textId="77777777" w:rsidR="00DD13BF" w:rsidRPr="00790120" w:rsidRDefault="00DD13BF" w:rsidP="00355A56">
            <w:pPr>
              <w:widowControl/>
              <w:autoSpaceDE/>
              <w:autoSpaceDN/>
              <w:jc w:val="both"/>
              <w:rPr>
                <w:rFonts w:eastAsia="Calibri"/>
              </w:rPr>
            </w:pPr>
            <w:r>
              <w:t>The six-year operational plan for investments in transport or transport infrastructure determines concrete activities (projects) based on expert priorities, realisation costs, and exact implementation deadlines. The plan will be updated this year and, in addition to the list of projects, it will contain data on their contribution to the objectives (reduced greenhouse gases, noise and air pollution, traffic flow, higher speeds, etc.).</w:t>
            </w:r>
          </w:p>
        </w:tc>
      </w:tr>
      <w:tr w:rsidR="00DD13BF" w:rsidRPr="00790120" w14:paraId="4E6C854B" w14:textId="77777777" w:rsidTr="00355A56">
        <w:trPr>
          <w:trHeight w:val="353"/>
        </w:trPr>
        <w:tc>
          <w:tcPr>
            <w:tcW w:w="1538" w:type="dxa"/>
            <w:vMerge w:val="restart"/>
          </w:tcPr>
          <w:p w14:paraId="56CA0E8F" w14:textId="77777777" w:rsidR="00DD13BF" w:rsidRPr="00790120" w:rsidRDefault="00DD13BF" w:rsidP="00355A56">
            <w:pPr>
              <w:widowControl/>
              <w:autoSpaceDE/>
              <w:autoSpaceDN/>
              <w:rPr>
                <w:rFonts w:eastAsia="Calibri"/>
              </w:rPr>
            </w:pPr>
            <w:r>
              <w:lastRenderedPageBreak/>
              <w:t>4.1 Strategic policy framework</w:t>
            </w:r>
          </w:p>
          <w:p w14:paraId="209D6715" w14:textId="77777777" w:rsidR="00DD13BF" w:rsidRPr="00790120" w:rsidRDefault="00DD13BF" w:rsidP="00355A56">
            <w:pPr>
              <w:widowControl/>
              <w:autoSpaceDE/>
              <w:autoSpaceDN/>
              <w:rPr>
                <w:rFonts w:eastAsia="Calibri"/>
              </w:rPr>
            </w:pPr>
            <w:r>
              <w:t>for active</w:t>
            </w:r>
          </w:p>
          <w:p w14:paraId="51885B7B" w14:textId="77777777" w:rsidR="00DD13BF" w:rsidRPr="00790120" w:rsidRDefault="00DD13BF" w:rsidP="00355A56">
            <w:pPr>
              <w:widowControl/>
              <w:autoSpaceDE/>
              <w:autoSpaceDN/>
              <w:rPr>
                <w:rFonts w:eastAsia="Calibri"/>
              </w:rPr>
            </w:pPr>
            <w:r>
              <w:t>labour market policies</w:t>
            </w:r>
          </w:p>
        </w:tc>
        <w:tc>
          <w:tcPr>
            <w:tcW w:w="877" w:type="dxa"/>
            <w:vMerge w:val="restart"/>
          </w:tcPr>
          <w:p w14:paraId="772A6921" w14:textId="77777777" w:rsidR="00DD13BF" w:rsidRPr="00790120" w:rsidRDefault="00DD13BF" w:rsidP="00355A56">
            <w:pPr>
              <w:widowControl/>
              <w:autoSpaceDE/>
              <w:autoSpaceDN/>
              <w:rPr>
                <w:rFonts w:eastAsia="Calibri"/>
              </w:rPr>
            </w:pPr>
            <w:r>
              <w:t>ESF+</w:t>
            </w:r>
          </w:p>
          <w:p w14:paraId="311002F6" w14:textId="77777777" w:rsidR="00DD13BF" w:rsidRPr="00790120" w:rsidRDefault="00DD13BF" w:rsidP="00355A56">
            <w:pPr>
              <w:widowControl/>
              <w:autoSpaceDE/>
              <w:autoSpaceDN/>
              <w:rPr>
                <w:rFonts w:eastAsia="Calibri"/>
              </w:rPr>
            </w:pPr>
          </w:p>
          <w:p w14:paraId="4E4E6777" w14:textId="77777777" w:rsidR="00DD13BF" w:rsidRPr="00790120" w:rsidRDefault="00DD13BF" w:rsidP="00355A56">
            <w:pPr>
              <w:widowControl/>
              <w:autoSpaceDE/>
              <w:autoSpaceDN/>
              <w:rPr>
                <w:rFonts w:eastAsia="Calibri"/>
              </w:rPr>
            </w:pPr>
          </w:p>
          <w:p w14:paraId="30E420BD" w14:textId="77777777" w:rsidR="00DD13BF" w:rsidRPr="00790120" w:rsidRDefault="00DD13BF" w:rsidP="00355A56">
            <w:pPr>
              <w:widowControl/>
              <w:autoSpaceDE/>
              <w:autoSpaceDN/>
              <w:rPr>
                <w:rFonts w:eastAsia="Calibri"/>
              </w:rPr>
            </w:pPr>
          </w:p>
          <w:p w14:paraId="3AC8CAB4" w14:textId="77777777" w:rsidR="00DD13BF" w:rsidRPr="00790120" w:rsidRDefault="00DD13BF" w:rsidP="00355A56">
            <w:pPr>
              <w:widowControl/>
              <w:autoSpaceDE/>
              <w:autoSpaceDN/>
              <w:rPr>
                <w:rFonts w:eastAsia="Calibri"/>
              </w:rPr>
            </w:pPr>
          </w:p>
          <w:p w14:paraId="44151F47" w14:textId="77777777" w:rsidR="00DD13BF" w:rsidRPr="00790120" w:rsidRDefault="00DD13BF" w:rsidP="00355A56">
            <w:pPr>
              <w:widowControl/>
              <w:autoSpaceDE/>
              <w:autoSpaceDN/>
              <w:rPr>
                <w:rFonts w:eastAsia="Calibri"/>
              </w:rPr>
            </w:pPr>
          </w:p>
          <w:p w14:paraId="795DAFFF" w14:textId="77777777" w:rsidR="00DD13BF" w:rsidRPr="00790120" w:rsidRDefault="00DD13BF" w:rsidP="00355A56">
            <w:pPr>
              <w:widowControl/>
              <w:autoSpaceDE/>
              <w:autoSpaceDN/>
              <w:rPr>
                <w:rFonts w:eastAsia="Calibri"/>
              </w:rPr>
            </w:pPr>
          </w:p>
          <w:p w14:paraId="1A35B53D" w14:textId="77777777" w:rsidR="00DD13BF" w:rsidRPr="00790120" w:rsidRDefault="00DD13BF" w:rsidP="00355A56">
            <w:pPr>
              <w:widowControl/>
              <w:autoSpaceDE/>
              <w:autoSpaceDN/>
              <w:rPr>
                <w:rFonts w:eastAsia="Calibri"/>
              </w:rPr>
            </w:pPr>
          </w:p>
          <w:p w14:paraId="19769258" w14:textId="77777777" w:rsidR="00DD13BF" w:rsidRPr="00790120" w:rsidRDefault="00DD13BF" w:rsidP="00355A56">
            <w:pPr>
              <w:widowControl/>
              <w:autoSpaceDE/>
              <w:autoSpaceDN/>
              <w:rPr>
                <w:rFonts w:eastAsia="Calibri"/>
              </w:rPr>
            </w:pPr>
          </w:p>
          <w:p w14:paraId="74D901BF" w14:textId="77777777" w:rsidR="00DD13BF" w:rsidRPr="00790120" w:rsidRDefault="00DD13BF" w:rsidP="00355A56">
            <w:pPr>
              <w:widowControl/>
              <w:autoSpaceDE/>
              <w:autoSpaceDN/>
              <w:rPr>
                <w:rFonts w:eastAsia="Calibri"/>
              </w:rPr>
            </w:pPr>
          </w:p>
          <w:p w14:paraId="4424FD0A" w14:textId="77777777" w:rsidR="00DD13BF" w:rsidRPr="00790120" w:rsidRDefault="00DD13BF" w:rsidP="00355A56">
            <w:pPr>
              <w:widowControl/>
              <w:autoSpaceDE/>
              <w:autoSpaceDN/>
              <w:rPr>
                <w:rFonts w:eastAsia="Calibri"/>
              </w:rPr>
            </w:pPr>
          </w:p>
          <w:p w14:paraId="5A0C3DD3" w14:textId="77777777" w:rsidR="00DD13BF" w:rsidRPr="00790120" w:rsidRDefault="00DD13BF" w:rsidP="00355A56">
            <w:pPr>
              <w:widowControl/>
              <w:autoSpaceDE/>
              <w:autoSpaceDN/>
              <w:rPr>
                <w:rFonts w:eastAsia="Calibri"/>
              </w:rPr>
            </w:pPr>
          </w:p>
          <w:p w14:paraId="22ACB5A6" w14:textId="77777777" w:rsidR="00DD13BF" w:rsidRPr="00790120" w:rsidRDefault="00DD13BF" w:rsidP="00355A56">
            <w:pPr>
              <w:widowControl/>
              <w:autoSpaceDE/>
              <w:autoSpaceDN/>
              <w:rPr>
                <w:rFonts w:eastAsia="Calibri"/>
              </w:rPr>
            </w:pPr>
          </w:p>
          <w:p w14:paraId="56C16DA8" w14:textId="77777777" w:rsidR="00DD13BF" w:rsidRPr="00790120" w:rsidRDefault="00DD13BF" w:rsidP="00355A56">
            <w:pPr>
              <w:widowControl/>
              <w:autoSpaceDE/>
              <w:autoSpaceDN/>
              <w:rPr>
                <w:rFonts w:eastAsia="Calibri"/>
              </w:rPr>
            </w:pPr>
          </w:p>
          <w:p w14:paraId="5598A364" w14:textId="77777777" w:rsidR="00DD13BF" w:rsidRPr="00790120" w:rsidRDefault="00DD13BF" w:rsidP="00355A56">
            <w:pPr>
              <w:widowControl/>
              <w:autoSpaceDE/>
              <w:autoSpaceDN/>
              <w:rPr>
                <w:rFonts w:eastAsia="Calibri"/>
              </w:rPr>
            </w:pPr>
          </w:p>
          <w:p w14:paraId="5BC1199B" w14:textId="77777777" w:rsidR="00DD13BF" w:rsidRPr="00790120" w:rsidRDefault="00DD13BF" w:rsidP="00355A56">
            <w:pPr>
              <w:widowControl/>
              <w:autoSpaceDE/>
              <w:autoSpaceDN/>
              <w:rPr>
                <w:rFonts w:eastAsia="Calibri"/>
              </w:rPr>
            </w:pPr>
          </w:p>
          <w:p w14:paraId="1A0026D4" w14:textId="77777777" w:rsidR="00DD13BF" w:rsidRPr="00790120" w:rsidRDefault="00DD13BF" w:rsidP="00355A56">
            <w:pPr>
              <w:widowControl/>
              <w:autoSpaceDE/>
              <w:autoSpaceDN/>
              <w:rPr>
                <w:rFonts w:eastAsia="Calibri"/>
              </w:rPr>
            </w:pPr>
          </w:p>
          <w:p w14:paraId="12DE4C7D" w14:textId="77777777" w:rsidR="00DD13BF" w:rsidRPr="00790120" w:rsidRDefault="00DD13BF" w:rsidP="00355A56">
            <w:pPr>
              <w:widowControl/>
              <w:autoSpaceDE/>
              <w:autoSpaceDN/>
              <w:rPr>
                <w:rFonts w:eastAsia="Calibri"/>
              </w:rPr>
            </w:pPr>
          </w:p>
          <w:p w14:paraId="75291719" w14:textId="77777777" w:rsidR="00DD13BF" w:rsidRPr="00790120" w:rsidRDefault="00DD13BF" w:rsidP="00355A56">
            <w:pPr>
              <w:widowControl/>
              <w:autoSpaceDE/>
              <w:autoSpaceDN/>
              <w:rPr>
                <w:rFonts w:eastAsia="Calibri"/>
              </w:rPr>
            </w:pPr>
          </w:p>
          <w:p w14:paraId="4468030E" w14:textId="77777777" w:rsidR="00DD13BF" w:rsidRPr="00790120" w:rsidRDefault="00DD13BF" w:rsidP="00355A56">
            <w:pPr>
              <w:widowControl/>
              <w:autoSpaceDE/>
              <w:autoSpaceDN/>
              <w:rPr>
                <w:rFonts w:eastAsia="Calibri"/>
              </w:rPr>
            </w:pPr>
          </w:p>
          <w:p w14:paraId="654A1C5B" w14:textId="77777777" w:rsidR="00DD13BF" w:rsidRPr="00790120" w:rsidRDefault="00DD13BF" w:rsidP="00355A56">
            <w:pPr>
              <w:widowControl/>
              <w:autoSpaceDE/>
              <w:autoSpaceDN/>
              <w:rPr>
                <w:rFonts w:eastAsia="Calibri"/>
              </w:rPr>
            </w:pPr>
          </w:p>
        </w:tc>
        <w:tc>
          <w:tcPr>
            <w:tcW w:w="1985" w:type="dxa"/>
            <w:vMerge w:val="restart"/>
          </w:tcPr>
          <w:p w14:paraId="672EBAF4" w14:textId="77777777" w:rsidR="00DD13BF" w:rsidRPr="00790120" w:rsidRDefault="00DD13BF" w:rsidP="00355A56">
            <w:pPr>
              <w:widowControl/>
              <w:autoSpaceDE/>
              <w:autoSpaceDN/>
              <w:rPr>
                <w:rFonts w:eastAsia="Calibri"/>
              </w:rPr>
            </w:pPr>
            <w:r>
              <w:lastRenderedPageBreak/>
              <w:t>ESO4.1: Improving access to employment and activation measures for all jobseekers, in particular youth, especially through the implementation of the Youth Guarantee, for long-term</w:t>
            </w:r>
          </w:p>
          <w:p w14:paraId="06C71210" w14:textId="77777777" w:rsidR="00DD13BF" w:rsidRPr="00790120" w:rsidRDefault="00DD13BF" w:rsidP="00355A56">
            <w:pPr>
              <w:widowControl/>
              <w:autoSpaceDE/>
              <w:autoSpaceDN/>
              <w:rPr>
                <w:rFonts w:eastAsia="Calibri"/>
              </w:rPr>
            </w:pPr>
            <w:r>
              <w:lastRenderedPageBreak/>
              <w:t>unemployed and disadvantaged groups on the labour market, and for</w:t>
            </w:r>
          </w:p>
          <w:p w14:paraId="1E0CA71D" w14:textId="77777777" w:rsidR="00DD13BF" w:rsidRPr="00790120" w:rsidRDefault="00DD13BF" w:rsidP="00355A56">
            <w:pPr>
              <w:widowControl/>
              <w:autoSpaceDE/>
              <w:autoSpaceDN/>
              <w:rPr>
                <w:rFonts w:eastAsia="Calibri"/>
              </w:rPr>
            </w:pPr>
            <w:r>
              <w:t>inactive people, as well as through</w:t>
            </w:r>
          </w:p>
          <w:p w14:paraId="6673B8F5" w14:textId="77777777" w:rsidR="00DD13BF" w:rsidRPr="00790120" w:rsidRDefault="00DD13BF" w:rsidP="00355A56">
            <w:pPr>
              <w:widowControl/>
              <w:autoSpaceDE/>
              <w:autoSpaceDN/>
              <w:rPr>
                <w:rFonts w:eastAsia="Calibri"/>
              </w:rPr>
            </w:pPr>
            <w:r>
              <w:t>promoting self-employment</w:t>
            </w:r>
          </w:p>
          <w:p w14:paraId="008B7C67" w14:textId="77777777" w:rsidR="00DD13BF" w:rsidRPr="00790120" w:rsidRDefault="00DD13BF" w:rsidP="00355A56">
            <w:pPr>
              <w:widowControl/>
              <w:autoSpaceDE/>
              <w:autoSpaceDN/>
              <w:rPr>
                <w:rFonts w:eastAsia="Calibri"/>
              </w:rPr>
            </w:pPr>
            <w:r>
              <w:t>and the social economy</w:t>
            </w:r>
          </w:p>
          <w:p w14:paraId="02303664" w14:textId="77777777" w:rsidR="00DD13BF" w:rsidRPr="00790120" w:rsidRDefault="00DD13BF" w:rsidP="00355A56">
            <w:pPr>
              <w:widowControl/>
              <w:autoSpaceDE/>
              <w:autoSpaceDN/>
              <w:rPr>
                <w:rFonts w:eastAsia="Calibri"/>
              </w:rPr>
            </w:pPr>
          </w:p>
          <w:p w14:paraId="0EA34BEF" w14:textId="77777777" w:rsidR="00DD13BF" w:rsidRPr="00790120" w:rsidRDefault="00DD13BF" w:rsidP="00355A56">
            <w:pPr>
              <w:rPr>
                <w:rFonts w:eastAsia="Calibri"/>
              </w:rPr>
            </w:pPr>
            <w:r>
              <w:t>ESO4.2: Modernising labour market institutions and services to assess and anticipate skills needs and ensure timely and tailormade assistance and support for labour market matching, transitions and mobility</w:t>
            </w:r>
          </w:p>
          <w:p w14:paraId="29A4D83E" w14:textId="77777777" w:rsidR="00DD13BF" w:rsidRPr="00790120" w:rsidRDefault="00DD13BF" w:rsidP="00355A56">
            <w:pPr>
              <w:widowControl/>
              <w:autoSpaceDE/>
              <w:autoSpaceDN/>
              <w:rPr>
                <w:rFonts w:eastAsia="Calibri"/>
              </w:rPr>
            </w:pPr>
          </w:p>
          <w:p w14:paraId="3408877F" w14:textId="77777777" w:rsidR="00DD13BF" w:rsidRPr="00790120" w:rsidRDefault="00DD13BF" w:rsidP="00355A56">
            <w:pPr>
              <w:widowControl/>
              <w:autoSpaceDE/>
              <w:autoSpaceDN/>
              <w:rPr>
                <w:rFonts w:eastAsia="Calibri"/>
              </w:rPr>
            </w:pPr>
          </w:p>
          <w:p w14:paraId="4642E179" w14:textId="77777777" w:rsidR="00DD13BF" w:rsidRPr="00790120" w:rsidRDefault="00DD13BF" w:rsidP="00355A56">
            <w:pPr>
              <w:rPr>
                <w:rFonts w:eastAsia="Calibri"/>
              </w:rPr>
            </w:pPr>
          </w:p>
        </w:tc>
        <w:tc>
          <w:tcPr>
            <w:tcW w:w="1134" w:type="dxa"/>
            <w:vMerge w:val="restart"/>
          </w:tcPr>
          <w:p w14:paraId="0ED0C859"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7AA2B0FB" w14:textId="77777777" w:rsidR="00DD13BF" w:rsidRPr="00790120" w:rsidRDefault="00DD13BF" w:rsidP="00355A56">
            <w:pPr>
              <w:widowControl/>
              <w:autoSpaceDE/>
              <w:autoSpaceDN/>
              <w:jc w:val="center"/>
              <w:rPr>
                <w:rFonts w:eastAsia="Calibri"/>
              </w:rPr>
            </w:pPr>
            <w:r>
              <w:t>A strategic policy framework for active labour market policies in the light of the Employment guidelines is in place and includes:</w:t>
            </w:r>
          </w:p>
        </w:tc>
      </w:tr>
      <w:tr w:rsidR="00DD13BF" w:rsidRPr="00790120" w14:paraId="4B732D96" w14:textId="77777777" w:rsidTr="00355A56">
        <w:trPr>
          <w:trHeight w:val="353"/>
        </w:trPr>
        <w:tc>
          <w:tcPr>
            <w:tcW w:w="1538" w:type="dxa"/>
            <w:vMerge/>
          </w:tcPr>
          <w:p w14:paraId="34426EAE" w14:textId="77777777" w:rsidR="00DD13BF" w:rsidRPr="00790120" w:rsidRDefault="00DD13BF" w:rsidP="00355A56">
            <w:pPr>
              <w:widowControl/>
              <w:autoSpaceDE/>
              <w:autoSpaceDN/>
              <w:rPr>
                <w:rFonts w:eastAsia="Calibri"/>
              </w:rPr>
            </w:pPr>
          </w:p>
        </w:tc>
        <w:tc>
          <w:tcPr>
            <w:tcW w:w="877" w:type="dxa"/>
            <w:vMerge/>
          </w:tcPr>
          <w:p w14:paraId="739CDA48" w14:textId="77777777" w:rsidR="00DD13BF" w:rsidRPr="00790120" w:rsidRDefault="00DD13BF" w:rsidP="00355A56">
            <w:pPr>
              <w:widowControl/>
              <w:autoSpaceDE/>
              <w:autoSpaceDN/>
              <w:rPr>
                <w:rFonts w:eastAsia="Calibri"/>
              </w:rPr>
            </w:pPr>
          </w:p>
        </w:tc>
        <w:tc>
          <w:tcPr>
            <w:tcW w:w="1985" w:type="dxa"/>
            <w:vMerge/>
          </w:tcPr>
          <w:p w14:paraId="636EEA86" w14:textId="77777777" w:rsidR="00DD13BF" w:rsidRPr="00790120" w:rsidRDefault="00DD13BF" w:rsidP="00355A56">
            <w:pPr>
              <w:widowControl/>
              <w:autoSpaceDE/>
              <w:autoSpaceDN/>
              <w:rPr>
                <w:rFonts w:eastAsia="Calibri"/>
              </w:rPr>
            </w:pPr>
          </w:p>
        </w:tc>
        <w:tc>
          <w:tcPr>
            <w:tcW w:w="1134" w:type="dxa"/>
            <w:vMerge/>
          </w:tcPr>
          <w:p w14:paraId="312805F3" w14:textId="77777777" w:rsidR="00DD13BF" w:rsidRPr="00790120" w:rsidRDefault="00DD13BF" w:rsidP="00355A56">
            <w:pPr>
              <w:widowControl/>
              <w:autoSpaceDE/>
              <w:autoSpaceDN/>
              <w:rPr>
                <w:rFonts w:eastAsia="Calibri"/>
              </w:rPr>
            </w:pPr>
          </w:p>
        </w:tc>
        <w:tc>
          <w:tcPr>
            <w:tcW w:w="1984" w:type="dxa"/>
          </w:tcPr>
          <w:p w14:paraId="67790B00" w14:textId="77777777" w:rsidR="00DD13BF" w:rsidRPr="00790120" w:rsidRDefault="00DD13BF" w:rsidP="00355A56">
            <w:pPr>
              <w:widowControl/>
              <w:autoSpaceDE/>
              <w:autoSpaceDN/>
              <w:rPr>
                <w:rFonts w:eastAsia="Calibri"/>
              </w:rPr>
            </w:pPr>
            <w:r>
              <w:t>1. Arrangements for conducting jobseekers’ profiling and assessment of their needs.</w:t>
            </w:r>
          </w:p>
        </w:tc>
        <w:tc>
          <w:tcPr>
            <w:tcW w:w="709" w:type="dxa"/>
          </w:tcPr>
          <w:p w14:paraId="29A7E308" w14:textId="77777777" w:rsidR="00DD13BF" w:rsidRPr="00790120" w:rsidRDefault="00DD13BF" w:rsidP="00355A56">
            <w:pPr>
              <w:widowControl/>
              <w:autoSpaceDE/>
              <w:autoSpaceDN/>
              <w:rPr>
                <w:rFonts w:eastAsia="Calibri"/>
              </w:rPr>
            </w:pPr>
            <w:r>
              <w:t>Yes</w:t>
            </w:r>
          </w:p>
        </w:tc>
        <w:tc>
          <w:tcPr>
            <w:tcW w:w="2267" w:type="dxa"/>
          </w:tcPr>
          <w:p w14:paraId="28BD7031" w14:textId="77777777" w:rsidR="00DD13BF" w:rsidRPr="00790120" w:rsidRDefault="00DD13BF" w:rsidP="00355A56">
            <w:pPr>
              <w:widowControl/>
              <w:autoSpaceDE/>
              <w:autoSpaceDN/>
              <w:rPr>
                <w:rFonts w:eastAsia="Calibri"/>
              </w:rPr>
            </w:pPr>
            <w:r>
              <w:t xml:space="preserve">1. </w:t>
            </w:r>
            <w:hyperlink r:id="rId168" w:history="1">
              <w:r>
                <w:rPr>
                  <w:color w:val="0563C1"/>
                  <w:u w:val="single"/>
                </w:rPr>
                <w:t>Guidelines for implementing AEP measures 2021–2025</w:t>
              </w:r>
            </w:hyperlink>
            <w:r>
              <w:t xml:space="preserve"> (AEP)</w:t>
            </w:r>
          </w:p>
          <w:p w14:paraId="0685C9D1" w14:textId="77777777" w:rsidR="00DD13BF" w:rsidRPr="00790120" w:rsidRDefault="00DD13BF" w:rsidP="00355A56">
            <w:pPr>
              <w:widowControl/>
              <w:autoSpaceDE/>
              <w:autoSpaceDN/>
              <w:rPr>
                <w:rFonts w:eastAsia="Calibri"/>
              </w:rPr>
            </w:pPr>
          </w:p>
          <w:p w14:paraId="559C0B60" w14:textId="77777777" w:rsidR="00DD13BF" w:rsidRPr="00790120" w:rsidRDefault="00DD13BF" w:rsidP="00355A56">
            <w:pPr>
              <w:widowControl/>
              <w:autoSpaceDE/>
              <w:autoSpaceDN/>
              <w:rPr>
                <w:rFonts w:eastAsia="Calibri"/>
              </w:rPr>
            </w:pPr>
            <w:r>
              <w:t xml:space="preserve">2. </w:t>
            </w:r>
            <w:hyperlink r:id="rId169" w:history="1">
              <w:r>
                <w:rPr>
                  <w:color w:val="0563C1"/>
                  <w:u w:val="single"/>
                </w:rPr>
                <w:t>Labour Market Regulation Act (ZUTD) (pisrs.si)</w:t>
              </w:r>
            </w:hyperlink>
          </w:p>
          <w:p w14:paraId="5E6D4168" w14:textId="77777777" w:rsidR="00DD13BF" w:rsidRPr="00790120" w:rsidRDefault="00DD13BF" w:rsidP="00355A56">
            <w:pPr>
              <w:widowControl/>
              <w:autoSpaceDE/>
              <w:autoSpaceDN/>
              <w:rPr>
                <w:rFonts w:eastAsia="Calibri"/>
              </w:rPr>
            </w:pPr>
          </w:p>
          <w:p w14:paraId="20732353" w14:textId="77777777" w:rsidR="00DD13BF" w:rsidRPr="00790120" w:rsidRDefault="00DD13BF" w:rsidP="00355A56">
            <w:pPr>
              <w:widowControl/>
              <w:autoSpaceDE/>
              <w:autoSpaceDN/>
              <w:rPr>
                <w:rFonts w:eastAsia="Calibri"/>
              </w:rPr>
            </w:pPr>
            <w:r>
              <w:lastRenderedPageBreak/>
              <w:t xml:space="preserve">3. </w:t>
            </w:r>
            <w:hyperlink r:id="rId170" w:history="1">
              <w:r>
                <w:rPr>
                  <w:color w:val="0563C1"/>
                  <w:u w:val="single"/>
                </w:rPr>
                <w:t>Strategy of Employment Service of Slovenia by 2025</w:t>
              </w:r>
            </w:hyperlink>
            <w:r>
              <w:t>, which includes the summary of the strategy). The entire document has not been published.</w:t>
            </w:r>
          </w:p>
        </w:tc>
        <w:tc>
          <w:tcPr>
            <w:tcW w:w="3402" w:type="dxa"/>
          </w:tcPr>
          <w:p w14:paraId="7C1EFA3F" w14:textId="77777777" w:rsidR="00DD13BF" w:rsidRPr="00790120" w:rsidRDefault="00DD13BF" w:rsidP="00355A56">
            <w:pPr>
              <w:widowControl/>
              <w:autoSpaceDE/>
              <w:autoSpaceDN/>
              <w:jc w:val="both"/>
              <w:rPr>
                <w:rFonts w:eastAsia="Calibri"/>
              </w:rPr>
            </w:pPr>
            <w:r>
              <w:lastRenderedPageBreak/>
              <w:t xml:space="preserve">Article 113 of the ZUTD stipulates that an employment plan must be implemented. A more detailed profiling of jobseekers, and individual assessment of goals and needs is carried out by the ZRSZ on the basis of </w:t>
            </w:r>
            <w:hyperlink r:id="rId171" w:history="1">
              <w:r>
                <w:rPr>
                  <w:color w:val="0563C1"/>
                  <w:u w:val="single"/>
                </w:rPr>
                <w:t xml:space="preserve">Rules on the registration in and deregistration from records, the employment plan, rights and </w:t>
              </w:r>
              <w:r>
                <w:rPr>
                  <w:color w:val="0563C1"/>
                  <w:u w:val="single"/>
                </w:rPr>
                <w:lastRenderedPageBreak/>
                <w:t>obligations in seeking employment and overseeing persons registered in the records</w:t>
              </w:r>
            </w:hyperlink>
            <w:r>
              <w:t xml:space="preserve"> (Articles 35–44). This criterion is also partially covered in point 9.2 of the Strategy of ZRSZ by 2025, which was adopted on 22 September 2021. The ZRSZ is preparing additional tools for assessing the needs of jobseekers.</w:t>
            </w:r>
          </w:p>
        </w:tc>
      </w:tr>
      <w:tr w:rsidR="00DD13BF" w:rsidRPr="00790120" w14:paraId="7487C07D" w14:textId="77777777" w:rsidTr="00355A56">
        <w:trPr>
          <w:trHeight w:val="353"/>
        </w:trPr>
        <w:tc>
          <w:tcPr>
            <w:tcW w:w="1538" w:type="dxa"/>
            <w:vMerge/>
          </w:tcPr>
          <w:p w14:paraId="1CA8A025" w14:textId="77777777" w:rsidR="00DD13BF" w:rsidRPr="00790120" w:rsidRDefault="00DD13BF" w:rsidP="00355A56">
            <w:pPr>
              <w:widowControl/>
              <w:autoSpaceDE/>
              <w:autoSpaceDN/>
              <w:rPr>
                <w:rFonts w:eastAsia="Calibri"/>
              </w:rPr>
            </w:pPr>
          </w:p>
        </w:tc>
        <w:tc>
          <w:tcPr>
            <w:tcW w:w="877" w:type="dxa"/>
            <w:vMerge/>
          </w:tcPr>
          <w:p w14:paraId="0C147E51" w14:textId="77777777" w:rsidR="00DD13BF" w:rsidRPr="00790120" w:rsidRDefault="00DD13BF" w:rsidP="00355A56">
            <w:pPr>
              <w:widowControl/>
              <w:autoSpaceDE/>
              <w:autoSpaceDN/>
              <w:rPr>
                <w:rFonts w:eastAsia="Calibri"/>
              </w:rPr>
            </w:pPr>
          </w:p>
        </w:tc>
        <w:tc>
          <w:tcPr>
            <w:tcW w:w="1985" w:type="dxa"/>
            <w:vMerge/>
          </w:tcPr>
          <w:p w14:paraId="093E98DC" w14:textId="77777777" w:rsidR="00DD13BF" w:rsidRPr="00790120" w:rsidRDefault="00DD13BF" w:rsidP="00355A56">
            <w:pPr>
              <w:widowControl/>
              <w:autoSpaceDE/>
              <w:autoSpaceDN/>
              <w:rPr>
                <w:rFonts w:eastAsia="Calibri"/>
              </w:rPr>
            </w:pPr>
          </w:p>
        </w:tc>
        <w:tc>
          <w:tcPr>
            <w:tcW w:w="1134" w:type="dxa"/>
            <w:vMerge/>
          </w:tcPr>
          <w:p w14:paraId="417AE293" w14:textId="77777777" w:rsidR="00DD13BF" w:rsidRPr="00790120" w:rsidRDefault="00DD13BF" w:rsidP="00355A56">
            <w:pPr>
              <w:widowControl/>
              <w:autoSpaceDE/>
              <w:autoSpaceDN/>
              <w:rPr>
                <w:rFonts w:eastAsia="Calibri"/>
              </w:rPr>
            </w:pPr>
          </w:p>
        </w:tc>
        <w:tc>
          <w:tcPr>
            <w:tcW w:w="1984" w:type="dxa"/>
          </w:tcPr>
          <w:p w14:paraId="2252F327" w14:textId="77777777" w:rsidR="00DD13BF" w:rsidRPr="00790120" w:rsidRDefault="00DD13BF" w:rsidP="00355A56">
            <w:pPr>
              <w:widowControl/>
              <w:autoSpaceDE/>
              <w:autoSpaceDN/>
              <w:rPr>
                <w:rFonts w:eastAsia="Calibri"/>
              </w:rPr>
            </w:pPr>
            <w:r>
              <w:t>2. Information on job vacancies and employment opportunities, taking into account the needs of the labour market.</w:t>
            </w:r>
          </w:p>
        </w:tc>
        <w:tc>
          <w:tcPr>
            <w:tcW w:w="709" w:type="dxa"/>
          </w:tcPr>
          <w:p w14:paraId="6346D929" w14:textId="77777777" w:rsidR="00DD13BF" w:rsidRPr="00790120" w:rsidRDefault="00DD13BF" w:rsidP="00355A56">
            <w:pPr>
              <w:widowControl/>
              <w:autoSpaceDE/>
              <w:autoSpaceDN/>
              <w:rPr>
                <w:rFonts w:eastAsia="Calibri"/>
              </w:rPr>
            </w:pPr>
            <w:r>
              <w:t>Yes</w:t>
            </w:r>
          </w:p>
        </w:tc>
        <w:tc>
          <w:tcPr>
            <w:tcW w:w="2267" w:type="dxa"/>
          </w:tcPr>
          <w:p w14:paraId="3005EA5D" w14:textId="77777777" w:rsidR="00DD13BF" w:rsidRPr="00790120" w:rsidRDefault="00425F22" w:rsidP="00355A56">
            <w:pPr>
              <w:widowControl/>
              <w:autoSpaceDE/>
              <w:autoSpaceDN/>
              <w:rPr>
                <w:rFonts w:eastAsia="Calibri"/>
              </w:rPr>
            </w:pPr>
            <w:hyperlink r:id="rId172" w:history="1">
              <w:r w:rsidR="00DD13BF">
                <w:rPr>
                  <w:color w:val="0563C1"/>
                  <w:u w:val="single"/>
                </w:rPr>
                <w:t>Labour Market Regulation Act – ZUTD</w:t>
              </w:r>
            </w:hyperlink>
            <w:r w:rsidR="00DD13BF">
              <w:t xml:space="preserve"> </w:t>
            </w:r>
          </w:p>
          <w:p w14:paraId="6DFCBDE9" w14:textId="77777777" w:rsidR="00DD13BF" w:rsidRPr="00790120" w:rsidRDefault="00DD13BF" w:rsidP="00355A56">
            <w:pPr>
              <w:widowControl/>
              <w:autoSpaceDE/>
              <w:autoSpaceDN/>
              <w:rPr>
                <w:rFonts w:eastAsia="Calibri"/>
              </w:rPr>
            </w:pPr>
          </w:p>
        </w:tc>
        <w:tc>
          <w:tcPr>
            <w:tcW w:w="3402" w:type="dxa"/>
          </w:tcPr>
          <w:p w14:paraId="140E8277" w14:textId="77777777" w:rsidR="00DD13BF" w:rsidRPr="00790120" w:rsidRDefault="00DD13BF" w:rsidP="00355A56">
            <w:pPr>
              <w:widowControl/>
              <w:autoSpaceDE/>
              <w:autoSpaceDN/>
              <w:jc w:val="both"/>
              <w:rPr>
                <w:rFonts w:eastAsia="Calibri"/>
              </w:rPr>
            </w:pPr>
            <w:r>
              <w:t>Article 7 of the ZUTD stipulates that vacancies or types of work must be published by the Employment Service.</w:t>
            </w:r>
          </w:p>
          <w:p w14:paraId="0BAFDB96" w14:textId="77777777" w:rsidR="00DD13BF" w:rsidRPr="00790120" w:rsidRDefault="00DD13BF" w:rsidP="00355A56">
            <w:pPr>
              <w:widowControl/>
              <w:autoSpaceDE/>
              <w:autoSpaceDN/>
              <w:jc w:val="both"/>
              <w:rPr>
                <w:rFonts w:eastAsia="Calibri"/>
              </w:rPr>
            </w:pPr>
            <w:r>
              <w:t>Article 16 in relation to articles 18 and 19 of the ZUTD stipulate that information on job opportunities is provided to unemployed persons.</w:t>
            </w:r>
          </w:p>
        </w:tc>
      </w:tr>
      <w:tr w:rsidR="00DD13BF" w:rsidRPr="00790120" w14:paraId="1C4FEC01" w14:textId="77777777" w:rsidTr="00355A56">
        <w:trPr>
          <w:trHeight w:val="353"/>
        </w:trPr>
        <w:tc>
          <w:tcPr>
            <w:tcW w:w="1538" w:type="dxa"/>
            <w:vMerge/>
          </w:tcPr>
          <w:p w14:paraId="16F061B1" w14:textId="77777777" w:rsidR="00DD13BF" w:rsidRPr="00790120" w:rsidRDefault="00DD13BF" w:rsidP="00355A56">
            <w:pPr>
              <w:widowControl/>
              <w:autoSpaceDE/>
              <w:autoSpaceDN/>
              <w:rPr>
                <w:rFonts w:eastAsia="Calibri"/>
              </w:rPr>
            </w:pPr>
          </w:p>
        </w:tc>
        <w:tc>
          <w:tcPr>
            <w:tcW w:w="877" w:type="dxa"/>
            <w:vMerge/>
          </w:tcPr>
          <w:p w14:paraId="1EE07488" w14:textId="77777777" w:rsidR="00DD13BF" w:rsidRPr="00790120" w:rsidRDefault="00DD13BF" w:rsidP="00355A56">
            <w:pPr>
              <w:widowControl/>
              <w:autoSpaceDE/>
              <w:autoSpaceDN/>
              <w:rPr>
                <w:rFonts w:eastAsia="Calibri"/>
              </w:rPr>
            </w:pPr>
          </w:p>
        </w:tc>
        <w:tc>
          <w:tcPr>
            <w:tcW w:w="1985" w:type="dxa"/>
            <w:vMerge/>
          </w:tcPr>
          <w:p w14:paraId="23E345D9" w14:textId="77777777" w:rsidR="00DD13BF" w:rsidRPr="00790120" w:rsidRDefault="00DD13BF" w:rsidP="00355A56">
            <w:pPr>
              <w:widowControl/>
              <w:autoSpaceDE/>
              <w:autoSpaceDN/>
              <w:rPr>
                <w:rFonts w:eastAsia="Calibri"/>
              </w:rPr>
            </w:pPr>
          </w:p>
        </w:tc>
        <w:tc>
          <w:tcPr>
            <w:tcW w:w="1134" w:type="dxa"/>
            <w:vMerge/>
          </w:tcPr>
          <w:p w14:paraId="60FB5166" w14:textId="77777777" w:rsidR="00DD13BF" w:rsidRPr="00790120" w:rsidRDefault="00DD13BF" w:rsidP="00355A56">
            <w:pPr>
              <w:widowControl/>
              <w:autoSpaceDE/>
              <w:autoSpaceDN/>
              <w:rPr>
                <w:rFonts w:eastAsia="Calibri"/>
              </w:rPr>
            </w:pPr>
          </w:p>
        </w:tc>
        <w:tc>
          <w:tcPr>
            <w:tcW w:w="1984" w:type="dxa"/>
          </w:tcPr>
          <w:p w14:paraId="246E9F68" w14:textId="77777777" w:rsidR="00DD13BF" w:rsidRPr="00790120" w:rsidRDefault="00DD13BF" w:rsidP="00355A56">
            <w:pPr>
              <w:widowControl/>
              <w:autoSpaceDE/>
              <w:autoSpaceDN/>
              <w:rPr>
                <w:rFonts w:eastAsia="Calibri"/>
              </w:rPr>
            </w:pPr>
            <w:r>
              <w:t>3. Arrangements for ensuring that its design, implementation, monitoring and review is conducted in close cooperation with relevant stakeholders.</w:t>
            </w:r>
          </w:p>
        </w:tc>
        <w:tc>
          <w:tcPr>
            <w:tcW w:w="709" w:type="dxa"/>
          </w:tcPr>
          <w:p w14:paraId="42E61B18" w14:textId="77777777" w:rsidR="00DD13BF" w:rsidRPr="00790120" w:rsidRDefault="00DD13BF" w:rsidP="00355A56">
            <w:pPr>
              <w:widowControl/>
              <w:autoSpaceDE/>
              <w:autoSpaceDN/>
              <w:rPr>
                <w:rFonts w:eastAsia="Calibri"/>
              </w:rPr>
            </w:pPr>
            <w:r>
              <w:t>Yes</w:t>
            </w:r>
          </w:p>
        </w:tc>
        <w:tc>
          <w:tcPr>
            <w:tcW w:w="2267" w:type="dxa"/>
          </w:tcPr>
          <w:p w14:paraId="10AA380C" w14:textId="77777777" w:rsidR="00DD13BF" w:rsidRPr="00790120" w:rsidRDefault="00DD13BF" w:rsidP="00355A56">
            <w:pPr>
              <w:widowControl/>
              <w:autoSpaceDE/>
              <w:autoSpaceDN/>
              <w:rPr>
                <w:rFonts w:eastAsia="Calibri"/>
              </w:rPr>
            </w:pPr>
            <w:r>
              <w:t xml:space="preserve">1. </w:t>
            </w:r>
            <w:hyperlink r:id="rId173" w:history="1">
              <w:r>
                <w:rPr>
                  <w:color w:val="0563C1"/>
                  <w:u w:val="single"/>
                </w:rPr>
                <w:t>Guidelines for implementing AEP measures 2021–2025</w:t>
              </w:r>
            </w:hyperlink>
            <w:r>
              <w:t xml:space="preserve"> (AEP)</w:t>
            </w:r>
          </w:p>
          <w:p w14:paraId="6D34CD0B" w14:textId="77777777" w:rsidR="00DD13BF" w:rsidRPr="00790120" w:rsidRDefault="00DD13BF" w:rsidP="00355A56">
            <w:pPr>
              <w:widowControl/>
              <w:autoSpaceDE/>
              <w:autoSpaceDN/>
              <w:rPr>
                <w:rFonts w:eastAsia="Calibri"/>
              </w:rPr>
            </w:pPr>
          </w:p>
          <w:p w14:paraId="1DAB110A" w14:textId="77777777" w:rsidR="00DD13BF" w:rsidRPr="00790120" w:rsidRDefault="00DD13BF" w:rsidP="00355A56">
            <w:pPr>
              <w:widowControl/>
              <w:autoSpaceDE/>
              <w:autoSpaceDN/>
              <w:rPr>
                <w:rFonts w:eastAsia="Calibri"/>
              </w:rPr>
            </w:pPr>
            <w:r>
              <w:t xml:space="preserve">2. </w:t>
            </w:r>
            <w:hyperlink r:id="rId174" w:history="1">
              <w:r>
                <w:rPr>
                  <w:color w:val="0563C1"/>
                  <w:u w:val="single"/>
                </w:rPr>
                <w:t>Labour Market Regulation Act – ZUTD</w:t>
              </w:r>
            </w:hyperlink>
            <w:r>
              <w:t xml:space="preserve"> </w:t>
            </w:r>
          </w:p>
          <w:p w14:paraId="46B971CB" w14:textId="77777777" w:rsidR="00DD13BF" w:rsidRPr="00790120" w:rsidRDefault="00DD13BF" w:rsidP="00355A56">
            <w:pPr>
              <w:widowControl/>
              <w:autoSpaceDE/>
              <w:autoSpaceDN/>
              <w:rPr>
                <w:rFonts w:eastAsia="Calibri"/>
              </w:rPr>
            </w:pPr>
          </w:p>
        </w:tc>
        <w:tc>
          <w:tcPr>
            <w:tcW w:w="3402" w:type="dxa"/>
          </w:tcPr>
          <w:p w14:paraId="534F4552" w14:textId="77777777" w:rsidR="00DD13BF" w:rsidRPr="00790120" w:rsidRDefault="00DD13BF" w:rsidP="00355A56">
            <w:pPr>
              <w:widowControl/>
              <w:autoSpaceDE/>
              <w:autoSpaceDN/>
              <w:jc w:val="both"/>
              <w:rPr>
                <w:rFonts w:eastAsia="Calibri"/>
              </w:rPr>
            </w:pPr>
            <w:r>
              <w:t xml:space="preserve">Article 36 of the ZUTD stipulates the bases for implementing AEP measures. The AEP Guidelines for the planning five-year period, which proved reasonable and acceptable in view of the rapidly changing labour market, was adopted by the Government of the Republic of Slovenia on 7 January 2021, after prior consultation with other social partners based on the national development priority and investment programme, and other </w:t>
            </w:r>
            <w:r>
              <w:lastRenderedPageBreak/>
              <w:t>strategic documents of the Republic of Slovenia.</w:t>
            </w:r>
          </w:p>
          <w:p w14:paraId="23234D0F" w14:textId="77777777" w:rsidR="00DD13BF" w:rsidRPr="00790120" w:rsidRDefault="00DD13BF" w:rsidP="00355A56">
            <w:pPr>
              <w:widowControl/>
              <w:autoSpaceDE/>
              <w:autoSpaceDN/>
              <w:jc w:val="both"/>
              <w:rPr>
                <w:rFonts w:eastAsia="Calibri"/>
              </w:rPr>
            </w:pPr>
            <w:r>
              <w:t>The AEP plan is prepared on the basis of the AEP Guidelines for the budget period adopted by the Government of the Republic of Slovenia at the proposal of the MDDSZ. In inter-ministerial coordination, the MDDSZ informs the social partners, who can provide their opinion.</w:t>
            </w:r>
          </w:p>
        </w:tc>
      </w:tr>
      <w:tr w:rsidR="00DD13BF" w:rsidRPr="00790120" w14:paraId="5E972757" w14:textId="77777777" w:rsidTr="00355A56">
        <w:trPr>
          <w:trHeight w:val="353"/>
        </w:trPr>
        <w:tc>
          <w:tcPr>
            <w:tcW w:w="1538" w:type="dxa"/>
            <w:vMerge/>
          </w:tcPr>
          <w:p w14:paraId="411D94A4" w14:textId="77777777" w:rsidR="00DD13BF" w:rsidRPr="00790120" w:rsidRDefault="00DD13BF" w:rsidP="00355A56">
            <w:pPr>
              <w:widowControl/>
              <w:autoSpaceDE/>
              <w:autoSpaceDN/>
              <w:rPr>
                <w:rFonts w:eastAsia="Calibri"/>
              </w:rPr>
            </w:pPr>
          </w:p>
        </w:tc>
        <w:tc>
          <w:tcPr>
            <w:tcW w:w="877" w:type="dxa"/>
            <w:vMerge/>
          </w:tcPr>
          <w:p w14:paraId="26DC2CD9" w14:textId="77777777" w:rsidR="00DD13BF" w:rsidRPr="00790120" w:rsidRDefault="00DD13BF" w:rsidP="00355A56">
            <w:pPr>
              <w:widowControl/>
              <w:autoSpaceDE/>
              <w:autoSpaceDN/>
              <w:rPr>
                <w:rFonts w:eastAsia="Calibri"/>
              </w:rPr>
            </w:pPr>
          </w:p>
        </w:tc>
        <w:tc>
          <w:tcPr>
            <w:tcW w:w="1985" w:type="dxa"/>
            <w:vMerge/>
          </w:tcPr>
          <w:p w14:paraId="67B14F6E" w14:textId="77777777" w:rsidR="00DD13BF" w:rsidRPr="00790120" w:rsidRDefault="00DD13BF" w:rsidP="00355A56">
            <w:pPr>
              <w:widowControl/>
              <w:autoSpaceDE/>
              <w:autoSpaceDN/>
              <w:rPr>
                <w:rFonts w:eastAsia="Calibri"/>
              </w:rPr>
            </w:pPr>
          </w:p>
        </w:tc>
        <w:tc>
          <w:tcPr>
            <w:tcW w:w="1134" w:type="dxa"/>
            <w:vMerge/>
          </w:tcPr>
          <w:p w14:paraId="18411D8F" w14:textId="77777777" w:rsidR="00DD13BF" w:rsidRPr="00790120" w:rsidRDefault="00DD13BF" w:rsidP="00355A56">
            <w:pPr>
              <w:widowControl/>
              <w:autoSpaceDE/>
              <w:autoSpaceDN/>
              <w:rPr>
                <w:rFonts w:eastAsia="Calibri"/>
              </w:rPr>
            </w:pPr>
          </w:p>
        </w:tc>
        <w:tc>
          <w:tcPr>
            <w:tcW w:w="1984" w:type="dxa"/>
          </w:tcPr>
          <w:p w14:paraId="1517AE53" w14:textId="77777777" w:rsidR="00DD13BF" w:rsidRPr="00790120" w:rsidRDefault="00DD13BF" w:rsidP="00355A56">
            <w:pPr>
              <w:widowControl/>
              <w:autoSpaceDE/>
              <w:autoSpaceDN/>
              <w:rPr>
                <w:rFonts w:eastAsia="Calibri"/>
              </w:rPr>
            </w:pPr>
            <w:r>
              <w:t>4. Arrangements for monitoring, evaluation and review of active labour market policies.</w:t>
            </w:r>
          </w:p>
        </w:tc>
        <w:tc>
          <w:tcPr>
            <w:tcW w:w="709" w:type="dxa"/>
          </w:tcPr>
          <w:p w14:paraId="4887628B" w14:textId="77777777" w:rsidR="00DD13BF" w:rsidRPr="00790120" w:rsidRDefault="00DD13BF" w:rsidP="00355A56">
            <w:pPr>
              <w:widowControl/>
              <w:autoSpaceDE/>
              <w:autoSpaceDN/>
              <w:rPr>
                <w:rFonts w:eastAsia="Calibri"/>
              </w:rPr>
            </w:pPr>
            <w:r>
              <w:t>Yes</w:t>
            </w:r>
          </w:p>
        </w:tc>
        <w:tc>
          <w:tcPr>
            <w:tcW w:w="2267" w:type="dxa"/>
          </w:tcPr>
          <w:p w14:paraId="0CDC57C6" w14:textId="77777777" w:rsidR="00DD13BF" w:rsidRPr="00790120" w:rsidRDefault="00DD13BF" w:rsidP="00355A56">
            <w:pPr>
              <w:widowControl/>
              <w:autoSpaceDE/>
              <w:autoSpaceDN/>
              <w:rPr>
                <w:rFonts w:eastAsia="Calibri"/>
              </w:rPr>
            </w:pPr>
            <w:r>
              <w:t xml:space="preserve">1. </w:t>
            </w:r>
            <w:hyperlink r:id="rId175" w:history="1">
              <w:r>
                <w:rPr>
                  <w:color w:val="0563C1"/>
                  <w:u w:val="single"/>
                </w:rPr>
                <w:t>Guidelines for implementing AEP measures 2021–2025</w:t>
              </w:r>
            </w:hyperlink>
            <w:r>
              <w:t xml:space="preserve"> (AEP)</w:t>
            </w:r>
          </w:p>
          <w:p w14:paraId="7C200245" w14:textId="77777777" w:rsidR="00DD13BF" w:rsidRPr="00790120" w:rsidRDefault="00DD13BF" w:rsidP="00355A56">
            <w:pPr>
              <w:widowControl/>
              <w:autoSpaceDE/>
              <w:autoSpaceDN/>
              <w:rPr>
                <w:rFonts w:eastAsia="Calibri"/>
              </w:rPr>
            </w:pPr>
          </w:p>
          <w:p w14:paraId="73040BDF" w14:textId="77777777" w:rsidR="00DD13BF" w:rsidRPr="00790120" w:rsidRDefault="00DD13BF" w:rsidP="00355A56">
            <w:pPr>
              <w:widowControl/>
              <w:autoSpaceDE/>
              <w:autoSpaceDN/>
              <w:rPr>
                <w:rFonts w:eastAsia="Calibri"/>
              </w:rPr>
            </w:pPr>
            <w:r>
              <w:t xml:space="preserve">2. </w:t>
            </w:r>
            <w:hyperlink r:id="rId176" w:history="1">
              <w:r>
                <w:rPr>
                  <w:color w:val="0563C1"/>
                  <w:u w:val="single"/>
                </w:rPr>
                <w:t>Labour Market Regulation Act – ZUTD</w:t>
              </w:r>
            </w:hyperlink>
            <w:r>
              <w:t xml:space="preserve"> </w:t>
            </w:r>
          </w:p>
          <w:p w14:paraId="7D485F1F" w14:textId="77777777" w:rsidR="00DD13BF" w:rsidRPr="00790120" w:rsidRDefault="00DD13BF" w:rsidP="00355A56">
            <w:pPr>
              <w:widowControl/>
              <w:autoSpaceDE/>
              <w:autoSpaceDN/>
              <w:rPr>
                <w:rFonts w:eastAsia="Calibri"/>
              </w:rPr>
            </w:pPr>
          </w:p>
          <w:p w14:paraId="5C7624DE" w14:textId="77777777" w:rsidR="00DD13BF" w:rsidRPr="00790120" w:rsidRDefault="00DD13BF" w:rsidP="00355A56">
            <w:pPr>
              <w:widowControl/>
              <w:autoSpaceDE/>
              <w:autoSpaceDN/>
              <w:rPr>
                <w:rFonts w:eastAsia="Calibri"/>
              </w:rPr>
            </w:pPr>
          </w:p>
          <w:p w14:paraId="3B71352F" w14:textId="77777777" w:rsidR="00DD13BF" w:rsidRPr="00790120" w:rsidRDefault="00DD13BF" w:rsidP="00355A56">
            <w:pPr>
              <w:widowControl/>
              <w:autoSpaceDE/>
              <w:autoSpaceDN/>
              <w:rPr>
                <w:rFonts w:eastAsia="Calibri"/>
              </w:rPr>
            </w:pPr>
          </w:p>
        </w:tc>
        <w:tc>
          <w:tcPr>
            <w:tcW w:w="3402" w:type="dxa"/>
          </w:tcPr>
          <w:p w14:paraId="0112326E" w14:textId="77777777" w:rsidR="00DD13BF" w:rsidRPr="00790120" w:rsidRDefault="00DD13BF" w:rsidP="00355A56">
            <w:pPr>
              <w:widowControl/>
              <w:autoSpaceDE/>
              <w:autoSpaceDN/>
              <w:jc w:val="both"/>
              <w:rPr>
                <w:rFonts w:eastAsia="Calibri"/>
              </w:rPr>
            </w:pPr>
            <w:r>
              <w:t>To monitor and evaluate the effectiveness of the AEP 2021–2025 measures, ten indicators have been defined, which, together with the baseline and target values, are listed separately for each objective.</w:t>
            </w:r>
          </w:p>
          <w:p w14:paraId="32255E15" w14:textId="77777777" w:rsidR="00DD13BF" w:rsidRPr="00790120" w:rsidRDefault="00DD13BF" w:rsidP="00355A56">
            <w:pPr>
              <w:widowControl/>
              <w:autoSpaceDE/>
              <w:autoSpaceDN/>
              <w:jc w:val="both"/>
              <w:rPr>
                <w:rFonts w:eastAsia="Calibri"/>
              </w:rPr>
            </w:pPr>
            <w:r>
              <w:t xml:space="preserve">On the basis of Article 145 of the ZUTD, the MDDSZ annually informs the Government of the Republic of Slovenia and other social partners with a report on the implementation of measures under this act. The reports contain an overview of the situation in the labour market, and a description of individual measures/programmes and their effectiveness. The social partners (the Economic and Social Council) are also informed in </w:t>
            </w:r>
            <w:r>
              <w:lastRenderedPageBreak/>
              <w:t>advance of the report, which is adopted by the Government of the Republic of Slovenia, and can provide their opinion on it.</w:t>
            </w:r>
          </w:p>
        </w:tc>
      </w:tr>
      <w:tr w:rsidR="00DD13BF" w:rsidRPr="00790120" w14:paraId="12347A5C" w14:textId="77777777" w:rsidTr="00355A56">
        <w:trPr>
          <w:trHeight w:val="353"/>
        </w:trPr>
        <w:tc>
          <w:tcPr>
            <w:tcW w:w="1538" w:type="dxa"/>
            <w:vMerge/>
          </w:tcPr>
          <w:p w14:paraId="67CD2688" w14:textId="77777777" w:rsidR="00DD13BF" w:rsidRPr="00790120" w:rsidRDefault="00DD13BF" w:rsidP="00355A56">
            <w:pPr>
              <w:widowControl/>
              <w:autoSpaceDE/>
              <w:autoSpaceDN/>
              <w:rPr>
                <w:rFonts w:eastAsia="Calibri"/>
              </w:rPr>
            </w:pPr>
          </w:p>
        </w:tc>
        <w:tc>
          <w:tcPr>
            <w:tcW w:w="877" w:type="dxa"/>
            <w:vMerge/>
          </w:tcPr>
          <w:p w14:paraId="444C238C" w14:textId="77777777" w:rsidR="00DD13BF" w:rsidRPr="00790120" w:rsidRDefault="00DD13BF" w:rsidP="00355A56">
            <w:pPr>
              <w:widowControl/>
              <w:autoSpaceDE/>
              <w:autoSpaceDN/>
              <w:rPr>
                <w:rFonts w:eastAsia="Calibri"/>
              </w:rPr>
            </w:pPr>
          </w:p>
        </w:tc>
        <w:tc>
          <w:tcPr>
            <w:tcW w:w="1985" w:type="dxa"/>
            <w:vMerge/>
          </w:tcPr>
          <w:p w14:paraId="37FC7A2A" w14:textId="77777777" w:rsidR="00DD13BF" w:rsidRPr="00790120" w:rsidRDefault="00DD13BF" w:rsidP="00355A56">
            <w:pPr>
              <w:widowControl/>
              <w:autoSpaceDE/>
              <w:autoSpaceDN/>
              <w:rPr>
                <w:rFonts w:eastAsia="Calibri"/>
              </w:rPr>
            </w:pPr>
          </w:p>
        </w:tc>
        <w:tc>
          <w:tcPr>
            <w:tcW w:w="1134" w:type="dxa"/>
            <w:vMerge/>
          </w:tcPr>
          <w:p w14:paraId="6BE781F6" w14:textId="77777777" w:rsidR="00DD13BF" w:rsidRPr="00790120" w:rsidRDefault="00DD13BF" w:rsidP="00355A56">
            <w:pPr>
              <w:widowControl/>
              <w:autoSpaceDE/>
              <w:autoSpaceDN/>
              <w:rPr>
                <w:rFonts w:eastAsia="Calibri"/>
              </w:rPr>
            </w:pPr>
          </w:p>
        </w:tc>
        <w:tc>
          <w:tcPr>
            <w:tcW w:w="1984" w:type="dxa"/>
          </w:tcPr>
          <w:p w14:paraId="2B719901" w14:textId="77777777" w:rsidR="00DD13BF" w:rsidRPr="00790120" w:rsidRDefault="00DD13BF" w:rsidP="00355A56">
            <w:pPr>
              <w:widowControl/>
              <w:autoSpaceDE/>
              <w:autoSpaceDN/>
              <w:rPr>
                <w:rFonts w:eastAsia="Calibri"/>
              </w:rPr>
            </w:pPr>
            <w:r>
              <w:t>5. For youth employment interventions, evidence-based and targeted pathways towards young people not in employment,</w:t>
            </w:r>
          </w:p>
          <w:p w14:paraId="40077EB9" w14:textId="77777777" w:rsidR="00DD13BF" w:rsidRPr="00790120" w:rsidRDefault="00DD13BF" w:rsidP="00355A56">
            <w:pPr>
              <w:widowControl/>
              <w:autoSpaceDE/>
              <w:autoSpaceDN/>
              <w:rPr>
                <w:rFonts w:eastAsia="Calibri"/>
              </w:rPr>
            </w:pPr>
            <w:r>
              <w:t>education or training including outreach measures based on quality requirements,</w:t>
            </w:r>
          </w:p>
          <w:p w14:paraId="7A95645B" w14:textId="77777777" w:rsidR="00DD13BF" w:rsidRPr="00790120" w:rsidRDefault="00DD13BF" w:rsidP="00355A56">
            <w:pPr>
              <w:widowControl/>
              <w:autoSpaceDE/>
              <w:autoSpaceDN/>
              <w:rPr>
                <w:rFonts w:eastAsia="Calibri"/>
              </w:rPr>
            </w:pPr>
            <w:r>
              <w:t>taking into account criteria for quality apprenticeships and traineeships, including in</w:t>
            </w:r>
          </w:p>
          <w:p w14:paraId="5037FF81" w14:textId="77777777" w:rsidR="00DD13BF" w:rsidRPr="00790120" w:rsidRDefault="00DD13BF" w:rsidP="00355A56">
            <w:pPr>
              <w:widowControl/>
              <w:autoSpaceDE/>
              <w:autoSpaceDN/>
              <w:rPr>
                <w:rFonts w:eastAsia="Calibri"/>
              </w:rPr>
            </w:pPr>
            <w:r>
              <w:t>the context of Youth Guarantee schemes implementation.</w:t>
            </w:r>
          </w:p>
        </w:tc>
        <w:tc>
          <w:tcPr>
            <w:tcW w:w="709" w:type="dxa"/>
          </w:tcPr>
          <w:p w14:paraId="0F51C8DD" w14:textId="77777777" w:rsidR="00DD13BF" w:rsidRPr="00790120" w:rsidRDefault="00DD13BF" w:rsidP="00355A56">
            <w:pPr>
              <w:widowControl/>
              <w:autoSpaceDE/>
              <w:autoSpaceDN/>
              <w:rPr>
                <w:rFonts w:eastAsia="Calibri"/>
              </w:rPr>
            </w:pPr>
            <w:r>
              <w:t>Yes</w:t>
            </w:r>
          </w:p>
        </w:tc>
        <w:tc>
          <w:tcPr>
            <w:tcW w:w="2267" w:type="dxa"/>
          </w:tcPr>
          <w:p w14:paraId="4F938753" w14:textId="77777777" w:rsidR="00DD13BF" w:rsidRPr="00790120" w:rsidRDefault="00DD13BF" w:rsidP="00355A56">
            <w:pPr>
              <w:widowControl/>
              <w:autoSpaceDE/>
              <w:autoSpaceDN/>
              <w:rPr>
                <w:rFonts w:eastAsia="Calibri"/>
              </w:rPr>
            </w:pPr>
            <w:r>
              <w:t xml:space="preserve">1. </w:t>
            </w:r>
            <w:hyperlink r:id="rId177" w:history="1">
              <w:r>
                <w:rPr>
                  <w:color w:val="0563C1"/>
                  <w:u w:val="single"/>
                </w:rPr>
                <w:t>Guidelines for implementing AEP measures 2021–2025</w:t>
              </w:r>
            </w:hyperlink>
            <w:r>
              <w:t xml:space="preserve"> (AEP)</w:t>
            </w:r>
          </w:p>
          <w:p w14:paraId="69BB481A" w14:textId="77777777" w:rsidR="00DD13BF" w:rsidRPr="00790120" w:rsidRDefault="00DD13BF" w:rsidP="00355A56">
            <w:pPr>
              <w:widowControl/>
              <w:autoSpaceDE/>
              <w:autoSpaceDN/>
              <w:rPr>
                <w:rFonts w:eastAsia="Calibri"/>
              </w:rPr>
            </w:pPr>
          </w:p>
          <w:p w14:paraId="50C9FC30" w14:textId="77777777" w:rsidR="00DD13BF" w:rsidRPr="00790120" w:rsidRDefault="00DD13BF" w:rsidP="00355A56">
            <w:pPr>
              <w:widowControl/>
              <w:autoSpaceDE/>
              <w:autoSpaceDN/>
              <w:rPr>
                <w:rFonts w:eastAsia="Calibri"/>
              </w:rPr>
            </w:pPr>
            <w:r>
              <w:t xml:space="preserve">2. </w:t>
            </w:r>
            <w:hyperlink r:id="rId178" w:history="1">
              <w:r>
                <w:rPr>
                  <w:color w:val="0563C1"/>
                  <w:u w:val="single"/>
                </w:rPr>
                <w:t>National Programme for Youth 2013–2022</w:t>
              </w:r>
            </w:hyperlink>
          </w:p>
          <w:p w14:paraId="6FDCA91B" w14:textId="77777777" w:rsidR="00DD13BF" w:rsidRPr="00790120" w:rsidRDefault="00DD13BF" w:rsidP="00355A56">
            <w:pPr>
              <w:widowControl/>
              <w:autoSpaceDE/>
              <w:autoSpaceDN/>
              <w:rPr>
                <w:rFonts w:eastAsia="Calibri"/>
              </w:rPr>
            </w:pPr>
          </w:p>
          <w:p w14:paraId="7F5071AF" w14:textId="77777777" w:rsidR="00DD13BF" w:rsidRPr="00790120" w:rsidRDefault="00DD13BF" w:rsidP="00355A56">
            <w:pPr>
              <w:widowControl/>
              <w:autoSpaceDE/>
              <w:autoSpaceDN/>
              <w:rPr>
                <w:rFonts w:eastAsia="Calibri"/>
              </w:rPr>
            </w:pPr>
            <w:r>
              <w:t xml:space="preserve">3. </w:t>
            </w:r>
            <w:hyperlink r:id="rId179" w:history="1">
              <w:r>
                <w:rPr>
                  <w:color w:val="0563C1"/>
                  <w:u w:val="single"/>
                </w:rPr>
                <w:t>Public Interest in Youth Sector Act</w:t>
              </w:r>
            </w:hyperlink>
          </w:p>
        </w:tc>
        <w:tc>
          <w:tcPr>
            <w:tcW w:w="3402" w:type="dxa"/>
          </w:tcPr>
          <w:p w14:paraId="4C263099" w14:textId="77777777" w:rsidR="00DD13BF" w:rsidRPr="00790120" w:rsidRDefault="00DD13BF" w:rsidP="00355A56">
            <w:pPr>
              <w:widowControl/>
              <w:autoSpaceDE/>
              <w:autoSpaceDN/>
              <w:jc w:val="both"/>
              <w:rPr>
                <w:rFonts w:eastAsia="Calibri"/>
              </w:rPr>
            </w:pPr>
            <w:r>
              <w:t>Youth Guarantee is now part of the AEP Guidelines and one of the main objectives in the AEP implementation between 2021 and 2025. Objective 3 of the AEP Guidelines addresses a rapid activation of young people, particularly NEET, in the labour market.</w:t>
            </w:r>
          </w:p>
          <w:p w14:paraId="70233851" w14:textId="77777777" w:rsidR="00DD13BF" w:rsidRPr="00790120" w:rsidRDefault="00DD13BF" w:rsidP="00355A56">
            <w:pPr>
              <w:widowControl/>
              <w:autoSpaceDE/>
              <w:autoSpaceDN/>
              <w:jc w:val="both"/>
              <w:rPr>
                <w:rFonts w:eastAsia="Calibri"/>
              </w:rPr>
            </w:pPr>
            <w:r>
              <w:t xml:space="preserve">Preventive and additional activities of the Youth Guarantee, which are not part of the AEP and indirectly affect the successful transition of young people to the labour market, are defined in the </w:t>
            </w:r>
            <w:hyperlink r:id="rId180" w:history="1">
              <w:r>
                <w:rPr>
                  <w:color w:val="0563C1"/>
                  <w:u w:val="single"/>
                </w:rPr>
                <w:t>National Programme for Youth 2013–2022</w:t>
              </w:r>
            </w:hyperlink>
            <w:r>
              <w:t xml:space="preserve">. Pursuant to the provision of Article 16 of the </w:t>
            </w:r>
            <w:hyperlink r:id="rId181" w:history="1">
              <w:r>
                <w:rPr>
                  <w:color w:val="0563C1"/>
                  <w:u w:val="single"/>
                </w:rPr>
                <w:t>Public Interest in Youth Sector Act</w:t>
              </w:r>
            </w:hyperlink>
            <w:r>
              <w:t>, a new programme for the next nine years will be drafted, which will contain a new activity framework. For young people, including those who support the Youth Guarantee activities.</w:t>
            </w:r>
          </w:p>
        </w:tc>
      </w:tr>
      <w:tr w:rsidR="00DD13BF" w:rsidRPr="00790120" w14:paraId="5DD375EA" w14:textId="77777777" w:rsidTr="00355A56">
        <w:trPr>
          <w:trHeight w:val="353"/>
        </w:trPr>
        <w:tc>
          <w:tcPr>
            <w:tcW w:w="1538" w:type="dxa"/>
            <w:vMerge w:val="restart"/>
          </w:tcPr>
          <w:p w14:paraId="0246C383" w14:textId="77777777" w:rsidR="00DD13BF" w:rsidRPr="00790120" w:rsidRDefault="00DD13BF" w:rsidP="00355A56">
            <w:pPr>
              <w:widowControl/>
              <w:autoSpaceDE/>
              <w:autoSpaceDN/>
              <w:rPr>
                <w:rFonts w:eastAsia="Calibri"/>
              </w:rPr>
            </w:pPr>
            <w:r>
              <w:t xml:space="preserve">4.3 Strategic policy </w:t>
            </w:r>
            <w:r>
              <w:lastRenderedPageBreak/>
              <w:t>framework for the</w:t>
            </w:r>
          </w:p>
          <w:p w14:paraId="6FC732E2" w14:textId="77777777" w:rsidR="00DD13BF" w:rsidRPr="00790120" w:rsidRDefault="00DD13BF" w:rsidP="00355A56">
            <w:pPr>
              <w:widowControl/>
              <w:autoSpaceDE/>
              <w:autoSpaceDN/>
              <w:rPr>
                <w:rFonts w:eastAsia="Calibri"/>
              </w:rPr>
            </w:pPr>
            <w:r>
              <w:t>education and</w:t>
            </w:r>
          </w:p>
          <w:p w14:paraId="47F7EE15" w14:textId="77777777" w:rsidR="00DD13BF" w:rsidRPr="00790120" w:rsidRDefault="00DD13BF" w:rsidP="00355A56">
            <w:pPr>
              <w:widowControl/>
              <w:autoSpaceDE/>
              <w:autoSpaceDN/>
              <w:rPr>
                <w:rFonts w:eastAsia="Calibri"/>
              </w:rPr>
            </w:pPr>
            <w:r>
              <w:t>training system at</w:t>
            </w:r>
          </w:p>
          <w:p w14:paraId="0D756E47" w14:textId="77777777" w:rsidR="00DD13BF" w:rsidRPr="00790120" w:rsidRDefault="00DD13BF" w:rsidP="00355A56">
            <w:pPr>
              <w:widowControl/>
              <w:autoSpaceDE/>
              <w:autoSpaceDN/>
              <w:rPr>
                <w:rFonts w:eastAsia="Calibri"/>
              </w:rPr>
            </w:pPr>
            <w:r>
              <w:t>all levels.</w:t>
            </w:r>
          </w:p>
        </w:tc>
        <w:tc>
          <w:tcPr>
            <w:tcW w:w="877" w:type="dxa"/>
            <w:vMerge w:val="restart"/>
          </w:tcPr>
          <w:p w14:paraId="6D145AAE" w14:textId="77777777" w:rsidR="00DD13BF" w:rsidRPr="00790120" w:rsidRDefault="00DD13BF" w:rsidP="00355A56">
            <w:pPr>
              <w:widowControl/>
              <w:autoSpaceDE/>
              <w:autoSpaceDN/>
              <w:rPr>
                <w:rFonts w:eastAsia="Calibri"/>
              </w:rPr>
            </w:pPr>
            <w:r>
              <w:lastRenderedPageBreak/>
              <w:t>ERDF</w:t>
            </w:r>
          </w:p>
          <w:p w14:paraId="40E7AA97" w14:textId="77777777" w:rsidR="00DD13BF" w:rsidRPr="00790120" w:rsidRDefault="00DD13BF" w:rsidP="00355A56">
            <w:pPr>
              <w:widowControl/>
              <w:autoSpaceDE/>
              <w:autoSpaceDN/>
              <w:rPr>
                <w:rFonts w:eastAsia="Calibri"/>
              </w:rPr>
            </w:pPr>
          </w:p>
          <w:p w14:paraId="1288338E" w14:textId="77777777" w:rsidR="00DD13BF" w:rsidRPr="00790120" w:rsidRDefault="00DD13BF" w:rsidP="00355A56">
            <w:pPr>
              <w:widowControl/>
              <w:autoSpaceDE/>
              <w:autoSpaceDN/>
              <w:rPr>
                <w:rFonts w:eastAsia="Calibri"/>
              </w:rPr>
            </w:pPr>
          </w:p>
          <w:p w14:paraId="0E2E9A1E" w14:textId="77777777" w:rsidR="00DD13BF" w:rsidRPr="00790120" w:rsidRDefault="00DD13BF" w:rsidP="00355A56">
            <w:pPr>
              <w:widowControl/>
              <w:autoSpaceDE/>
              <w:autoSpaceDN/>
              <w:rPr>
                <w:rFonts w:eastAsia="Calibri"/>
              </w:rPr>
            </w:pPr>
          </w:p>
          <w:p w14:paraId="2CDB27F9" w14:textId="77777777" w:rsidR="00DD13BF" w:rsidRPr="00790120" w:rsidRDefault="00DD13BF" w:rsidP="00355A56">
            <w:pPr>
              <w:widowControl/>
              <w:autoSpaceDE/>
              <w:autoSpaceDN/>
              <w:rPr>
                <w:rFonts w:eastAsia="Calibri"/>
              </w:rPr>
            </w:pPr>
          </w:p>
          <w:p w14:paraId="6E994256" w14:textId="77777777" w:rsidR="00DD13BF" w:rsidRPr="00790120" w:rsidRDefault="00DD13BF" w:rsidP="00355A56">
            <w:pPr>
              <w:widowControl/>
              <w:autoSpaceDE/>
              <w:autoSpaceDN/>
              <w:rPr>
                <w:rFonts w:eastAsia="Calibri"/>
              </w:rPr>
            </w:pPr>
          </w:p>
          <w:p w14:paraId="0892D701" w14:textId="77777777" w:rsidR="00DD13BF" w:rsidRPr="00790120" w:rsidRDefault="00DD13BF" w:rsidP="00355A56">
            <w:pPr>
              <w:widowControl/>
              <w:autoSpaceDE/>
              <w:autoSpaceDN/>
              <w:rPr>
                <w:rFonts w:eastAsia="Calibri"/>
              </w:rPr>
            </w:pPr>
          </w:p>
          <w:p w14:paraId="044EFB49" w14:textId="77777777" w:rsidR="00DD13BF" w:rsidRPr="00790120" w:rsidRDefault="00DD13BF" w:rsidP="00355A56">
            <w:pPr>
              <w:widowControl/>
              <w:autoSpaceDE/>
              <w:autoSpaceDN/>
              <w:rPr>
                <w:rFonts w:eastAsia="Calibri"/>
              </w:rPr>
            </w:pPr>
          </w:p>
          <w:p w14:paraId="650AE2A7" w14:textId="77777777" w:rsidR="00DD13BF" w:rsidRPr="00790120" w:rsidRDefault="00DD13BF" w:rsidP="00355A56">
            <w:pPr>
              <w:widowControl/>
              <w:autoSpaceDE/>
              <w:autoSpaceDN/>
              <w:rPr>
                <w:rFonts w:eastAsia="Calibri"/>
              </w:rPr>
            </w:pPr>
          </w:p>
          <w:p w14:paraId="6DA61747" w14:textId="77777777" w:rsidR="00DD13BF" w:rsidRPr="00790120" w:rsidRDefault="00DD13BF" w:rsidP="00355A56">
            <w:pPr>
              <w:widowControl/>
              <w:autoSpaceDE/>
              <w:autoSpaceDN/>
              <w:rPr>
                <w:rFonts w:eastAsia="Calibri"/>
              </w:rPr>
            </w:pPr>
          </w:p>
          <w:p w14:paraId="17D7ED3D" w14:textId="77777777" w:rsidR="00DD13BF" w:rsidRPr="00790120" w:rsidRDefault="00DD13BF" w:rsidP="00355A56">
            <w:pPr>
              <w:widowControl/>
              <w:autoSpaceDE/>
              <w:autoSpaceDN/>
              <w:rPr>
                <w:rFonts w:eastAsia="Calibri"/>
              </w:rPr>
            </w:pPr>
          </w:p>
          <w:p w14:paraId="51B50D1C" w14:textId="77777777" w:rsidR="00DD13BF" w:rsidRPr="00790120" w:rsidRDefault="00DD13BF" w:rsidP="00355A56">
            <w:pPr>
              <w:widowControl/>
              <w:autoSpaceDE/>
              <w:autoSpaceDN/>
              <w:rPr>
                <w:rFonts w:eastAsia="Calibri"/>
              </w:rPr>
            </w:pPr>
          </w:p>
          <w:p w14:paraId="29C4BDBF" w14:textId="77777777" w:rsidR="00DD13BF" w:rsidRPr="00790120" w:rsidRDefault="00DD13BF" w:rsidP="00355A56">
            <w:pPr>
              <w:widowControl/>
              <w:autoSpaceDE/>
              <w:autoSpaceDN/>
              <w:rPr>
                <w:rFonts w:eastAsia="Calibri"/>
              </w:rPr>
            </w:pPr>
          </w:p>
          <w:p w14:paraId="7BB0024E" w14:textId="77777777" w:rsidR="00DD13BF" w:rsidRPr="00790120" w:rsidRDefault="00DD13BF" w:rsidP="00355A56">
            <w:pPr>
              <w:widowControl/>
              <w:autoSpaceDE/>
              <w:autoSpaceDN/>
              <w:rPr>
                <w:rFonts w:eastAsia="Calibri"/>
              </w:rPr>
            </w:pPr>
          </w:p>
          <w:p w14:paraId="2A5553D6" w14:textId="77777777" w:rsidR="00DD13BF" w:rsidRPr="00790120" w:rsidRDefault="00DD13BF" w:rsidP="00355A56">
            <w:pPr>
              <w:widowControl/>
              <w:autoSpaceDE/>
              <w:autoSpaceDN/>
              <w:rPr>
                <w:rFonts w:eastAsia="Calibri"/>
              </w:rPr>
            </w:pPr>
          </w:p>
          <w:p w14:paraId="267E08FE" w14:textId="77777777" w:rsidR="00DD13BF" w:rsidRDefault="00DD13BF" w:rsidP="00355A56">
            <w:pPr>
              <w:widowControl/>
              <w:autoSpaceDE/>
              <w:autoSpaceDN/>
              <w:rPr>
                <w:rFonts w:eastAsia="Calibri"/>
              </w:rPr>
            </w:pPr>
          </w:p>
          <w:p w14:paraId="4C2BC05B" w14:textId="77777777" w:rsidR="00DD13BF" w:rsidRDefault="00DD13BF" w:rsidP="00355A56">
            <w:pPr>
              <w:widowControl/>
              <w:autoSpaceDE/>
              <w:autoSpaceDN/>
              <w:rPr>
                <w:rFonts w:eastAsia="Calibri"/>
              </w:rPr>
            </w:pPr>
          </w:p>
          <w:p w14:paraId="457F32DB" w14:textId="77777777" w:rsidR="00DD13BF" w:rsidRDefault="00DD13BF" w:rsidP="00355A56">
            <w:pPr>
              <w:widowControl/>
              <w:autoSpaceDE/>
              <w:autoSpaceDN/>
              <w:rPr>
                <w:rFonts w:eastAsia="Calibri"/>
              </w:rPr>
            </w:pPr>
          </w:p>
          <w:p w14:paraId="3BCEE68F" w14:textId="77777777" w:rsidR="00DD13BF" w:rsidRDefault="00DD13BF" w:rsidP="00355A56">
            <w:pPr>
              <w:widowControl/>
              <w:autoSpaceDE/>
              <w:autoSpaceDN/>
              <w:rPr>
                <w:rFonts w:eastAsia="Calibri"/>
              </w:rPr>
            </w:pPr>
          </w:p>
          <w:p w14:paraId="0B6FBE1D" w14:textId="77777777" w:rsidR="00DD13BF" w:rsidRDefault="00DD13BF" w:rsidP="00355A56">
            <w:pPr>
              <w:widowControl/>
              <w:autoSpaceDE/>
              <w:autoSpaceDN/>
              <w:rPr>
                <w:rFonts w:eastAsia="Calibri"/>
              </w:rPr>
            </w:pPr>
          </w:p>
          <w:p w14:paraId="58DD20EC" w14:textId="77777777" w:rsidR="00DD13BF" w:rsidRPr="00790120" w:rsidRDefault="00DD13BF" w:rsidP="00355A56">
            <w:pPr>
              <w:widowControl/>
              <w:autoSpaceDE/>
              <w:autoSpaceDN/>
              <w:rPr>
                <w:rFonts w:eastAsia="Calibri"/>
              </w:rPr>
            </w:pPr>
            <w:r>
              <w:t>ESF+</w:t>
            </w:r>
          </w:p>
        </w:tc>
        <w:tc>
          <w:tcPr>
            <w:tcW w:w="1985" w:type="dxa"/>
            <w:vMerge w:val="restart"/>
          </w:tcPr>
          <w:p w14:paraId="3644D507" w14:textId="77777777" w:rsidR="00DD13BF" w:rsidRPr="00790120" w:rsidRDefault="00DD13BF" w:rsidP="00355A56">
            <w:pPr>
              <w:widowControl/>
              <w:autoSpaceDE/>
              <w:autoSpaceDN/>
              <w:rPr>
                <w:rFonts w:eastAsia="Calibri"/>
              </w:rPr>
            </w:pPr>
            <w:r>
              <w:lastRenderedPageBreak/>
              <w:t xml:space="preserve">RSO4.2: Improving equal access to </w:t>
            </w:r>
            <w:r>
              <w:lastRenderedPageBreak/>
              <w:t>inclusive and quality services in education, training and lifelong learning through developing accessible infrastructure, including by fostering resilience for distance and on-line education and training</w:t>
            </w:r>
          </w:p>
          <w:p w14:paraId="09AD387A" w14:textId="77777777" w:rsidR="00DD13BF" w:rsidRPr="00790120" w:rsidRDefault="00DD13BF" w:rsidP="00355A56">
            <w:pPr>
              <w:widowControl/>
              <w:autoSpaceDE/>
              <w:autoSpaceDN/>
              <w:rPr>
                <w:rFonts w:eastAsia="Calibri"/>
              </w:rPr>
            </w:pPr>
          </w:p>
          <w:p w14:paraId="555C4602" w14:textId="77777777" w:rsidR="00DD13BF" w:rsidRPr="00790120" w:rsidRDefault="00DD13BF" w:rsidP="00355A56">
            <w:pPr>
              <w:widowControl/>
              <w:autoSpaceDE/>
              <w:autoSpaceDN/>
              <w:rPr>
                <w:rFonts w:eastAsia="Calibri"/>
              </w:rPr>
            </w:pPr>
            <w:r>
              <w:t>ESO4.5: Improving the quality,</w:t>
            </w:r>
          </w:p>
          <w:p w14:paraId="4FF6A294" w14:textId="77777777" w:rsidR="00DD13BF" w:rsidRPr="00790120" w:rsidRDefault="00DD13BF" w:rsidP="00355A56">
            <w:pPr>
              <w:widowControl/>
              <w:autoSpaceDE/>
              <w:autoSpaceDN/>
              <w:rPr>
                <w:rFonts w:eastAsia="Calibri"/>
              </w:rPr>
            </w:pPr>
            <w:r>
              <w:t>inclusiveness, effectiveness and</w:t>
            </w:r>
          </w:p>
          <w:p w14:paraId="43C7D82A" w14:textId="77777777" w:rsidR="00DD13BF" w:rsidRPr="00790120" w:rsidRDefault="00DD13BF" w:rsidP="00355A56">
            <w:pPr>
              <w:widowControl/>
              <w:autoSpaceDE/>
              <w:autoSpaceDN/>
              <w:rPr>
                <w:rFonts w:eastAsia="Calibri"/>
              </w:rPr>
            </w:pPr>
            <w:r>
              <w:t>labour market relevance of</w:t>
            </w:r>
          </w:p>
          <w:p w14:paraId="64BC9946" w14:textId="77777777" w:rsidR="00DD13BF" w:rsidRPr="00790120" w:rsidRDefault="00DD13BF" w:rsidP="00355A56">
            <w:pPr>
              <w:widowControl/>
              <w:autoSpaceDE/>
              <w:autoSpaceDN/>
              <w:rPr>
                <w:rFonts w:eastAsia="Calibri"/>
              </w:rPr>
            </w:pPr>
            <w:r>
              <w:t>education and training systems</w:t>
            </w:r>
          </w:p>
          <w:p w14:paraId="3251005A" w14:textId="77777777" w:rsidR="00DD13BF" w:rsidRPr="00790120" w:rsidRDefault="00DD13BF" w:rsidP="00355A56">
            <w:pPr>
              <w:widowControl/>
              <w:autoSpaceDE/>
              <w:autoSpaceDN/>
              <w:rPr>
                <w:rFonts w:eastAsia="Calibri"/>
              </w:rPr>
            </w:pPr>
            <w:r>
              <w:t>including through validation of non-formal and</w:t>
            </w:r>
          </w:p>
          <w:p w14:paraId="68874214" w14:textId="77777777" w:rsidR="00DD13BF" w:rsidRPr="00790120" w:rsidRDefault="00DD13BF" w:rsidP="00355A56">
            <w:pPr>
              <w:widowControl/>
              <w:autoSpaceDE/>
              <w:autoSpaceDN/>
              <w:rPr>
                <w:rFonts w:eastAsia="Calibri"/>
              </w:rPr>
            </w:pPr>
            <w:r>
              <w:t>informal learning, to support acquisition of key</w:t>
            </w:r>
          </w:p>
          <w:p w14:paraId="27FEDAC0" w14:textId="77777777" w:rsidR="00DD13BF" w:rsidRPr="00790120" w:rsidRDefault="00DD13BF" w:rsidP="00355A56">
            <w:pPr>
              <w:widowControl/>
              <w:autoSpaceDE/>
              <w:autoSpaceDN/>
              <w:rPr>
                <w:rFonts w:eastAsia="Calibri"/>
              </w:rPr>
            </w:pPr>
            <w:r>
              <w:t xml:space="preserve">competences including </w:t>
            </w:r>
            <w:r>
              <w:lastRenderedPageBreak/>
              <w:t xml:space="preserve">entrepreneurial and digital skills, and by promoting the introduction of dual-training systems and apprenticeships </w:t>
            </w:r>
          </w:p>
          <w:p w14:paraId="771AB749" w14:textId="77777777" w:rsidR="00DD13BF" w:rsidRPr="00790120" w:rsidRDefault="00DD13BF" w:rsidP="00355A56">
            <w:pPr>
              <w:widowControl/>
              <w:autoSpaceDE/>
              <w:autoSpaceDN/>
              <w:rPr>
                <w:rFonts w:eastAsia="Calibri"/>
              </w:rPr>
            </w:pPr>
          </w:p>
          <w:p w14:paraId="56F66CEB" w14:textId="77777777" w:rsidR="00DD13BF" w:rsidRPr="00790120" w:rsidRDefault="00DD13BF" w:rsidP="00355A56">
            <w:pPr>
              <w:widowControl/>
              <w:autoSpaceDE/>
              <w:autoSpaceDN/>
              <w:rPr>
                <w:rFonts w:eastAsia="Calibri"/>
              </w:rPr>
            </w:pPr>
            <w:r>
              <w:t>ESO4.7: Promoting lifelong learning, in particular flexible upskilling and reskilling opportunities for all taking into account entrepreneurial and digital skills, better anticipating change and new skills requirements based on labour market needs, facilitating career transitions and promoting professional mobility</w:t>
            </w:r>
          </w:p>
        </w:tc>
        <w:tc>
          <w:tcPr>
            <w:tcW w:w="1134" w:type="dxa"/>
            <w:vMerge w:val="restart"/>
          </w:tcPr>
          <w:p w14:paraId="46BD67E2"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6B47343F" w14:textId="77777777" w:rsidR="00DD13BF" w:rsidRPr="00790120" w:rsidRDefault="00DD13BF" w:rsidP="00355A56">
            <w:pPr>
              <w:widowControl/>
              <w:autoSpaceDE/>
              <w:autoSpaceDN/>
              <w:jc w:val="center"/>
              <w:rPr>
                <w:rFonts w:eastAsia="Calibri"/>
              </w:rPr>
            </w:pPr>
            <w:r>
              <w:t>A national or regional strategic policy framework for</w:t>
            </w:r>
          </w:p>
          <w:p w14:paraId="25AC4B5A" w14:textId="77777777" w:rsidR="00DD13BF" w:rsidRPr="00790120" w:rsidRDefault="00DD13BF" w:rsidP="00355A56">
            <w:pPr>
              <w:widowControl/>
              <w:autoSpaceDE/>
              <w:autoSpaceDN/>
              <w:jc w:val="center"/>
              <w:rPr>
                <w:rFonts w:eastAsia="Calibri"/>
              </w:rPr>
            </w:pPr>
            <w:r>
              <w:t>the education and training system is in place and includes:</w:t>
            </w:r>
          </w:p>
        </w:tc>
      </w:tr>
      <w:tr w:rsidR="00DD13BF" w:rsidRPr="00790120" w14:paraId="569EFE59" w14:textId="77777777" w:rsidTr="00355A56">
        <w:trPr>
          <w:trHeight w:val="353"/>
        </w:trPr>
        <w:tc>
          <w:tcPr>
            <w:tcW w:w="1538" w:type="dxa"/>
            <w:vMerge/>
          </w:tcPr>
          <w:p w14:paraId="145F7105" w14:textId="77777777" w:rsidR="00DD13BF" w:rsidRPr="00790120" w:rsidRDefault="00DD13BF" w:rsidP="00355A56">
            <w:pPr>
              <w:widowControl/>
              <w:autoSpaceDE/>
              <w:autoSpaceDN/>
              <w:rPr>
                <w:rFonts w:eastAsia="Calibri"/>
              </w:rPr>
            </w:pPr>
          </w:p>
        </w:tc>
        <w:tc>
          <w:tcPr>
            <w:tcW w:w="877" w:type="dxa"/>
            <w:vMerge/>
          </w:tcPr>
          <w:p w14:paraId="2C7F8C95" w14:textId="77777777" w:rsidR="00DD13BF" w:rsidRPr="00790120" w:rsidRDefault="00DD13BF" w:rsidP="00355A56">
            <w:pPr>
              <w:widowControl/>
              <w:autoSpaceDE/>
              <w:autoSpaceDN/>
              <w:rPr>
                <w:rFonts w:eastAsia="Calibri"/>
              </w:rPr>
            </w:pPr>
          </w:p>
        </w:tc>
        <w:tc>
          <w:tcPr>
            <w:tcW w:w="1985" w:type="dxa"/>
            <w:vMerge/>
          </w:tcPr>
          <w:p w14:paraId="3440F9B6" w14:textId="77777777" w:rsidR="00DD13BF" w:rsidRPr="00790120" w:rsidRDefault="00DD13BF" w:rsidP="00355A56">
            <w:pPr>
              <w:widowControl/>
              <w:autoSpaceDE/>
              <w:autoSpaceDN/>
              <w:rPr>
                <w:rFonts w:eastAsia="Calibri"/>
              </w:rPr>
            </w:pPr>
          </w:p>
        </w:tc>
        <w:tc>
          <w:tcPr>
            <w:tcW w:w="1134" w:type="dxa"/>
            <w:vMerge/>
          </w:tcPr>
          <w:p w14:paraId="3BB87CD4" w14:textId="77777777" w:rsidR="00DD13BF" w:rsidRPr="00790120" w:rsidRDefault="00DD13BF" w:rsidP="00355A56">
            <w:pPr>
              <w:widowControl/>
              <w:autoSpaceDE/>
              <w:autoSpaceDN/>
              <w:rPr>
                <w:rFonts w:eastAsia="Calibri"/>
              </w:rPr>
            </w:pPr>
          </w:p>
        </w:tc>
        <w:tc>
          <w:tcPr>
            <w:tcW w:w="1984" w:type="dxa"/>
          </w:tcPr>
          <w:p w14:paraId="2F99B652" w14:textId="77777777" w:rsidR="00DD13BF" w:rsidRPr="00790120" w:rsidRDefault="00DD13BF" w:rsidP="00355A56">
            <w:pPr>
              <w:widowControl/>
              <w:autoSpaceDE/>
              <w:autoSpaceDN/>
              <w:rPr>
                <w:rFonts w:eastAsia="Calibri"/>
              </w:rPr>
            </w:pPr>
            <w:r>
              <w:t>1. Evidence-based systems for skills</w:t>
            </w:r>
          </w:p>
          <w:p w14:paraId="36F43172" w14:textId="77777777" w:rsidR="00DD13BF" w:rsidRPr="00790120" w:rsidRDefault="00DD13BF" w:rsidP="00355A56">
            <w:pPr>
              <w:widowControl/>
              <w:autoSpaceDE/>
              <w:autoSpaceDN/>
              <w:rPr>
                <w:rFonts w:eastAsia="Calibri"/>
              </w:rPr>
            </w:pPr>
            <w:r>
              <w:t>anticipation and forecasting.</w:t>
            </w:r>
          </w:p>
        </w:tc>
        <w:tc>
          <w:tcPr>
            <w:tcW w:w="709" w:type="dxa"/>
          </w:tcPr>
          <w:p w14:paraId="5119AB18" w14:textId="77777777" w:rsidR="00DD13BF" w:rsidRPr="00790120" w:rsidRDefault="00DD13BF" w:rsidP="00355A56">
            <w:pPr>
              <w:widowControl/>
              <w:autoSpaceDE/>
              <w:autoSpaceDN/>
              <w:rPr>
                <w:rFonts w:eastAsia="Calibri"/>
              </w:rPr>
            </w:pPr>
            <w:r>
              <w:t>Yes</w:t>
            </w:r>
          </w:p>
        </w:tc>
        <w:tc>
          <w:tcPr>
            <w:tcW w:w="2267" w:type="dxa"/>
          </w:tcPr>
          <w:p w14:paraId="60C598E6" w14:textId="77777777" w:rsidR="00DD13BF" w:rsidRPr="00790120" w:rsidRDefault="00425F22" w:rsidP="00355A56">
            <w:pPr>
              <w:widowControl/>
              <w:autoSpaceDE/>
              <w:autoSpaceDN/>
              <w:rPr>
                <w:rFonts w:eastAsia="Calibri"/>
              </w:rPr>
            </w:pPr>
            <w:hyperlink r:id="rId182" w:history="1">
              <w:r w:rsidR="00DD13BF">
                <w:rPr>
                  <w:color w:val="0563C1"/>
                  <w:u w:val="single"/>
                </w:rPr>
                <w:t>Strategy of Employment Service of Slovenia by 2025</w:t>
              </w:r>
            </w:hyperlink>
            <w:r w:rsidR="00DD13BF">
              <w:t>, which includes the summary of the strategy). The whole document is not published and is attached:</w:t>
            </w:r>
          </w:p>
          <w:p w14:paraId="17879FF3" w14:textId="77777777" w:rsidR="00DD13BF" w:rsidRPr="00790120" w:rsidRDefault="00DD13BF" w:rsidP="00355A56">
            <w:pPr>
              <w:widowControl/>
              <w:autoSpaceDE/>
              <w:autoSpaceDN/>
              <w:rPr>
                <w:rFonts w:eastAsia="Calibri"/>
              </w:rPr>
            </w:pPr>
          </w:p>
          <w:p w14:paraId="490FF270" w14:textId="77777777" w:rsidR="00DD13BF" w:rsidRPr="00790120" w:rsidRDefault="00DD13BF" w:rsidP="00355A56">
            <w:pPr>
              <w:widowControl/>
              <w:autoSpaceDE/>
              <w:autoSpaceDN/>
              <w:rPr>
                <w:rFonts w:eastAsia="Calibri"/>
              </w:rPr>
            </w:pPr>
          </w:p>
          <w:p w14:paraId="03D47F45" w14:textId="77777777" w:rsidR="00DD13BF" w:rsidRPr="00790120" w:rsidRDefault="00DD13BF" w:rsidP="00355A56">
            <w:pPr>
              <w:widowControl/>
              <w:autoSpaceDE/>
              <w:autoSpaceDN/>
              <w:rPr>
                <w:rFonts w:eastAsia="Calibri"/>
              </w:rPr>
            </w:pPr>
          </w:p>
        </w:tc>
        <w:tc>
          <w:tcPr>
            <w:tcW w:w="3402" w:type="dxa"/>
          </w:tcPr>
          <w:p w14:paraId="0A231F9C" w14:textId="77777777" w:rsidR="00DD13BF" w:rsidRPr="00790120" w:rsidRDefault="00DD13BF" w:rsidP="00355A56">
            <w:pPr>
              <w:widowControl/>
              <w:autoSpaceDE/>
              <w:autoSpaceDN/>
              <w:jc w:val="both"/>
              <w:rPr>
                <w:rFonts w:eastAsia="Calibri"/>
              </w:rPr>
            </w:pPr>
            <w:r>
              <w:t>In Slovenia, a system for short-term forecasting of knowledge and skills has already been developed and established (through two projects: “Employment Forecast” (the ZRSZ conducts an employment forecast twice a year to gain insight into labour market trends, assess needs and identify gaps in employment) and “Occupational Barometer” (predicts the labour market supply-demand relationship for the coming year). Medium and long-term forecasting of needs will be partially developed within the framework of the “Skills Forecasting Platform” (Phase 1), which is implemented with the ESF 2014–2020 funds until 2023. Further development (Phase 2) will be carried out in the 2021–2027 period. With the ESF+ funds, the institutional cooperation of key stakeholders for the further development of LLL, LCG, scholarship and employment policies will be established.</w:t>
            </w:r>
          </w:p>
          <w:p w14:paraId="0080573A" w14:textId="77777777" w:rsidR="00DD13BF" w:rsidRPr="00790120" w:rsidRDefault="00DD13BF" w:rsidP="00355A56">
            <w:pPr>
              <w:widowControl/>
              <w:autoSpaceDE/>
              <w:autoSpaceDN/>
              <w:jc w:val="both"/>
              <w:rPr>
                <w:rFonts w:eastAsia="Calibri"/>
              </w:rPr>
            </w:pPr>
            <w:r>
              <w:t xml:space="preserve">In its employment strategy, the ZRSZ plans to develop and implement a new service model by developing digital operations, adapt </w:t>
            </w:r>
            <w:r>
              <w:lastRenderedPageBreak/>
              <w:t>processes and prepare employees for the transition to a new service model, and establish long-term forecasting of labour market needs through a modern employment platform and new digital services.</w:t>
            </w:r>
          </w:p>
        </w:tc>
      </w:tr>
      <w:tr w:rsidR="00DD13BF" w:rsidRPr="00790120" w14:paraId="0053B1CB" w14:textId="77777777" w:rsidTr="00355A56">
        <w:trPr>
          <w:trHeight w:val="353"/>
        </w:trPr>
        <w:tc>
          <w:tcPr>
            <w:tcW w:w="1538" w:type="dxa"/>
            <w:vMerge/>
          </w:tcPr>
          <w:p w14:paraId="2C90719A" w14:textId="77777777" w:rsidR="00DD13BF" w:rsidRPr="00790120" w:rsidRDefault="00DD13BF" w:rsidP="00355A56">
            <w:pPr>
              <w:widowControl/>
              <w:autoSpaceDE/>
              <w:autoSpaceDN/>
              <w:rPr>
                <w:rFonts w:eastAsia="Calibri"/>
              </w:rPr>
            </w:pPr>
          </w:p>
        </w:tc>
        <w:tc>
          <w:tcPr>
            <w:tcW w:w="877" w:type="dxa"/>
            <w:vMerge/>
          </w:tcPr>
          <w:p w14:paraId="3C62FB02" w14:textId="77777777" w:rsidR="00DD13BF" w:rsidRPr="00790120" w:rsidRDefault="00DD13BF" w:rsidP="00355A56">
            <w:pPr>
              <w:widowControl/>
              <w:autoSpaceDE/>
              <w:autoSpaceDN/>
              <w:rPr>
                <w:rFonts w:eastAsia="Calibri"/>
              </w:rPr>
            </w:pPr>
          </w:p>
        </w:tc>
        <w:tc>
          <w:tcPr>
            <w:tcW w:w="1985" w:type="dxa"/>
            <w:vMerge/>
          </w:tcPr>
          <w:p w14:paraId="3C44624E" w14:textId="77777777" w:rsidR="00DD13BF" w:rsidRPr="00790120" w:rsidRDefault="00DD13BF" w:rsidP="00355A56">
            <w:pPr>
              <w:widowControl/>
              <w:autoSpaceDE/>
              <w:autoSpaceDN/>
              <w:rPr>
                <w:rFonts w:eastAsia="Calibri"/>
              </w:rPr>
            </w:pPr>
          </w:p>
        </w:tc>
        <w:tc>
          <w:tcPr>
            <w:tcW w:w="1134" w:type="dxa"/>
            <w:vMerge/>
          </w:tcPr>
          <w:p w14:paraId="267C175D" w14:textId="77777777" w:rsidR="00DD13BF" w:rsidRPr="00790120" w:rsidRDefault="00DD13BF" w:rsidP="00355A56">
            <w:pPr>
              <w:widowControl/>
              <w:autoSpaceDE/>
              <w:autoSpaceDN/>
              <w:rPr>
                <w:rFonts w:eastAsia="Calibri"/>
              </w:rPr>
            </w:pPr>
          </w:p>
        </w:tc>
        <w:tc>
          <w:tcPr>
            <w:tcW w:w="1984" w:type="dxa"/>
          </w:tcPr>
          <w:p w14:paraId="01991A23" w14:textId="77777777" w:rsidR="00DD13BF" w:rsidRPr="00790120" w:rsidRDefault="00DD13BF" w:rsidP="00355A56">
            <w:pPr>
              <w:widowControl/>
              <w:autoSpaceDE/>
              <w:autoSpaceDN/>
              <w:rPr>
                <w:rFonts w:eastAsia="Calibri"/>
              </w:rPr>
            </w:pPr>
            <w:r>
              <w:t>2. Graduate tracking mechanisms and services for quality</w:t>
            </w:r>
          </w:p>
          <w:p w14:paraId="698C71E6" w14:textId="77777777" w:rsidR="00DD13BF" w:rsidRPr="00790120" w:rsidRDefault="00DD13BF" w:rsidP="00355A56">
            <w:pPr>
              <w:widowControl/>
              <w:autoSpaceDE/>
              <w:autoSpaceDN/>
              <w:rPr>
                <w:rFonts w:eastAsia="Calibri"/>
              </w:rPr>
            </w:pPr>
            <w:r>
              <w:t>and effective guidance for learners of all ages.</w:t>
            </w:r>
          </w:p>
        </w:tc>
        <w:tc>
          <w:tcPr>
            <w:tcW w:w="709" w:type="dxa"/>
          </w:tcPr>
          <w:p w14:paraId="4BFA85CF" w14:textId="77777777" w:rsidR="00DD13BF" w:rsidRPr="00790120" w:rsidRDefault="00DD13BF" w:rsidP="00355A56">
            <w:pPr>
              <w:widowControl/>
              <w:autoSpaceDE/>
              <w:autoSpaceDN/>
              <w:rPr>
                <w:rFonts w:eastAsia="Calibri"/>
              </w:rPr>
            </w:pPr>
            <w:r>
              <w:t>Yes</w:t>
            </w:r>
          </w:p>
        </w:tc>
        <w:tc>
          <w:tcPr>
            <w:tcW w:w="2267" w:type="dxa"/>
          </w:tcPr>
          <w:p w14:paraId="64EC21CD" w14:textId="77777777" w:rsidR="00DD13BF" w:rsidRPr="00790120" w:rsidRDefault="00425F22" w:rsidP="00355A56">
            <w:pPr>
              <w:widowControl/>
              <w:autoSpaceDE/>
              <w:autoSpaceDN/>
              <w:rPr>
                <w:rFonts w:eastAsia="Calibri"/>
                <w:color w:val="0563C1"/>
                <w:u w:val="single"/>
              </w:rPr>
            </w:pPr>
            <w:hyperlink r:id="rId183" w:history="1">
              <w:r w:rsidR="00DD13BF">
                <w:rPr>
                  <w:color w:val="0563C1"/>
                  <w:u w:val="single"/>
                </w:rPr>
                <w:t>Organisation and Financing of Education Act</w:t>
              </w:r>
            </w:hyperlink>
            <w:r w:rsidR="00DD13BF">
              <w:rPr>
                <w:color w:val="0563C1"/>
                <w:u w:val="single"/>
              </w:rPr>
              <w:t xml:space="preserve"> (ZOFVI)</w:t>
            </w:r>
          </w:p>
          <w:p w14:paraId="51D999E0" w14:textId="77777777" w:rsidR="00DD13BF" w:rsidRPr="00790120" w:rsidRDefault="00DD13BF" w:rsidP="00355A56">
            <w:pPr>
              <w:widowControl/>
              <w:autoSpaceDE/>
              <w:autoSpaceDN/>
              <w:rPr>
                <w:rFonts w:eastAsia="Calibri"/>
              </w:rPr>
            </w:pPr>
          </w:p>
          <w:p w14:paraId="23F10F80" w14:textId="77777777" w:rsidR="00DD13BF" w:rsidRPr="00790120" w:rsidRDefault="00425F22" w:rsidP="00355A56">
            <w:pPr>
              <w:widowControl/>
              <w:autoSpaceDE/>
              <w:autoSpaceDN/>
              <w:rPr>
                <w:rFonts w:eastAsia="Calibri"/>
                <w:u w:val="single"/>
              </w:rPr>
            </w:pPr>
            <w:hyperlink r:id="rId184" w:history="1">
              <w:r w:rsidR="00DD13BF">
                <w:rPr>
                  <w:color w:val="0563C1"/>
                  <w:u w:val="single"/>
                </w:rPr>
                <w:t>Placement of Children with Special Needs Act</w:t>
              </w:r>
            </w:hyperlink>
          </w:p>
          <w:p w14:paraId="71EC7544" w14:textId="77777777" w:rsidR="00DD13BF" w:rsidRPr="00790120" w:rsidRDefault="00DD13BF" w:rsidP="00355A56">
            <w:pPr>
              <w:widowControl/>
              <w:autoSpaceDE/>
              <w:autoSpaceDN/>
              <w:rPr>
                <w:rFonts w:eastAsia="Calibri"/>
                <w:u w:val="single"/>
              </w:rPr>
            </w:pPr>
          </w:p>
          <w:p w14:paraId="175BB4C1" w14:textId="77777777" w:rsidR="00DD13BF" w:rsidRPr="00790120" w:rsidRDefault="00425F22" w:rsidP="00355A56">
            <w:pPr>
              <w:widowControl/>
              <w:autoSpaceDE/>
              <w:autoSpaceDN/>
              <w:rPr>
                <w:rFonts w:eastAsia="Calibri"/>
                <w:color w:val="0563C1"/>
                <w:u w:val="single"/>
              </w:rPr>
            </w:pPr>
            <w:hyperlink r:id="rId185" w:history="1">
              <w:r w:rsidR="00DD13BF">
                <w:rPr>
                  <w:color w:val="0563C1"/>
                  <w:u w:val="single"/>
                </w:rPr>
                <w:t>Higher Education Act</w:t>
              </w:r>
            </w:hyperlink>
            <w:r w:rsidR="00DD13BF">
              <w:rPr>
                <w:color w:val="0563C1"/>
                <w:u w:val="single"/>
              </w:rPr>
              <w:t xml:space="preserve"> (ZViS)</w:t>
            </w:r>
          </w:p>
          <w:p w14:paraId="34321E1D" w14:textId="77777777" w:rsidR="00DD13BF" w:rsidRPr="00790120" w:rsidRDefault="00DD13BF" w:rsidP="00355A56">
            <w:pPr>
              <w:widowControl/>
              <w:autoSpaceDE/>
              <w:autoSpaceDN/>
              <w:rPr>
                <w:rFonts w:eastAsia="Calibri"/>
                <w:color w:val="0563C1"/>
                <w:u w:val="single"/>
              </w:rPr>
            </w:pPr>
          </w:p>
          <w:p w14:paraId="01BA1BC0" w14:textId="77777777" w:rsidR="00DD13BF" w:rsidRPr="00790120" w:rsidRDefault="00425F22" w:rsidP="00355A56">
            <w:pPr>
              <w:widowControl/>
              <w:autoSpaceDE/>
              <w:autoSpaceDN/>
              <w:rPr>
                <w:rFonts w:eastAsia="Calibri"/>
                <w:color w:val="0563C1"/>
                <w:u w:val="single"/>
              </w:rPr>
            </w:pPr>
            <w:hyperlink r:id="rId186" w:history="1">
              <w:r w:rsidR="00DD13BF">
                <w:rPr>
                  <w:color w:val="0563C1"/>
                  <w:u w:val="single"/>
                </w:rPr>
                <w:t>Adult Education Act</w:t>
              </w:r>
            </w:hyperlink>
            <w:r w:rsidR="00DD13BF">
              <w:rPr>
                <w:color w:val="0563C1"/>
                <w:u w:val="single"/>
              </w:rPr>
              <w:t xml:space="preserve"> (ZIO-1)</w:t>
            </w:r>
          </w:p>
          <w:p w14:paraId="5BC746BA" w14:textId="77777777" w:rsidR="00DD13BF" w:rsidRPr="00790120" w:rsidRDefault="00DD13BF" w:rsidP="00355A56">
            <w:pPr>
              <w:widowControl/>
              <w:autoSpaceDE/>
              <w:autoSpaceDN/>
              <w:rPr>
                <w:rFonts w:eastAsia="Calibri"/>
                <w:color w:val="0563C1"/>
                <w:u w:val="single"/>
              </w:rPr>
            </w:pPr>
          </w:p>
          <w:p w14:paraId="06F12D56" w14:textId="77777777" w:rsidR="00DD13BF" w:rsidRPr="00790120" w:rsidRDefault="00425F22" w:rsidP="00355A56">
            <w:pPr>
              <w:widowControl/>
              <w:autoSpaceDE/>
              <w:autoSpaceDN/>
              <w:rPr>
                <w:rFonts w:eastAsia="Calibri"/>
                <w:color w:val="0563C1"/>
                <w:u w:val="single"/>
              </w:rPr>
            </w:pPr>
            <w:hyperlink r:id="rId187" w:history="1">
              <w:r w:rsidR="00DD13BF">
                <w:rPr>
                  <w:color w:val="0563C1"/>
                  <w:u w:val="single"/>
                </w:rPr>
                <w:t>Strategy of the Republic of Slovenia for short-cycle higher vocational education 2020–2030</w:t>
              </w:r>
            </w:hyperlink>
          </w:p>
          <w:p w14:paraId="6D64E59A" w14:textId="77777777" w:rsidR="00DD13BF" w:rsidRPr="00790120" w:rsidRDefault="00DD13BF" w:rsidP="00355A56">
            <w:pPr>
              <w:widowControl/>
              <w:autoSpaceDE/>
              <w:autoSpaceDN/>
              <w:rPr>
                <w:rFonts w:eastAsia="Calibri"/>
                <w:color w:val="0563C1"/>
                <w:u w:val="single"/>
              </w:rPr>
            </w:pPr>
          </w:p>
          <w:p w14:paraId="52C928F9" w14:textId="77777777" w:rsidR="00DD13BF" w:rsidRPr="00790120" w:rsidRDefault="00425F22" w:rsidP="00355A56">
            <w:pPr>
              <w:widowControl/>
              <w:autoSpaceDE/>
              <w:autoSpaceDN/>
              <w:rPr>
                <w:rFonts w:eastAsia="Calibri"/>
              </w:rPr>
            </w:pPr>
            <w:hyperlink r:id="rId188" w:history="1">
              <w:r w:rsidR="00DD13BF">
                <w:rPr>
                  <w:color w:val="0563C1" w:themeColor="hyperlink"/>
                  <w:u w:val="single"/>
                </w:rPr>
                <w:t>Resolution on National programme of higher education 2030</w:t>
              </w:r>
            </w:hyperlink>
            <w:r w:rsidR="00DD13BF">
              <w:rPr>
                <w:color w:val="0563C1"/>
                <w:u w:val="single"/>
              </w:rPr>
              <w:t xml:space="preserve"> </w:t>
            </w:r>
          </w:p>
          <w:p w14:paraId="0A35C52E" w14:textId="77777777" w:rsidR="00DD13BF" w:rsidRPr="00790120" w:rsidRDefault="00DD13BF" w:rsidP="00355A56">
            <w:pPr>
              <w:widowControl/>
              <w:autoSpaceDE/>
              <w:autoSpaceDN/>
              <w:rPr>
                <w:rFonts w:eastAsia="Calibri"/>
                <w:color w:val="0563C1"/>
                <w:u w:val="single"/>
              </w:rPr>
            </w:pPr>
          </w:p>
          <w:p w14:paraId="4BDA3EB1" w14:textId="77777777" w:rsidR="00DD13BF" w:rsidRPr="00790120" w:rsidRDefault="00425F22" w:rsidP="00355A56">
            <w:hyperlink r:id="rId189" w:history="1">
              <w:r w:rsidR="00DD13BF">
                <w:rPr>
                  <w:color w:val="0563C1"/>
                  <w:u w:val="single"/>
                </w:rPr>
                <w:t>Resolution on the National Programme of Adult Education in the Republic of Slovenia 2022–2030</w:t>
              </w:r>
            </w:hyperlink>
            <w:r w:rsidR="00DD13BF">
              <w:t xml:space="preserve"> </w:t>
            </w:r>
          </w:p>
          <w:p w14:paraId="0EA3E2FF" w14:textId="77777777" w:rsidR="00DD13BF" w:rsidRPr="00790120" w:rsidRDefault="00DD13BF" w:rsidP="00355A56">
            <w:pPr>
              <w:widowControl/>
              <w:autoSpaceDE/>
              <w:autoSpaceDN/>
              <w:rPr>
                <w:rFonts w:eastAsia="Calibri"/>
              </w:rPr>
            </w:pPr>
          </w:p>
          <w:p w14:paraId="40480A2F" w14:textId="77777777" w:rsidR="00DD13BF" w:rsidRPr="00790120" w:rsidRDefault="00DD13BF" w:rsidP="00355A56">
            <w:pPr>
              <w:widowControl/>
              <w:autoSpaceDE/>
              <w:autoSpaceDN/>
              <w:rPr>
                <w:rFonts w:eastAsia="Calibri"/>
              </w:rPr>
            </w:pPr>
            <w:r>
              <w:t>and other legislation in the field of education.</w:t>
            </w:r>
          </w:p>
        </w:tc>
        <w:tc>
          <w:tcPr>
            <w:tcW w:w="3402" w:type="dxa"/>
          </w:tcPr>
          <w:p w14:paraId="26BB73BC" w14:textId="77777777" w:rsidR="00DD13BF" w:rsidRPr="00790120" w:rsidRDefault="00DD13BF" w:rsidP="00355A56">
            <w:pPr>
              <w:widowControl/>
              <w:autoSpaceDE/>
              <w:autoSpaceDN/>
              <w:jc w:val="both"/>
              <w:rPr>
                <w:rFonts w:eastAsia="Calibri"/>
              </w:rPr>
            </w:pPr>
            <w:r>
              <w:lastRenderedPageBreak/>
              <w:t xml:space="preserve">In accordance with the legislation (ZOFVI), the Ministry can obtain data on the employability of students and graduates of higher schools who have completed an educational programme or graduated in the past five years (data for employed and unemployed persons) for the purposes of statistical and scientific and research analysis. A record and analytical information system of higher education in the Republic of Slovenia (e-VŠ) has also been established, the “Records” module of which is part of the system for monitoring the employability of higher education graduates (ZVis). For high-quality and effective counselling and career management of students of all ages, the legislation defines the tasks of counselling services in the entire education vertical, including career </w:t>
            </w:r>
            <w:r>
              <w:lastRenderedPageBreak/>
              <w:t>counselling in cooperation with the ZRSZ, and the preparation and implementation of individualised programmes for children with special needs. In the field of adult education (ZIO-1), counselling activities are carried out in which adults are advised to document acquired competences in non-formal and informal learning for personal development, further education and integration into the labour market. Within the ECP 2021–2027, the development of career counselling is also foreseen.</w:t>
            </w:r>
          </w:p>
        </w:tc>
      </w:tr>
      <w:tr w:rsidR="00DD13BF" w:rsidRPr="00790120" w14:paraId="542D654B" w14:textId="77777777" w:rsidTr="00355A56">
        <w:trPr>
          <w:trHeight w:val="353"/>
        </w:trPr>
        <w:tc>
          <w:tcPr>
            <w:tcW w:w="1538" w:type="dxa"/>
            <w:vMerge/>
          </w:tcPr>
          <w:p w14:paraId="25D85898" w14:textId="77777777" w:rsidR="00DD13BF" w:rsidRPr="00790120" w:rsidRDefault="00DD13BF" w:rsidP="00355A56">
            <w:pPr>
              <w:widowControl/>
              <w:autoSpaceDE/>
              <w:autoSpaceDN/>
              <w:rPr>
                <w:rFonts w:eastAsia="Calibri"/>
              </w:rPr>
            </w:pPr>
          </w:p>
        </w:tc>
        <w:tc>
          <w:tcPr>
            <w:tcW w:w="877" w:type="dxa"/>
            <w:vMerge/>
          </w:tcPr>
          <w:p w14:paraId="77CB7A43" w14:textId="77777777" w:rsidR="00DD13BF" w:rsidRPr="00790120" w:rsidRDefault="00DD13BF" w:rsidP="00355A56">
            <w:pPr>
              <w:widowControl/>
              <w:autoSpaceDE/>
              <w:autoSpaceDN/>
              <w:rPr>
                <w:rFonts w:eastAsia="Calibri"/>
              </w:rPr>
            </w:pPr>
          </w:p>
        </w:tc>
        <w:tc>
          <w:tcPr>
            <w:tcW w:w="1985" w:type="dxa"/>
            <w:vMerge/>
          </w:tcPr>
          <w:p w14:paraId="541E49A9" w14:textId="77777777" w:rsidR="00DD13BF" w:rsidRPr="00790120" w:rsidRDefault="00DD13BF" w:rsidP="00355A56">
            <w:pPr>
              <w:widowControl/>
              <w:autoSpaceDE/>
              <w:autoSpaceDN/>
              <w:rPr>
                <w:rFonts w:eastAsia="Calibri"/>
              </w:rPr>
            </w:pPr>
          </w:p>
        </w:tc>
        <w:tc>
          <w:tcPr>
            <w:tcW w:w="1134" w:type="dxa"/>
            <w:vMerge/>
          </w:tcPr>
          <w:p w14:paraId="28FCB2D6" w14:textId="77777777" w:rsidR="00DD13BF" w:rsidRPr="00790120" w:rsidRDefault="00DD13BF" w:rsidP="00355A56">
            <w:pPr>
              <w:widowControl/>
              <w:autoSpaceDE/>
              <w:autoSpaceDN/>
              <w:rPr>
                <w:rFonts w:eastAsia="Calibri"/>
              </w:rPr>
            </w:pPr>
          </w:p>
        </w:tc>
        <w:tc>
          <w:tcPr>
            <w:tcW w:w="1984" w:type="dxa"/>
          </w:tcPr>
          <w:p w14:paraId="01657870" w14:textId="77777777" w:rsidR="00DD13BF" w:rsidRPr="00790120" w:rsidRDefault="00DD13BF" w:rsidP="00355A56">
            <w:pPr>
              <w:widowControl/>
              <w:autoSpaceDE/>
              <w:autoSpaceDN/>
              <w:rPr>
                <w:rFonts w:eastAsia="Calibri"/>
              </w:rPr>
            </w:pPr>
            <w:r>
              <w:t>3. Measures to ensure equal access to, participation in</w:t>
            </w:r>
          </w:p>
          <w:p w14:paraId="2CCA191C" w14:textId="77777777" w:rsidR="00DD13BF" w:rsidRPr="00790120" w:rsidRDefault="00DD13BF" w:rsidP="00355A56">
            <w:pPr>
              <w:widowControl/>
              <w:autoSpaceDE/>
              <w:autoSpaceDN/>
              <w:rPr>
                <w:rFonts w:eastAsia="Calibri"/>
              </w:rPr>
            </w:pPr>
            <w:r>
              <w:t>and completion of quality, affordable, relevant,</w:t>
            </w:r>
          </w:p>
          <w:p w14:paraId="60321865" w14:textId="77777777" w:rsidR="00DD13BF" w:rsidRPr="00790120" w:rsidRDefault="00DD13BF" w:rsidP="00355A56">
            <w:pPr>
              <w:widowControl/>
              <w:autoSpaceDE/>
              <w:autoSpaceDN/>
              <w:rPr>
                <w:rFonts w:eastAsia="Calibri"/>
              </w:rPr>
            </w:pPr>
            <w:r>
              <w:t>non-segregated and inclusive education and training,</w:t>
            </w:r>
          </w:p>
          <w:p w14:paraId="7CDEBC22" w14:textId="77777777" w:rsidR="00DD13BF" w:rsidRPr="00790120" w:rsidRDefault="00DD13BF" w:rsidP="00355A56">
            <w:pPr>
              <w:widowControl/>
              <w:autoSpaceDE/>
              <w:autoSpaceDN/>
              <w:rPr>
                <w:rFonts w:eastAsia="Calibri"/>
              </w:rPr>
            </w:pPr>
            <w:r>
              <w:t>and acquisition of key competences</w:t>
            </w:r>
          </w:p>
          <w:p w14:paraId="07E459FE" w14:textId="77777777" w:rsidR="00DD13BF" w:rsidRPr="00790120" w:rsidRDefault="00DD13BF" w:rsidP="00355A56">
            <w:pPr>
              <w:widowControl/>
              <w:autoSpaceDE/>
              <w:autoSpaceDN/>
              <w:rPr>
                <w:rFonts w:eastAsia="Calibri"/>
              </w:rPr>
            </w:pPr>
            <w:r>
              <w:t>at all levels including higher education.</w:t>
            </w:r>
          </w:p>
        </w:tc>
        <w:tc>
          <w:tcPr>
            <w:tcW w:w="709" w:type="dxa"/>
          </w:tcPr>
          <w:p w14:paraId="5E5D1FA4" w14:textId="77777777" w:rsidR="00DD13BF" w:rsidRPr="00790120" w:rsidRDefault="00DD13BF" w:rsidP="00355A56">
            <w:pPr>
              <w:widowControl/>
              <w:autoSpaceDE/>
              <w:autoSpaceDN/>
              <w:rPr>
                <w:rFonts w:eastAsia="Calibri"/>
              </w:rPr>
            </w:pPr>
            <w:r>
              <w:t>Yes</w:t>
            </w:r>
          </w:p>
        </w:tc>
        <w:tc>
          <w:tcPr>
            <w:tcW w:w="2267" w:type="dxa"/>
          </w:tcPr>
          <w:p w14:paraId="3593C386" w14:textId="77777777" w:rsidR="00DD13BF" w:rsidRPr="00790120" w:rsidRDefault="00425F22" w:rsidP="00355A56">
            <w:pPr>
              <w:widowControl/>
              <w:autoSpaceDE/>
              <w:autoSpaceDN/>
              <w:rPr>
                <w:rFonts w:eastAsia="Calibri"/>
              </w:rPr>
            </w:pPr>
            <w:hyperlink r:id="rId190" w:history="1">
              <w:r w:rsidR="00DD13BF">
                <w:rPr>
                  <w:color w:val="0563C1"/>
                  <w:u w:val="single"/>
                </w:rPr>
                <w:t>White Paper on Education in the Republic of Slovenia</w:t>
              </w:r>
            </w:hyperlink>
          </w:p>
          <w:p w14:paraId="00C0C992" w14:textId="77777777" w:rsidR="00DD13BF" w:rsidRPr="00790120" w:rsidRDefault="00DD13BF" w:rsidP="00355A56">
            <w:pPr>
              <w:widowControl/>
              <w:autoSpaceDE/>
              <w:autoSpaceDN/>
              <w:rPr>
                <w:rFonts w:eastAsia="Calibri"/>
              </w:rPr>
            </w:pPr>
          </w:p>
          <w:p w14:paraId="7F018A00" w14:textId="77777777" w:rsidR="00DD13BF" w:rsidRPr="00790120" w:rsidRDefault="00DD13BF" w:rsidP="00355A56">
            <w:pPr>
              <w:widowControl/>
              <w:autoSpaceDE/>
              <w:autoSpaceDN/>
              <w:rPr>
                <w:rFonts w:eastAsia="Calibri"/>
              </w:rPr>
            </w:pPr>
            <w:r>
              <w:t>Sectoral legislation defining the individual level of education</w:t>
            </w:r>
          </w:p>
          <w:p w14:paraId="79182965" w14:textId="77777777" w:rsidR="00DD13BF" w:rsidRPr="00790120" w:rsidRDefault="00DD13BF" w:rsidP="00355A56">
            <w:pPr>
              <w:widowControl/>
              <w:autoSpaceDE/>
              <w:autoSpaceDN/>
              <w:rPr>
                <w:rFonts w:eastAsia="Calibri"/>
                <w:color w:val="0563C1"/>
                <w:u w:val="single"/>
              </w:rPr>
            </w:pPr>
          </w:p>
          <w:p w14:paraId="2EF8F5C3" w14:textId="77777777" w:rsidR="00DD13BF" w:rsidRPr="00790120" w:rsidRDefault="00425F22" w:rsidP="00355A56">
            <w:pPr>
              <w:widowControl/>
              <w:autoSpaceDE/>
              <w:autoSpaceDN/>
              <w:rPr>
                <w:rFonts w:eastAsia="Calibri"/>
                <w:color w:val="0563C1"/>
                <w:u w:val="single"/>
              </w:rPr>
            </w:pPr>
            <w:hyperlink r:id="rId191" w:history="1">
              <w:r w:rsidR="00DD13BF">
                <w:rPr>
                  <w:color w:val="0563C1"/>
                  <w:u w:val="single"/>
                </w:rPr>
                <w:t>Strategy of the Republic of Slovenia for short-cycle higher vocational education 2020–2030</w:t>
              </w:r>
            </w:hyperlink>
          </w:p>
          <w:p w14:paraId="1FF90D3D" w14:textId="77777777" w:rsidR="00DD13BF" w:rsidRPr="00790120" w:rsidRDefault="00DD13BF" w:rsidP="00355A56">
            <w:pPr>
              <w:widowControl/>
              <w:autoSpaceDE/>
              <w:autoSpaceDN/>
              <w:rPr>
                <w:rFonts w:eastAsia="Calibri"/>
                <w:color w:val="0563C1"/>
                <w:u w:val="single"/>
              </w:rPr>
            </w:pPr>
          </w:p>
          <w:p w14:paraId="307D9702" w14:textId="77777777" w:rsidR="00DD13BF" w:rsidRPr="00790120" w:rsidRDefault="00DD13BF" w:rsidP="00355A56">
            <w:pPr>
              <w:widowControl/>
              <w:autoSpaceDE/>
              <w:autoSpaceDN/>
              <w:rPr>
                <w:rFonts w:eastAsia="Calibri"/>
              </w:rPr>
            </w:pPr>
            <w:r>
              <w:rPr>
                <w:color w:val="0563C1"/>
                <w:u w:val="single"/>
              </w:rPr>
              <w:lastRenderedPageBreak/>
              <w:t xml:space="preserve">Resolution on National programme of higher education 2030 </w:t>
            </w:r>
          </w:p>
          <w:p w14:paraId="5D16E3E4" w14:textId="77777777" w:rsidR="00DD13BF" w:rsidRPr="00790120" w:rsidRDefault="00DD13BF" w:rsidP="00355A56">
            <w:pPr>
              <w:widowControl/>
              <w:autoSpaceDE/>
              <w:autoSpaceDN/>
              <w:rPr>
                <w:rFonts w:eastAsia="Calibri"/>
                <w:color w:val="0563C1"/>
                <w:u w:val="single"/>
              </w:rPr>
            </w:pPr>
          </w:p>
          <w:p w14:paraId="52319C8F" w14:textId="77777777" w:rsidR="00DD13BF" w:rsidRPr="00790120" w:rsidRDefault="00425F22" w:rsidP="00355A56">
            <w:pPr>
              <w:widowControl/>
              <w:autoSpaceDE/>
              <w:autoSpaceDN/>
            </w:pPr>
            <w:hyperlink r:id="rId192" w:history="1">
              <w:r w:rsidR="00DD13BF">
                <w:rPr>
                  <w:color w:val="0563C1"/>
                  <w:u w:val="single"/>
                </w:rPr>
                <w:t>Resolution on the National Programme of Adult Education in the Republic of Slovenia 2022– 2030</w:t>
              </w:r>
            </w:hyperlink>
            <w:r w:rsidR="00DD13BF">
              <w:t xml:space="preserve"> </w:t>
            </w:r>
          </w:p>
          <w:p w14:paraId="54500805" w14:textId="77777777" w:rsidR="00DD13BF" w:rsidRPr="00790120" w:rsidRDefault="00DD13BF" w:rsidP="00355A56">
            <w:pPr>
              <w:widowControl/>
              <w:autoSpaceDE/>
              <w:autoSpaceDN/>
            </w:pPr>
          </w:p>
          <w:p w14:paraId="1D507B24" w14:textId="77777777" w:rsidR="00DD13BF" w:rsidRPr="00790120" w:rsidRDefault="00425F22" w:rsidP="00355A56">
            <w:pPr>
              <w:widowControl/>
              <w:autoSpaceDE/>
              <w:autoSpaceDN/>
              <w:rPr>
                <w:rFonts w:eastAsia="Calibri"/>
              </w:rPr>
            </w:pPr>
            <w:hyperlink r:id="rId193" w:history="1">
              <w:r w:rsidR="00DD13BF">
                <w:rPr>
                  <w:color w:val="0563C1"/>
                  <w:u w:val="single"/>
                </w:rPr>
                <w:t>Criteria for selecting candidates in the event of limited enrolment in programmes of secondary vocational education, secondary professional and technical education, and grammar schools</w:t>
              </w:r>
            </w:hyperlink>
          </w:p>
        </w:tc>
        <w:tc>
          <w:tcPr>
            <w:tcW w:w="3402" w:type="dxa"/>
          </w:tcPr>
          <w:p w14:paraId="3390C6F5" w14:textId="77777777" w:rsidR="00DD13BF" w:rsidRPr="00790120" w:rsidRDefault="00DD13BF" w:rsidP="00355A56">
            <w:pPr>
              <w:widowControl/>
              <w:autoSpaceDE/>
              <w:autoSpaceDN/>
              <w:jc w:val="both"/>
              <w:rPr>
                <w:rFonts w:eastAsia="Calibri"/>
              </w:rPr>
            </w:pPr>
            <w:r>
              <w:lastRenderedPageBreak/>
              <w:t xml:space="preserve">Sectoral legislation defines the following as the key objectives of education and training: to ensure optimal development, provide equal opportunities for everyone regardless of personal circumstances by taking into account the principles of development of individuals, ensure general education and the acquisition of an occupation, and provide the highest possible level of quality education to as many residents as possible. In the case of limited enrolment, the same criteria </w:t>
            </w:r>
            <w:r>
              <w:lastRenderedPageBreak/>
              <w:t>apply to all candidates. The said resolutions and strategies that have already been adopted include additional measures to ensure equal access to quality, relevant and inclusive education and training. In the field of acquiring and strengthening key competences, the objectives of education are primarily to educate for mutual tolerance, promote awareness of gender equality, develop competences for active participation in a democratic society, and educate for sustainable development. Therefore, everyone has the right to quality education for lifelong learning and continuous personal and professional development, with the aim to develop key abilities or skills.</w:t>
            </w:r>
          </w:p>
        </w:tc>
      </w:tr>
      <w:tr w:rsidR="00DD13BF" w:rsidRPr="00790120" w14:paraId="0808C37B" w14:textId="77777777" w:rsidTr="00355A56">
        <w:trPr>
          <w:trHeight w:val="353"/>
        </w:trPr>
        <w:tc>
          <w:tcPr>
            <w:tcW w:w="1538" w:type="dxa"/>
            <w:vMerge/>
          </w:tcPr>
          <w:p w14:paraId="6C93C23D" w14:textId="77777777" w:rsidR="00DD13BF" w:rsidRPr="00790120" w:rsidRDefault="00DD13BF" w:rsidP="00355A56">
            <w:pPr>
              <w:widowControl/>
              <w:autoSpaceDE/>
              <w:autoSpaceDN/>
              <w:rPr>
                <w:rFonts w:eastAsia="Calibri"/>
              </w:rPr>
            </w:pPr>
          </w:p>
        </w:tc>
        <w:tc>
          <w:tcPr>
            <w:tcW w:w="877" w:type="dxa"/>
            <w:vMerge/>
          </w:tcPr>
          <w:p w14:paraId="7B8F8FC0" w14:textId="77777777" w:rsidR="00DD13BF" w:rsidRPr="00790120" w:rsidRDefault="00DD13BF" w:rsidP="00355A56">
            <w:pPr>
              <w:widowControl/>
              <w:autoSpaceDE/>
              <w:autoSpaceDN/>
              <w:rPr>
                <w:rFonts w:eastAsia="Calibri"/>
              </w:rPr>
            </w:pPr>
          </w:p>
        </w:tc>
        <w:tc>
          <w:tcPr>
            <w:tcW w:w="1985" w:type="dxa"/>
            <w:vMerge/>
          </w:tcPr>
          <w:p w14:paraId="4D8AA0AD" w14:textId="77777777" w:rsidR="00DD13BF" w:rsidRPr="00790120" w:rsidRDefault="00DD13BF" w:rsidP="00355A56">
            <w:pPr>
              <w:widowControl/>
              <w:autoSpaceDE/>
              <w:autoSpaceDN/>
              <w:rPr>
                <w:rFonts w:eastAsia="Calibri"/>
              </w:rPr>
            </w:pPr>
          </w:p>
        </w:tc>
        <w:tc>
          <w:tcPr>
            <w:tcW w:w="1134" w:type="dxa"/>
            <w:vMerge/>
          </w:tcPr>
          <w:p w14:paraId="5A42E44A" w14:textId="77777777" w:rsidR="00DD13BF" w:rsidRPr="00790120" w:rsidRDefault="00DD13BF" w:rsidP="00355A56">
            <w:pPr>
              <w:widowControl/>
              <w:autoSpaceDE/>
              <w:autoSpaceDN/>
              <w:rPr>
                <w:rFonts w:eastAsia="Calibri"/>
              </w:rPr>
            </w:pPr>
          </w:p>
        </w:tc>
        <w:tc>
          <w:tcPr>
            <w:tcW w:w="1984" w:type="dxa"/>
          </w:tcPr>
          <w:p w14:paraId="533CC3BF" w14:textId="77777777" w:rsidR="00DD13BF" w:rsidRPr="00790120" w:rsidRDefault="00DD13BF" w:rsidP="00355A56">
            <w:pPr>
              <w:widowControl/>
              <w:autoSpaceDE/>
              <w:autoSpaceDN/>
              <w:rPr>
                <w:rFonts w:eastAsia="Calibri"/>
              </w:rPr>
            </w:pPr>
            <w:r>
              <w:t>4. A coordination mechanism covering all levels of education and</w:t>
            </w:r>
          </w:p>
          <w:p w14:paraId="5D2E608F" w14:textId="77777777" w:rsidR="00DD13BF" w:rsidRPr="00790120" w:rsidRDefault="00DD13BF" w:rsidP="00355A56">
            <w:pPr>
              <w:widowControl/>
              <w:autoSpaceDE/>
              <w:autoSpaceDN/>
              <w:rPr>
                <w:rFonts w:eastAsia="Calibri"/>
              </w:rPr>
            </w:pPr>
            <w:r>
              <w:t>training, including higher education, and a clear</w:t>
            </w:r>
          </w:p>
          <w:p w14:paraId="573B368C" w14:textId="77777777" w:rsidR="00DD13BF" w:rsidRPr="00790120" w:rsidRDefault="00DD13BF" w:rsidP="00355A56">
            <w:pPr>
              <w:widowControl/>
              <w:autoSpaceDE/>
              <w:autoSpaceDN/>
              <w:rPr>
                <w:rFonts w:eastAsia="Calibri"/>
              </w:rPr>
            </w:pPr>
            <w:r>
              <w:t xml:space="preserve">assignment of responsibilities between the </w:t>
            </w:r>
            <w:r>
              <w:lastRenderedPageBreak/>
              <w:t>relevant national and/or</w:t>
            </w:r>
          </w:p>
          <w:p w14:paraId="15A88895" w14:textId="77777777" w:rsidR="00DD13BF" w:rsidRPr="00790120" w:rsidRDefault="00DD13BF" w:rsidP="00355A56">
            <w:pPr>
              <w:widowControl/>
              <w:autoSpaceDE/>
              <w:autoSpaceDN/>
              <w:rPr>
                <w:rFonts w:eastAsia="Calibri"/>
              </w:rPr>
            </w:pPr>
            <w:r>
              <w:t>regional bodies.</w:t>
            </w:r>
          </w:p>
        </w:tc>
        <w:tc>
          <w:tcPr>
            <w:tcW w:w="709" w:type="dxa"/>
          </w:tcPr>
          <w:p w14:paraId="7D8C68EF" w14:textId="77777777" w:rsidR="00DD13BF" w:rsidRPr="00790120" w:rsidRDefault="00DD13BF" w:rsidP="00355A56">
            <w:pPr>
              <w:widowControl/>
              <w:autoSpaceDE/>
              <w:autoSpaceDN/>
              <w:rPr>
                <w:rFonts w:eastAsia="Calibri"/>
              </w:rPr>
            </w:pPr>
            <w:r>
              <w:lastRenderedPageBreak/>
              <w:t>Yes</w:t>
            </w:r>
          </w:p>
        </w:tc>
        <w:tc>
          <w:tcPr>
            <w:tcW w:w="2267" w:type="dxa"/>
          </w:tcPr>
          <w:p w14:paraId="0EA28A7E" w14:textId="77777777" w:rsidR="00DD13BF" w:rsidRPr="00790120" w:rsidRDefault="00425F22" w:rsidP="00355A56">
            <w:pPr>
              <w:widowControl/>
              <w:autoSpaceDE/>
              <w:autoSpaceDN/>
              <w:rPr>
                <w:rFonts w:eastAsia="Calibri"/>
                <w:color w:val="0563C1"/>
                <w:u w:val="single"/>
              </w:rPr>
            </w:pPr>
            <w:hyperlink r:id="rId194" w:history="1">
              <w:r w:rsidR="00DD13BF">
                <w:rPr>
                  <w:color w:val="0563C1"/>
                  <w:u w:val="single"/>
                </w:rPr>
                <w:t>Organisation and Financing of Education Act</w:t>
              </w:r>
            </w:hyperlink>
            <w:r w:rsidR="00DD13BF">
              <w:t xml:space="preserve"> </w:t>
            </w:r>
          </w:p>
          <w:p w14:paraId="0CA7CC62" w14:textId="77777777" w:rsidR="00DD13BF" w:rsidRPr="00790120" w:rsidRDefault="00DD13BF" w:rsidP="00355A56">
            <w:pPr>
              <w:widowControl/>
              <w:autoSpaceDE/>
              <w:autoSpaceDN/>
              <w:rPr>
                <w:rFonts w:eastAsia="Calibri"/>
                <w:color w:val="0563C1"/>
                <w:u w:val="single"/>
              </w:rPr>
            </w:pPr>
          </w:p>
          <w:p w14:paraId="1C587F74" w14:textId="77777777" w:rsidR="00DD13BF" w:rsidRPr="00790120" w:rsidRDefault="00425F22" w:rsidP="00355A56">
            <w:pPr>
              <w:widowControl/>
              <w:autoSpaceDE/>
              <w:autoSpaceDN/>
              <w:rPr>
                <w:rFonts w:eastAsia="Calibri"/>
                <w:color w:val="0563C1"/>
                <w:u w:val="single"/>
              </w:rPr>
            </w:pPr>
            <w:hyperlink r:id="rId195" w:history="1">
              <w:r w:rsidR="00DD13BF">
                <w:rPr>
                  <w:color w:val="0563C1"/>
                  <w:u w:val="single"/>
                </w:rPr>
                <w:t>Higher Education Act</w:t>
              </w:r>
            </w:hyperlink>
          </w:p>
          <w:p w14:paraId="0A1E534B" w14:textId="77777777" w:rsidR="00DD13BF" w:rsidRPr="00790120" w:rsidRDefault="00DD13BF" w:rsidP="00355A56">
            <w:pPr>
              <w:widowControl/>
              <w:autoSpaceDE/>
              <w:autoSpaceDN/>
              <w:rPr>
                <w:rFonts w:eastAsia="Calibri"/>
                <w:color w:val="0563C1"/>
                <w:u w:val="single"/>
              </w:rPr>
            </w:pPr>
          </w:p>
          <w:p w14:paraId="486E2908" w14:textId="77777777" w:rsidR="00DD13BF" w:rsidRPr="00790120" w:rsidRDefault="00425F22" w:rsidP="00355A56">
            <w:pPr>
              <w:widowControl/>
              <w:autoSpaceDE/>
              <w:autoSpaceDN/>
            </w:pPr>
            <w:hyperlink r:id="rId196" w:history="1">
              <w:r w:rsidR="00DD13BF">
                <w:rPr>
                  <w:color w:val="0563C1"/>
                  <w:u w:val="single"/>
                </w:rPr>
                <w:t xml:space="preserve">Resolution on the National Programme of Adult Education in </w:t>
              </w:r>
              <w:r w:rsidR="00DD13BF">
                <w:rPr>
                  <w:color w:val="0563C1"/>
                  <w:u w:val="single"/>
                </w:rPr>
                <w:lastRenderedPageBreak/>
                <w:t>the Republic of Slovenia 2022– 2030</w:t>
              </w:r>
            </w:hyperlink>
            <w:r w:rsidR="00DD13BF">
              <w:t xml:space="preserve"> </w:t>
            </w:r>
          </w:p>
          <w:p w14:paraId="4528E801" w14:textId="77777777" w:rsidR="00DD13BF" w:rsidRPr="00790120" w:rsidRDefault="00DD13BF" w:rsidP="00355A56">
            <w:pPr>
              <w:widowControl/>
              <w:autoSpaceDE/>
              <w:autoSpaceDN/>
              <w:rPr>
                <w:rFonts w:eastAsia="Calibri"/>
                <w:color w:val="0563C1"/>
                <w:u w:val="single"/>
              </w:rPr>
            </w:pPr>
          </w:p>
          <w:p w14:paraId="4D594EDF" w14:textId="77777777" w:rsidR="00DD13BF" w:rsidRPr="00790120" w:rsidRDefault="00425F22" w:rsidP="00355A56">
            <w:pPr>
              <w:widowControl/>
              <w:autoSpaceDE/>
              <w:autoSpaceDN/>
              <w:rPr>
                <w:rFonts w:eastAsia="Calibri"/>
              </w:rPr>
            </w:pPr>
            <w:hyperlink r:id="rId197" w:history="1">
              <w:r w:rsidR="00DD13BF">
                <w:rPr>
                  <w:color w:val="0563C1"/>
                  <w:u w:val="single"/>
                </w:rPr>
                <w:t>Decision on the establishment and competences of the Council of the Republic of Slovenia for Student Issues</w:t>
              </w:r>
            </w:hyperlink>
          </w:p>
          <w:p w14:paraId="7633990D" w14:textId="77777777" w:rsidR="00DD13BF" w:rsidRPr="00790120" w:rsidRDefault="00DD13BF" w:rsidP="00355A56">
            <w:pPr>
              <w:widowControl/>
              <w:autoSpaceDE/>
              <w:autoSpaceDN/>
              <w:rPr>
                <w:rFonts w:eastAsia="Calibri"/>
              </w:rPr>
            </w:pPr>
          </w:p>
          <w:p w14:paraId="348371F9" w14:textId="77777777" w:rsidR="00DD13BF" w:rsidRPr="00790120" w:rsidRDefault="00DD13BF" w:rsidP="00355A56">
            <w:pPr>
              <w:widowControl/>
              <w:autoSpaceDE/>
              <w:autoSpaceDN/>
              <w:rPr>
                <w:rFonts w:eastAsia="Calibri"/>
              </w:rPr>
            </w:pPr>
            <w:r>
              <w:t>and other legislation in the field of education</w:t>
            </w:r>
          </w:p>
        </w:tc>
        <w:tc>
          <w:tcPr>
            <w:tcW w:w="3402" w:type="dxa"/>
          </w:tcPr>
          <w:p w14:paraId="31B826D0" w14:textId="77777777" w:rsidR="00DD13BF" w:rsidRPr="00790120" w:rsidRDefault="00DD13BF" w:rsidP="00355A56">
            <w:pPr>
              <w:widowControl/>
              <w:autoSpaceDE/>
              <w:autoSpaceDN/>
              <w:jc w:val="both"/>
              <w:rPr>
                <w:rFonts w:eastAsia="Calibri"/>
              </w:rPr>
            </w:pPr>
            <w:r>
              <w:lastRenderedPageBreak/>
              <w:t>Legislation and implementing acts determine authorities, their powers, and the management of procedures for the preparation of state-approved educational programmes and a clear delimitation of powers between the authorities.</w:t>
            </w:r>
          </w:p>
          <w:p w14:paraId="00B5CCBD" w14:textId="77777777" w:rsidR="00DD13BF" w:rsidRPr="00790120" w:rsidRDefault="00DD13BF" w:rsidP="00355A56">
            <w:pPr>
              <w:widowControl/>
              <w:autoSpaceDE/>
              <w:autoSpaceDN/>
              <w:jc w:val="both"/>
              <w:rPr>
                <w:rFonts w:eastAsia="Calibri"/>
              </w:rPr>
            </w:pPr>
          </w:p>
          <w:p w14:paraId="597C1399" w14:textId="77777777" w:rsidR="00DD13BF" w:rsidRPr="00790120" w:rsidRDefault="00DD13BF" w:rsidP="00355A56">
            <w:pPr>
              <w:widowControl/>
              <w:autoSpaceDE/>
              <w:autoSpaceDN/>
              <w:jc w:val="both"/>
              <w:rPr>
                <w:rFonts w:eastAsia="Calibri"/>
              </w:rPr>
            </w:pPr>
            <w:r>
              <w:t xml:space="preserve">The ZOFVI clearly defines the role of expert councils for general, </w:t>
            </w:r>
            <w:r>
              <w:lastRenderedPageBreak/>
              <w:t>vocational, professional and adult education. The Expert Council of the Republic of Slovenia for General Education determines and provides an opinion on programmes in the field of vocational and professional education for members of the Italian and Hungarian national communities, and on subject and examination knowledge catalogues in the part that refers to general education subjects or content in vocational or professional education. In the field of higher education, the Council for Higher Education is an advisory body of the minister, which monitors all areas of education and ensures the consistency and coordination of all levels of education and training. In its work, the Council for Higher Education cooperates with expert councils for individual fields of education and science and technology and the Slovenian Quality Assurance Agency for Higher Education (NAKVIS).</w:t>
            </w:r>
          </w:p>
        </w:tc>
      </w:tr>
      <w:tr w:rsidR="00DD13BF" w:rsidRPr="00790120" w14:paraId="10F4D917" w14:textId="77777777" w:rsidTr="00355A56">
        <w:trPr>
          <w:trHeight w:val="353"/>
        </w:trPr>
        <w:tc>
          <w:tcPr>
            <w:tcW w:w="1538" w:type="dxa"/>
            <w:vMerge/>
          </w:tcPr>
          <w:p w14:paraId="533FFE07" w14:textId="77777777" w:rsidR="00DD13BF" w:rsidRPr="00790120" w:rsidRDefault="00DD13BF" w:rsidP="00355A56">
            <w:pPr>
              <w:widowControl/>
              <w:autoSpaceDE/>
              <w:autoSpaceDN/>
              <w:rPr>
                <w:rFonts w:eastAsia="Calibri"/>
              </w:rPr>
            </w:pPr>
          </w:p>
        </w:tc>
        <w:tc>
          <w:tcPr>
            <w:tcW w:w="877" w:type="dxa"/>
            <w:vMerge/>
          </w:tcPr>
          <w:p w14:paraId="59014329" w14:textId="77777777" w:rsidR="00DD13BF" w:rsidRPr="00790120" w:rsidRDefault="00DD13BF" w:rsidP="00355A56">
            <w:pPr>
              <w:widowControl/>
              <w:autoSpaceDE/>
              <w:autoSpaceDN/>
              <w:rPr>
                <w:rFonts w:eastAsia="Calibri"/>
              </w:rPr>
            </w:pPr>
          </w:p>
        </w:tc>
        <w:tc>
          <w:tcPr>
            <w:tcW w:w="1985" w:type="dxa"/>
            <w:vMerge/>
          </w:tcPr>
          <w:p w14:paraId="207A55F6" w14:textId="77777777" w:rsidR="00DD13BF" w:rsidRPr="00790120" w:rsidRDefault="00DD13BF" w:rsidP="00355A56">
            <w:pPr>
              <w:widowControl/>
              <w:autoSpaceDE/>
              <w:autoSpaceDN/>
              <w:rPr>
                <w:rFonts w:eastAsia="Calibri"/>
              </w:rPr>
            </w:pPr>
          </w:p>
        </w:tc>
        <w:tc>
          <w:tcPr>
            <w:tcW w:w="1134" w:type="dxa"/>
            <w:vMerge/>
          </w:tcPr>
          <w:p w14:paraId="10407E95" w14:textId="77777777" w:rsidR="00DD13BF" w:rsidRPr="00790120" w:rsidRDefault="00DD13BF" w:rsidP="00355A56">
            <w:pPr>
              <w:widowControl/>
              <w:autoSpaceDE/>
              <w:autoSpaceDN/>
              <w:rPr>
                <w:rFonts w:eastAsia="Calibri"/>
              </w:rPr>
            </w:pPr>
          </w:p>
        </w:tc>
        <w:tc>
          <w:tcPr>
            <w:tcW w:w="1984" w:type="dxa"/>
          </w:tcPr>
          <w:p w14:paraId="1544E728" w14:textId="77777777" w:rsidR="00DD13BF" w:rsidRPr="00790120" w:rsidRDefault="00DD13BF" w:rsidP="00355A56">
            <w:pPr>
              <w:widowControl/>
              <w:autoSpaceDE/>
              <w:autoSpaceDN/>
              <w:rPr>
                <w:rFonts w:eastAsia="Calibri"/>
              </w:rPr>
            </w:pPr>
            <w:r>
              <w:t xml:space="preserve">5. Arrangements for monitoring, evaluation and </w:t>
            </w:r>
            <w:r>
              <w:lastRenderedPageBreak/>
              <w:t>review of the strategic policy framework.</w:t>
            </w:r>
          </w:p>
        </w:tc>
        <w:tc>
          <w:tcPr>
            <w:tcW w:w="709" w:type="dxa"/>
          </w:tcPr>
          <w:p w14:paraId="0F64B8E2" w14:textId="77777777" w:rsidR="00DD13BF" w:rsidRPr="00790120" w:rsidRDefault="00DD13BF" w:rsidP="00355A56">
            <w:pPr>
              <w:widowControl/>
              <w:autoSpaceDE/>
              <w:autoSpaceDN/>
              <w:rPr>
                <w:rFonts w:eastAsia="Calibri"/>
              </w:rPr>
            </w:pPr>
            <w:r>
              <w:lastRenderedPageBreak/>
              <w:t>Yes</w:t>
            </w:r>
          </w:p>
        </w:tc>
        <w:tc>
          <w:tcPr>
            <w:tcW w:w="2267" w:type="dxa"/>
          </w:tcPr>
          <w:p w14:paraId="2615774B" w14:textId="77777777" w:rsidR="00DD13BF" w:rsidRPr="00790120" w:rsidRDefault="00425F22" w:rsidP="00355A56">
            <w:pPr>
              <w:widowControl/>
              <w:autoSpaceDE/>
              <w:autoSpaceDN/>
              <w:rPr>
                <w:rFonts w:eastAsia="Calibri"/>
                <w:color w:val="0563C1"/>
                <w:u w:val="single"/>
              </w:rPr>
            </w:pPr>
            <w:hyperlink r:id="rId198" w:history="1">
              <w:r w:rsidR="00DD13BF">
                <w:rPr>
                  <w:color w:val="0563C1"/>
                  <w:u w:val="single"/>
                </w:rPr>
                <w:t>Organisation and Financing of Education Act</w:t>
              </w:r>
            </w:hyperlink>
          </w:p>
          <w:p w14:paraId="208E2CC6" w14:textId="77777777" w:rsidR="00DD13BF" w:rsidRPr="00790120" w:rsidRDefault="00DD13BF" w:rsidP="00355A56">
            <w:pPr>
              <w:widowControl/>
              <w:autoSpaceDE/>
              <w:autoSpaceDN/>
              <w:rPr>
                <w:rFonts w:eastAsia="Calibri"/>
                <w:color w:val="0563C1"/>
                <w:u w:val="single"/>
              </w:rPr>
            </w:pPr>
          </w:p>
          <w:p w14:paraId="09586812" w14:textId="77777777" w:rsidR="00DD13BF" w:rsidRPr="00790120" w:rsidRDefault="00425F22" w:rsidP="00355A56">
            <w:pPr>
              <w:widowControl/>
              <w:autoSpaceDE/>
              <w:autoSpaceDN/>
              <w:rPr>
                <w:rFonts w:eastAsia="Calibri"/>
                <w:color w:val="0563C1"/>
                <w:u w:val="single"/>
              </w:rPr>
            </w:pPr>
            <w:hyperlink r:id="rId199" w:history="1">
              <w:r w:rsidR="00DD13BF">
                <w:rPr>
                  <w:color w:val="0563C1"/>
                  <w:u w:val="single"/>
                </w:rPr>
                <w:t>National Quality Assurance Framework in Education</w:t>
              </w:r>
            </w:hyperlink>
          </w:p>
          <w:p w14:paraId="1F9D4099" w14:textId="77777777" w:rsidR="00DD13BF" w:rsidRPr="00790120" w:rsidRDefault="00DD13BF" w:rsidP="00355A56">
            <w:pPr>
              <w:widowControl/>
              <w:autoSpaceDE/>
              <w:autoSpaceDN/>
              <w:rPr>
                <w:rFonts w:eastAsia="Calibri"/>
                <w:color w:val="0563C1"/>
                <w:u w:val="single"/>
              </w:rPr>
            </w:pPr>
          </w:p>
          <w:p w14:paraId="6EC4010D" w14:textId="77777777" w:rsidR="00DD13BF" w:rsidRPr="00790120" w:rsidRDefault="00425F22" w:rsidP="00355A56">
            <w:pPr>
              <w:widowControl/>
              <w:autoSpaceDE/>
              <w:autoSpaceDN/>
              <w:rPr>
                <w:rFonts w:eastAsia="Calibri"/>
                <w:color w:val="0563C1"/>
                <w:u w:val="single"/>
              </w:rPr>
            </w:pPr>
            <w:hyperlink r:id="rId200" w:history="1">
              <w:r w:rsidR="00DD13BF">
                <w:rPr>
                  <w:color w:val="0563C1"/>
                  <w:u w:val="single"/>
                </w:rPr>
                <w:t>Vocational Education Act</w:t>
              </w:r>
            </w:hyperlink>
          </w:p>
          <w:p w14:paraId="706936E5" w14:textId="77777777" w:rsidR="00DD13BF" w:rsidRPr="00790120" w:rsidRDefault="00DD13BF" w:rsidP="00355A56">
            <w:pPr>
              <w:widowControl/>
              <w:autoSpaceDE/>
              <w:autoSpaceDN/>
              <w:rPr>
                <w:rFonts w:eastAsia="Calibri"/>
                <w:color w:val="0563C1"/>
                <w:u w:val="single"/>
              </w:rPr>
            </w:pPr>
          </w:p>
          <w:p w14:paraId="0F6BF40B" w14:textId="77777777" w:rsidR="00DD13BF" w:rsidRPr="00790120" w:rsidRDefault="00425F22" w:rsidP="00355A56">
            <w:pPr>
              <w:widowControl/>
              <w:autoSpaceDE/>
              <w:autoSpaceDN/>
              <w:rPr>
                <w:rFonts w:eastAsia="Calibri"/>
                <w:color w:val="0563C1"/>
                <w:u w:val="single"/>
              </w:rPr>
            </w:pPr>
            <w:hyperlink r:id="rId201" w:history="1">
              <w:r w:rsidR="00DD13BF">
                <w:rPr>
                  <w:color w:val="0563C1"/>
                  <w:u w:val="single"/>
                </w:rPr>
                <w:t>Higher Vocational Education Act</w:t>
              </w:r>
            </w:hyperlink>
          </w:p>
          <w:p w14:paraId="3B7DFF6C" w14:textId="77777777" w:rsidR="00DD13BF" w:rsidRPr="00790120" w:rsidRDefault="00DD13BF" w:rsidP="00355A56">
            <w:pPr>
              <w:widowControl/>
              <w:autoSpaceDE/>
              <w:autoSpaceDN/>
              <w:rPr>
                <w:rFonts w:eastAsia="Calibri"/>
                <w:color w:val="0563C1"/>
                <w:u w:val="single"/>
              </w:rPr>
            </w:pPr>
          </w:p>
          <w:p w14:paraId="6BBC9944" w14:textId="77777777" w:rsidR="00DD13BF" w:rsidRPr="00790120" w:rsidRDefault="00425F22" w:rsidP="00355A56">
            <w:pPr>
              <w:widowControl/>
              <w:autoSpaceDE/>
              <w:autoSpaceDN/>
              <w:rPr>
                <w:rFonts w:eastAsia="Calibri"/>
                <w:color w:val="0563C1"/>
                <w:u w:val="single"/>
              </w:rPr>
            </w:pPr>
            <w:hyperlink r:id="rId202" w:history="1">
              <w:r w:rsidR="00DD13BF">
                <w:rPr>
                  <w:color w:val="0563C1"/>
                  <w:u w:val="single"/>
                </w:rPr>
                <w:t>Higher Education Act</w:t>
              </w:r>
            </w:hyperlink>
          </w:p>
          <w:p w14:paraId="3D50A709" w14:textId="77777777" w:rsidR="00DD13BF" w:rsidRPr="00790120" w:rsidRDefault="00DD13BF" w:rsidP="00355A56">
            <w:pPr>
              <w:widowControl/>
              <w:autoSpaceDE/>
              <w:autoSpaceDN/>
              <w:rPr>
                <w:rFonts w:eastAsia="Calibri"/>
                <w:color w:val="0563C1"/>
                <w:u w:val="single"/>
              </w:rPr>
            </w:pPr>
          </w:p>
          <w:p w14:paraId="5A24DC4F" w14:textId="77777777" w:rsidR="00DD13BF" w:rsidRPr="00790120" w:rsidRDefault="00425F22" w:rsidP="00355A56">
            <w:pPr>
              <w:widowControl/>
              <w:autoSpaceDE/>
              <w:autoSpaceDN/>
              <w:rPr>
                <w:rFonts w:eastAsia="Calibri"/>
                <w:color w:val="0563C1"/>
                <w:u w:val="single"/>
              </w:rPr>
            </w:pPr>
            <w:hyperlink r:id="rId203" w:history="1">
              <w:r w:rsidR="00DD13BF">
                <w:rPr>
                  <w:color w:val="0563C1"/>
                  <w:u w:val="single"/>
                </w:rPr>
                <w:t>Adult Education Act</w:t>
              </w:r>
            </w:hyperlink>
            <w:r w:rsidR="00DD13BF">
              <w:t xml:space="preserve"> </w:t>
            </w:r>
          </w:p>
          <w:p w14:paraId="5324ACF2" w14:textId="77777777" w:rsidR="00DD13BF" w:rsidRPr="00790120" w:rsidRDefault="00DD13BF" w:rsidP="00355A56">
            <w:pPr>
              <w:widowControl/>
              <w:autoSpaceDE/>
              <w:autoSpaceDN/>
              <w:rPr>
                <w:rFonts w:eastAsia="Calibri"/>
                <w:color w:val="0563C1"/>
                <w:u w:val="single"/>
              </w:rPr>
            </w:pPr>
          </w:p>
          <w:p w14:paraId="410BAF7C" w14:textId="77777777" w:rsidR="00DD13BF" w:rsidRPr="00790120" w:rsidRDefault="00DD13BF" w:rsidP="00355A56">
            <w:pPr>
              <w:widowControl/>
              <w:autoSpaceDE/>
              <w:autoSpaceDN/>
              <w:rPr>
                <w:rFonts w:eastAsia="Calibri"/>
              </w:rPr>
            </w:pPr>
            <w:r>
              <w:rPr>
                <w:color w:val="0563C1"/>
                <w:u w:val="single"/>
              </w:rPr>
              <w:t xml:space="preserve">Resolution on National programme of higher education 2030 </w:t>
            </w:r>
          </w:p>
          <w:p w14:paraId="7857ED47" w14:textId="77777777" w:rsidR="00DD13BF" w:rsidRPr="00790120" w:rsidRDefault="00DD13BF" w:rsidP="00355A56">
            <w:pPr>
              <w:widowControl/>
              <w:autoSpaceDE/>
              <w:autoSpaceDN/>
              <w:rPr>
                <w:rFonts w:eastAsia="Calibri"/>
              </w:rPr>
            </w:pPr>
          </w:p>
          <w:p w14:paraId="6036B6B3" w14:textId="77777777" w:rsidR="00DD13BF" w:rsidRPr="00790120" w:rsidRDefault="00425F22" w:rsidP="00355A56">
            <w:pPr>
              <w:widowControl/>
              <w:autoSpaceDE/>
              <w:autoSpaceDN/>
              <w:rPr>
                <w:rFonts w:eastAsia="Calibri"/>
              </w:rPr>
            </w:pPr>
            <w:hyperlink r:id="rId204" w:history="1">
              <w:r w:rsidR="00DD13BF">
                <w:rPr>
                  <w:color w:val="0563C1"/>
                  <w:u w:val="single"/>
                </w:rPr>
                <w:t>Resolution on the National Programme of Adult Education in the Republic of Slovenia 2022– 2030</w:t>
              </w:r>
            </w:hyperlink>
          </w:p>
        </w:tc>
        <w:tc>
          <w:tcPr>
            <w:tcW w:w="3402" w:type="dxa"/>
          </w:tcPr>
          <w:p w14:paraId="2E0BDF40" w14:textId="77777777" w:rsidR="00DD13BF" w:rsidRPr="00790120" w:rsidRDefault="00DD13BF" w:rsidP="00355A56">
            <w:pPr>
              <w:widowControl/>
              <w:autoSpaceDE/>
              <w:autoSpaceDN/>
              <w:jc w:val="both"/>
              <w:rPr>
                <w:rFonts w:eastAsia="Calibri"/>
              </w:rPr>
            </w:pPr>
            <w:r>
              <w:lastRenderedPageBreak/>
              <w:t xml:space="preserve">The system of determining and assuring education quality is based on internal quality assessment or </w:t>
            </w:r>
            <w:r>
              <w:lastRenderedPageBreak/>
              <w:t xml:space="preserve">self-evaluation of educational organisations. Together with the existing self-evaluation, the various forms of external evaluation that are already in place will be preserved (Inspectorate of the Republic of Slovenia for Education and Sport, national examinations, (vocational) matura, international comparative assessment of students’ achievements in individual fields of learning through international research, national evaluation studies, procedures for updating educational work). </w:t>
            </w:r>
          </w:p>
          <w:p w14:paraId="18805525" w14:textId="77777777" w:rsidR="00DD13BF" w:rsidRPr="00790120" w:rsidRDefault="00DD13BF" w:rsidP="00355A56">
            <w:pPr>
              <w:widowControl/>
              <w:autoSpaceDE/>
              <w:autoSpaceDN/>
              <w:jc w:val="both"/>
              <w:rPr>
                <w:rFonts w:eastAsia="Calibri"/>
              </w:rPr>
            </w:pPr>
          </w:p>
          <w:p w14:paraId="0E4F3D71" w14:textId="77777777" w:rsidR="00DD13BF" w:rsidRPr="00790120" w:rsidRDefault="00DD13BF" w:rsidP="00355A56">
            <w:pPr>
              <w:widowControl/>
              <w:autoSpaceDE/>
              <w:autoSpaceDN/>
              <w:jc w:val="both"/>
              <w:rPr>
                <w:rFonts w:eastAsia="Calibri"/>
              </w:rPr>
            </w:pPr>
            <w:r>
              <w:t xml:space="preserve">The Quality and Evaluation Council (ZOFVI) is responsible for determining and assuring quality in kindergartens and schools at the national level; in the field of higher education, the ZVSI determines a committee for monitoring and assuring quality in higher professional schools, and in accordance with the ZVis, the quality of higher education institutions and study programmes evaluated by higher education institutions (self-evaluation) and the </w:t>
            </w:r>
            <w:r>
              <w:lastRenderedPageBreak/>
              <w:t>NAKVIS (external evaluation). With the latter, it ensures the coordination of higher education and higher professional education.</w:t>
            </w:r>
          </w:p>
        </w:tc>
      </w:tr>
      <w:tr w:rsidR="00DD13BF" w:rsidRPr="00790120" w14:paraId="52A74C20" w14:textId="77777777" w:rsidTr="00355A56">
        <w:trPr>
          <w:trHeight w:val="353"/>
        </w:trPr>
        <w:tc>
          <w:tcPr>
            <w:tcW w:w="1538" w:type="dxa"/>
            <w:vMerge/>
          </w:tcPr>
          <w:p w14:paraId="1C39144F" w14:textId="77777777" w:rsidR="00DD13BF" w:rsidRPr="00790120" w:rsidRDefault="00DD13BF" w:rsidP="00355A56">
            <w:pPr>
              <w:widowControl/>
              <w:autoSpaceDE/>
              <w:autoSpaceDN/>
              <w:rPr>
                <w:rFonts w:eastAsia="Calibri"/>
              </w:rPr>
            </w:pPr>
          </w:p>
        </w:tc>
        <w:tc>
          <w:tcPr>
            <w:tcW w:w="877" w:type="dxa"/>
            <w:vMerge/>
          </w:tcPr>
          <w:p w14:paraId="54CCE314" w14:textId="77777777" w:rsidR="00DD13BF" w:rsidRPr="00790120" w:rsidRDefault="00DD13BF" w:rsidP="00355A56">
            <w:pPr>
              <w:widowControl/>
              <w:autoSpaceDE/>
              <w:autoSpaceDN/>
              <w:rPr>
                <w:rFonts w:eastAsia="Calibri"/>
              </w:rPr>
            </w:pPr>
          </w:p>
        </w:tc>
        <w:tc>
          <w:tcPr>
            <w:tcW w:w="1985" w:type="dxa"/>
            <w:vMerge/>
          </w:tcPr>
          <w:p w14:paraId="533061F0" w14:textId="77777777" w:rsidR="00DD13BF" w:rsidRPr="00790120" w:rsidRDefault="00DD13BF" w:rsidP="00355A56">
            <w:pPr>
              <w:widowControl/>
              <w:autoSpaceDE/>
              <w:autoSpaceDN/>
              <w:rPr>
                <w:rFonts w:eastAsia="Calibri"/>
              </w:rPr>
            </w:pPr>
          </w:p>
        </w:tc>
        <w:tc>
          <w:tcPr>
            <w:tcW w:w="1134" w:type="dxa"/>
            <w:vMerge/>
          </w:tcPr>
          <w:p w14:paraId="022A0EB4" w14:textId="77777777" w:rsidR="00DD13BF" w:rsidRPr="00790120" w:rsidRDefault="00DD13BF" w:rsidP="00355A56">
            <w:pPr>
              <w:widowControl/>
              <w:autoSpaceDE/>
              <w:autoSpaceDN/>
              <w:rPr>
                <w:rFonts w:eastAsia="Calibri"/>
              </w:rPr>
            </w:pPr>
          </w:p>
        </w:tc>
        <w:tc>
          <w:tcPr>
            <w:tcW w:w="1984" w:type="dxa"/>
          </w:tcPr>
          <w:p w14:paraId="2282D30E" w14:textId="77777777" w:rsidR="00DD13BF" w:rsidRPr="00790120" w:rsidRDefault="00DD13BF" w:rsidP="00355A56">
            <w:pPr>
              <w:widowControl/>
              <w:autoSpaceDE/>
              <w:autoSpaceDN/>
              <w:rPr>
                <w:rFonts w:eastAsia="Calibri"/>
              </w:rPr>
            </w:pPr>
            <w:r>
              <w:t>6. Measures to target low-skilled, low-qualified</w:t>
            </w:r>
          </w:p>
          <w:p w14:paraId="0FE77464" w14:textId="77777777" w:rsidR="00DD13BF" w:rsidRPr="00790120" w:rsidRDefault="00DD13BF" w:rsidP="00355A56">
            <w:pPr>
              <w:widowControl/>
              <w:autoSpaceDE/>
              <w:autoSpaceDN/>
              <w:rPr>
                <w:rFonts w:eastAsia="Calibri"/>
              </w:rPr>
            </w:pPr>
            <w:r>
              <w:t>adults and those with disadvantaged socio-economic backgrounds and upskilling pathways.</w:t>
            </w:r>
          </w:p>
        </w:tc>
        <w:tc>
          <w:tcPr>
            <w:tcW w:w="709" w:type="dxa"/>
          </w:tcPr>
          <w:p w14:paraId="3D68E291" w14:textId="77777777" w:rsidR="00DD13BF" w:rsidRPr="00790120" w:rsidRDefault="00DD13BF" w:rsidP="00355A56">
            <w:pPr>
              <w:widowControl/>
              <w:autoSpaceDE/>
              <w:autoSpaceDN/>
              <w:rPr>
                <w:rFonts w:eastAsia="Calibri"/>
              </w:rPr>
            </w:pPr>
            <w:r>
              <w:t>Yes</w:t>
            </w:r>
          </w:p>
        </w:tc>
        <w:tc>
          <w:tcPr>
            <w:tcW w:w="2267" w:type="dxa"/>
          </w:tcPr>
          <w:p w14:paraId="7BC89E07" w14:textId="77777777" w:rsidR="00DD13BF" w:rsidRPr="00790120" w:rsidRDefault="00425F22" w:rsidP="00355A56">
            <w:pPr>
              <w:widowControl/>
              <w:autoSpaceDE/>
              <w:autoSpaceDN/>
              <w:rPr>
                <w:rFonts w:eastAsia="Calibri"/>
                <w:color w:val="0563C1"/>
                <w:u w:val="single"/>
              </w:rPr>
            </w:pPr>
            <w:hyperlink r:id="rId205" w:history="1">
              <w:r w:rsidR="00DD13BF">
                <w:rPr>
                  <w:color w:val="0563C1"/>
                  <w:u w:val="single"/>
                </w:rPr>
                <w:t>Resolution on the National Programme of Adult Education in the Republic of Slovenia 2022– 2030</w:t>
              </w:r>
            </w:hyperlink>
          </w:p>
          <w:p w14:paraId="5A636C13" w14:textId="77777777" w:rsidR="00DD13BF" w:rsidRPr="00790120" w:rsidRDefault="00DD13BF" w:rsidP="00355A56">
            <w:pPr>
              <w:widowControl/>
              <w:autoSpaceDE/>
              <w:autoSpaceDN/>
              <w:rPr>
                <w:rFonts w:eastAsia="Calibri"/>
              </w:rPr>
            </w:pPr>
          </w:p>
          <w:p w14:paraId="333606B8" w14:textId="77777777" w:rsidR="00DD13BF" w:rsidRPr="00790120" w:rsidRDefault="00425F22" w:rsidP="00355A56">
            <w:pPr>
              <w:widowControl/>
              <w:autoSpaceDE/>
              <w:autoSpaceDN/>
              <w:rPr>
                <w:rFonts w:eastAsia="Calibri"/>
                <w:color w:val="0563C1"/>
                <w:u w:val="single"/>
              </w:rPr>
            </w:pPr>
            <w:hyperlink r:id="rId206" w:history="1">
              <w:r w:rsidR="00DD13BF">
                <w:rPr>
                  <w:color w:val="0563C1"/>
                  <w:u w:val="single"/>
                </w:rPr>
                <w:t>Organisation and Financing of Education Act</w:t>
              </w:r>
            </w:hyperlink>
          </w:p>
          <w:p w14:paraId="3AAC9750" w14:textId="77777777" w:rsidR="00DD13BF" w:rsidRPr="00790120" w:rsidRDefault="00DD13BF" w:rsidP="00355A56">
            <w:pPr>
              <w:widowControl/>
              <w:autoSpaceDE/>
              <w:autoSpaceDN/>
              <w:rPr>
                <w:rFonts w:eastAsia="Calibri"/>
                <w:color w:val="0563C1"/>
                <w:u w:val="single"/>
              </w:rPr>
            </w:pPr>
          </w:p>
          <w:p w14:paraId="0A35A312" w14:textId="77777777" w:rsidR="00DD13BF" w:rsidRPr="00790120" w:rsidRDefault="00425F22" w:rsidP="00355A56">
            <w:pPr>
              <w:widowControl/>
              <w:autoSpaceDE/>
              <w:autoSpaceDN/>
              <w:rPr>
                <w:rFonts w:eastAsia="Calibri"/>
                <w:color w:val="0563C1"/>
                <w:u w:val="single"/>
              </w:rPr>
            </w:pPr>
            <w:hyperlink r:id="rId207" w:history="1">
              <w:r w:rsidR="00DD13BF">
                <w:rPr>
                  <w:color w:val="0563C1"/>
                  <w:u w:val="single"/>
                </w:rPr>
                <w:t>Adult Education Act</w:t>
              </w:r>
            </w:hyperlink>
            <w:r w:rsidR="00DD13BF">
              <w:t xml:space="preserve"> </w:t>
            </w:r>
          </w:p>
          <w:p w14:paraId="46BD9632" w14:textId="77777777" w:rsidR="00DD13BF" w:rsidRPr="00790120" w:rsidRDefault="00DD13BF" w:rsidP="00355A56">
            <w:pPr>
              <w:widowControl/>
              <w:autoSpaceDE/>
              <w:autoSpaceDN/>
              <w:jc w:val="center"/>
              <w:rPr>
                <w:rFonts w:eastAsia="Calibri"/>
              </w:rPr>
            </w:pPr>
          </w:p>
        </w:tc>
        <w:tc>
          <w:tcPr>
            <w:tcW w:w="3402" w:type="dxa"/>
          </w:tcPr>
          <w:p w14:paraId="7237DFE4" w14:textId="77777777" w:rsidR="00DD13BF" w:rsidRPr="00790120" w:rsidRDefault="00DD13BF" w:rsidP="00355A56">
            <w:pPr>
              <w:widowControl/>
              <w:autoSpaceDE/>
              <w:autoSpaceDN/>
              <w:jc w:val="both"/>
              <w:rPr>
                <w:rFonts w:eastAsia="Calibri"/>
              </w:rPr>
            </w:pPr>
            <w:r>
              <w:t>In accordance with international recommendations, applicable legislation in this field, and a strategic document in preparation, Slovenia addresses the said measures in the field of adult education. The basis for the preparation of concrete measures will be determined with the adoption of a new national programme. The objectives are to increase the involvement of adults in lifelong education and learning, raise the level of basic abilities and improve general education, raise the educational level of adults, increase the skills of the population to successfully respond to the needs and demands of the labour market, and to enhance support activities for learning and inclusion in education.</w:t>
            </w:r>
          </w:p>
          <w:p w14:paraId="649524F6" w14:textId="77777777" w:rsidR="00DD13BF" w:rsidRPr="00790120" w:rsidRDefault="00DD13BF" w:rsidP="00355A56">
            <w:pPr>
              <w:widowControl/>
              <w:autoSpaceDE/>
              <w:autoSpaceDN/>
              <w:jc w:val="both"/>
              <w:rPr>
                <w:rFonts w:eastAsia="Calibri"/>
              </w:rPr>
            </w:pPr>
          </w:p>
          <w:p w14:paraId="48B7EA60" w14:textId="77777777" w:rsidR="00DD13BF" w:rsidRPr="00790120" w:rsidRDefault="00DD13BF" w:rsidP="00355A56">
            <w:pPr>
              <w:widowControl/>
              <w:autoSpaceDE/>
              <w:autoSpaceDN/>
              <w:jc w:val="both"/>
              <w:rPr>
                <w:rFonts w:eastAsia="Calibri"/>
              </w:rPr>
            </w:pPr>
            <w:r>
              <w:t xml:space="preserve">According to the ZIO-1, less educated and other vulnerable groups should be encouraged to receive education and learn. To this </w:t>
            </w:r>
            <w:r>
              <w:lastRenderedPageBreak/>
              <w:t>end, the proposal for a new national adult education programme by 2030 stipulates the creation of new training programmes aimed at integrating hard-to-employ categories (elderly people, less educated and qualified workers, immigrants with inadequate qualifications) and vulnerable population groups (physically, mentally or socially disadvantaged).</w:t>
            </w:r>
          </w:p>
        </w:tc>
      </w:tr>
      <w:tr w:rsidR="00DD13BF" w:rsidRPr="00790120" w14:paraId="4B52239A" w14:textId="77777777" w:rsidTr="00355A56">
        <w:trPr>
          <w:trHeight w:val="353"/>
        </w:trPr>
        <w:tc>
          <w:tcPr>
            <w:tcW w:w="1538" w:type="dxa"/>
            <w:vMerge/>
          </w:tcPr>
          <w:p w14:paraId="77204D00" w14:textId="77777777" w:rsidR="00DD13BF" w:rsidRPr="00790120" w:rsidRDefault="00DD13BF" w:rsidP="00355A56">
            <w:pPr>
              <w:widowControl/>
              <w:autoSpaceDE/>
              <w:autoSpaceDN/>
              <w:rPr>
                <w:rFonts w:eastAsia="Calibri"/>
              </w:rPr>
            </w:pPr>
          </w:p>
        </w:tc>
        <w:tc>
          <w:tcPr>
            <w:tcW w:w="877" w:type="dxa"/>
            <w:vMerge/>
          </w:tcPr>
          <w:p w14:paraId="2D36EFFD" w14:textId="77777777" w:rsidR="00DD13BF" w:rsidRPr="00790120" w:rsidRDefault="00DD13BF" w:rsidP="00355A56">
            <w:pPr>
              <w:widowControl/>
              <w:autoSpaceDE/>
              <w:autoSpaceDN/>
              <w:rPr>
                <w:rFonts w:eastAsia="Calibri"/>
              </w:rPr>
            </w:pPr>
          </w:p>
        </w:tc>
        <w:tc>
          <w:tcPr>
            <w:tcW w:w="1985" w:type="dxa"/>
            <w:vMerge/>
          </w:tcPr>
          <w:p w14:paraId="2FA18179" w14:textId="77777777" w:rsidR="00DD13BF" w:rsidRPr="00790120" w:rsidRDefault="00DD13BF" w:rsidP="00355A56">
            <w:pPr>
              <w:widowControl/>
              <w:autoSpaceDE/>
              <w:autoSpaceDN/>
              <w:rPr>
                <w:rFonts w:eastAsia="Calibri"/>
              </w:rPr>
            </w:pPr>
          </w:p>
        </w:tc>
        <w:tc>
          <w:tcPr>
            <w:tcW w:w="1134" w:type="dxa"/>
            <w:vMerge/>
          </w:tcPr>
          <w:p w14:paraId="61F0BA26" w14:textId="77777777" w:rsidR="00DD13BF" w:rsidRPr="00790120" w:rsidRDefault="00DD13BF" w:rsidP="00355A56">
            <w:pPr>
              <w:widowControl/>
              <w:autoSpaceDE/>
              <w:autoSpaceDN/>
              <w:rPr>
                <w:rFonts w:eastAsia="Calibri"/>
              </w:rPr>
            </w:pPr>
          </w:p>
        </w:tc>
        <w:tc>
          <w:tcPr>
            <w:tcW w:w="1984" w:type="dxa"/>
          </w:tcPr>
          <w:p w14:paraId="6B2230AC" w14:textId="77777777" w:rsidR="00DD13BF" w:rsidRPr="00790120" w:rsidRDefault="00DD13BF" w:rsidP="00355A56">
            <w:pPr>
              <w:widowControl/>
              <w:autoSpaceDE/>
              <w:autoSpaceDN/>
              <w:rPr>
                <w:rFonts w:eastAsia="Calibri"/>
              </w:rPr>
            </w:pPr>
            <w:r>
              <w:t>7. Measures to support teachers, trainers and</w:t>
            </w:r>
          </w:p>
          <w:p w14:paraId="19B233C4" w14:textId="77777777" w:rsidR="00DD13BF" w:rsidRPr="00790120" w:rsidRDefault="00DD13BF" w:rsidP="00355A56">
            <w:pPr>
              <w:widowControl/>
              <w:autoSpaceDE/>
              <w:autoSpaceDN/>
              <w:rPr>
                <w:rFonts w:eastAsia="Calibri"/>
              </w:rPr>
            </w:pPr>
            <w:r>
              <w:t>academic staff as regards appropriate learning methods,</w:t>
            </w:r>
          </w:p>
          <w:p w14:paraId="6478B4A7" w14:textId="77777777" w:rsidR="00DD13BF" w:rsidRPr="00790120" w:rsidRDefault="00DD13BF" w:rsidP="00355A56">
            <w:pPr>
              <w:widowControl/>
              <w:autoSpaceDE/>
              <w:autoSpaceDN/>
              <w:rPr>
                <w:rFonts w:eastAsia="Calibri"/>
              </w:rPr>
            </w:pPr>
            <w:r>
              <w:t>assessment and validation of key competences.</w:t>
            </w:r>
          </w:p>
        </w:tc>
        <w:tc>
          <w:tcPr>
            <w:tcW w:w="709" w:type="dxa"/>
          </w:tcPr>
          <w:p w14:paraId="05B74B54" w14:textId="77777777" w:rsidR="00DD13BF" w:rsidRPr="00790120" w:rsidRDefault="00DD13BF" w:rsidP="00355A56">
            <w:pPr>
              <w:widowControl/>
              <w:autoSpaceDE/>
              <w:autoSpaceDN/>
              <w:rPr>
                <w:rFonts w:eastAsia="Calibri"/>
              </w:rPr>
            </w:pPr>
            <w:r>
              <w:t>Yes</w:t>
            </w:r>
          </w:p>
        </w:tc>
        <w:tc>
          <w:tcPr>
            <w:tcW w:w="2267" w:type="dxa"/>
          </w:tcPr>
          <w:p w14:paraId="63D19521" w14:textId="77777777" w:rsidR="00DD13BF" w:rsidRPr="00790120" w:rsidRDefault="00425F22" w:rsidP="00355A56">
            <w:pPr>
              <w:widowControl/>
              <w:autoSpaceDE/>
              <w:autoSpaceDN/>
              <w:rPr>
                <w:rFonts w:eastAsia="Calibri"/>
                <w:color w:val="0563C1"/>
                <w:u w:val="single"/>
              </w:rPr>
            </w:pPr>
            <w:hyperlink r:id="rId208" w:history="1">
              <w:r w:rsidR="00DD13BF">
                <w:rPr>
                  <w:color w:val="0563C1"/>
                  <w:u w:val="single"/>
                </w:rPr>
                <w:t>Organisation and Financing of Education Act</w:t>
              </w:r>
            </w:hyperlink>
          </w:p>
          <w:p w14:paraId="7A52F4FE" w14:textId="77777777" w:rsidR="00DD13BF" w:rsidRPr="00790120" w:rsidRDefault="00DD13BF" w:rsidP="00355A56">
            <w:pPr>
              <w:widowControl/>
              <w:autoSpaceDE/>
              <w:autoSpaceDN/>
              <w:contextualSpacing/>
              <w:jc w:val="both"/>
              <w:rPr>
                <w:rFonts w:eastAsia="Calibri"/>
                <w:noProof/>
              </w:rPr>
            </w:pPr>
          </w:p>
          <w:p w14:paraId="5B8DA497" w14:textId="77777777" w:rsidR="00DD13BF" w:rsidRPr="00790120" w:rsidRDefault="00425F22" w:rsidP="00355A56">
            <w:pPr>
              <w:widowControl/>
              <w:autoSpaceDE/>
              <w:autoSpaceDN/>
              <w:contextualSpacing/>
              <w:jc w:val="both"/>
              <w:rPr>
                <w:rFonts w:eastAsia="Calibri"/>
                <w:noProof/>
              </w:rPr>
            </w:pPr>
            <w:hyperlink r:id="rId209" w:history="1">
              <w:r w:rsidR="00DD13BF">
                <w:rPr>
                  <w:color w:val="0563C1"/>
                  <w:u w:val="single"/>
                </w:rPr>
                <w:t>Kindergartens Act</w:t>
              </w:r>
            </w:hyperlink>
          </w:p>
          <w:p w14:paraId="63F0197B" w14:textId="77777777" w:rsidR="00DD13BF" w:rsidRPr="00790120" w:rsidRDefault="00DD13BF" w:rsidP="00355A56">
            <w:pPr>
              <w:widowControl/>
              <w:autoSpaceDE/>
              <w:autoSpaceDN/>
              <w:rPr>
                <w:rFonts w:eastAsia="Calibri"/>
                <w:noProof/>
              </w:rPr>
            </w:pPr>
          </w:p>
          <w:p w14:paraId="0D0E81B7" w14:textId="77777777" w:rsidR="00DD13BF" w:rsidRPr="00790120" w:rsidRDefault="00425F22" w:rsidP="00355A56">
            <w:pPr>
              <w:widowControl/>
              <w:autoSpaceDE/>
              <w:autoSpaceDN/>
              <w:rPr>
                <w:rFonts w:eastAsia="Calibri"/>
                <w:color w:val="0563C1"/>
                <w:u w:val="single"/>
              </w:rPr>
            </w:pPr>
            <w:hyperlink r:id="rId210" w:history="1">
              <w:r w:rsidR="00DD13BF">
                <w:rPr>
                  <w:color w:val="0563C1"/>
                  <w:u w:val="single"/>
                </w:rPr>
                <w:t>Basic School Act</w:t>
              </w:r>
            </w:hyperlink>
          </w:p>
          <w:p w14:paraId="009310E4" w14:textId="77777777" w:rsidR="00DD13BF" w:rsidRPr="00790120" w:rsidRDefault="00DD13BF" w:rsidP="00355A56">
            <w:pPr>
              <w:widowControl/>
              <w:autoSpaceDE/>
              <w:autoSpaceDN/>
              <w:rPr>
                <w:rFonts w:eastAsia="Calibri"/>
              </w:rPr>
            </w:pPr>
          </w:p>
          <w:p w14:paraId="24FBB247" w14:textId="77777777" w:rsidR="00DD13BF" w:rsidRPr="00790120" w:rsidRDefault="00425F22" w:rsidP="00355A56">
            <w:pPr>
              <w:widowControl/>
              <w:autoSpaceDE/>
              <w:autoSpaceDN/>
              <w:rPr>
                <w:rFonts w:eastAsia="Calibri"/>
                <w:color w:val="0563C1"/>
                <w:u w:val="single"/>
              </w:rPr>
            </w:pPr>
            <w:hyperlink r:id="rId211" w:history="1">
              <w:r w:rsidR="00DD13BF">
                <w:rPr>
                  <w:color w:val="0563C1"/>
                  <w:u w:val="single"/>
                </w:rPr>
                <w:t>Gimnazija Act</w:t>
              </w:r>
            </w:hyperlink>
          </w:p>
          <w:p w14:paraId="66F31127" w14:textId="77777777" w:rsidR="00DD13BF" w:rsidRPr="00790120" w:rsidRDefault="00DD13BF" w:rsidP="00355A56">
            <w:pPr>
              <w:widowControl/>
              <w:autoSpaceDE/>
              <w:autoSpaceDN/>
              <w:rPr>
                <w:rFonts w:eastAsia="Calibri"/>
              </w:rPr>
            </w:pPr>
          </w:p>
          <w:p w14:paraId="15E5F5D3" w14:textId="77777777" w:rsidR="00DD13BF" w:rsidRPr="00790120" w:rsidRDefault="00425F22" w:rsidP="00355A56">
            <w:pPr>
              <w:widowControl/>
              <w:autoSpaceDE/>
              <w:autoSpaceDN/>
              <w:rPr>
                <w:rFonts w:eastAsia="Calibri"/>
                <w:color w:val="0563C1"/>
                <w:u w:val="single"/>
              </w:rPr>
            </w:pPr>
            <w:hyperlink r:id="rId212" w:history="1">
              <w:r w:rsidR="00DD13BF">
                <w:rPr>
                  <w:color w:val="0563C1"/>
                  <w:u w:val="single"/>
                </w:rPr>
                <w:t>Higher Vocational Education Act</w:t>
              </w:r>
            </w:hyperlink>
          </w:p>
          <w:p w14:paraId="321469FB" w14:textId="77777777" w:rsidR="00DD13BF" w:rsidRPr="00790120" w:rsidRDefault="00DD13BF" w:rsidP="00355A56">
            <w:pPr>
              <w:widowControl/>
              <w:autoSpaceDE/>
              <w:autoSpaceDN/>
              <w:rPr>
                <w:rFonts w:eastAsia="Calibri"/>
                <w:color w:val="0563C1"/>
                <w:u w:val="single"/>
              </w:rPr>
            </w:pPr>
          </w:p>
          <w:p w14:paraId="5432A337" w14:textId="77777777" w:rsidR="00DD13BF" w:rsidRPr="00790120" w:rsidRDefault="00425F22" w:rsidP="00355A56">
            <w:pPr>
              <w:widowControl/>
              <w:autoSpaceDE/>
              <w:autoSpaceDN/>
              <w:rPr>
                <w:rFonts w:eastAsia="Calibri"/>
                <w:color w:val="0563C1"/>
                <w:u w:val="single"/>
              </w:rPr>
            </w:pPr>
            <w:hyperlink r:id="rId213" w:history="1">
              <w:r w:rsidR="00DD13BF">
                <w:rPr>
                  <w:color w:val="0563C1"/>
                  <w:u w:val="single"/>
                </w:rPr>
                <w:t>Strategy of the Republic of Slovenia for short-cycle higher vocational education 2020–2030</w:t>
              </w:r>
            </w:hyperlink>
          </w:p>
          <w:p w14:paraId="35AC5770" w14:textId="77777777" w:rsidR="00DD13BF" w:rsidRPr="00790120" w:rsidRDefault="00DD13BF" w:rsidP="00355A56">
            <w:pPr>
              <w:widowControl/>
              <w:autoSpaceDE/>
              <w:autoSpaceDN/>
              <w:rPr>
                <w:rFonts w:eastAsia="Calibri"/>
                <w:color w:val="0563C1"/>
                <w:u w:val="single"/>
              </w:rPr>
            </w:pPr>
          </w:p>
          <w:p w14:paraId="2FA33117" w14:textId="77777777" w:rsidR="00DD13BF" w:rsidRPr="00790120" w:rsidRDefault="00425F22" w:rsidP="00355A56">
            <w:pPr>
              <w:widowControl/>
              <w:autoSpaceDE/>
              <w:autoSpaceDN/>
              <w:rPr>
                <w:rFonts w:eastAsia="Calibri"/>
                <w:color w:val="0563C1"/>
                <w:u w:val="single"/>
              </w:rPr>
            </w:pPr>
            <w:hyperlink r:id="rId214" w:history="1">
              <w:r w:rsidR="00DD13BF">
                <w:rPr>
                  <w:color w:val="0563C1"/>
                  <w:u w:val="single"/>
                </w:rPr>
                <w:t>Higher Education Act</w:t>
              </w:r>
            </w:hyperlink>
          </w:p>
          <w:p w14:paraId="229F0B2F" w14:textId="77777777" w:rsidR="00DD13BF" w:rsidRPr="00790120" w:rsidRDefault="00DD13BF" w:rsidP="00355A56">
            <w:pPr>
              <w:widowControl/>
              <w:autoSpaceDE/>
              <w:autoSpaceDN/>
              <w:rPr>
                <w:rFonts w:eastAsia="Calibri"/>
              </w:rPr>
            </w:pPr>
          </w:p>
          <w:p w14:paraId="4A7CDD05" w14:textId="77777777" w:rsidR="00DD13BF" w:rsidRPr="00790120" w:rsidRDefault="00DD13BF" w:rsidP="00355A56">
            <w:pPr>
              <w:widowControl/>
              <w:autoSpaceDE/>
              <w:autoSpaceDN/>
              <w:rPr>
                <w:rFonts w:eastAsia="Calibri"/>
              </w:rPr>
            </w:pPr>
            <w:r>
              <w:rPr>
                <w:color w:val="0563C1"/>
                <w:u w:val="single"/>
              </w:rPr>
              <w:t xml:space="preserve">Resolution on National programme of higher education 2030 </w:t>
            </w:r>
          </w:p>
          <w:p w14:paraId="3337E594" w14:textId="77777777" w:rsidR="00DD13BF" w:rsidRPr="00790120" w:rsidRDefault="00DD13BF" w:rsidP="00355A56">
            <w:pPr>
              <w:widowControl/>
              <w:autoSpaceDE/>
              <w:autoSpaceDN/>
              <w:rPr>
                <w:rFonts w:eastAsia="Calibri"/>
              </w:rPr>
            </w:pPr>
          </w:p>
          <w:p w14:paraId="026F33AA" w14:textId="77777777" w:rsidR="00DD13BF" w:rsidRPr="00790120" w:rsidRDefault="00425F22" w:rsidP="00355A56">
            <w:pPr>
              <w:widowControl/>
              <w:autoSpaceDE/>
              <w:autoSpaceDN/>
              <w:rPr>
                <w:rFonts w:eastAsia="Calibri"/>
                <w:color w:val="0563C1"/>
                <w:u w:val="single"/>
              </w:rPr>
            </w:pPr>
            <w:hyperlink r:id="rId215" w:history="1">
              <w:r w:rsidR="00DD13BF">
                <w:rPr>
                  <w:color w:val="0563C1"/>
                  <w:u w:val="single"/>
                </w:rPr>
                <w:t>Adult Education Act</w:t>
              </w:r>
            </w:hyperlink>
          </w:p>
          <w:p w14:paraId="7F1DAC83" w14:textId="77777777" w:rsidR="00DD13BF" w:rsidRPr="00790120" w:rsidRDefault="00DD13BF" w:rsidP="00355A56">
            <w:pPr>
              <w:widowControl/>
              <w:autoSpaceDE/>
              <w:autoSpaceDN/>
              <w:rPr>
                <w:rFonts w:eastAsia="Calibri"/>
                <w:color w:val="0563C1"/>
                <w:u w:val="single"/>
              </w:rPr>
            </w:pPr>
          </w:p>
          <w:p w14:paraId="307020CB" w14:textId="77777777" w:rsidR="00DD13BF" w:rsidRPr="00790120" w:rsidRDefault="00425F22" w:rsidP="00355A56">
            <w:pPr>
              <w:widowControl/>
              <w:autoSpaceDE/>
              <w:autoSpaceDN/>
              <w:rPr>
                <w:rFonts w:eastAsia="Calibri"/>
                <w:color w:val="0563C1"/>
                <w:u w:val="single"/>
              </w:rPr>
            </w:pPr>
            <w:hyperlink r:id="rId216" w:history="1">
              <w:r w:rsidR="00DD13BF">
                <w:rPr>
                  <w:color w:val="0563C1"/>
                  <w:u w:val="single"/>
                </w:rPr>
                <w:t>Resolution on the National Programme of Adult Education in the Republic of Slovenia 2022– 2030</w:t>
              </w:r>
            </w:hyperlink>
          </w:p>
          <w:p w14:paraId="58A6D83F" w14:textId="77777777" w:rsidR="00DD13BF" w:rsidRPr="00790120" w:rsidRDefault="00DD13BF" w:rsidP="00355A56">
            <w:pPr>
              <w:widowControl/>
              <w:autoSpaceDE/>
              <w:autoSpaceDN/>
              <w:rPr>
                <w:rFonts w:eastAsia="Calibri"/>
                <w:color w:val="0563C1"/>
                <w:u w:val="single"/>
              </w:rPr>
            </w:pPr>
          </w:p>
          <w:p w14:paraId="13C2D430" w14:textId="77777777" w:rsidR="00DD13BF" w:rsidRPr="00790120" w:rsidRDefault="00DD13BF" w:rsidP="00355A56">
            <w:pPr>
              <w:widowControl/>
              <w:autoSpaceDE/>
              <w:autoSpaceDN/>
              <w:jc w:val="center"/>
              <w:rPr>
                <w:rFonts w:eastAsia="Calibri"/>
              </w:rPr>
            </w:pPr>
            <w:r>
              <w:t>and implementing regulations</w:t>
            </w:r>
          </w:p>
        </w:tc>
        <w:tc>
          <w:tcPr>
            <w:tcW w:w="3402" w:type="dxa"/>
          </w:tcPr>
          <w:p w14:paraId="3452ED1C" w14:textId="77777777" w:rsidR="00DD13BF" w:rsidRPr="00790120" w:rsidRDefault="00DD13BF" w:rsidP="00355A56">
            <w:pPr>
              <w:widowControl/>
              <w:autoSpaceDE/>
              <w:autoSpaceDN/>
              <w:jc w:val="both"/>
              <w:rPr>
                <w:rFonts w:eastAsia="Calibri"/>
              </w:rPr>
            </w:pPr>
            <w:r>
              <w:lastRenderedPageBreak/>
              <w:t xml:space="preserve">In accordance with the ZOFVI and other sectoral laws for individual levels of education, and implementing regulations, the basic framework of competences of professionals in educational institutions and the conditions for teaching are defined. The Collective Agreement for the Education Sector in the Republic of Slovenia defines in more detail in-service training, upskilling and training for employees in institutions or employers in education. </w:t>
            </w:r>
          </w:p>
          <w:p w14:paraId="6C5F236F" w14:textId="77777777" w:rsidR="00DD13BF" w:rsidRPr="00790120" w:rsidRDefault="00DD13BF" w:rsidP="00355A56">
            <w:pPr>
              <w:widowControl/>
              <w:autoSpaceDE/>
              <w:autoSpaceDN/>
              <w:jc w:val="both"/>
              <w:rPr>
                <w:rFonts w:eastAsia="Calibri"/>
              </w:rPr>
            </w:pPr>
          </w:p>
          <w:p w14:paraId="18DF587B" w14:textId="77777777" w:rsidR="00DD13BF" w:rsidRPr="00790120" w:rsidRDefault="00DD13BF" w:rsidP="00355A56">
            <w:pPr>
              <w:widowControl/>
              <w:autoSpaceDE/>
              <w:autoSpaceDN/>
              <w:jc w:val="both"/>
              <w:rPr>
                <w:rFonts w:eastAsia="Calibri"/>
              </w:rPr>
            </w:pPr>
            <w:r>
              <w:t xml:space="preserve">In addition, public institutes (ZRSŠ, CPI, ACS, RIC) were established to carry out activities and tasks, and are responsible for the monitoring of </w:t>
            </w:r>
            <w:r>
              <w:lastRenderedPageBreak/>
              <w:t>professionals, teaching methods and training. Regular training of professionals in education enhances their competences, which are important for quality educational work due to constant changes in the nature of educational work. In the field of higher education, the NAKVIS checks institutional pedagogical support and the connection with the internal quality assurance system.</w:t>
            </w:r>
          </w:p>
        </w:tc>
      </w:tr>
      <w:tr w:rsidR="00DD13BF" w:rsidRPr="00790120" w14:paraId="0028BF8C" w14:textId="77777777" w:rsidTr="00355A56">
        <w:trPr>
          <w:trHeight w:val="353"/>
        </w:trPr>
        <w:tc>
          <w:tcPr>
            <w:tcW w:w="1538" w:type="dxa"/>
            <w:vMerge/>
          </w:tcPr>
          <w:p w14:paraId="292C9846" w14:textId="77777777" w:rsidR="00DD13BF" w:rsidRPr="00790120" w:rsidRDefault="00DD13BF" w:rsidP="00355A56">
            <w:pPr>
              <w:widowControl/>
              <w:autoSpaceDE/>
              <w:autoSpaceDN/>
              <w:rPr>
                <w:rFonts w:eastAsia="Calibri"/>
              </w:rPr>
            </w:pPr>
          </w:p>
        </w:tc>
        <w:tc>
          <w:tcPr>
            <w:tcW w:w="877" w:type="dxa"/>
            <w:vMerge/>
          </w:tcPr>
          <w:p w14:paraId="2EDA7A4A" w14:textId="77777777" w:rsidR="00DD13BF" w:rsidRPr="00790120" w:rsidRDefault="00DD13BF" w:rsidP="00355A56">
            <w:pPr>
              <w:widowControl/>
              <w:autoSpaceDE/>
              <w:autoSpaceDN/>
              <w:rPr>
                <w:rFonts w:eastAsia="Calibri"/>
              </w:rPr>
            </w:pPr>
          </w:p>
        </w:tc>
        <w:tc>
          <w:tcPr>
            <w:tcW w:w="1985" w:type="dxa"/>
            <w:vMerge/>
          </w:tcPr>
          <w:p w14:paraId="0E923FF4" w14:textId="77777777" w:rsidR="00DD13BF" w:rsidRPr="00790120" w:rsidRDefault="00DD13BF" w:rsidP="00355A56">
            <w:pPr>
              <w:widowControl/>
              <w:autoSpaceDE/>
              <w:autoSpaceDN/>
              <w:rPr>
                <w:rFonts w:eastAsia="Calibri"/>
              </w:rPr>
            </w:pPr>
          </w:p>
        </w:tc>
        <w:tc>
          <w:tcPr>
            <w:tcW w:w="1134" w:type="dxa"/>
            <w:vMerge/>
          </w:tcPr>
          <w:p w14:paraId="1BAC29AB" w14:textId="77777777" w:rsidR="00DD13BF" w:rsidRPr="00790120" w:rsidRDefault="00DD13BF" w:rsidP="00355A56">
            <w:pPr>
              <w:widowControl/>
              <w:autoSpaceDE/>
              <w:autoSpaceDN/>
              <w:rPr>
                <w:rFonts w:eastAsia="Calibri"/>
              </w:rPr>
            </w:pPr>
          </w:p>
        </w:tc>
        <w:tc>
          <w:tcPr>
            <w:tcW w:w="1984" w:type="dxa"/>
          </w:tcPr>
          <w:p w14:paraId="36C7372D" w14:textId="77777777" w:rsidR="00DD13BF" w:rsidRPr="00790120" w:rsidRDefault="00DD13BF" w:rsidP="00355A56">
            <w:pPr>
              <w:widowControl/>
              <w:autoSpaceDE/>
              <w:autoSpaceDN/>
              <w:rPr>
                <w:rFonts w:eastAsia="Calibri"/>
              </w:rPr>
            </w:pPr>
            <w:r>
              <w:t>8. Measures to promote mobility of learners and staff and</w:t>
            </w:r>
          </w:p>
          <w:p w14:paraId="139C79B7" w14:textId="77777777" w:rsidR="00DD13BF" w:rsidRPr="00790120" w:rsidRDefault="00DD13BF" w:rsidP="00355A56">
            <w:pPr>
              <w:widowControl/>
              <w:autoSpaceDE/>
              <w:autoSpaceDN/>
              <w:rPr>
                <w:rFonts w:eastAsia="Calibri"/>
              </w:rPr>
            </w:pPr>
            <w:r>
              <w:t>transnational collaboration of education and training providers,</w:t>
            </w:r>
          </w:p>
          <w:p w14:paraId="74F61614" w14:textId="77777777" w:rsidR="00DD13BF" w:rsidRPr="00790120" w:rsidRDefault="00DD13BF" w:rsidP="00355A56">
            <w:pPr>
              <w:widowControl/>
              <w:autoSpaceDE/>
              <w:autoSpaceDN/>
              <w:rPr>
                <w:rFonts w:eastAsia="Calibri"/>
              </w:rPr>
            </w:pPr>
            <w:r>
              <w:t>including through recognition of learning outcomes and</w:t>
            </w:r>
          </w:p>
          <w:p w14:paraId="1FB9EABD" w14:textId="77777777" w:rsidR="00DD13BF" w:rsidRPr="00790120" w:rsidRDefault="00DD13BF" w:rsidP="00355A56">
            <w:pPr>
              <w:widowControl/>
              <w:autoSpaceDE/>
              <w:autoSpaceDN/>
              <w:rPr>
                <w:rFonts w:eastAsia="Calibri"/>
              </w:rPr>
            </w:pPr>
            <w:r>
              <w:t>qualifications.</w:t>
            </w:r>
          </w:p>
        </w:tc>
        <w:tc>
          <w:tcPr>
            <w:tcW w:w="709" w:type="dxa"/>
          </w:tcPr>
          <w:p w14:paraId="3A6F16AC" w14:textId="77777777" w:rsidR="00DD13BF" w:rsidRPr="00790120" w:rsidRDefault="00DD13BF" w:rsidP="00355A56">
            <w:pPr>
              <w:widowControl/>
              <w:autoSpaceDE/>
              <w:autoSpaceDN/>
              <w:rPr>
                <w:rFonts w:eastAsia="Calibri"/>
              </w:rPr>
            </w:pPr>
            <w:r>
              <w:t>Yes</w:t>
            </w:r>
          </w:p>
        </w:tc>
        <w:tc>
          <w:tcPr>
            <w:tcW w:w="2267" w:type="dxa"/>
          </w:tcPr>
          <w:p w14:paraId="52C59F4C" w14:textId="77777777" w:rsidR="00DD13BF" w:rsidRPr="00790120" w:rsidRDefault="00425F22" w:rsidP="00355A56">
            <w:pPr>
              <w:widowControl/>
              <w:autoSpaceDE/>
              <w:autoSpaceDN/>
              <w:rPr>
                <w:rFonts w:eastAsia="Calibri"/>
                <w:color w:val="0563C1"/>
                <w:u w:val="single"/>
              </w:rPr>
            </w:pPr>
            <w:hyperlink r:id="rId217" w:history="1">
              <w:r w:rsidR="00DD13BF">
                <w:rPr>
                  <w:color w:val="0563C1"/>
                  <w:u w:val="single"/>
                </w:rPr>
                <w:t>Organisation and Financing of Education Act</w:t>
              </w:r>
            </w:hyperlink>
          </w:p>
          <w:p w14:paraId="027D0626" w14:textId="77777777" w:rsidR="00DD13BF" w:rsidRPr="00790120" w:rsidRDefault="00DD13BF" w:rsidP="00355A56">
            <w:pPr>
              <w:widowControl/>
              <w:autoSpaceDE/>
              <w:autoSpaceDN/>
              <w:contextualSpacing/>
              <w:jc w:val="both"/>
              <w:rPr>
                <w:rFonts w:eastAsia="Calibri"/>
              </w:rPr>
            </w:pPr>
          </w:p>
          <w:p w14:paraId="116183A0" w14:textId="77777777" w:rsidR="00DD13BF" w:rsidRPr="00790120" w:rsidRDefault="00425F22" w:rsidP="00355A56">
            <w:pPr>
              <w:widowControl/>
              <w:autoSpaceDE/>
              <w:autoSpaceDN/>
              <w:contextualSpacing/>
              <w:jc w:val="both"/>
              <w:rPr>
                <w:rFonts w:eastAsia="Calibri"/>
                <w:color w:val="0563C1"/>
                <w:u w:val="single"/>
              </w:rPr>
            </w:pPr>
            <w:hyperlink r:id="rId218" w:history="1">
              <w:r w:rsidR="00DD13BF">
                <w:rPr>
                  <w:color w:val="0563C1"/>
                  <w:u w:val="single"/>
                </w:rPr>
                <w:t>Decision establishing the Center for Mobility and European Education and Training Programmes as a public institute</w:t>
              </w:r>
            </w:hyperlink>
            <w:r w:rsidR="00DD13BF">
              <w:rPr>
                <w:color w:val="0563C1"/>
                <w:u w:val="single"/>
              </w:rPr>
              <w:t>(CMEPIUS)</w:t>
            </w:r>
          </w:p>
          <w:p w14:paraId="65033DDC" w14:textId="77777777" w:rsidR="00DD13BF" w:rsidRPr="00790120" w:rsidRDefault="00DD13BF" w:rsidP="00355A56">
            <w:pPr>
              <w:widowControl/>
              <w:autoSpaceDE/>
              <w:autoSpaceDN/>
              <w:rPr>
                <w:rFonts w:eastAsia="Calibri"/>
              </w:rPr>
            </w:pPr>
          </w:p>
          <w:p w14:paraId="4868FC42" w14:textId="77777777" w:rsidR="00DD13BF" w:rsidRPr="00790120" w:rsidRDefault="00425F22" w:rsidP="00355A56">
            <w:pPr>
              <w:widowControl/>
              <w:autoSpaceDE/>
              <w:autoSpaceDN/>
              <w:rPr>
                <w:rFonts w:eastAsia="Calibri"/>
                <w:color w:val="0563C1"/>
                <w:u w:val="single"/>
              </w:rPr>
            </w:pPr>
            <w:hyperlink r:id="rId219" w:history="1">
              <w:r w:rsidR="00DD13BF">
                <w:rPr>
                  <w:color w:val="0563C1"/>
                  <w:u w:val="single"/>
                </w:rPr>
                <w:t>Higher Vocational Education Act</w:t>
              </w:r>
            </w:hyperlink>
          </w:p>
          <w:p w14:paraId="7EA259EC" w14:textId="77777777" w:rsidR="00DD13BF" w:rsidRPr="00790120" w:rsidRDefault="00DD13BF" w:rsidP="00355A56">
            <w:pPr>
              <w:widowControl/>
              <w:autoSpaceDE/>
              <w:autoSpaceDN/>
              <w:rPr>
                <w:rFonts w:eastAsia="Calibri"/>
                <w:color w:val="0563C1"/>
                <w:u w:val="single"/>
              </w:rPr>
            </w:pPr>
          </w:p>
          <w:p w14:paraId="3560ACCB" w14:textId="77777777" w:rsidR="00DD13BF" w:rsidRPr="00790120" w:rsidRDefault="00425F22" w:rsidP="00355A56">
            <w:pPr>
              <w:widowControl/>
              <w:autoSpaceDE/>
              <w:autoSpaceDN/>
              <w:rPr>
                <w:rFonts w:eastAsia="Calibri"/>
                <w:color w:val="0563C1"/>
                <w:u w:val="single"/>
              </w:rPr>
            </w:pPr>
            <w:hyperlink r:id="rId220" w:history="1">
              <w:r w:rsidR="00DD13BF">
                <w:rPr>
                  <w:color w:val="0563C1"/>
                  <w:u w:val="single"/>
                </w:rPr>
                <w:t>Strategy of the Republic of Slovenia for short-cycle higher vocational education 2020–2030</w:t>
              </w:r>
            </w:hyperlink>
          </w:p>
          <w:p w14:paraId="58D1BD8A" w14:textId="77777777" w:rsidR="00DD13BF" w:rsidRPr="00790120" w:rsidRDefault="00DD13BF" w:rsidP="00355A56">
            <w:pPr>
              <w:widowControl/>
              <w:autoSpaceDE/>
              <w:autoSpaceDN/>
              <w:rPr>
                <w:rFonts w:eastAsia="Calibri"/>
                <w:color w:val="0563C1"/>
                <w:u w:val="single"/>
              </w:rPr>
            </w:pPr>
          </w:p>
          <w:p w14:paraId="01613027" w14:textId="77777777" w:rsidR="00DD13BF" w:rsidRPr="00790120" w:rsidRDefault="00425F22" w:rsidP="00355A56">
            <w:pPr>
              <w:widowControl/>
              <w:autoSpaceDE/>
              <w:autoSpaceDN/>
              <w:rPr>
                <w:rFonts w:eastAsia="Calibri"/>
                <w:color w:val="0563C1"/>
                <w:u w:val="single"/>
              </w:rPr>
            </w:pPr>
            <w:hyperlink r:id="rId221" w:history="1">
              <w:r w:rsidR="00DD13BF">
                <w:rPr>
                  <w:color w:val="0563C1"/>
                  <w:u w:val="single"/>
                </w:rPr>
                <w:t>Higher Education Act</w:t>
              </w:r>
            </w:hyperlink>
          </w:p>
          <w:p w14:paraId="0880F38E" w14:textId="77777777" w:rsidR="00DD13BF" w:rsidRPr="00790120" w:rsidRDefault="00DD13BF" w:rsidP="00355A56">
            <w:pPr>
              <w:widowControl/>
              <w:autoSpaceDE/>
              <w:autoSpaceDN/>
              <w:rPr>
                <w:rFonts w:eastAsia="Calibri"/>
              </w:rPr>
            </w:pPr>
          </w:p>
          <w:p w14:paraId="560C4895" w14:textId="77777777" w:rsidR="00DD13BF" w:rsidRPr="00790120" w:rsidRDefault="00DD13BF" w:rsidP="00355A56">
            <w:pPr>
              <w:widowControl/>
              <w:autoSpaceDE/>
              <w:autoSpaceDN/>
              <w:rPr>
                <w:rFonts w:eastAsia="Calibri"/>
              </w:rPr>
            </w:pPr>
            <w:r>
              <w:rPr>
                <w:color w:val="0563C1"/>
                <w:u w:val="single"/>
              </w:rPr>
              <w:t xml:space="preserve">Resolution on National programme of higher education 2030 </w:t>
            </w:r>
          </w:p>
          <w:p w14:paraId="304951BC" w14:textId="77777777" w:rsidR="00DD13BF" w:rsidRPr="00790120" w:rsidRDefault="00DD13BF" w:rsidP="00355A56">
            <w:pPr>
              <w:widowControl/>
              <w:autoSpaceDE/>
              <w:autoSpaceDN/>
              <w:rPr>
                <w:rFonts w:eastAsia="Calibri"/>
              </w:rPr>
            </w:pPr>
          </w:p>
          <w:p w14:paraId="07D1741D" w14:textId="77777777" w:rsidR="00DD13BF" w:rsidRPr="00790120" w:rsidRDefault="00425F22" w:rsidP="00355A56">
            <w:pPr>
              <w:widowControl/>
              <w:autoSpaceDE/>
              <w:autoSpaceDN/>
              <w:rPr>
                <w:rFonts w:eastAsia="Calibri"/>
                <w:color w:val="0563C1"/>
                <w:u w:val="single"/>
              </w:rPr>
            </w:pPr>
            <w:hyperlink r:id="rId222" w:history="1">
              <w:r w:rsidR="00DD13BF">
                <w:rPr>
                  <w:color w:val="0563C1"/>
                  <w:u w:val="single"/>
                </w:rPr>
                <w:t>Adult Education Act</w:t>
              </w:r>
            </w:hyperlink>
          </w:p>
          <w:p w14:paraId="096035B6" w14:textId="77777777" w:rsidR="00DD13BF" w:rsidRPr="00790120" w:rsidRDefault="00DD13BF" w:rsidP="00355A56">
            <w:pPr>
              <w:widowControl/>
              <w:autoSpaceDE/>
              <w:autoSpaceDN/>
              <w:rPr>
                <w:rFonts w:eastAsia="Calibri"/>
                <w:color w:val="0563C1"/>
                <w:u w:val="single"/>
              </w:rPr>
            </w:pPr>
          </w:p>
          <w:p w14:paraId="4AF92AEF" w14:textId="77777777" w:rsidR="00DD13BF" w:rsidRPr="00790120" w:rsidRDefault="00425F22" w:rsidP="00355A56">
            <w:pPr>
              <w:widowControl/>
              <w:autoSpaceDE/>
              <w:autoSpaceDN/>
              <w:rPr>
                <w:rFonts w:eastAsia="Calibri"/>
                <w:color w:val="0563C1"/>
                <w:u w:val="single"/>
              </w:rPr>
            </w:pPr>
            <w:hyperlink r:id="rId223" w:history="1">
              <w:r w:rsidR="00DD13BF">
                <w:rPr>
                  <w:color w:val="0563C1"/>
                  <w:u w:val="single"/>
                </w:rPr>
                <w:t>Resolution on the National Programme of Adult Education in the Republic of Slovenia 2022– 2030</w:t>
              </w:r>
            </w:hyperlink>
          </w:p>
          <w:p w14:paraId="53F0E5EB" w14:textId="77777777" w:rsidR="00DD13BF" w:rsidRPr="00790120" w:rsidRDefault="00DD13BF" w:rsidP="00355A56">
            <w:pPr>
              <w:widowControl/>
              <w:autoSpaceDE/>
              <w:autoSpaceDN/>
              <w:rPr>
                <w:rFonts w:eastAsia="Calibri"/>
              </w:rPr>
            </w:pPr>
          </w:p>
          <w:p w14:paraId="5BB15311" w14:textId="77777777" w:rsidR="00DD13BF" w:rsidRPr="00790120" w:rsidRDefault="00425F22" w:rsidP="00355A56">
            <w:pPr>
              <w:widowControl/>
              <w:autoSpaceDE/>
              <w:autoSpaceDN/>
              <w:rPr>
                <w:rFonts w:eastAsia="Calibri"/>
                <w:color w:val="0563C1"/>
                <w:u w:val="single"/>
              </w:rPr>
            </w:pPr>
            <w:hyperlink r:id="rId224" w:history="1">
              <w:r w:rsidR="00DD13BF">
                <w:rPr>
                  <w:color w:val="0563C1"/>
                  <w:u w:val="single"/>
                </w:rPr>
                <w:t>Assessment and Recognition of Education Act</w:t>
              </w:r>
            </w:hyperlink>
          </w:p>
          <w:p w14:paraId="3CCCA631" w14:textId="77777777" w:rsidR="00DD13BF" w:rsidRPr="00790120" w:rsidRDefault="00425F22" w:rsidP="00355A56">
            <w:pPr>
              <w:widowControl/>
              <w:autoSpaceDE/>
              <w:autoSpaceDN/>
              <w:rPr>
                <w:rFonts w:eastAsia="Calibri"/>
                <w:color w:val="0563C1"/>
                <w:u w:val="single"/>
              </w:rPr>
            </w:pPr>
            <w:hyperlink r:id="rId225" w:history="1">
              <w:r w:rsidR="00DD13BF">
                <w:rPr>
                  <w:color w:val="0563C1"/>
                  <w:u w:val="single"/>
                </w:rPr>
                <w:t>Slovenian Qualifications Framework Act</w:t>
              </w:r>
            </w:hyperlink>
          </w:p>
          <w:p w14:paraId="121078AD" w14:textId="77777777" w:rsidR="00DD13BF" w:rsidRPr="00790120" w:rsidRDefault="00DD13BF" w:rsidP="00355A56">
            <w:pPr>
              <w:widowControl/>
              <w:autoSpaceDE/>
              <w:autoSpaceDN/>
              <w:rPr>
                <w:rFonts w:eastAsia="Calibri"/>
                <w:color w:val="0563C1"/>
                <w:u w:val="single"/>
              </w:rPr>
            </w:pPr>
          </w:p>
          <w:p w14:paraId="1CF23448" w14:textId="77777777" w:rsidR="00DD13BF" w:rsidRPr="00790120" w:rsidRDefault="00425F22" w:rsidP="00355A56">
            <w:pPr>
              <w:widowControl/>
              <w:autoSpaceDE/>
              <w:autoSpaceDN/>
              <w:rPr>
                <w:rFonts w:eastAsia="Calibri"/>
              </w:rPr>
            </w:pPr>
            <w:hyperlink r:id="rId226" w:history="1">
              <w:r w:rsidR="00DD13BF">
                <w:rPr>
                  <w:color w:val="0563C1"/>
                  <w:u w:val="single"/>
                </w:rPr>
                <w:t xml:space="preserve">Act Regulating the Procedure for the </w:t>
              </w:r>
              <w:r w:rsidR="00DD13BF">
                <w:rPr>
                  <w:color w:val="0563C1"/>
                  <w:u w:val="single"/>
                </w:rPr>
                <w:lastRenderedPageBreak/>
                <w:t>Recognition of Professional Qualifications for Practising Regulated Professions</w:t>
              </w:r>
            </w:hyperlink>
          </w:p>
        </w:tc>
        <w:tc>
          <w:tcPr>
            <w:tcW w:w="3402" w:type="dxa"/>
          </w:tcPr>
          <w:p w14:paraId="12CC60D0" w14:textId="77777777" w:rsidR="00DD13BF" w:rsidRPr="00790120" w:rsidRDefault="00DD13BF" w:rsidP="00355A56">
            <w:pPr>
              <w:widowControl/>
              <w:autoSpaceDE/>
              <w:autoSpaceDN/>
              <w:jc w:val="both"/>
              <w:rPr>
                <w:rFonts w:eastAsia="Calibri"/>
              </w:rPr>
            </w:pPr>
            <w:r>
              <w:lastRenderedPageBreak/>
              <w:t xml:space="preserve">Slovenian legislation and strategic documents promote the mobility of students and the international cooperation of experts. The CMEPIUS was established for a successful implementation of mobility. </w:t>
            </w:r>
          </w:p>
          <w:p w14:paraId="45AAB6F2" w14:textId="77777777" w:rsidR="00DD13BF" w:rsidRPr="00790120" w:rsidRDefault="00DD13BF" w:rsidP="00355A56">
            <w:pPr>
              <w:widowControl/>
              <w:autoSpaceDE/>
              <w:autoSpaceDN/>
              <w:jc w:val="both"/>
              <w:rPr>
                <w:rFonts w:eastAsia="Calibri"/>
              </w:rPr>
            </w:pPr>
          </w:p>
          <w:p w14:paraId="41394246" w14:textId="77777777" w:rsidR="00DD13BF" w:rsidRPr="00790120" w:rsidRDefault="00DD13BF" w:rsidP="00355A56">
            <w:pPr>
              <w:widowControl/>
              <w:autoSpaceDE/>
              <w:autoSpaceDN/>
              <w:ind w:right="-108"/>
              <w:jc w:val="both"/>
              <w:rPr>
                <w:rFonts w:eastAsia="Calibri"/>
              </w:rPr>
            </w:pPr>
            <w:r>
              <w:t xml:space="preserve">Within the framework of all three strategic documents (which will be valid until 2030), special attention is paid to the promotion of international cooperation, improvement through </w:t>
            </w:r>
            <w:r>
              <w:lastRenderedPageBreak/>
              <w:t>transnational cooperation and the transfer of good practices.</w:t>
            </w:r>
          </w:p>
          <w:p w14:paraId="4CB04189" w14:textId="77777777" w:rsidR="00DD13BF" w:rsidRPr="00790120" w:rsidRDefault="00DD13BF" w:rsidP="00355A56">
            <w:pPr>
              <w:widowControl/>
              <w:autoSpaceDE/>
              <w:autoSpaceDN/>
              <w:jc w:val="both"/>
              <w:rPr>
                <w:rFonts w:eastAsia="Calibri"/>
              </w:rPr>
            </w:pPr>
          </w:p>
          <w:p w14:paraId="20CEF0E6" w14:textId="77777777" w:rsidR="00DD13BF" w:rsidRPr="00790120" w:rsidRDefault="00DD13BF" w:rsidP="00355A56">
            <w:pPr>
              <w:widowControl/>
              <w:autoSpaceDE/>
              <w:autoSpaceDN/>
              <w:jc w:val="both"/>
              <w:rPr>
                <w:rFonts w:eastAsia="Calibri"/>
              </w:rPr>
            </w:pPr>
            <w:r>
              <w:t>In accordance with international treaties or directives, frameworks for the assessment and recognition of education and the recognition of professional qualifications have been established.</w:t>
            </w:r>
          </w:p>
          <w:p w14:paraId="3DFC7003" w14:textId="77777777" w:rsidR="00DD13BF" w:rsidRPr="00790120" w:rsidRDefault="00DD13BF" w:rsidP="00355A56">
            <w:pPr>
              <w:widowControl/>
              <w:autoSpaceDE/>
              <w:autoSpaceDN/>
              <w:jc w:val="both"/>
              <w:rPr>
                <w:rFonts w:eastAsia="Calibri"/>
              </w:rPr>
            </w:pPr>
          </w:p>
          <w:p w14:paraId="1861EF5F" w14:textId="77777777" w:rsidR="00DD13BF" w:rsidRPr="00790120" w:rsidRDefault="00DD13BF" w:rsidP="00355A56">
            <w:pPr>
              <w:widowControl/>
              <w:autoSpaceDE/>
              <w:autoSpaceDN/>
              <w:jc w:val="both"/>
              <w:rPr>
                <w:rFonts w:eastAsia="Calibri"/>
              </w:rPr>
            </w:pPr>
            <w:r>
              <w:t xml:space="preserve">The Assessment and Recognition of Education Act regulates the assessment of education, and determines the competent authority, regulates the procedure and criteria, and determines the authority for the recognition of foreign education for the purpose of further education. The Slovenian Qualifications Framework Act regulates the placement of qualifications from the SQF in the European Qualifications Framework for lifelong learning and the qualifications frameworks in the European Higher Education Area. The Act Regulating the Procedure for the Recognition of Professional Qualifications for Practising Regulated Professions defines the </w:t>
            </w:r>
            <w:r>
              <w:lastRenderedPageBreak/>
              <w:t>recognition procedures in such cases.</w:t>
            </w:r>
          </w:p>
        </w:tc>
      </w:tr>
      <w:tr w:rsidR="00DD13BF" w:rsidRPr="00790120" w14:paraId="2627B110" w14:textId="77777777" w:rsidTr="00355A56">
        <w:trPr>
          <w:trHeight w:val="353"/>
        </w:trPr>
        <w:tc>
          <w:tcPr>
            <w:tcW w:w="1538" w:type="dxa"/>
            <w:vMerge w:val="restart"/>
          </w:tcPr>
          <w:p w14:paraId="3648FB88" w14:textId="77777777" w:rsidR="00DD13BF" w:rsidRPr="00790120" w:rsidRDefault="00DD13BF" w:rsidP="00355A56">
            <w:pPr>
              <w:widowControl/>
              <w:autoSpaceDE/>
              <w:autoSpaceDN/>
              <w:rPr>
                <w:rFonts w:eastAsia="Calibri"/>
              </w:rPr>
            </w:pPr>
            <w:r>
              <w:lastRenderedPageBreak/>
              <w:t>4.4 National</w:t>
            </w:r>
          </w:p>
          <w:p w14:paraId="28E6678D" w14:textId="77777777" w:rsidR="00DD13BF" w:rsidRPr="00790120" w:rsidRDefault="00DD13BF" w:rsidP="00355A56">
            <w:pPr>
              <w:widowControl/>
              <w:autoSpaceDE/>
              <w:autoSpaceDN/>
              <w:rPr>
                <w:rFonts w:eastAsia="Calibri"/>
              </w:rPr>
            </w:pPr>
            <w:r>
              <w:t>strategic policy</w:t>
            </w:r>
          </w:p>
          <w:p w14:paraId="2A1F579A" w14:textId="77777777" w:rsidR="00DD13BF" w:rsidRPr="00790120" w:rsidRDefault="00DD13BF" w:rsidP="00355A56">
            <w:pPr>
              <w:widowControl/>
              <w:autoSpaceDE/>
              <w:autoSpaceDN/>
              <w:rPr>
                <w:rFonts w:eastAsia="Calibri"/>
              </w:rPr>
            </w:pPr>
            <w:r>
              <w:t>framework for social</w:t>
            </w:r>
          </w:p>
          <w:p w14:paraId="0F707E73" w14:textId="77777777" w:rsidR="00DD13BF" w:rsidRPr="00790120" w:rsidRDefault="00DD13BF" w:rsidP="00355A56">
            <w:pPr>
              <w:widowControl/>
              <w:autoSpaceDE/>
              <w:autoSpaceDN/>
              <w:rPr>
                <w:rFonts w:eastAsia="Calibri"/>
              </w:rPr>
            </w:pPr>
            <w:r>
              <w:t>inclusion and</w:t>
            </w:r>
          </w:p>
          <w:p w14:paraId="69AFAA89" w14:textId="77777777" w:rsidR="00DD13BF" w:rsidRPr="00790120" w:rsidRDefault="00DD13BF" w:rsidP="00355A56">
            <w:pPr>
              <w:widowControl/>
              <w:autoSpaceDE/>
              <w:autoSpaceDN/>
              <w:rPr>
                <w:rFonts w:eastAsia="Calibri"/>
              </w:rPr>
            </w:pPr>
            <w:r>
              <w:t>poverty</w:t>
            </w:r>
          </w:p>
          <w:p w14:paraId="132E42C8" w14:textId="77777777" w:rsidR="00DD13BF" w:rsidRPr="00790120" w:rsidRDefault="00DD13BF" w:rsidP="00355A56">
            <w:pPr>
              <w:widowControl/>
              <w:autoSpaceDE/>
              <w:autoSpaceDN/>
              <w:rPr>
                <w:rFonts w:eastAsia="Calibri"/>
              </w:rPr>
            </w:pPr>
            <w:r>
              <w:t>reduction</w:t>
            </w:r>
          </w:p>
        </w:tc>
        <w:tc>
          <w:tcPr>
            <w:tcW w:w="877" w:type="dxa"/>
            <w:vMerge w:val="restart"/>
          </w:tcPr>
          <w:p w14:paraId="70C4B38B" w14:textId="77777777" w:rsidR="00DD13BF" w:rsidRPr="00790120" w:rsidRDefault="00DD13BF" w:rsidP="00355A56">
            <w:pPr>
              <w:widowControl/>
              <w:autoSpaceDE/>
              <w:autoSpaceDN/>
              <w:rPr>
                <w:rFonts w:eastAsia="Calibri"/>
              </w:rPr>
            </w:pPr>
            <w:r>
              <w:t>ESF+</w:t>
            </w:r>
          </w:p>
          <w:p w14:paraId="4528C0E0" w14:textId="77777777" w:rsidR="00DD13BF" w:rsidRPr="00790120" w:rsidRDefault="00DD13BF" w:rsidP="00355A56">
            <w:pPr>
              <w:widowControl/>
              <w:autoSpaceDE/>
              <w:autoSpaceDN/>
              <w:rPr>
                <w:rFonts w:eastAsia="Calibri"/>
              </w:rPr>
            </w:pPr>
          </w:p>
          <w:p w14:paraId="477C2213" w14:textId="77777777" w:rsidR="00DD13BF" w:rsidRPr="00790120" w:rsidRDefault="00DD13BF" w:rsidP="00355A56">
            <w:pPr>
              <w:widowControl/>
              <w:autoSpaceDE/>
              <w:autoSpaceDN/>
              <w:rPr>
                <w:rFonts w:eastAsia="Calibri"/>
              </w:rPr>
            </w:pPr>
          </w:p>
          <w:p w14:paraId="0033FE6F" w14:textId="77777777" w:rsidR="00DD13BF" w:rsidRPr="00790120" w:rsidRDefault="00DD13BF" w:rsidP="00355A56">
            <w:pPr>
              <w:widowControl/>
              <w:autoSpaceDE/>
              <w:autoSpaceDN/>
              <w:rPr>
                <w:rFonts w:eastAsia="Calibri"/>
              </w:rPr>
            </w:pPr>
          </w:p>
          <w:p w14:paraId="65B49F65" w14:textId="77777777" w:rsidR="00DD13BF" w:rsidRPr="00790120" w:rsidRDefault="00DD13BF" w:rsidP="00355A56">
            <w:pPr>
              <w:widowControl/>
              <w:autoSpaceDE/>
              <w:autoSpaceDN/>
              <w:rPr>
                <w:rFonts w:eastAsia="Calibri"/>
              </w:rPr>
            </w:pPr>
          </w:p>
          <w:p w14:paraId="5D53D2F0" w14:textId="77777777" w:rsidR="00DD13BF" w:rsidRPr="00790120" w:rsidRDefault="00DD13BF" w:rsidP="00355A56">
            <w:pPr>
              <w:widowControl/>
              <w:autoSpaceDE/>
              <w:autoSpaceDN/>
              <w:rPr>
                <w:rFonts w:eastAsia="Calibri"/>
              </w:rPr>
            </w:pPr>
          </w:p>
          <w:p w14:paraId="73D022F7" w14:textId="77777777" w:rsidR="00DD13BF" w:rsidRPr="00790120" w:rsidRDefault="00DD13BF" w:rsidP="00355A56">
            <w:pPr>
              <w:widowControl/>
              <w:autoSpaceDE/>
              <w:autoSpaceDN/>
              <w:rPr>
                <w:rFonts w:eastAsia="Calibri"/>
              </w:rPr>
            </w:pPr>
          </w:p>
          <w:p w14:paraId="12DA5F82" w14:textId="77777777" w:rsidR="00DD13BF" w:rsidRPr="00790120" w:rsidRDefault="00DD13BF" w:rsidP="00355A56">
            <w:pPr>
              <w:widowControl/>
              <w:autoSpaceDE/>
              <w:autoSpaceDN/>
              <w:rPr>
                <w:rFonts w:eastAsia="Calibri"/>
              </w:rPr>
            </w:pPr>
          </w:p>
          <w:p w14:paraId="5E8EC8C7" w14:textId="77777777" w:rsidR="00DD13BF" w:rsidRPr="00790120" w:rsidRDefault="00DD13BF" w:rsidP="00355A56">
            <w:pPr>
              <w:widowControl/>
              <w:autoSpaceDE/>
              <w:autoSpaceDN/>
              <w:rPr>
                <w:rFonts w:eastAsia="Calibri"/>
              </w:rPr>
            </w:pPr>
          </w:p>
          <w:p w14:paraId="26B9703B" w14:textId="77777777" w:rsidR="00DD13BF" w:rsidRPr="00790120" w:rsidRDefault="00DD13BF" w:rsidP="00355A56">
            <w:pPr>
              <w:widowControl/>
              <w:autoSpaceDE/>
              <w:autoSpaceDN/>
              <w:rPr>
                <w:rFonts w:eastAsia="Calibri"/>
              </w:rPr>
            </w:pPr>
          </w:p>
          <w:p w14:paraId="33135D87" w14:textId="77777777" w:rsidR="00DD13BF" w:rsidRPr="00790120" w:rsidRDefault="00DD13BF" w:rsidP="00355A56">
            <w:pPr>
              <w:widowControl/>
              <w:autoSpaceDE/>
              <w:autoSpaceDN/>
              <w:rPr>
                <w:rFonts w:eastAsia="Calibri"/>
              </w:rPr>
            </w:pPr>
          </w:p>
          <w:p w14:paraId="08F7D292" w14:textId="77777777" w:rsidR="00DD13BF" w:rsidRPr="00790120" w:rsidRDefault="00DD13BF" w:rsidP="00355A56">
            <w:pPr>
              <w:widowControl/>
              <w:autoSpaceDE/>
              <w:autoSpaceDN/>
              <w:rPr>
                <w:rFonts w:eastAsia="Calibri"/>
              </w:rPr>
            </w:pPr>
          </w:p>
          <w:p w14:paraId="2655EC4E" w14:textId="77777777" w:rsidR="00DD13BF" w:rsidRPr="00790120" w:rsidRDefault="00DD13BF" w:rsidP="00355A56">
            <w:pPr>
              <w:widowControl/>
              <w:autoSpaceDE/>
              <w:autoSpaceDN/>
              <w:rPr>
                <w:rFonts w:eastAsia="Calibri"/>
              </w:rPr>
            </w:pPr>
          </w:p>
          <w:p w14:paraId="495727D4" w14:textId="77777777" w:rsidR="00DD13BF" w:rsidRPr="00790120" w:rsidRDefault="00DD13BF" w:rsidP="00355A56">
            <w:pPr>
              <w:widowControl/>
              <w:autoSpaceDE/>
              <w:autoSpaceDN/>
              <w:rPr>
                <w:rFonts w:eastAsia="Calibri"/>
              </w:rPr>
            </w:pPr>
          </w:p>
          <w:p w14:paraId="2F9FD266" w14:textId="77777777" w:rsidR="00DD13BF" w:rsidRPr="00790120" w:rsidRDefault="00DD13BF" w:rsidP="00355A56">
            <w:pPr>
              <w:widowControl/>
              <w:autoSpaceDE/>
              <w:autoSpaceDN/>
              <w:rPr>
                <w:rFonts w:eastAsia="Calibri"/>
              </w:rPr>
            </w:pPr>
            <w:r>
              <w:t>ERDF</w:t>
            </w:r>
          </w:p>
        </w:tc>
        <w:tc>
          <w:tcPr>
            <w:tcW w:w="1985" w:type="dxa"/>
            <w:vMerge w:val="restart"/>
          </w:tcPr>
          <w:p w14:paraId="2157597D" w14:textId="77777777" w:rsidR="00DD13BF" w:rsidRPr="00790120" w:rsidRDefault="00DD13BF" w:rsidP="00355A56">
            <w:pPr>
              <w:widowControl/>
              <w:autoSpaceDE/>
              <w:autoSpaceDN/>
              <w:rPr>
                <w:rFonts w:eastAsia="Calibri"/>
              </w:rPr>
            </w:pPr>
            <w:r>
              <w:t>ESO4.8: Fostering active inclusion with a view to promoting equal opportunities, non-discrimination and active participation, and improving employability, in particular for disadvantaged groups</w:t>
            </w:r>
          </w:p>
          <w:p w14:paraId="2F10E05C" w14:textId="77777777" w:rsidR="00DD13BF" w:rsidRPr="00790120" w:rsidRDefault="00DD13BF" w:rsidP="00355A56">
            <w:pPr>
              <w:widowControl/>
              <w:autoSpaceDE/>
              <w:autoSpaceDN/>
              <w:rPr>
                <w:rFonts w:eastAsia="Calibri"/>
              </w:rPr>
            </w:pPr>
          </w:p>
          <w:p w14:paraId="357BFBFE" w14:textId="77777777" w:rsidR="00DD13BF" w:rsidRPr="00790120" w:rsidRDefault="00DD13BF" w:rsidP="00355A56">
            <w:pPr>
              <w:rPr>
                <w:rFonts w:eastAsia="Calibri"/>
              </w:rPr>
            </w:pPr>
          </w:p>
          <w:p w14:paraId="707F1F8E" w14:textId="77777777" w:rsidR="00DD13BF" w:rsidRPr="00790120" w:rsidRDefault="00DD13BF" w:rsidP="00355A56">
            <w:pPr>
              <w:rPr>
                <w:rFonts w:eastAsia="Calibri"/>
              </w:rPr>
            </w:pPr>
            <w:r>
              <w:t xml:space="preserve">RSO4.3: Promoting the socio-economic inclusion of marginalised communities, low income households and disadvantaged groups including people with special needs, through integrated actions </w:t>
            </w:r>
            <w:r>
              <w:lastRenderedPageBreak/>
              <w:t>including housing and social services</w:t>
            </w:r>
          </w:p>
          <w:p w14:paraId="57EA7415" w14:textId="77777777" w:rsidR="00DD13BF" w:rsidRPr="00790120" w:rsidRDefault="00DD13BF" w:rsidP="00355A56">
            <w:pPr>
              <w:widowControl/>
              <w:autoSpaceDE/>
              <w:autoSpaceDN/>
              <w:rPr>
                <w:rFonts w:eastAsia="Calibri"/>
              </w:rPr>
            </w:pPr>
          </w:p>
          <w:p w14:paraId="5874403D" w14:textId="77777777" w:rsidR="00DD13BF" w:rsidRPr="00790120" w:rsidRDefault="00DD13BF" w:rsidP="00355A56">
            <w:pPr>
              <w:widowControl/>
              <w:autoSpaceDE/>
              <w:autoSpaceDN/>
              <w:rPr>
                <w:rFonts w:eastAsia="Calibri"/>
                <w:color w:val="FF0000"/>
              </w:rPr>
            </w:pPr>
          </w:p>
        </w:tc>
        <w:tc>
          <w:tcPr>
            <w:tcW w:w="1134" w:type="dxa"/>
            <w:vMerge w:val="restart"/>
          </w:tcPr>
          <w:p w14:paraId="7ED1529A"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3F5AD41C" w14:textId="77777777" w:rsidR="00DD13BF" w:rsidRPr="00790120" w:rsidRDefault="00DD13BF" w:rsidP="00355A56">
            <w:pPr>
              <w:widowControl/>
              <w:autoSpaceDE/>
              <w:autoSpaceDN/>
              <w:jc w:val="center"/>
              <w:rPr>
                <w:rFonts w:eastAsia="Calibri"/>
              </w:rPr>
            </w:pPr>
            <w:r>
              <w:t>A national or regional strategic policy or</w:t>
            </w:r>
          </w:p>
          <w:p w14:paraId="1A87FAE2" w14:textId="77777777" w:rsidR="00DD13BF" w:rsidRPr="00790120" w:rsidRDefault="00DD13BF" w:rsidP="00355A56">
            <w:pPr>
              <w:widowControl/>
              <w:autoSpaceDE/>
              <w:autoSpaceDN/>
              <w:jc w:val="center"/>
              <w:rPr>
                <w:rFonts w:eastAsia="Calibri"/>
              </w:rPr>
            </w:pPr>
            <w:r>
              <w:t xml:space="preserve">legislative framework for social inclusion and poverty reduction is in place </w:t>
            </w:r>
          </w:p>
          <w:p w14:paraId="6DB0793B" w14:textId="77777777" w:rsidR="00DD13BF" w:rsidRPr="00790120" w:rsidRDefault="00DD13BF" w:rsidP="00355A56">
            <w:pPr>
              <w:widowControl/>
              <w:autoSpaceDE/>
              <w:autoSpaceDN/>
              <w:jc w:val="center"/>
              <w:rPr>
                <w:rFonts w:eastAsia="Calibri"/>
              </w:rPr>
            </w:pPr>
            <w:r>
              <w:t>that includes:</w:t>
            </w:r>
          </w:p>
        </w:tc>
      </w:tr>
      <w:tr w:rsidR="00DD13BF" w:rsidRPr="00790120" w14:paraId="0A344301" w14:textId="77777777" w:rsidTr="00355A56">
        <w:trPr>
          <w:trHeight w:val="353"/>
        </w:trPr>
        <w:tc>
          <w:tcPr>
            <w:tcW w:w="1538" w:type="dxa"/>
            <w:vMerge/>
          </w:tcPr>
          <w:p w14:paraId="5BC08A8D" w14:textId="77777777" w:rsidR="00DD13BF" w:rsidRPr="00790120" w:rsidRDefault="00DD13BF" w:rsidP="00355A56">
            <w:pPr>
              <w:widowControl/>
              <w:autoSpaceDE/>
              <w:autoSpaceDN/>
              <w:rPr>
                <w:rFonts w:eastAsia="Calibri"/>
              </w:rPr>
            </w:pPr>
          </w:p>
        </w:tc>
        <w:tc>
          <w:tcPr>
            <w:tcW w:w="877" w:type="dxa"/>
            <w:vMerge/>
          </w:tcPr>
          <w:p w14:paraId="049037F7" w14:textId="77777777" w:rsidR="00DD13BF" w:rsidRPr="00790120" w:rsidRDefault="00DD13BF" w:rsidP="00355A56">
            <w:pPr>
              <w:widowControl/>
              <w:autoSpaceDE/>
              <w:autoSpaceDN/>
              <w:rPr>
                <w:rFonts w:eastAsia="Calibri"/>
              </w:rPr>
            </w:pPr>
          </w:p>
        </w:tc>
        <w:tc>
          <w:tcPr>
            <w:tcW w:w="1985" w:type="dxa"/>
            <w:vMerge/>
          </w:tcPr>
          <w:p w14:paraId="2BBFB20F" w14:textId="77777777" w:rsidR="00DD13BF" w:rsidRPr="00790120" w:rsidRDefault="00DD13BF" w:rsidP="00355A56">
            <w:pPr>
              <w:widowControl/>
              <w:autoSpaceDE/>
              <w:autoSpaceDN/>
              <w:rPr>
                <w:rFonts w:eastAsia="Calibri"/>
              </w:rPr>
            </w:pPr>
          </w:p>
        </w:tc>
        <w:tc>
          <w:tcPr>
            <w:tcW w:w="1134" w:type="dxa"/>
            <w:vMerge/>
          </w:tcPr>
          <w:p w14:paraId="741EAD2E" w14:textId="77777777" w:rsidR="00DD13BF" w:rsidRPr="00790120" w:rsidRDefault="00DD13BF" w:rsidP="00355A56">
            <w:pPr>
              <w:widowControl/>
              <w:autoSpaceDE/>
              <w:autoSpaceDN/>
              <w:rPr>
                <w:rFonts w:eastAsia="Calibri"/>
              </w:rPr>
            </w:pPr>
          </w:p>
        </w:tc>
        <w:tc>
          <w:tcPr>
            <w:tcW w:w="1984" w:type="dxa"/>
          </w:tcPr>
          <w:p w14:paraId="57E6C5B4" w14:textId="77777777" w:rsidR="00DD13BF" w:rsidRPr="00790120" w:rsidRDefault="00DD13BF" w:rsidP="00355A56">
            <w:pPr>
              <w:widowControl/>
              <w:autoSpaceDE/>
              <w:autoSpaceDN/>
              <w:rPr>
                <w:rFonts w:eastAsia="Calibri"/>
              </w:rPr>
            </w:pPr>
            <w:r>
              <w:t>1. Evidence-based diagnosis of poverty and social</w:t>
            </w:r>
          </w:p>
          <w:p w14:paraId="4B3B7E4E" w14:textId="77777777" w:rsidR="00DD13BF" w:rsidRPr="00790120" w:rsidRDefault="00DD13BF" w:rsidP="00355A56">
            <w:pPr>
              <w:widowControl/>
              <w:autoSpaceDE/>
              <w:autoSpaceDN/>
              <w:rPr>
                <w:rFonts w:eastAsia="Calibri"/>
              </w:rPr>
            </w:pPr>
            <w:r>
              <w:t>exclusion, including child poverty, in particular as regards</w:t>
            </w:r>
          </w:p>
          <w:p w14:paraId="4469501A" w14:textId="77777777" w:rsidR="00DD13BF" w:rsidRPr="00790120" w:rsidRDefault="00DD13BF" w:rsidP="00355A56">
            <w:pPr>
              <w:widowControl/>
              <w:autoSpaceDE/>
              <w:autoSpaceDN/>
              <w:rPr>
                <w:rFonts w:eastAsia="Calibri"/>
              </w:rPr>
            </w:pPr>
            <w:r>
              <w:t>equal access to quality services for children in vulnerable situations as well as homelessness, spatial and educational</w:t>
            </w:r>
          </w:p>
          <w:p w14:paraId="1732C027" w14:textId="77777777" w:rsidR="00DD13BF" w:rsidRPr="00790120" w:rsidRDefault="00DD13BF" w:rsidP="00355A56">
            <w:pPr>
              <w:widowControl/>
              <w:autoSpaceDE/>
              <w:autoSpaceDN/>
              <w:rPr>
                <w:rFonts w:eastAsia="Calibri"/>
              </w:rPr>
            </w:pPr>
            <w:r>
              <w:t xml:space="preserve">segregation, limited access to essential services and infrastructure, and the specific needs </w:t>
            </w:r>
            <w:r>
              <w:lastRenderedPageBreak/>
              <w:t>of vulnerable people of all</w:t>
            </w:r>
          </w:p>
          <w:p w14:paraId="11024F52" w14:textId="77777777" w:rsidR="00DD13BF" w:rsidRPr="00790120" w:rsidRDefault="00DD13BF" w:rsidP="00355A56">
            <w:pPr>
              <w:widowControl/>
              <w:autoSpaceDE/>
              <w:autoSpaceDN/>
              <w:rPr>
                <w:rFonts w:eastAsia="Calibri"/>
              </w:rPr>
            </w:pPr>
            <w:r>
              <w:t>ages.</w:t>
            </w:r>
          </w:p>
        </w:tc>
        <w:tc>
          <w:tcPr>
            <w:tcW w:w="709" w:type="dxa"/>
          </w:tcPr>
          <w:p w14:paraId="20A9A447" w14:textId="77777777" w:rsidR="00DD13BF" w:rsidRPr="00790120" w:rsidRDefault="00DD13BF" w:rsidP="00355A56">
            <w:pPr>
              <w:widowControl/>
              <w:autoSpaceDE/>
              <w:autoSpaceDN/>
              <w:rPr>
                <w:rFonts w:eastAsia="Calibri"/>
              </w:rPr>
            </w:pPr>
            <w:r>
              <w:lastRenderedPageBreak/>
              <w:t>Yes</w:t>
            </w:r>
          </w:p>
        </w:tc>
        <w:tc>
          <w:tcPr>
            <w:tcW w:w="2267" w:type="dxa"/>
          </w:tcPr>
          <w:p w14:paraId="27100712" w14:textId="77777777" w:rsidR="00DD13BF" w:rsidRPr="00790120" w:rsidRDefault="00DD13BF" w:rsidP="00355A56">
            <w:pPr>
              <w:widowControl/>
              <w:autoSpaceDE/>
              <w:autoSpaceDN/>
              <w:rPr>
                <w:rFonts w:eastAsia="Calibri"/>
              </w:rPr>
            </w:pPr>
            <w:r>
              <w:t xml:space="preserve">1. </w:t>
            </w:r>
            <w:hyperlink r:id="rId227" w:history="1">
              <w:r>
                <w:rPr>
                  <w:color w:val="0563C1"/>
                  <w:u w:val="single"/>
                </w:rPr>
                <w:t>Resolution on the national social assistance programme 2022-2030</w:t>
              </w:r>
            </w:hyperlink>
            <w:r>
              <w:t xml:space="preserve"> (ReNPSV21-30) (adopted on 23 March 2022)</w:t>
            </w:r>
          </w:p>
          <w:p w14:paraId="2CEBF7C3" w14:textId="77777777" w:rsidR="00DD13BF" w:rsidRPr="00790120" w:rsidRDefault="00DD13BF" w:rsidP="00355A56">
            <w:pPr>
              <w:widowControl/>
              <w:autoSpaceDE/>
              <w:autoSpaceDN/>
              <w:rPr>
                <w:rFonts w:eastAsia="Calibri"/>
                <w:lang w:eastAsia="x-none"/>
              </w:rPr>
            </w:pPr>
          </w:p>
          <w:p w14:paraId="738CAC7C" w14:textId="77777777" w:rsidR="00DD13BF" w:rsidRPr="00790120" w:rsidRDefault="00DD13BF" w:rsidP="00355A56">
            <w:pPr>
              <w:widowControl/>
              <w:autoSpaceDE/>
              <w:autoSpaceDN/>
              <w:rPr>
                <w:rFonts w:eastAsia="Calibri"/>
              </w:rPr>
            </w:pPr>
            <w:r>
              <w:t xml:space="preserve">2. </w:t>
            </w:r>
            <w:hyperlink r:id="rId228" w:history="1">
              <w:r>
                <w:rPr>
                  <w:color w:val="0563C1"/>
                  <w:u w:val="single"/>
                </w:rPr>
                <w:t>Social Assistance Act</w:t>
              </w:r>
            </w:hyperlink>
            <w:r>
              <w:t xml:space="preserve"> </w:t>
            </w:r>
          </w:p>
        </w:tc>
        <w:tc>
          <w:tcPr>
            <w:tcW w:w="3402" w:type="dxa"/>
          </w:tcPr>
          <w:p w14:paraId="76C1F72C" w14:textId="77777777" w:rsidR="00DD13BF" w:rsidRPr="00790120" w:rsidRDefault="00DD13BF" w:rsidP="00355A56">
            <w:pPr>
              <w:widowControl/>
              <w:autoSpaceDE/>
              <w:autoSpaceDN/>
              <w:jc w:val="both"/>
              <w:rPr>
                <w:rFonts w:eastAsia="Calibri"/>
              </w:rPr>
            </w:pPr>
            <w:r>
              <w:t xml:space="preserve">The ReNPSV 2021–2030 determines the collection of data for areas identified by the SURS and OSTAT (EUROSTAT?). Based on the data, short-term measures are defined in the National Social Assistance Programme Implementation Plan (NIP). In addition, research in the field of poverty, which is carried out by the Social Protection Institute (IRSSV) on the basis of the </w:t>
            </w:r>
            <w:hyperlink r:id="rId229" w:history="1">
              <w:r>
                <w:rPr>
                  <w:color w:val="0563C1"/>
                  <w:u w:val="single"/>
                </w:rPr>
                <w:t>Social Assistance Act</w:t>
              </w:r>
            </w:hyperlink>
            <w:r>
              <w:t xml:space="preserve">, helps to identify the problems. The needs for social care services were mapped by the MDDSZ on 15 February 2021. The objectives of the ReNPSV21-30 respond to the identified social problems and challenges which the changed demographic, economic and social circumstances pose in the social care system in Slovenia. When defining </w:t>
            </w:r>
            <w:r>
              <w:lastRenderedPageBreak/>
              <w:t>the objectives, they are the bases for the functioning of the social care system, the evaluation of the ReNPSV13-20 realisation, and key circumstances and factors, which will presumably (information and projections) affect the social care system until 2030, and the challenges of developing the system.</w:t>
            </w:r>
          </w:p>
        </w:tc>
      </w:tr>
      <w:tr w:rsidR="00DD13BF" w:rsidRPr="00790120" w14:paraId="48038EDE" w14:textId="77777777" w:rsidTr="00355A56">
        <w:trPr>
          <w:trHeight w:val="353"/>
        </w:trPr>
        <w:tc>
          <w:tcPr>
            <w:tcW w:w="1538" w:type="dxa"/>
            <w:vMerge/>
          </w:tcPr>
          <w:p w14:paraId="11FB461F" w14:textId="77777777" w:rsidR="00DD13BF" w:rsidRPr="00790120" w:rsidRDefault="00DD13BF" w:rsidP="00355A56">
            <w:pPr>
              <w:widowControl/>
              <w:autoSpaceDE/>
              <w:autoSpaceDN/>
              <w:rPr>
                <w:rFonts w:eastAsia="Calibri"/>
              </w:rPr>
            </w:pPr>
          </w:p>
        </w:tc>
        <w:tc>
          <w:tcPr>
            <w:tcW w:w="877" w:type="dxa"/>
            <w:vMerge/>
          </w:tcPr>
          <w:p w14:paraId="6FBDD50C" w14:textId="77777777" w:rsidR="00DD13BF" w:rsidRPr="00790120" w:rsidRDefault="00DD13BF" w:rsidP="00355A56">
            <w:pPr>
              <w:widowControl/>
              <w:autoSpaceDE/>
              <w:autoSpaceDN/>
              <w:rPr>
                <w:rFonts w:eastAsia="Calibri"/>
              </w:rPr>
            </w:pPr>
          </w:p>
        </w:tc>
        <w:tc>
          <w:tcPr>
            <w:tcW w:w="1985" w:type="dxa"/>
            <w:vMerge/>
          </w:tcPr>
          <w:p w14:paraId="60A319A1" w14:textId="77777777" w:rsidR="00DD13BF" w:rsidRPr="00790120" w:rsidRDefault="00DD13BF" w:rsidP="00355A56">
            <w:pPr>
              <w:widowControl/>
              <w:autoSpaceDE/>
              <w:autoSpaceDN/>
              <w:rPr>
                <w:rFonts w:eastAsia="Calibri"/>
              </w:rPr>
            </w:pPr>
          </w:p>
        </w:tc>
        <w:tc>
          <w:tcPr>
            <w:tcW w:w="1134" w:type="dxa"/>
            <w:vMerge/>
          </w:tcPr>
          <w:p w14:paraId="6C1B2175" w14:textId="77777777" w:rsidR="00DD13BF" w:rsidRPr="00790120" w:rsidRDefault="00DD13BF" w:rsidP="00355A56">
            <w:pPr>
              <w:widowControl/>
              <w:autoSpaceDE/>
              <w:autoSpaceDN/>
              <w:rPr>
                <w:rFonts w:eastAsia="Calibri"/>
              </w:rPr>
            </w:pPr>
          </w:p>
        </w:tc>
        <w:tc>
          <w:tcPr>
            <w:tcW w:w="1984" w:type="dxa"/>
          </w:tcPr>
          <w:p w14:paraId="67DF7BE3" w14:textId="77777777" w:rsidR="00DD13BF" w:rsidRPr="00790120" w:rsidRDefault="00DD13BF" w:rsidP="00355A56">
            <w:pPr>
              <w:widowControl/>
              <w:autoSpaceDE/>
              <w:autoSpaceDN/>
              <w:rPr>
                <w:rFonts w:eastAsia="Calibri"/>
              </w:rPr>
            </w:pPr>
            <w:r>
              <w:t>2. Measures to prevent and combat segregation in all</w:t>
            </w:r>
          </w:p>
          <w:p w14:paraId="03A0B35F" w14:textId="77777777" w:rsidR="00DD13BF" w:rsidRPr="00790120" w:rsidRDefault="00DD13BF" w:rsidP="00355A56">
            <w:pPr>
              <w:widowControl/>
              <w:autoSpaceDE/>
              <w:autoSpaceDN/>
              <w:rPr>
                <w:rFonts w:eastAsia="Calibri"/>
              </w:rPr>
            </w:pPr>
            <w:r>
              <w:t>fields, including social protection, inclusive labour markets and access to quality services for vulnerable people, including migrants and refugees.</w:t>
            </w:r>
          </w:p>
        </w:tc>
        <w:tc>
          <w:tcPr>
            <w:tcW w:w="709" w:type="dxa"/>
          </w:tcPr>
          <w:p w14:paraId="470DF94F" w14:textId="77777777" w:rsidR="00DD13BF" w:rsidRPr="00790120" w:rsidRDefault="00DD13BF" w:rsidP="00355A56">
            <w:pPr>
              <w:widowControl/>
              <w:autoSpaceDE/>
              <w:autoSpaceDN/>
              <w:rPr>
                <w:rFonts w:eastAsia="Calibri"/>
              </w:rPr>
            </w:pPr>
            <w:r>
              <w:t>Yes</w:t>
            </w:r>
          </w:p>
        </w:tc>
        <w:tc>
          <w:tcPr>
            <w:tcW w:w="2267" w:type="dxa"/>
          </w:tcPr>
          <w:p w14:paraId="7E223592" w14:textId="77777777" w:rsidR="00DD13BF" w:rsidRPr="00790120" w:rsidRDefault="00DD13BF" w:rsidP="00355A56">
            <w:pPr>
              <w:widowControl/>
              <w:autoSpaceDE/>
              <w:autoSpaceDN/>
              <w:rPr>
                <w:rFonts w:eastAsia="Calibri"/>
              </w:rPr>
            </w:pPr>
            <w:r>
              <w:t xml:space="preserve">1. </w:t>
            </w:r>
            <w:hyperlink r:id="rId230" w:history="1">
              <w:r>
                <w:rPr>
                  <w:color w:val="0563C1"/>
                  <w:u w:val="single"/>
                </w:rPr>
                <w:t>Resolution on the national social assistance programme 2022-2030</w:t>
              </w:r>
            </w:hyperlink>
            <w:r>
              <w:t xml:space="preserve"> (ReNPSV21-30) (adopted on 23 March 2022)</w:t>
            </w:r>
          </w:p>
          <w:p w14:paraId="016E1522" w14:textId="77777777" w:rsidR="00DD13BF" w:rsidRPr="00790120" w:rsidRDefault="00DD13BF" w:rsidP="00355A56">
            <w:pPr>
              <w:widowControl/>
              <w:autoSpaceDE/>
              <w:autoSpaceDN/>
              <w:rPr>
                <w:rFonts w:eastAsia="Calibri"/>
                <w:lang w:eastAsia="x-none"/>
              </w:rPr>
            </w:pPr>
          </w:p>
          <w:p w14:paraId="772D6CD3" w14:textId="77777777" w:rsidR="00DD13BF" w:rsidRPr="00790120" w:rsidRDefault="00DD13BF" w:rsidP="00355A56">
            <w:pPr>
              <w:widowControl/>
              <w:autoSpaceDE/>
              <w:autoSpaceDN/>
              <w:rPr>
                <w:rFonts w:eastAsia="Calibri"/>
              </w:rPr>
            </w:pPr>
            <w:r>
              <w:t xml:space="preserve">2. </w:t>
            </w:r>
            <w:hyperlink r:id="rId231" w:history="1">
              <w:r>
                <w:rPr>
                  <w:color w:val="0563C1"/>
                  <w:u w:val="single"/>
                </w:rPr>
                <w:t>Social Assistance Act</w:t>
              </w:r>
            </w:hyperlink>
          </w:p>
        </w:tc>
        <w:tc>
          <w:tcPr>
            <w:tcW w:w="3402" w:type="dxa"/>
          </w:tcPr>
          <w:p w14:paraId="24B4D2B1" w14:textId="77777777" w:rsidR="00DD13BF" w:rsidRPr="00790120" w:rsidRDefault="00DD13BF" w:rsidP="00355A56">
            <w:pPr>
              <w:widowControl/>
              <w:autoSpaceDE/>
              <w:autoSpaceDN/>
              <w:jc w:val="both"/>
              <w:rPr>
                <w:rFonts w:eastAsia="Calibri"/>
              </w:rPr>
            </w:pPr>
            <w:r>
              <w:t>Pursuant to Article 2 of the Social Assistance Act, the Resolution on the national social assistance programme is adopted, which defines the bases, objectives and strategies of social care in the identified fields. The national implementation plan is prepared by the national coordination group appointed by the Government of the Republic of Slovenia. The implementation plan defines the measures to attain the objectives defined in the resolution in more detail.</w:t>
            </w:r>
          </w:p>
        </w:tc>
      </w:tr>
      <w:tr w:rsidR="00DD13BF" w:rsidRPr="00790120" w14:paraId="7B44A11B" w14:textId="77777777" w:rsidTr="00355A56">
        <w:trPr>
          <w:trHeight w:val="353"/>
        </w:trPr>
        <w:tc>
          <w:tcPr>
            <w:tcW w:w="1538" w:type="dxa"/>
            <w:vMerge/>
          </w:tcPr>
          <w:p w14:paraId="4B8CA7D3" w14:textId="77777777" w:rsidR="00DD13BF" w:rsidRPr="00790120" w:rsidRDefault="00DD13BF" w:rsidP="00355A56">
            <w:pPr>
              <w:widowControl/>
              <w:autoSpaceDE/>
              <w:autoSpaceDN/>
              <w:rPr>
                <w:rFonts w:eastAsia="Calibri"/>
              </w:rPr>
            </w:pPr>
          </w:p>
        </w:tc>
        <w:tc>
          <w:tcPr>
            <w:tcW w:w="877" w:type="dxa"/>
            <w:vMerge/>
          </w:tcPr>
          <w:p w14:paraId="6E0F26F0" w14:textId="77777777" w:rsidR="00DD13BF" w:rsidRPr="00790120" w:rsidRDefault="00DD13BF" w:rsidP="00355A56">
            <w:pPr>
              <w:widowControl/>
              <w:autoSpaceDE/>
              <w:autoSpaceDN/>
              <w:rPr>
                <w:rFonts w:eastAsia="Calibri"/>
              </w:rPr>
            </w:pPr>
          </w:p>
        </w:tc>
        <w:tc>
          <w:tcPr>
            <w:tcW w:w="1985" w:type="dxa"/>
            <w:vMerge/>
          </w:tcPr>
          <w:p w14:paraId="5655A47F" w14:textId="77777777" w:rsidR="00DD13BF" w:rsidRPr="00790120" w:rsidRDefault="00DD13BF" w:rsidP="00355A56">
            <w:pPr>
              <w:widowControl/>
              <w:autoSpaceDE/>
              <w:autoSpaceDN/>
              <w:rPr>
                <w:rFonts w:eastAsia="Calibri"/>
              </w:rPr>
            </w:pPr>
          </w:p>
        </w:tc>
        <w:tc>
          <w:tcPr>
            <w:tcW w:w="1134" w:type="dxa"/>
            <w:vMerge/>
          </w:tcPr>
          <w:p w14:paraId="2E9477C7" w14:textId="77777777" w:rsidR="00DD13BF" w:rsidRPr="00790120" w:rsidRDefault="00DD13BF" w:rsidP="00355A56">
            <w:pPr>
              <w:widowControl/>
              <w:autoSpaceDE/>
              <w:autoSpaceDN/>
              <w:rPr>
                <w:rFonts w:eastAsia="Calibri"/>
              </w:rPr>
            </w:pPr>
          </w:p>
        </w:tc>
        <w:tc>
          <w:tcPr>
            <w:tcW w:w="1984" w:type="dxa"/>
          </w:tcPr>
          <w:p w14:paraId="10C3C664" w14:textId="77777777" w:rsidR="00DD13BF" w:rsidRPr="00790120" w:rsidRDefault="00DD13BF" w:rsidP="00355A56">
            <w:pPr>
              <w:widowControl/>
              <w:autoSpaceDE/>
              <w:autoSpaceDN/>
              <w:rPr>
                <w:rFonts w:eastAsia="Calibri"/>
              </w:rPr>
            </w:pPr>
            <w:r>
              <w:t xml:space="preserve">3. Measures for the shift from institutional to family- and </w:t>
            </w:r>
            <w:r>
              <w:lastRenderedPageBreak/>
              <w:t>community-based care.</w:t>
            </w:r>
          </w:p>
        </w:tc>
        <w:tc>
          <w:tcPr>
            <w:tcW w:w="709" w:type="dxa"/>
          </w:tcPr>
          <w:p w14:paraId="419EAD8A" w14:textId="77777777" w:rsidR="00DD13BF" w:rsidRPr="00790120" w:rsidRDefault="00DD13BF" w:rsidP="00355A56">
            <w:pPr>
              <w:widowControl/>
              <w:autoSpaceDE/>
              <w:autoSpaceDN/>
              <w:rPr>
                <w:rFonts w:eastAsia="Calibri"/>
              </w:rPr>
            </w:pPr>
            <w:r>
              <w:lastRenderedPageBreak/>
              <w:t>Yes</w:t>
            </w:r>
          </w:p>
        </w:tc>
        <w:tc>
          <w:tcPr>
            <w:tcW w:w="2267" w:type="dxa"/>
          </w:tcPr>
          <w:p w14:paraId="7F745E59" w14:textId="77777777" w:rsidR="00DD13BF" w:rsidRPr="00790120" w:rsidRDefault="00425F22" w:rsidP="00355A56">
            <w:pPr>
              <w:widowControl/>
              <w:autoSpaceDE/>
              <w:autoSpaceDN/>
              <w:rPr>
                <w:rFonts w:eastAsia="Calibri"/>
              </w:rPr>
            </w:pPr>
            <w:hyperlink r:id="rId232" w:history="1">
              <w:r w:rsidR="00DD13BF">
                <w:rPr>
                  <w:color w:val="0563C1"/>
                  <w:u w:val="single"/>
                </w:rPr>
                <w:t>Resolution on the national social assistance programme 2022-2030</w:t>
              </w:r>
            </w:hyperlink>
            <w:r w:rsidR="00DD13BF">
              <w:t xml:space="preserve"> (ReNPSV21-30) </w:t>
            </w:r>
            <w:r w:rsidR="00DD13BF">
              <w:lastRenderedPageBreak/>
              <w:t>(adopted on 23 March 2022)</w:t>
            </w:r>
          </w:p>
          <w:p w14:paraId="2E5466A8" w14:textId="77777777" w:rsidR="00DD13BF" w:rsidRPr="00790120" w:rsidRDefault="00DD13BF" w:rsidP="00355A56">
            <w:pPr>
              <w:widowControl/>
              <w:autoSpaceDE/>
              <w:autoSpaceDN/>
              <w:rPr>
                <w:rFonts w:eastAsia="Calibri"/>
                <w:lang w:eastAsia="x-none"/>
              </w:rPr>
            </w:pPr>
          </w:p>
          <w:p w14:paraId="76F30B47" w14:textId="77777777" w:rsidR="00DD13BF" w:rsidRPr="00790120" w:rsidRDefault="00DD13BF" w:rsidP="00355A56">
            <w:pPr>
              <w:widowControl/>
              <w:autoSpaceDE/>
              <w:autoSpaceDN/>
              <w:rPr>
                <w:rFonts w:eastAsia="Calibri"/>
                <w:lang w:eastAsia="x-none"/>
              </w:rPr>
            </w:pPr>
          </w:p>
        </w:tc>
        <w:tc>
          <w:tcPr>
            <w:tcW w:w="3402" w:type="dxa"/>
          </w:tcPr>
          <w:p w14:paraId="6504913C" w14:textId="77777777" w:rsidR="00DD13BF" w:rsidRPr="00790120" w:rsidRDefault="00DD13BF" w:rsidP="00355A56">
            <w:pPr>
              <w:widowControl/>
              <w:autoSpaceDE/>
              <w:autoSpaceDN/>
              <w:jc w:val="both"/>
              <w:rPr>
                <w:rFonts w:eastAsia="Arial"/>
              </w:rPr>
            </w:pPr>
            <w:r>
              <w:lastRenderedPageBreak/>
              <w:t xml:space="preserve">During the implementation period of the ReNPSV21–30, the emphasis in the field of institutional accommodation with care will be on the transition from institutions to </w:t>
            </w:r>
            <w:r>
              <w:lastRenderedPageBreak/>
              <w:t>community-based life and care (deinstitutionalisation; particularly for people with special needs). One of the objectives of the Resolution is “to change the ratio between users of community-based social care and users of institutional care, i.e. to increase the share of users of community-based care and reduce the share of users of institutional care". To attain this objective, measures are defined, such as services for maintaining an independent life at home and active integration into the community (community-based services), and services for independent life at home and active integration into the community (community services), which prolong life at home and prevent social exclusion.</w:t>
            </w:r>
          </w:p>
        </w:tc>
      </w:tr>
      <w:tr w:rsidR="00DD13BF" w:rsidRPr="00790120" w14:paraId="0D0CFAC3" w14:textId="77777777" w:rsidTr="00355A56">
        <w:trPr>
          <w:trHeight w:val="353"/>
        </w:trPr>
        <w:tc>
          <w:tcPr>
            <w:tcW w:w="1538" w:type="dxa"/>
            <w:vMerge/>
          </w:tcPr>
          <w:p w14:paraId="12E581BF" w14:textId="77777777" w:rsidR="00DD13BF" w:rsidRPr="00790120" w:rsidRDefault="00DD13BF" w:rsidP="00355A56">
            <w:pPr>
              <w:widowControl/>
              <w:autoSpaceDE/>
              <w:autoSpaceDN/>
              <w:rPr>
                <w:rFonts w:eastAsia="Calibri"/>
              </w:rPr>
            </w:pPr>
          </w:p>
        </w:tc>
        <w:tc>
          <w:tcPr>
            <w:tcW w:w="877" w:type="dxa"/>
            <w:vMerge/>
          </w:tcPr>
          <w:p w14:paraId="09AF3676" w14:textId="77777777" w:rsidR="00DD13BF" w:rsidRPr="00790120" w:rsidRDefault="00DD13BF" w:rsidP="00355A56">
            <w:pPr>
              <w:widowControl/>
              <w:autoSpaceDE/>
              <w:autoSpaceDN/>
              <w:rPr>
                <w:rFonts w:eastAsia="Calibri"/>
              </w:rPr>
            </w:pPr>
          </w:p>
        </w:tc>
        <w:tc>
          <w:tcPr>
            <w:tcW w:w="1985" w:type="dxa"/>
            <w:vMerge/>
          </w:tcPr>
          <w:p w14:paraId="21C8F794" w14:textId="77777777" w:rsidR="00DD13BF" w:rsidRPr="00790120" w:rsidRDefault="00DD13BF" w:rsidP="00355A56">
            <w:pPr>
              <w:widowControl/>
              <w:autoSpaceDE/>
              <w:autoSpaceDN/>
              <w:rPr>
                <w:rFonts w:eastAsia="Calibri"/>
              </w:rPr>
            </w:pPr>
          </w:p>
        </w:tc>
        <w:tc>
          <w:tcPr>
            <w:tcW w:w="1134" w:type="dxa"/>
            <w:vMerge/>
          </w:tcPr>
          <w:p w14:paraId="35CEB0C6" w14:textId="77777777" w:rsidR="00DD13BF" w:rsidRPr="00790120" w:rsidRDefault="00DD13BF" w:rsidP="00355A56">
            <w:pPr>
              <w:widowControl/>
              <w:autoSpaceDE/>
              <w:autoSpaceDN/>
              <w:rPr>
                <w:rFonts w:eastAsia="Calibri"/>
              </w:rPr>
            </w:pPr>
          </w:p>
        </w:tc>
        <w:tc>
          <w:tcPr>
            <w:tcW w:w="1984" w:type="dxa"/>
          </w:tcPr>
          <w:p w14:paraId="556064C2" w14:textId="77777777" w:rsidR="00DD13BF" w:rsidRPr="00790120" w:rsidRDefault="00DD13BF" w:rsidP="00355A56">
            <w:pPr>
              <w:widowControl/>
              <w:autoSpaceDE/>
              <w:autoSpaceDN/>
              <w:rPr>
                <w:rFonts w:eastAsia="Calibri"/>
              </w:rPr>
            </w:pPr>
            <w:r>
              <w:t xml:space="preserve">4. Arrangements for ensuring that its design, implementation, monitoring and review is conducted in close cooperation with relevant </w:t>
            </w:r>
            <w:r>
              <w:lastRenderedPageBreak/>
              <w:t>stakeholders, including social partners and relevant</w:t>
            </w:r>
          </w:p>
          <w:p w14:paraId="6E065598" w14:textId="77777777" w:rsidR="00DD13BF" w:rsidRPr="00790120" w:rsidRDefault="00DD13BF" w:rsidP="00355A56">
            <w:pPr>
              <w:widowControl/>
              <w:autoSpaceDE/>
              <w:autoSpaceDN/>
              <w:rPr>
                <w:rFonts w:eastAsia="Calibri"/>
              </w:rPr>
            </w:pPr>
            <w:r>
              <w:t>civil society organisations.</w:t>
            </w:r>
          </w:p>
        </w:tc>
        <w:tc>
          <w:tcPr>
            <w:tcW w:w="709" w:type="dxa"/>
          </w:tcPr>
          <w:p w14:paraId="040E9060" w14:textId="77777777" w:rsidR="00DD13BF" w:rsidRPr="00790120" w:rsidRDefault="00DD13BF" w:rsidP="00355A56">
            <w:pPr>
              <w:widowControl/>
              <w:autoSpaceDE/>
              <w:autoSpaceDN/>
              <w:rPr>
                <w:rFonts w:eastAsia="Calibri"/>
              </w:rPr>
            </w:pPr>
            <w:r>
              <w:lastRenderedPageBreak/>
              <w:t>Yes</w:t>
            </w:r>
          </w:p>
        </w:tc>
        <w:tc>
          <w:tcPr>
            <w:tcW w:w="2267" w:type="dxa"/>
          </w:tcPr>
          <w:p w14:paraId="3DC55292" w14:textId="77777777" w:rsidR="00DD13BF" w:rsidRPr="00790120" w:rsidRDefault="00425F22" w:rsidP="00355A56">
            <w:pPr>
              <w:widowControl/>
              <w:autoSpaceDE/>
              <w:autoSpaceDN/>
              <w:rPr>
                <w:rFonts w:eastAsia="Calibri"/>
              </w:rPr>
            </w:pPr>
            <w:hyperlink r:id="rId233" w:history="1">
              <w:r w:rsidR="00DD13BF">
                <w:rPr>
                  <w:color w:val="0563C1"/>
                  <w:u w:val="single"/>
                </w:rPr>
                <w:t>Resolution on the national social assistance programme 2022-2030</w:t>
              </w:r>
            </w:hyperlink>
            <w:r w:rsidR="00DD13BF">
              <w:t xml:space="preserve"> (ReNPSV21-30) (adopted on 23 March 2022)</w:t>
            </w:r>
          </w:p>
          <w:p w14:paraId="55FD7E82" w14:textId="77777777" w:rsidR="00DD13BF" w:rsidRPr="00790120" w:rsidRDefault="00DD13BF" w:rsidP="00355A56">
            <w:pPr>
              <w:widowControl/>
              <w:autoSpaceDE/>
              <w:autoSpaceDN/>
              <w:rPr>
                <w:rFonts w:eastAsia="Calibri"/>
                <w:lang w:eastAsia="x-none"/>
              </w:rPr>
            </w:pPr>
          </w:p>
          <w:p w14:paraId="78EB2866" w14:textId="77777777" w:rsidR="00DD13BF" w:rsidRPr="00790120" w:rsidRDefault="00DD13BF" w:rsidP="00355A56">
            <w:pPr>
              <w:widowControl/>
              <w:autoSpaceDE/>
              <w:autoSpaceDN/>
              <w:rPr>
                <w:rFonts w:eastAsia="Calibri"/>
                <w:lang w:eastAsia="x-none"/>
              </w:rPr>
            </w:pPr>
          </w:p>
        </w:tc>
        <w:tc>
          <w:tcPr>
            <w:tcW w:w="3402" w:type="dxa"/>
          </w:tcPr>
          <w:p w14:paraId="7079D5D3" w14:textId="77777777" w:rsidR="00DD13BF" w:rsidRPr="00790120" w:rsidRDefault="00DD13BF" w:rsidP="00355A56">
            <w:pPr>
              <w:widowControl/>
              <w:autoSpaceDE/>
              <w:autoSpaceDN/>
              <w:jc w:val="both"/>
              <w:rPr>
                <w:rFonts w:eastAsia="Calibri"/>
              </w:rPr>
            </w:pPr>
            <w:r>
              <w:t xml:space="preserve">Chapter 5 of the ReNPSV21–30 defines the implementation and monitoring of the realisation of the Resolution. Within one month of the adoption of the ReNPSV21–30, the Government of the Republic of Slovenia appoints a national coordination group. The national coordination group is composed of </w:t>
            </w:r>
            <w:r>
              <w:lastRenderedPageBreak/>
              <w:t>representatives of contractors in the field of social care (including representatives of non-governmental organisations proposed by them), representatives of user groups, representatives of the local community and of various general government sectors, and a representative of the Social Protection Institute of the Republic of Slovenia (hereinafter: IRSSV). The regular annual monitoring of the implementation of ReNPSV21-30 and the associated national implementation plans is carried out by the IRSSV, to which individual providers of services and programmes, which are part of the public service network, the providers of measures defined in the implementation plans, the competent ministries, and other services in charge of implementing individual parts of the National Social Assistance Programme 2022–2030 report.</w:t>
            </w:r>
          </w:p>
        </w:tc>
      </w:tr>
      <w:tr w:rsidR="00DD13BF" w:rsidRPr="00790120" w14:paraId="35942BB8" w14:textId="77777777" w:rsidTr="00355A56">
        <w:trPr>
          <w:trHeight w:val="353"/>
        </w:trPr>
        <w:tc>
          <w:tcPr>
            <w:tcW w:w="1538" w:type="dxa"/>
            <w:vMerge w:val="restart"/>
          </w:tcPr>
          <w:p w14:paraId="45FCCF19" w14:textId="77777777" w:rsidR="00DD13BF" w:rsidRPr="00790120" w:rsidRDefault="00DD13BF" w:rsidP="00355A56">
            <w:pPr>
              <w:widowControl/>
              <w:autoSpaceDE/>
              <w:autoSpaceDN/>
              <w:rPr>
                <w:rFonts w:eastAsia="Calibri"/>
              </w:rPr>
            </w:pPr>
            <w:r>
              <w:lastRenderedPageBreak/>
              <w:t>4.6 Strategic policy framework for</w:t>
            </w:r>
          </w:p>
          <w:p w14:paraId="0EA1DE22" w14:textId="77777777" w:rsidR="00DD13BF" w:rsidRPr="00790120" w:rsidRDefault="00DD13BF" w:rsidP="00355A56">
            <w:pPr>
              <w:widowControl/>
              <w:autoSpaceDE/>
              <w:autoSpaceDN/>
              <w:rPr>
                <w:rFonts w:eastAsia="Calibri"/>
              </w:rPr>
            </w:pPr>
            <w:r>
              <w:lastRenderedPageBreak/>
              <w:t>health and long-term</w:t>
            </w:r>
          </w:p>
          <w:p w14:paraId="72D36EFA" w14:textId="77777777" w:rsidR="00DD13BF" w:rsidRPr="00790120" w:rsidRDefault="00DD13BF" w:rsidP="00355A56">
            <w:pPr>
              <w:widowControl/>
              <w:autoSpaceDE/>
              <w:autoSpaceDN/>
              <w:rPr>
                <w:rFonts w:eastAsia="Calibri"/>
              </w:rPr>
            </w:pPr>
            <w:r>
              <w:t>care</w:t>
            </w:r>
          </w:p>
        </w:tc>
        <w:tc>
          <w:tcPr>
            <w:tcW w:w="877" w:type="dxa"/>
            <w:vMerge w:val="restart"/>
          </w:tcPr>
          <w:p w14:paraId="3455689A" w14:textId="77777777" w:rsidR="00DD13BF" w:rsidRPr="00790120" w:rsidRDefault="00DD13BF" w:rsidP="00355A56">
            <w:pPr>
              <w:widowControl/>
              <w:autoSpaceDE/>
              <w:autoSpaceDN/>
              <w:rPr>
                <w:rFonts w:eastAsia="Calibri"/>
              </w:rPr>
            </w:pPr>
            <w:r>
              <w:lastRenderedPageBreak/>
              <w:t>ERDF</w:t>
            </w:r>
          </w:p>
          <w:p w14:paraId="4B9AB87B" w14:textId="77777777" w:rsidR="00DD13BF" w:rsidRPr="00790120" w:rsidRDefault="00DD13BF" w:rsidP="00355A56">
            <w:pPr>
              <w:widowControl/>
              <w:autoSpaceDE/>
              <w:autoSpaceDN/>
              <w:rPr>
                <w:rFonts w:eastAsia="Calibri"/>
              </w:rPr>
            </w:pPr>
          </w:p>
          <w:p w14:paraId="09A42D0A" w14:textId="77777777" w:rsidR="00DD13BF" w:rsidRPr="00790120" w:rsidRDefault="00DD13BF" w:rsidP="00355A56">
            <w:pPr>
              <w:widowControl/>
              <w:autoSpaceDE/>
              <w:autoSpaceDN/>
              <w:rPr>
                <w:rFonts w:eastAsia="Calibri"/>
              </w:rPr>
            </w:pPr>
          </w:p>
          <w:p w14:paraId="7A6090C0" w14:textId="77777777" w:rsidR="00DD13BF" w:rsidRPr="00790120" w:rsidRDefault="00DD13BF" w:rsidP="00355A56">
            <w:pPr>
              <w:widowControl/>
              <w:autoSpaceDE/>
              <w:autoSpaceDN/>
              <w:rPr>
                <w:rFonts w:eastAsia="Calibri"/>
              </w:rPr>
            </w:pPr>
          </w:p>
          <w:p w14:paraId="659E17D3" w14:textId="77777777" w:rsidR="00DD13BF" w:rsidRPr="00790120" w:rsidRDefault="00DD13BF" w:rsidP="00355A56">
            <w:pPr>
              <w:widowControl/>
              <w:autoSpaceDE/>
              <w:autoSpaceDN/>
              <w:rPr>
                <w:rFonts w:eastAsia="Calibri"/>
              </w:rPr>
            </w:pPr>
          </w:p>
          <w:p w14:paraId="7D04E013" w14:textId="77777777" w:rsidR="00DD13BF" w:rsidRPr="00790120" w:rsidRDefault="00DD13BF" w:rsidP="00355A56">
            <w:pPr>
              <w:widowControl/>
              <w:autoSpaceDE/>
              <w:autoSpaceDN/>
              <w:rPr>
                <w:rFonts w:eastAsia="Calibri"/>
              </w:rPr>
            </w:pPr>
          </w:p>
          <w:p w14:paraId="3F1544B8" w14:textId="77777777" w:rsidR="00DD13BF" w:rsidRPr="00790120" w:rsidRDefault="00DD13BF" w:rsidP="00355A56">
            <w:pPr>
              <w:widowControl/>
              <w:autoSpaceDE/>
              <w:autoSpaceDN/>
              <w:rPr>
                <w:rFonts w:eastAsia="Calibri"/>
              </w:rPr>
            </w:pPr>
          </w:p>
          <w:p w14:paraId="2DFA1E96" w14:textId="77777777" w:rsidR="00DD13BF" w:rsidRPr="00790120" w:rsidRDefault="00DD13BF" w:rsidP="00355A56">
            <w:pPr>
              <w:widowControl/>
              <w:autoSpaceDE/>
              <w:autoSpaceDN/>
              <w:rPr>
                <w:rFonts w:eastAsia="Calibri"/>
              </w:rPr>
            </w:pPr>
          </w:p>
          <w:p w14:paraId="6F742EDD" w14:textId="77777777" w:rsidR="00DD13BF" w:rsidRPr="00790120" w:rsidRDefault="00DD13BF" w:rsidP="00355A56">
            <w:pPr>
              <w:widowControl/>
              <w:autoSpaceDE/>
              <w:autoSpaceDN/>
              <w:rPr>
                <w:rFonts w:eastAsia="Calibri"/>
              </w:rPr>
            </w:pPr>
          </w:p>
          <w:p w14:paraId="5736D456" w14:textId="77777777" w:rsidR="00DD13BF" w:rsidRPr="00790120" w:rsidRDefault="00DD13BF" w:rsidP="00355A56">
            <w:pPr>
              <w:widowControl/>
              <w:autoSpaceDE/>
              <w:autoSpaceDN/>
              <w:rPr>
                <w:rFonts w:eastAsia="Calibri"/>
              </w:rPr>
            </w:pPr>
          </w:p>
          <w:p w14:paraId="6D7CD16A" w14:textId="77777777" w:rsidR="00DD13BF" w:rsidRPr="00790120" w:rsidRDefault="00DD13BF" w:rsidP="00355A56">
            <w:pPr>
              <w:widowControl/>
              <w:autoSpaceDE/>
              <w:autoSpaceDN/>
              <w:rPr>
                <w:rFonts w:eastAsia="Calibri"/>
              </w:rPr>
            </w:pPr>
          </w:p>
          <w:p w14:paraId="687AB81B" w14:textId="77777777" w:rsidR="00DD13BF" w:rsidRPr="00790120" w:rsidRDefault="00DD13BF" w:rsidP="00355A56">
            <w:pPr>
              <w:widowControl/>
              <w:autoSpaceDE/>
              <w:autoSpaceDN/>
              <w:rPr>
                <w:rFonts w:eastAsia="Calibri"/>
              </w:rPr>
            </w:pPr>
          </w:p>
          <w:p w14:paraId="46F5D387" w14:textId="77777777" w:rsidR="00DD13BF" w:rsidRPr="00790120" w:rsidRDefault="00DD13BF" w:rsidP="00355A56">
            <w:pPr>
              <w:widowControl/>
              <w:autoSpaceDE/>
              <w:autoSpaceDN/>
              <w:rPr>
                <w:rFonts w:eastAsia="Calibri"/>
              </w:rPr>
            </w:pPr>
          </w:p>
          <w:p w14:paraId="5FC0B536" w14:textId="77777777" w:rsidR="00DD13BF" w:rsidRPr="00790120" w:rsidRDefault="00DD13BF" w:rsidP="00355A56">
            <w:pPr>
              <w:widowControl/>
              <w:autoSpaceDE/>
              <w:autoSpaceDN/>
              <w:rPr>
                <w:rFonts w:eastAsia="Calibri"/>
              </w:rPr>
            </w:pPr>
          </w:p>
          <w:p w14:paraId="7EF4CA48" w14:textId="77777777" w:rsidR="00DD13BF" w:rsidRPr="00790120" w:rsidRDefault="00DD13BF" w:rsidP="00355A56">
            <w:pPr>
              <w:widowControl/>
              <w:autoSpaceDE/>
              <w:autoSpaceDN/>
              <w:rPr>
                <w:rFonts w:eastAsia="Calibri"/>
              </w:rPr>
            </w:pPr>
          </w:p>
          <w:p w14:paraId="10011B0E" w14:textId="77777777" w:rsidR="00DD13BF" w:rsidRPr="00790120" w:rsidRDefault="00DD13BF" w:rsidP="00355A56">
            <w:pPr>
              <w:widowControl/>
              <w:autoSpaceDE/>
              <w:autoSpaceDN/>
              <w:rPr>
                <w:rFonts w:eastAsia="Calibri"/>
              </w:rPr>
            </w:pPr>
            <w:r>
              <w:t>ESF+</w:t>
            </w:r>
          </w:p>
        </w:tc>
        <w:tc>
          <w:tcPr>
            <w:tcW w:w="1985" w:type="dxa"/>
            <w:vMerge w:val="restart"/>
          </w:tcPr>
          <w:p w14:paraId="157794F9" w14:textId="77777777" w:rsidR="00DD13BF" w:rsidRPr="00790120" w:rsidRDefault="00DD13BF" w:rsidP="00355A56">
            <w:pPr>
              <w:widowControl/>
              <w:autoSpaceDE/>
              <w:autoSpaceDN/>
              <w:rPr>
                <w:rFonts w:eastAsia="Calibri"/>
              </w:rPr>
            </w:pPr>
            <w:r>
              <w:lastRenderedPageBreak/>
              <w:t xml:space="preserve">RSO4.5: Ensuring equal access to health care and fostering resilience </w:t>
            </w:r>
            <w:r>
              <w:lastRenderedPageBreak/>
              <w:t>of health systems, including primary care, and promoting the transition from institutional to family-based and community-based care</w:t>
            </w:r>
          </w:p>
          <w:p w14:paraId="279AC05E" w14:textId="77777777" w:rsidR="00DD13BF" w:rsidRPr="00790120" w:rsidRDefault="00DD13BF" w:rsidP="00355A56">
            <w:pPr>
              <w:widowControl/>
              <w:autoSpaceDE/>
              <w:autoSpaceDN/>
              <w:rPr>
                <w:rFonts w:eastAsia="Calibri"/>
              </w:rPr>
            </w:pPr>
          </w:p>
          <w:p w14:paraId="76D29A8E" w14:textId="77777777" w:rsidR="00DD13BF" w:rsidRPr="00790120" w:rsidRDefault="00DD13BF" w:rsidP="00355A56">
            <w:pPr>
              <w:widowControl/>
              <w:autoSpaceDE/>
              <w:autoSpaceDN/>
              <w:rPr>
                <w:rFonts w:eastAsia="Calibri"/>
              </w:rPr>
            </w:pPr>
            <w:r>
              <w:t xml:space="preserve">ESO4.11: Enhancing equal and timely access to quality, sustainable and affordable services, including services that promote the access to housing and person-centred care including healthcare; modernising social protection systems, including promoting access to social protection, with a particular focus on children and disadvantaged groups; improving </w:t>
            </w:r>
            <w:r>
              <w:lastRenderedPageBreak/>
              <w:t>accessibility including for persons with disabilities, effectiveness and resilience of healthcare systems and long-term care services</w:t>
            </w:r>
          </w:p>
        </w:tc>
        <w:tc>
          <w:tcPr>
            <w:tcW w:w="1134" w:type="dxa"/>
            <w:vMerge w:val="restart"/>
          </w:tcPr>
          <w:p w14:paraId="08803393" w14:textId="77777777" w:rsidR="00DD13BF" w:rsidRPr="00790120" w:rsidRDefault="00DD13BF" w:rsidP="00355A56">
            <w:pPr>
              <w:widowControl/>
              <w:autoSpaceDE/>
              <w:autoSpaceDN/>
              <w:rPr>
                <w:rFonts w:eastAsia="Calibri"/>
              </w:rPr>
            </w:pPr>
            <w:r>
              <w:lastRenderedPageBreak/>
              <w:t>Yes</w:t>
            </w:r>
          </w:p>
        </w:tc>
        <w:tc>
          <w:tcPr>
            <w:tcW w:w="8362" w:type="dxa"/>
            <w:gridSpan w:val="4"/>
            <w:shd w:val="clear" w:color="auto" w:fill="92D050"/>
          </w:tcPr>
          <w:p w14:paraId="394736CA" w14:textId="77777777" w:rsidR="00DD13BF" w:rsidRPr="00790120" w:rsidRDefault="00DD13BF" w:rsidP="00355A56">
            <w:pPr>
              <w:widowControl/>
              <w:autoSpaceDE/>
              <w:autoSpaceDN/>
              <w:jc w:val="center"/>
              <w:rPr>
                <w:rFonts w:eastAsia="Calibri"/>
              </w:rPr>
            </w:pPr>
            <w:r>
              <w:t>A national or regional strategic policy framework for</w:t>
            </w:r>
          </w:p>
          <w:p w14:paraId="7C0DB98C" w14:textId="77777777" w:rsidR="00DD13BF" w:rsidRPr="00790120" w:rsidRDefault="00DD13BF" w:rsidP="00355A56">
            <w:pPr>
              <w:widowControl/>
              <w:autoSpaceDE/>
              <w:autoSpaceDN/>
              <w:jc w:val="center"/>
              <w:rPr>
                <w:rFonts w:eastAsia="Calibri"/>
              </w:rPr>
            </w:pPr>
            <w:r>
              <w:t>health is in place that contains:</w:t>
            </w:r>
          </w:p>
        </w:tc>
      </w:tr>
      <w:tr w:rsidR="00DD13BF" w:rsidRPr="00790120" w14:paraId="36D893AC" w14:textId="77777777" w:rsidTr="00355A56">
        <w:trPr>
          <w:trHeight w:val="353"/>
        </w:trPr>
        <w:tc>
          <w:tcPr>
            <w:tcW w:w="1538" w:type="dxa"/>
            <w:vMerge/>
          </w:tcPr>
          <w:p w14:paraId="105DEF10" w14:textId="77777777" w:rsidR="00DD13BF" w:rsidRPr="00790120" w:rsidRDefault="00DD13BF" w:rsidP="00355A56">
            <w:pPr>
              <w:widowControl/>
              <w:autoSpaceDE/>
              <w:autoSpaceDN/>
              <w:rPr>
                <w:rFonts w:eastAsia="Calibri"/>
              </w:rPr>
            </w:pPr>
          </w:p>
        </w:tc>
        <w:tc>
          <w:tcPr>
            <w:tcW w:w="877" w:type="dxa"/>
            <w:vMerge/>
          </w:tcPr>
          <w:p w14:paraId="7EA8FBA5" w14:textId="77777777" w:rsidR="00DD13BF" w:rsidRPr="00790120" w:rsidRDefault="00DD13BF" w:rsidP="00355A56">
            <w:pPr>
              <w:widowControl/>
              <w:autoSpaceDE/>
              <w:autoSpaceDN/>
              <w:rPr>
                <w:rFonts w:eastAsia="Calibri"/>
              </w:rPr>
            </w:pPr>
          </w:p>
        </w:tc>
        <w:tc>
          <w:tcPr>
            <w:tcW w:w="1985" w:type="dxa"/>
            <w:vMerge/>
          </w:tcPr>
          <w:p w14:paraId="33CAEA0B" w14:textId="77777777" w:rsidR="00DD13BF" w:rsidRPr="00790120" w:rsidRDefault="00DD13BF" w:rsidP="00355A56">
            <w:pPr>
              <w:widowControl/>
              <w:autoSpaceDE/>
              <w:autoSpaceDN/>
              <w:rPr>
                <w:rFonts w:eastAsia="Calibri"/>
              </w:rPr>
            </w:pPr>
          </w:p>
        </w:tc>
        <w:tc>
          <w:tcPr>
            <w:tcW w:w="1134" w:type="dxa"/>
            <w:vMerge/>
          </w:tcPr>
          <w:p w14:paraId="0A8180A4" w14:textId="77777777" w:rsidR="00DD13BF" w:rsidRPr="00790120" w:rsidRDefault="00DD13BF" w:rsidP="00355A56">
            <w:pPr>
              <w:widowControl/>
              <w:autoSpaceDE/>
              <w:autoSpaceDN/>
              <w:rPr>
                <w:rFonts w:eastAsia="Calibri"/>
              </w:rPr>
            </w:pPr>
          </w:p>
        </w:tc>
        <w:tc>
          <w:tcPr>
            <w:tcW w:w="1984" w:type="dxa"/>
            <w:tcBorders>
              <w:bottom w:val="single" w:sz="4" w:space="0" w:color="auto"/>
            </w:tcBorders>
          </w:tcPr>
          <w:p w14:paraId="2530C27C" w14:textId="77777777" w:rsidR="00DD13BF" w:rsidRPr="00790120" w:rsidRDefault="00DD13BF" w:rsidP="00355A56">
            <w:pPr>
              <w:widowControl/>
              <w:autoSpaceDE/>
              <w:autoSpaceDN/>
              <w:rPr>
                <w:rFonts w:eastAsia="Calibri"/>
              </w:rPr>
            </w:pPr>
            <w:r>
              <w:t>1. Mapping of health and long-</w:t>
            </w:r>
            <w:r>
              <w:lastRenderedPageBreak/>
              <w:t>term care needs, including in terms of medical and care staff, to ensure</w:t>
            </w:r>
          </w:p>
          <w:p w14:paraId="5AA1DDA5" w14:textId="77777777" w:rsidR="00DD13BF" w:rsidRPr="00790120" w:rsidRDefault="00DD13BF" w:rsidP="00355A56">
            <w:pPr>
              <w:widowControl/>
              <w:autoSpaceDE/>
              <w:autoSpaceDN/>
              <w:rPr>
                <w:rFonts w:eastAsia="Calibri"/>
              </w:rPr>
            </w:pPr>
            <w:r>
              <w:t>sustainable and coordinated measures.</w:t>
            </w:r>
          </w:p>
        </w:tc>
        <w:tc>
          <w:tcPr>
            <w:tcW w:w="709" w:type="dxa"/>
            <w:tcBorders>
              <w:bottom w:val="single" w:sz="4" w:space="0" w:color="auto"/>
            </w:tcBorders>
          </w:tcPr>
          <w:p w14:paraId="0EC0F18A" w14:textId="77777777" w:rsidR="00DD13BF" w:rsidRPr="00790120" w:rsidRDefault="00DD13BF" w:rsidP="00355A56">
            <w:pPr>
              <w:widowControl/>
              <w:autoSpaceDE/>
              <w:autoSpaceDN/>
              <w:rPr>
                <w:rFonts w:eastAsia="Calibri"/>
              </w:rPr>
            </w:pPr>
            <w:r>
              <w:lastRenderedPageBreak/>
              <w:t>Yes</w:t>
            </w:r>
          </w:p>
        </w:tc>
        <w:tc>
          <w:tcPr>
            <w:tcW w:w="2267" w:type="dxa"/>
            <w:tcBorders>
              <w:bottom w:val="single" w:sz="4" w:space="0" w:color="auto"/>
            </w:tcBorders>
          </w:tcPr>
          <w:p w14:paraId="1AFEF282" w14:textId="77777777" w:rsidR="00DD13BF" w:rsidRPr="00790120" w:rsidRDefault="00DD13BF" w:rsidP="00355A56">
            <w:pPr>
              <w:widowControl/>
              <w:autoSpaceDE/>
              <w:autoSpaceDN/>
              <w:rPr>
                <w:rFonts w:eastAsia="Calibri"/>
              </w:rPr>
            </w:pPr>
            <w:r>
              <w:t xml:space="preserve">Mapping of needs in the field of health care </w:t>
            </w:r>
            <w:r>
              <w:lastRenderedPageBreak/>
              <w:t>and long-term care, including in terms of medical personnel, to ensure sustainable and coordinated measures of the European Cohesion Policy 2021–2027.</w:t>
            </w:r>
          </w:p>
        </w:tc>
        <w:tc>
          <w:tcPr>
            <w:tcW w:w="3402" w:type="dxa"/>
            <w:tcBorders>
              <w:bottom w:val="single" w:sz="4" w:space="0" w:color="auto"/>
            </w:tcBorders>
          </w:tcPr>
          <w:p w14:paraId="41AA219E" w14:textId="77777777" w:rsidR="00DD13BF" w:rsidRPr="00790120" w:rsidRDefault="00DD13BF" w:rsidP="00355A56">
            <w:pPr>
              <w:widowControl/>
              <w:autoSpaceDE/>
              <w:autoSpaceDN/>
              <w:jc w:val="both"/>
              <w:rPr>
                <w:rFonts w:eastAsia="Calibri"/>
              </w:rPr>
            </w:pPr>
            <w:r>
              <w:lastRenderedPageBreak/>
              <w:t xml:space="preserve">The needs mapping document, which was adopted on 13 September </w:t>
            </w:r>
            <w:r>
              <w:lastRenderedPageBreak/>
              <w:t>2022, contains data on the investment needs of public health care institutions and long-term care in Slovenia. The document was informally coordinated with the EC.</w:t>
            </w:r>
          </w:p>
        </w:tc>
      </w:tr>
      <w:tr w:rsidR="00DD13BF" w:rsidRPr="00790120" w14:paraId="4E72C5DD" w14:textId="77777777" w:rsidTr="00355A56">
        <w:trPr>
          <w:trHeight w:val="353"/>
        </w:trPr>
        <w:tc>
          <w:tcPr>
            <w:tcW w:w="1538" w:type="dxa"/>
            <w:vMerge/>
          </w:tcPr>
          <w:p w14:paraId="2DA60F31" w14:textId="77777777" w:rsidR="00DD13BF" w:rsidRPr="00790120" w:rsidRDefault="00DD13BF" w:rsidP="00355A56">
            <w:pPr>
              <w:widowControl/>
              <w:autoSpaceDE/>
              <w:autoSpaceDN/>
              <w:rPr>
                <w:rFonts w:eastAsia="Calibri"/>
              </w:rPr>
            </w:pPr>
          </w:p>
        </w:tc>
        <w:tc>
          <w:tcPr>
            <w:tcW w:w="877" w:type="dxa"/>
            <w:vMerge/>
          </w:tcPr>
          <w:p w14:paraId="56A19F3E" w14:textId="77777777" w:rsidR="00DD13BF" w:rsidRPr="00790120" w:rsidRDefault="00DD13BF" w:rsidP="00355A56">
            <w:pPr>
              <w:widowControl/>
              <w:autoSpaceDE/>
              <w:autoSpaceDN/>
              <w:rPr>
                <w:rFonts w:eastAsia="Calibri"/>
              </w:rPr>
            </w:pPr>
          </w:p>
        </w:tc>
        <w:tc>
          <w:tcPr>
            <w:tcW w:w="1985" w:type="dxa"/>
            <w:vMerge/>
          </w:tcPr>
          <w:p w14:paraId="11670291" w14:textId="77777777" w:rsidR="00DD13BF" w:rsidRPr="00790120" w:rsidRDefault="00DD13BF" w:rsidP="00355A56">
            <w:pPr>
              <w:widowControl/>
              <w:autoSpaceDE/>
              <w:autoSpaceDN/>
              <w:rPr>
                <w:rFonts w:eastAsia="Calibri"/>
              </w:rPr>
            </w:pPr>
          </w:p>
        </w:tc>
        <w:tc>
          <w:tcPr>
            <w:tcW w:w="1134" w:type="dxa"/>
            <w:vMerge/>
          </w:tcPr>
          <w:p w14:paraId="37DA1D83" w14:textId="77777777" w:rsidR="00DD13BF" w:rsidRPr="00790120" w:rsidRDefault="00DD13BF" w:rsidP="00355A56">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45AB0434" w14:textId="77777777" w:rsidR="00DD13BF" w:rsidRPr="00790120" w:rsidRDefault="00DD13BF" w:rsidP="00355A56">
            <w:pPr>
              <w:widowControl/>
              <w:autoSpaceDE/>
              <w:autoSpaceDN/>
              <w:rPr>
                <w:rFonts w:eastAsia="Calibri"/>
              </w:rPr>
            </w:pPr>
            <w:r>
              <w:t>2. Measures to ensure the efficiency, sustainability, accessibility and affordability of health and long-term care services,</w:t>
            </w:r>
          </w:p>
          <w:p w14:paraId="4CCD2205" w14:textId="77777777" w:rsidR="00DD13BF" w:rsidRPr="00790120" w:rsidRDefault="00DD13BF" w:rsidP="00355A56">
            <w:pPr>
              <w:widowControl/>
              <w:autoSpaceDE/>
              <w:autoSpaceDN/>
              <w:rPr>
                <w:rFonts w:eastAsia="Calibri"/>
              </w:rPr>
            </w:pPr>
            <w:r>
              <w:t>including a specific focus on individuals excluded from</w:t>
            </w:r>
          </w:p>
          <w:p w14:paraId="749EFF91" w14:textId="77777777" w:rsidR="00DD13BF" w:rsidRPr="00790120" w:rsidRDefault="00DD13BF" w:rsidP="00355A56">
            <w:pPr>
              <w:widowControl/>
              <w:autoSpaceDE/>
              <w:autoSpaceDN/>
              <w:rPr>
                <w:rFonts w:eastAsia="Calibri"/>
              </w:rPr>
            </w:pPr>
            <w:r>
              <w:t>the health and long-term care systems, including</w:t>
            </w:r>
          </w:p>
          <w:p w14:paraId="12BF5125" w14:textId="77777777" w:rsidR="00DD13BF" w:rsidRPr="00790120" w:rsidRDefault="00DD13BF" w:rsidP="00355A56">
            <w:pPr>
              <w:widowControl/>
              <w:autoSpaceDE/>
              <w:autoSpaceDN/>
              <w:rPr>
                <w:rFonts w:eastAsia="Calibri"/>
              </w:rPr>
            </w:pPr>
            <w:r>
              <w:t>those who are hardest to reach.</w:t>
            </w:r>
          </w:p>
        </w:tc>
        <w:tc>
          <w:tcPr>
            <w:tcW w:w="709" w:type="dxa"/>
            <w:tcBorders>
              <w:top w:val="single" w:sz="4" w:space="0" w:color="auto"/>
              <w:left w:val="single" w:sz="4" w:space="0" w:color="auto"/>
              <w:bottom w:val="single" w:sz="4" w:space="0" w:color="auto"/>
              <w:right w:val="single" w:sz="4" w:space="0" w:color="auto"/>
            </w:tcBorders>
          </w:tcPr>
          <w:p w14:paraId="5098A878" w14:textId="77777777" w:rsidR="00DD13BF" w:rsidRPr="00790120" w:rsidRDefault="00DD13BF" w:rsidP="00355A56">
            <w:pPr>
              <w:widowControl/>
              <w:autoSpaceDE/>
              <w:autoSpaceDN/>
              <w:rPr>
                <w:rFonts w:eastAsia="Calibri"/>
              </w:rPr>
            </w:pPr>
            <w:r>
              <w:t>Yes</w:t>
            </w:r>
          </w:p>
        </w:tc>
        <w:tc>
          <w:tcPr>
            <w:tcW w:w="2267" w:type="dxa"/>
            <w:tcBorders>
              <w:top w:val="single" w:sz="4" w:space="0" w:color="auto"/>
              <w:left w:val="single" w:sz="4" w:space="0" w:color="auto"/>
              <w:bottom w:val="single" w:sz="4" w:space="0" w:color="auto"/>
              <w:right w:val="single" w:sz="4" w:space="0" w:color="auto"/>
            </w:tcBorders>
          </w:tcPr>
          <w:p w14:paraId="0B83EDFF" w14:textId="77777777" w:rsidR="00DD13BF" w:rsidRPr="00790120" w:rsidRDefault="00425F22" w:rsidP="00355A56">
            <w:pPr>
              <w:widowControl/>
              <w:autoSpaceDE/>
              <w:autoSpaceDN/>
              <w:rPr>
                <w:rFonts w:eastAsia="Calibri"/>
              </w:rPr>
            </w:pPr>
            <w:hyperlink r:id="rId234" w:history="1">
              <w:r w:rsidR="00DD13BF">
                <w:rPr>
                  <w:color w:val="0563C1"/>
                  <w:u w:val="single"/>
                </w:rPr>
                <w:t xml:space="preserve">Resolution on the National Health Care Plan 2016–2025 (ReNPZV16–25) </w:t>
              </w:r>
            </w:hyperlink>
          </w:p>
        </w:tc>
        <w:tc>
          <w:tcPr>
            <w:tcW w:w="3402" w:type="dxa"/>
            <w:tcBorders>
              <w:top w:val="single" w:sz="4" w:space="0" w:color="auto"/>
              <w:left w:val="single" w:sz="4" w:space="0" w:color="auto"/>
              <w:bottom w:val="single" w:sz="4" w:space="0" w:color="auto"/>
              <w:right w:val="single" w:sz="4" w:space="0" w:color="auto"/>
            </w:tcBorders>
          </w:tcPr>
          <w:p w14:paraId="5F4E006A" w14:textId="77777777" w:rsidR="00DD13BF" w:rsidRPr="00790120" w:rsidRDefault="00DD13BF" w:rsidP="00355A56">
            <w:pPr>
              <w:widowControl/>
              <w:autoSpaceDE/>
              <w:autoSpaceDN/>
              <w:jc w:val="both"/>
              <w:rPr>
                <w:rFonts w:eastAsia="Calibri"/>
              </w:rPr>
            </w:pPr>
            <w:r>
              <w:t xml:space="preserve">The Resolution on the National Health Care Plan 2016–2025 (ReNPZV16–25) addresses measures to achieve an efficient, sustainable and financially accessible health system and long-term care system. The objectives of the system optimisation stated in the resolution are: integrated and comprehensive treatment; equal access to quality and safe care as close as possible to residents; orientation towards preventive health care; better connection between the levels of health care and social care; taking into account the changing health needs of the ageing population; and orientation towards users and their empowerment. They will be attained by evenly and fairly charging insured persons for contributions, dispersing resources </w:t>
            </w:r>
            <w:r>
              <w:lastRenderedPageBreak/>
              <w:t>for the financing of health care, and introducing or abolishing treatment methods based on a transparent system.</w:t>
            </w:r>
          </w:p>
        </w:tc>
      </w:tr>
      <w:tr w:rsidR="00DD13BF" w:rsidRPr="00790120" w14:paraId="2C150E61" w14:textId="77777777" w:rsidTr="00355A56">
        <w:trPr>
          <w:trHeight w:val="353"/>
        </w:trPr>
        <w:tc>
          <w:tcPr>
            <w:tcW w:w="1538" w:type="dxa"/>
            <w:vMerge/>
          </w:tcPr>
          <w:p w14:paraId="241D8395" w14:textId="77777777" w:rsidR="00DD13BF" w:rsidRPr="00790120" w:rsidRDefault="00DD13BF" w:rsidP="00355A56">
            <w:pPr>
              <w:widowControl/>
              <w:autoSpaceDE/>
              <w:autoSpaceDN/>
              <w:rPr>
                <w:rFonts w:eastAsia="Calibri"/>
              </w:rPr>
            </w:pPr>
          </w:p>
        </w:tc>
        <w:tc>
          <w:tcPr>
            <w:tcW w:w="877" w:type="dxa"/>
            <w:vMerge/>
          </w:tcPr>
          <w:p w14:paraId="1B4DABDF" w14:textId="77777777" w:rsidR="00DD13BF" w:rsidRPr="00790120" w:rsidRDefault="00DD13BF" w:rsidP="00355A56">
            <w:pPr>
              <w:widowControl/>
              <w:autoSpaceDE/>
              <w:autoSpaceDN/>
              <w:rPr>
                <w:rFonts w:eastAsia="Calibri"/>
              </w:rPr>
            </w:pPr>
          </w:p>
        </w:tc>
        <w:tc>
          <w:tcPr>
            <w:tcW w:w="1985" w:type="dxa"/>
            <w:vMerge/>
          </w:tcPr>
          <w:p w14:paraId="0DC73B18" w14:textId="77777777" w:rsidR="00DD13BF" w:rsidRPr="00790120" w:rsidRDefault="00DD13BF" w:rsidP="00355A56">
            <w:pPr>
              <w:widowControl/>
              <w:autoSpaceDE/>
              <w:autoSpaceDN/>
              <w:rPr>
                <w:rFonts w:eastAsia="Calibri"/>
              </w:rPr>
            </w:pPr>
          </w:p>
        </w:tc>
        <w:tc>
          <w:tcPr>
            <w:tcW w:w="1134" w:type="dxa"/>
            <w:tcBorders>
              <w:right w:val="single" w:sz="4" w:space="0" w:color="auto"/>
            </w:tcBorders>
          </w:tcPr>
          <w:p w14:paraId="2F32BA39" w14:textId="77777777" w:rsidR="00DD13BF" w:rsidRPr="00790120" w:rsidRDefault="00DD13BF" w:rsidP="00355A56">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481EE084" w14:textId="77777777" w:rsidR="00DD13BF" w:rsidRPr="00790120" w:rsidRDefault="00DD13BF" w:rsidP="00355A56">
            <w:pPr>
              <w:widowControl/>
              <w:autoSpaceDE/>
              <w:autoSpaceDN/>
              <w:rPr>
                <w:rFonts w:eastAsia="Calibri"/>
              </w:rPr>
            </w:pPr>
            <w:r>
              <w:t>3. Measures to promote community and family-based services through de-institutionalisation, including prevention and primary care, home-care and community-based services.</w:t>
            </w:r>
          </w:p>
        </w:tc>
        <w:tc>
          <w:tcPr>
            <w:tcW w:w="709" w:type="dxa"/>
            <w:tcBorders>
              <w:top w:val="single" w:sz="4" w:space="0" w:color="auto"/>
              <w:left w:val="single" w:sz="4" w:space="0" w:color="auto"/>
              <w:bottom w:val="single" w:sz="4" w:space="0" w:color="auto"/>
              <w:right w:val="single" w:sz="4" w:space="0" w:color="auto"/>
            </w:tcBorders>
          </w:tcPr>
          <w:p w14:paraId="6398108D" w14:textId="77777777" w:rsidR="00DD13BF" w:rsidRPr="00790120" w:rsidRDefault="00DD13BF" w:rsidP="00355A56">
            <w:pPr>
              <w:widowControl/>
              <w:autoSpaceDE/>
              <w:autoSpaceDN/>
              <w:rPr>
                <w:rFonts w:eastAsia="Calibri"/>
              </w:rPr>
            </w:pPr>
            <w:r>
              <w:t>Yes</w:t>
            </w:r>
          </w:p>
        </w:tc>
        <w:tc>
          <w:tcPr>
            <w:tcW w:w="2267" w:type="dxa"/>
            <w:tcBorders>
              <w:top w:val="single" w:sz="4" w:space="0" w:color="auto"/>
              <w:left w:val="single" w:sz="4" w:space="0" w:color="auto"/>
              <w:bottom w:val="single" w:sz="4" w:space="0" w:color="auto"/>
              <w:right w:val="single" w:sz="4" w:space="0" w:color="auto"/>
            </w:tcBorders>
          </w:tcPr>
          <w:p w14:paraId="5BBFE0F0" w14:textId="77777777" w:rsidR="00DD13BF" w:rsidRPr="00790120" w:rsidRDefault="00425F22" w:rsidP="00355A56">
            <w:pPr>
              <w:widowControl/>
              <w:autoSpaceDE/>
              <w:autoSpaceDN/>
              <w:rPr>
                <w:rFonts w:eastAsia="Calibri"/>
              </w:rPr>
            </w:pPr>
            <w:hyperlink r:id="rId235" w:history="1">
              <w:r w:rsidR="00DD13BF">
                <w:rPr>
                  <w:color w:val="0563C1"/>
                  <w:u w:val="single"/>
                </w:rPr>
                <w:t xml:space="preserve">Resolution on the National Health Care Plan 2016–2025 (ReNPZV16–25) </w:t>
              </w:r>
            </w:hyperlink>
          </w:p>
        </w:tc>
        <w:tc>
          <w:tcPr>
            <w:tcW w:w="3402" w:type="dxa"/>
            <w:tcBorders>
              <w:top w:val="single" w:sz="4" w:space="0" w:color="auto"/>
              <w:left w:val="single" w:sz="4" w:space="0" w:color="auto"/>
              <w:bottom w:val="single" w:sz="4" w:space="0" w:color="auto"/>
              <w:right w:val="single" w:sz="4" w:space="0" w:color="auto"/>
            </w:tcBorders>
          </w:tcPr>
          <w:p w14:paraId="6B2550B8" w14:textId="77777777" w:rsidR="00DD13BF" w:rsidRPr="00790120" w:rsidRDefault="00DD13BF" w:rsidP="00355A56">
            <w:pPr>
              <w:widowControl/>
              <w:autoSpaceDE/>
              <w:autoSpaceDN/>
              <w:jc w:val="both"/>
              <w:rPr>
                <w:rFonts w:eastAsia="Calibri"/>
              </w:rPr>
            </w:pPr>
            <w:r>
              <w:t xml:space="preserve">The Resolution on the National Health Care Plan 2016–2025 addresses measures to strengthen and protect health and prevent disease. It is based on the Health in All Policies approach and the strengthening of public health activities at the primary level. The objectives of the measures are disease prevention, early disease detection, and the reduction of health inequalities.  </w:t>
            </w:r>
          </w:p>
          <w:p w14:paraId="11969483" w14:textId="77777777" w:rsidR="00DD13BF" w:rsidRPr="00790120" w:rsidRDefault="00DD13BF" w:rsidP="00355A56">
            <w:pPr>
              <w:widowControl/>
              <w:autoSpaceDE/>
              <w:autoSpaceDN/>
              <w:jc w:val="both"/>
              <w:rPr>
                <w:rFonts w:eastAsia="Calibri"/>
              </w:rPr>
            </w:pPr>
          </w:p>
          <w:p w14:paraId="58CC2E32" w14:textId="77777777" w:rsidR="00DD13BF" w:rsidRPr="00790120" w:rsidRDefault="00DD13BF" w:rsidP="00355A56">
            <w:pPr>
              <w:widowControl/>
              <w:autoSpaceDE/>
              <w:autoSpaceDN/>
              <w:jc w:val="both"/>
              <w:rPr>
                <w:rFonts w:eastAsia="Calibri"/>
              </w:rPr>
            </w:pPr>
          </w:p>
        </w:tc>
      </w:tr>
    </w:tbl>
    <w:p w14:paraId="3ED56D64" w14:textId="77777777" w:rsidR="00DD13BF" w:rsidRDefault="00DD13BF" w:rsidP="00DD13BF">
      <w:pPr>
        <w:rPr>
          <w:sz w:val="24"/>
        </w:rPr>
      </w:pPr>
    </w:p>
    <w:p w14:paraId="1CD25A1D" w14:textId="77777777" w:rsidR="00DD13BF" w:rsidRDefault="00DD13BF" w:rsidP="00DD13BF">
      <w:pPr>
        <w:rPr>
          <w:sz w:val="24"/>
        </w:rPr>
      </w:pPr>
    </w:p>
    <w:p w14:paraId="4CD7DAA2" w14:textId="77777777" w:rsidR="00DD13BF" w:rsidRPr="001F17EF" w:rsidRDefault="00DD13BF" w:rsidP="00DD13BF">
      <w:pPr>
        <w:pStyle w:val="Naslov1"/>
        <w:numPr>
          <w:ilvl w:val="0"/>
          <w:numId w:val="0"/>
        </w:numPr>
        <w:spacing w:before="0"/>
      </w:pPr>
    </w:p>
    <w:p w14:paraId="0FEB595D" w14:textId="77777777" w:rsidR="00DD13BF" w:rsidRDefault="00DD13BF" w:rsidP="00DD13BF">
      <w:pPr>
        <w:pStyle w:val="Naslov1"/>
        <w:spacing w:before="0"/>
      </w:pPr>
      <w:bookmarkStart w:id="87" w:name="_Toc131161746"/>
      <w:r>
        <w:t>Programme authorities</w:t>
      </w:r>
      <w:bookmarkEnd w:id="87"/>
    </w:p>
    <w:p w14:paraId="52CFF676" w14:textId="77777777" w:rsidR="00DD13BF" w:rsidRDefault="00DD13BF" w:rsidP="00DD13BF"/>
    <w:p w14:paraId="0F2EF71E" w14:textId="77777777" w:rsidR="00DD13BF" w:rsidRDefault="00DD13BF" w:rsidP="00DD13BF">
      <w:pPr>
        <w:ind w:left="640"/>
      </w:pPr>
      <w:r>
        <w:t>Table 13: Programme authorities</w:t>
      </w:r>
    </w:p>
    <w:p w14:paraId="17CB031B" w14:textId="77777777" w:rsidR="00DD13BF" w:rsidRDefault="00DD13BF" w:rsidP="00DD13BF"/>
    <w:tbl>
      <w:tblPr>
        <w:tblStyle w:val="NormalTable0"/>
        <w:tblW w:w="13338"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8"/>
        <w:gridCol w:w="3372"/>
        <w:gridCol w:w="3006"/>
        <w:gridCol w:w="2552"/>
      </w:tblGrid>
      <w:tr w:rsidR="00DD13BF" w14:paraId="25A401C0" w14:textId="77777777" w:rsidTr="00355A56">
        <w:trPr>
          <w:trHeight w:val="353"/>
        </w:trPr>
        <w:tc>
          <w:tcPr>
            <w:tcW w:w="4408" w:type="dxa"/>
          </w:tcPr>
          <w:p w14:paraId="6242E80A" w14:textId="77777777" w:rsidR="00DD13BF" w:rsidRDefault="00DD13BF" w:rsidP="00355A56">
            <w:pPr>
              <w:pStyle w:val="TableParagraph"/>
              <w:ind w:left="101"/>
              <w:jc w:val="center"/>
            </w:pPr>
            <w:r>
              <w:t>Programme authorities</w:t>
            </w:r>
          </w:p>
        </w:tc>
        <w:tc>
          <w:tcPr>
            <w:tcW w:w="3372" w:type="dxa"/>
          </w:tcPr>
          <w:p w14:paraId="3BCCC18B" w14:textId="77777777" w:rsidR="00DD13BF" w:rsidRDefault="00DD13BF" w:rsidP="00355A56">
            <w:pPr>
              <w:pStyle w:val="TableParagraph"/>
              <w:ind w:left="797"/>
            </w:pPr>
            <w:r>
              <w:t>Name of the institution</w:t>
            </w:r>
          </w:p>
        </w:tc>
        <w:tc>
          <w:tcPr>
            <w:tcW w:w="3006" w:type="dxa"/>
          </w:tcPr>
          <w:p w14:paraId="3929B947" w14:textId="77777777" w:rsidR="00DD13BF" w:rsidRDefault="00DD13BF" w:rsidP="00355A56">
            <w:pPr>
              <w:pStyle w:val="TableParagraph"/>
              <w:ind w:left="510"/>
            </w:pPr>
            <w:r>
              <w:t>Contact name</w:t>
            </w:r>
          </w:p>
        </w:tc>
        <w:tc>
          <w:tcPr>
            <w:tcW w:w="2552" w:type="dxa"/>
          </w:tcPr>
          <w:p w14:paraId="10B5B316" w14:textId="77777777" w:rsidR="00DD13BF" w:rsidRDefault="00DD13BF" w:rsidP="00355A56">
            <w:pPr>
              <w:pStyle w:val="TableParagraph"/>
              <w:ind w:left="1029"/>
            </w:pPr>
            <w:r>
              <w:t>E-mail</w:t>
            </w:r>
          </w:p>
        </w:tc>
      </w:tr>
      <w:tr w:rsidR="00DD13BF" w14:paraId="375B9AFE" w14:textId="77777777" w:rsidTr="00355A56">
        <w:trPr>
          <w:trHeight w:val="353"/>
        </w:trPr>
        <w:tc>
          <w:tcPr>
            <w:tcW w:w="4408" w:type="dxa"/>
            <w:vAlign w:val="center"/>
          </w:tcPr>
          <w:p w14:paraId="1FE3E36A" w14:textId="77777777" w:rsidR="00DD13BF" w:rsidRDefault="00DD13BF" w:rsidP="00355A56">
            <w:pPr>
              <w:pStyle w:val="TableParagraph"/>
              <w:ind w:left="101"/>
            </w:pPr>
            <w:r>
              <w:t>Managing authority</w:t>
            </w:r>
          </w:p>
        </w:tc>
        <w:tc>
          <w:tcPr>
            <w:tcW w:w="3372" w:type="dxa"/>
            <w:vAlign w:val="center"/>
          </w:tcPr>
          <w:p w14:paraId="049829FC" w14:textId="77777777" w:rsidR="00DD13BF" w:rsidRPr="00C77B12" w:rsidRDefault="00DD13BF" w:rsidP="00355A56">
            <w:pPr>
              <w:pStyle w:val="TableParagraph"/>
            </w:pPr>
            <w:r>
              <w:rPr>
                <w:color w:val="000000"/>
              </w:rPr>
              <w:t>Government Office for Development and European Cohesion Policy</w:t>
            </w:r>
          </w:p>
        </w:tc>
        <w:tc>
          <w:tcPr>
            <w:tcW w:w="3006" w:type="dxa"/>
            <w:vAlign w:val="center"/>
          </w:tcPr>
          <w:p w14:paraId="5C8F5F2B" w14:textId="77777777" w:rsidR="00DD13BF" w:rsidRPr="00C77B12" w:rsidRDefault="00DD13BF" w:rsidP="00355A56">
            <w:pPr>
              <w:pStyle w:val="TableParagraph"/>
            </w:pPr>
            <w:r>
              <w:rPr>
                <w:color w:val="000000"/>
              </w:rPr>
              <w:t>Matjaž Dragar</w:t>
            </w:r>
          </w:p>
        </w:tc>
        <w:tc>
          <w:tcPr>
            <w:tcW w:w="2552" w:type="dxa"/>
            <w:vAlign w:val="center"/>
          </w:tcPr>
          <w:p w14:paraId="0342DE6D" w14:textId="77777777" w:rsidR="00DD13BF" w:rsidRPr="00C77B12" w:rsidRDefault="00DD13BF" w:rsidP="00355A56">
            <w:pPr>
              <w:pStyle w:val="TableParagraph"/>
            </w:pPr>
            <w:r>
              <w:rPr>
                <w:color w:val="000000"/>
              </w:rPr>
              <w:t>gp.svrk@gov.si</w:t>
            </w:r>
          </w:p>
        </w:tc>
      </w:tr>
      <w:tr w:rsidR="00DD13BF" w14:paraId="6D2F20EA" w14:textId="77777777" w:rsidTr="00355A56">
        <w:trPr>
          <w:trHeight w:val="353"/>
        </w:trPr>
        <w:tc>
          <w:tcPr>
            <w:tcW w:w="4408" w:type="dxa"/>
            <w:vAlign w:val="center"/>
          </w:tcPr>
          <w:p w14:paraId="5055E03C" w14:textId="77777777" w:rsidR="00DD13BF" w:rsidRDefault="00DD13BF" w:rsidP="00355A56">
            <w:pPr>
              <w:pStyle w:val="TableParagraph"/>
              <w:ind w:left="101"/>
            </w:pPr>
            <w:r>
              <w:lastRenderedPageBreak/>
              <w:t>Audit authority</w:t>
            </w:r>
          </w:p>
        </w:tc>
        <w:tc>
          <w:tcPr>
            <w:tcW w:w="3372" w:type="dxa"/>
            <w:vAlign w:val="center"/>
          </w:tcPr>
          <w:p w14:paraId="0988461A" w14:textId="77777777" w:rsidR="00DD13BF" w:rsidRPr="00C77B12" w:rsidRDefault="00DD13BF" w:rsidP="00355A56">
            <w:pPr>
              <w:pStyle w:val="TableParagraph"/>
            </w:pPr>
            <w:r>
              <w:rPr>
                <w:color w:val="000000"/>
              </w:rPr>
              <w:t>Ministry of Finance, Budget Supervision Office of the Republic of Slovenia</w:t>
            </w:r>
          </w:p>
        </w:tc>
        <w:tc>
          <w:tcPr>
            <w:tcW w:w="3006" w:type="dxa"/>
            <w:vAlign w:val="center"/>
          </w:tcPr>
          <w:p w14:paraId="4BF600ED" w14:textId="77777777" w:rsidR="00DD13BF" w:rsidRPr="00C77B12" w:rsidRDefault="00DD13BF" w:rsidP="00355A56">
            <w:pPr>
              <w:pStyle w:val="TableParagraph"/>
            </w:pPr>
            <w:r>
              <w:rPr>
                <w:color w:val="000000"/>
              </w:rPr>
              <w:t>Gregor Greif</w:t>
            </w:r>
          </w:p>
        </w:tc>
        <w:tc>
          <w:tcPr>
            <w:tcW w:w="2552" w:type="dxa"/>
            <w:vAlign w:val="center"/>
          </w:tcPr>
          <w:p w14:paraId="378E67C1" w14:textId="77777777" w:rsidR="00DD13BF" w:rsidRPr="00C77B12" w:rsidRDefault="00DD13BF" w:rsidP="00355A56">
            <w:pPr>
              <w:pStyle w:val="TableParagraph"/>
            </w:pPr>
            <w:r>
              <w:rPr>
                <w:color w:val="000000"/>
              </w:rPr>
              <w:t>mf.unp@gov.si</w:t>
            </w:r>
          </w:p>
        </w:tc>
      </w:tr>
      <w:tr w:rsidR="00DD13BF" w14:paraId="4E5B9FEB" w14:textId="77777777" w:rsidTr="00355A56">
        <w:trPr>
          <w:trHeight w:val="353"/>
        </w:trPr>
        <w:tc>
          <w:tcPr>
            <w:tcW w:w="4408" w:type="dxa"/>
            <w:vAlign w:val="center"/>
          </w:tcPr>
          <w:p w14:paraId="440EADFD" w14:textId="77777777" w:rsidR="00DD13BF" w:rsidRDefault="00DD13BF" w:rsidP="00355A56">
            <w:pPr>
              <w:pStyle w:val="TableParagraph"/>
              <w:ind w:left="101"/>
            </w:pPr>
            <w:r>
              <w:t>Body receiving payments from the European Commission</w:t>
            </w:r>
          </w:p>
        </w:tc>
        <w:tc>
          <w:tcPr>
            <w:tcW w:w="3372" w:type="dxa"/>
            <w:vAlign w:val="center"/>
          </w:tcPr>
          <w:p w14:paraId="02359BDB" w14:textId="77777777" w:rsidR="00DD13BF" w:rsidRPr="00C77B12" w:rsidRDefault="00DD13BF" w:rsidP="00355A56">
            <w:pPr>
              <w:pStyle w:val="TableParagraph"/>
            </w:pPr>
            <w:r>
              <w:rPr>
                <w:color w:val="000000"/>
              </w:rPr>
              <w:t xml:space="preserve">Ministry of Finance, EU/CA Funds Management Division </w:t>
            </w:r>
          </w:p>
        </w:tc>
        <w:tc>
          <w:tcPr>
            <w:tcW w:w="3006" w:type="dxa"/>
            <w:vAlign w:val="center"/>
          </w:tcPr>
          <w:p w14:paraId="5DA8C4F9" w14:textId="77777777" w:rsidR="00DD13BF" w:rsidRPr="00C77B12" w:rsidRDefault="00DD13BF" w:rsidP="00355A56">
            <w:pPr>
              <w:pStyle w:val="TableParagraph"/>
            </w:pPr>
            <w:r>
              <w:rPr>
                <w:color w:val="000000"/>
              </w:rPr>
              <w:t>Evelyn Filip</w:t>
            </w:r>
          </w:p>
        </w:tc>
        <w:tc>
          <w:tcPr>
            <w:tcW w:w="2552" w:type="dxa"/>
            <w:vAlign w:val="center"/>
          </w:tcPr>
          <w:p w14:paraId="2E9968F1" w14:textId="77777777" w:rsidR="00DD13BF" w:rsidRPr="00C77B12" w:rsidRDefault="00DD13BF" w:rsidP="00355A56">
            <w:pPr>
              <w:pStyle w:val="TableParagraph"/>
            </w:pPr>
            <w:r>
              <w:rPr>
                <w:color w:val="000000"/>
              </w:rPr>
              <w:t>gp.mf@gov.si</w:t>
            </w:r>
          </w:p>
        </w:tc>
      </w:tr>
      <w:tr w:rsidR="00DD13BF" w14:paraId="7B0BCFE0" w14:textId="77777777" w:rsidTr="00355A56">
        <w:trPr>
          <w:trHeight w:val="914"/>
        </w:trPr>
        <w:tc>
          <w:tcPr>
            <w:tcW w:w="4408" w:type="dxa"/>
            <w:vAlign w:val="center"/>
          </w:tcPr>
          <w:p w14:paraId="2C12E752" w14:textId="77777777" w:rsidR="00DD13BF" w:rsidRDefault="00DD13BF" w:rsidP="00355A56">
            <w:pPr>
              <w:pStyle w:val="TableParagraph"/>
              <w:ind w:left="101" w:right="37"/>
            </w:pPr>
            <w:r>
              <w:t>Body receiving payments from the European Commission in the case of technical assistance pursuant to Article 36(5) of CPR</w:t>
            </w:r>
          </w:p>
        </w:tc>
        <w:tc>
          <w:tcPr>
            <w:tcW w:w="3372" w:type="dxa"/>
            <w:vAlign w:val="center"/>
          </w:tcPr>
          <w:p w14:paraId="6C40EC4F" w14:textId="77777777" w:rsidR="00DD13BF" w:rsidRPr="00C77B12" w:rsidRDefault="00DD13BF" w:rsidP="00355A56">
            <w:pPr>
              <w:pStyle w:val="TableParagraph"/>
            </w:pPr>
            <w:r>
              <w:rPr>
                <w:color w:val="000000"/>
              </w:rPr>
              <w:t>Ministry of Finance, EU/CA Funds Management Division</w:t>
            </w:r>
          </w:p>
        </w:tc>
        <w:tc>
          <w:tcPr>
            <w:tcW w:w="3006" w:type="dxa"/>
            <w:vAlign w:val="center"/>
          </w:tcPr>
          <w:p w14:paraId="11B68365" w14:textId="77777777" w:rsidR="00DD13BF" w:rsidRPr="00C77B12" w:rsidRDefault="00DD13BF" w:rsidP="00355A56">
            <w:pPr>
              <w:pStyle w:val="TableParagraph"/>
            </w:pPr>
            <w:r>
              <w:rPr>
                <w:color w:val="000000"/>
              </w:rPr>
              <w:t>Evelyn Filip</w:t>
            </w:r>
          </w:p>
        </w:tc>
        <w:tc>
          <w:tcPr>
            <w:tcW w:w="2552" w:type="dxa"/>
            <w:vAlign w:val="center"/>
          </w:tcPr>
          <w:p w14:paraId="21DB745D" w14:textId="77777777" w:rsidR="00DD13BF" w:rsidRPr="00C77B12" w:rsidRDefault="00DD13BF" w:rsidP="00355A56">
            <w:pPr>
              <w:pStyle w:val="TableParagraph"/>
            </w:pPr>
            <w:r>
              <w:rPr>
                <w:color w:val="000000"/>
              </w:rPr>
              <w:t>gp.mf@gov.si</w:t>
            </w:r>
          </w:p>
        </w:tc>
      </w:tr>
      <w:tr w:rsidR="00DD13BF" w14:paraId="695F0079" w14:textId="77777777" w:rsidTr="00355A56">
        <w:trPr>
          <w:trHeight w:val="701"/>
        </w:trPr>
        <w:tc>
          <w:tcPr>
            <w:tcW w:w="4408" w:type="dxa"/>
            <w:vAlign w:val="center"/>
          </w:tcPr>
          <w:p w14:paraId="0F32B824" w14:textId="77777777" w:rsidR="00DD13BF" w:rsidRPr="005120FD" w:rsidRDefault="00DD13BF" w:rsidP="00355A56">
            <w:pPr>
              <w:pStyle w:val="TableParagraph"/>
              <w:ind w:left="101"/>
            </w:pPr>
            <w:r>
              <w:t>Accounting function in case this function is entrusted to a body other than the managing authority</w:t>
            </w:r>
          </w:p>
        </w:tc>
        <w:tc>
          <w:tcPr>
            <w:tcW w:w="3372" w:type="dxa"/>
            <w:vAlign w:val="center"/>
          </w:tcPr>
          <w:p w14:paraId="27CF08FB" w14:textId="77777777" w:rsidR="00DD13BF" w:rsidRPr="00C77B12" w:rsidRDefault="00DD13BF" w:rsidP="00355A56">
            <w:pPr>
              <w:pStyle w:val="TableParagraph"/>
            </w:pPr>
            <w:r>
              <w:rPr>
                <w:color w:val="000000"/>
              </w:rPr>
              <w:t>Ministry of Finance, EU/CA Funds Management Division</w:t>
            </w:r>
          </w:p>
        </w:tc>
        <w:tc>
          <w:tcPr>
            <w:tcW w:w="3006" w:type="dxa"/>
            <w:vAlign w:val="center"/>
          </w:tcPr>
          <w:p w14:paraId="4C985F19" w14:textId="77777777" w:rsidR="00DD13BF" w:rsidRPr="00C77B12" w:rsidRDefault="00DD13BF" w:rsidP="00355A56">
            <w:pPr>
              <w:pStyle w:val="TableParagraph"/>
            </w:pPr>
            <w:r>
              <w:rPr>
                <w:color w:val="000000"/>
              </w:rPr>
              <w:t>Evelyn Filip</w:t>
            </w:r>
          </w:p>
        </w:tc>
        <w:tc>
          <w:tcPr>
            <w:tcW w:w="2552" w:type="dxa"/>
            <w:vAlign w:val="center"/>
          </w:tcPr>
          <w:p w14:paraId="0C851ABA" w14:textId="77777777" w:rsidR="00DD13BF" w:rsidRPr="00C77B12" w:rsidRDefault="00DD13BF" w:rsidP="00355A56">
            <w:pPr>
              <w:pStyle w:val="TableParagraph"/>
            </w:pPr>
            <w:r>
              <w:rPr>
                <w:color w:val="000000"/>
              </w:rPr>
              <w:t>gp.mf@gov.si</w:t>
            </w:r>
          </w:p>
        </w:tc>
      </w:tr>
    </w:tbl>
    <w:p w14:paraId="7CA216EB" w14:textId="77777777" w:rsidR="00DD13BF" w:rsidRDefault="00DD13BF" w:rsidP="00DD13BF">
      <w:pPr>
        <w:rPr>
          <w:sz w:val="20"/>
        </w:rPr>
        <w:sectPr w:rsidR="00DD13BF" w:rsidSect="007E79A8">
          <w:headerReference w:type="default" r:id="rId236"/>
          <w:footerReference w:type="first" r:id="rId237"/>
          <w:type w:val="continuous"/>
          <w:pgSz w:w="16840" w:h="11910" w:orient="landscape"/>
          <w:pgMar w:top="1417" w:right="1417" w:bottom="1417" w:left="1417" w:header="708" w:footer="708" w:gutter="0"/>
          <w:cols w:space="708"/>
          <w:titlePg/>
          <w:docGrid w:linePitch="299"/>
        </w:sectPr>
      </w:pPr>
    </w:p>
    <w:p w14:paraId="715623F6" w14:textId="77777777" w:rsidR="00DD13BF" w:rsidRDefault="00DD13BF" w:rsidP="00DD13BF">
      <w:pPr>
        <w:ind w:left="1047" w:right="631" w:hanging="1"/>
      </w:pPr>
      <w:r>
        <w:t>The repartition of the reimbursed amounts for technical assistance pursuant to Article 36(5) CPR if more bodies are identified to receive payments from the Commission</w:t>
      </w:r>
    </w:p>
    <w:p w14:paraId="10AE9878" w14:textId="77777777" w:rsidR="00DD13BF" w:rsidRDefault="00DD13BF" w:rsidP="00DD13BF">
      <w:pPr>
        <w:rPr>
          <w:spacing w:val="-5"/>
        </w:rPr>
      </w:pPr>
    </w:p>
    <w:p w14:paraId="151BF010" w14:textId="77777777" w:rsidR="00DD13BF" w:rsidRDefault="00DD13BF" w:rsidP="00DD13BF">
      <w:pPr>
        <w:ind w:left="269" w:right="631" w:hanging="1"/>
      </w:pPr>
      <w:r>
        <w:t>Table 13A: The portion of the percentages set out in point (b) of Article 36(5) CPR that would be reimbursed to the bodies which receive payments from the Commission in case of technical assistance pursuant to Article 36(5) CPR (in percentage points)</w:t>
      </w:r>
    </w:p>
    <w:p w14:paraId="6BD55FB0" w14:textId="77777777" w:rsidR="00DD13BF" w:rsidRDefault="00DD13BF" w:rsidP="00DD13BF">
      <w:pPr>
        <w:rPr>
          <w:sz w:val="9"/>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12"/>
        <w:gridCol w:w="1665"/>
      </w:tblGrid>
      <w:tr w:rsidR="00DD13BF" w14:paraId="4CBC069E" w14:textId="77777777" w:rsidTr="00355A56">
        <w:trPr>
          <w:trHeight w:val="353"/>
        </w:trPr>
        <w:tc>
          <w:tcPr>
            <w:tcW w:w="7712" w:type="dxa"/>
          </w:tcPr>
          <w:p w14:paraId="73C4E6E2" w14:textId="77777777" w:rsidR="00DD13BF" w:rsidRDefault="00DD13BF" w:rsidP="00355A56">
            <w:pPr>
              <w:pStyle w:val="TableParagraph"/>
              <w:ind w:left="102"/>
            </w:pPr>
            <w:r>
              <w:t>Ministry of Finance</w:t>
            </w:r>
          </w:p>
        </w:tc>
        <w:tc>
          <w:tcPr>
            <w:tcW w:w="1665" w:type="dxa"/>
          </w:tcPr>
          <w:p w14:paraId="63DA675B" w14:textId="77777777" w:rsidR="00DD13BF" w:rsidRDefault="00DD13BF" w:rsidP="00355A56">
            <w:pPr>
              <w:pStyle w:val="TableParagraph"/>
              <w:ind w:left="89"/>
            </w:pPr>
            <w:r>
              <w:t>100%</w:t>
            </w:r>
          </w:p>
        </w:tc>
      </w:tr>
    </w:tbl>
    <w:p w14:paraId="6456BF33" w14:textId="77777777" w:rsidR="00DD13BF" w:rsidRDefault="00DD13BF" w:rsidP="00DD13BF"/>
    <w:p w14:paraId="6EF205A1" w14:textId="77777777" w:rsidR="00DD13BF" w:rsidRDefault="00DD13BF" w:rsidP="00DD13BF"/>
    <w:p w14:paraId="55CEE63A" w14:textId="77777777" w:rsidR="00DD13BF" w:rsidRDefault="00DD13BF" w:rsidP="00DD13BF">
      <w:r>
        <w:br w:type="page"/>
      </w:r>
    </w:p>
    <w:p w14:paraId="7D6318E8" w14:textId="77777777" w:rsidR="00DD13BF" w:rsidRDefault="00DD13BF" w:rsidP="00DD13BF">
      <w:pPr>
        <w:pStyle w:val="Naslov1"/>
        <w:spacing w:before="0"/>
      </w:pPr>
      <w:bookmarkStart w:id="88" w:name="_Toc131161747"/>
      <w:r>
        <w:lastRenderedPageBreak/>
        <w:t>Partnership</w:t>
      </w:r>
      <w:bookmarkEnd w:id="88"/>
    </w:p>
    <w:p w14:paraId="5DBF7451" w14:textId="77777777" w:rsidR="00DD13BF" w:rsidRDefault="00DD13BF" w:rsidP="00DD13BF">
      <w:pPr>
        <w:rPr>
          <w:sz w:val="20"/>
        </w:rPr>
      </w:pPr>
    </w:p>
    <w:tbl>
      <w:tblPr>
        <w:tblStyle w:val="Tabelamrea"/>
        <w:tblW w:w="13750" w:type="dxa"/>
        <w:tblInd w:w="279" w:type="dxa"/>
        <w:tblLook w:val="04A0" w:firstRow="1" w:lastRow="0" w:firstColumn="1" w:lastColumn="0" w:noHBand="0" w:noVBand="1"/>
      </w:tblPr>
      <w:tblGrid>
        <w:gridCol w:w="13750"/>
      </w:tblGrid>
      <w:tr w:rsidR="00DD13BF" w:rsidRPr="00B3569A" w14:paraId="3CC73D0A" w14:textId="77777777" w:rsidTr="00355A56">
        <w:trPr>
          <w:trHeight w:val="316"/>
        </w:trPr>
        <w:tc>
          <w:tcPr>
            <w:tcW w:w="13750" w:type="dxa"/>
          </w:tcPr>
          <w:p w14:paraId="14DE20F8" w14:textId="77777777" w:rsidR="00DD13BF" w:rsidRPr="0000280D" w:rsidRDefault="00DD13BF" w:rsidP="00355A56">
            <w:pPr>
              <w:jc w:val="both"/>
              <w:rPr>
                <w:rFonts w:cstheme="minorHAnsi"/>
              </w:rPr>
            </w:pPr>
            <w:r>
              <w:t>Slovenia pays a great deal of attention to the implementation of the partnership principle when drafting programme documents and implementing programmes. By including partners in the planning, implementation, monitoring and evaluation of projects that receive EU funds, we make sure that the funds are spent where they are most needed and in the best possible way, as all relevant aspects are taken into account when devising and implementing the most effective investment strategies.</w:t>
            </w:r>
          </w:p>
          <w:p w14:paraId="28A37FE5" w14:textId="77777777" w:rsidR="00DD13BF" w:rsidRDefault="00DD13BF" w:rsidP="00355A56">
            <w:pPr>
              <w:jc w:val="both"/>
              <w:rPr>
                <w:rFonts w:cstheme="minorHAnsi"/>
              </w:rPr>
            </w:pPr>
          </w:p>
          <w:p w14:paraId="236E37B4" w14:textId="77777777" w:rsidR="00DD13BF" w:rsidRPr="0000280D" w:rsidRDefault="00DD13BF" w:rsidP="00355A56">
            <w:pPr>
              <w:jc w:val="both"/>
              <w:rPr>
                <w:rFonts w:cstheme="minorHAnsi"/>
              </w:rPr>
            </w:pPr>
            <w:r>
              <w:t>The partnership is organised and implemented pursuant to Article 8 of Regulation (EU) 2021/1060 and the European code of conduct on partnership in the framework of the European Structural and Investment Funds set out in Commission Delegated Regulation (EU) No 240/2014.</w:t>
            </w:r>
          </w:p>
          <w:p w14:paraId="565BC11E" w14:textId="77777777" w:rsidR="00DD13BF" w:rsidRDefault="00DD13BF" w:rsidP="00355A56">
            <w:pPr>
              <w:jc w:val="both"/>
              <w:rPr>
                <w:rFonts w:cstheme="minorHAnsi"/>
              </w:rPr>
            </w:pPr>
          </w:p>
          <w:p w14:paraId="190C75BD" w14:textId="77777777" w:rsidR="00DD13BF" w:rsidRPr="0000280D" w:rsidRDefault="00DD13BF" w:rsidP="00355A56">
            <w:pPr>
              <w:jc w:val="both"/>
              <w:rPr>
                <w:rFonts w:cstheme="minorHAnsi"/>
              </w:rPr>
            </w:pPr>
            <w:r>
              <w:t>The programme is planned, implemented, monitored and evaluated in cooperation with the competent regional, local, city and other public authorities, economic and social partners, representatives of civil society, and other interested stakeholders for the implementation of EU funds, particularly groups with a higher risk of discrimination and social exclusion.</w:t>
            </w:r>
          </w:p>
          <w:p w14:paraId="0E0DA556" w14:textId="77777777" w:rsidR="00DD13BF" w:rsidRDefault="00DD13BF" w:rsidP="00355A56">
            <w:pPr>
              <w:jc w:val="both"/>
              <w:rPr>
                <w:rFonts w:cstheme="minorHAnsi"/>
              </w:rPr>
            </w:pPr>
          </w:p>
          <w:p w14:paraId="3C8C8745" w14:textId="77777777" w:rsidR="00DD13BF" w:rsidRPr="0000280D" w:rsidRDefault="00DD13BF" w:rsidP="00355A56">
            <w:pPr>
              <w:jc w:val="both"/>
              <w:rPr>
                <w:rFonts w:cstheme="minorHAnsi"/>
              </w:rPr>
            </w:pPr>
            <w:r>
              <w:t xml:space="preserve">Partners are provided with prompt information and ongoing cooperation through the single online portal of EU funds </w:t>
            </w:r>
            <w:hyperlink r:id="rId238" w:history="1">
              <w:r>
                <w:rPr>
                  <w:rStyle w:val="Hiperpovezava"/>
                </w:rPr>
                <w:t>www.evropskasredstva.si</w:t>
              </w:r>
            </w:hyperlink>
            <w:r>
              <w:t>, interactive consultant Ema, events and consultations announced in advance, including the publication of questions, initiatives and answers from consultations with stakeholders on the said portal. In accordance with the code of meetings of the monitoring committee and other forms of cooperation.</w:t>
            </w:r>
          </w:p>
          <w:p w14:paraId="762E304A" w14:textId="77777777" w:rsidR="00DD13BF" w:rsidRDefault="00DD13BF" w:rsidP="00355A56">
            <w:pPr>
              <w:jc w:val="both"/>
              <w:rPr>
                <w:rFonts w:cstheme="minorHAnsi"/>
              </w:rPr>
            </w:pPr>
          </w:p>
          <w:p w14:paraId="64FF78FF" w14:textId="77777777" w:rsidR="00DD13BF" w:rsidRPr="0000280D" w:rsidRDefault="00DD13BF" w:rsidP="00355A56">
            <w:pPr>
              <w:jc w:val="both"/>
              <w:rPr>
                <w:rFonts w:cstheme="minorHAnsi"/>
              </w:rPr>
            </w:pPr>
            <w:r>
              <w:t>During the drafting of the programme, the partners are involved mainly in the analysis and definition of needs and priorities, the allocation of available funds, and the determination of the implementation method.</w:t>
            </w:r>
          </w:p>
          <w:p w14:paraId="37D1C10E" w14:textId="77777777" w:rsidR="00DD13BF" w:rsidRDefault="00DD13BF" w:rsidP="00355A56">
            <w:pPr>
              <w:jc w:val="both"/>
              <w:rPr>
                <w:rFonts w:cstheme="minorHAnsi"/>
              </w:rPr>
            </w:pPr>
          </w:p>
          <w:p w14:paraId="04E7F794" w14:textId="77777777" w:rsidR="00DD13BF" w:rsidRDefault="00DD13BF" w:rsidP="00355A56">
            <w:pPr>
              <w:jc w:val="both"/>
              <w:rPr>
                <w:rFonts w:cstheme="minorHAnsi"/>
              </w:rPr>
            </w:pPr>
            <w:r>
              <w:t>During the programming period, the exchange of experience and mutual learning will be promoted, and the role of the partners and the effectiveness of the partnership during the programming period will be assessed at the end of the programming period.</w:t>
            </w:r>
          </w:p>
          <w:p w14:paraId="521192CD" w14:textId="77777777" w:rsidR="00DD13BF" w:rsidRPr="0000280D" w:rsidRDefault="00DD13BF" w:rsidP="00355A56">
            <w:pPr>
              <w:jc w:val="both"/>
              <w:rPr>
                <w:rFonts w:cstheme="minorHAnsi"/>
              </w:rPr>
            </w:pPr>
          </w:p>
          <w:p w14:paraId="0739987E" w14:textId="77777777" w:rsidR="00DD13BF" w:rsidRPr="0000280D" w:rsidRDefault="00DD13BF" w:rsidP="00355A56">
            <w:pPr>
              <w:jc w:val="both"/>
              <w:rPr>
                <w:rFonts w:cstheme="minorHAnsi"/>
                <w:b/>
              </w:rPr>
            </w:pPr>
            <w:r>
              <w:rPr>
                <w:b/>
              </w:rPr>
              <w:t>Measures taken to involve relevant partners in the drafting of programmes and their amendments:</w:t>
            </w:r>
          </w:p>
          <w:p w14:paraId="479BE154" w14:textId="77777777" w:rsidR="00DD13BF" w:rsidRPr="0000280D" w:rsidRDefault="00DD13BF" w:rsidP="00355A56">
            <w:pPr>
              <w:jc w:val="both"/>
              <w:rPr>
                <w:rFonts w:cstheme="minorHAnsi"/>
              </w:rPr>
            </w:pPr>
            <w:r>
              <w:t xml:space="preserve">Partners and the general public can be directly involved in the preparation of programme documents via the online form at </w:t>
            </w:r>
            <w:hyperlink r:id="rId239" w:history="1">
              <w:r>
                <w:rPr>
                  <w:rStyle w:val="Hiperpovezava"/>
                </w:rPr>
                <w:t>perspektive.eu-skladi.si/</w:t>
              </w:r>
            </w:hyperlink>
            <w:r>
              <w:t xml:space="preserve">, and all relevant information about European funds is provided by interactive consultant Ema on the new single online portal www.evropskasredstva.si or the free phone number 080 20 23. The dates of physical and virtual consultations are promptly published on the said online portal. Questions, initiatives and answers from consultations with stakeholders are also published on the said portal. Partners and the interested public are encouraged to participate through calls in the monthly e-newsletter </w:t>
            </w:r>
            <w:hyperlink r:id="rId240" w:history="1">
              <w:r>
                <w:rPr>
                  <w:rStyle w:val="Hiperpovezava"/>
                </w:rPr>
                <w:t>Vizija kohezija</w:t>
              </w:r>
            </w:hyperlink>
            <w:r>
              <w:t xml:space="preserve"> and via </w:t>
            </w:r>
            <w:hyperlink r:id="rId241" w:history="1">
              <w:r>
                <w:rPr>
                  <w:rStyle w:val="Hiperpovezava"/>
                </w:rPr>
                <w:t>social networks</w:t>
              </w:r>
            </w:hyperlink>
            <w:r>
              <w:t>.</w:t>
            </w:r>
          </w:p>
          <w:p w14:paraId="42203F43" w14:textId="77777777" w:rsidR="00DD13BF" w:rsidRDefault="00DD13BF" w:rsidP="00355A56">
            <w:pPr>
              <w:jc w:val="both"/>
              <w:rPr>
                <w:rFonts w:cstheme="minorHAnsi"/>
                <w:b/>
              </w:rPr>
            </w:pPr>
          </w:p>
          <w:p w14:paraId="6A27CED2" w14:textId="77777777" w:rsidR="00DD13BF" w:rsidRPr="0000280D" w:rsidRDefault="00DD13BF" w:rsidP="00355A56">
            <w:pPr>
              <w:jc w:val="both"/>
              <w:rPr>
                <w:rFonts w:cstheme="minorHAnsi"/>
                <w:b/>
              </w:rPr>
            </w:pPr>
            <w:r>
              <w:rPr>
                <w:b/>
              </w:rPr>
              <w:t>Measures planned to ensure the participation of partners in the programme implementation:</w:t>
            </w:r>
          </w:p>
          <w:p w14:paraId="14363432" w14:textId="77777777" w:rsidR="00DD13BF" w:rsidRDefault="00DD13BF" w:rsidP="00355A56">
            <w:pPr>
              <w:jc w:val="both"/>
              <w:rPr>
                <w:rFonts w:cstheme="minorHAnsi"/>
              </w:rPr>
            </w:pPr>
            <w:r>
              <w:t xml:space="preserve">During the entire programming period, partners will be actively involved in the implementation process by participating in the Monitoring Committee. Interactive consultant Ema will be available to them at all times on the single online portal </w:t>
            </w:r>
            <w:hyperlink r:id="rId242" w:history="1">
              <w:r>
                <w:rPr>
                  <w:rStyle w:val="Hiperpovezava"/>
                </w:rPr>
                <w:t>www.evropskasredstva.si</w:t>
              </w:r>
            </w:hyperlink>
            <w:r>
              <w:t xml:space="preserve"> or the free phone number 080 20 23.</w:t>
            </w:r>
          </w:p>
          <w:p w14:paraId="7E7D16D6" w14:textId="77777777" w:rsidR="00DD13BF" w:rsidRDefault="00DD13BF" w:rsidP="00355A56">
            <w:pPr>
              <w:jc w:val="both"/>
              <w:rPr>
                <w:rFonts w:cstheme="minorHAnsi"/>
              </w:rPr>
            </w:pPr>
          </w:p>
          <w:p w14:paraId="1FE2042F" w14:textId="77777777" w:rsidR="00DD13BF" w:rsidRPr="0000280D" w:rsidRDefault="00DD13BF" w:rsidP="00355A56">
            <w:pPr>
              <w:jc w:val="both"/>
              <w:rPr>
                <w:rFonts w:cstheme="minorHAnsi"/>
              </w:rPr>
            </w:pPr>
            <w:r>
              <w:lastRenderedPageBreak/>
              <w:t>The partnership principle is described in more detail in the document: The partnership principle in the preparation of programme documents for the implementation of the ECP 2021-27 and the implementation of the programme.</w:t>
            </w:r>
          </w:p>
        </w:tc>
      </w:tr>
    </w:tbl>
    <w:p w14:paraId="427D8ACA" w14:textId="77777777" w:rsidR="00DD13BF" w:rsidRDefault="00DD13BF" w:rsidP="00DD13BF">
      <w:pPr>
        <w:rPr>
          <w:sz w:val="20"/>
        </w:rPr>
      </w:pPr>
    </w:p>
    <w:p w14:paraId="65423F46" w14:textId="77777777" w:rsidR="00DD13BF" w:rsidRDefault="00DD13BF" w:rsidP="00DD13BF">
      <w:pPr>
        <w:rPr>
          <w:b/>
          <w:bCs/>
          <w:color w:val="2E74B5" w:themeColor="accent1" w:themeShade="BF"/>
          <w:sz w:val="28"/>
        </w:rPr>
      </w:pPr>
      <w:r>
        <w:br w:type="page"/>
      </w:r>
    </w:p>
    <w:p w14:paraId="39823CBE" w14:textId="77777777" w:rsidR="00DD13BF" w:rsidRDefault="00DD13BF" w:rsidP="00DD13BF">
      <w:pPr>
        <w:pStyle w:val="Naslov1"/>
        <w:spacing w:before="0"/>
      </w:pPr>
      <w:bookmarkStart w:id="89" w:name="_Toc131161748"/>
      <w:r>
        <w:lastRenderedPageBreak/>
        <w:t>Communication and visibility</w:t>
      </w:r>
      <w:bookmarkEnd w:id="89"/>
    </w:p>
    <w:p w14:paraId="54611678" w14:textId="77777777" w:rsidR="00DD13BF" w:rsidRDefault="00DD13BF" w:rsidP="00DD13BF">
      <w:pPr>
        <w:rPr>
          <w:sz w:val="17"/>
        </w:rPr>
      </w:pPr>
    </w:p>
    <w:tbl>
      <w:tblPr>
        <w:tblStyle w:val="Tabelamrea"/>
        <w:tblW w:w="13750" w:type="dxa"/>
        <w:tblInd w:w="279" w:type="dxa"/>
        <w:tblLook w:val="04A0" w:firstRow="1" w:lastRow="0" w:firstColumn="1" w:lastColumn="0" w:noHBand="0" w:noVBand="1"/>
      </w:tblPr>
      <w:tblGrid>
        <w:gridCol w:w="13750"/>
      </w:tblGrid>
      <w:tr w:rsidR="00DD13BF" w:rsidRPr="00B3569A" w14:paraId="277B0C5A" w14:textId="77777777" w:rsidTr="00355A56">
        <w:trPr>
          <w:trHeight w:val="316"/>
        </w:trPr>
        <w:tc>
          <w:tcPr>
            <w:tcW w:w="13750" w:type="dxa"/>
          </w:tcPr>
          <w:p w14:paraId="2BA7E471" w14:textId="77777777" w:rsidR="00DD13BF" w:rsidRPr="001466EA" w:rsidRDefault="00DD13BF" w:rsidP="00355A56">
            <w:pPr>
              <w:jc w:val="both"/>
              <w:rPr>
                <w:rFonts w:cstheme="minorHAnsi"/>
              </w:rPr>
            </w:pPr>
            <w:r>
              <w:t xml:space="preserve">The main purpose of the communication strategy of the European Cohesion Policy (hereinafter: ECP) in Slovenia is to provide information to the public and its active involvement. The internal public, the general public, (potential) beneficiaries, partners and the media are informed of the possibilities, conditions and method for obtaining funds from the European Structural and Investment Funds, and of the effects and results of the ECP in Slovenia. </w:t>
            </w:r>
          </w:p>
          <w:p w14:paraId="62F39DA3" w14:textId="77777777" w:rsidR="00DD13BF" w:rsidRDefault="00DD13BF" w:rsidP="00355A56">
            <w:pPr>
              <w:jc w:val="both"/>
              <w:rPr>
                <w:rFonts w:cstheme="minorHAnsi"/>
              </w:rPr>
            </w:pPr>
          </w:p>
          <w:p w14:paraId="36F36735" w14:textId="77777777" w:rsidR="00DD13BF" w:rsidRPr="001466EA" w:rsidRDefault="00DD13BF" w:rsidP="00355A56">
            <w:pPr>
              <w:jc w:val="both"/>
              <w:rPr>
                <w:rFonts w:cstheme="minorHAnsi"/>
              </w:rPr>
            </w:pPr>
            <w:r>
              <w:t>In the 2021–2027 programming period, Slovenia will be divided into two cohesion regions, i.e. Eastern and Western. Communication activities will be uniform from the aspect of implementation and adjusted to the interests of target groups in each cohesion region from the aspect of contents. Stakeholders and partners will be actively involved in the promotion of the ECP, including through the annual event “EU Project, My Project”, good stories, presentations of good practices, mini social campaigns as part of the “Europe in my region” campaign, and presentations at events and fairs. A certain part of project communication will be adapted in the field announced within the framework of the selected theme of the European Year.</w:t>
            </w:r>
          </w:p>
          <w:p w14:paraId="32CB32CC" w14:textId="77777777" w:rsidR="00DD13BF" w:rsidRDefault="00DD13BF" w:rsidP="00355A56">
            <w:pPr>
              <w:jc w:val="both"/>
              <w:rPr>
                <w:rFonts w:cstheme="minorHAnsi"/>
              </w:rPr>
            </w:pPr>
          </w:p>
          <w:p w14:paraId="38688E15" w14:textId="77777777" w:rsidR="00DD13BF" w:rsidRPr="001466EA" w:rsidRDefault="00DD13BF" w:rsidP="00355A56">
            <w:pPr>
              <w:jc w:val="both"/>
              <w:rPr>
                <w:rFonts w:cstheme="minorHAnsi"/>
              </w:rPr>
            </w:pPr>
            <w:r>
              <w:t xml:space="preserve">In the first half of the 2021–2027 period, the focus will be on informing the public of innovations in the implementation of the ECP and of the possibilities of co-financing, and promoting the involvement of stakeholders in the utilisation of European funds. The programme documents will be presented, and their understanding will be ensured with the help of interactive consultant Ema on the online portal www.evropskasredstva.si, who will promptly answer any questions from the interested public. EU priority areas for the 2021–2027 period will also be communicated independently and in relation to Slovenian policy objectives, advantages and benefits of being a member of the EU. In the second half, greater emphasis will be placed on building a positive perception of the ECP in the general public by communicating good results, whereby the “main ambassadors” will be successful projects and their stories. </w:t>
            </w:r>
          </w:p>
          <w:p w14:paraId="1E1F8A88" w14:textId="77777777" w:rsidR="00DD13BF" w:rsidRDefault="00DD13BF" w:rsidP="00355A56">
            <w:pPr>
              <w:jc w:val="both"/>
              <w:rPr>
                <w:rFonts w:cstheme="minorHAnsi"/>
              </w:rPr>
            </w:pPr>
          </w:p>
          <w:p w14:paraId="3B124126" w14:textId="77777777" w:rsidR="00DD13BF" w:rsidRPr="001466EA" w:rsidRDefault="00DD13BF" w:rsidP="00355A56">
            <w:pPr>
              <w:jc w:val="both"/>
              <w:rPr>
                <w:rFonts w:cstheme="minorHAnsi"/>
              </w:rPr>
            </w:pPr>
            <w:r>
              <w:t>The aim of the communication activities is to maintain the share of respondents who positively assess the ECP above 90% and the share of 85% of respondents who know at least one project co-financed with the European funds, which will be annually measured with an independent online opinion poll. Respondents will also be asked about the informative value of the used communication channels and proposals for improvements, and about the EU priorities and policies in connection with co-financed projects. In 2024 and 2027, an online opinion poll will be carried out, in which applicants and beneficiaries will be included. Occasionally, a quick survey of event attendees will be carried out using an anonymous questionnaire.</w:t>
            </w:r>
          </w:p>
          <w:p w14:paraId="465A1C0E" w14:textId="77777777" w:rsidR="00DD13BF" w:rsidRDefault="00DD13BF" w:rsidP="00355A56">
            <w:pPr>
              <w:jc w:val="both"/>
              <w:rPr>
                <w:rFonts w:cstheme="minorHAnsi"/>
              </w:rPr>
            </w:pPr>
          </w:p>
          <w:p w14:paraId="09F32958" w14:textId="77777777" w:rsidR="00DD13BF" w:rsidRPr="001466EA" w:rsidRDefault="00DD13BF" w:rsidP="00355A56">
            <w:pPr>
              <w:jc w:val="both"/>
              <w:rPr>
                <w:rFonts w:cstheme="minorHAnsi"/>
              </w:rPr>
            </w:pPr>
            <w:r>
              <w:t xml:space="preserve">To successfully implement communication activities, various communication tools will be used, which will be adapted to the target groups, the content and the implementation of the ECP, and current trends. Considerable emphasis will be placed on digital communication channels, particularly on the online portal www.evropskasredstva.si. The Facebook and Instagram profiles of EU funds will still be used as communication tools. At the end of 2020, there were 5,728 followers on FB, and around 450 on IG. By the end of the 2021–2027 period, we want to double the number of followers on FB and increase it by four times on IG. We will also strengthen the LinkedIn channel. </w:t>
            </w:r>
          </w:p>
          <w:p w14:paraId="5085C9CB" w14:textId="77777777" w:rsidR="00DD13BF" w:rsidRDefault="00DD13BF" w:rsidP="00355A56">
            <w:pPr>
              <w:jc w:val="both"/>
              <w:rPr>
                <w:rFonts w:cstheme="minorHAnsi"/>
              </w:rPr>
            </w:pPr>
          </w:p>
          <w:p w14:paraId="379B4CC2" w14:textId="77777777" w:rsidR="00DD13BF" w:rsidRPr="001466EA" w:rsidRDefault="00DD13BF" w:rsidP="00355A56">
            <w:pPr>
              <w:jc w:val="both"/>
              <w:rPr>
                <w:rFonts w:cstheme="minorHAnsi"/>
              </w:rPr>
            </w:pPr>
            <w:r>
              <w:t xml:space="preserve">Particular focus will be placed on bringing the ECP closer to young people. This will be achieved through social networks, Instagram in particular, the long-term introduction of the ECP content in the learning process in primary and secondary schools, and participation in the ASOC project. The sandwich generation will be reached via Facebook, employees, employers and entrepreneurs via a LinkedIn profile, while the older generation will primarily be addressed live, e.g. by participating at fairs. Beneficiaries, potential beneficiaries and agencies will be informed monthly via the monthly e-newsletter </w:t>
            </w:r>
            <w:r>
              <w:lastRenderedPageBreak/>
              <w:t xml:space="preserve">Vizija kohezija. At the end of 2020, there were 2,305 e-newsletter recipients; we want to double this number by the end of the 2021–2027 period. </w:t>
            </w:r>
          </w:p>
          <w:p w14:paraId="5BDC8A6A" w14:textId="77777777" w:rsidR="00DD13BF" w:rsidRDefault="00DD13BF" w:rsidP="00355A56">
            <w:pPr>
              <w:jc w:val="both"/>
              <w:rPr>
                <w:rFonts w:cstheme="minorHAnsi"/>
              </w:rPr>
            </w:pPr>
          </w:p>
          <w:p w14:paraId="36B6D97A" w14:textId="77777777" w:rsidR="00DD13BF" w:rsidRPr="001466EA" w:rsidRDefault="00DD13BF" w:rsidP="00355A56">
            <w:pPr>
              <w:jc w:val="both"/>
              <w:rPr>
                <w:rFonts w:cstheme="minorHAnsi"/>
              </w:rPr>
            </w:pPr>
            <w:r>
              <w:t xml:space="preserve">Special attention will be paid to the communication of operations of strategic importance. When communicating the contents of operations of strategic importance, we will follow the EC manual Communicating Operations of Strategic Importance in 2021–2027. The tasks of the beneficiaries will be determined with rules, which will include opening or closing events, guided tours, workshops and other activities with the participation of the external public, media activities and communication via social networks. </w:t>
            </w:r>
          </w:p>
          <w:p w14:paraId="1FC1F66A" w14:textId="77777777" w:rsidR="00DD13BF" w:rsidRDefault="00DD13BF" w:rsidP="00355A56">
            <w:pPr>
              <w:jc w:val="both"/>
              <w:rPr>
                <w:rFonts w:cstheme="minorHAnsi"/>
              </w:rPr>
            </w:pPr>
          </w:p>
          <w:p w14:paraId="6F16F2DB" w14:textId="77777777" w:rsidR="00DD13BF" w:rsidRPr="001466EA" w:rsidRDefault="00DD13BF" w:rsidP="00355A56">
            <w:pPr>
              <w:jc w:val="both"/>
              <w:rPr>
                <w:rFonts w:cstheme="minorHAnsi"/>
              </w:rPr>
            </w:pPr>
            <w:r>
              <w:t>Funds for the implementation of communication activities at the system level will be provided in the amount of 0.2% of the programme. It is expected that 30% of the funds will be allocated to production, advertising and other digital activities in the media and on social networks, 30% to the organisation of, and participation in, events, 20% to promotional products, publications and other printed materials including graphic design and delivery, 5% to the implementation of opinion polls and management of the online portal, and the remainder to other support activities, including the possibility of financing the employment of communicators within the INFORM-SI network.</w:t>
            </w:r>
          </w:p>
          <w:p w14:paraId="5E6FBE28" w14:textId="77777777" w:rsidR="00DD13BF" w:rsidRDefault="00DD13BF" w:rsidP="00355A56">
            <w:pPr>
              <w:jc w:val="both"/>
              <w:rPr>
                <w:rFonts w:cstheme="minorHAnsi"/>
              </w:rPr>
            </w:pPr>
          </w:p>
          <w:p w14:paraId="7FDEF572" w14:textId="77777777" w:rsidR="00DD13BF" w:rsidRPr="00B3569A" w:rsidRDefault="00DD13BF" w:rsidP="00355A56">
            <w:pPr>
              <w:jc w:val="both"/>
              <w:rPr>
                <w:rFonts w:cstheme="minorHAnsi"/>
              </w:rPr>
            </w:pPr>
            <w:r>
              <w:t>Pursuant to Article 48 of the Regulation, Marjanca Scheicher and Beti Blagus will be in charge of programme communication.</w:t>
            </w:r>
          </w:p>
        </w:tc>
      </w:tr>
    </w:tbl>
    <w:p w14:paraId="3695AEF0" w14:textId="77777777" w:rsidR="00DD13BF" w:rsidRDefault="00DD13BF" w:rsidP="00DD13BF">
      <w:pPr>
        <w:rPr>
          <w:sz w:val="17"/>
        </w:rPr>
      </w:pPr>
    </w:p>
    <w:p w14:paraId="276509A7" w14:textId="77777777" w:rsidR="00DD13BF" w:rsidRDefault="00DD13BF" w:rsidP="00DD13BF">
      <w:pPr>
        <w:rPr>
          <w:b/>
          <w:bCs/>
          <w:color w:val="2E74B5" w:themeColor="accent1" w:themeShade="BF"/>
          <w:sz w:val="28"/>
        </w:rPr>
      </w:pPr>
      <w:r>
        <w:br w:type="page"/>
      </w:r>
    </w:p>
    <w:p w14:paraId="6A3004B0" w14:textId="77777777" w:rsidR="00DD13BF" w:rsidRDefault="00DD13BF" w:rsidP="00DD13BF">
      <w:pPr>
        <w:pStyle w:val="Naslov1"/>
        <w:spacing w:before="0"/>
      </w:pPr>
      <w:bookmarkStart w:id="90" w:name="_Toc131161749"/>
      <w:r>
        <w:lastRenderedPageBreak/>
        <w:t>Use of unit costs, lump sums, flat rates and financing not linked to costs</w:t>
      </w:r>
      <w:bookmarkEnd w:id="90"/>
    </w:p>
    <w:p w14:paraId="4F30B68B" w14:textId="77777777" w:rsidR="00DD13BF" w:rsidRDefault="00DD13BF" w:rsidP="00DD13BF">
      <w:pPr>
        <w:rPr>
          <w:sz w:val="30"/>
        </w:rPr>
      </w:pPr>
    </w:p>
    <w:p w14:paraId="1AD7CDD6" w14:textId="77777777" w:rsidR="00DD13BF" w:rsidRDefault="00DD13BF" w:rsidP="00DD13BF">
      <w:pPr>
        <w:ind w:left="709"/>
      </w:pPr>
      <w:r>
        <w:t>Table 14: Use of unit costs, lump sums, flat rates and financing not linked to costs</w:t>
      </w:r>
    </w:p>
    <w:p w14:paraId="64004E53" w14:textId="77777777" w:rsidR="00DD13BF" w:rsidRDefault="00DD13BF" w:rsidP="00DD13BF">
      <w:pPr>
        <w:rPr>
          <w:sz w:val="20"/>
        </w:rPr>
      </w:pPr>
    </w:p>
    <w:tbl>
      <w:tblPr>
        <w:tblStyle w:val="NormalTable0"/>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6"/>
        <w:gridCol w:w="1229"/>
        <w:gridCol w:w="1229"/>
      </w:tblGrid>
      <w:tr w:rsidR="00DD13BF" w14:paraId="11A482C1" w14:textId="77777777" w:rsidTr="00355A56">
        <w:trPr>
          <w:trHeight w:val="353"/>
        </w:trPr>
        <w:tc>
          <w:tcPr>
            <w:tcW w:w="7576" w:type="dxa"/>
          </w:tcPr>
          <w:p w14:paraId="7AC9C035" w14:textId="77777777" w:rsidR="00DD13BF" w:rsidRDefault="00DD13BF" w:rsidP="00355A56">
            <w:pPr>
              <w:pStyle w:val="TableParagraph"/>
              <w:ind w:left="997" w:right="957"/>
              <w:jc w:val="center"/>
            </w:pPr>
            <w:r>
              <w:t>Intended use of Articles 94 and 95 of CPR</w:t>
            </w:r>
          </w:p>
        </w:tc>
        <w:tc>
          <w:tcPr>
            <w:tcW w:w="1229" w:type="dxa"/>
          </w:tcPr>
          <w:p w14:paraId="28DFAD56" w14:textId="77777777" w:rsidR="00DD13BF" w:rsidRDefault="00DD13BF" w:rsidP="00355A56">
            <w:pPr>
              <w:pStyle w:val="TableParagraph"/>
              <w:ind w:left="425" w:right="426"/>
              <w:jc w:val="center"/>
            </w:pPr>
            <w:r>
              <w:t>YES</w:t>
            </w:r>
          </w:p>
        </w:tc>
        <w:tc>
          <w:tcPr>
            <w:tcW w:w="1229" w:type="dxa"/>
          </w:tcPr>
          <w:p w14:paraId="28098E4A" w14:textId="77777777" w:rsidR="00DD13BF" w:rsidRDefault="00DD13BF" w:rsidP="00355A56">
            <w:pPr>
              <w:pStyle w:val="TableParagraph"/>
              <w:ind w:left="427" w:right="399"/>
              <w:jc w:val="center"/>
            </w:pPr>
            <w:r>
              <w:t>NO</w:t>
            </w:r>
          </w:p>
        </w:tc>
      </w:tr>
      <w:tr w:rsidR="00DD13BF" w14:paraId="1331901B" w14:textId="77777777" w:rsidTr="00355A56">
        <w:trPr>
          <w:trHeight w:val="1117"/>
        </w:trPr>
        <w:tc>
          <w:tcPr>
            <w:tcW w:w="7576" w:type="dxa"/>
          </w:tcPr>
          <w:p w14:paraId="6F38DFBB" w14:textId="77777777" w:rsidR="00DD13BF" w:rsidRDefault="00DD13BF" w:rsidP="00355A56">
            <w:pPr>
              <w:pStyle w:val="TableParagraph"/>
              <w:ind w:left="101" w:right="331"/>
            </w:pPr>
            <w:r>
              <w:t xml:space="preserve">From the adoption, the programme will make use of reimbursement of the Union contribution based on unit costs, lump sums and flat rates under the priority in accordance with Article 94 CPR (if yes, fill in Appendix 1) </w:t>
            </w:r>
          </w:p>
        </w:tc>
        <w:tc>
          <w:tcPr>
            <w:tcW w:w="1229" w:type="dxa"/>
          </w:tcPr>
          <w:p w14:paraId="73EBFCEB" w14:textId="77777777" w:rsidR="00DD13BF" w:rsidRDefault="00DD13BF" w:rsidP="00355A56">
            <w:pPr>
              <w:pStyle w:val="TableParagraph"/>
              <w:ind w:left="75"/>
              <w:rPr>
                <w:sz w:val="20"/>
              </w:rPr>
            </w:pPr>
            <w:r>
              <w:rPr>
                <w:noProof/>
                <w:sz w:val="20"/>
                <w:lang w:val="sl-SI"/>
              </w:rPr>
              <mc:AlternateContent>
                <mc:Choice Requires="wpg">
                  <w:drawing>
                    <wp:inline distT="0" distB="0" distL="0" distR="0" wp14:anchorId="63ED793F" wp14:editId="28516172">
                      <wp:extent cx="130175" cy="130175"/>
                      <wp:effectExtent l="6350" t="6985" r="6350" b="5715"/>
                      <wp:docPr id="2"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30175"/>
                                <a:chOff x="0" y="0"/>
                                <a:chExt cx="205" cy="205"/>
                              </a:xfrm>
                            </wpg:grpSpPr>
                            <wps:wsp>
                              <wps:cNvPr id="4" name="Rectangle 1214"/>
                              <wps:cNvSpPr>
                                <a:spLocks noChangeArrowheads="1"/>
                              </wps:cNvSpPr>
                              <wps:spPr bwMode="auto">
                                <a:xfrm>
                                  <a:off x="6" y="6"/>
                                  <a:ext cx="192" cy="192"/>
                                </a:xfrm>
                                <a:prstGeom prst="rect">
                                  <a:avLst/>
                                </a:prstGeom>
                                <a:noFill/>
                                <a:ln w="86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47E738" id="Group 1213" o:spid="_x0000_s1026" style="width:10.25pt;height:10.25pt;mso-position-horizontal-relative:char;mso-position-vertical-relative:line" coordsize="20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">
                      <v:rect id="Rectangle 1214" o:spid="_x0000_s1027" style="position:absolute;left:6;top:6;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" filled="f" strokeweight=".24058mm"/>
                      <w10:anchorlock/>
                    </v:group>
                  </w:pict>
                </mc:Fallback>
              </mc:AlternateContent>
            </w:r>
          </w:p>
        </w:tc>
        <w:tc>
          <w:tcPr>
            <w:tcW w:w="1229" w:type="dxa"/>
          </w:tcPr>
          <w:p w14:paraId="3F52CA78" w14:textId="77777777" w:rsidR="00DD13BF" w:rsidRDefault="00DD13BF" w:rsidP="00355A56">
            <w:pPr>
              <w:pStyle w:val="TableParagraph"/>
              <w:rPr>
                <w:sz w:val="5"/>
              </w:rPr>
            </w:pPr>
          </w:p>
          <w:p w14:paraId="662E2440" w14:textId="77777777" w:rsidR="00DD13BF" w:rsidRPr="003A5604" w:rsidRDefault="00DD13BF" w:rsidP="00355A56">
            <w:pPr>
              <w:pStyle w:val="TableParagraph"/>
              <w:ind w:left="107"/>
              <w:rPr>
                <w:sz w:val="24"/>
                <w:szCs w:val="24"/>
              </w:rPr>
            </w:pPr>
            <w:r>
              <w:rPr>
                <w:sz w:val="28"/>
              </w:rPr>
              <w:t>√</w:t>
            </w:r>
          </w:p>
        </w:tc>
      </w:tr>
      <w:tr w:rsidR="00DD13BF" w14:paraId="6DA90E32" w14:textId="77777777" w:rsidTr="00355A56">
        <w:trPr>
          <w:trHeight w:val="844"/>
        </w:trPr>
        <w:tc>
          <w:tcPr>
            <w:tcW w:w="7576" w:type="dxa"/>
          </w:tcPr>
          <w:p w14:paraId="6F722204" w14:textId="77777777" w:rsidR="00DD13BF" w:rsidRDefault="00DD13BF" w:rsidP="00355A56">
            <w:pPr>
              <w:pStyle w:val="TableParagraph"/>
              <w:ind w:left="101" w:right="99"/>
            </w:pPr>
            <w:r>
              <w:t>From the adoption, the programme will make use of reimbursement of the Union contribution based on financing not linked to costs in accordance with Article 95 CPR (if yes, fill in Appendix 2)</w:t>
            </w:r>
          </w:p>
        </w:tc>
        <w:tc>
          <w:tcPr>
            <w:tcW w:w="1229" w:type="dxa"/>
          </w:tcPr>
          <w:p w14:paraId="088FD4DD" w14:textId="77777777" w:rsidR="00DD13BF" w:rsidRDefault="00DD13BF" w:rsidP="00355A56">
            <w:pPr>
              <w:pStyle w:val="TableParagraph"/>
              <w:rPr>
                <w:sz w:val="4"/>
              </w:rPr>
            </w:pPr>
          </w:p>
          <w:p w14:paraId="10E5DADC" w14:textId="77777777" w:rsidR="00DD13BF" w:rsidRDefault="00DD13BF" w:rsidP="00355A56">
            <w:pPr>
              <w:pStyle w:val="TableParagraph"/>
              <w:ind w:left="108"/>
              <w:rPr>
                <w:sz w:val="20"/>
              </w:rPr>
            </w:pPr>
            <w:r>
              <w:rPr>
                <w:noProof/>
                <w:sz w:val="20"/>
                <w:lang w:val="sl-SI"/>
              </w:rPr>
              <mc:AlternateContent>
                <mc:Choice Requires="wpg">
                  <w:drawing>
                    <wp:inline distT="0" distB="0" distL="0" distR="0" wp14:anchorId="55141A0B" wp14:editId="7F380AB5">
                      <wp:extent cx="130175" cy="130175"/>
                      <wp:effectExtent l="7620" t="2540" r="5080" b="635"/>
                      <wp:docPr id="1214" name="Group 1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30175"/>
                                <a:chOff x="0" y="0"/>
                                <a:chExt cx="205" cy="205"/>
                              </a:xfrm>
                            </wpg:grpSpPr>
                            <wps:wsp>
                              <wps:cNvPr id="1215" name="Rectangle 1212"/>
                              <wps:cNvSpPr>
                                <a:spLocks noChangeArrowheads="1"/>
                              </wps:cNvSpPr>
                              <wps:spPr bwMode="auto">
                                <a:xfrm>
                                  <a:off x="6" y="6"/>
                                  <a:ext cx="192" cy="192"/>
                                </a:xfrm>
                                <a:prstGeom prst="rect">
                                  <a:avLst/>
                                </a:prstGeom>
                                <a:noFill/>
                                <a:ln w="86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68EFFD" id="Group 1211" o:spid="_x0000_s1026" style="width:10.25pt;height:10.25pt;mso-position-horizontal-relative:char;mso-position-vertical-relative:line" coordsize="20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">
                      <v:rect id="Rectangle 1212" o:spid="_x0000_s1027" style="position:absolute;left:6;top:6;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" filled="f" strokeweight=".24058mm"/>
                      <w10:anchorlock/>
                    </v:group>
                  </w:pict>
                </mc:Fallback>
              </mc:AlternateContent>
            </w:r>
          </w:p>
        </w:tc>
        <w:tc>
          <w:tcPr>
            <w:tcW w:w="1229" w:type="dxa"/>
          </w:tcPr>
          <w:p w14:paraId="5D09E2B7" w14:textId="77777777" w:rsidR="00DD13BF" w:rsidRDefault="00DD13BF" w:rsidP="00355A56">
            <w:pPr>
              <w:pStyle w:val="TableParagraph"/>
              <w:rPr>
                <w:sz w:val="4"/>
              </w:rPr>
            </w:pPr>
          </w:p>
          <w:p w14:paraId="5F4B7A8B" w14:textId="77777777" w:rsidR="00DD13BF" w:rsidRDefault="00DD13BF" w:rsidP="00355A56">
            <w:pPr>
              <w:pStyle w:val="TableParagraph"/>
              <w:ind w:left="107"/>
              <w:rPr>
                <w:sz w:val="20"/>
              </w:rPr>
            </w:pPr>
            <w:r>
              <w:rPr>
                <w:sz w:val="28"/>
              </w:rPr>
              <w:t>√</w:t>
            </w:r>
          </w:p>
        </w:tc>
      </w:tr>
    </w:tbl>
    <w:p w14:paraId="09927CFE" w14:textId="77777777" w:rsidR="00DD13BF" w:rsidRDefault="00DD13BF" w:rsidP="00DD13BF">
      <w:pPr>
        <w:rPr>
          <w:sz w:val="20"/>
        </w:rPr>
        <w:sectPr w:rsidR="00DD13BF" w:rsidSect="00FC3010">
          <w:headerReference w:type="default" r:id="rId243"/>
          <w:footerReference w:type="first" r:id="rId244"/>
          <w:type w:val="continuous"/>
          <w:pgSz w:w="16840" w:h="11910" w:orient="landscape"/>
          <w:pgMar w:top="1417" w:right="1417" w:bottom="1417" w:left="1417" w:header="708" w:footer="708" w:gutter="0"/>
          <w:cols w:space="708"/>
        </w:sectPr>
      </w:pPr>
    </w:p>
    <w:p w14:paraId="53D1D43E" w14:textId="77777777" w:rsidR="00DD13BF" w:rsidRDefault="00DD13BF" w:rsidP="00DD13BF">
      <w:r>
        <w:lastRenderedPageBreak/>
        <w:br w:type="page"/>
      </w:r>
    </w:p>
    <w:p w14:paraId="33C842AA" w14:textId="77777777" w:rsidR="00DD13BF" w:rsidRPr="00D13919" w:rsidRDefault="00DD13BF" w:rsidP="00DD13BF">
      <w:pPr>
        <w:widowControl/>
        <w:adjustRightInd w:val="0"/>
        <w:rPr>
          <w:rFonts w:eastAsiaTheme="minorHAnsi"/>
          <w:color w:val="000000"/>
        </w:rPr>
      </w:pPr>
      <w:r>
        <w:rPr>
          <w:b/>
          <w:color w:val="000000"/>
        </w:rPr>
        <w:lastRenderedPageBreak/>
        <w:t xml:space="preserve">Appendix 3 </w:t>
      </w:r>
    </w:p>
    <w:p w14:paraId="24B23C11" w14:textId="77777777" w:rsidR="00DD13BF" w:rsidRDefault="00DD13BF" w:rsidP="00DD13BF"/>
    <w:p w14:paraId="64B71684" w14:textId="77777777" w:rsidR="00DD13BF" w:rsidRPr="00CA68DF" w:rsidRDefault="00DD13BF" w:rsidP="00DD13BF">
      <w:pPr>
        <w:pStyle w:val="Naslov1"/>
        <w:numPr>
          <w:ilvl w:val="0"/>
          <w:numId w:val="0"/>
        </w:numPr>
        <w:spacing w:before="0"/>
        <w:ind w:left="432"/>
      </w:pPr>
      <w:bookmarkStart w:id="91" w:name="_Toc131161750"/>
      <w:r>
        <w:t>List of planned operations of strategic importance with a timetable (Article 22(3) of CPR)</w:t>
      </w:r>
      <w:bookmarkEnd w:id="91"/>
    </w:p>
    <w:p w14:paraId="5EE7A496" w14:textId="77777777" w:rsidR="00DD13BF" w:rsidRDefault="00DD13BF" w:rsidP="00DD13BF">
      <w:pPr>
        <w:rPr>
          <w:sz w:val="17"/>
        </w:rPr>
      </w:pPr>
    </w:p>
    <w:tbl>
      <w:tblPr>
        <w:tblStyle w:val="Tabelamrea"/>
        <w:tblW w:w="13750" w:type="dxa"/>
        <w:tblInd w:w="279" w:type="dxa"/>
        <w:tblLook w:val="04A0" w:firstRow="1" w:lastRow="0" w:firstColumn="1" w:lastColumn="0" w:noHBand="0" w:noVBand="1"/>
      </w:tblPr>
      <w:tblGrid>
        <w:gridCol w:w="13750"/>
      </w:tblGrid>
      <w:tr w:rsidR="00DD13BF" w:rsidRPr="00B3569A" w14:paraId="3A113F56" w14:textId="77777777" w:rsidTr="00355A56">
        <w:trPr>
          <w:trHeight w:val="316"/>
        </w:trPr>
        <w:tc>
          <w:tcPr>
            <w:tcW w:w="13750" w:type="dxa"/>
          </w:tcPr>
          <w:p w14:paraId="77A1F823" w14:textId="77777777" w:rsidR="00DD13BF" w:rsidRPr="00D13919" w:rsidRDefault="00DD13BF" w:rsidP="00355A56">
            <w:pPr>
              <w:jc w:val="both"/>
              <w:rPr>
                <w:rFonts w:cstheme="minorHAnsi"/>
              </w:rPr>
            </w:pPr>
            <w:r>
              <w:rPr>
                <w:b/>
                <w:u w:val="single"/>
              </w:rPr>
              <w:t>PO1, RSO1.1:</w:t>
            </w:r>
            <w:r>
              <w:rPr>
                <w:b/>
              </w:rPr>
              <w:t xml:space="preserve"> </w:t>
            </w:r>
            <w:r>
              <w:rPr>
                <w:b/>
                <w:bCs/>
              </w:rPr>
              <w:t>the upgrade of the key research infrastructures</w:t>
            </w:r>
            <w:r>
              <w:t xml:space="preserve"> from 2014–2020 is planned from 2023 for greater competitiveness of the economy, and scientific, research and innovation environment. The measure includes the upgrade of the RIUM (Q4 2028), the upgrade of HPC capacity and the purchase of state-of-the-art research equipment (Q4 2027), the establishment of the INNOVUM Technology Innovation Centre, and the construction of a new Faculty of Mechanical Engineering (Q4 2029).</w:t>
            </w:r>
          </w:p>
          <w:p w14:paraId="1BB95B44" w14:textId="77777777" w:rsidR="00DD13BF" w:rsidRPr="00D13919" w:rsidRDefault="00DD13BF" w:rsidP="00355A56">
            <w:pPr>
              <w:jc w:val="both"/>
              <w:rPr>
                <w:rFonts w:cstheme="minorHAnsi"/>
              </w:rPr>
            </w:pPr>
          </w:p>
          <w:p w14:paraId="30EEFF9E" w14:textId="77777777" w:rsidR="00DD13BF" w:rsidRDefault="00DD13BF" w:rsidP="00355A56">
            <w:pPr>
              <w:jc w:val="both"/>
              <w:rPr>
                <w:rFonts w:cstheme="minorHAnsi"/>
              </w:rPr>
            </w:pPr>
            <w:r>
              <w:rPr>
                <w:b/>
                <w:u w:val="single"/>
              </w:rPr>
              <w:t>PO2, RSO2.4:</w:t>
            </w:r>
            <w:r>
              <w:rPr>
                <w:b/>
              </w:rPr>
              <w:t xml:space="preserve"> ensuring flood safety in the Savinja River basin </w:t>
            </w:r>
            <w:r>
              <w:t>is a continuation of the first phase of the project, which will actually ensure the required flood safety, as larger urban areas are still at risk of flooding. A building permit is expected to be obtained in 2024, construction work is expected to commence in 2025, and construction is expected to be completed in 2029.</w:t>
            </w:r>
          </w:p>
          <w:p w14:paraId="5BD127EA" w14:textId="77777777" w:rsidR="00DD13BF" w:rsidRPr="00D13919" w:rsidRDefault="00DD13BF" w:rsidP="00355A56">
            <w:pPr>
              <w:jc w:val="both"/>
              <w:rPr>
                <w:rFonts w:cstheme="minorHAnsi"/>
              </w:rPr>
            </w:pPr>
          </w:p>
          <w:p w14:paraId="01F51BD8" w14:textId="77777777" w:rsidR="00DD13BF" w:rsidRPr="00D13919" w:rsidRDefault="00DD13BF" w:rsidP="00355A56">
            <w:pPr>
              <w:jc w:val="both"/>
              <w:rPr>
                <w:rFonts w:cstheme="minorHAnsi"/>
              </w:rPr>
            </w:pPr>
            <w:r>
              <w:rPr>
                <w:b/>
                <w:u w:val="single"/>
              </w:rPr>
              <w:t>PO3, RSO3.1:</w:t>
            </w:r>
            <w:r>
              <w:rPr>
                <w:b/>
              </w:rPr>
              <w:t xml:space="preserve"> the upgrade </w:t>
            </w:r>
            <w:r>
              <w:t xml:space="preserve">of the 33.7 km long </w:t>
            </w:r>
            <w:r>
              <w:rPr>
                <w:b/>
                <w:bCs/>
              </w:rPr>
              <w:t>state border–Dobova–Zidani Most</w:t>
            </w:r>
            <w:r>
              <w:t xml:space="preserve"> </w:t>
            </w:r>
            <w:r>
              <w:rPr>
                <w:b/>
                <w:bCs/>
              </w:rPr>
              <w:t>railway line</w:t>
            </w:r>
            <w:r>
              <w:t xml:space="preserve"> (state border–Dobova–Sevnica section), which is part of the Mediterranean TEN-T corridor, will increase throughput capacity, train travel speed and traffic safety, and reduce noise pollution in settlement areas, thus contributing to the elimination of the bottleneck of the main transport railway connection between Slovenia and Croatia. Due to its size, the measure will be implemented in batches from Q3 2023 to Q3 2028.</w:t>
            </w:r>
          </w:p>
          <w:p w14:paraId="3339ED29" w14:textId="77777777" w:rsidR="00DD13BF" w:rsidRPr="00D13919" w:rsidRDefault="00DD13BF" w:rsidP="00355A56">
            <w:pPr>
              <w:jc w:val="both"/>
              <w:rPr>
                <w:rFonts w:cstheme="minorHAnsi"/>
              </w:rPr>
            </w:pPr>
          </w:p>
          <w:p w14:paraId="504C0082" w14:textId="77777777" w:rsidR="00DD13BF" w:rsidRDefault="00DD13BF" w:rsidP="00355A56">
            <w:pPr>
              <w:jc w:val="both"/>
              <w:rPr>
                <w:rFonts w:cstheme="minorHAnsi"/>
              </w:rPr>
            </w:pPr>
            <w:r>
              <w:rPr>
                <w:b/>
                <w:u w:val="single"/>
              </w:rPr>
              <w:t>PO4, ESO4.2:</w:t>
            </w:r>
            <w:r>
              <w:rPr>
                <w:b/>
              </w:rPr>
              <w:t xml:space="preserve"> modernising services and integrating labour market institutions</w:t>
            </w:r>
            <w:r>
              <w:t xml:space="preserve"> (Q2 2023–Q4 2028) include strengthening the network of offices for employers to support employers in finding suitable personnel, and modernising services in labour market institutions. The key objective is to establish a skills forecasting platform, which will effectively connect employers, jobseekers and the ZRSZ consultants. </w:t>
            </w:r>
          </w:p>
          <w:p w14:paraId="0EBC5811" w14:textId="77777777" w:rsidR="00DD13BF" w:rsidRPr="00D13919" w:rsidRDefault="00DD13BF" w:rsidP="00355A56">
            <w:pPr>
              <w:jc w:val="both"/>
              <w:rPr>
                <w:rFonts w:cstheme="minorHAnsi"/>
              </w:rPr>
            </w:pPr>
          </w:p>
          <w:p w14:paraId="6A8B39AC" w14:textId="77777777" w:rsidR="00DD13BF" w:rsidRPr="006D72D8" w:rsidRDefault="00DD13BF" w:rsidP="00355A56">
            <w:pPr>
              <w:jc w:val="both"/>
              <w:rPr>
                <w:rFonts w:cstheme="minorHAnsi"/>
              </w:rPr>
            </w:pPr>
            <w:r>
              <w:rPr>
                <w:b/>
                <w:u w:val="single"/>
              </w:rPr>
              <w:t>PO5, RSO5.1:</w:t>
            </w:r>
            <w:r>
              <w:rPr>
                <w:b/>
              </w:rPr>
              <w:t xml:space="preserve"> </w:t>
            </w:r>
            <w:r>
              <w:t xml:space="preserve">in 2025, the European Capital of Culture </w:t>
            </w:r>
            <w:r>
              <w:rPr>
                <w:b/>
                <w:bCs/>
              </w:rPr>
              <w:t>GO!</w:t>
            </w:r>
            <w:r>
              <w:rPr>
                <w:b/>
              </w:rPr>
              <w:t xml:space="preserve"> </w:t>
            </w:r>
            <w:r>
              <w:rPr>
                <w:b/>
                <w:bCs/>
              </w:rPr>
              <w:t>2025</w:t>
            </w:r>
            <w:r>
              <w:t xml:space="preserve"> will be represented by Nova Gorica and Gorica, the goal of which is to become a cross-border European capital of culture. Investments in the renovation of Trg Europa and the construction of a multi-purpose facility and EPICentre are planned from Q3 2022 to Q3 2024.</w:t>
            </w:r>
          </w:p>
          <w:p w14:paraId="7A306FD8" w14:textId="77777777" w:rsidR="00DD13BF" w:rsidRPr="00D13919" w:rsidRDefault="00DD13BF" w:rsidP="00355A56">
            <w:pPr>
              <w:jc w:val="both"/>
              <w:rPr>
                <w:rFonts w:cstheme="minorHAnsi"/>
              </w:rPr>
            </w:pPr>
            <w:r>
              <w:t xml:space="preserve"> </w:t>
            </w:r>
          </w:p>
          <w:p w14:paraId="2F3FB50B" w14:textId="77777777" w:rsidR="00DD13BF" w:rsidRPr="00872D73" w:rsidRDefault="00DD13BF" w:rsidP="00355A56">
            <w:pPr>
              <w:jc w:val="both"/>
              <w:rPr>
                <w:rFonts w:cstheme="minorHAnsi"/>
                <w:b/>
                <w:u w:val="single"/>
              </w:rPr>
            </w:pPr>
            <w:r>
              <w:rPr>
                <w:b/>
                <w:u w:val="single"/>
              </w:rPr>
              <w:t>PO6, JSO8.1:</w:t>
            </w:r>
            <w:r>
              <w:t xml:space="preserve"> </w:t>
            </w:r>
            <w:r>
              <w:rPr>
                <w:b/>
                <w:bCs/>
              </w:rPr>
              <w:t>in the Zasavje region</w:t>
            </w:r>
            <w:r>
              <w:t xml:space="preserve">, capacity building in the field of RDI is crucial, making the establishment of the Carbon-Free Technologies Demonstration and Training Centre by Q4 2025 also crucial; the Centre will support research into carbon-free technologies for the transition to a modern green industry. In </w:t>
            </w:r>
            <w:r>
              <w:rPr>
                <w:b/>
                <w:bCs/>
              </w:rPr>
              <w:t>the SAŠA region</w:t>
            </w:r>
            <w:r>
              <w:t xml:space="preserve">, the transition to a </w:t>
            </w:r>
            <w:r>
              <w:rPr>
                <w:b/>
                <w:bCs/>
              </w:rPr>
              <w:t>new generation of district heating</w:t>
            </w:r>
            <w:r>
              <w:t>, which will be economically and environmentally sustainable and independent of coal, will take place.</w:t>
            </w:r>
          </w:p>
        </w:tc>
      </w:tr>
    </w:tbl>
    <w:p w14:paraId="42B7A600" w14:textId="77777777" w:rsidR="00DD13BF" w:rsidRDefault="00DD13BF" w:rsidP="00DD13BF"/>
    <w:p w14:paraId="1A682D16" w14:textId="77777777" w:rsidR="00DD13BF" w:rsidRDefault="00DD13BF" w:rsidP="00DD13BF"/>
    <w:p w14:paraId="29966BBA" w14:textId="77777777" w:rsidR="00DD13BF" w:rsidRDefault="00DD13BF" w:rsidP="00DD13BF">
      <w:pPr>
        <w:rPr>
          <w:sz w:val="24"/>
        </w:rPr>
      </w:pPr>
    </w:p>
    <w:p w14:paraId="75BF3A0D" w14:textId="66155E74" w:rsidR="00DD13BF" w:rsidRPr="00DD13BF" w:rsidRDefault="00DD13BF"/>
    <w:sectPr w:rsidR="00DD13BF" w:rsidRPr="00DD13BF" w:rsidSect="00362B57">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Mojca Ovsenek" w:date="2023-03-03T10:13:00Z" w:initials="MO">
    <w:p w14:paraId="23FFC57B" w14:textId="77777777" w:rsidR="00DD13BF" w:rsidRPr="00DD13BF" w:rsidRDefault="00DD13BF" w:rsidP="00DD13BF">
      <w:pPr>
        <w:pStyle w:val="Pripombabesedilo"/>
        <w:rPr>
          <w:lang w:val="it-IT"/>
        </w:rPr>
      </w:pPr>
      <w:r>
        <w:rPr>
          <w:rStyle w:val="Pripombasklic"/>
        </w:rPr>
        <w:annotationRef/>
      </w:r>
      <w:r w:rsidRPr="00DD13BF">
        <w:rPr>
          <w:lang w:val="it-IT"/>
        </w:rPr>
        <w:t>V slovenski verziji je stolpec tu razdeljen</w:t>
      </w:r>
    </w:p>
  </w:comment>
  <w:comment w:id="41" w:author="Laura" w:date="2023-02-24T09:08:00Z" w:initials="LT">
    <w:p w14:paraId="2647BFC0" w14:textId="77777777" w:rsidR="00DD13BF" w:rsidRDefault="00DD13BF" w:rsidP="00DD13BF">
      <w:pPr>
        <w:pStyle w:val="Pripombabesedilo"/>
      </w:pPr>
      <w:r>
        <w:rPr>
          <w:rStyle w:val="Pripombasklic"/>
        </w:rPr>
        <w:annotationRef/>
      </w:r>
      <w:r>
        <w:t>glede na https://eur-lex.europa.eu/legal-content/EN/TXT/PDF/?uri=OJ:L:2021:231:FULL&amp;from=EN je to cilj EECO 01</w:t>
      </w:r>
    </w:p>
  </w:comment>
  <w:comment w:id="44" w:author="Laura" w:date="2023-02-24T09:09:00Z" w:initials="LT">
    <w:p w14:paraId="2993E7D7" w14:textId="77777777" w:rsidR="00DD13BF" w:rsidRDefault="00DD13BF" w:rsidP="00DD13BF">
      <w:pPr>
        <w:pStyle w:val="Pripombabesedilo"/>
      </w:pPr>
      <w:r>
        <w:rPr>
          <w:rStyle w:val="Pripombasklic"/>
        </w:rPr>
        <w:annotationRef/>
      </w:r>
      <w:r>
        <w:t>glede na https://eur-lex.europa.eu/legal-content/EN/TXT/PDF/?uri=OJ:L:2021:231:FULL&amp;from=EN je to EECO 04</w:t>
      </w:r>
    </w:p>
  </w:comment>
  <w:comment w:id="46" w:author="Laura" w:date="2023-02-24T09:11:00Z" w:initials="LT">
    <w:p w14:paraId="2A31FAB3" w14:textId="77777777" w:rsidR="00DD13BF" w:rsidRDefault="00DD13BF" w:rsidP="00DD13BF">
      <w:pPr>
        <w:pStyle w:val="Pripombabesedilo"/>
      </w:pPr>
      <w:r>
        <w:rPr>
          <w:rStyle w:val="Pripombasklic"/>
        </w:rPr>
        <w:annotationRef/>
      </w:r>
      <w:r>
        <w:t>glede na https://eur-lex.europa.eu/legal-content/EN/TXT/PDF/?uri=OJ:L:2021:231:FULL&amp;from=EN je to EECO 06</w:t>
      </w:r>
    </w:p>
  </w:comment>
  <w:comment w:id="48" w:author="Laura" w:date="2023-02-24T09:11:00Z" w:initials="LT">
    <w:p w14:paraId="5A6B6577" w14:textId="77777777" w:rsidR="00DD13BF" w:rsidRDefault="00DD13BF" w:rsidP="00DD13BF">
      <w:pPr>
        <w:pStyle w:val="Pripombabesedilo"/>
      </w:pPr>
      <w:r>
        <w:rPr>
          <w:rStyle w:val="Pripombasklic"/>
        </w:rPr>
        <w:annotationRef/>
      </w:r>
      <w:r>
        <w:t>glede na https://eur-lex.europa.eu/legal-content/SL/TXT/PDF/?uri=OJ:L:2021:231:FULL&amp;from=EN je to EECO 11</w:t>
      </w:r>
    </w:p>
  </w:comment>
  <w:comment w:id="52" w:author="Laura" w:date="2023-02-24T09:12:00Z" w:initials="LT">
    <w:p w14:paraId="65206829" w14:textId="77777777" w:rsidR="00DD13BF" w:rsidRDefault="00DD13BF" w:rsidP="00DD13BF">
      <w:pPr>
        <w:pStyle w:val="Pripombabesedilo"/>
      </w:pPr>
      <w:r>
        <w:rPr>
          <w:rStyle w:val="Pripombasklic"/>
        </w:rPr>
        <w:annotationRef/>
      </w:r>
      <w:r>
        <w:t>glede na https://eur-lex.europa.eu/legal-content/EN/TXT/PDF/?uri=OJ:L:2021:231:FULL&amp;from=EN je to cilj EECO 03</w:t>
      </w:r>
    </w:p>
  </w:comment>
  <w:comment w:id="69" w:author="Laura" w:date="2023-02-24T09:13:00Z" w:initials="LT">
    <w:p w14:paraId="2748D63F" w14:textId="77777777" w:rsidR="00DD13BF" w:rsidRDefault="00DD13BF" w:rsidP="00DD13BF">
      <w:pPr>
        <w:pStyle w:val="Pripombabesedilo"/>
      </w:pPr>
      <w:r>
        <w:rPr>
          <w:rStyle w:val="Pripombasklic"/>
        </w:rPr>
        <w:annotationRef/>
      </w:r>
      <w:r>
        <w:t>glede na https://eur-lex.europa.eu/legal-content/EN/TXT/PDF/?uri=OJ:L:2021:231:FULL&amp;from=EN je to cilj EECO 02</w:t>
      </w:r>
    </w:p>
  </w:comment>
  <w:comment w:id="70" w:author="Laura" w:date="2023-02-24T09:13:00Z" w:initials="LT">
    <w:p w14:paraId="304FF133" w14:textId="77777777" w:rsidR="00DD13BF" w:rsidRDefault="00DD13BF" w:rsidP="00DD13BF">
      <w:pPr>
        <w:pStyle w:val="Pripombabesedilo"/>
      </w:pPr>
      <w:r>
        <w:rPr>
          <w:rStyle w:val="Pripombasklic"/>
        </w:rPr>
        <w:annotationRef/>
      </w:r>
      <w:r>
        <w:t>glede na https://eur-lex.europa.eu/legal-content/EN/TXT/PDF/?uri=OJ:L:2021:231:FULL&amp;from=EN je to cilj EECO 05</w:t>
      </w:r>
    </w:p>
  </w:comment>
  <w:comment w:id="71" w:author="Laura" w:date="2023-02-24T09:13:00Z" w:initials="LT">
    <w:p w14:paraId="05E501DB" w14:textId="77777777" w:rsidR="00DD13BF" w:rsidRDefault="00DD13BF" w:rsidP="00DD13BF">
      <w:pPr>
        <w:pStyle w:val="Pripombabesedilo"/>
      </w:pPr>
      <w:r>
        <w:rPr>
          <w:rStyle w:val="Pripombasklic"/>
        </w:rPr>
        <w:annotationRef/>
      </w:r>
      <w:r>
        <w:t>glede na https://eur-lex.europa.eu/legal-content/EN/TXT/PDF/?uri=OJ:L:2021:231:FULL&amp;from=EN je to cilj EECO 07</w:t>
      </w:r>
    </w:p>
  </w:comment>
  <w:comment w:id="72" w:author="Laura" w:date="2023-02-24T09:13:00Z" w:initials="LT">
    <w:p w14:paraId="3D84D73F" w14:textId="77777777" w:rsidR="00DD13BF" w:rsidRDefault="00DD13BF" w:rsidP="00DD13BF">
      <w:pPr>
        <w:pStyle w:val="Pripombabesedilo"/>
      </w:pPr>
      <w:r>
        <w:rPr>
          <w:rStyle w:val="Pripombasklic"/>
        </w:rPr>
        <w:annotationRef/>
      </w:r>
      <w:r>
        <w:t>glede na https://eur-lex.europa.eu/legal-content/EN/TXT/PDF/?uri=OJ:L:2021:231:FULL&amp;from=EN je to cilj EECO 08</w:t>
      </w:r>
    </w:p>
  </w:comment>
  <w:comment w:id="73" w:author="Laura" w:date="2023-02-24T09:14:00Z" w:initials="LT">
    <w:p w14:paraId="2C425791" w14:textId="77777777" w:rsidR="00DD13BF" w:rsidRDefault="00DD13BF" w:rsidP="00DD13BF">
      <w:pPr>
        <w:pStyle w:val="Pripombabesedilo"/>
      </w:pPr>
      <w:r>
        <w:rPr>
          <w:rStyle w:val="Pripombasklic"/>
        </w:rPr>
        <w:annotationRef/>
      </w:r>
      <w:r>
        <w:t>glede na https://eur-lex.europa.eu/legal-content/EN/TXT/PDF/?uri=OJ:L:2021:231:FULL&amp;from=EN je to cilj EECO 09</w:t>
      </w:r>
    </w:p>
  </w:comment>
  <w:comment w:id="74" w:author="Laura" w:date="2023-02-24T09:14:00Z" w:initials="LT">
    <w:p w14:paraId="08261AB0" w14:textId="77777777" w:rsidR="00DD13BF" w:rsidRDefault="00DD13BF" w:rsidP="00DD13BF">
      <w:pPr>
        <w:pStyle w:val="Pripombabesedilo"/>
      </w:pPr>
      <w:r>
        <w:rPr>
          <w:rStyle w:val="Pripombasklic"/>
        </w:rPr>
        <w:annotationRef/>
      </w:r>
      <w:r>
        <w:t>glede na https://eur-lex.europa.eu/legal-content/EN/TXT/PDF/?uri=OJ:L:2021:231:FULL&amp;from=EN je to cilj EECO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FC57B" w15:done="0"/>
  <w15:commentEx w15:paraId="2647BFC0" w15:done="0"/>
  <w15:commentEx w15:paraId="2993E7D7" w15:done="0"/>
  <w15:commentEx w15:paraId="2A31FAB3" w15:done="0"/>
  <w15:commentEx w15:paraId="5A6B6577" w15:done="0"/>
  <w15:commentEx w15:paraId="65206829" w15:done="0"/>
  <w15:commentEx w15:paraId="2748D63F" w15:done="0"/>
  <w15:commentEx w15:paraId="304FF133" w15:done="0"/>
  <w15:commentEx w15:paraId="05E501DB" w15:done="0"/>
  <w15:commentEx w15:paraId="3D84D73F" w15:done="0"/>
  <w15:commentEx w15:paraId="2C425791" w15:done="0"/>
  <w15:commentEx w15:paraId="08261AB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4133" w14:textId="77777777" w:rsidR="000A4D99" w:rsidRDefault="000A4D99">
      <w:r>
        <w:separator/>
      </w:r>
    </w:p>
  </w:endnote>
  <w:endnote w:type="continuationSeparator" w:id="0">
    <w:p w14:paraId="52287AA5" w14:textId="77777777" w:rsidR="000A4D99" w:rsidRDefault="000A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quot;Courier New&quot;">
    <w:altName w:val="Times New Roman"/>
    <w:panose1 w:val="00000000000000000000"/>
    <w:charset w:val="00"/>
    <w:family w:val="roman"/>
    <w:notTrueType/>
    <w:pitch w:val="default"/>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0301"/>
      <w:docPartObj>
        <w:docPartGallery w:val="Page Numbers (Bottom of Page)"/>
        <w:docPartUnique/>
      </w:docPartObj>
    </w:sdtPr>
    <w:sdtContent>
      <w:p w14:paraId="16838A53" w14:textId="7C7E724F" w:rsidR="00FC0698" w:rsidRDefault="00FC0698">
        <w:pPr>
          <w:pStyle w:val="Noga"/>
          <w:jc w:val="right"/>
        </w:pPr>
        <w:r>
          <w:fldChar w:fldCharType="begin"/>
        </w:r>
        <w:r>
          <w:instrText>PAGE   \* MERGEFORMAT</w:instrText>
        </w:r>
        <w:r>
          <w:fldChar w:fldCharType="separate"/>
        </w:r>
        <w:r w:rsidR="00425F22" w:rsidRPr="00425F22">
          <w:rPr>
            <w:noProof/>
            <w:lang w:val="sl-SI"/>
          </w:rPr>
          <w:t>2</w:t>
        </w:r>
        <w:r>
          <w:fldChar w:fldCharType="end"/>
        </w:r>
      </w:p>
    </w:sdtContent>
  </w:sdt>
  <w:p w14:paraId="72A90CF4" w14:textId="77777777" w:rsidR="00FC0698" w:rsidRDefault="00FC0698">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2A3A315" w14:textId="77777777" w:rsidTr="001D3F95">
      <w:tc>
        <w:tcPr>
          <w:tcW w:w="4665" w:type="dxa"/>
        </w:tcPr>
        <w:p w14:paraId="2026A9BB" w14:textId="77777777" w:rsidR="00DD13BF" w:rsidRDefault="00DD13BF" w:rsidP="000F7D49">
          <w:pPr>
            <w:pStyle w:val="Glava"/>
            <w:ind w:left="-115"/>
          </w:pPr>
        </w:p>
      </w:tc>
      <w:tc>
        <w:tcPr>
          <w:tcW w:w="4665" w:type="dxa"/>
        </w:tcPr>
        <w:p w14:paraId="064A3EC8" w14:textId="77777777" w:rsidR="00DD13BF" w:rsidRDefault="00DD13BF" w:rsidP="000F7D49">
          <w:pPr>
            <w:pStyle w:val="Glava"/>
            <w:jc w:val="center"/>
          </w:pPr>
        </w:p>
      </w:tc>
      <w:tc>
        <w:tcPr>
          <w:tcW w:w="4665" w:type="dxa"/>
        </w:tcPr>
        <w:p w14:paraId="69573BF2" w14:textId="77777777" w:rsidR="00DD13BF" w:rsidRDefault="00DD13BF" w:rsidP="000F7D49">
          <w:pPr>
            <w:pStyle w:val="Glava"/>
            <w:ind w:right="-115"/>
            <w:jc w:val="right"/>
          </w:pPr>
        </w:p>
      </w:tc>
    </w:tr>
  </w:tbl>
  <w:p w14:paraId="6AB4333E" w14:textId="77777777" w:rsidR="00DD13BF" w:rsidRDefault="00DD13BF" w:rsidP="003E6CF6">
    <w:pPr>
      <w:pStyle w:val="Nog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FE8816E" w14:textId="77777777" w:rsidTr="001D3F95">
      <w:tc>
        <w:tcPr>
          <w:tcW w:w="4665" w:type="dxa"/>
        </w:tcPr>
        <w:p w14:paraId="6D5AE1CC" w14:textId="77777777" w:rsidR="00DD13BF" w:rsidRDefault="00DD13BF" w:rsidP="000F7D49">
          <w:pPr>
            <w:pStyle w:val="Glava"/>
            <w:ind w:left="-115"/>
          </w:pPr>
        </w:p>
      </w:tc>
      <w:tc>
        <w:tcPr>
          <w:tcW w:w="4665" w:type="dxa"/>
        </w:tcPr>
        <w:p w14:paraId="5295451F" w14:textId="77777777" w:rsidR="00DD13BF" w:rsidRDefault="00DD13BF" w:rsidP="000F7D49">
          <w:pPr>
            <w:pStyle w:val="Glava"/>
            <w:jc w:val="center"/>
          </w:pPr>
        </w:p>
      </w:tc>
      <w:tc>
        <w:tcPr>
          <w:tcW w:w="4665" w:type="dxa"/>
        </w:tcPr>
        <w:p w14:paraId="43899366" w14:textId="77777777" w:rsidR="00DD13BF" w:rsidRDefault="00DD13BF" w:rsidP="000F7D49">
          <w:pPr>
            <w:pStyle w:val="Glava"/>
            <w:ind w:right="-115"/>
            <w:jc w:val="right"/>
          </w:pPr>
        </w:p>
      </w:tc>
    </w:tr>
  </w:tbl>
  <w:p w14:paraId="65BA167A" w14:textId="77777777" w:rsidR="00DD13BF" w:rsidRDefault="00DD13BF" w:rsidP="003E6CF6">
    <w:pPr>
      <w:pStyle w:val="Nog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E3E465E" w14:textId="77777777" w:rsidTr="001D3F95">
      <w:tc>
        <w:tcPr>
          <w:tcW w:w="4665" w:type="dxa"/>
        </w:tcPr>
        <w:p w14:paraId="466A4195" w14:textId="77777777" w:rsidR="00DD13BF" w:rsidRDefault="00DD13BF" w:rsidP="000F7D49">
          <w:pPr>
            <w:pStyle w:val="Glava"/>
            <w:ind w:left="-115"/>
          </w:pPr>
        </w:p>
      </w:tc>
      <w:tc>
        <w:tcPr>
          <w:tcW w:w="4665" w:type="dxa"/>
        </w:tcPr>
        <w:p w14:paraId="7562BE27" w14:textId="77777777" w:rsidR="00DD13BF" w:rsidRDefault="00DD13BF" w:rsidP="000F7D49">
          <w:pPr>
            <w:pStyle w:val="Glava"/>
            <w:jc w:val="center"/>
          </w:pPr>
        </w:p>
      </w:tc>
      <w:tc>
        <w:tcPr>
          <w:tcW w:w="4665" w:type="dxa"/>
        </w:tcPr>
        <w:p w14:paraId="6825D3E1" w14:textId="77777777" w:rsidR="00DD13BF" w:rsidRDefault="00DD13BF" w:rsidP="000F7D49">
          <w:pPr>
            <w:pStyle w:val="Glava"/>
            <w:ind w:right="-115"/>
            <w:jc w:val="right"/>
          </w:pPr>
        </w:p>
      </w:tc>
    </w:tr>
  </w:tbl>
  <w:p w14:paraId="061E3FA5" w14:textId="77777777" w:rsidR="00DD13BF" w:rsidRDefault="00DD13BF" w:rsidP="003E6CF6">
    <w:pPr>
      <w:pStyle w:val="Nog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D22644D" w14:textId="77777777" w:rsidTr="001D3F95">
      <w:tc>
        <w:tcPr>
          <w:tcW w:w="4665" w:type="dxa"/>
        </w:tcPr>
        <w:p w14:paraId="509B1CCE" w14:textId="77777777" w:rsidR="00DD13BF" w:rsidRDefault="00DD13BF" w:rsidP="000F7D49">
          <w:pPr>
            <w:pStyle w:val="Glava"/>
            <w:ind w:left="-115"/>
          </w:pPr>
        </w:p>
      </w:tc>
      <w:tc>
        <w:tcPr>
          <w:tcW w:w="4665" w:type="dxa"/>
        </w:tcPr>
        <w:p w14:paraId="69ACEB1E" w14:textId="77777777" w:rsidR="00DD13BF" w:rsidRDefault="00DD13BF" w:rsidP="000F7D49">
          <w:pPr>
            <w:pStyle w:val="Glava"/>
            <w:jc w:val="center"/>
          </w:pPr>
        </w:p>
      </w:tc>
      <w:tc>
        <w:tcPr>
          <w:tcW w:w="4665" w:type="dxa"/>
        </w:tcPr>
        <w:p w14:paraId="29C4C766" w14:textId="77777777" w:rsidR="00DD13BF" w:rsidRDefault="00DD13BF" w:rsidP="000F7D49">
          <w:pPr>
            <w:pStyle w:val="Glava"/>
            <w:ind w:right="-115"/>
            <w:jc w:val="right"/>
          </w:pPr>
        </w:p>
      </w:tc>
    </w:tr>
  </w:tbl>
  <w:p w14:paraId="2B6ECC6B" w14:textId="77777777" w:rsidR="00DD13BF" w:rsidRDefault="00DD13BF" w:rsidP="003E6CF6">
    <w:pPr>
      <w:pStyle w:val="Nog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0A64" w14:textId="77777777" w:rsidR="00DD13BF" w:rsidRDefault="00DD13BF" w:rsidP="003E6CF6">
    <w:pPr>
      <w:pStyle w:val="Nog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EEE666A" w14:textId="77777777" w:rsidTr="001D3F95">
      <w:tc>
        <w:tcPr>
          <w:tcW w:w="4665" w:type="dxa"/>
        </w:tcPr>
        <w:p w14:paraId="0303D23B" w14:textId="77777777" w:rsidR="00DD13BF" w:rsidRDefault="00DD13BF" w:rsidP="000F7D49">
          <w:pPr>
            <w:pStyle w:val="Glava"/>
            <w:ind w:left="-115"/>
          </w:pPr>
        </w:p>
      </w:tc>
      <w:tc>
        <w:tcPr>
          <w:tcW w:w="4665" w:type="dxa"/>
        </w:tcPr>
        <w:p w14:paraId="44A4DB5A" w14:textId="77777777" w:rsidR="00DD13BF" w:rsidRDefault="00DD13BF" w:rsidP="000F7D49">
          <w:pPr>
            <w:pStyle w:val="Glava"/>
            <w:jc w:val="center"/>
          </w:pPr>
        </w:p>
      </w:tc>
      <w:tc>
        <w:tcPr>
          <w:tcW w:w="4665" w:type="dxa"/>
        </w:tcPr>
        <w:p w14:paraId="037FF533" w14:textId="77777777" w:rsidR="00DD13BF" w:rsidRDefault="00DD13BF" w:rsidP="000F7D49">
          <w:pPr>
            <w:pStyle w:val="Glava"/>
            <w:ind w:right="-115"/>
            <w:jc w:val="right"/>
          </w:pPr>
        </w:p>
      </w:tc>
    </w:tr>
  </w:tbl>
  <w:p w14:paraId="7ADBD5E2" w14:textId="77777777" w:rsidR="00DD13BF" w:rsidRDefault="00DD13BF" w:rsidP="003E6CF6">
    <w:pPr>
      <w:pStyle w:val="Nog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65743DD" w14:textId="77777777" w:rsidTr="001D3F95">
      <w:tc>
        <w:tcPr>
          <w:tcW w:w="4665" w:type="dxa"/>
        </w:tcPr>
        <w:p w14:paraId="288FDF2F" w14:textId="77777777" w:rsidR="00DD13BF" w:rsidRDefault="00DD13BF" w:rsidP="000F7D49">
          <w:pPr>
            <w:pStyle w:val="Glava"/>
            <w:ind w:left="-115"/>
          </w:pPr>
        </w:p>
      </w:tc>
      <w:tc>
        <w:tcPr>
          <w:tcW w:w="4665" w:type="dxa"/>
        </w:tcPr>
        <w:p w14:paraId="3271E4FE" w14:textId="77777777" w:rsidR="00DD13BF" w:rsidRDefault="00DD13BF" w:rsidP="000F7D49">
          <w:pPr>
            <w:pStyle w:val="Glava"/>
            <w:jc w:val="center"/>
          </w:pPr>
        </w:p>
      </w:tc>
      <w:tc>
        <w:tcPr>
          <w:tcW w:w="4665" w:type="dxa"/>
        </w:tcPr>
        <w:p w14:paraId="566AB2B9" w14:textId="77777777" w:rsidR="00DD13BF" w:rsidRDefault="00DD13BF" w:rsidP="000F7D49">
          <w:pPr>
            <w:pStyle w:val="Glava"/>
            <w:ind w:right="-115"/>
            <w:jc w:val="right"/>
          </w:pPr>
        </w:p>
      </w:tc>
    </w:tr>
  </w:tbl>
  <w:p w14:paraId="6CD35B43" w14:textId="77777777" w:rsidR="00DD13BF" w:rsidRDefault="00DD13BF" w:rsidP="003E6CF6">
    <w:pPr>
      <w:pStyle w:val="Nog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2C9BF893" w14:textId="77777777" w:rsidTr="001D3F95">
      <w:tc>
        <w:tcPr>
          <w:tcW w:w="4665" w:type="dxa"/>
        </w:tcPr>
        <w:p w14:paraId="2376119A" w14:textId="77777777" w:rsidR="00DD13BF" w:rsidRDefault="00DD13BF" w:rsidP="000F7D49">
          <w:pPr>
            <w:pStyle w:val="Glava"/>
            <w:ind w:left="-115"/>
          </w:pPr>
        </w:p>
      </w:tc>
      <w:tc>
        <w:tcPr>
          <w:tcW w:w="4665" w:type="dxa"/>
        </w:tcPr>
        <w:p w14:paraId="038E0C7A" w14:textId="77777777" w:rsidR="00DD13BF" w:rsidRDefault="00DD13BF" w:rsidP="000F7D49">
          <w:pPr>
            <w:pStyle w:val="Glava"/>
            <w:jc w:val="center"/>
          </w:pPr>
        </w:p>
      </w:tc>
      <w:tc>
        <w:tcPr>
          <w:tcW w:w="4665" w:type="dxa"/>
        </w:tcPr>
        <w:p w14:paraId="7B815B64" w14:textId="77777777" w:rsidR="00DD13BF" w:rsidRDefault="00DD13BF" w:rsidP="000F7D49">
          <w:pPr>
            <w:pStyle w:val="Glava"/>
            <w:ind w:right="-115"/>
            <w:jc w:val="right"/>
          </w:pPr>
        </w:p>
      </w:tc>
    </w:tr>
  </w:tbl>
  <w:p w14:paraId="769BF2F2" w14:textId="77777777" w:rsidR="00DD13BF" w:rsidRDefault="00DD13BF" w:rsidP="003E6CF6">
    <w:pPr>
      <w:pStyle w:val="Nog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334D89C4" w14:textId="77777777" w:rsidTr="009411FE">
      <w:tc>
        <w:tcPr>
          <w:tcW w:w="4665" w:type="dxa"/>
        </w:tcPr>
        <w:p w14:paraId="7D78E519" w14:textId="77777777" w:rsidR="00DD13BF" w:rsidRDefault="00DD13BF" w:rsidP="000F7D49">
          <w:pPr>
            <w:pStyle w:val="Glava"/>
            <w:ind w:left="-115"/>
          </w:pPr>
        </w:p>
      </w:tc>
      <w:tc>
        <w:tcPr>
          <w:tcW w:w="4665" w:type="dxa"/>
        </w:tcPr>
        <w:p w14:paraId="21F9E7AB" w14:textId="77777777" w:rsidR="00DD13BF" w:rsidRDefault="00DD13BF" w:rsidP="000F7D49">
          <w:pPr>
            <w:pStyle w:val="Glava"/>
            <w:jc w:val="center"/>
          </w:pPr>
        </w:p>
      </w:tc>
      <w:tc>
        <w:tcPr>
          <w:tcW w:w="4665" w:type="dxa"/>
        </w:tcPr>
        <w:p w14:paraId="0B396111" w14:textId="77777777" w:rsidR="00DD13BF" w:rsidRDefault="00DD13BF" w:rsidP="000F7D49">
          <w:pPr>
            <w:pStyle w:val="Glava"/>
            <w:ind w:right="-115"/>
            <w:jc w:val="right"/>
          </w:pPr>
        </w:p>
      </w:tc>
    </w:tr>
  </w:tbl>
  <w:p w14:paraId="40AAEDB5" w14:textId="77777777" w:rsidR="00DD13BF" w:rsidRDefault="00DD13BF" w:rsidP="003E6CF6">
    <w:pPr>
      <w:pStyle w:val="Nog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023FF71" w14:textId="77777777" w:rsidTr="001D3F95">
      <w:tc>
        <w:tcPr>
          <w:tcW w:w="4665" w:type="dxa"/>
        </w:tcPr>
        <w:p w14:paraId="620F9C1B" w14:textId="77777777" w:rsidR="00DD13BF" w:rsidRDefault="00DD13BF" w:rsidP="000F7D49">
          <w:pPr>
            <w:pStyle w:val="Glava"/>
            <w:ind w:left="-115"/>
          </w:pPr>
        </w:p>
      </w:tc>
      <w:tc>
        <w:tcPr>
          <w:tcW w:w="4665" w:type="dxa"/>
        </w:tcPr>
        <w:p w14:paraId="0BE4A97A" w14:textId="77777777" w:rsidR="00DD13BF" w:rsidRDefault="00DD13BF" w:rsidP="000F7D49">
          <w:pPr>
            <w:pStyle w:val="Glava"/>
            <w:jc w:val="center"/>
          </w:pPr>
        </w:p>
      </w:tc>
      <w:tc>
        <w:tcPr>
          <w:tcW w:w="4665" w:type="dxa"/>
        </w:tcPr>
        <w:p w14:paraId="5E4675D9" w14:textId="77777777" w:rsidR="00DD13BF" w:rsidRDefault="00DD13BF" w:rsidP="000F7D49">
          <w:pPr>
            <w:pStyle w:val="Glava"/>
            <w:ind w:right="-115"/>
            <w:jc w:val="right"/>
          </w:pPr>
        </w:p>
      </w:tc>
    </w:tr>
  </w:tbl>
  <w:p w14:paraId="100B6453" w14:textId="77777777" w:rsidR="00DD13BF" w:rsidRDefault="00DD13BF" w:rsidP="003E6C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6633FB" w14:paraId="4ABFCC1D" w14:textId="77777777">
      <w:tc>
        <w:tcPr>
          <w:tcW w:w="4665" w:type="dxa"/>
        </w:tcPr>
        <w:p w14:paraId="534CCDE4" w14:textId="77777777" w:rsidR="006633FB" w:rsidRDefault="006633FB">
          <w:pPr>
            <w:pStyle w:val="Glava"/>
            <w:ind w:left="-115"/>
          </w:pPr>
        </w:p>
      </w:tc>
      <w:tc>
        <w:tcPr>
          <w:tcW w:w="4665" w:type="dxa"/>
        </w:tcPr>
        <w:p w14:paraId="44837367" w14:textId="77777777" w:rsidR="006633FB" w:rsidRDefault="006633FB">
          <w:pPr>
            <w:pStyle w:val="Glava"/>
            <w:jc w:val="center"/>
          </w:pPr>
        </w:p>
      </w:tc>
      <w:tc>
        <w:tcPr>
          <w:tcW w:w="4665" w:type="dxa"/>
        </w:tcPr>
        <w:p w14:paraId="01EF0C84" w14:textId="77777777" w:rsidR="006633FB" w:rsidRDefault="006633FB">
          <w:pPr>
            <w:pStyle w:val="Glava"/>
            <w:ind w:right="-115"/>
            <w:jc w:val="right"/>
          </w:pPr>
        </w:p>
      </w:tc>
    </w:tr>
  </w:tbl>
  <w:p w14:paraId="3B065C2A" w14:textId="77777777" w:rsidR="006633FB" w:rsidRDefault="006633FB">
    <w:pPr>
      <w:pStyle w:val="Noga"/>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9FC40E2" w14:textId="77777777" w:rsidTr="001D3F95">
      <w:tc>
        <w:tcPr>
          <w:tcW w:w="4665" w:type="dxa"/>
        </w:tcPr>
        <w:p w14:paraId="031B2793" w14:textId="77777777" w:rsidR="00DD13BF" w:rsidRDefault="00DD13BF" w:rsidP="000F7D49">
          <w:pPr>
            <w:pStyle w:val="Glava"/>
            <w:ind w:left="-115"/>
          </w:pPr>
        </w:p>
      </w:tc>
      <w:tc>
        <w:tcPr>
          <w:tcW w:w="4665" w:type="dxa"/>
        </w:tcPr>
        <w:p w14:paraId="43C9E188" w14:textId="77777777" w:rsidR="00DD13BF" w:rsidRDefault="00DD13BF" w:rsidP="000F7D49">
          <w:pPr>
            <w:pStyle w:val="Glava"/>
            <w:jc w:val="center"/>
          </w:pPr>
        </w:p>
      </w:tc>
      <w:tc>
        <w:tcPr>
          <w:tcW w:w="4665" w:type="dxa"/>
        </w:tcPr>
        <w:p w14:paraId="32DE01EA" w14:textId="77777777" w:rsidR="00DD13BF" w:rsidRDefault="00DD13BF" w:rsidP="000F7D49">
          <w:pPr>
            <w:pStyle w:val="Glava"/>
            <w:ind w:right="-115"/>
            <w:jc w:val="right"/>
          </w:pPr>
        </w:p>
      </w:tc>
    </w:tr>
  </w:tbl>
  <w:p w14:paraId="2D51CD88" w14:textId="77777777" w:rsidR="00DD13BF" w:rsidRDefault="00DD13BF" w:rsidP="003E6CF6">
    <w:pPr>
      <w:pStyle w:val="Noga"/>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A04A7B3" w14:textId="77777777" w:rsidTr="001D3F95">
      <w:tc>
        <w:tcPr>
          <w:tcW w:w="4665" w:type="dxa"/>
        </w:tcPr>
        <w:p w14:paraId="0205869B" w14:textId="77777777" w:rsidR="00DD13BF" w:rsidRDefault="00DD13BF" w:rsidP="000F7D49">
          <w:pPr>
            <w:pStyle w:val="Glava"/>
            <w:ind w:left="-115"/>
          </w:pPr>
        </w:p>
      </w:tc>
      <w:tc>
        <w:tcPr>
          <w:tcW w:w="4665" w:type="dxa"/>
        </w:tcPr>
        <w:p w14:paraId="29098E13" w14:textId="77777777" w:rsidR="00DD13BF" w:rsidRDefault="00DD13BF" w:rsidP="000F7D49">
          <w:pPr>
            <w:pStyle w:val="Glava"/>
            <w:jc w:val="center"/>
          </w:pPr>
        </w:p>
      </w:tc>
      <w:tc>
        <w:tcPr>
          <w:tcW w:w="4665" w:type="dxa"/>
        </w:tcPr>
        <w:p w14:paraId="6E9C375C" w14:textId="77777777" w:rsidR="00DD13BF" w:rsidRDefault="00DD13BF" w:rsidP="000F7D49">
          <w:pPr>
            <w:pStyle w:val="Glava"/>
            <w:ind w:right="-115"/>
            <w:jc w:val="right"/>
          </w:pPr>
        </w:p>
      </w:tc>
    </w:tr>
  </w:tbl>
  <w:p w14:paraId="1FA271CB" w14:textId="77777777" w:rsidR="00DD13BF" w:rsidRDefault="00DD13BF" w:rsidP="003E6CF6">
    <w:pPr>
      <w:pStyle w:val="Noga"/>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C179389" w14:textId="77777777" w:rsidTr="001D3F95">
      <w:tc>
        <w:tcPr>
          <w:tcW w:w="4665" w:type="dxa"/>
        </w:tcPr>
        <w:p w14:paraId="78A7C2E3" w14:textId="77777777" w:rsidR="00DD13BF" w:rsidRDefault="00DD13BF" w:rsidP="000F7D49">
          <w:pPr>
            <w:pStyle w:val="Glava"/>
            <w:ind w:left="-115"/>
          </w:pPr>
        </w:p>
      </w:tc>
      <w:tc>
        <w:tcPr>
          <w:tcW w:w="4665" w:type="dxa"/>
        </w:tcPr>
        <w:p w14:paraId="56EC7A66" w14:textId="77777777" w:rsidR="00DD13BF" w:rsidRDefault="00DD13BF" w:rsidP="000F7D49">
          <w:pPr>
            <w:pStyle w:val="Glava"/>
            <w:jc w:val="center"/>
          </w:pPr>
        </w:p>
      </w:tc>
      <w:tc>
        <w:tcPr>
          <w:tcW w:w="4665" w:type="dxa"/>
        </w:tcPr>
        <w:p w14:paraId="49206D8D" w14:textId="77777777" w:rsidR="00DD13BF" w:rsidRDefault="00DD13BF" w:rsidP="000F7D49">
          <w:pPr>
            <w:pStyle w:val="Glava"/>
            <w:ind w:right="-115"/>
            <w:jc w:val="right"/>
          </w:pPr>
        </w:p>
      </w:tc>
    </w:tr>
  </w:tbl>
  <w:p w14:paraId="2F83DC64" w14:textId="77777777" w:rsidR="00DD13BF" w:rsidRDefault="00DD13BF" w:rsidP="003E6CF6">
    <w:pPr>
      <w:pStyle w:val="Noga"/>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252888CC" w14:textId="77777777" w:rsidTr="00905D70">
      <w:tc>
        <w:tcPr>
          <w:tcW w:w="4665" w:type="dxa"/>
        </w:tcPr>
        <w:p w14:paraId="4B52036A" w14:textId="77777777" w:rsidR="00DD13BF" w:rsidRDefault="00DD13BF" w:rsidP="00B745CF">
          <w:pPr>
            <w:pStyle w:val="Glava"/>
            <w:ind w:left="-115"/>
          </w:pPr>
        </w:p>
      </w:tc>
      <w:tc>
        <w:tcPr>
          <w:tcW w:w="4665" w:type="dxa"/>
        </w:tcPr>
        <w:p w14:paraId="2459E7E1" w14:textId="77777777" w:rsidR="00DD13BF" w:rsidRDefault="00DD13BF" w:rsidP="000F7D49">
          <w:pPr>
            <w:pStyle w:val="Glava"/>
            <w:jc w:val="center"/>
          </w:pPr>
        </w:p>
      </w:tc>
      <w:tc>
        <w:tcPr>
          <w:tcW w:w="4665" w:type="dxa"/>
        </w:tcPr>
        <w:p w14:paraId="28216B92" w14:textId="77777777" w:rsidR="00DD13BF" w:rsidRDefault="00DD13BF" w:rsidP="000F7D49">
          <w:pPr>
            <w:pStyle w:val="Glava"/>
            <w:ind w:right="-115"/>
            <w:jc w:val="right"/>
          </w:pPr>
        </w:p>
      </w:tc>
    </w:tr>
  </w:tbl>
  <w:p w14:paraId="1F14BBE6" w14:textId="77777777" w:rsidR="00DD13BF" w:rsidRDefault="00DD13BF" w:rsidP="003E6CF6">
    <w:pPr>
      <w:pStyle w:val="Noga"/>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9E5B907" w14:textId="77777777" w:rsidTr="001D3F95">
      <w:tc>
        <w:tcPr>
          <w:tcW w:w="4665" w:type="dxa"/>
        </w:tcPr>
        <w:p w14:paraId="51CE0FA3" w14:textId="77777777" w:rsidR="00DD13BF" w:rsidRDefault="00DD13BF" w:rsidP="000F7D49">
          <w:pPr>
            <w:pStyle w:val="Glava"/>
            <w:ind w:left="-115"/>
          </w:pPr>
        </w:p>
      </w:tc>
      <w:tc>
        <w:tcPr>
          <w:tcW w:w="4665" w:type="dxa"/>
        </w:tcPr>
        <w:p w14:paraId="693ABC00" w14:textId="77777777" w:rsidR="00DD13BF" w:rsidRDefault="00DD13BF" w:rsidP="000F7D49">
          <w:pPr>
            <w:pStyle w:val="Glava"/>
            <w:jc w:val="center"/>
          </w:pPr>
        </w:p>
      </w:tc>
      <w:tc>
        <w:tcPr>
          <w:tcW w:w="4665" w:type="dxa"/>
        </w:tcPr>
        <w:p w14:paraId="0D4B3966" w14:textId="77777777" w:rsidR="00DD13BF" w:rsidRDefault="00DD13BF" w:rsidP="000F7D49">
          <w:pPr>
            <w:pStyle w:val="Glava"/>
            <w:ind w:right="-115"/>
            <w:jc w:val="right"/>
          </w:pPr>
        </w:p>
      </w:tc>
    </w:tr>
  </w:tbl>
  <w:p w14:paraId="1CF7F326" w14:textId="77777777" w:rsidR="00DD13BF" w:rsidRDefault="00DD13BF" w:rsidP="003E6CF6">
    <w:pPr>
      <w:pStyle w:val="Noga"/>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66BA265" w14:textId="77777777" w:rsidTr="001D3F95">
      <w:tc>
        <w:tcPr>
          <w:tcW w:w="4665" w:type="dxa"/>
        </w:tcPr>
        <w:p w14:paraId="7FC3528D" w14:textId="77777777" w:rsidR="00DD13BF" w:rsidRDefault="00DD13BF" w:rsidP="000F7D49">
          <w:pPr>
            <w:pStyle w:val="Glava"/>
            <w:ind w:left="-115"/>
          </w:pPr>
        </w:p>
      </w:tc>
      <w:tc>
        <w:tcPr>
          <w:tcW w:w="4665" w:type="dxa"/>
        </w:tcPr>
        <w:p w14:paraId="0342EE20" w14:textId="77777777" w:rsidR="00DD13BF" w:rsidRDefault="00DD13BF" w:rsidP="000F7D49">
          <w:pPr>
            <w:pStyle w:val="Glava"/>
            <w:jc w:val="center"/>
          </w:pPr>
        </w:p>
      </w:tc>
      <w:tc>
        <w:tcPr>
          <w:tcW w:w="4665" w:type="dxa"/>
        </w:tcPr>
        <w:p w14:paraId="39B601B0" w14:textId="77777777" w:rsidR="00DD13BF" w:rsidRDefault="00DD13BF" w:rsidP="000F7D49">
          <w:pPr>
            <w:pStyle w:val="Glava"/>
            <w:ind w:right="-115"/>
            <w:jc w:val="right"/>
          </w:pPr>
        </w:p>
      </w:tc>
    </w:tr>
  </w:tbl>
  <w:p w14:paraId="3A41C4EC" w14:textId="77777777" w:rsidR="00DD13BF" w:rsidRDefault="00DD13BF" w:rsidP="003E6CF6">
    <w:pPr>
      <w:pStyle w:val="Noga"/>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729E182" w14:textId="77777777" w:rsidTr="001D3F95">
      <w:tc>
        <w:tcPr>
          <w:tcW w:w="4665" w:type="dxa"/>
        </w:tcPr>
        <w:p w14:paraId="6CBF7803" w14:textId="77777777" w:rsidR="00DD13BF" w:rsidRDefault="00DD13BF" w:rsidP="000F7D49">
          <w:pPr>
            <w:pStyle w:val="Glava"/>
            <w:ind w:left="-115"/>
          </w:pPr>
        </w:p>
      </w:tc>
      <w:tc>
        <w:tcPr>
          <w:tcW w:w="4665" w:type="dxa"/>
        </w:tcPr>
        <w:p w14:paraId="086C05E7" w14:textId="77777777" w:rsidR="00DD13BF" w:rsidRDefault="00DD13BF" w:rsidP="000F7D49">
          <w:pPr>
            <w:pStyle w:val="Glava"/>
            <w:jc w:val="center"/>
          </w:pPr>
        </w:p>
      </w:tc>
      <w:tc>
        <w:tcPr>
          <w:tcW w:w="4665" w:type="dxa"/>
        </w:tcPr>
        <w:p w14:paraId="332B174E" w14:textId="77777777" w:rsidR="00DD13BF" w:rsidRDefault="00DD13BF" w:rsidP="000F7D49">
          <w:pPr>
            <w:pStyle w:val="Glava"/>
            <w:ind w:right="-115"/>
            <w:jc w:val="right"/>
          </w:pPr>
        </w:p>
      </w:tc>
    </w:tr>
  </w:tbl>
  <w:p w14:paraId="3CBCE75B" w14:textId="77777777" w:rsidR="00DD13BF" w:rsidRDefault="00DD13BF" w:rsidP="003E6CF6">
    <w:pPr>
      <w:pStyle w:val="Noga"/>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E9EE1A2" w14:textId="77777777" w:rsidTr="001D3F95">
      <w:tc>
        <w:tcPr>
          <w:tcW w:w="4665" w:type="dxa"/>
        </w:tcPr>
        <w:p w14:paraId="69755D3F" w14:textId="77777777" w:rsidR="00DD13BF" w:rsidRDefault="00DD13BF" w:rsidP="000F7D49">
          <w:pPr>
            <w:pStyle w:val="Glava"/>
            <w:ind w:left="-115"/>
          </w:pPr>
        </w:p>
      </w:tc>
      <w:tc>
        <w:tcPr>
          <w:tcW w:w="4665" w:type="dxa"/>
        </w:tcPr>
        <w:p w14:paraId="56873212" w14:textId="77777777" w:rsidR="00DD13BF" w:rsidRDefault="00DD13BF" w:rsidP="000F7D49">
          <w:pPr>
            <w:pStyle w:val="Glava"/>
            <w:jc w:val="center"/>
          </w:pPr>
        </w:p>
      </w:tc>
      <w:tc>
        <w:tcPr>
          <w:tcW w:w="4665" w:type="dxa"/>
        </w:tcPr>
        <w:p w14:paraId="1B98C3DE" w14:textId="77777777" w:rsidR="00DD13BF" w:rsidRDefault="00DD13BF" w:rsidP="000F7D49">
          <w:pPr>
            <w:pStyle w:val="Glava"/>
            <w:ind w:right="-115"/>
            <w:jc w:val="right"/>
          </w:pPr>
        </w:p>
      </w:tc>
    </w:tr>
  </w:tbl>
  <w:p w14:paraId="4042D05B" w14:textId="77777777" w:rsidR="00DD13BF" w:rsidRDefault="00DD13BF" w:rsidP="003E6CF6">
    <w:pPr>
      <w:pStyle w:val="Noga"/>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26FBF9D" w14:textId="77777777" w:rsidTr="001D3F95">
      <w:tc>
        <w:tcPr>
          <w:tcW w:w="4665" w:type="dxa"/>
        </w:tcPr>
        <w:p w14:paraId="08E7C386" w14:textId="77777777" w:rsidR="00DD13BF" w:rsidRDefault="00DD13BF" w:rsidP="000F7D49">
          <w:pPr>
            <w:pStyle w:val="Glava"/>
            <w:ind w:left="-115"/>
          </w:pPr>
        </w:p>
      </w:tc>
      <w:tc>
        <w:tcPr>
          <w:tcW w:w="4665" w:type="dxa"/>
        </w:tcPr>
        <w:p w14:paraId="3E44A886" w14:textId="77777777" w:rsidR="00DD13BF" w:rsidRDefault="00DD13BF" w:rsidP="000F7D49">
          <w:pPr>
            <w:pStyle w:val="Glava"/>
            <w:jc w:val="center"/>
          </w:pPr>
        </w:p>
      </w:tc>
      <w:tc>
        <w:tcPr>
          <w:tcW w:w="4665" w:type="dxa"/>
        </w:tcPr>
        <w:p w14:paraId="6B01E309" w14:textId="77777777" w:rsidR="00DD13BF" w:rsidRDefault="00DD13BF" w:rsidP="000F7D49">
          <w:pPr>
            <w:pStyle w:val="Glava"/>
            <w:ind w:right="-115"/>
            <w:jc w:val="right"/>
          </w:pPr>
        </w:p>
      </w:tc>
    </w:tr>
  </w:tbl>
  <w:p w14:paraId="5416C0E0" w14:textId="77777777" w:rsidR="00DD13BF" w:rsidRDefault="00DD13BF" w:rsidP="003E6CF6">
    <w:pPr>
      <w:pStyle w:val="Noga"/>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BCD59DB" w14:textId="77777777" w:rsidTr="001D3F95">
      <w:tc>
        <w:tcPr>
          <w:tcW w:w="4665" w:type="dxa"/>
        </w:tcPr>
        <w:p w14:paraId="5297B1D0" w14:textId="77777777" w:rsidR="00DD13BF" w:rsidRDefault="00DD13BF" w:rsidP="000F7D49">
          <w:pPr>
            <w:pStyle w:val="Glava"/>
            <w:ind w:left="-115"/>
          </w:pPr>
        </w:p>
      </w:tc>
      <w:tc>
        <w:tcPr>
          <w:tcW w:w="4665" w:type="dxa"/>
        </w:tcPr>
        <w:p w14:paraId="208D5720" w14:textId="77777777" w:rsidR="00DD13BF" w:rsidRDefault="00DD13BF" w:rsidP="000F7D49">
          <w:pPr>
            <w:pStyle w:val="Glava"/>
            <w:jc w:val="center"/>
          </w:pPr>
        </w:p>
      </w:tc>
      <w:tc>
        <w:tcPr>
          <w:tcW w:w="4665" w:type="dxa"/>
        </w:tcPr>
        <w:p w14:paraId="695422F1" w14:textId="77777777" w:rsidR="00DD13BF" w:rsidRDefault="00DD13BF" w:rsidP="000F7D49">
          <w:pPr>
            <w:pStyle w:val="Glava"/>
            <w:ind w:right="-115"/>
            <w:jc w:val="right"/>
          </w:pPr>
        </w:p>
      </w:tc>
    </w:tr>
  </w:tbl>
  <w:p w14:paraId="6FFD0C62" w14:textId="77777777" w:rsidR="00DD13BF" w:rsidRDefault="00DD13BF" w:rsidP="003E6CF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431403"/>
      <w:docPartObj>
        <w:docPartGallery w:val="Page Numbers (Bottom of Page)"/>
        <w:docPartUnique/>
      </w:docPartObj>
    </w:sdtPr>
    <w:sdtEndPr/>
    <w:sdtContent>
      <w:p w14:paraId="7ED17235" w14:textId="72754106" w:rsidR="00DD13BF" w:rsidRDefault="00DD13BF">
        <w:pPr>
          <w:pStyle w:val="Noga"/>
          <w:jc w:val="center"/>
        </w:pPr>
        <w:r>
          <w:fldChar w:fldCharType="begin"/>
        </w:r>
        <w:r>
          <w:instrText>PAGE   \* MERGEFORMAT</w:instrText>
        </w:r>
        <w:r>
          <w:fldChar w:fldCharType="separate"/>
        </w:r>
        <w:r w:rsidR="00425F22">
          <w:rPr>
            <w:noProof/>
          </w:rPr>
          <w:t>8</w:t>
        </w:r>
        <w:r>
          <w:fldChar w:fldCharType="end"/>
        </w:r>
      </w:p>
    </w:sdtContent>
  </w:sdt>
  <w:p w14:paraId="441744C1" w14:textId="77777777" w:rsidR="00DD13BF" w:rsidRDefault="00DD13BF" w:rsidP="00AE38BF">
    <w:pPr>
      <w:pStyle w:val="Noga"/>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632B96CF" w14:textId="77777777" w:rsidTr="001D3F95">
      <w:tc>
        <w:tcPr>
          <w:tcW w:w="4665" w:type="dxa"/>
        </w:tcPr>
        <w:p w14:paraId="022D348A" w14:textId="77777777" w:rsidR="00DD13BF" w:rsidRDefault="00DD13BF" w:rsidP="000F7D49">
          <w:pPr>
            <w:pStyle w:val="Glava"/>
            <w:ind w:left="-115"/>
          </w:pPr>
        </w:p>
      </w:tc>
      <w:tc>
        <w:tcPr>
          <w:tcW w:w="4665" w:type="dxa"/>
        </w:tcPr>
        <w:p w14:paraId="1B453C65" w14:textId="77777777" w:rsidR="00DD13BF" w:rsidRDefault="00DD13BF" w:rsidP="000F7D49">
          <w:pPr>
            <w:pStyle w:val="Glava"/>
            <w:jc w:val="center"/>
          </w:pPr>
        </w:p>
      </w:tc>
      <w:tc>
        <w:tcPr>
          <w:tcW w:w="4665" w:type="dxa"/>
        </w:tcPr>
        <w:p w14:paraId="4A2AB341" w14:textId="77777777" w:rsidR="00DD13BF" w:rsidRDefault="00DD13BF" w:rsidP="000F7D49">
          <w:pPr>
            <w:pStyle w:val="Glava"/>
            <w:ind w:right="-115"/>
            <w:jc w:val="right"/>
          </w:pPr>
        </w:p>
      </w:tc>
    </w:tr>
  </w:tbl>
  <w:p w14:paraId="1A456702" w14:textId="77777777" w:rsidR="00DD13BF" w:rsidRDefault="00DD13BF" w:rsidP="003E6CF6">
    <w:pPr>
      <w:pStyle w:val="Noga"/>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4BD81BE" w14:textId="77777777" w:rsidTr="001D3F95">
      <w:tc>
        <w:tcPr>
          <w:tcW w:w="4665" w:type="dxa"/>
        </w:tcPr>
        <w:p w14:paraId="0339EDAF" w14:textId="77777777" w:rsidR="00DD13BF" w:rsidRDefault="00DD13BF" w:rsidP="000F7D49">
          <w:pPr>
            <w:pStyle w:val="Glava"/>
            <w:ind w:left="-115"/>
          </w:pPr>
        </w:p>
      </w:tc>
      <w:tc>
        <w:tcPr>
          <w:tcW w:w="4665" w:type="dxa"/>
        </w:tcPr>
        <w:p w14:paraId="60600599" w14:textId="77777777" w:rsidR="00DD13BF" w:rsidRDefault="00DD13BF" w:rsidP="000F7D49">
          <w:pPr>
            <w:pStyle w:val="Glava"/>
            <w:jc w:val="center"/>
          </w:pPr>
        </w:p>
      </w:tc>
      <w:tc>
        <w:tcPr>
          <w:tcW w:w="4665" w:type="dxa"/>
        </w:tcPr>
        <w:p w14:paraId="5EC3B32C" w14:textId="77777777" w:rsidR="00DD13BF" w:rsidRDefault="00DD13BF" w:rsidP="000F7D49">
          <w:pPr>
            <w:pStyle w:val="Glava"/>
            <w:ind w:right="-115"/>
            <w:jc w:val="right"/>
          </w:pPr>
        </w:p>
      </w:tc>
    </w:tr>
  </w:tbl>
  <w:p w14:paraId="452718EF" w14:textId="77777777" w:rsidR="00DD13BF" w:rsidRDefault="00DD13BF" w:rsidP="003E6CF6">
    <w:pPr>
      <w:pStyle w:val="Noga"/>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38AF9B11" w14:textId="77777777" w:rsidTr="001B568D">
      <w:tc>
        <w:tcPr>
          <w:tcW w:w="4665" w:type="dxa"/>
        </w:tcPr>
        <w:p w14:paraId="0F72DE37" w14:textId="77777777" w:rsidR="00DD13BF" w:rsidRDefault="00DD13BF" w:rsidP="000F7D49">
          <w:pPr>
            <w:pStyle w:val="Glava"/>
            <w:ind w:left="-115"/>
          </w:pPr>
        </w:p>
      </w:tc>
      <w:tc>
        <w:tcPr>
          <w:tcW w:w="4665" w:type="dxa"/>
        </w:tcPr>
        <w:p w14:paraId="44C3973B" w14:textId="77777777" w:rsidR="00DD13BF" w:rsidRDefault="00DD13BF" w:rsidP="000F7D49">
          <w:pPr>
            <w:pStyle w:val="Glava"/>
            <w:jc w:val="center"/>
          </w:pPr>
        </w:p>
      </w:tc>
      <w:tc>
        <w:tcPr>
          <w:tcW w:w="4665" w:type="dxa"/>
        </w:tcPr>
        <w:p w14:paraId="1E8D9591" w14:textId="77777777" w:rsidR="00DD13BF" w:rsidRDefault="00DD13BF" w:rsidP="000F7D49">
          <w:pPr>
            <w:pStyle w:val="Glava"/>
            <w:ind w:right="-115"/>
            <w:jc w:val="right"/>
          </w:pPr>
        </w:p>
      </w:tc>
    </w:tr>
  </w:tbl>
  <w:p w14:paraId="43DCA847" w14:textId="77777777" w:rsidR="00DD13BF" w:rsidRDefault="00DD13BF" w:rsidP="003E6CF6">
    <w:pPr>
      <w:pStyle w:val="Noga"/>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C4EEC42" w14:textId="77777777" w:rsidTr="001D3F95">
      <w:tc>
        <w:tcPr>
          <w:tcW w:w="4665" w:type="dxa"/>
        </w:tcPr>
        <w:p w14:paraId="7009C54F" w14:textId="77777777" w:rsidR="00DD13BF" w:rsidRDefault="00DD13BF" w:rsidP="000F7D49">
          <w:pPr>
            <w:pStyle w:val="Glava"/>
            <w:ind w:left="-115"/>
          </w:pPr>
        </w:p>
      </w:tc>
      <w:tc>
        <w:tcPr>
          <w:tcW w:w="4665" w:type="dxa"/>
        </w:tcPr>
        <w:p w14:paraId="41E363C8" w14:textId="77777777" w:rsidR="00DD13BF" w:rsidRDefault="00DD13BF" w:rsidP="000F7D49">
          <w:pPr>
            <w:pStyle w:val="Glava"/>
            <w:jc w:val="center"/>
          </w:pPr>
        </w:p>
      </w:tc>
      <w:tc>
        <w:tcPr>
          <w:tcW w:w="4665" w:type="dxa"/>
        </w:tcPr>
        <w:p w14:paraId="4B77C1B4" w14:textId="77777777" w:rsidR="00DD13BF" w:rsidRDefault="00DD13BF" w:rsidP="000F7D49">
          <w:pPr>
            <w:pStyle w:val="Glava"/>
            <w:ind w:right="-115"/>
            <w:jc w:val="right"/>
          </w:pPr>
        </w:p>
      </w:tc>
    </w:tr>
  </w:tbl>
  <w:p w14:paraId="0ACA7FF7" w14:textId="77777777" w:rsidR="00DD13BF" w:rsidRDefault="00DD13BF" w:rsidP="003E6CF6">
    <w:pPr>
      <w:pStyle w:val="Noga"/>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2EF7823" w14:textId="77777777" w:rsidTr="001D3F95">
      <w:tc>
        <w:tcPr>
          <w:tcW w:w="4665" w:type="dxa"/>
        </w:tcPr>
        <w:p w14:paraId="40C9D596" w14:textId="77777777" w:rsidR="00DD13BF" w:rsidRDefault="00DD13BF" w:rsidP="000F7D49">
          <w:pPr>
            <w:pStyle w:val="Glava"/>
            <w:ind w:left="-115"/>
          </w:pPr>
        </w:p>
      </w:tc>
      <w:tc>
        <w:tcPr>
          <w:tcW w:w="4665" w:type="dxa"/>
        </w:tcPr>
        <w:p w14:paraId="1A13A5E6" w14:textId="77777777" w:rsidR="00DD13BF" w:rsidRDefault="00DD13BF" w:rsidP="000F7D49">
          <w:pPr>
            <w:pStyle w:val="Glava"/>
            <w:jc w:val="center"/>
          </w:pPr>
        </w:p>
      </w:tc>
      <w:tc>
        <w:tcPr>
          <w:tcW w:w="4665" w:type="dxa"/>
        </w:tcPr>
        <w:p w14:paraId="7ED02A30" w14:textId="77777777" w:rsidR="00DD13BF" w:rsidRDefault="00DD13BF" w:rsidP="000F7D49">
          <w:pPr>
            <w:pStyle w:val="Glava"/>
            <w:ind w:right="-115"/>
            <w:jc w:val="right"/>
          </w:pPr>
        </w:p>
      </w:tc>
    </w:tr>
  </w:tbl>
  <w:p w14:paraId="07E0A492" w14:textId="77777777" w:rsidR="00DD13BF" w:rsidRDefault="00DD13BF" w:rsidP="003E6CF6">
    <w:pPr>
      <w:pStyle w:val="Noga"/>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114272C" w14:textId="77777777" w:rsidTr="001D3F95">
      <w:tc>
        <w:tcPr>
          <w:tcW w:w="4665" w:type="dxa"/>
        </w:tcPr>
        <w:p w14:paraId="7A06F996" w14:textId="77777777" w:rsidR="00DD13BF" w:rsidRDefault="00DD13BF" w:rsidP="000F7D49">
          <w:pPr>
            <w:pStyle w:val="Glava"/>
            <w:ind w:left="-115"/>
          </w:pPr>
        </w:p>
      </w:tc>
      <w:tc>
        <w:tcPr>
          <w:tcW w:w="4665" w:type="dxa"/>
        </w:tcPr>
        <w:p w14:paraId="78A1DF6F" w14:textId="77777777" w:rsidR="00DD13BF" w:rsidRDefault="00DD13BF" w:rsidP="000F7D49">
          <w:pPr>
            <w:pStyle w:val="Glava"/>
            <w:jc w:val="center"/>
          </w:pPr>
        </w:p>
      </w:tc>
      <w:tc>
        <w:tcPr>
          <w:tcW w:w="4665" w:type="dxa"/>
        </w:tcPr>
        <w:p w14:paraId="75058D8C" w14:textId="77777777" w:rsidR="00DD13BF" w:rsidRDefault="00DD13BF" w:rsidP="000F7D49">
          <w:pPr>
            <w:pStyle w:val="Glava"/>
            <w:ind w:right="-115"/>
            <w:jc w:val="right"/>
          </w:pPr>
        </w:p>
      </w:tc>
    </w:tr>
  </w:tbl>
  <w:p w14:paraId="2D2FB1CE" w14:textId="77777777" w:rsidR="00DD13BF" w:rsidRDefault="00DD13BF" w:rsidP="003E6CF6">
    <w:pPr>
      <w:pStyle w:val="Noga"/>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1B7B" w14:textId="77777777" w:rsidR="00DD13BF" w:rsidRDefault="00DD13BF" w:rsidP="003E6CF6">
    <w:pPr>
      <w:pStyle w:val="Noga"/>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6C7340B0" w14:textId="77777777" w:rsidTr="001D3F95">
      <w:tc>
        <w:tcPr>
          <w:tcW w:w="4665" w:type="dxa"/>
        </w:tcPr>
        <w:p w14:paraId="08547171" w14:textId="77777777" w:rsidR="00DD13BF" w:rsidRDefault="00DD13BF" w:rsidP="000F7D49">
          <w:pPr>
            <w:pStyle w:val="Glava"/>
            <w:ind w:left="-115"/>
          </w:pPr>
        </w:p>
      </w:tc>
      <w:tc>
        <w:tcPr>
          <w:tcW w:w="4665" w:type="dxa"/>
        </w:tcPr>
        <w:p w14:paraId="2A90BA9E" w14:textId="77777777" w:rsidR="00DD13BF" w:rsidRDefault="00DD13BF" w:rsidP="000F7D49">
          <w:pPr>
            <w:pStyle w:val="Glava"/>
            <w:jc w:val="center"/>
          </w:pPr>
        </w:p>
      </w:tc>
      <w:tc>
        <w:tcPr>
          <w:tcW w:w="4665" w:type="dxa"/>
        </w:tcPr>
        <w:p w14:paraId="0D540C94" w14:textId="77777777" w:rsidR="00DD13BF" w:rsidRDefault="00DD13BF" w:rsidP="000F7D49">
          <w:pPr>
            <w:pStyle w:val="Glava"/>
            <w:ind w:right="-115"/>
            <w:jc w:val="right"/>
          </w:pPr>
        </w:p>
      </w:tc>
    </w:tr>
  </w:tbl>
  <w:p w14:paraId="1C857F40" w14:textId="77777777" w:rsidR="00DD13BF" w:rsidRDefault="00DD13BF" w:rsidP="003E6CF6">
    <w:pPr>
      <w:pStyle w:val="Noga"/>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EBC3353" w14:textId="77777777" w:rsidTr="001D3F95">
      <w:tc>
        <w:tcPr>
          <w:tcW w:w="4665" w:type="dxa"/>
        </w:tcPr>
        <w:p w14:paraId="4589352D" w14:textId="77777777" w:rsidR="00DD13BF" w:rsidRDefault="00DD13BF" w:rsidP="000F7D49">
          <w:pPr>
            <w:pStyle w:val="Glava"/>
            <w:ind w:left="-115"/>
          </w:pPr>
        </w:p>
      </w:tc>
      <w:tc>
        <w:tcPr>
          <w:tcW w:w="4665" w:type="dxa"/>
        </w:tcPr>
        <w:p w14:paraId="3BC9CA47" w14:textId="77777777" w:rsidR="00DD13BF" w:rsidRDefault="00DD13BF" w:rsidP="000F7D49">
          <w:pPr>
            <w:pStyle w:val="Glava"/>
            <w:jc w:val="center"/>
          </w:pPr>
        </w:p>
      </w:tc>
      <w:tc>
        <w:tcPr>
          <w:tcW w:w="4665" w:type="dxa"/>
        </w:tcPr>
        <w:p w14:paraId="4761D1D8" w14:textId="77777777" w:rsidR="00DD13BF" w:rsidRDefault="00DD13BF" w:rsidP="000F7D49">
          <w:pPr>
            <w:pStyle w:val="Glava"/>
            <w:ind w:right="-115"/>
            <w:jc w:val="right"/>
          </w:pPr>
        </w:p>
      </w:tc>
    </w:tr>
  </w:tbl>
  <w:p w14:paraId="6509A12F" w14:textId="77777777" w:rsidR="00DD13BF" w:rsidRDefault="00DD13BF" w:rsidP="003E6CF6">
    <w:pPr>
      <w:pStyle w:val="Noga"/>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3C0DA978" w14:textId="77777777" w:rsidTr="001D3F95">
      <w:tc>
        <w:tcPr>
          <w:tcW w:w="4665" w:type="dxa"/>
        </w:tcPr>
        <w:p w14:paraId="7A5562CB" w14:textId="77777777" w:rsidR="00DD13BF" w:rsidRDefault="00DD13BF" w:rsidP="00542465">
          <w:pPr>
            <w:pStyle w:val="Glava"/>
            <w:ind w:left="-115"/>
          </w:pPr>
        </w:p>
      </w:tc>
      <w:tc>
        <w:tcPr>
          <w:tcW w:w="4665" w:type="dxa"/>
        </w:tcPr>
        <w:p w14:paraId="38BBF9A9" w14:textId="77777777" w:rsidR="00DD13BF" w:rsidRDefault="00DD13BF" w:rsidP="00542465">
          <w:pPr>
            <w:pStyle w:val="Glava"/>
            <w:jc w:val="center"/>
          </w:pPr>
        </w:p>
      </w:tc>
      <w:tc>
        <w:tcPr>
          <w:tcW w:w="4665" w:type="dxa"/>
        </w:tcPr>
        <w:p w14:paraId="1E65A23C" w14:textId="77777777" w:rsidR="00DD13BF" w:rsidRDefault="00DD13BF" w:rsidP="00542465">
          <w:pPr>
            <w:pStyle w:val="Glava"/>
            <w:ind w:right="-115"/>
            <w:jc w:val="right"/>
          </w:pPr>
        </w:p>
      </w:tc>
    </w:tr>
  </w:tbl>
  <w:p w14:paraId="732B39FB" w14:textId="77777777" w:rsidR="00DD13BF" w:rsidRDefault="00DD13BF" w:rsidP="003E6CF6">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5061D4E" w14:textId="77777777" w:rsidTr="001D3F95">
      <w:tc>
        <w:tcPr>
          <w:tcW w:w="4665" w:type="dxa"/>
        </w:tcPr>
        <w:p w14:paraId="65F32369" w14:textId="77777777" w:rsidR="00DD13BF" w:rsidRDefault="00DD13BF" w:rsidP="000F7D49">
          <w:pPr>
            <w:pStyle w:val="Glava"/>
            <w:ind w:left="-115"/>
          </w:pPr>
        </w:p>
      </w:tc>
      <w:tc>
        <w:tcPr>
          <w:tcW w:w="4665" w:type="dxa"/>
        </w:tcPr>
        <w:p w14:paraId="3BA25BAC" w14:textId="77777777" w:rsidR="00DD13BF" w:rsidRDefault="00DD13BF" w:rsidP="000F7D49">
          <w:pPr>
            <w:pStyle w:val="Glava"/>
            <w:jc w:val="center"/>
          </w:pPr>
        </w:p>
      </w:tc>
      <w:tc>
        <w:tcPr>
          <w:tcW w:w="4665" w:type="dxa"/>
        </w:tcPr>
        <w:p w14:paraId="5EA397DF" w14:textId="77777777" w:rsidR="00DD13BF" w:rsidRDefault="00DD13BF" w:rsidP="000F7D49">
          <w:pPr>
            <w:pStyle w:val="Glava"/>
            <w:ind w:right="-115"/>
            <w:jc w:val="right"/>
          </w:pPr>
        </w:p>
      </w:tc>
    </w:tr>
  </w:tbl>
  <w:p w14:paraId="169F0444" w14:textId="77777777" w:rsidR="00DD13BF" w:rsidRDefault="00DD13BF" w:rsidP="003E6CF6">
    <w:pPr>
      <w:pStyle w:val="Noga"/>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FA62C0C" w14:textId="77777777" w:rsidTr="001D3F95">
      <w:tc>
        <w:tcPr>
          <w:tcW w:w="4665" w:type="dxa"/>
        </w:tcPr>
        <w:p w14:paraId="50BCA01B" w14:textId="77777777" w:rsidR="00DD13BF" w:rsidRDefault="00DD13BF" w:rsidP="00542465">
          <w:pPr>
            <w:pStyle w:val="Glava"/>
            <w:ind w:left="-115"/>
          </w:pPr>
        </w:p>
      </w:tc>
      <w:tc>
        <w:tcPr>
          <w:tcW w:w="4665" w:type="dxa"/>
        </w:tcPr>
        <w:p w14:paraId="6F570053" w14:textId="77777777" w:rsidR="00DD13BF" w:rsidRDefault="00DD13BF" w:rsidP="00542465">
          <w:pPr>
            <w:pStyle w:val="Glava"/>
            <w:jc w:val="center"/>
          </w:pPr>
        </w:p>
      </w:tc>
      <w:tc>
        <w:tcPr>
          <w:tcW w:w="4665" w:type="dxa"/>
        </w:tcPr>
        <w:p w14:paraId="77B46C28" w14:textId="77777777" w:rsidR="00DD13BF" w:rsidRDefault="00DD13BF" w:rsidP="00542465">
          <w:pPr>
            <w:pStyle w:val="Glava"/>
            <w:ind w:right="-115"/>
            <w:jc w:val="right"/>
          </w:pPr>
        </w:p>
      </w:tc>
    </w:tr>
  </w:tbl>
  <w:p w14:paraId="04F4A965" w14:textId="77777777" w:rsidR="00DD13BF" w:rsidRDefault="00DD13BF" w:rsidP="003E6CF6">
    <w:pPr>
      <w:pStyle w:val="Noga"/>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2A701149" w14:textId="77777777" w:rsidTr="007F2C55">
      <w:tc>
        <w:tcPr>
          <w:tcW w:w="4665" w:type="dxa"/>
        </w:tcPr>
        <w:p w14:paraId="3D8002C2" w14:textId="77777777" w:rsidR="00DD13BF" w:rsidRDefault="00DD13BF" w:rsidP="000F7D49">
          <w:pPr>
            <w:pStyle w:val="Glava"/>
            <w:ind w:left="-115"/>
          </w:pPr>
        </w:p>
      </w:tc>
      <w:tc>
        <w:tcPr>
          <w:tcW w:w="4665" w:type="dxa"/>
        </w:tcPr>
        <w:p w14:paraId="72F6A93C" w14:textId="77777777" w:rsidR="00DD13BF" w:rsidRDefault="00DD13BF" w:rsidP="000F7D49">
          <w:pPr>
            <w:pStyle w:val="Glava"/>
            <w:jc w:val="center"/>
          </w:pPr>
        </w:p>
      </w:tc>
      <w:tc>
        <w:tcPr>
          <w:tcW w:w="4665" w:type="dxa"/>
        </w:tcPr>
        <w:p w14:paraId="7BC75E0D" w14:textId="77777777" w:rsidR="00DD13BF" w:rsidRDefault="00DD13BF" w:rsidP="000F7D49">
          <w:pPr>
            <w:pStyle w:val="Glava"/>
            <w:ind w:right="-115"/>
            <w:jc w:val="right"/>
          </w:pPr>
        </w:p>
      </w:tc>
    </w:tr>
  </w:tbl>
  <w:p w14:paraId="2853DB0A" w14:textId="77777777" w:rsidR="00DD13BF" w:rsidRDefault="00DD13BF" w:rsidP="003E6CF6">
    <w:pPr>
      <w:pStyle w:val="Noga"/>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7AAA26A" w14:textId="77777777" w:rsidTr="001D3F95">
      <w:tc>
        <w:tcPr>
          <w:tcW w:w="4665" w:type="dxa"/>
        </w:tcPr>
        <w:p w14:paraId="45694354" w14:textId="77777777" w:rsidR="00DD13BF" w:rsidRDefault="00DD13BF" w:rsidP="000F7D49">
          <w:pPr>
            <w:pStyle w:val="Glava"/>
            <w:ind w:left="-115"/>
          </w:pPr>
        </w:p>
      </w:tc>
      <w:tc>
        <w:tcPr>
          <w:tcW w:w="4665" w:type="dxa"/>
        </w:tcPr>
        <w:p w14:paraId="7248D188" w14:textId="77777777" w:rsidR="00DD13BF" w:rsidRDefault="00DD13BF" w:rsidP="000F7D49">
          <w:pPr>
            <w:pStyle w:val="Glava"/>
            <w:jc w:val="center"/>
          </w:pPr>
        </w:p>
      </w:tc>
      <w:tc>
        <w:tcPr>
          <w:tcW w:w="4665" w:type="dxa"/>
        </w:tcPr>
        <w:p w14:paraId="6E9B5221" w14:textId="77777777" w:rsidR="00DD13BF" w:rsidRDefault="00DD13BF" w:rsidP="000F7D49">
          <w:pPr>
            <w:pStyle w:val="Glava"/>
            <w:ind w:right="-115"/>
            <w:jc w:val="right"/>
          </w:pPr>
        </w:p>
      </w:tc>
    </w:tr>
  </w:tbl>
  <w:p w14:paraId="4825A209" w14:textId="77777777" w:rsidR="00DD13BF" w:rsidRDefault="00DD13BF" w:rsidP="003E6CF6">
    <w:pPr>
      <w:pStyle w:val="Noga"/>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978681A" w14:textId="77777777" w:rsidTr="001D3F95">
      <w:tc>
        <w:tcPr>
          <w:tcW w:w="4665" w:type="dxa"/>
        </w:tcPr>
        <w:p w14:paraId="002519ED" w14:textId="77777777" w:rsidR="00DD13BF" w:rsidRDefault="00DD13BF" w:rsidP="000F7D49">
          <w:pPr>
            <w:pStyle w:val="Glava"/>
            <w:ind w:left="-115"/>
          </w:pPr>
        </w:p>
      </w:tc>
      <w:tc>
        <w:tcPr>
          <w:tcW w:w="4665" w:type="dxa"/>
        </w:tcPr>
        <w:p w14:paraId="2A6046CE" w14:textId="77777777" w:rsidR="00DD13BF" w:rsidRDefault="00DD13BF" w:rsidP="000F7D49">
          <w:pPr>
            <w:pStyle w:val="Glava"/>
            <w:jc w:val="center"/>
          </w:pPr>
        </w:p>
      </w:tc>
      <w:tc>
        <w:tcPr>
          <w:tcW w:w="4665" w:type="dxa"/>
        </w:tcPr>
        <w:p w14:paraId="4A891F09" w14:textId="77777777" w:rsidR="00DD13BF" w:rsidRDefault="00DD13BF" w:rsidP="000F7D49">
          <w:pPr>
            <w:pStyle w:val="Glava"/>
            <w:ind w:right="-115"/>
            <w:jc w:val="right"/>
          </w:pPr>
        </w:p>
      </w:tc>
    </w:tr>
  </w:tbl>
  <w:p w14:paraId="6B3E5A06" w14:textId="77777777" w:rsidR="00DD13BF" w:rsidRDefault="00DD13BF" w:rsidP="003E6CF6">
    <w:pPr>
      <w:pStyle w:val="Noga"/>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2D6A9F6A" w14:textId="77777777" w:rsidTr="001D3F95">
      <w:tc>
        <w:tcPr>
          <w:tcW w:w="4665" w:type="dxa"/>
        </w:tcPr>
        <w:p w14:paraId="757FD133" w14:textId="77777777" w:rsidR="00DD13BF" w:rsidRDefault="00DD13BF" w:rsidP="000F7D49">
          <w:pPr>
            <w:pStyle w:val="Glava"/>
            <w:ind w:left="-115"/>
          </w:pPr>
        </w:p>
      </w:tc>
      <w:tc>
        <w:tcPr>
          <w:tcW w:w="4665" w:type="dxa"/>
        </w:tcPr>
        <w:p w14:paraId="43899494" w14:textId="77777777" w:rsidR="00DD13BF" w:rsidRDefault="00DD13BF" w:rsidP="000F7D49">
          <w:pPr>
            <w:pStyle w:val="Glava"/>
            <w:jc w:val="center"/>
          </w:pPr>
        </w:p>
      </w:tc>
      <w:tc>
        <w:tcPr>
          <w:tcW w:w="4665" w:type="dxa"/>
        </w:tcPr>
        <w:p w14:paraId="1015BFC5" w14:textId="77777777" w:rsidR="00DD13BF" w:rsidRDefault="00DD13BF" w:rsidP="000F7D49">
          <w:pPr>
            <w:pStyle w:val="Glava"/>
            <w:ind w:right="-115"/>
            <w:jc w:val="right"/>
          </w:pPr>
        </w:p>
      </w:tc>
    </w:tr>
  </w:tbl>
  <w:p w14:paraId="6E727DD9" w14:textId="77777777" w:rsidR="00DD13BF" w:rsidRDefault="00DD13BF" w:rsidP="003E6CF6">
    <w:pPr>
      <w:pStyle w:val="Noga"/>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FB41A0E" w14:textId="77777777" w:rsidTr="001D3F95">
      <w:tc>
        <w:tcPr>
          <w:tcW w:w="4665" w:type="dxa"/>
        </w:tcPr>
        <w:p w14:paraId="24A715C3" w14:textId="77777777" w:rsidR="00DD13BF" w:rsidRDefault="00DD13BF" w:rsidP="000F7D49">
          <w:pPr>
            <w:pStyle w:val="Glava"/>
            <w:ind w:left="-115"/>
          </w:pPr>
        </w:p>
      </w:tc>
      <w:tc>
        <w:tcPr>
          <w:tcW w:w="4665" w:type="dxa"/>
        </w:tcPr>
        <w:p w14:paraId="38FA9CAD" w14:textId="77777777" w:rsidR="00DD13BF" w:rsidRDefault="00DD13BF" w:rsidP="000F7D49">
          <w:pPr>
            <w:pStyle w:val="Glava"/>
            <w:jc w:val="center"/>
          </w:pPr>
        </w:p>
      </w:tc>
      <w:tc>
        <w:tcPr>
          <w:tcW w:w="4665" w:type="dxa"/>
        </w:tcPr>
        <w:p w14:paraId="01597397" w14:textId="77777777" w:rsidR="00DD13BF" w:rsidRDefault="00DD13BF" w:rsidP="000F7D49">
          <w:pPr>
            <w:pStyle w:val="Glava"/>
            <w:ind w:right="-115"/>
            <w:jc w:val="right"/>
          </w:pPr>
        </w:p>
      </w:tc>
    </w:tr>
  </w:tbl>
  <w:p w14:paraId="1B587FC1" w14:textId="77777777" w:rsidR="00DD13BF" w:rsidRDefault="00DD13BF" w:rsidP="003E6CF6">
    <w:pPr>
      <w:pStyle w:val="Noga"/>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62C679FF" w14:textId="77777777" w:rsidTr="001D3F95">
      <w:tc>
        <w:tcPr>
          <w:tcW w:w="4665" w:type="dxa"/>
        </w:tcPr>
        <w:p w14:paraId="6D76EA55" w14:textId="77777777" w:rsidR="00DD13BF" w:rsidRDefault="00DD13BF" w:rsidP="000F7D49">
          <w:pPr>
            <w:pStyle w:val="Glava"/>
            <w:ind w:left="-115"/>
          </w:pPr>
        </w:p>
      </w:tc>
      <w:tc>
        <w:tcPr>
          <w:tcW w:w="4665" w:type="dxa"/>
        </w:tcPr>
        <w:p w14:paraId="06089DAB" w14:textId="77777777" w:rsidR="00DD13BF" w:rsidRDefault="00DD13BF" w:rsidP="000F7D49">
          <w:pPr>
            <w:pStyle w:val="Glava"/>
            <w:jc w:val="center"/>
          </w:pPr>
        </w:p>
      </w:tc>
      <w:tc>
        <w:tcPr>
          <w:tcW w:w="4665" w:type="dxa"/>
        </w:tcPr>
        <w:p w14:paraId="1395540F" w14:textId="77777777" w:rsidR="00DD13BF" w:rsidRDefault="00DD13BF" w:rsidP="000F7D49">
          <w:pPr>
            <w:pStyle w:val="Glava"/>
            <w:ind w:right="-115"/>
            <w:jc w:val="right"/>
          </w:pPr>
        </w:p>
      </w:tc>
    </w:tr>
  </w:tbl>
  <w:p w14:paraId="73430E77" w14:textId="77777777" w:rsidR="00DD13BF" w:rsidRDefault="00DD13BF" w:rsidP="003E6CF6">
    <w:pPr>
      <w:pStyle w:val="Noga"/>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F0F55CE" w14:textId="77777777" w:rsidTr="001D3F95">
      <w:tc>
        <w:tcPr>
          <w:tcW w:w="4665" w:type="dxa"/>
        </w:tcPr>
        <w:p w14:paraId="55F67879" w14:textId="77777777" w:rsidR="00DD13BF" w:rsidRDefault="00DD13BF" w:rsidP="000F7D49">
          <w:pPr>
            <w:pStyle w:val="Glava"/>
            <w:ind w:left="-115"/>
          </w:pPr>
        </w:p>
      </w:tc>
      <w:tc>
        <w:tcPr>
          <w:tcW w:w="4665" w:type="dxa"/>
        </w:tcPr>
        <w:p w14:paraId="6B78A733" w14:textId="77777777" w:rsidR="00DD13BF" w:rsidRDefault="00DD13BF" w:rsidP="000F7D49">
          <w:pPr>
            <w:pStyle w:val="Glava"/>
            <w:jc w:val="center"/>
          </w:pPr>
        </w:p>
      </w:tc>
      <w:tc>
        <w:tcPr>
          <w:tcW w:w="4665" w:type="dxa"/>
        </w:tcPr>
        <w:p w14:paraId="0EB3494A" w14:textId="77777777" w:rsidR="00DD13BF" w:rsidRDefault="00DD13BF" w:rsidP="000F7D49">
          <w:pPr>
            <w:pStyle w:val="Glava"/>
            <w:ind w:right="-115"/>
            <w:jc w:val="right"/>
          </w:pPr>
        </w:p>
      </w:tc>
    </w:tr>
  </w:tbl>
  <w:p w14:paraId="5A5B82F8" w14:textId="77777777" w:rsidR="00DD13BF" w:rsidRDefault="00DD13BF" w:rsidP="003E6CF6">
    <w:pPr>
      <w:pStyle w:val="Noga"/>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1409583" w14:textId="77777777" w:rsidTr="001D3F95">
      <w:tc>
        <w:tcPr>
          <w:tcW w:w="4665" w:type="dxa"/>
        </w:tcPr>
        <w:p w14:paraId="1C251CBA" w14:textId="77777777" w:rsidR="00DD13BF" w:rsidRDefault="00DD13BF" w:rsidP="000F7D49">
          <w:pPr>
            <w:pStyle w:val="Glava"/>
            <w:ind w:left="-115"/>
          </w:pPr>
        </w:p>
      </w:tc>
      <w:tc>
        <w:tcPr>
          <w:tcW w:w="4665" w:type="dxa"/>
        </w:tcPr>
        <w:p w14:paraId="56CBBEE5" w14:textId="77777777" w:rsidR="00DD13BF" w:rsidRDefault="00DD13BF" w:rsidP="000F7D49">
          <w:pPr>
            <w:pStyle w:val="Glava"/>
            <w:jc w:val="center"/>
          </w:pPr>
        </w:p>
      </w:tc>
      <w:tc>
        <w:tcPr>
          <w:tcW w:w="4665" w:type="dxa"/>
        </w:tcPr>
        <w:p w14:paraId="6167414A" w14:textId="77777777" w:rsidR="00DD13BF" w:rsidRDefault="00DD13BF" w:rsidP="000F7D49">
          <w:pPr>
            <w:pStyle w:val="Glava"/>
            <w:ind w:right="-115"/>
            <w:jc w:val="right"/>
          </w:pPr>
        </w:p>
      </w:tc>
    </w:tr>
  </w:tbl>
  <w:p w14:paraId="35B4B66E" w14:textId="77777777" w:rsidR="00DD13BF" w:rsidRDefault="00DD13BF" w:rsidP="003E6CF6">
    <w:pPr>
      <w:pStyle w:val="Noga"/>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C87028B" w14:textId="77777777" w:rsidTr="001D3F95">
      <w:tc>
        <w:tcPr>
          <w:tcW w:w="4665" w:type="dxa"/>
        </w:tcPr>
        <w:p w14:paraId="52C77186" w14:textId="77777777" w:rsidR="00DD13BF" w:rsidRDefault="00DD13BF" w:rsidP="000F7D49">
          <w:pPr>
            <w:pStyle w:val="Glava"/>
            <w:ind w:left="-115"/>
          </w:pPr>
        </w:p>
      </w:tc>
      <w:tc>
        <w:tcPr>
          <w:tcW w:w="4665" w:type="dxa"/>
        </w:tcPr>
        <w:p w14:paraId="485B0F3A" w14:textId="77777777" w:rsidR="00DD13BF" w:rsidRDefault="00DD13BF" w:rsidP="000F7D49">
          <w:pPr>
            <w:pStyle w:val="Glava"/>
            <w:jc w:val="center"/>
          </w:pPr>
        </w:p>
      </w:tc>
      <w:tc>
        <w:tcPr>
          <w:tcW w:w="4665" w:type="dxa"/>
        </w:tcPr>
        <w:p w14:paraId="6863ECF9" w14:textId="77777777" w:rsidR="00DD13BF" w:rsidRDefault="00DD13BF" w:rsidP="000F7D49">
          <w:pPr>
            <w:pStyle w:val="Glava"/>
            <w:ind w:right="-115"/>
            <w:jc w:val="right"/>
          </w:pPr>
        </w:p>
      </w:tc>
    </w:tr>
  </w:tbl>
  <w:p w14:paraId="42797287" w14:textId="77777777" w:rsidR="00DD13BF" w:rsidRDefault="00DD13BF" w:rsidP="003E6CF6">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338F2F69" w14:textId="77777777" w:rsidTr="001D3F95">
      <w:tc>
        <w:tcPr>
          <w:tcW w:w="4665" w:type="dxa"/>
        </w:tcPr>
        <w:p w14:paraId="260866C0" w14:textId="77777777" w:rsidR="00DD13BF" w:rsidRDefault="00DD13BF" w:rsidP="000F7D49">
          <w:pPr>
            <w:pStyle w:val="Glava"/>
            <w:ind w:left="-115"/>
          </w:pPr>
        </w:p>
      </w:tc>
      <w:tc>
        <w:tcPr>
          <w:tcW w:w="4665" w:type="dxa"/>
        </w:tcPr>
        <w:p w14:paraId="2B5A9E88" w14:textId="77777777" w:rsidR="00DD13BF" w:rsidRDefault="00DD13BF" w:rsidP="000F7D49">
          <w:pPr>
            <w:pStyle w:val="Glava"/>
            <w:jc w:val="center"/>
          </w:pPr>
        </w:p>
      </w:tc>
      <w:tc>
        <w:tcPr>
          <w:tcW w:w="4665" w:type="dxa"/>
        </w:tcPr>
        <w:p w14:paraId="4E808585" w14:textId="77777777" w:rsidR="00DD13BF" w:rsidRDefault="00DD13BF" w:rsidP="000F7D49">
          <w:pPr>
            <w:pStyle w:val="Glava"/>
            <w:ind w:right="-115"/>
            <w:jc w:val="right"/>
          </w:pPr>
        </w:p>
      </w:tc>
    </w:tr>
  </w:tbl>
  <w:p w14:paraId="171A9ECC" w14:textId="77777777" w:rsidR="00DD13BF" w:rsidRDefault="00DD13BF" w:rsidP="003E6CF6">
    <w:pPr>
      <w:pStyle w:val="Noga"/>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66C2401" w14:textId="77777777" w:rsidTr="001D3F95">
      <w:tc>
        <w:tcPr>
          <w:tcW w:w="4665" w:type="dxa"/>
        </w:tcPr>
        <w:p w14:paraId="099F8119" w14:textId="77777777" w:rsidR="00DD13BF" w:rsidRDefault="00DD13BF" w:rsidP="000F7D49">
          <w:pPr>
            <w:pStyle w:val="Glava"/>
            <w:ind w:left="-115"/>
          </w:pPr>
        </w:p>
      </w:tc>
      <w:tc>
        <w:tcPr>
          <w:tcW w:w="4665" w:type="dxa"/>
        </w:tcPr>
        <w:p w14:paraId="47283FE6" w14:textId="77777777" w:rsidR="00DD13BF" w:rsidRDefault="00DD13BF" w:rsidP="000F7D49">
          <w:pPr>
            <w:pStyle w:val="Glava"/>
            <w:jc w:val="center"/>
          </w:pPr>
        </w:p>
      </w:tc>
      <w:tc>
        <w:tcPr>
          <w:tcW w:w="4665" w:type="dxa"/>
        </w:tcPr>
        <w:p w14:paraId="6E282DA6" w14:textId="77777777" w:rsidR="00DD13BF" w:rsidRDefault="00DD13BF" w:rsidP="000F7D49">
          <w:pPr>
            <w:pStyle w:val="Glava"/>
            <w:ind w:right="-115"/>
            <w:jc w:val="right"/>
          </w:pPr>
        </w:p>
      </w:tc>
    </w:tr>
  </w:tbl>
  <w:p w14:paraId="4DAE0704" w14:textId="77777777" w:rsidR="00DD13BF" w:rsidRDefault="00DD13BF" w:rsidP="003E6CF6">
    <w:pPr>
      <w:pStyle w:val="Noga"/>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4ACFF35" w14:textId="77777777" w:rsidTr="001D3F95">
      <w:tc>
        <w:tcPr>
          <w:tcW w:w="4665" w:type="dxa"/>
        </w:tcPr>
        <w:p w14:paraId="077FA836" w14:textId="77777777" w:rsidR="00DD13BF" w:rsidRDefault="00DD13BF" w:rsidP="000F7D49">
          <w:pPr>
            <w:pStyle w:val="Glava"/>
            <w:ind w:left="-115"/>
          </w:pPr>
        </w:p>
      </w:tc>
      <w:tc>
        <w:tcPr>
          <w:tcW w:w="4665" w:type="dxa"/>
        </w:tcPr>
        <w:p w14:paraId="4764D99D" w14:textId="77777777" w:rsidR="00DD13BF" w:rsidRDefault="00DD13BF" w:rsidP="000F7D49">
          <w:pPr>
            <w:pStyle w:val="Glava"/>
            <w:jc w:val="center"/>
          </w:pPr>
        </w:p>
      </w:tc>
      <w:tc>
        <w:tcPr>
          <w:tcW w:w="4665" w:type="dxa"/>
        </w:tcPr>
        <w:p w14:paraId="02FD2625" w14:textId="77777777" w:rsidR="00DD13BF" w:rsidRDefault="00DD13BF" w:rsidP="000F7D49">
          <w:pPr>
            <w:pStyle w:val="Glava"/>
            <w:ind w:right="-115"/>
            <w:jc w:val="right"/>
          </w:pPr>
        </w:p>
      </w:tc>
    </w:tr>
  </w:tbl>
  <w:p w14:paraId="3BC75CB6" w14:textId="77777777" w:rsidR="00DD13BF" w:rsidRDefault="00DD13BF" w:rsidP="003E6CF6">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995A7C6" w14:textId="77777777" w:rsidTr="00E14196">
      <w:tc>
        <w:tcPr>
          <w:tcW w:w="4665" w:type="dxa"/>
        </w:tcPr>
        <w:p w14:paraId="6F261E1E" w14:textId="77777777" w:rsidR="00DD13BF" w:rsidRDefault="00DD13BF" w:rsidP="000F7D49">
          <w:pPr>
            <w:pStyle w:val="Glava"/>
            <w:ind w:left="-115"/>
          </w:pPr>
        </w:p>
      </w:tc>
      <w:tc>
        <w:tcPr>
          <w:tcW w:w="4665" w:type="dxa"/>
        </w:tcPr>
        <w:p w14:paraId="245E54EB" w14:textId="77777777" w:rsidR="00DD13BF" w:rsidRDefault="00DD13BF" w:rsidP="000F7D49">
          <w:pPr>
            <w:pStyle w:val="Glava"/>
            <w:jc w:val="center"/>
          </w:pPr>
        </w:p>
      </w:tc>
      <w:tc>
        <w:tcPr>
          <w:tcW w:w="4665" w:type="dxa"/>
        </w:tcPr>
        <w:p w14:paraId="51EC8420" w14:textId="77777777" w:rsidR="00DD13BF" w:rsidRDefault="00DD13BF" w:rsidP="000F7D49">
          <w:pPr>
            <w:pStyle w:val="Glava"/>
            <w:ind w:right="-115"/>
            <w:jc w:val="right"/>
          </w:pPr>
        </w:p>
      </w:tc>
    </w:tr>
  </w:tbl>
  <w:p w14:paraId="7D524333" w14:textId="77777777" w:rsidR="00DD13BF" w:rsidRDefault="00DD13BF" w:rsidP="003E6CF6">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52C626B6" w14:textId="77777777" w:rsidTr="00E623BC">
      <w:tc>
        <w:tcPr>
          <w:tcW w:w="4665" w:type="dxa"/>
        </w:tcPr>
        <w:p w14:paraId="454F1165" w14:textId="77777777" w:rsidR="00DD13BF" w:rsidRDefault="00DD13BF" w:rsidP="000F7D49">
          <w:pPr>
            <w:pStyle w:val="Glava"/>
            <w:ind w:left="-115"/>
          </w:pPr>
        </w:p>
      </w:tc>
      <w:tc>
        <w:tcPr>
          <w:tcW w:w="4665" w:type="dxa"/>
        </w:tcPr>
        <w:p w14:paraId="055B39F2" w14:textId="77777777" w:rsidR="00DD13BF" w:rsidRDefault="00DD13BF" w:rsidP="000F7D49">
          <w:pPr>
            <w:pStyle w:val="Glava"/>
            <w:jc w:val="center"/>
          </w:pPr>
        </w:p>
      </w:tc>
      <w:tc>
        <w:tcPr>
          <w:tcW w:w="4665" w:type="dxa"/>
        </w:tcPr>
        <w:p w14:paraId="17CA9BC2" w14:textId="77777777" w:rsidR="00DD13BF" w:rsidRDefault="00DD13BF" w:rsidP="000F7D49">
          <w:pPr>
            <w:pStyle w:val="Glava"/>
            <w:ind w:right="-115"/>
            <w:jc w:val="right"/>
          </w:pPr>
        </w:p>
      </w:tc>
    </w:tr>
  </w:tbl>
  <w:p w14:paraId="16C7E7AA" w14:textId="77777777" w:rsidR="00DD13BF" w:rsidRDefault="00DD13BF" w:rsidP="003E6CF6">
    <w:pPr>
      <w:pStyle w:val="Nog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04930844" w14:textId="77777777" w:rsidTr="00E623BC">
      <w:tc>
        <w:tcPr>
          <w:tcW w:w="4665" w:type="dxa"/>
        </w:tcPr>
        <w:p w14:paraId="2EA47BB9" w14:textId="77777777" w:rsidR="00DD13BF" w:rsidRDefault="00DD13BF" w:rsidP="001F2C7D">
          <w:pPr>
            <w:pStyle w:val="Glava"/>
            <w:ind w:left="-115"/>
          </w:pPr>
        </w:p>
      </w:tc>
      <w:tc>
        <w:tcPr>
          <w:tcW w:w="4665" w:type="dxa"/>
        </w:tcPr>
        <w:p w14:paraId="772B38AE" w14:textId="77777777" w:rsidR="00DD13BF" w:rsidRDefault="00DD13BF" w:rsidP="001F2C7D">
          <w:pPr>
            <w:pStyle w:val="Glava"/>
            <w:jc w:val="center"/>
          </w:pPr>
        </w:p>
      </w:tc>
      <w:tc>
        <w:tcPr>
          <w:tcW w:w="4665" w:type="dxa"/>
        </w:tcPr>
        <w:p w14:paraId="502A5F33" w14:textId="77777777" w:rsidR="00DD13BF" w:rsidRDefault="00DD13BF" w:rsidP="001F2C7D">
          <w:pPr>
            <w:pStyle w:val="Glava"/>
            <w:ind w:right="-115"/>
            <w:jc w:val="right"/>
          </w:pPr>
        </w:p>
      </w:tc>
    </w:tr>
  </w:tbl>
  <w:p w14:paraId="17B0B8ED" w14:textId="77777777" w:rsidR="00DD13BF" w:rsidRDefault="00DD13BF" w:rsidP="003E6CF6">
    <w:pPr>
      <w:pStyle w:val="Nog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802D624" w14:textId="77777777" w:rsidTr="00E14196">
      <w:tc>
        <w:tcPr>
          <w:tcW w:w="4665" w:type="dxa"/>
        </w:tcPr>
        <w:p w14:paraId="5F194C7E" w14:textId="77777777" w:rsidR="00DD13BF" w:rsidRDefault="00DD13BF" w:rsidP="000F7D49">
          <w:pPr>
            <w:pStyle w:val="Glava"/>
            <w:ind w:left="-115"/>
          </w:pPr>
        </w:p>
      </w:tc>
      <w:tc>
        <w:tcPr>
          <w:tcW w:w="4665" w:type="dxa"/>
        </w:tcPr>
        <w:p w14:paraId="68987881" w14:textId="77777777" w:rsidR="00DD13BF" w:rsidRDefault="00DD13BF" w:rsidP="000F7D49">
          <w:pPr>
            <w:pStyle w:val="Glava"/>
            <w:jc w:val="center"/>
          </w:pPr>
        </w:p>
      </w:tc>
      <w:tc>
        <w:tcPr>
          <w:tcW w:w="4665" w:type="dxa"/>
        </w:tcPr>
        <w:p w14:paraId="3C53DAEF" w14:textId="77777777" w:rsidR="00DD13BF" w:rsidRDefault="00DD13BF" w:rsidP="000F7D49">
          <w:pPr>
            <w:pStyle w:val="Glava"/>
            <w:ind w:right="-115"/>
            <w:jc w:val="right"/>
          </w:pPr>
        </w:p>
      </w:tc>
    </w:tr>
  </w:tbl>
  <w:p w14:paraId="1FDE22AF" w14:textId="77777777" w:rsidR="00DD13BF" w:rsidRDefault="00DD13BF" w:rsidP="003E6C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951E9" w14:textId="77777777" w:rsidR="000A4D99" w:rsidRDefault="000A4D99">
      <w:r>
        <w:separator/>
      </w:r>
    </w:p>
  </w:footnote>
  <w:footnote w:type="continuationSeparator" w:id="0">
    <w:p w14:paraId="047554E3" w14:textId="77777777" w:rsidR="000A4D99" w:rsidRDefault="000A4D99">
      <w:r>
        <w:continuationSeparator/>
      </w:r>
    </w:p>
  </w:footnote>
  <w:footnote w:id="1">
    <w:p w14:paraId="6E256F7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Development Report 2021, Ljubljana, 2021. Available at:</w:t>
      </w:r>
      <w:r w:rsidRPr="007F3583">
        <w:rPr>
          <w:lang w:val="en-GB"/>
        </w:rPr>
        <w:t xml:space="preserve"> </w:t>
      </w:r>
      <w:hyperlink r:id="rId1" w:history="1">
        <w:r w:rsidRPr="007F3583">
          <w:rPr>
            <w:rStyle w:val="Hiperpovezava"/>
            <w:sz w:val="16"/>
            <w:lang w:val="en-GB"/>
          </w:rPr>
          <w:t>https://www.umar.gov.si/fileadmin/user_upload/razvoj_slovenije/2021/angleski/POR2021_eng.pdf</w:t>
        </w:r>
      </w:hyperlink>
      <w:r w:rsidRPr="007F3583">
        <w:rPr>
          <w:sz w:val="16"/>
          <w:lang w:val="en-GB"/>
        </w:rPr>
        <w:t xml:space="preserve">. </w:t>
      </w:r>
      <w:r w:rsidRPr="00BA7FBB">
        <w:rPr>
          <w:sz w:val="16"/>
          <w:lang w:val="en-GB"/>
        </w:rPr>
        <w:t>UMAR</w:t>
      </w:r>
      <w:r w:rsidRPr="007F3583">
        <w:rPr>
          <w:sz w:val="16"/>
          <w:lang w:val="en-GB"/>
        </w:rPr>
        <w:t xml:space="preserve">, Development Report 2022, Ljubljana, 2022. Available at: </w:t>
      </w:r>
      <w:hyperlink r:id="rId2" w:history="1">
        <w:r w:rsidRPr="007F3583">
          <w:rPr>
            <w:rStyle w:val="Hiperpovezava"/>
            <w:sz w:val="16"/>
            <w:lang w:val="en-GB"/>
          </w:rPr>
          <w:t>https://www.umar.gov.si/fileadmin/user_upload/razvoj_slovenije/2022/angleski/Development_Report_2022.pdf</w:t>
        </w:r>
      </w:hyperlink>
      <w:r w:rsidRPr="007F3583">
        <w:rPr>
          <w:sz w:val="16"/>
          <w:lang w:val="en-GB"/>
        </w:rPr>
        <w:t xml:space="preserve"> </w:t>
      </w:r>
    </w:p>
  </w:footnote>
  <w:footnote w:id="2">
    <w:p w14:paraId="2D31D8E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Reference to Decision of the Government of the Republic of Slovenia No 54402-4/2022/6 of 28 September 2022.</w:t>
      </w:r>
    </w:p>
  </w:footnote>
  <w:footnote w:id="3">
    <w:p w14:paraId="6C5C255C" w14:textId="77777777" w:rsidR="006633FB" w:rsidRPr="007F3583" w:rsidRDefault="006633FB" w:rsidP="0051160A">
      <w:pPr>
        <w:pStyle w:val="Sprotnaopomba-besedilo"/>
        <w:jc w:val="both"/>
        <w:rPr>
          <w:lang w:val="en-GB"/>
        </w:rPr>
      </w:pPr>
      <w:r w:rsidRPr="007F3583">
        <w:rPr>
          <w:rStyle w:val="Sprotnaopomba-sklic"/>
          <w:lang w:val="en-GB"/>
        </w:rPr>
        <w:footnoteRef/>
      </w:r>
      <w:r w:rsidRPr="007F3583">
        <w:rPr>
          <w:lang w:val="en-GB"/>
        </w:rPr>
        <w:t xml:space="preserve"> </w:t>
      </w:r>
      <w:r w:rsidRPr="00BA7FBB">
        <w:rPr>
          <w:sz w:val="16"/>
          <w:lang w:val="en-GB"/>
        </w:rPr>
        <w:t>UMAR</w:t>
      </w:r>
      <w:r w:rsidRPr="007F3583">
        <w:rPr>
          <w:sz w:val="16"/>
          <w:lang w:val="en-GB"/>
        </w:rPr>
        <w:t xml:space="preserve">, Productivity Report 2021, Ljubljana, 2022. Available at: </w:t>
      </w:r>
      <w:hyperlink r:id="rId3" w:history="1">
        <w:r w:rsidRPr="007F3583">
          <w:rPr>
            <w:rStyle w:val="Hiperpovezava"/>
            <w:sz w:val="16"/>
            <w:lang w:val="en-GB"/>
          </w:rPr>
          <w:t>https://www.umar.gov.si/fileadmin/user_upload/publikacije/Porocilo_o_produktivnosti/2021/angleski/aPoP_2021_splet.pdf</w:t>
        </w:r>
      </w:hyperlink>
      <w:r w:rsidRPr="007F3583">
        <w:rPr>
          <w:sz w:val="16"/>
          <w:lang w:val="en-GB"/>
        </w:rPr>
        <w:t xml:space="preserve">  </w:t>
      </w:r>
    </w:p>
  </w:footnote>
  <w:footnote w:id="4">
    <w:p w14:paraId="261220C7" w14:textId="77777777" w:rsidR="006633FB" w:rsidRPr="007F3583" w:rsidRDefault="006633FB" w:rsidP="0051160A">
      <w:pPr>
        <w:pStyle w:val="Sprotnaopomba-besedilo"/>
        <w:jc w:val="both"/>
        <w:rPr>
          <w:lang w:val="en-GB"/>
        </w:rPr>
      </w:pPr>
      <w:r w:rsidRPr="007F3583">
        <w:rPr>
          <w:rStyle w:val="Sprotnaopomba-sklic"/>
          <w:lang w:val="en-GB"/>
        </w:rPr>
        <w:footnoteRef/>
      </w:r>
      <w:r w:rsidRPr="007F3583">
        <w:rPr>
          <w:lang w:val="en-GB"/>
        </w:rPr>
        <w:t xml:space="preserve"> </w:t>
      </w:r>
      <w:r w:rsidRPr="00BA7FBB">
        <w:rPr>
          <w:sz w:val="16"/>
          <w:lang w:val="en-GB"/>
        </w:rPr>
        <w:t>UMAR</w:t>
      </w:r>
      <w:r w:rsidRPr="007F3583">
        <w:rPr>
          <w:sz w:val="16"/>
          <w:lang w:val="en-GB"/>
        </w:rPr>
        <w:t xml:space="preserve">, Development Report 2022, Ljubljana, 2021. Available at: </w:t>
      </w:r>
      <w:hyperlink r:id="rId4" w:history="1">
        <w:r w:rsidRPr="007F3583">
          <w:rPr>
            <w:rStyle w:val="Hiperpovezava"/>
            <w:sz w:val="16"/>
            <w:lang w:val="en-GB"/>
          </w:rPr>
          <w:t>https://www.umar.gov.si/fileadmin/user_upload/publikacije/Porocilo_o_produktivnosti/2021/angleski/aPoP_2021_splet.pdf</w:t>
        </w:r>
      </w:hyperlink>
    </w:p>
  </w:footnote>
  <w:footnote w:id="5">
    <w:p w14:paraId="20802A91" w14:textId="77777777" w:rsidR="006633FB" w:rsidRPr="007F3583" w:rsidRDefault="006633FB" w:rsidP="0051160A">
      <w:pPr>
        <w:pStyle w:val="Sprotnaopomba-besedilo"/>
        <w:jc w:val="both"/>
        <w:rPr>
          <w:sz w:val="18"/>
          <w:lang w:val="en-GB"/>
        </w:rPr>
      </w:pPr>
      <w:r w:rsidRPr="007F3583">
        <w:rPr>
          <w:rStyle w:val="Sprotnaopomba-sklic"/>
          <w:sz w:val="16"/>
          <w:lang w:val="en-GB"/>
        </w:rPr>
        <w:footnoteRef/>
      </w:r>
      <w:r w:rsidRPr="007F3583">
        <w:rPr>
          <w:sz w:val="18"/>
          <w:lang w:val="en-GB"/>
        </w:rPr>
        <w:t xml:space="preserve"> </w:t>
      </w:r>
      <w:r w:rsidRPr="007F3583">
        <w:rPr>
          <w:sz w:val="16"/>
          <w:lang w:val="en-GB"/>
        </w:rPr>
        <w:t>Non-ETS emissions are emissions as defined by Decision No 406/2009/EC, i.e. emissions from sources not covered by the European Emissions Trading Scheme. They include fuel combustion emissions in industry and construction</w:t>
      </w:r>
      <w:r>
        <w:rPr>
          <w:sz w:val="16"/>
          <w:lang w:val="en-GB"/>
        </w:rPr>
        <w:t>.</w:t>
      </w:r>
      <w:r w:rsidRPr="007F3583">
        <w:rPr>
          <w:sz w:val="16"/>
          <w:lang w:val="en-GB"/>
        </w:rPr>
        <w:t xml:space="preserve"> </w:t>
      </w:r>
      <w:r>
        <w:rPr>
          <w:sz w:val="16"/>
          <w:lang w:val="en-GB"/>
        </w:rPr>
        <w:t>S</w:t>
      </w:r>
      <w:r w:rsidRPr="007F3583">
        <w:rPr>
          <w:sz w:val="16"/>
          <w:lang w:val="en-GB"/>
        </w:rPr>
        <w:t>ource</w:t>
      </w:r>
      <w:r>
        <w:rPr>
          <w:sz w:val="16"/>
          <w:lang w:val="en-GB"/>
        </w:rPr>
        <w:t>:</w:t>
      </w:r>
      <w:r w:rsidRPr="007F3583">
        <w:rPr>
          <w:sz w:val="16"/>
          <w:lang w:val="en-GB"/>
        </w:rPr>
        <w:t xml:space="preserve"> Climate Mirror 2022</w:t>
      </w:r>
      <w:r>
        <w:rPr>
          <w:sz w:val="16"/>
          <w:lang w:val="en-GB"/>
        </w:rPr>
        <w:t>, Summary for D</w:t>
      </w:r>
      <w:r w:rsidRPr="007F3583">
        <w:rPr>
          <w:sz w:val="16"/>
          <w:lang w:val="en-GB"/>
        </w:rPr>
        <w:t xml:space="preserve">ecision-making. Available at: </w:t>
      </w:r>
      <w:hyperlink r:id="rId5" w:history="1">
        <w:r w:rsidRPr="007F3583">
          <w:rPr>
            <w:rStyle w:val="Hiperpovezava"/>
            <w:sz w:val="16"/>
            <w:lang w:val="en-GB"/>
          </w:rPr>
          <w:t>https://podnebnapot2050.si/wp-content/uploads/2022/06/PO2022_Zvezek0_Povzetek_KON_2022-06-15F.pdf</w:t>
        </w:r>
      </w:hyperlink>
      <w:r w:rsidRPr="007F3583">
        <w:rPr>
          <w:sz w:val="16"/>
          <w:lang w:val="en-GB"/>
        </w:rPr>
        <w:t xml:space="preserve">. </w:t>
      </w:r>
    </w:p>
  </w:footnote>
  <w:footnote w:id="6">
    <w:p w14:paraId="6FEDBFF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Available at: </w:t>
      </w:r>
      <w:hyperlink r:id="rId6" w:history="1">
        <w:r w:rsidRPr="007F3583">
          <w:rPr>
            <w:rStyle w:val="Hiperpovezava"/>
            <w:sz w:val="16"/>
            <w:lang w:val="en-GB"/>
          </w:rPr>
          <w:t>https://podnebnapot2050.si/wp-content/uploads/2022/06/PO2022_Zvezek2_Promet_KON_2022-06-15F.pdf</w:t>
        </w:r>
      </w:hyperlink>
      <w:r w:rsidRPr="007F3583">
        <w:rPr>
          <w:sz w:val="16"/>
          <w:lang w:val="en-GB"/>
        </w:rPr>
        <w:t xml:space="preserve">. </w:t>
      </w:r>
    </w:p>
  </w:footnote>
  <w:footnote w:id="7">
    <w:p w14:paraId="0EEA1E8E"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Life IP CARE4CLIMATE, Analysis of accessibility of public </w:t>
      </w:r>
      <w:r>
        <w:rPr>
          <w:sz w:val="16"/>
          <w:lang w:val="en-GB"/>
        </w:rPr>
        <w:t xml:space="preserve">passenger </w:t>
      </w:r>
      <w:r w:rsidRPr="007F3583">
        <w:rPr>
          <w:sz w:val="16"/>
          <w:lang w:val="en-GB"/>
        </w:rPr>
        <w:t xml:space="preserve">transport by identifying the main </w:t>
      </w:r>
      <w:r>
        <w:rPr>
          <w:sz w:val="16"/>
          <w:lang w:val="en-GB"/>
        </w:rPr>
        <w:t>public transport gaps</w:t>
      </w:r>
      <w:r w:rsidRPr="007F3583">
        <w:rPr>
          <w:sz w:val="16"/>
          <w:lang w:val="en-GB"/>
        </w:rPr>
        <w:t xml:space="preserve">, Ljubljana, 2019. Available at: </w:t>
      </w:r>
      <w:hyperlink r:id="rId7" w:history="1">
        <w:r w:rsidRPr="007F3583">
          <w:rPr>
            <w:rStyle w:val="Hiperpovezava"/>
            <w:sz w:val="16"/>
            <w:lang w:val="en-GB"/>
          </w:rPr>
          <w:t>https://www.care4climate.si/_files/196/Izrocek-ZRC-SAZU.pdf</w:t>
        </w:r>
      </w:hyperlink>
      <w:r w:rsidRPr="007F3583">
        <w:rPr>
          <w:sz w:val="16"/>
          <w:lang w:val="en-GB"/>
        </w:rPr>
        <w:t>.</w:t>
      </w:r>
    </w:p>
  </w:footnote>
  <w:footnote w:id="8">
    <w:p w14:paraId="46A2ED8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In 2020, </w:t>
      </w:r>
      <w:r w:rsidRPr="00AD717F">
        <w:rPr>
          <w:rFonts w:eastAsia="Calibri"/>
          <w:sz w:val="16"/>
          <w:szCs w:val="16"/>
          <w:lang w:val="en-GB"/>
        </w:rPr>
        <w:t>COVID</w:t>
      </w:r>
      <w:r>
        <w:rPr>
          <w:sz w:val="16"/>
          <w:lang w:val="en-GB"/>
        </w:rPr>
        <w:t>-</w:t>
      </w:r>
      <w:r w:rsidRPr="007F3583">
        <w:rPr>
          <w:sz w:val="16"/>
          <w:lang w:val="en-GB"/>
        </w:rPr>
        <w:t>19 epidemic</w:t>
      </w:r>
      <w:r>
        <w:rPr>
          <w:sz w:val="16"/>
          <w:lang w:val="en-GB"/>
        </w:rPr>
        <w:t xml:space="preserve"> caused</w:t>
      </w:r>
      <w:r w:rsidRPr="007F3583">
        <w:rPr>
          <w:sz w:val="16"/>
          <w:lang w:val="en-GB"/>
        </w:rPr>
        <w:t xml:space="preserve"> </w:t>
      </w:r>
      <w:r>
        <w:rPr>
          <w:sz w:val="16"/>
          <w:lang w:val="en-GB"/>
        </w:rPr>
        <w:t xml:space="preserve">complete closure of </w:t>
      </w:r>
      <w:r w:rsidRPr="007F3583">
        <w:rPr>
          <w:sz w:val="16"/>
          <w:lang w:val="en-GB"/>
        </w:rPr>
        <w:t>public passenger transport for 83 days, with a significant part of the year operating to a reduced extent. It also operated to a reduced extent in 2021, for as many as 56 days.</w:t>
      </w:r>
    </w:p>
  </w:footnote>
  <w:footnote w:id="9">
    <w:p w14:paraId="737E1F03"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xml:space="preserve">, Development Report 2021, Ljubljana, 2021. Available at: </w:t>
      </w:r>
      <w:hyperlink r:id="rId8" w:history="1">
        <w:r w:rsidRPr="007F3583">
          <w:rPr>
            <w:rStyle w:val="Hiperpovezava"/>
            <w:sz w:val="16"/>
            <w:lang w:val="en-GB"/>
          </w:rPr>
          <w:t>https://www.umar.gov.si/fileadmin/user_upload/razvoj_slovenije/2021/angleski/POR2021_eng.pdf</w:t>
        </w:r>
      </w:hyperlink>
      <w:r w:rsidRPr="007F3583">
        <w:rPr>
          <w:sz w:val="16"/>
          <w:lang w:val="en-GB"/>
        </w:rPr>
        <w:t xml:space="preserve"> </w:t>
      </w:r>
    </w:p>
  </w:footnote>
  <w:footnote w:id="10">
    <w:p w14:paraId="4878BC4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Available at: </w:t>
      </w:r>
      <w:hyperlink r:id="rId9" w:history="1">
        <w:r w:rsidRPr="007F3583">
          <w:rPr>
            <w:rStyle w:val="Hiperpovezava"/>
            <w:sz w:val="16"/>
            <w:lang w:val="en-GB"/>
          </w:rPr>
          <w:t>https://podnebnapot2050.si/wp-content/uploads/2022/06/PO2022_Zvezek2_Promet_KON_2022-06-15F.pdf</w:t>
        </w:r>
      </w:hyperlink>
      <w:r w:rsidRPr="007F3583">
        <w:rPr>
          <w:sz w:val="16"/>
          <w:lang w:val="en-GB"/>
        </w:rPr>
        <w:t xml:space="preserve">. </w:t>
      </w:r>
    </w:p>
  </w:footnote>
  <w:footnote w:id="11">
    <w:p w14:paraId="5ADC22A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Ministry of Infrastructure, Transport Development Strategy of the Republic of Slovenia until 2030. Available at: </w:t>
      </w:r>
      <w:hyperlink r:id="rId10" w:history="1">
        <w:r w:rsidRPr="007F3583">
          <w:rPr>
            <w:rStyle w:val="Hiperpovezava"/>
            <w:sz w:val="16"/>
            <w:lang w:val="en-GB"/>
          </w:rPr>
          <w:t>https://www.gov.si/assets/ministrstva/MzI/Dokumenti/Transport-Development-Strategy-of-the-Republic-of-Slovenia-Until-2030.pdf</w:t>
        </w:r>
      </w:hyperlink>
      <w:r w:rsidRPr="007F3583">
        <w:rPr>
          <w:sz w:val="16"/>
          <w:lang w:val="en-GB"/>
        </w:rPr>
        <w:t>.</w:t>
      </w:r>
    </w:p>
  </w:footnote>
  <w:footnote w:id="12">
    <w:p w14:paraId="4A2A03E2"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Sustainable Urban Mobility Plan.</w:t>
      </w:r>
    </w:p>
  </w:footnote>
  <w:footnote w:id="13">
    <w:p w14:paraId="48E3DD2D"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Slovenian Environmental Agency</w:t>
      </w:r>
      <w:r w:rsidRPr="007F3583">
        <w:rPr>
          <w:sz w:val="16"/>
          <w:lang w:val="en-GB"/>
        </w:rPr>
        <w:t>, Environmental Indicators: Air pollution by PM</w:t>
      </w:r>
      <w:r w:rsidRPr="007F3583">
        <w:rPr>
          <w:sz w:val="16"/>
          <w:vertAlign w:val="subscript"/>
          <w:lang w:val="en-GB"/>
        </w:rPr>
        <w:t>10</w:t>
      </w:r>
      <w:r w:rsidRPr="007F3583">
        <w:rPr>
          <w:sz w:val="16"/>
          <w:lang w:val="en-GB"/>
        </w:rPr>
        <w:t xml:space="preserve"> and PM</w:t>
      </w:r>
      <w:r w:rsidRPr="007F3583">
        <w:rPr>
          <w:sz w:val="16"/>
          <w:vertAlign w:val="subscript"/>
          <w:lang w:val="en-GB"/>
        </w:rPr>
        <w:t>25</w:t>
      </w:r>
      <w:r w:rsidRPr="007F3583">
        <w:rPr>
          <w:sz w:val="16"/>
          <w:lang w:val="en-GB"/>
        </w:rPr>
        <w:t xml:space="preserve"> particles, 2021. Available at: </w:t>
      </w:r>
      <w:hyperlink r:id="rId11" w:history="1">
        <w:r w:rsidRPr="007F3583">
          <w:rPr>
            <w:rStyle w:val="Hiperpovezava"/>
            <w:sz w:val="16"/>
            <w:lang w:val="en-GB"/>
          </w:rPr>
          <w:t>http://kazalci.arso.gov.si/sl/content/onesnazenost-zraka-z-delci-pm10-pm25-7?tid=2</w:t>
        </w:r>
      </w:hyperlink>
      <w:r w:rsidRPr="007F3583">
        <w:rPr>
          <w:rStyle w:val="Hiperpovezava"/>
          <w:sz w:val="16"/>
          <w:lang w:val="en-GB"/>
        </w:rPr>
        <w:t>.</w:t>
      </w:r>
      <w:r w:rsidRPr="007F3583">
        <w:rPr>
          <w:sz w:val="16"/>
          <w:lang w:val="en-GB"/>
        </w:rPr>
        <w:t xml:space="preserve"> </w:t>
      </w:r>
    </w:p>
  </w:footnote>
  <w:footnote w:id="14">
    <w:p w14:paraId="68A8ECA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Flash Barometer 498: SMEs, green markets and resource efficiency, Report, EU, March 2022. Available at: </w:t>
      </w:r>
      <w:hyperlink r:id="rId12" w:history="1">
        <w:r w:rsidRPr="007F3583">
          <w:rPr>
            <w:rStyle w:val="Hiperpovezava"/>
            <w:sz w:val="16"/>
            <w:lang w:val="en-GB"/>
          </w:rPr>
          <w:t>https://europa.eu/eurobarometer/surveys/detail/2287</w:t>
        </w:r>
      </w:hyperlink>
      <w:r w:rsidRPr="007F3583">
        <w:rPr>
          <w:rStyle w:val="Hiperpovezava"/>
          <w:sz w:val="16"/>
          <w:lang w:val="en-GB"/>
        </w:rPr>
        <w:t>.</w:t>
      </w:r>
    </w:p>
  </w:footnote>
  <w:footnote w:id="15">
    <w:p w14:paraId="338B8C53"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Flash Barometer 498: SMEs, green markets and resource efficiency, Report, EU, March 2022. Available at: </w:t>
      </w:r>
      <w:hyperlink r:id="rId13" w:history="1">
        <w:r w:rsidRPr="007F3583">
          <w:rPr>
            <w:rStyle w:val="Hiperpovezava"/>
            <w:sz w:val="16"/>
            <w:lang w:val="en-GB"/>
          </w:rPr>
          <w:t>https://europa.eu/eurobarometer/surveys/detail/2287</w:t>
        </w:r>
      </w:hyperlink>
      <w:r w:rsidRPr="007F3583">
        <w:rPr>
          <w:sz w:val="16"/>
          <w:lang w:val="en-GB"/>
        </w:rPr>
        <w:t>.</w:t>
      </w:r>
    </w:p>
  </w:footnote>
  <w:footnote w:id="16">
    <w:p w14:paraId="0B9314D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 </w:t>
      </w:r>
      <w:hyperlink r:id="rId14" w:history="1">
        <w:r w:rsidRPr="007F3583">
          <w:rPr>
            <w:rStyle w:val="Hiperpovezava"/>
            <w:sz w:val="16"/>
            <w:lang w:val="en-GB"/>
          </w:rPr>
          <w:t>https://www.umar.gov.si/fileadmin/user_upload/razvoj_slovenije/2021/angleski/POR2021_eng.pdf</w:t>
        </w:r>
      </w:hyperlink>
      <w:r>
        <w:rPr>
          <w:sz w:val="16"/>
          <w:lang w:val="en-GB"/>
        </w:rPr>
        <w:t>.</w:t>
      </w:r>
      <w:r w:rsidRPr="007F3583">
        <w:rPr>
          <w:sz w:val="16"/>
          <w:lang w:val="en-GB"/>
        </w:rPr>
        <w:t xml:space="preserve"> </w:t>
      </w:r>
    </w:p>
  </w:footnote>
  <w:footnote w:id="17">
    <w:p w14:paraId="2493109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Long-term Energy Renovation Strategy 2050, February 2021. Available at: </w:t>
      </w:r>
      <w:hyperlink r:id="rId15" w:history="1">
        <w:r w:rsidRPr="007F3583">
          <w:rPr>
            <w:rStyle w:val="Hiperpovezava"/>
            <w:sz w:val="16"/>
            <w:lang w:val="en-GB"/>
          </w:rPr>
          <w:t>https://www.energetika-portal.si/fileadmin/dokumenti/publikacije/dseps/dseps_2050_final.pdf</w:t>
        </w:r>
      </w:hyperlink>
      <w:r w:rsidRPr="007F3583">
        <w:rPr>
          <w:sz w:val="16"/>
          <w:lang w:val="en-GB"/>
        </w:rPr>
        <w:t>.</w:t>
      </w:r>
    </w:p>
  </w:footnote>
  <w:footnote w:id="18">
    <w:p w14:paraId="38EF2E58"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Available at: </w:t>
      </w:r>
      <w:hyperlink r:id="rId16" w:history="1">
        <w:r w:rsidRPr="007F3583">
          <w:rPr>
            <w:rStyle w:val="Hiperpovezava"/>
            <w:sz w:val="16"/>
            <w:lang w:val="en-GB"/>
          </w:rPr>
          <w:t>https://podnebnapot2050.si/wp-content/uploads/2022/06/PO2022_Zvezek3_Stavbe_KON_2022-06-15F.pdf</w:t>
        </w:r>
      </w:hyperlink>
      <w:r w:rsidRPr="007F3583">
        <w:rPr>
          <w:sz w:val="16"/>
          <w:lang w:val="en-GB"/>
        </w:rPr>
        <w:t xml:space="preserve">. </w:t>
      </w:r>
    </w:p>
  </w:footnote>
  <w:footnote w:id="19">
    <w:p w14:paraId="4AD1AB2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2022, Ljubljana, 2022. Available at: </w:t>
      </w:r>
      <w:hyperlink r:id="rId17" w:history="1">
        <w:r w:rsidRPr="007F3583">
          <w:rPr>
            <w:rStyle w:val="Hiperpovezava"/>
            <w:sz w:val="16"/>
            <w:lang w:val="en-GB"/>
          </w:rPr>
          <w:t>https://www.umar.gov.si/fileadmin/user_upload/razvoj_slovenije/2022/slovenski/POR2022.pdf</w:t>
        </w:r>
      </w:hyperlink>
      <w:r w:rsidRPr="007F3583">
        <w:rPr>
          <w:sz w:val="16"/>
          <w:lang w:val="en-GB"/>
        </w:rPr>
        <w:t>.</w:t>
      </w:r>
    </w:p>
  </w:footnote>
  <w:footnote w:id="20">
    <w:p w14:paraId="689EDD9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Available at: </w:t>
      </w:r>
      <w:hyperlink r:id="rId18" w:history="1">
        <w:r w:rsidRPr="007F3583">
          <w:rPr>
            <w:rStyle w:val="Hiperpovezava"/>
            <w:sz w:val="16"/>
            <w:lang w:val="en-GB"/>
          </w:rPr>
          <w:t>https://www.stat.si/statweb/News/Index/10057</w:t>
        </w:r>
      </w:hyperlink>
      <w:r w:rsidRPr="007F3583">
        <w:rPr>
          <w:sz w:val="16"/>
          <w:lang w:val="en-GB"/>
        </w:rPr>
        <w:t xml:space="preserve">. </w:t>
      </w:r>
    </w:p>
  </w:footnote>
  <w:footnote w:id="21">
    <w:p w14:paraId="31A6CF94"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2022, Ljubljana, 2022. Available at</w:t>
      </w:r>
      <w:r>
        <w:rPr>
          <w:sz w:val="16"/>
          <w:lang w:val="en-GB"/>
        </w:rPr>
        <w:t xml:space="preserve">: </w:t>
      </w:r>
      <w:hyperlink r:id="rId19" w:history="1">
        <w:r w:rsidRPr="001D42C6">
          <w:rPr>
            <w:rStyle w:val="Hiperpovezava"/>
            <w:sz w:val="16"/>
            <w:lang w:val="en-GB"/>
          </w:rPr>
          <w:t>https://www.umar.gov.si/fileadmin/user_upload/razvoj_slovenije/2022/angleski/Development_Report_2022.pdf</w:t>
        </w:r>
      </w:hyperlink>
      <w:r w:rsidRPr="007F3583">
        <w:rPr>
          <w:sz w:val="16"/>
          <w:lang w:val="en-GB"/>
        </w:rPr>
        <w:t>.</w:t>
      </w:r>
      <w:r>
        <w:rPr>
          <w:sz w:val="16"/>
          <w:lang w:val="en-GB"/>
        </w:rPr>
        <w:t xml:space="preserve"> </w:t>
      </w:r>
      <w:r w:rsidRPr="007F3583">
        <w:rPr>
          <w:sz w:val="16"/>
          <w:lang w:val="en-GB"/>
        </w:rPr>
        <w:t xml:space="preserve"> </w:t>
      </w:r>
    </w:p>
  </w:footnote>
  <w:footnote w:id="22">
    <w:p w14:paraId="67763AAD" w14:textId="77777777" w:rsidR="006633FB" w:rsidRPr="007F3583" w:rsidRDefault="006633FB" w:rsidP="0051160A">
      <w:pPr>
        <w:pStyle w:val="Sprotnaopomba-besedilo"/>
        <w:jc w:val="both"/>
        <w:rPr>
          <w:rFonts w:ascii="Calibri" w:hAnsi="Calibri" w:cs="Calibri"/>
          <w:sz w:val="16"/>
          <w:lang w:val="en-GB"/>
        </w:rPr>
      </w:pPr>
      <w:r w:rsidRPr="007F3583">
        <w:rPr>
          <w:rStyle w:val="Sprotnaopomba-sklic"/>
          <w:sz w:val="16"/>
          <w:lang w:val="en-GB"/>
        </w:rPr>
        <w:footnoteRef/>
      </w:r>
      <w:r w:rsidRPr="007F3583">
        <w:rPr>
          <w:sz w:val="16"/>
          <w:lang w:val="en-GB"/>
        </w:rPr>
        <w:t xml:space="preserve"> Available at: </w:t>
      </w:r>
      <w:hyperlink r:id="rId20" w:history="1">
        <w:r w:rsidRPr="007F3583">
          <w:rPr>
            <w:rStyle w:val="Hiperpovezava"/>
            <w:sz w:val="16"/>
            <w:lang w:val="en-GB"/>
          </w:rPr>
          <w:t>https://www.agen-rs.si/documents/10926/38704/Poro%C4%8Dilo-o-stanju-na-podro%C4%8Dju-energetike-v-Sloveniji-v-letu-2020/6ef6ecb0-4e1c-4ead-83eb-7da6326cd77f</w:t>
        </w:r>
      </w:hyperlink>
      <w:r w:rsidRPr="007F3583">
        <w:rPr>
          <w:rStyle w:val="Hiperpovezava"/>
          <w:sz w:val="16"/>
          <w:lang w:val="en-GB"/>
        </w:rPr>
        <w:t>.</w:t>
      </w:r>
      <w:r w:rsidRPr="007F3583">
        <w:rPr>
          <w:rFonts w:ascii="Calibri" w:hAnsi="Calibri" w:cs="Calibri"/>
          <w:sz w:val="16"/>
          <w:lang w:val="en-GB"/>
        </w:rPr>
        <w:t xml:space="preserve"> </w:t>
      </w:r>
    </w:p>
  </w:footnote>
  <w:footnote w:id="23">
    <w:p w14:paraId="3DB5FDDA"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sz w:val="16"/>
          <w:lang w:val="en-GB"/>
        </w:rPr>
        <w:t xml:space="preserve"> </w:t>
      </w:r>
      <w:r w:rsidRPr="00677903">
        <w:rPr>
          <w:sz w:val="16"/>
          <w:lang w:val="en-GB"/>
        </w:rPr>
        <w:t>NECP</w:t>
      </w:r>
      <w:r w:rsidRPr="007F3583">
        <w:rPr>
          <w:sz w:val="16"/>
          <w:lang w:val="en-GB"/>
        </w:rPr>
        <w:t xml:space="preserve">. Available at: </w:t>
      </w:r>
      <w:hyperlink r:id="rId21" w:history="1">
        <w:r w:rsidRPr="007F3583">
          <w:rPr>
            <w:rStyle w:val="Hiperpovezava"/>
            <w:sz w:val="16"/>
            <w:lang w:val="en-GB"/>
          </w:rPr>
          <w:t>https://www.energetika-portal.si/fileadmin/dokumenti/publikacije/nepn/dokumenti/nepn_5.0_final_feb-2020.pdf</w:t>
        </w:r>
      </w:hyperlink>
      <w:r w:rsidRPr="007F3583">
        <w:rPr>
          <w:rStyle w:val="Hiperpovezava"/>
          <w:sz w:val="16"/>
          <w:lang w:val="en-GB"/>
        </w:rPr>
        <w:t>.</w:t>
      </w:r>
      <w:r w:rsidRPr="007F3583">
        <w:rPr>
          <w:sz w:val="16"/>
          <w:lang w:val="en-GB"/>
        </w:rPr>
        <w:t xml:space="preserve"> </w:t>
      </w:r>
    </w:p>
  </w:footnote>
  <w:footnote w:id="24">
    <w:p w14:paraId="09D86978"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Disaster Risk Assessment, Version 2.0, No 84000-3/2018/3 of 6. 12. 2018. Available at: </w:t>
      </w:r>
      <w:hyperlink r:id="rId22" w:history="1">
        <w:r w:rsidRPr="007F3583">
          <w:rPr>
            <w:rStyle w:val="Hiperpovezava"/>
            <w:sz w:val="16"/>
            <w:lang w:val="en-GB"/>
          </w:rPr>
          <w:t>https://www.gov.si/assets/organi-v-sestavi/URSZR/Datoteke/Ocene-tveganja-za-nesrece/drzavna-ocena-tveganj-za-nesrece-2.0_2018_za-splet.pdf</w:t>
        </w:r>
      </w:hyperlink>
      <w:r w:rsidRPr="007F3583">
        <w:rPr>
          <w:sz w:val="16"/>
          <w:lang w:val="en-GB"/>
        </w:rPr>
        <w:t>.</w:t>
      </w:r>
    </w:p>
  </w:footnote>
  <w:footnote w:id="25">
    <w:p w14:paraId="4E52C8D4"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Proposal for </w:t>
      </w:r>
      <w:r>
        <w:rPr>
          <w:sz w:val="16"/>
          <w:lang w:val="en-GB"/>
        </w:rPr>
        <w:t xml:space="preserve">the areas of </w:t>
      </w:r>
      <w:r w:rsidRPr="007F3583">
        <w:rPr>
          <w:sz w:val="16"/>
          <w:lang w:val="en-GB"/>
        </w:rPr>
        <w:t xml:space="preserve">protection, rescue and assistance to be included in the ECP 2014-2020, MFF 2021-2027 and NG EU, No 024-8/2020-10 of 13 August 2020, available at </w:t>
      </w:r>
      <w:hyperlink r:id="rId23" w:history="1">
        <w:r w:rsidRPr="007F3583">
          <w:rPr>
            <w:rStyle w:val="Hiperpovezava"/>
            <w:sz w:val="16"/>
            <w:lang w:val="en-GB"/>
          </w:rPr>
          <w:t>https://www.gov.si/novice/2020-08-25-ministrstvo-za-obrambo-bo-za-podrocje-zascite-in-resevanja-poskusalo-pridobiti-evropska-sredstva/</w:t>
        </w:r>
      </w:hyperlink>
      <w:r w:rsidRPr="007F3583">
        <w:rPr>
          <w:sz w:val="16"/>
          <w:lang w:val="en-GB"/>
        </w:rPr>
        <w:t>.</w:t>
      </w:r>
    </w:p>
  </w:footnote>
  <w:footnote w:id="26">
    <w:p w14:paraId="58EF5B9C"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The 2022 Ka</w:t>
      </w:r>
      <w:r>
        <w:rPr>
          <w:sz w:val="16"/>
          <w:lang w:val="en-GB"/>
        </w:rPr>
        <w:t xml:space="preserve">rst fires lasted several weeks, according to </w:t>
      </w:r>
      <w:r w:rsidRPr="007F3583">
        <w:rPr>
          <w:sz w:val="16"/>
          <w:lang w:val="en-GB"/>
        </w:rPr>
        <w:t>first estimat</w:t>
      </w:r>
      <w:r>
        <w:rPr>
          <w:sz w:val="16"/>
          <w:lang w:val="en-GB"/>
        </w:rPr>
        <w:t xml:space="preserve">ions the fires affected </w:t>
      </w:r>
      <w:r w:rsidRPr="007F3583">
        <w:rPr>
          <w:sz w:val="16"/>
          <w:lang w:val="en-GB"/>
        </w:rPr>
        <w:t>around 3,500 hectares</w:t>
      </w:r>
      <w:r>
        <w:rPr>
          <w:sz w:val="16"/>
          <w:lang w:val="en-GB"/>
        </w:rPr>
        <w:t xml:space="preserve">. The fires were a threat to </w:t>
      </w:r>
      <w:r w:rsidRPr="007F3583">
        <w:rPr>
          <w:sz w:val="16"/>
          <w:lang w:val="en-GB"/>
        </w:rPr>
        <w:t xml:space="preserve">settlements </w:t>
      </w:r>
      <w:r>
        <w:rPr>
          <w:sz w:val="16"/>
          <w:lang w:val="en-GB"/>
        </w:rPr>
        <w:t>–</w:t>
      </w:r>
      <w:r w:rsidRPr="007F3583">
        <w:rPr>
          <w:sz w:val="16"/>
          <w:lang w:val="en-GB"/>
        </w:rPr>
        <w:t xml:space="preserve"> </w:t>
      </w:r>
      <w:r>
        <w:rPr>
          <w:sz w:val="16"/>
          <w:lang w:val="en-GB"/>
        </w:rPr>
        <w:t xml:space="preserve">with the </w:t>
      </w:r>
      <w:r w:rsidRPr="007F3583">
        <w:rPr>
          <w:sz w:val="16"/>
          <w:lang w:val="en-GB"/>
        </w:rPr>
        <w:t>evacuations le</w:t>
      </w:r>
      <w:r>
        <w:rPr>
          <w:sz w:val="16"/>
          <w:lang w:val="en-GB"/>
        </w:rPr>
        <w:t>a</w:t>
      </w:r>
      <w:r w:rsidRPr="007F3583">
        <w:rPr>
          <w:sz w:val="16"/>
          <w:lang w:val="en-GB"/>
        </w:rPr>
        <w:t>d</w:t>
      </w:r>
      <w:r>
        <w:rPr>
          <w:sz w:val="16"/>
          <w:lang w:val="en-GB"/>
        </w:rPr>
        <w:t>ing to high intervention costs</w:t>
      </w:r>
      <w:r w:rsidRPr="007F3583">
        <w:rPr>
          <w:sz w:val="16"/>
          <w:lang w:val="en-GB"/>
        </w:rPr>
        <w:t xml:space="preserve"> </w:t>
      </w:r>
      <w:r>
        <w:rPr>
          <w:sz w:val="16"/>
          <w:lang w:val="en-GB"/>
        </w:rPr>
        <w:t xml:space="preserve">with approximately </w:t>
      </w:r>
      <w:r w:rsidRPr="007F3583">
        <w:rPr>
          <w:sz w:val="16"/>
          <w:lang w:val="en-GB"/>
        </w:rPr>
        <w:t xml:space="preserve">12,500 firefighters </w:t>
      </w:r>
      <w:r>
        <w:rPr>
          <w:sz w:val="16"/>
          <w:lang w:val="en-GB"/>
        </w:rPr>
        <w:t xml:space="preserve">activated in 10 days, as well as </w:t>
      </w:r>
      <w:r w:rsidRPr="007F3583">
        <w:rPr>
          <w:sz w:val="16"/>
          <w:lang w:val="en-GB"/>
        </w:rPr>
        <w:t>approximately 2,900 vehicles, 2,500 support services and units, as well as 11 helicopters and 5 air</w:t>
      </w:r>
      <w:r>
        <w:rPr>
          <w:sz w:val="16"/>
          <w:lang w:val="en-GB"/>
        </w:rPr>
        <w:t>crafts from different countries. The significant damage of the fires</w:t>
      </w:r>
      <w:r w:rsidRPr="007F3583">
        <w:rPr>
          <w:sz w:val="16"/>
          <w:lang w:val="en-GB"/>
        </w:rPr>
        <w:t xml:space="preserve"> has not yet been estimated.</w:t>
      </w:r>
    </w:p>
  </w:footnote>
  <w:footnote w:id="27">
    <w:p w14:paraId="719A4D68" w14:textId="77777777" w:rsidR="006633FB" w:rsidRPr="007F3583" w:rsidRDefault="006633FB" w:rsidP="0051160A">
      <w:pPr>
        <w:pStyle w:val="Sprotnaopomba-besedilo"/>
        <w:jc w:val="both"/>
        <w:rPr>
          <w:lang w:val="en-GB"/>
        </w:rPr>
      </w:pPr>
      <w:r w:rsidRPr="007F3583">
        <w:rPr>
          <w:rStyle w:val="Sprotnaopomba-sklic"/>
          <w:lang w:val="en-GB"/>
        </w:rPr>
        <w:footnoteRef/>
      </w:r>
      <w:r w:rsidRPr="007F3583">
        <w:rPr>
          <w:lang w:val="en-GB"/>
        </w:rPr>
        <w:t xml:space="preserve"> </w:t>
      </w:r>
      <w:r>
        <w:rPr>
          <w:sz w:val="16"/>
          <w:lang w:val="en-GB"/>
        </w:rPr>
        <w:t>The Op</w:t>
      </w:r>
      <w:r w:rsidRPr="007F3583">
        <w:rPr>
          <w:sz w:val="16"/>
          <w:lang w:val="en-GB"/>
        </w:rPr>
        <w:t>erational Programme for Dispos</w:t>
      </w:r>
      <w:r>
        <w:rPr>
          <w:sz w:val="16"/>
          <w:lang w:val="en-GB"/>
        </w:rPr>
        <w:t>al and Treatment of Urban Wastew</w:t>
      </w:r>
      <w:r w:rsidRPr="007F3583">
        <w:rPr>
          <w:sz w:val="16"/>
          <w:lang w:val="en-GB"/>
        </w:rPr>
        <w:t>ater was adopted by the Government of the Republic of Slovenia on 17</w:t>
      </w:r>
      <w:r>
        <w:rPr>
          <w:sz w:val="16"/>
          <w:lang w:val="en-GB"/>
        </w:rPr>
        <w:t xml:space="preserve"> September </w:t>
      </w:r>
      <w:r w:rsidRPr="007F3583">
        <w:rPr>
          <w:sz w:val="16"/>
          <w:lang w:val="en-GB"/>
        </w:rPr>
        <w:t>2020</w:t>
      </w:r>
      <w:r>
        <w:rPr>
          <w:sz w:val="16"/>
          <w:lang w:val="en-GB"/>
        </w:rPr>
        <w:t xml:space="preserve"> and is available at</w:t>
      </w:r>
      <w:r w:rsidRPr="007F3583">
        <w:rPr>
          <w:sz w:val="16"/>
          <w:lang w:val="en-GB"/>
        </w:rPr>
        <w:t xml:space="preserve">: </w:t>
      </w:r>
      <w:hyperlink r:id="rId24" w:history="1">
        <w:r w:rsidRPr="007F3583">
          <w:rPr>
            <w:rStyle w:val="Hiperpovezava"/>
            <w:sz w:val="16"/>
            <w:lang w:val="en-GB"/>
          </w:rPr>
          <w:t>https://www.gov.si/novice/2020-09-17-odlocitve-32-redne-seje-vlade-republike-slovenije-s-podrocja-ministrstva-za-okolje-in-prostor</w:t>
        </w:r>
      </w:hyperlink>
      <w:r w:rsidRPr="007F3583">
        <w:rPr>
          <w:sz w:val="16"/>
          <w:lang w:val="en-GB"/>
        </w:rPr>
        <w:t>.</w:t>
      </w:r>
    </w:p>
  </w:footnote>
  <w:footnote w:id="28">
    <w:p w14:paraId="4798718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Spring Economic Forecast 2022, Ljubljana, April 2022. Available at: </w:t>
      </w:r>
      <w:hyperlink r:id="rId25" w:history="1">
        <w:r w:rsidRPr="007F3583">
          <w:rPr>
            <w:rStyle w:val="Hiperpovezava"/>
            <w:sz w:val="16"/>
            <w:lang w:val="en-GB"/>
          </w:rPr>
          <w:t>https://www.umar.gov.si/fileadmin/user_upload/napovedi/pomlad/pomladanska_2022/PNGG_2022.pdf</w:t>
        </w:r>
      </w:hyperlink>
      <w:r w:rsidRPr="007F3583">
        <w:rPr>
          <w:sz w:val="16"/>
          <w:lang w:val="en-GB"/>
        </w:rPr>
        <w:t>.</w:t>
      </w:r>
    </w:p>
  </w:footnote>
  <w:footnote w:id="29">
    <w:p w14:paraId="3E487E32"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 </w:t>
      </w:r>
      <w:hyperlink r:id="rId26" w:history="1">
        <w:r w:rsidRPr="00D13CCF">
          <w:rPr>
            <w:rStyle w:val="Hiperpovezava"/>
            <w:sz w:val="16"/>
            <w:lang w:val="en-GB"/>
          </w:rPr>
          <w:t>https://www.umar.gov.si/fileadmin/user_upload/razvoj_slovenije/2021/angleski/POR2021_eng.pdf</w:t>
        </w:r>
      </w:hyperlink>
      <w:r>
        <w:rPr>
          <w:sz w:val="16"/>
          <w:lang w:val="en-GB"/>
        </w:rPr>
        <w:t xml:space="preserve"> </w:t>
      </w:r>
      <w:r w:rsidRPr="007F3583">
        <w:rPr>
          <w:sz w:val="16"/>
          <w:lang w:val="en-GB"/>
        </w:rPr>
        <w:t xml:space="preserve">and UMAR, Development Report 2022, Ljubljana, 2022. Available at: </w:t>
      </w:r>
      <w:hyperlink r:id="rId27" w:history="1">
        <w:r w:rsidRPr="00D13CCF">
          <w:rPr>
            <w:rStyle w:val="Hiperpovezava"/>
            <w:sz w:val="16"/>
            <w:lang w:val="en-GB"/>
          </w:rPr>
          <w:t>https://www.umar.gov.si/fileadmin/user_upload/razvoj_slovenije/2022/angleski/Development_Report_2022.pdf</w:t>
        </w:r>
      </w:hyperlink>
      <w:r>
        <w:rPr>
          <w:sz w:val="16"/>
          <w:lang w:val="en-GB"/>
        </w:rPr>
        <w:t>.</w:t>
      </w:r>
    </w:p>
  </w:footnote>
  <w:footnote w:id="30">
    <w:p w14:paraId="7E1E0D7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Constitution of the Republic of Slovenia (Official Gazette of the Republic of Slovenia Nos 33/91-I, 42/97 </w:t>
      </w:r>
      <w:r>
        <w:rPr>
          <w:sz w:val="16"/>
          <w:lang w:val="en-GB"/>
        </w:rPr>
        <w:t>-</w:t>
      </w:r>
      <w:r w:rsidRPr="007F3583">
        <w:rPr>
          <w:sz w:val="16"/>
          <w:lang w:val="en-GB"/>
        </w:rPr>
        <w:t xml:space="preserve"> UZS68, 66/00 </w:t>
      </w:r>
      <w:r>
        <w:rPr>
          <w:sz w:val="16"/>
          <w:lang w:val="en-GB"/>
        </w:rPr>
        <w:t>-</w:t>
      </w:r>
      <w:r w:rsidRPr="007F3583">
        <w:rPr>
          <w:sz w:val="16"/>
          <w:lang w:val="en-GB"/>
        </w:rPr>
        <w:t xml:space="preserve"> UZ80, 24/03 </w:t>
      </w:r>
      <w:r>
        <w:rPr>
          <w:sz w:val="16"/>
          <w:lang w:val="en-GB"/>
        </w:rPr>
        <w:t>-</w:t>
      </w:r>
      <w:r w:rsidRPr="007F3583">
        <w:rPr>
          <w:sz w:val="16"/>
          <w:lang w:val="en-GB"/>
        </w:rPr>
        <w:t xml:space="preserve"> UZ3a, 47, 68, 69/04 </w:t>
      </w:r>
      <w:r>
        <w:rPr>
          <w:sz w:val="16"/>
          <w:lang w:val="en-GB"/>
        </w:rPr>
        <w:t>-</w:t>
      </w:r>
      <w:r w:rsidRPr="007F3583">
        <w:rPr>
          <w:sz w:val="16"/>
          <w:lang w:val="en-GB"/>
        </w:rPr>
        <w:t xml:space="preserve"> UZ14, 69/04 </w:t>
      </w:r>
      <w:r>
        <w:rPr>
          <w:sz w:val="16"/>
          <w:lang w:val="en-GB"/>
        </w:rPr>
        <w:t>-</w:t>
      </w:r>
      <w:r w:rsidRPr="007F3583">
        <w:rPr>
          <w:sz w:val="16"/>
          <w:lang w:val="en-GB"/>
        </w:rPr>
        <w:t xml:space="preserve"> UZ43, 69/04 </w:t>
      </w:r>
      <w:r>
        <w:rPr>
          <w:sz w:val="16"/>
          <w:lang w:val="en-GB"/>
        </w:rPr>
        <w:t>-</w:t>
      </w:r>
      <w:r w:rsidRPr="007F3583">
        <w:rPr>
          <w:sz w:val="16"/>
          <w:lang w:val="en-GB"/>
        </w:rPr>
        <w:t xml:space="preserve"> UZ50, 68/06 </w:t>
      </w:r>
      <w:r>
        <w:rPr>
          <w:sz w:val="16"/>
          <w:lang w:val="en-GB"/>
        </w:rPr>
        <w:t>-</w:t>
      </w:r>
      <w:r w:rsidRPr="007F3583">
        <w:rPr>
          <w:sz w:val="16"/>
          <w:lang w:val="en-GB"/>
        </w:rPr>
        <w:t xml:space="preserve"> UZ121,140,143, 47/13 </w:t>
      </w:r>
      <w:r>
        <w:rPr>
          <w:sz w:val="16"/>
          <w:lang w:val="en-GB"/>
        </w:rPr>
        <w:t>-</w:t>
      </w:r>
      <w:r w:rsidRPr="007F3583">
        <w:rPr>
          <w:sz w:val="16"/>
          <w:lang w:val="en-GB"/>
        </w:rPr>
        <w:t xml:space="preserve"> UZ148, 47/13 </w:t>
      </w:r>
      <w:r>
        <w:rPr>
          <w:sz w:val="16"/>
          <w:lang w:val="en-GB"/>
        </w:rPr>
        <w:t>-</w:t>
      </w:r>
      <w:r w:rsidRPr="007F3583">
        <w:rPr>
          <w:sz w:val="16"/>
          <w:lang w:val="en-GB"/>
        </w:rPr>
        <w:t xml:space="preserve"> UZ90,97,99, 75/16 </w:t>
      </w:r>
      <w:r>
        <w:rPr>
          <w:sz w:val="16"/>
          <w:lang w:val="en-GB"/>
        </w:rPr>
        <w:t>-</w:t>
      </w:r>
      <w:r w:rsidRPr="007F3583">
        <w:rPr>
          <w:sz w:val="16"/>
          <w:lang w:val="en-GB"/>
        </w:rPr>
        <w:t xml:space="preserve"> UZ70a and 92/21 </w:t>
      </w:r>
      <w:r>
        <w:rPr>
          <w:sz w:val="16"/>
          <w:lang w:val="en-GB"/>
        </w:rPr>
        <w:t>-</w:t>
      </w:r>
      <w:r w:rsidRPr="007F3583">
        <w:rPr>
          <w:sz w:val="16"/>
          <w:lang w:val="en-GB"/>
        </w:rPr>
        <w:t xml:space="preserve"> UZ62a). Available at: </w:t>
      </w:r>
      <w:hyperlink r:id="rId28" w:history="1">
        <w:r w:rsidRPr="007F3583">
          <w:rPr>
            <w:rStyle w:val="Hiperpovezava"/>
            <w:sz w:val="16"/>
            <w:lang w:val="en-GB"/>
          </w:rPr>
          <w:t>http://pisrs.si/Pis.web/pregledPredpisa?id=USTA1</w:t>
        </w:r>
      </w:hyperlink>
      <w:r w:rsidRPr="007F3583">
        <w:rPr>
          <w:sz w:val="16"/>
          <w:lang w:val="en-GB"/>
        </w:rPr>
        <w:t>.</w:t>
      </w:r>
    </w:p>
  </w:footnote>
  <w:footnote w:id="31">
    <w:p w14:paraId="61F69A9D"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2022, Ljubljana, 2022. Available at</w:t>
      </w:r>
      <w:r>
        <w:rPr>
          <w:sz w:val="16"/>
          <w:lang w:val="en-GB"/>
        </w:rPr>
        <w:t xml:space="preserve"> </w:t>
      </w:r>
      <w:hyperlink r:id="rId29" w:history="1">
        <w:r w:rsidRPr="00D13CCF">
          <w:rPr>
            <w:rStyle w:val="Hiperpovezava"/>
            <w:sz w:val="16"/>
            <w:lang w:val="en-GB"/>
          </w:rPr>
          <w:t>https://www.umar.gov.si/fileadmin/user_upload/razvoj_slovenije/2022/angleski/Development_Report_2022.pdf</w:t>
        </w:r>
      </w:hyperlink>
    </w:p>
  </w:footnote>
  <w:footnote w:id="32">
    <w:p w14:paraId="4C966EE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Ministry of Economic Development and Technology (2022). Slovenian Tourism Strategy 2022-2028. Available at: </w:t>
      </w:r>
      <w:hyperlink r:id="rId30" w:history="1">
        <w:r w:rsidRPr="007F3583">
          <w:rPr>
            <w:rStyle w:val="Hiperpovezava"/>
            <w:sz w:val="16"/>
            <w:lang w:val="en-GB"/>
          </w:rPr>
          <w:t>https://www.gov.si/assets/ministrstva/MGRT/Dokumenti/DTUR/Nova-strategija-2022-2028/Strategija-slovenskega-turizma-2022-2028-dokument.pdf</w:t>
        </w:r>
      </w:hyperlink>
      <w:r w:rsidRPr="007F3583">
        <w:rPr>
          <w:sz w:val="16"/>
          <w:lang w:val="en-GB"/>
        </w:rPr>
        <w:t xml:space="preserve">. </w:t>
      </w:r>
    </w:p>
  </w:footnote>
  <w:footnote w:id="33">
    <w:p w14:paraId="42293CAE"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Ministry of Infrastructure, National </w:t>
      </w:r>
      <w:r>
        <w:rPr>
          <w:sz w:val="16"/>
          <w:lang w:val="en-GB"/>
        </w:rPr>
        <w:t>S</w:t>
      </w:r>
      <w:r w:rsidRPr="007F3583">
        <w:rPr>
          <w:sz w:val="16"/>
          <w:lang w:val="en-GB"/>
        </w:rPr>
        <w:t>trategy for</w:t>
      </w:r>
      <w:r>
        <w:rPr>
          <w:sz w:val="16"/>
          <w:lang w:val="en-GB"/>
        </w:rPr>
        <w:t xml:space="preserve"> a Coal Exit and R</w:t>
      </w:r>
      <w:r w:rsidRPr="007F3583">
        <w:rPr>
          <w:sz w:val="16"/>
          <w:lang w:val="en-GB"/>
        </w:rPr>
        <w:t xml:space="preserve">estructuring </w:t>
      </w:r>
      <w:r>
        <w:rPr>
          <w:sz w:val="16"/>
          <w:lang w:val="en-GB"/>
        </w:rPr>
        <w:t>of C</w:t>
      </w:r>
      <w:r w:rsidRPr="007F3583">
        <w:rPr>
          <w:sz w:val="16"/>
          <w:lang w:val="en-GB"/>
        </w:rPr>
        <w:t xml:space="preserve">oal </w:t>
      </w:r>
      <w:r>
        <w:rPr>
          <w:sz w:val="16"/>
          <w:lang w:val="en-GB"/>
        </w:rPr>
        <w:t>R</w:t>
      </w:r>
      <w:r w:rsidRPr="007F3583">
        <w:rPr>
          <w:sz w:val="16"/>
          <w:lang w:val="en-GB"/>
        </w:rPr>
        <w:t xml:space="preserve">egions in line with </w:t>
      </w:r>
      <w:r>
        <w:rPr>
          <w:sz w:val="16"/>
          <w:lang w:val="en-GB"/>
        </w:rPr>
        <w:t>J</w:t>
      </w:r>
      <w:r w:rsidRPr="007F3583">
        <w:rPr>
          <w:sz w:val="16"/>
          <w:lang w:val="en-GB"/>
        </w:rPr>
        <w:t xml:space="preserve">ust </w:t>
      </w:r>
      <w:r>
        <w:rPr>
          <w:sz w:val="16"/>
          <w:lang w:val="en-GB"/>
        </w:rPr>
        <w:t>T</w:t>
      </w:r>
      <w:r w:rsidRPr="007F3583">
        <w:rPr>
          <w:sz w:val="16"/>
          <w:lang w:val="en-GB"/>
        </w:rPr>
        <w:t xml:space="preserve">ransition </w:t>
      </w:r>
      <w:r>
        <w:rPr>
          <w:sz w:val="16"/>
          <w:lang w:val="en-GB"/>
        </w:rPr>
        <w:t>P</w:t>
      </w:r>
      <w:r w:rsidRPr="007F3583">
        <w:rPr>
          <w:sz w:val="16"/>
          <w:lang w:val="en-GB"/>
        </w:rPr>
        <w:t xml:space="preserve">rinciples, December 2021. Available at: </w:t>
      </w:r>
      <w:hyperlink r:id="rId31" w:history="1">
        <w:r w:rsidRPr="007F3583">
          <w:rPr>
            <w:rStyle w:val="Hiperpovezava"/>
            <w:sz w:val="16"/>
            <w:lang w:val="en-GB"/>
          </w:rPr>
          <w:t>https://www.energetika-portal.si/fileadmin/dokumenti/publikacije/premog_izhod/strategija_prem_vlada_jan202.pdf</w:t>
        </w:r>
      </w:hyperlink>
      <w:r w:rsidRPr="007F3583">
        <w:rPr>
          <w:sz w:val="16"/>
          <w:lang w:val="en-GB"/>
        </w:rPr>
        <w:t xml:space="preserve">. </w:t>
      </w:r>
    </w:p>
  </w:footnote>
  <w:footnote w:id="34">
    <w:p w14:paraId="4309B1D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Labour market of Zasavje.</w:t>
      </w:r>
    </w:p>
  </w:footnote>
  <w:footnote w:id="35">
    <w:p w14:paraId="65F905C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63</w:t>
      </w:r>
      <w:r>
        <w:rPr>
          <w:sz w:val="16"/>
          <w:lang w:val="en-GB"/>
        </w:rPr>
        <w:t>.</w:t>
      </w:r>
      <w:r w:rsidRPr="007F3583">
        <w:rPr>
          <w:sz w:val="16"/>
          <w:lang w:val="en-GB"/>
        </w:rPr>
        <w:t>1 jobs per 100 people in employment from coal municipalities.</w:t>
      </w:r>
    </w:p>
  </w:footnote>
  <w:footnote w:id="36">
    <w:p w14:paraId="1D60BB94"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Labour market Savin</w:t>
      </w:r>
      <w:r>
        <w:rPr>
          <w:sz w:val="16"/>
          <w:lang w:val="en-GB"/>
        </w:rPr>
        <w:t>jko-š</w:t>
      </w:r>
      <w:r w:rsidRPr="007F3583">
        <w:rPr>
          <w:sz w:val="16"/>
          <w:lang w:val="en-GB"/>
        </w:rPr>
        <w:t>aleška Coal Region.</w:t>
      </w:r>
    </w:p>
  </w:footnote>
  <w:footnote w:id="37">
    <w:p w14:paraId="2308ED64"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The OECD questionnaire; Country Report </w:t>
      </w:r>
      <w:r>
        <w:rPr>
          <w:sz w:val="16"/>
          <w:lang w:val="en-GB"/>
        </w:rPr>
        <w:t>-</w:t>
      </w:r>
      <w:r w:rsidRPr="007F3583">
        <w:rPr>
          <w:sz w:val="16"/>
          <w:lang w:val="en-GB"/>
        </w:rPr>
        <w:t xml:space="preserve"> Slovenia 2019, Annex D</w:t>
      </w:r>
      <w:r w:rsidRPr="007F3583">
        <w:rPr>
          <w:rFonts w:eastAsia="Calibri"/>
          <w:sz w:val="16"/>
          <w:lang w:val="en-GB"/>
        </w:rPr>
        <w:t xml:space="preserve">; stakeholder discussions and the </w:t>
      </w:r>
      <w:r>
        <w:rPr>
          <w:rFonts w:eastAsia="Calibri"/>
          <w:sz w:val="16"/>
          <w:lang w:val="en-GB"/>
        </w:rPr>
        <w:t>Common</w:t>
      </w:r>
      <w:r w:rsidRPr="007F3583">
        <w:rPr>
          <w:rFonts w:eastAsia="Calibri"/>
          <w:sz w:val="16"/>
          <w:lang w:val="en-GB"/>
        </w:rPr>
        <w:t xml:space="preserve"> Assessment Framework in the Public Sector (CAF) </w:t>
      </w:r>
      <w:r>
        <w:rPr>
          <w:rFonts w:eastAsia="Calibri"/>
          <w:sz w:val="16"/>
          <w:lang w:val="en-GB"/>
        </w:rPr>
        <w:t>-</w:t>
      </w:r>
      <w:r w:rsidRPr="007F3583">
        <w:rPr>
          <w:rFonts w:eastAsia="Calibri"/>
          <w:sz w:val="16"/>
          <w:lang w:val="en-GB"/>
        </w:rPr>
        <w:t xml:space="preserve"> a comprehensive quality management tool developed for the public sector based on the business excellence model of the European F</w:t>
      </w:r>
      <w:r>
        <w:rPr>
          <w:rFonts w:eastAsia="Calibri"/>
          <w:sz w:val="16"/>
          <w:lang w:val="en-GB"/>
        </w:rPr>
        <w:t>oundation for</w:t>
      </w:r>
      <w:r w:rsidRPr="007F3583">
        <w:rPr>
          <w:rFonts w:eastAsia="Calibri"/>
          <w:sz w:val="16"/>
          <w:lang w:val="en-GB"/>
        </w:rPr>
        <w:t xml:space="preserve"> Quality Management (EFQM) involving</w:t>
      </w:r>
      <w:r>
        <w:rPr>
          <w:rFonts w:eastAsia="Calibri"/>
          <w:sz w:val="16"/>
          <w:lang w:val="en-GB"/>
        </w:rPr>
        <w:t xml:space="preserve"> the Managing Authority</w:t>
      </w:r>
      <w:r w:rsidRPr="007F3583">
        <w:rPr>
          <w:rFonts w:eastAsia="Calibri"/>
          <w:sz w:val="16"/>
          <w:lang w:val="en-GB"/>
        </w:rPr>
        <w:t xml:space="preserve"> and other intermediate bodies. The results of this model provided key information for the </w:t>
      </w:r>
      <w:r>
        <w:rPr>
          <w:rFonts w:eastAsia="Calibri"/>
          <w:sz w:val="16"/>
          <w:lang w:val="en-GB"/>
        </w:rPr>
        <w:t>measures</w:t>
      </w:r>
      <w:r w:rsidRPr="007F3583">
        <w:rPr>
          <w:rFonts w:eastAsia="Calibri"/>
          <w:sz w:val="16"/>
          <w:lang w:val="en-GB"/>
        </w:rPr>
        <w:t xml:space="preserve"> </w:t>
      </w:r>
      <w:r>
        <w:rPr>
          <w:rFonts w:eastAsia="Calibri"/>
          <w:sz w:val="16"/>
          <w:lang w:val="en-GB"/>
        </w:rPr>
        <w:t xml:space="preserve">of the Plan for the period </w:t>
      </w:r>
      <w:r w:rsidRPr="007F3583">
        <w:rPr>
          <w:rFonts w:eastAsia="Calibri"/>
          <w:sz w:val="16"/>
          <w:lang w:val="en-GB"/>
        </w:rPr>
        <w:t>2021-2027.</w:t>
      </w:r>
    </w:p>
  </w:footnote>
  <w:footnote w:id="38">
    <w:p w14:paraId="2887D9E4"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Country Report -</w:t>
      </w:r>
      <w:r w:rsidRPr="007F3583">
        <w:rPr>
          <w:sz w:val="16"/>
          <w:lang w:val="en-GB"/>
        </w:rPr>
        <w:t xml:space="preserve"> Slovenia 2022 on </w:t>
      </w:r>
      <w:r>
        <w:rPr>
          <w:sz w:val="16"/>
          <w:lang w:val="en-GB"/>
        </w:rPr>
        <w:t xml:space="preserve">the </w:t>
      </w:r>
      <w:r w:rsidRPr="007F3583">
        <w:rPr>
          <w:sz w:val="16"/>
          <w:lang w:val="en-GB"/>
        </w:rPr>
        <w:t>2022 National Reform Programme</w:t>
      </w:r>
      <w:r>
        <w:rPr>
          <w:sz w:val="16"/>
          <w:lang w:val="en-GB"/>
        </w:rPr>
        <w:t xml:space="preserve"> of Slovenia</w:t>
      </w:r>
      <w:r w:rsidRPr="007F3583">
        <w:rPr>
          <w:sz w:val="16"/>
          <w:lang w:val="en-GB"/>
        </w:rPr>
        <w:t xml:space="preserve"> and delivering a Council opinion on the 2022 Stability Programme of Slovenia, Brussels, 23</w:t>
      </w:r>
      <w:r>
        <w:rPr>
          <w:sz w:val="16"/>
          <w:lang w:val="en-GB"/>
        </w:rPr>
        <w:t xml:space="preserve"> May </w:t>
      </w:r>
      <w:r w:rsidRPr="007F3583">
        <w:rPr>
          <w:sz w:val="16"/>
          <w:lang w:val="en-GB"/>
        </w:rPr>
        <w:t xml:space="preserve">2022. Available at </w:t>
      </w:r>
      <w:hyperlink r:id="rId32" w:history="1">
        <w:r w:rsidRPr="00813E46">
          <w:rPr>
            <w:rStyle w:val="Hiperpovezava"/>
            <w:sz w:val="16"/>
            <w:lang w:val="en-GB"/>
          </w:rPr>
          <w:t>https://eur-lex.europa.eu/legal-content/EN/TXT/PDF/?uri=CELEX:52022DC0626&amp;from=EN</w:t>
        </w:r>
      </w:hyperlink>
      <w:r>
        <w:rPr>
          <w:sz w:val="16"/>
          <w:lang w:val="en-GB"/>
        </w:rPr>
        <w:t xml:space="preserve"> </w:t>
      </w:r>
    </w:p>
  </w:footnote>
  <w:footnote w:id="39">
    <w:p w14:paraId="7EBEBB0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7F3583">
        <w:rPr>
          <w:rFonts w:eastAsia="Arial"/>
          <w:color w:val="000000"/>
          <w:sz w:val="16"/>
          <w:lang w:val="en-GB"/>
        </w:rPr>
        <w:t xml:space="preserve">EC, Publications Office of the European Union, European Innovation Scoreboard 2021, Luxembourg, 2021.Access to: </w:t>
      </w:r>
      <w:hyperlink r:id="rId33" w:history="1">
        <w:r w:rsidRPr="007F3583">
          <w:rPr>
            <w:rStyle w:val="Hiperpovezava"/>
            <w:rFonts w:eastAsia="Arial"/>
            <w:sz w:val="16"/>
            <w:lang w:val="en-GB"/>
          </w:rPr>
          <w:t>https://ec.europa.eu/docsroom/documents/45935</w:t>
        </w:r>
      </w:hyperlink>
      <w:r w:rsidRPr="007F3583">
        <w:rPr>
          <w:rFonts w:eastAsia="Arial"/>
          <w:color w:val="000000"/>
          <w:sz w:val="16"/>
          <w:lang w:val="en-GB"/>
        </w:rPr>
        <w:t xml:space="preserve">. </w:t>
      </w:r>
    </w:p>
  </w:footnote>
  <w:footnote w:id="40">
    <w:p w14:paraId="76199BA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EC, Digital Economy</w:t>
      </w:r>
      <w:r>
        <w:rPr>
          <w:sz w:val="16"/>
          <w:lang w:val="en-GB"/>
        </w:rPr>
        <w:t xml:space="preserve"> and Society Index (DESI) 2021 -</w:t>
      </w:r>
      <w:r w:rsidRPr="007F3583">
        <w:rPr>
          <w:sz w:val="16"/>
          <w:lang w:val="en-GB"/>
        </w:rPr>
        <w:t xml:space="preserve"> Slovenia, 2021. Available at: </w:t>
      </w:r>
      <w:hyperlink r:id="rId34" w:history="1">
        <w:r w:rsidRPr="007F3583">
          <w:rPr>
            <w:rStyle w:val="Hiperpovezava"/>
            <w:sz w:val="16"/>
            <w:lang w:val="en-GB"/>
          </w:rPr>
          <w:t>https://ec.europa.eu/newsroom/dae/redirection/document/80600</w:t>
        </w:r>
      </w:hyperlink>
      <w:r w:rsidRPr="007F3583">
        <w:rPr>
          <w:sz w:val="16"/>
          <w:lang w:val="en-GB"/>
        </w:rPr>
        <w:t xml:space="preserve">. </w:t>
      </w:r>
    </w:p>
  </w:footnote>
  <w:footnote w:id="41">
    <w:p w14:paraId="4F7685EE"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35" w:history="1">
        <w:r w:rsidRPr="00813E46">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p>
  </w:footnote>
  <w:footnote w:id="42">
    <w:p w14:paraId="10FCD0F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Global Entrepreneurship Monitor, Unexploited Entrepreneurship Potential, GEM Slovenia 2018, Maribor, May 2019. Available at: </w:t>
      </w:r>
      <w:hyperlink r:id="rId36" w:history="1">
        <w:r w:rsidRPr="007F3583">
          <w:rPr>
            <w:rStyle w:val="Hiperpovezava1"/>
            <w:sz w:val="16"/>
            <w:lang w:val="en-GB"/>
          </w:rPr>
          <w:t>http://ipmmp.um.si/izsel-je-gem-slovenija-2018-neizkoriscen-podjetniski-potencial/</w:t>
        </w:r>
      </w:hyperlink>
      <w:r w:rsidRPr="007F3583">
        <w:rPr>
          <w:rStyle w:val="Hiperpovezava1"/>
          <w:sz w:val="16"/>
          <w:lang w:val="en-GB"/>
        </w:rPr>
        <w:t>.</w:t>
      </w:r>
    </w:p>
  </w:footnote>
  <w:footnote w:id="43">
    <w:p w14:paraId="4DE9042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Global Entrepreneurship Monitor, Entrepreneurship in New Reality, GEM Slovenia 2020, Maribor, May 2021. Available at: </w:t>
      </w:r>
      <w:hyperlink r:id="rId37" w:history="1">
        <w:r w:rsidRPr="007F3583">
          <w:rPr>
            <w:rStyle w:val="Hiperpovezava1"/>
            <w:sz w:val="16"/>
            <w:lang w:val="en-GB"/>
          </w:rPr>
          <w:t>Gem Slovenia: monographs — IPMMP (um.si)</w:t>
        </w:r>
      </w:hyperlink>
      <w:r w:rsidRPr="007F3583">
        <w:rPr>
          <w:rStyle w:val="Hiperpovezava1"/>
          <w:sz w:val="16"/>
          <w:lang w:val="en-GB"/>
        </w:rPr>
        <w:t>.</w:t>
      </w:r>
    </w:p>
  </w:footnote>
  <w:footnote w:id="44">
    <w:p w14:paraId="7F50E1A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38" w:history="1">
        <w:r w:rsidRPr="00813E46">
          <w:rPr>
            <w:rStyle w:val="Hiperpovezava"/>
            <w:sz w:val="16"/>
            <w:lang w:val="en-GB"/>
          </w:rPr>
          <w:t>https://www.umar.gov.si/fileadmin/user_upload/razvoj_slovenije/2021/angleski/POR2021_eng.pdf</w:t>
        </w:r>
      </w:hyperlink>
      <w:r w:rsidRPr="007F3583">
        <w:rPr>
          <w:sz w:val="16"/>
          <w:lang w:val="en-GB"/>
        </w:rPr>
        <w:t>.</w:t>
      </w:r>
    </w:p>
  </w:footnote>
  <w:footnote w:id="45">
    <w:p w14:paraId="5CEE6258" w14:textId="77777777" w:rsidR="006633FB" w:rsidRPr="007F3583" w:rsidRDefault="006633FB" w:rsidP="0051160A">
      <w:pPr>
        <w:pStyle w:val="Sprotnaopomba-besedilo"/>
        <w:jc w:val="both"/>
        <w:rPr>
          <w:lang w:val="en-GB"/>
        </w:rPr>
      </w:pPr>
      <w:r w:rsidRPr="007F3583">
        <w:rPr>
          <w:rStyle w:val="Sprotnaopomba-sklic"/>
          <w:rFonts w:cs="Calibri"/>
          <w:sz w:val="16"/>
          <w:lang w:val="en-GB"/>
        </w:rPr>
        <w:footnoteRef/>
      </w:r>
      <w:r w:rsidRPr="007F3583">
        <w:rPr>
          <w:rFonts w:cs="Calibri"/>
          <w:sz w:val="16"/>
          <w:lang w:val="en-GB"/>
        </w:rPr>
        <w:t xml:space="preserve">EC, Europe’s next leaders: </w:t>
      </w:r>
      <w:r>
        <w:rPr>
          <w:rFonts w:cs="Calibri"/>
          <w:sz w:val="16"/>
          <w:lang w:val="en-GB"/>
        </w:rPr>
        <w:t>the S</w:t>
      </w:r>
      <w:r w:rsidRPr="007F3583">
        <w:rPr>
          <w:rFonts w:cs="Calibri"/>
          <w:sz w:val="16"/>
          <w:lang w:val="en-GB"/>
        </w:rPr>
        <w:t xml:space="preserve">tart-up and </w:t>
      </w:r>
      <w:r>
        <w:rPr>
          <w:rFonts w:cs="Calibri"/>
          <w:sz w:val="16"/>
          <w:lang w:val="en-GB"/>
        </w:rPr>
        <w:t>S</w:t>
      </w:r>
      <w:r w:rsidRPr="007F3583">
        <w:rPr>
          <w:rFonts w:cs="Calibri"/>
          <w:sz w:val="16"/>
          <w:lang w:val="en-GB"/>
        </w:rPr>
        <w:t xml:space="preserve">cale-up initiative, Strasbourg, 2016. Available at: </w:t>
      </w:r>
      <w:hyperlink r:id="rId39" w:history="1">
        <w:r w:rsidRPr="007F3583">
          <w:rPr>
            <w:rStyle w:val="Hiperpovezava1"/>
            <w:rFonts w:cs="Calibri"/>
            <w:sz w:val="16"/>
            <w:lang w:val="en-GB"/>
          </w:rPr>
          <w:t>https://eur-lex.europa.eu/legal-content/SL/TXT/PDF/?uri=CELEX:52016DC0733&amp;from=EN</w:t>
        </w:r>
      </w:hyperlink>
      <w:r w:rsidRPr="007F3583">
        <w:rPr>
          <w:lang w:val="en-GB"/>
        </w:rPr>
        <w:t>.</w:t>
      </w:r>
    </w:p>
  </w:footnote>
  <w:footnote w:id="46">
    <w:p w14:paraId="403FA24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EC, Social enterprises a</w:t>
      </w:r>
      <w:r>
        <w:rPr>
          <w:sz w:val="16"/>
          <w:lang w:val="en-GB"/>
        </w:rPr>
        <w:t xml:space="preserve">nd their ecosystems in Europe - </w:t>
      </w:r>
      <w:r w:rsidRPr="007F3583">
        <w:rPr>
          <w:sz w:val="16"/>
          <w:lang w:val="en-GB"/>
        </w:rPr>
        <w:t xml:space="preserve">country report, Slovenia, Luxembourg, 2019. Available at: </w:t>
      </w:r>
      <w:hyperlink r:id="rId40" w:history="1">
        <w:r w:rsidRPr="007F3583">
          <w:rPr>
            <w:rStyle w:val="Hiperpovezava"/>
            <w:sz w:val="16"/>
            <w:lang w:val="en-GB"/>
          </w:rPr>
          <w:t>https://ec.europa.eu/social/BlobServlet?docId=21575&amp;langId=en</w:t>
        </w:r>
      </w:hyperlink>
      <w:r w:rsidRPr="007F3583">
        <w:rPr>
          <w:sz w:val="16"/>
          <w:lang w:val="en-GB"/>
        </w:rPr>
        <w:t xml:space="preserve">  </w:t>
      </w:r>
    </w:p>
  </w:footnote>
  <w:footnote w:id="47">
    <w:p w14:paraId="6442907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w:t>
      </w:r>
      <w:r>
        <w:rPr>
          <w:sz w:val="16"/>
          <w:lang w:val="en-GB"/>
        </w:rPr>
        <w:t>C</w:t>
      </w:r>
      <w:r w:rsidRPr="007F3583">
        <w:rPr>
          <w:sz w:val="16"/>
          <w:lang w:val="en-GB"/>
        </w:rPr>
        <w:t>,</w:t>
      </w:r>
      <w:r>
        <w:rPr>
          <w:sz w:val="16"/>
          <w:lang w:val="en-GB"/>
        </w:rPr>
        <w:t xml:space="preserve"> I</w:t>
      </w:r>
      <w:r w:rsidRPr="007F3583">
        <w:rPr>
          <w:sz w:val="16"/>
          <w:lang w:val="en-GB"/>
        </w:rPr>
        <w:t xml:space="preserve">ndustrial </w:t>
      </w:r>
      <w:r>
        <w:rPr>
          <w:sz w:val="16"/>
          <w:lang w:val="en-GB"/>
        </w:rPr>
        <w:t>S</w:t>
      </w:r>
      <w:r w:rsidRPr="007F3583">
        <w:rPr>
          <w:sz w:val="16"/>
          <w:lang w:val="en-GB"/>
        </w:rPr>
        <w:t xml:space="preserve">trategy. Available at: </w:t>
      </w:r>
      <w:hyperlink r:id="rId41" w:history="1">
        <w:r w:rsidRPr="007F3583">
          <w:rPr>
            <w:rStyle w:val="Hiperpovezava"/>
            <w:sz w:val="16"/>
            <w:lang w:val="en-GB"/>
          </w:rPr>
          <w:t>https://ec.europa.eu/info/strategy/priorities-2019-2024/europe-fit-digital-age/european-industrial-strategy_en</w:t>
        </w:r>
      </w:hyperlink>
      <w:r w:rsidRPr="007F3583">
        <w:rPr>
          <w:sz w:val="16"/>
          <w:lang w:val="en-GB"/>
        </w:rPr>
        <w:t xml:space="preserve"> </w:t>
      </w:r>
    </w:p>
  </w:footnote>
  <w:footnote w:id="48">
    <w:p w14:paraId="68ACB796" w14:textId="77777777" w:rsidR="006633FB" w:rsidRPr="007F3583" w:rsidRDefault="006633FB" w:rsidP="0051160A">
      <w:pPr>
        <w:pStyle w:val="Sprotnaopomba-besedilo"/>
        <w:spacing w:line="288" w:lineRule="auto"/>
        <w:jc w:val="both"/>
        <w:rPr>
          <w:rFonts w:cs="Calibri"/>
          <w:sz w:val="16"/>
          <w:lang w:val="en-GB"/>
        </w:rPr>
      </w:pPr>
      <w:r w:rsidRPr="007F3583">
        <w:rPr>
          <w:rStyle w:val="Sprotnaopomba-sklic"/>
          <w:rFonts w:cs="Calibri"/>
          <w:sz w:val="16"/>
          <w:lang w:val="en-GB"/>
        </w:rPr>
        <w:footnoteRef/>
      </w:r>
      <w:r w:rsidRPr="007F3583">
        <w:rPr>
          <w:rFonts w:cs="Calibri"/>
          <w:sz w:val="16"/>
          <w:lang w:val="en-GB"/>
        </w:rPr>
        <w:t xml:space="preserve"> UMAR, Development Report 2020, Ljubljana, 2020. Available at</w:t>
      </w:r>
      <w:r>
        <w:rPr>
          <w:rFonts w:cs="Calibri"/>
          <w:sz w:val="16"/>
          <w:lang w:val="en-GB"/>
        </w:rPr>
        <w:t xml:space="preserve">: </w:t>
      </w:r>
      <w:hyperlink r:id="rId42" w:history="1">
        <w:r w:rsidRPr="00813E46">
          <w:rPr>
            <w:rStyle w:val="Hiperpovezava"/>
            <w:rFonts w:cs="Calibri"/>
            <w:sz w:val="16"/>
            <w:lang w:val="en-GB"/>
          </w:rPr>
          <w:t>https://www.umar.gov.si/fileadmin/user_upload/razvoj_slovenije/2020/angleski/Development_report_2020.pdf</w:t>
        </w:r>
      </w:hyperlink>
      <w:r w:rsidRPr="007F3583">
        <w:rPr>
          <w:rFonts w:cs="Calibri"/>
          <w:sz w:val="16"/>
          <w:lang w:val="en-GB"/>
        </w:rPr>
        <w:t>.</w:t>
      </w:r>
      <w:r>
        <w:rPr>
          <w:rFonts w:cs="Calibri"/>
          <w:sz w:val="16"/>
          <w:lang w:val="en-GB"/>
        </w:rPr>
        <w:t xml:space="preserve"> </w:t>
      </w:r>
      <w:r w:rsidRPr="007F3583">
        <w:rPr>
          <w:rFonts w:cs="Calibri"/>
          <w:sz w:val="16"/>
          <w:lang w:val="en-GB"/>
        </w:rPr>
        <w:t xml:space="preserve"> </w:t>
      </w:r>
    </w:p>
  </w:footnote>
  <w:footnote w:id="49">
    <w:p w14:paraId="450BE296" w14:textId="77777777" w:rsidR="006633FB" w:rsidRPr="007F3583" w:rsidRDefault="006633FB" w:rsidP="0051160A">
      <w:pPr>
        <w:pStyle w:val="Sprotnaopomba-besedilo"/>
        <w:spacing w:line="288" w:lineRule="auto"/>
        <w:jc w:val="both"/>
        <w:rPr>
          <w:rFonts w:cs="Calibri"/>
          <w:sz w:val="16"/>
          <w:lang w:val="en-GB"/>
        </w:rPr>
      </w:pPr>
      <w:r w:rsidRPr="007F3583">
        <w:rPr>
          <w:rStyle w:val="Sprotnaopomba-sklic"/>
          <w:rFonts w:cs="Calibri"/>
          <w:sz w:val="16"/>
          <w:lang w:val="en-GB"/>
        </w:rPr>
        <w:footnoteRef/>
      </w:r>
      <w:r w:rsidRPr="007F3583">
        <w:rPr>
          <w:rFonts w:cs="Calibri"/>
          <w:sz w:val="16"/>
          <w:lang w:val="en-GB"/>
        </w:rPr>
        <w:t xml:space="preserve"> ZRSZ, Employment Forecast 2019/11, Ljubljana, 2019. Available at: </w:t>
      </w:r>
      <w:hyperlink r:id="rId43" w:history="1">
        <w:r w:rsidRPr="007F3583">
          <w:rPr>
            <w:rStyle w:val="Hiperpovezava"/>
            <w:rFonts w:cs="Calibri"/>
            <w:sz w:val="16"/>
            <w:lang w:val="en-GB"/>
          </w:rPr>
          <w:t>https://www.ess.gov.si/_files/12836/Porocilo_napovednik_zaposlovanja_2019_II.pdf</w:t>
        </w:r>
      </w:hyperlink>
      <w:r w:rsidRPr="007F3583">
        <w:rPr>
          <w:rFonts w:cs="Calibri"/>
          <w:sz w:val="16"/>
          <w:lang w:val="en-GB"/>
        </w:rPr>
        <w:t>.</w:t>
      </w:r>
    </w:p>
  </w:footnote>
  <w:footnote w:id="50">
    <w:p w14:paraId="74008050" w14:textId="77777777" w:rsidR="006633FB" w:rsidRPr="007F3583" w:rsidRDefault="006633FB" w:rsidP="0051160A">
      <w:pPr>
        <w:pStyle w:val="Sprotnaopomba-besedilo"/>
        <w:spacing w:line="288" w:lineRule="auto"/>
        <w:jc w:val="both"/>
        <w:rPr>
          <w:rFonts w:cs="Calibri"/>
          <w:sz w:val="16"/>
          <w:lang w:val="en-GB"/>
        </w:rPr>
      </w:pPr>
      <w:r w:rsidRPr="007F3583">
        <w:rPr>
          <w:rStyle w:val="Sprotnaopomba-sklic"/>
          <w:rFonts w:cs="Calibri"/>
          <w:sz w:val="16"/>
          <w:lang w:val="en-GB"/>
        </w:rPr>
        <w:footnoteRef/>
      </w:r>
      <w:r w:rsidRPr="007F3583">
        <w:rPr>
          <w:rFonts w:cs="Calibri"/>
          <w:sz w:val="16"/>
          <w:lang w:val="en-GB"/>
        </w:rPr>
        <w:t xml:space="preserve"> UMAR, Development Report 2020, Ljubljana, 2020. Available at</w:t>
      </w:r>
      <w:r>
        <w:rPr>
          <w:rFonts w:cs="Calibri"/>
          <w:sz w:val="16"/>
          <w:lang w:val="en-GB"/>
        </w:rPr>
        <w:t xml:space="preserve">: </w:t>
      </w:r>
      <w:hyperlink r:id="rId44" w:history="1">
        <w:r w:rsidRPr="00813E46">
          <w:rPr>
            <w:rStyle w:val="Hiperpovezava"/>
            <w:rFonts w:cs="Calibri"/>
            <w:sz w:val="16"/>
            <w:lang w:val="en-GB"/>
          </w:rPr>
          <w:t>https://www.umar.gov.si/fileadmin/user_upload/razvoj_slovenije/2020/angleski/Development_report_2020.pdf</w:t>
        </w:r>
      </w:hyperlink>
      <w:r w:rsidRPr="007F3583">
        <w:rPr>
          <w:rFonts w:cs="Calibri"/>
          <w:sz w:val="16"/>
          <w:lang w:val="en-GB"/>
        </w:rPr>
        <w:t>.</w:t>
      </w:r>
    </w:p>
  </w:footnote>
  <w:footnote w:id="51">
    <w:p w14:paraId="52476583" w14:textId="77777777" w:rsidR="006633FB" w:rsidRPr="007F3583" w:rsidRDefault="006633FB" w:rsidP="0051160A">
      <w:pPr>
        <w:pStyle w:val="Sprotnaopomba-besedilo"/>
        <w:spacing w:line="288" w:lineRule="auto"/>
        <w:jc w:val="both"/>
        <w:rPr>
          <w:rFonts w:cs="Calibri"/>
          <w:sz w:val="16"/>
          <w:lang w:val="en-GB"/>
        </w:rPr>
      </w:pPr>
      <w:r w:rsidRPr="007F3583">
        <w:rPr>
          <w:rStyle w:val="Sprotnaopomba-sklic"/>
          <w:rFonts w:cs="Calibri"/>
          <w:sz w:val="16"/>
          <w:lang w:val="en-GB"/>
        </w:rPr>
        <w:footnoteRef/>
      </w:r>
      <w:r w:rsidRPr="007F3583">
        <w:rPr>
          <w:rFonts w:cs="Calibri"/>
          <w:sz w:val="16"/>
          <w:lang w:val="en-GB"/>
        </w:rPr>
        <w:t xml:space="preserve"> EC, Country Report Slovenia 2020, Brussels, February 2020. Available at: </w:t>
      </w:r>
      <w:hyperlink r:id="rId45" w:history="1">
        <w:r w:rsidRPr="007F3583">
          <w:rPr>
            <w:rStyle w:val="Hiperpovezava"/>
            <w:rFonts w:cs="Calibri"/>
            <w:sz w:val="16"/>
            <w:lang w:val="en-GB"/>
          </w:rPr>
          <w:t>https://op.europa.eu/sl/publication-detail/-/publication/6179f7e9-5945-11ea-8b81-01aa75ed71a1</w:t>
        </w:r>
      </w:hyperlink>
      <w:r w:rsidRPr="007F3583">
        <w:rPr>
          <w:rFonts w:cs="Calibri"/>
          <w:sz w:val="16"/>
          <w:lang w:val="en-GB"/>
        </w:rPr>
        <w:t>.</w:t>
      </w:r>
    </w:p>
  </w:footnote>
  <w:footnote w:id="52">
    <w:p w14:paraId="180E3486" w14:textId="77777777" w:rsidR="006633FB" w:rsidRPr="007F3583" w:rsidRDefault="006633FB" w:rsidP="0051160A">
      <w:pPr>
        <w:pStyle w:val="Sprotnaopomba-besedilo"/>
        <w:spacing w:line="288" w:lineRule="auto"/>
        <w:jc w:val="both"/>
        <w:rPr>
          <w:rFonts w:cs="Calibri"/>
          <w:sz w:val="16"/>
          <w:lang w:val="en-GB"/>
        </w:rPr>
      </w:pPr>
      <w:r w:rsidRPr="007F3583">
        <w:rPr>
          <w:rStyle w:val="Sprotnaopomba-sklic"/>
          <w:rFonts w:cs="Calibri"/>
          <w:sz w:val="16"/>
          <w:lang w:val="en-GB"/>
        </w:rPr>
        <w:footnoteRef/>
      </w:r>
      <w:r w:rsidRPr="007F3583">
        <w:rPr>
          <w:rFonts w:cs="Calibri"/>
          <w:sz w:val="16"/>
          <w:lang w:val="en-GB"/>
        </w:rPr>
        <w:t xml:space="preserve"> EC, Country Report Slovenia 2019, Brussels, February 2019. Available at: </w:t>
      </w:r>
      <w:hyperlink r:id="rId46" w:history="1">
        <w:r w:rsidRPr="007F3583">
          <w:rPr>
            <w:rStyle w:val="Hiperpovezava"/>
            <w:rFonts w:cs="Calibri"/>
            <w:sz w:val="16"/>
            <w:lang w:val="en-GB"/>
          </w:rPr>
          <w:t>https://ec.europa.eu/info/sites/default/files/file_import/2019-european-semester-country-report-slovenia_sl.pdf</w:t>
        </w:r>
      </w:hyperlink>
      <w:r w:rsidRPr="007F3583">
        <w:rPr>
          <w:rFonts w:cs="Calibri"/>
          <w:sz w:val="16"/>
          <w:lang w:val="en-GB"/>
        </w:rPr>
        <w:t>.</w:t>
      </w:r>
    </w:p>
  </w:footnote>
  <w:footnote w:id="53">
    <w:p w14:paraId="7401BBAA" w14:textId="77777777" w:rsidR="006633FB" w:rsidRPr="007F3583" w:rsidRDefault="006633FB" w:rsidP="008B0C4C">
      <w:pPr>
        <w:pStyle w:val="Sprotnaopomba-besedilo"/>
        <w:jc w:val="both"/>
        <w:rPr>
          <w:sz w:val="16"/>
          <w:lang w:val="en-GB"/>
        </w:rPr>
      </w:pPr>
      <w:r w:rsidRPr="007F3583">
        <w:rPr>
          <w:rStyle w:val="Sprotnaopomba-sklic"/>
          <w:sz w:val="16"/>
          <w:lang w:val="en-GB"/>
        </w:rPr>
        <w:footnoteRef/>
      </w:r>
      <w:r>
        <w:rPr>
          <w:sz w:val="16"/>
          <w:lang w:val="en-GB"/>
        </w:rPr>
        <w:t xml:space="preserve"> Additional information is available</w:t>
      </w:r>
      <w:r w:rsidRPr="007F3583">
        <w:rPr>
          <w:sz w:val="16"/>
          <w:lang w:val="en-GB"/>
        </w:rPr>
        <w:t xml:space="preserve"> at: </w:t>
      </w:r>
      <w:hyperlink r:id="rId47" w:anchor="Objectives" w:history="1">
        <w:r w:rsidRPr="007F3583">
          <w:rPr>
            <w:rStyle w:val="Hiperpovezava"/>
            <w:sz w:val="16"/>
            <w:lang w:val="en-GB"/>
          </w:rPr>
          <w:t>https://digital-strategy.ec.europa.eu/en/library/connectivity-european-gigabit-society-brochure#Objectives</w:t>
        </w:r>
      </w:hyperlink>
      <w:r w:rsidRPr="007F3583">
        <w:rPr>
          <w:sz w:val="16"/>
          <w:lang w:val="en-GB"/>
        </w:rPr>
        <w:t>.</w:t>
      </w:r>
    </w:p>
  </w:footnote>
  <w:footnote w:id="54">
    <w:p w14:paraId="0189517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EC, </w:t>
      </w:r>
      <w:r>
        <w:rPr>
          <w:sz w:val="16"/>
          <w:lang w:val="en-GB"/>
        </w:rPr>
        <w:t xml:space="preserve">2030 </w:t>
      </w:r>
      <w:r w:rsidRPr="007F3583">
        <w:rPr>
          <w:sz w:val="16"/>
          <w:lang w:val="en-GB"/>
        </w:rPr>
        <w:t xml:space="preserve">Digital Compass: </w:t>
      </w:r>
      <w:r>
        <w:rPr>
          <w:sz w:val="16"/>
          <w:lang w:val="en-GB"/>
        </w:rPr>
        <w:t xml:space="preserve">the </w:t>
      </w:r>
      <w:r w:rsidRPr="007F3583">
        <w:rPr>
          <w:sz w:val="16"/>
          <w:lang w:val="en-GB"/>
        </w:rPr>
        <w:t xml:space="preserve">European </w:t>
      </w:r>
      <w:r>
        <w:rPr>
          <w:sz w:val="16"/>
          <w:lang w:val="en-GB"/>
        </w:rPr>
        <w:t>way</w:t>
      </w:r>
      <w:r w:rsidRPr="007F3583">
        <w:rPr>
          <w:sz w:val="16"/>
          <w:lang w:val="en-GB"/>
        </w:rPr>
        <w:t xml:space="preserve"> </w:t>
      </w:r>
      <w:r>
        <w:rPr>
          <w:sz w:val="16"/>
          <w:lang w:val="en-GB"/>
        </w:rPr>
        <w:t>for</w:t>
      </w:r>
      <w:r w:rsidRPr="007F3583">
        <w:rPr>
          <w:sz w:val="16"/>
          <w:lang w:val="en-GB"/>
        </w:rPr>
        <w:t xml:space="preserve"> the Digital Decade, EC, March 2021. Available at: </w:t>
      </w:r>
      <w:hyperlink r:id="rId48" w:history="1">
        <w:r w:rsidRPr="007F3583">
          <w:rPr>
            <w:rStyle w:val="Hiperpovezava"/>
            <w:sz w:val="16"/>
            <w:lang w:val="en-GB"/>
          </w:rPr>
          <w:t>https://eur-lex.europa.eu/legal-content/sl/TXT/?uri=CELEX%3A52021DC0118</w:t>
        </w:r>
      </w:hyperlink>
      <w:r w:rsidRPr="007F3583">
        <w:rPr>
          <w:sz w:val="16"/>
          <w:lang w:val="en-GB"/>
        </w:rPr>
        <w:t xml:space="preserve">. </w:t>
      </w:r>
    </w:p>
  </w:footnote>
  <w:footnote w:id="55">
    <w:p w14:paraId="0C05DFBA"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The draft Gigabit Infrastructure Development Plan for 2030 is available at: </w:t>
      </w:r>
      <w:hyperlink r:id="rId49" w:history="1">
        <w:r w:rsidRPr="007F3583">
          <w:rPr>
            <w:rStyle w:val="Hiperpovezava"/>
            <w:sz w:val="16"/>
            <w:lang w:val="en-GB"/>
          </w:rPr>
          <w:t>https://www.gov.si/assets/vladne-sluzbe/SDP/Dokumenti/Osnutek-nacrta-razvoja-gigabitne-infrastrukture-do-leta-2030</w:t>
        </w:r>
      </w:hyperlink>
      <w:r w:rsidRPr="007F3583">
        <w:rPr>
          <w:sz w:val="16"/>
          <w:lang w:val="en-GB"/>
        </w:rPr>
        <w:t xml:space="preserve">. </w:t>
      </w:r>
    </w:p>
  </w:footnote>
  <w:footnote w:id="56">
    <w:p w14:paraId="5864923A"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EC, Digital Economy</w:t>
      </w:r>
      <w:r>
        <w:rPr>
          <w:sz w:val="16"/>
          <w:lang w:val="en-GB"/>
        </w:rPr>
        <w:t xml:space="preserve"> and Society Index (DESI) 2021 -</w:t>
      </w:r>
      <w:r w:rsidRPr="007F3583">
        <w:rPr>
          <w:sz w:val="16"/>
          <w:lang w:val="en-GB"/>
        </w:rPr>
        <w:t xml:space="preserve"> Slovenia, 2021. Available at: </w:t>
      </w:r>
      <w:hyperlink r:id="rId50" w:history="1">
        <w:r w:rsidRPr="007F3583">
          <w:rPr>
            <w:rStyle w:val="Hiperpovezava"/>
            <w:sz w:val="16"/>
            <w:lang w:val="en-GB"/>
          </w:rPr>
          <w:t>https://ec.europa.eu/newsroom/dae/redirection/document/80600</w:t>
        </w:r>
      </w:hyperlink>
      <w:r w:rsidRPr="007F3583">
        <w:rPr>
          <w:sz w:val="16"/>
          <w:lang w:val="en-GB"/>
        </w:rPr>
        <w:t>.</w:t>
      </w:r>
    </w:p>
  </w:footnote>
  <w:footnote w:id="57">
    <w:p w14:paraId="254A8E2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Statistical Office of the Republic of Slovenia</w:t>
      </w:r>
      <w:r w:rsidRPr="007F3583">
        <w:rPr>
          <w:sz w:val="16"/>
          <w:lang w:val="en-GB"/>
        </w:rPr>
        <w:t xml:space="preserve">, population by settlement, 1. </w:t>
      </w:r>
      <w:r>
        <w:rPr>
          <w:sz w:val="16"/>
          <w:lang w:val="en-GB"/>
        </w:rPr>
        <w:t>January</w:t>
      </w:r>
      <w:r w:rsidRPr="007F3583">
        <w:rPr>
          <w:sz w:val="16"/>
          <w:lang w:val="en-GB"/>
        </w:rPr>
        <w:t xml:space="preserve"> 2021. Available at: </w:t>
      </w:r>
      <w:hyperlink r:id="rId51" w:history="1">
        <w:r w:rsidRPr="007F3583">
          <w:rPr>
            <w:rStyle w:val="Hiperpovezava"/>
            <w:sz w:val="16"/>
            <w:lang w:val="en-GB"/>
          </w:rPr>
          <w:t>https://www.stat.si/StatWeb/News/Index/9578</w:t>
        </w:r>
      </w:hyperlink>
      <w:r w:rsidRPr="007F3583">
        <w:rPr>
          <w:sz w:val="16"/>
          <w:lang w:val="en-GB"/>
        </w:rPr>
        <w:t xml:space="preserve">. </w:t>
      </w:r>
    </w:p>
  </w:footnote>
  <w:footnote w:id="58">
    <w:p w14:paraId="383B5C0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52" w:history="1">
        <w:r w:rsidRPr="00813E46">
          <w:rPr>
            <w:rStyle w:val="Hiperpovezava"/>
            <w:sz w:val="16"/>
            <w:lang w:val="en-GB"/>
          </w:rPr>
          <w:t>https://www.umar.gov.si/fileadmin/user_upload/razvoj_slovenije/2021/angleski/POR2021_eng.pdf</w:t>
        </w:r>
      </w:hyperlink>
      <w:r w:rsidRPr="007F3583">
        <w:rPr>
          <w:sz w:val="16"/>
          <w:lang w:val="en-GB"/>
        </w:rPr>
        <w:t>.</w:t>
      </w:r>
    </w:p>
  </w:footnote>
  <w:footnote w:id="59">
    <w:p w14:paraId="58477DA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Long-term Energy Renovation Strategy 2050 (</w:t>
      </w:r>
      <w:r w:rsidRPr="00E6138C">
        <w:rPr>
          <w:sz w:val="16"/>
          <w:lang w:val="en-GB"/>
        </w:rPr>
        <w:t>DSEPS</w:t>
      </w:r>
      <w:r w:rsidRPr="007F3583">
        <w:rPr>
          <w:sz w:val="16"/>
          <w:lang w:val="en-GB"/>
        </w:rPr>
        <w:t xml:space="preserve">), Ljubljana, February 2021. Available at: </w:t>
      </w:r>
      <w:hyperlink r:id="rId53" w:history="1">
        <w:r w:rsidRPr="007F3583">
          <w:rPr>
            <w:rStyle w:val="Hiperpovezava"/>
            <w:sz w:val="16"/>
            <w:lang w:val="en-GB"/>
          </w:rPr>
          <w:t>https://www.energetika-portal.si/fileadmin/dokumenti/publikacije/dseps/dseps_2050_final.pdf</w:t>
        </w:r>
      </w:hyperlink>
      <w:r w:rsidRPr="007F3583">
        <w:rPr>
          <w:sz w:val="16"/>
          <w:lang w:val="en-GB"/>
        </w:rPr>
        <w:t>.</w:t>
      </w:r>
    </w:p>
  </w:footnote>
  <w:footnote w:id="60">
    <w:p w14:paraId="49AC06B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2020, Ljubljana, 2020. Available at</w:t>
      </w:r>
      <w:r>
        <w:rPr>
          <w:sz w:val="16"/>
          <w:lang w:val="en-GB"/>
        </w:rPr>
        <w:t xml:space="preserve">: </w:t>
      </w:r>
      <w:hyperlink r:id="rId54" w:history="1">
        <w:r w:rsidRPr="00813E46">
          <w:rPr>
            <w:rStyle w:val="Hiperpovezava"/>
            <w:sz w:val="16"/>
            <w:lang w:val="en-GB"/>
          </w:rPr>
          <w:t>https://www.umar.gov.si/fileadmin/user_upload/razvoj_slovenije/2020/angleski/Development_report_2020.pdf</w:t>
        </w:r>
      </w:hyperlink>
      <w:r w:rsidRPr="007F3583">
        <w:rPr>
          <w:sz w:val="16"/>
          <w:lang w:val="en-GB"/>
        </w:rPr>
        <w:t>.</w:t>
      </w:r>
    </w:p>
  </w:footnote>
  <w:footnote w:id="61">
    <w:p w14:paraId="678BA52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55" w:history="1">
        <w:r w:rsidRPr="00813E46">
          <w:rPr>
            <w:rStyle w:val="Hiperpovezava"/>
            <w:sz w:val="16"/>
            <w:lang w:val="en-GB"/>
          </w:rPr>
          <w:t>https://www.umar.gov.si/fileadmin/user_upload/razvoj_slovenije/2021/angleski/POR2021_eng.pdf</w:t>
        </w:r>
      </w:hyperlink>
      <w:r w:rsidRPr="007F3583">
        <w:rPr>
          <w:sz w:val="16"/>
          <w:lang w:val="en-GB"/>
        </w:rPr>
        <w:t>.</w:t>
      </w:r>
    </w:p>
  </w:footnote>
  <w:footnote w:id="62">
    <w:p w14:paraId="734AB15C"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The Administration of the Republic of Slovenia for </w:t>
      </w:r>
      <w:r>
        <w:rPr>
          <w:sz w:val="16"/>
          <w:lang w:val="en-GB"/>
        </w:rPr>
        <w:t xml:space="preserve">Civil </w:t>
      </w:r>
      <w:r w:rsidRPr="007F3583">
        <w:rPr>
          <w:sz w:val="16"/>
          <w:lang w:val="en-GB"/>
        </w:rPr>
        <w:t xml:space="preserve">Protection and </w:t>
      </w:r>
      <w:r>
        <w:rPr>
          <w:sz w:val="16"/>
          <w:lang w:val="en-GB"/>
        </w:rPr>
        <w:t>Disaster Relief</w:t>
      </w:r>
      <w:r w:rsidRPr="007F3583">
        <w:rPr>
          <w:sz w:val="16"/>
          <w:lang w:val="en-GB"/>
        </w:rPr>
        <w:t xml:space="preserve">, available at </w:t>
      </w:r>
      <w:hyperlink r:id="rId56" w:history="1">
        <w:r w:rsidRPr="007F3583">
          <w:rPr>
            <w:rStyle w:val="Hiperpovezava"/>
            <w:sz w:val="16"/>
            <w:lang w:val="en-GB"/>
          </w:rPr>
          <w:t>http://www.sos112.si/slo/page.php?src=os7412.htm</w:t>
        </w:r>
      </w:hyperlink>
      <w:r w:rsidRPr="007F3583">
        <w:rPr>
          <w:sz w:val="16"/>
          <w:lang w:val="en-GB"/>
        </w:rPr>
        <w:t>.</w:t>
      </w:r>
    </w:p>
  </w:footnote>
  <w:footnote w:id="63">
    <w:p w14:paraId="1383167A"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sz w:val="16"/>
          <w:lang w:val="en-GB"/>
        </w:rPr>
        <w:t xml:space="preserve"> Ministry of Defence of the Republic of Slovenia, Proposal for content in the field of protection, rescue and assistance </w:t>
      </w:r>
      <w:r>
        <w:rPr>
          <w:sz w:val="16"/>
          <w:lang w:val="en-GB"/>
        </w:rPr>
        <w:t>to be</w:t>
      </w:r>
      <w:r w:rsidRPr="007F3583">
        <w:rPr>
          <w:sz w:val="16"/>
          <w:lang w:val="en-GB"/>
        </w:rPr>
        <w:t xml:space="preserve"> incl</w:t>
      </w:r>
      <w:r>
        <w:rPr>
          <w:sz w:val="16"/>
          <w:lang w:val="en-GB"/>
        </w:rPr>
        <w:t>uded</w:t>
      </w:r>
      <w:r w:rsidRPr="007F3583">
        <w:rPr>
          <w:sz w:val="16"/>
          <w:lang w:val="en-GB"/>
        </w:rPr>
        <w:t xml:space="preserve"> in the ECP 2014-2020, MFF 2021-2027 and NG EU No 024-8/2020-10 of 13</w:t>
      </w:r>
      <w:r>
        <w:rPr>
          <w:sz w:val="16"/>
          <w:lang w:val="en-GB"/>
        </w:rPr>
        <w:t xml:space="preserve"> August</w:t>
      </w:r>
      <w:r w:rsidRPr="007F3583">
        <w:rPr>
          <w:sz w:val="16"/>
          <w:lang w:val="en-GB"/>
        </w:rPr>
        <w:t xml:space="preserve"> 2020, available at </w:t>
      </w:r>
      <w:hyperlink r:id="rId57" w:history="1">
        <w:r w:rsidRPr="007F3583">
          <w:rPr>
            <w:rStyle w:val="Hiperpovezava"/>
            <w:sz w:val="16"/>
            <w:lang w:val="en-GB"/>
          </w:rPr>
          <w:t>https://www.gov.si/novice/2020-08-25-ministrstvo-za-obrambo-bo-za-podrocje-zascite-in-resevanja-poskusalo-pridobiti-evropska-sredstva/</w:t>
        </w:r>
      </w:hyperlink>
      <w:r w:rsidRPr="007F3583">
        <w:rPr>
          <w:sz w:val="16"/>
          <w:lang w:val="en-GB"/>
        </w:rPr>
        <w:t>.</w:t>
      </w:r>
    </w:p>
  </w:footnote>
  <w:footnote w:id="64">
    <w:p w14:paraId="27020A22"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 xml:space="preserve">National </w:t>
      </w:r>
      <w:r w:rsidRPr="007F3583">
        <w:rPr>
          <w:sz w:val="16"/>
          <w:lang w:val="en-GB"/>
        </w:rPr>
        <w:t>Disaster Risk Assessment (No 84000-3/2018/3 of 6</w:t>
      </w:r>
      <w:r>
        <w:rPr>
          <w:sz w:val="16"/>
          <w:lang w:val="en-GB"/>
        </w:rPr>
        <w:t xml:space="preserve"> December</w:t>
      </w:r>
      <w:r w:rsidRPr="007F3583">
        <w:rPr>
          <w:sz w:val="16"/>
          <w:lang w:val="en-GB"/>
        </w:rPr>
        <w:t xml:space="preserve"> 2018), Version 2.0. Available at: </w:t>
      </w:r>
      <w:hyperlink r:id="rId58" w:history="1">
        <w:r w:rsidRPr="007F3583">
          <w:rPr>
            <w:rStyle w:val="Hiperpovezava"/>
            <w:sz w:val="16"/>
            <w:lang w:val="en-GB"/>
          </w:rPr>
          <w:t>https://www.gov.si/assets/organi-v-sestavi/URSZR/Datoteke/Ocene-tveganja-za-nesrece/drzavna-ocena-tveganj-za-nesrece-2.0_2018_za-splet.pdf</w:t>
        </w:r>
      </w:hyperlink>
      <w:r w:rsidRPr="007F3583">
        <w:rPr>
          <w:sz w:val="16"/>
          <w:lang w:val="en-GB"/>
        </w:rPr>
        <w:t>.</w:t>
      </w:r>
    </w:p>
  </w:footnote>
  <w:footnote w:id="65">
    <w:p w14:paraId="144B7C97"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National </w:t>
      </w:r>
      <w:r w:rsidRPr="007F3583">
        <w:rPr>
          <w:sz w:val="16"/>
          <w:lang w:val="en-GB"/>
        </w:rPr>
        <w:t>Disaster Risk Assessment (No 84000-3/2018/3 of 6</w:t>
      </w:r>
      <w:r>
        <w:rPr>
          <w:sz w:val="16"/>
          <w:lang w:val="en-GB"/>
        </w:rPr>
        <w:t xml:space="preserve"> December </w:t>
      </w:r>
      <w:r w:rsidRPr="007F3583">
        <w:rPr>
          <w:sz w:val="16"/>
          <w:lang w:val="en-GB"/>
        </w:rPr>
        <w:t xml:space="preserve">12. 2018), Version 2.0. Available at: </w:t>
      </w:r>
      <w:hyperlink r:id="rId59" w:history="1">
        <w:r w:rsidRPr="007F3583">
          <w:rPr>
            <w:rStyle w:val="Hiperpovezava"/>
            <w:sz w:val="16"/>
            <w:lang w:val="en-GB"/>
          </w:rPr>
          <w:t>https://www.gov.si/assets/organi-v-sestavi/URSZR/Datoteke/Ocene-tveganja-za-nesrece/drzavna-ocena-tveganj-za-nesrece-2.0_2018_za-splet.pdf</w:t>
        </w:r>
      </w:hyperlink>
      <w:r w:rsidRPr="007F3583">
        <w:rPr>
          <w:sz w:val="16"/>
          <w:lang w:val="en-GB"/>
        </w:rPr>
        <w:t>.</w:t>
      </w:r>
    </w:p>
  </w:footnote>
  <w:footnote w:id="66">
    <w:p w14:paraId="2EF7763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Government of the Republic of Slovenia, Operational Programme for Urban Waste</w:t>
      </w:r>
      <w:r>
        <w:rPr>
          <w:sz w:val="16"/>
          <w:lang w:val="en-GB"/>
        </w:rPr>
        <w:t>w</w:t>
      </w:r>
      <w:r w:rsidRPr="007F3583">
        <w:rPr>
          <w:sz w:val="16"/>
          <w:lang w:val="en-GB"/>
        </w:rPr>
        <w:t xml:space="preserve">ater Treatment, 2020. Available at: </w:t>
      </w:r>
      <w:hyperlink r:id="rId60" w:history="1">
        <w:r w:rsidRPr="007F3583">
          <w:rPr>
            <w:rStyle w:val="Hiperpovezava"/>
            <w:sz w:val="16"/>
            <w:lang w:val="en-GB"/>
          </w:rPr>
          <w:t>https://www.gov.si/assets/ministrstva/MOP/Dokumenti/Voda/Odvajanje_ciscenje_komunalne_vode/op_odvajanje_ciscenje_komunalne_vode_2020.docx</w:t>
        </w:r>
      </w:hyperlink>
      <w:r w:rsidRPr="007F3583">
        <w:rPr>
          <w:sz w:val="16"/>
          <w:lang w:val="en-GB"/>
        </w:rPr>
        <w:t>.</w:t>
      </w:r>
    </w:p>
  </w:footnote>
  <w:footnote w:id="67">
    <w:p w14:paraId="667EC8C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Decree on the dischar</w:t>
      </w:r>
      <w:r>
        <w:rPr>
          <w:sz w:val="16"/>
          <w:lang w:val="en-GB"/>
        </w:rPr>
        <w:t>ge and treatment of urban waste</w:t>
      </w:r>
      <w:r w:rsidRPr="007F3583">
        <w:rPr>
          <w:sz w:val="16"/>
          <w:lang w:val="en-GB"/>
        </w:rPr>
        <w:t>water (</w:t>
      </w:r>
      <w:r>
        <w:rPr>
          <w:sz w:val="16"/>
          <w:lang w:val="en-GB"/>
        </w:rPr>
        <w:t xml:space="preserve">Official Gazette of the </w:t>
      </w:r>
      <w:r w:rsidRPr="007F3583">
        <w:rPr>
          <w:sz w:val="16"/>
          <w:lang w:val="en-GB"/>
        </w:rPr>
        <w:t xml:space="preserve">RS Nos 98/15, 76/17, 81/19, 194/21 and 44/22 — ZVO-2). Available at: </w:t>
      </w:r>
      <w:hyperlink r:id="rId61" w:history="1">
        <w:r w:rsidRPr="007F3583">
          <w:rPr>
            <w:rStyle w:val="Hiperpovezava"/>
            <w:sz w:val="16"/>
            <w:lang w:val="en-GB"/>
          </w:rPr>
          <w:t>http://www.pisrs.si/Pis.web/pregledPredpisa?id=URED6951</w:t>
        </w:r>
      </w:hyperlink>
      <w:r w:rsidRPr="007F3583">
        <w:rPr>
          <w:sz w:val="16"/>
          <w:lang w:val="en-GB"/>
        </w:rPr>
        <w:t xml:space="preserve">. </w:t>
      </w:r>
    </w:p>
  </w:footnote>
  <w:footnote w:id="68">
    <w:p w14:paraId="28E9B8B0" w14:textId="77777777" w:rsidR="006633FB" w:rsidRPr="007F3583" w:rsidRDefault="006633FB" w:rsidP="0051160A">
      <w:pPr>
        <w:pStyle w:val="Sprotnaopomba-besedilo"/>
        <w:jc w:val="both"/>
        <w:rPr>
          <w:lang w:val="en-GB"/>
        </w:rPr>
      </w:pPr>
      <w:r w:rsidRPr="007F3583">
        <w:rPr>
          <w:rStyle w:val="Sprotnaopomba-sklic"/>
          <w:lang w:val="en-GB"/>
        </w:rPr>
        <w:footnoteRef/>
      </w:r>
      <w:r w:rsidRPr="007F3583">
        <w:rPr>
          <w:lang w:val="en-GB"/>
        </w:rPr>
        <w:t xml:space="preserve"> </w:t>
      </w:r>
      <w:r w:rsidRPr="007F3583">
        <w:rPr>
          <w:sz w:val="16"/>
          <w:lang w:val="en-GB"/>
        </w:rPr>
        <w:t>Ministry of the Environment and Spatial Planning, Operational Programme for Drinking Water Supply for</w:t>
      </w:r>
      <w:r>
        <w:rPr>
          <w:sz w:val="16"/>
          <w:lang w:val="en-GB"/>
        </w:rPr>
        <w:t xml:space="preserve"> the period</w:t>
      </w:r>
      <w:r w:rsidRPr="007F3583">
        <w:rPr>
          <w:sz w:val="16"/>
          <w:lang w:val="en-GB"/>
        </w:rPr>
        <w:t xml:space="preserve"> 2022</w:t>
      </w:r>
      <w:r>
        <w:rPr>
          <w:sz w:val="16"/>
          <w:lang w:val="en-GB"/>
        </w:rPr>
        <w:t>-</w:t>
      </w:r>
      <w:r w:rsidRPr="007F3583">
        <w:rPr>
          <w:sz w:val="16"/>
          <w:lang w:val="en-GB"/>
        </w:rPr>
        <w:t>2027, adopted by the Government of the Republic of Slovenia on 21</w:t>
      </w:r>
      <w:r>
        <w:rPr>
          <w:sz w:val="16"/>
          <w:lang w:val="en-GB"/>
        </w:rPr>
        <w:t xml:space="preserve"> April</w:t>
      </w:r>
      <w:r w:rsidRPr="007F3583">
        <w:rPr>
          <w:sz w:val="16"/>
          <w:lang w:val="en-GB"/>
        </w:rPr>
        <w:t xml:space="preserve"> 2022, Ljubljana. Available at: </w:t>
      </w:r>
      <w:hyperlink r:id="rId62" w:history="1">
        <w:r w:rsidRPr="007F3583">
          <w:rPr>
            <w:rStyle w:val="Hiperpovezava"/>
            <w:sz w:val="16"/>
            <w:lang w:val="en-GB"/>
          </w:rPr>
          <w:t>https://www.gov.si/teme/javna-sluzba-oskrbe-s-pitno-vodo/</w:t>
        </w:r>
      </w:hyperlink>
      <w:r w:rsidRPr="007F3583">
        <w:rPr>
          <w:sz w:val="16"/>
          <w:lang w:val="en-GB"/>
        </w:rPr>
        <w:t>.</w:t>
      </w:r>
    </w:p>
  </w:footnote>
  <w:footnote w:id="69">
    <w:p w14:paraId="295F0078"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Statistical Office of the Republic of Slovenia, Public Water Supply, 2021. Available at: </w:t>
      </w:r>
      <w:hyperlink r:id="rId63" w:history="1">
        <w:r w:rsidRPr="007F3583">
          <w:rPr>
            <w:rStyle w:val="Hiperpovezava"/>
            <w:sz w:val="16"/>
            <w:lang w:val="en-GB"/>
          </w:rPr>
          <w:t>https://www.stat.si/StatWeb/news/Index/9877</w:t>
        </w:r>
      </w:hyperlink>
      <w:r w:rsidRPr="007F3583">
        <w:rPr>
          <w:sz w:val="16"/>
          <w:lang w:val="en-GB"/>
        </w:rPr>
        <w:t>.</w:t>
      </w:r>
    </w:p>
  </w:footnote>
  <w:footnote w:id="70">
    <w:p w14:paraId="3CA1CED7"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Flash Eurobarometer 456, SMEs, Resource Efficiency and Green Markets, September 2017.</w:t>
      </w:r>
    </w:p>
  </w:footnote>
  <w:footnote w:id="71">
    <w:p w14:paraId="2688E06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Government of the Republic of Slovenia, Natura 2000 Management Programme (2015-2020), April 2015. Available at: </w:t>
      </w:r>
      <w:hyperlink r:id="rId64" w:history="1">
        <w:r w:rsidRPr="007F3583">
          <w:rPr>
            <w:rStyle w:val="Hiperpovezava"/>
            <w:sz w:val="16"/>
            <w:lang w:val="en-GB"/>
          </w:rPr>
          <w:t>http://www.natura2000.si/fileadmin/user_upload/Dokumenti/Life_Upravljanje/PUN__ProgramNatura.pdf</w:t>
        </w:r>
      </w:hyperlink>
      <w:r w:rsidRPr="007F3583">
        <w:rPr>
          <w:sz w:val="16"/>
          <w:lang w:val="en-GB"/>
        </w:rPr>
        <w:t xml:space="preserve">. </w:t>
      </w:r>
    </w:p>
  </w:footnote>
  <w:footnote w:id="72">
    <w:p w14:paraId="6C14ADA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The Natura 2000 M</w:t>
      </w:r>
      <w:r w:rsidRPr="007F3583">
        <w:rPr>
          <w:sz w:val="16"/>
          <w:lang w:val="en-GB"/>
        </w:rPr>
        <w:t xml:space="preserve">anagement </w:t>
      </w:r>
      <w:r>
        <w:rPr>
          <w:sz w:val="16"/>
          <w:lang w:val="en-GB"/>
        </w:rPr>
        <w:t>P</w:t>
      </w:r>
      <w:r w:rsidRPr="007F3583">
        <w:rPr>
          <w:sz w:val="16"/>
          <w:lang w:val="en-GB"/>
        </w:rPr>
        <w:t xml:space="preserve">rogramme for 2022-2028 is </w:t>
      </w:r>
      <w:r>
        <w:rPr>
          <w:sz w:val="16"/>
          <w:lang w:val="en-GB"/>
        </w:rPr>
        <w:t>being</w:t>
      </w:r>
      <w:r w:rsidRPr="007F3583">
        <w:rPr>
          <w:sz w:val="16"/>
          <w:lang w:val="en-GB"/>
        </w:rPr>
        <w:t xml:space="preserve"> prepar</w:t>
      </w:r>
      <w:r>
        <w:rPr>
          <w:sz w:val="16"/>
          <w:lang w:val="en-GB"/>
        </w:rPr>
        <w:t xml:space="preserve">ed </w:t>
      </w:r>
      <w:r w:rsidRPr="007F3583">
        <w:rPr>
          <w:sz w:val="16"/>
          <w:lang w:val="en-GB"/>
        </w:rPr>
        <w:t xml:space="preserve">within the framework of the integrated Life project Natura.si. </w:t>
      </w:r>
      <w:r>
        <w:rPr>
          <w:sz w:val="16"/>
          <w:lang w:val="en-GB"/>
        </w:rPr>
        <w:t>Adoption</w:t>
      </w:r>
      <w:r w:rsidRPr="007F3583">
        <w:rPr>
          <w:sz w:val="16"/>
          <w:lang w:val="en-GB"/>
        </w:rPr>
        <w:t xml:space="preserve"> by the Government of the Republic of Slovenia by the end of 2022.</w:t>
      </w:r>
    </w:p>
  </w:footnote>
  <w:footnote w:id="73">
    <w:p w14:paraId="70568CEC"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Slovenian Environmental Agency</w:t>
      </w:r>
      <w:r w:rsidRPr="007F3583">
        <w:rPr>
          <w:sz w:val="16"/>
          <w:lang w:val="en-GB"/>
        </w:rPr>
        <w:t>, annual reports on ambient air quality.</w:t>
      </w:r>
    </w:p>
  </w:footnote>
  <w:footnote w:id="74">
    <w:p w14:paraId="43692ED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As</w:t>
      </w:r>
      <w:r w:rsidRPr="007F3583">
        <w:rPr>
          <w:sz w:val="16"/>
          <w:lang w:val="en-GB"/>
        </w:rPr>
        <w:t xml:space="preserve"> required </w:t>
      </w:r>
      <w:r>
        <w:rPr>
          <w:sz w:val="16"/>
          <w:lang w:val="en-GB"/>
        </w:rPr>
        <w:t>by Directive 2008/50/EC and the</w:t>
      </w:r>
      <w:r w:rsidRPr="007F3583">
        <w:rPr>
          <w:sz w:val="16"/>
          <w:lang w:val="en-GB"/>
        </w:rPr>
        <w:t xml:space="preserve"> programme </w:t>
      </w:r>
      <w:r>
        <w:rPr>
          <w:sz w:val="16"/>
          <w:lang w:val="en-GB"/>
        </w:rPr>
        <w:t xml:space="preserve">“Europe </w:t>
      </w:r>
      <w:r w:rsidRPr="007F3583">
        <w:rPr>
          <w:sz w:val="16"/>
          <w:lang w:val="en-GB"/>
        </w:rPr>
        <w:t>that protects: Clean air for all</w:t>
      </w:r>
      <w:r>
        <w:rPr>
          <w:sz w:val="16"/>
          <w:lang w:val="en-GB"/>
        </w:rPr>
        <w:t>”</w:t>
      </w:r>
      <w:r w:rsidRPr="007F3583">
        <w:rPr>
          <w:sz w:val="16"/>
          <w:lang w:val="en-GB"/>
        </w:rPr>
        <w:t xml:space="preserve"> (COM (2018).</w:t>
      </w:r>
    </w:p>
  </w:footnote>
  <w:footnote w:id="75">
    <w:p w14:paraId="35371113"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Blue Corridors in EU Sustainable Blue Economy, Council decision May 2021 - </w:t>
      </w:r>
      <w:hyperlink r:id="rId65" w:history="1">
        <w:r w:rsidRPr="007F3583">
          <w:rPr>
            <w:rStyle w:val="Hiperpovezava"/>
            <w:sz w:val="16"/>
            <w:lang w:val="en-GB"/>
          </w:rPr>
          <w:t>https://eur-lex.europa.eu/legal-content/EN/TXT/?uri=COM:2021:240:FIN</w:t>
        </w:r>
      </w:hyperlink>
      <w:r w:rsidRPr="007F3583">
        <w:rPr>
          <w:sz w:val="16"/>
          <w:lang w:val="en-GB"/>
        </w:rPr>
        <w:t>.</w:t>
      </w:r>
    </w:p>
  </w:footnote>
  <w:footnote w:id="76">
    <w:p w14:paraId="1C96E25E"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Green Infrastructure </w:t>
      </w:r>
      <w:r>
        <w:rPr>
          <w:sz w:val="16"/>
          <w:lang w:val="en-GB"/>
        </w:rPr>
        <w:t>in</w:t>
      </w:r>
      <w:r w:rsidRPr="007F3583">
        <w:rPr>
          <w:sz w:val="16"/>
          <w:lang w:val="en-GB"/>
        </w:rPr>
        <w:t xml:space="preserve"> Policy, 2017. Available at: </w:t>
      </w:r>
      <w:hyperlink r:id="rId66" w:history="1">
        <w:r w:rsidRPr="007F3583">
          <w:rPr>
            <w:rStyle w:val="Hiperpovezava"/>
            <w:sz w:val="16"/>
            <w:lang w:val="en-GB"/>
          </w:rPr>
          <w:t>https://ec.europa.eu/environment/nature/ecosystems/strategy/index_en.htm</w:t>
        </w:r>
      </w:hyperlink>
      <w:r w:rsidRPr="007F3583">
        <w:rPr>
          <w:sz w:val="16"/>
          <w:lang w:val="en-GB"/>
        </w:rPr>
        <w:t xml:space="preserve">. </w:t>
      </w:r>
    </w:p>
  </w:footnote>
  <w:footnote w:id="77">
    <w:p w14:paraId="6376E92B"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sz w:val="16"/>
          <w:lang w:val="en-GB"/>
        </w:rPr>
        <w:t xml:space="preserve"> The Urban Agenda for the EU Partnership. Available at: </w:t>
      </w:r>
      <w:hyperlink r:id="rId67" w:history="1">
        <w:r w:rsidRPr="007F3583">
          <w:rPr>
            <w:rStyle w:val="Hiperpovezava"/>
            <w:sz w:val="16"/>
            <w:lang w:val="en-GB"/>
          </w:rPr>
          <w:t>https://ec.europa.eu/regional_policy/en/information/publications/brochures/2020/new-leipzig-charter-the-transformative-power-of-cities-for-the-common-good</w:t>
        </w:r>
      </w:hyperlink>
      <w:r w:rsidRPr="007F3583">
        <w:rPr>
          <w:sz w:val="16"/>
          <w:lang w:val="en-GB"/>
        </w:rPr>
        <w:t xml:space="preserve">. </w:t>
      </w:r>
    </w:p>
  </w:footnote>
  <w:footnote w:id="78">
    <w:p w14:paraId="63DBF93A"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In accordance with the Spatial </w:t>
      </w:r>
      <w:r>
        <w:rPr>
          <w:sz w:val="16"/>
          <w:lang w:val="en-GB"/>
        </w:rPr>
        <w:t>Management</w:t>
      </w:r>
      <w:r w:rsidRPr="007F3583">
        <w:rPr>
          <w:sz w:val="16"/>
          <w:lang w:val="en-GB"/>
        </w:rPr>
        <w:t xml:space="preserve"> Act (ZUreP-3) (Official Gazette of the Republic of Slovenia, No. 199/21), accessible at: </w:t>
      </w:r>
      <w:hyperlink r:id="rId68" w:history="1">
        <w:r w:rsidRPr="007F3583">
          <w:rPr>
            <w:rStyle w:val="Hiperpovezava"/>
            <w:sz w:val="16"/>
            <w:lang w:val="en-GB"/>
          </w:rPr>
          <w:t>http://www.pisrs.si/Pis.web/pregledPredpisa?id=ZAKO8249</w:t>
        </w:r>
      </w:hyperlink>
      <w:r w:rsidRPr="007F3583">
        <w:rPr>
          <w:rStyle w:val="Hiperpovezava"/>
          <w:sz w:val="16"/>
          <w:lang w:val="en-GB"/>
        </w:rPr>
        <w:t xml:space="preserve"> </w:t>
      </w:r>
      <w:r>
        <w:rPr>
          <w:sz w:val="16"/>
          <w:lang w:val="en-GB"/>
        </w:rPr>
        <w:t>and EU baselines (e.g. r</w:t>
      </w:r>
      <w:r w:rsidRPr="007F3583">
        <w:rPr>
          <w:sz w:val="16"/>
          <w:lang w:val="en-GB"/>
        </w:rPr>
        <w:t>each no net</w:t>
      </w:r>
      <w:r>
        <w:rPr>
          <w:sz w:val="16"/>
          <w:lang w:val="en-GB"/>
        </w:rPr>
        <w:t xml:space="preserve"> land</w:t>
      </w:r>
      <w:r w:rsidRPr="007F3583">
        <w:rPr>
          <w:sz w:val="16"/>
          <w:lang w:val="en-GB"/>
        </w:rPr>
        <w:t xml:space="preserve"> </w:t>
      </w:r>
      <w:r>
        <w:rPr>
          <w:sz w:val="16"/>
          <w:lang w:val="en-GB"/>
        </w:rPr>
        <w:t>take</w:t>
      </w:r>
      <w:r w:rsidRPr="007F3583">
        <w:rPr>
          <w:sz w:val="16"/>
          <w:lang w:val="en-GB"/>
        </w:rPr>
        <w:t>).</w:t>
      </w:r>
    </w:p>
  </w:footnote>
  <w:footnote w:id="79">
    <w:p w14:paraId="08F5016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Government of the Republic of Slovenia, Strategy on market development for the establishment of appropriate infrastructure related to alternative fuels in the transport sector in the Republic of Slovenia, Ljubljana, 2017. Available at: </w:t>
      </w:r>
      <w:hyperlink r:id="rId69" w:history="1">
        <w:r w:rsidRPr="007F3583">
          <w:rPr>
            <w:rStyle w:val="Hiperpovezava"/>
            <w:sz w:val="16"/>
            <w:lang w:val="en-GB"/>
          </w:rPr>
          <w:t>https://www.energetika-portal.si/fileadmin/dokumenti/publikacije/alternativna_goriva/strategija_alternativna_goriva_final.pdf</w:t>
        </w:r>
      </w:hyperlink>
      <w:r w:rsidRPr="007F3583">
        <w:rPr>
          <w:sz w:val="16"/>
          <w:lang w:val="en-GB"/>
        </w:rPr>
        <w:t xml:space="preserve">. </w:t>
      </w:r>
    </w:p>
  </w:footnote>
  <w:footnote w:id="80">
    <w:p w14:paraId="3A43DCB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European Commission, 2019.</w:t>
      </w:r>
    </w:p>
  </w:footnote>
  <w:footnote w:id="81">
    <w:p w14:paraId="5877C5A1" w14:textId="77777777" w:rsidR="006633FB" w:rsidRPr="007F3583" w:rsidRDefault="006633FB" w:rsidP="0051160A">
      <w:pPr>
        <w:jc w:val="both"/>
        <w:rPr>
          <w:sz w:val="16"/>
          <w:lang w:val="en-GB"/>
        </w:rPr>
      </w:pPr>
      <w:r w:rsidRPr="008B3E30">
        <w:rPr>
          <w:sz w:val="16"/>
          <w:vertAlign w:val="superscript"/>
          <w:lang w:val="en-GB"/>
        </w:rPr>
        <w:footnoteRef/>
      </w:r>
      <w:r w:rsidRPr="007F3583">
        <w:rPr>
          <w:rFonts w:eastAsia="Lucida Sans Unicode"/>
          <w:sz w:val="16"/>
          <w:lang w:val="en-GB"/>
        </w:rPr>
        <w:t xml:space="preserve">European Commission, Directorate-General for Mobility and Transport, </w:t>
      </w:r>
      <w:r w:rsidRPr="007F3583">
        <w:rPr>
          <w:rFonts w:eastAsia="Lucida Sans Unicode"/>
          <w:i/>
          <w:sz w:val="16"/>
          <w:lang w:val="en-GB"/>
        </w:rPr>
        <w:t>EU transport in figures: statistical pocketbook 2021</w:t>
      </w:r>
      <w:r w:rsidRPr="007F3583">
        <w:rPr>
          <w:rFonts w:eastAsia="Lucida Sans Unicode"/>
          <w:sz w:val="16"/>
          <w:lang w:val="en-GB"/>
        </w:rPr>
        <w:t xml:space="preserve">, Publications Office. Available at: </w:t>
      </w:r>
      <w:hyperlink r:id="rId70" w:history="1">
        <w:r w:rsidRPr="007F3583">
          <w:rPr>
            <w:rStyle w:val="Hiperpovezava"/>
            <w:rFonts w:eastAsia="Lucida Sans Unicode"/>
            <w:sz w:val="16"/>
            <w:lang w:val="en-GB"/>
          </w:rPr>
          <w:t>https://data.europa.eu/doi/10.2832/27610</w:t>
        </w:r>
      </w:hyperlink>
      <w:r w:rsidRPr="007F3583">
        <w:rPr>
          <w:sz w:val="16"/>
          <w:lang w:val="en-GB"/>
        </w:rPr>
        <w:t>.</w:t>
      </w:r>
    </w:p>
  </w:footnote>
  <w:footnote w:id="82">
    <w:p w14:paraId="05E5873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Rules on </w:t>
      </w:r>
      <w:r>
        <w:rPr>
          <w:sz w:val="16"/>
          <w:lang w:val="en-GB"/>
        </w:rPr>
        <w:t>bicycle</w:t>
      </w:r>
      <w:r w:rsidRPr="007F3583">
        <w:rPr>
          <w:sz w:val="16"/>
          <w:lang w:val="en-GB"/>
        </w:rPr>
        <w:t xml:space="preserve"> connections (Official Gazette of the Republic of Slovenia, Nos 29/18 and 65/19). Available at: </w:t>
      </w:r>
      <w:hyperlink r:id="rId71" w:history="1">
        <w:r w:rsidRPr="007F3583">
          <w:rPr>
            <w:rStyle w:val="Hiperpovezava"/>
            <w:sz w:val="16"/>
            <w:lang w:val="en-GB"/>
          </w:rPr>
          <w:t>http://www.pisrs.si/Pis.web/pregledPredpisa?id=PRAV13393</w:t>
        </w:r>
      </w:hyperlink>
      <w:r w:rsidRPr="007F3583">
        <w:rPr>
          <w:sz w:val="16"/>
          <w:lang w:val="en-GB"/>
        </w:rPr>
        <w:t xml:space="preserve">. </w:t>
      </w:r>
    </w:p>
  </w:footnote>
  <w:footnote w:id="83">
    <w:p w14:paraId="5180CE4D"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Pr>
          <w:sz w:val="16"/>
          <w:lang w:val="en-GB"/>
        </w:rPr>
        <w:t>Draft</w:t>
      </w:r>
      <w:r w:rsidRPr="007F3583">
        <w:rPr>
          <w:sz w:val="16"/>
          <w:lang w:val="en-GB"/>
        </w:rPr>
        <w:t xml:space="preserve"> Spatial Development Strategy 2050, which was </w:t>
      </w:r>
      <w:r>
        <w:rPr>
          <w:sz w:val="16"/>
          <w:lang w:val="en-GB"/>
        </w:rPr>
        <w:t xml:space="preserve">put to </w:t>
      </w:r>
      <w:r w:rsidRPr="007F3583">
        <w:rPr>
          <w:sz w:val="16"/>
          <w:lang w:val="en-GB"/>
        </w:rPr>
        <w:t>public debate in 2020</w:t>
      </w:r>
      <w:r>
        <w:rPr>
          <w:sz w:val="16"/>
          <w:lang w:val="en-GB"/>
        </w:rPr>
        <w:t>, foresees c</w:t>
      </w:r>
      <w:r w:rsidRPr="007F3583">
        <w:rPr>
          <w:sz w:val="16"/>
          <w:lang w:val="en-GB"/>
        </w:rPr>
        <w:t>onstruction of a network of national long-distance cycling routes and cycling networks in cities and other urban settlements, as well in the wider urban areas and other functional connections for daily migration, which relates to residential areas, areas of daily mobility generators (e.g. kindergartens, schools, larger employment areas, commercial centres) and public passenger transport stops</w:t>
      </w:r>
      <w:r>
        <w:rPr>
          <w:sz w:val="16"/>
          <w:lang w:val="en-GB"/>
        </w:rPr>
        <w:t>,</w:t>
      </w:r>
      <w:r w:rsidRPr="007F3583">
        <w:rPr>
          <w:sz w:val="16"/>
          <w:lang w:val="en-GB"/>
        </w:rPr>
        <w:t xml:space="preserve"> and p</w:t>
      </w:r>
      <w:r>
        <w:rPr>
          <w:sz w:val="16"/>
          <w:lang w:val="en-GB"/>
        </w:rPr>
        <w:t xml:space="preserve">arking areas for motor vehicles. </w:t>
      </w:r>
      <w:r w:rsidRPr="007F3583">
        <w:rPr>
          <w:sz w:val="16"/>
          <w:lang w:val="en-GB"/>
        </w:rPr>
        <w:t xml:space="preserve">Available at: </w:t>
      </w:r>
      <w:hyperlink r:id="rId72" w:history="1">
        <w:r w:rsidRPr="007F3583">
          <w:rPr>
            <w:rStyle w:val="Hiperpovezava"/>
            <w:sz w:val="16"/>
            <w:lang w:val="en-GB"/>
          </w:rPr>
          <w:t>https://www.gov.si/assets/ministrstva/MOP/Dokumenti/Prostorski-razvoj/SPRS/SPRS-2050_gradivo-za-javno-razpravo.pdf</w:t>
        </w:r>
      </w:hyperlink>
      <w:r w:rsidRPr="007F3583">
        <w:rPr>
          <w:sz w:val="16"/>
          <w:lang w:val="en-GB"/>
        </w:rPr>
        <w:t xml:space="preserve">. </w:t>
      </w:r>
    </w:p>
  </w:footnote>
  <w:footnote w:id="84">
    <w:p w14:paraId="557735D7" w14:textId="77777777" w:rsidR="006633FB" w:rsidRPr="007F3583" w:rsidRDefault="006633FB" w:rsidP="0051160A">
      <w:pPr>
        <w:jc w:val="both"/>
        <w:rPr>
          <w:lang w:val="en-GB"/>
        </w:rPr>
      </w:pPr>
      <w:r w:rsidRPr="00854BCC">
        <w:rPr>
          <w:sz w:val="16"/>
          <w:vertAlign w:val="superscript"/>
          <w:lang w:val="en-GB"/>
        </w:rPr>
        <w:footnoteRef/>
      </w:r>
      <w:r w:rsidRPr="007F3583">
        <w:rPr>
          <w:sz w:val="16"/>
          <w:lang w:val="en-GB"/>
        </w:rPr>
        <w:t xml:space="preserve"> </w:t>
      </w:r>
      <w:r w:rsidRPr="000605AF">
        <w:rPr>
          <w:sz w:val="16"/>
          <w:lang w:val="en-GB"/>
        </w:rPr>
        <w:t>SURS</w:t>
      </w:r>
      <w:r w:rsidRPr="007F3583">
        <w:rPr>
          <w:sz w:val="16"/>
          <w:lang w:val="en-GB"/>
        </w:rPr>
        <w:t xml:space="preserve">, </w:t>
      </w:r>
      <w:r w:rsidRPr="0059056F">
        <w:rPr>
          <w:sz w:val="16"/>
          <w:lang w:val="en-GB"/>
        </w:rPr>
        <w:t>Daily number of journeys by main means of transport and distance classes, Slovenia, 2017</w:t>
      </w:r>
      <w:r w:rsidRPr="007F3583">
        <w:rPr>
          <w:sz w:val="20"/>
          <w:lang w:val="en-GB"/>
        </w:rPr>
        <w:t>.</w:t>
      </w:r>
      <w:r w:rsidRPr="007F3583">
        <w:rPr>
          <w:sz w:val="16"/>
          <w:lang w:val="en-GB"/>
        </w:rPr>
        <w:t xml:space="preserve"> Available at: </w:t>
      </w:r>
      <w:hyperlink r:id="rId73" w:history="1">
        <w:r w:rsidRPr="007F3583">
          <w:rPr>
            <w:rStyle w:val="Hiperpovezava"/>
            <w:sz w:val="16"/>
            <w:lang w:val="en-GB"/>
          </w:rPr>
          <w:t>https://pxweb.stat.si/SiStatData/pxweb/sl/Data/-/2281233S.px</w:t>
        </w:r>
      </w:hyperlink>
      <w:r w:rsidRPr="007F3583">
        <w:rPr>
          <w:lang w:val="en-GB"/>
        </w:rPr>
        <w:t xml:space="preserve">. </w:t>
      </w:r>
    </w:p>
  </w:footnote>
  <w:footnote w:id="85">
    <w:p w14:paraId="5959591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Development Report 2021, Ljubljana, 2021. Available at</w:t>
      </w:r>
      <w:r>
        <w:rPr>
          <w:sz w:val="16"/>
          <w:lang w:val="en-GB"/>
        </w:rPr>
        <w:t xml:space="preserve">: </w:t>
      </w:r>
      <w:hyperlink r:id="rId74" w:history="1">
        <w:r w:rsidRPr="007501B6">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p>
  </w:footnote>
  <w:footnote w:id="86">
    <w:p w14:paraId="53BB94F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Autumn Economic Forecast 2021, September 2021. Available at</w:t>
      </w:r>
      <w:r>
        <w:rPr>
          <w:sz w:val="16"/>
          <w:lang w:val="en-GB"/>
        </w:rPr>
        <w:t xml:space="preserve">: </w:t>
      </w:r>
      <w:hyperlink r:id="rId75" w:history="1">
        <w:r w:rsidRPr="007501B6">
          <w:rPr>
            <w:rStyle w:val="Hiperpovezava"/>
            <w:sz w:val="16"/>
            <w:lang w:val="en-GB"/>
          </w:rPr>
          <w:t>https://www.umar.gov.si/fileadmin/user_upload/napovedi/jesen/2021/angleski/JNGG_2021_ENG.pdf</w:t>
        </w:r>
      </w:hyperlink>
      <w:r w:rsidRPr="007F3583">
        <w:rPr>
          <w:sz w:val="16"/>
          <w:lang w:val="en-GB"/>
        </w:rPr>
        <w:t xml:space="preserve">. </w:t>
      </w:r>
    </w:p>
  </w:footnote>
  <w:footnote w:id="87">
    <w:p w14:paraId="5E4F41EA"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rStyle w:val="Sprotnaopomba-sklic"/>
          <w:sz w:val="16"/>
          <w:lang w:val="en-GB"/>
        </w:rPr>
        <w:t xml:space="preserve"> </w:t>
      </w:r>
      <w:r w:rsidRPr="007F3583">
        <w:rPr>
          <w:sz w:val="16"/>
          <w:lang w:val="en-GB"/>
        </w:rPr>
        <w:t xml:space="preserve">Available at: </w:t>
      </w:r>
      <w:hyperlink r:id="rId76" w:history="1">
        <w:r w:rsidRPr="007F3583">
          <w:rPr>
            <w:rStyle w:val="Hiperpovezava"/>
            <w:sz w:val="16"/>
            <w:lang w:val="en-GB"/>
          </w:rPr>
          <w:t>Active Employment Policy | GOV.SI</w:t>
        </w:r>
      </w:hyperlink>
    </w:p>
  </w:footnote>
  <w:footnote w:id="88">
    <w:p w14:paraId="21A09AF5"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lang w:val="en-GB"/>
        </w:rPr>
        <w:t xml:space="preserve"> </w:t>
      </w:r>
      <w:r w:rsidRPr="007F3583">
        <w:rPr>
          <w:sz w:val="16"/>
          <w:lang w:val="en-GB"/>
        </w:rPr>
        <w:t xml:space="preserve">OECD project </w:t>
      </w:r>
      <w:r w:rsidRPr="00977086">
        <w:rPr>
          <w:sz w:val="16"/>
          <w:lang w:val="en-GB"/>
        </w:rPr>
        <w:t>for the inclusion of long-term unemployed into the labour market and NEET mapping</w:t>
      </w:r>
      <w:r w:rsidRPr="007F3583">
        <w:rPr>
          <w:sz w:val="16"/>
          <w:lang w:val="en-GB"/>
        </w:rPr>
        <w:t>, funded through technical assistance related to the implementation of the European Commission’s Structural Reform Support Programme.</w:t>
      </w:r>
    </w:p>
  </w:footnote>
  <w:footnote w:id="89">
    <w:p w14:paraId="29656087"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Development Report 2021, Ljubljana, 2021. Available at</w:t>
      </w:r>
      <w:r>
        <w:rPr>
          <w:sz w:val="16"/>
          <w:lang w:val="en-GB"/>
        </w:rPr>
        <w:t xml:space="preserve">: </w:t>
      </w:r>
      <w:hyperlink r:id="rId77" w:history="1">
        <w:r w:rsidRPr="007501B6">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r w:rsidRPr="007F3583">
        <w:rPr>
          <w:sz w:val="16"/>
          <w:lang w:val="en-GB"/>
        </w:rPr>
        <w:t xml:space="preserve"> </w:t>
      </w:r>
    </w:p>
  </w:footnote>
  <w:footnote w:id="90">
    <w:p w14:paraId="3134E560"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GEM</w:t>
      </w:r>
      <w:r w:rsidRPr="007F3583">
        <w:rPr>
          <w:sz w:val="16"/>
          <w:lang w:val="en-GB"/>
        </w:rPr>
        <w:t xml:space="preserve"> Slovenia 2018, </w:t>
      </w:r>
      <w:r>
        <w:rPr>
          <w:sz w:val="16"/>
          <w:lang w:val="en-GB"/>
        </w:rPr>
        <w:t>Untapped</w:t>
      </w:r>
      <w:r w:rsidRPr="007F3583">
        <w:rPr>
          <w:sz w:val="16"/>
          <w:lang w:val="en-GB"/>
        </w:rPr>
        <w:t xml:space="preserve"> Entrepreneurial Potential. Available at: </w:t>
      </w:r>
      <w:hyperlink r:id="rId78" w:history="1">
        <w:r w:rsidRPr="007F3583">
          <w:rPr>
            <w:rStyle w:val="Hiperpovezava"/>
            <w:sz w:val="16"/>
            <w:lang w:val="en-GB"/>
          </w:rPr>
          <w:t>https://ipmmp.um.si/globalni-podjetniski-monitor/gem-slovenija-monografije/?r=1127</w:t>
        </w:r>
      </w:hyperlink>
      <w:r w:rsidRPr="007F3583">
        <w:rPr>
          <w:sz w:val="16"/>
          <w:lang w:val="en-GB"/>
        </w:rPr>
        <w:t xml:space="preserve">. </w:t>
      </w:r>
    </w:p>
  </w:footnote>
  <w:footnote w:id="91">
    <w:p w14:paraId="55504E8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University of Maribor, Faculty of Economics and Business: Entrepreneurship in a New Reality, GEM Slovenia 2020, 2020. Available at: </w:t>
      </w:r>
      <w:hyperlink r:id="rId79" w:history="1">
        <w:r w:rsidRPr="007F3583">
          <w:rPr>
            <w:rStyle w:val="Hiperpovezava"/>
            <w:sz w:val="16"/>
            <w:lang w:val="en-GB"/>
          </w:rPr>
          <w:t>https://ipmmp.um.si/wp-content/uploads/2021/05/GEM-2020-monografija.pdf</w:t>
        </w:r>
      </w:hyperlink>
      <w:r w:rsidRPr="007F3583">
        <w:rPr>
          <w:sz w:val="16"/>
          <w:lang w:val="en-GB"/>
        </w:rPr>
        <w:t>.</w:t>
      </w:r>
      <w:r w:rsidRPr="007F3583">
        <w:rPr>
          <w:lang w:val="en-GB"/>
        </w:rPr>
        <w:t xml:space="preserve"> </w:t>
      </w:r>
    </w:p>
  </w:footnote>
  <w:footnote w:id="92">
    <w:p w14:paraId="04E20CF5"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7B5C18">
        <w:rPr>
          <w:sz w:val="16"/>
          <w:lang w:val="en-GB"/>
        </w:rPr>
        <w:t>ZRSZ</w:t>
      </w:r>
      <w:r w:rsidRPr="007F3583">
        <w:rPr>
          <w:sz w:val="16"/>
          <w:lang w:val="en-GB"/>
        </w:rPr>
        <w:t xml:space="preserve">, Employment </w:t>
      </w:r>
      <w:r>
        <w:rPr>
          <w:sz w:val="16"/>
          <w:lang w:val="en-GB"/>
        </w:rPr>
        <w:t>Forecast</w:t>
      </w:r>
      <w:r w:rsidRPr="007F3583">
        <w:rPr>
          <w:sz w:val="16"/>
          <w:lang w:val="en-GB"/>
        </w:rPr>
        <w:t xml:space="preserve"> 2021/II, Ljubljana, 2021. Available at: </w:t>
      </w:r>
      <w:hyperlink r:id="rId80" w:history="1">
        <w:r w:rsidRPr="007F3583">
          <w:rPr>
            <w:rStyle w:val="Hiperpovezava"/>
            <w:sz w:val="16"/>
            <w:lang w:val="en-GB"/>
          </w:rPr>
          <w:t>filed https://www.ess.gov.si/_files/14807/Porocilo_Napovednik_zaposlovanja_2021_jesen.pdf</w:t>
        </w:r>
      </w:hyperlink>
      <w:r w:rsidRPr="007F3583">
        <w:rPr>
          <w:rStyle w:val="Hiperpovezava"/>
          <w:lang w:val="en-GB"/>
        </w:rPr>
        <w:t xml:space="preserve"> </w:t>
      </w:r>
    </w:p>
  </w:footnote>
  <w:footnote w:id="93">
    <w:p w14:paraId="6F17BA0A" w14:textId="77777777" w:rsidR="006633FB"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The OECD analysis was prepared in the context of technical assistance related to the implementation of the European Commission’s Structural Reform Support</w:t>
      </w:r>
      <w:r>
        <w:rPr>
          <w:sz w:val="16"/>
          <w:lang w:val="en-GB"/>
        </w:rPr>
        <w:t xml:space="preserve"> Programme, within the project </w:t>
      </w:r>
      <w:r w:rsidRPr="007F3583">
        <w:rPr>
          <w:sz w:val="16"/>
          <w:lang w:val="en-GB"/>
        </w:rPr>
        <w:t>Labour market integration of the long term unemployed (LTUs) and mapping people not in education, employment or training (NEETs), SRSS/S2019/036”</w:t>
      </w:r>
    </w:p>
    <w:p w14:paraId="7C4903D2" w14:textId="77777777" w:rsidR="006633FB" w:rsidRPr="007F3583" w:rsidRDefault="006633FB" w:rsidP="0051160A">
      <w:pPr>
        <w:pStyle w:val="Sprotnaopomba-besedilo"/>
        <w:jc w:val="both"/>
        <w:rPr>
          <w:sz w:val="16"/>
          <w:lang w:val="en-GB"/>
        </w:rPr>
      </w:pPr>
      <w:r w:rsidRPr="007F3583">
        <w:rPr>
          <w:sz w:val="16"/>
          <w:lang w:val="en-GB"/>
        </w:rPr>
        <w:t>.</w:t>
      </w:r>
    </w:p>
  </w:footnote>
  <w:footnote w:id="94">
    <w:p w14:paraId="1824889A"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European Pillar of Social Rights, Slovenia 2000-2020, 2021. Available at: </w:t>
      </w:r>
      <w:hyperlink r:id="rId81" w:history="1">
        <w:r w:rsidRPr="007F3583">
          <w:rPr>
            <w:rStyle w:val="Hiperpovezava"/>
            <w:sz w:val="16"/>
            <w:lang w:val="en-GB"/>
          </w:rPr>
          <w:t>https://www.umar.gov.si/fileadmin/user_upload/publikacije/ESSP/2021/ESSP_splet.pdf</w:t>
        </w:r>
      </w:hyperlink>
      <w:r w:rsidRPr="007F3583">
        <w:rPr>
          <w:sz w:val="16"/>
          <w:lang w:val="en-GB"/>
        </w:rPr>
        <w:t xml:space="preserve">. </w:t>
      </w:r>
    </w:p>
  </w:footnote>
  <w:footnote w:id="95">
    <w:p w14:paraId="4C99326B"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82" w:history="1">
        <w:r w:rsidRPr="00AC5F4A">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r w:rsidRPr="007F3583">
        <w:rPr>
          <w:sz w:val="16"/>
          <w:lang w:val="en-GB"/>
        </w:rPr>
        <w:t xml:space="preserve"> </w:t>
      </w:r>
    </w:p>
  </w:footnote>
  <w:footnote w:id="96">
    <w:p w14:paraId="2C300EBC"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European Pillar of Social Rights, Slovenia 2000-2020, 2021. Available at: </w:t>
      </w:r>
      <w:hyperlink r:id="rId83" w:history="1">
        <w:r w:rsidRPr="007F3583">
          <w:rPr>
            <w:rStyle w:val="Hiperpovezava"/>
            <w:sz w:val="16"/>
            <w:lang w:val="en-GB"/>
          </w:rPr>
          <w:t>https://www.umar.gov.si/fileadmin/user_upload/publikacije/ESSP/2021/ESSP_splet.pdf</w:t>
        </w:r>
      </w:hyperlink>
      <w:r w:rsidRPr="007F3583">
        <w:rPr>
          <w:sz w:val="16"/>
          <w:lang w:val="en-GB"/>
        </w:rPr>
        <w:t>.</w:t>
      </w:r>
    </w:p>
  </w:footnote>
  <w:footnote w:id="97">
    <w:p w14:paraId="4AB2104C"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UMAR, Development Report 2021, Ljubljana, 2021. Available at</w:t>
      </w:r>
      <w:r>
        <w:rPr>
          <w:sz w:val="16"/>
          <w:lang w:val="en-GB"/>
        </w:rPr>
        <w:t xml:space="preserve">: </w:t>
      </w:r>
      <w:hyperlink r:id="rId84" w:history="1">
        <w:r w:rsidRPr="00AC5F4A">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p>
  </w:footnote>
  <w:footnote w:id="98">
    <w:p w14:paraId="2C2810D2"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Council </w:t>
      </w:r>
      <w:r>
        <w:rPr>
          <w:sz w:val="16"/>
          <w:lang w:val="en-GB"/>
        </w:rPr>
        <w:t xml:space="preserve">recommendation </w:t>
      </w:r>
      <w:r w:rsidRPr="007F3583">
        <w:rPr>
          <w:sz w:val="16"/>
          <w:lang w:val="en-GB"/>
        </w:rPr>
        <w:t xml:space="preserve">on Key competences for Long Life Learning, 22 May 2018 Available at </w:t>
      </w:r>
      <w:hyperlink r:id="rId85" w:history="1">
        <w:r w:rsidRPr="007F3583">
          <w:rPr>
            <w:rStyle w:val="Hiperpovezava"/>
            <w:sz w:val="16"/>
            <w:lang w:val="en-GB"/>
          </w:rPr>
          <w:t>https://eur-lex.europa.eu/legal-content/SL/TXT/PDF/?uri=CELEX:32018H0604(01)&amp;from=LT</w:t>
        </w:r>
      </w:hyperlink>
      <w:r w:rsidRPr="007F3583">
        <w:rPr>
          <w:sz w:val="16"/>
          <w:lang w:val="en-GB"/>
        </w:rPr>
        <w:t xml:space="preserve">. </w:t>
      </w:r>
    </w:p>
  </w:footnote>
  <w:footnote w:id="99">
    <w:p w14:paraId="181A20A2"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OE</w:t>
      </w:r>
      <w:r>
        <w:rPr>
          <w:sz w:val="16"/>
          <w:lang w:val="en-GB"/>
        </w:rPr>
        <w:t>CD, Education at a Glance 2021 -</w:t>
      </w:r>
      <w:r w:rsidRPr="007F3583">
        <w:rPr>
          <w:sz w:val="16"/>
          <w:lang w:val="en-GB"/>
        </w:rPr>
        <w:t xml:space="preserve"> Slovenia.</w:t>
      </w:r>
      <w:r w:rsidRPr="007F3583">
        <w:rPr>
          <w:lang w:val="en-GB"/>
        </w:rPr>
        <w:t xml:space="preserve"> </w:t>
      </w:r>
      <w:r w:rsidRPr="007F3583">
        <w:rPr>
          <w:sz w:val="16"/>
          <w:lang w:val="en-GB"/>
        </w:rPr>
        <w:t xml:space="preserve">Available at: </w:t>
      </w:r>
      <w:hyperlink r:id="rId86" w:history="1">
        <w:r w:rsidRPr="007F3583">
          <w:rPr>
            <w:rStyle w:val="Hiperpovezava"/>
            <w:sz w:val="16"/>
            <w:lang w:val="en-GB"/>
          </w:rPr>
          <w:t>https://stat.link/qetsh9</w:t>
        </w:r>
      </w:hyperlink>
      <w:r w:rsidRPr="007F3583">
        <w:rPr>
          <w:sz w:val="16"/>
          <w:lang w:val="en-GB"/>
        </w:rPr>
        <w:t xml:space="preserve">. </w:t>
      </w:r>
    </w:p>
  </w:footnote>
  <w:footnote w:id="100">
    <w:p w14:paraId="3D62A03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7F3583">
        <w:rPr>
          <w:rFonts w:cs="Calibri"/>
          <w:sz w:val="16"/>
          <w:lang w:val="en-GB"/>
        </w:rPr>
        <w:t xml:space="preserve">Publications Office of the European Union, Education and Training Monitor 2019 Slovenia Report, Luxembourg, 2019. Available at: </w:t>
      </w:r>
      <w:hyperlink r:id="rId87" w:history="1">
        <w:r w:rsidRPr="007F3583">
          <w:rPr>
            <w:rStyle w:val="Hiperpovezava"/>
            <w:rFonts w:cs="Calibri"/>
            <w:sz w:val="16"/>
            <w:lang w:val="en-GB"/>
          </w:rPr>
          <w:t>https://ec.europa.eu/education/sites/education/files/document-library-docs/et-monitor-report-2019-slovenia_sl.pdf</w:t>
        </w:r>
      </w:hyperlink>
      <w:r w:rsidRPr="007F3583">
        <w:rPr>
          <w:rFonts w:cs="Calibri"/>
          <w:sz w:val="16"/>
          <w:lang w:val="en-GB"/>
        </w:rPr>
        <w:t xml:space="preserve">. </w:t>
      </w:r>
    </w:p>
  </w:footnote>
  <w:footnote w:id="101">
    <w:p w14:paraId="0BAA6FF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7F4949">
        <w:rPr>
          <w:sz w:val="16"/>
          <w:lang w:val="en-GB"/>
        </w:rPr>
        <w:t>ZRSZ</w:t>
      </w:r>
      <w:r w:rsidRPr="007F3583">
        <w:rPr>
          <w:sz w:val="16"/>
          <w:lang w:val="en-GB"/>
        </w:rPr>
        <w:t>, Youth and the Labour Market, March 2021.</w:t>
      </w:r>
      <w:r w:rsidRPr="007F3583">
        <w:rPr>
          <w:rFonts w:eastAsia="Calibri"/>
          <w:sz w:val="16"/>
          <w:lang w:val="en-GB"/>
        </w:rPr>
        <w:t xml:space="preserve"> Available at: </w:t>
      </w:r>
      <w:hyperlink r:id="rId88" w:history="1">
        <w:r w:rsidRPr="007F3583">
          <w:rPr>
            <w:rStyle w:val="Hiperpovezava"/>
            <w:rFonts w:eastAsia="Calibri"/>
            <w:sz w:val="16"/>
            <w:lang w:val="en-GB"/>
          </w:rPr>
          <w:t>https://www.ess.gov.si/_files/14103/Analiza_Mladi_in_trg_dela_2021.pdf</w:t>
        </w:r>
      </w:hyperlink>
      <w:r w:rsidRPr="007F3583">
        <w:rPr>
          <w:rFonts w:eastAsia="Calibri"/>
          <w:sz w:val="16"/>
          <w:lang w:val="en-GB"/>
        </w:rPr>
        <w:t xml:space="preserve">. </w:t>
      </w:r>
    </w:p>
  </w:footnote>
  <w:footnote w:id="102">
    <w:p w14:paraId="24966A3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OECD, Education at a Glance 2017 -</w:t>
      </w:r>
      <w:r w:rsidRPr="007F3583">
        <w:rPr>
          <w:sz w:val="16"/>
          <w:lang w:val="en-GB"/>
        </w:rPr>
        <w:t xml:space="preserve"> Slovenia. Available at: </w:t>
      </w:r>
      <w:hyperlink r:id="rId89" w:history="1">
        <w:r w:rsidRPr="007F3583">
          <w:rPr>
            <w:rStyle w:val="Hiperpovezava"/>
            <w:sz w:val="16"/>
            <w:lang w:val="en-GB"/>
          </w:rPr>
          <w:t>https://www.oecd-ilibrary.org/docserver/eag-2017-66-en.pdf?expires=1653869753&amp;id=id&amp;accname=guest&amp;checksum=8FA585CAB469E0E466D06C17667B5CC2</w:t>
        </w:r>
      </w:hyperlink>
      <w:r w:rsidRPr="007F3583">
        <w:rPr>
          <w:sz w:val="16"/>
          <w:lang w:val="en-GB"/>
        </w:rPr>
        <w:t xml:space="preserve">. </w:t>
      </w:r>
    </w:p>
  </w:footnote>
  <w:footnote w:id="103">
    <w:p w14:paraId="39749F43"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Council Recommendation on the 2019 National Reform Programme of Slovenia and delivering a Council opinion on the 2019 Stability Programme of Slovenia: Available at: </w:t>
      </w:r>
      <w:hyperlink r:id="rId90" w:history="1">
        <w:r w:rsidRPr="007F3583">
          <w:rPr>
            <w:rStyle w:val="Hiperpovezava"/>
            <w:sz w:val="16"/>
            <w:lang w:val="en-GB"/>
          </w:rPr>
          <w:t>https://ec.europa.eu/info/sites/default/files/2019-european-semester-country-specific-recommendation-commission-recommendation-slovenia_sl.pdf</w:t>
        </w:r>
      </w:hyperlink>
      <w:r w:rsidRPr="007F3583">
        <w:rPr>
          <w:sz w:val="16"/>
          <w:lang w:val="en-GB"/>
        </w:rPr>
        <w:t>.</w:t>
      </w:r>
    </w:p>
  </w:footnote>
  <w:footnote w:id="104">
    <w:p w14:paraId="4A0E8F6D"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OECD Skills Strategy 2019. Available at: </w:t>
      </w:r>
      <w:hyperlink r:id="rId91" w:history="1">
        <w:r w:rsidRPr="007F3583">
          <w:rPr>
            <w:rStyle w:val="Hiperpovezava"/>
            <w:sz w:val="16"/>
            <w:lang w:val="en-GB"/>
          </w:rPr>
          <w:t>https://www.oecd-ilibrary.org/education/oecd-skills-strategy-2019_9789264313835-en</w:t>
        </w:r>
      </w:hyperlink>
      <w:r w:rsidRPr="007F3583">
        <w:rPr>
          <w:sz w:val="16"/>
          <w:lang w:val="en-GB"/>
        </w:rPr>
        <w:t xml:space="preserve">. </w:t>
      </w:r>
    </w:p>
  </w:footnote>
  <w:footnote w:id="105">
    <w:p w14:paraId="2BA12A61"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OECD, Survey of Adult Skills PIAAC in Slovenia 2016. Available at: </w:t>
      </w:r>
      <w:hyperlink r:id="rId92" w:history="1">
        <w:r w:rsidRPr="007F3583">
          <w:rPr>
            <w:rStyle w:val="Hiperpovezava"/>
            <w:sz w:val="16"/>
            <w:lang w:val="en-GB"/>
          </w:rPr>
          <w:t>https://www.oecd.org/skills/piaac/Skills-Matter-Slovenia-Slovenian-Version.pdf</w:t>
        </w:r>
      </w:hyperlink>
      <w:r w:rsidRPr="007F3583">
        <w:rPr>
          <w:sz w:val="16"/>
          <w:lang w:val="en-GB"/>
        </w:rPr>
        <w:t xml:space="preserve">.  </w:t>
      </w:r>
    </w:p>
  </w:footnote>
  <w:footnote w:id="106">
    <w:p w14:paraId="60E3A6A6"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OECD, The Potential of Online Learning for Adults: Early lessons from the COVID-19 crisis, 2020. Available at: </w:t>
      </w:r>
      <w:hyperlink r:id="rId93" w:history="1">
        <w:r w:rsidRPr="007F3583">
          <w:rPr>
            <w:rStyle w:val="Hiperpovezava"/>
            <w:sz w:val="16"/>
            <w:lang w:val="en-GB"/>
          </w:rPr>
          <w:t>https://www.oecd.org/coronavirus/policy-responses/the-potential-of-online-learning-for-adultsearly-lessons-from-the-covid-19-crisis-ee040002/</w:t>
        </w:r>
      </w:hyperlink>
      <w:r w:rsidRPr="007F3583">
        <w:rPr>
          <w:sz w:val="16"/>
          <w:lang w:val="en-GB"/>
        </w:rPr>
        <w:t xml:space="preserve">. </w:t>
      </w:r>
    </w:p>
  </w:footnote>
  <w:footnote w:id="107">
    <w:p w14:paraId="187D1F3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BA7FBB">
        <w:rPr>
          <w:sz w:val="16"/>
          <w:lang w:val="en-GB"/>
        </w:rPr>
        <w:t>UMAR</w:t>
      </w:r>
      <w:r w:rsidRPr="007F3583">
        <w:rPr>
          <w:sz w:val="16"/>
          <w:lang w:val="en-GB"/>
        </w:rPr>
        <w:t>, Development Report 2021, Ljubljana, 2021. Available at</w:t>
      </w:r>
      <w:r>
        <w:rPr>
          <w:sz w:val="16"/>
          <w:lang w:val="en-GB"/>
        </w:rPr>
        <w:t xml:space="preserve">: </w:t>
      </w:r>
      <w:hyperlink r:id="rId94" w:history="1">
        <w:r w:rsidRPr="00AC5F4A">
          <w:rPr>
            <w:rStyle w:val="Hiperpovezava"/>
            <w:sz w:val="16"/>
            <w:lang w:val="en-GB"/>
          </w:rPr>
          <w:t>https://www.umar.gov.si/fileadmin/user_upload/razvoj_slovenije/2021/angleski/POR2021_eng.pdf</w:t>
        </w:r>
      </w:hyperlink>
      <w:r w:rsidRPr="007F3583">
        <w:rPr>
          <w:sz w:val="16"/>
          <w:lang w:val="en-GB"/>
        </w:rPr>
        <w:t>.</w:t>
      </w:r>
      <w:r>
        <w:rPr>
          <w:sz w:val="16"/>
          <w:lang w:val="en-GB"/>
        </w:rPr>
        <w:t xml:space="preserve"> </w:t>
      </w:r>
      <w:r w:rsidRPr="007F3583">
        <w:rPr>
          <w:sz w:val="16"/>
          <w:lang w:val="en-GB"/>
        </w:rPr>
        <w:t xml:space="preserve">  </w:t>
      </w:r>
    </w:p>
  </w:footnote>
  <w:footnote w:id="108">
    <w:p w14:paraId="13239D49"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sidRPr="007F3583">
        <w:rPr>
          <w:sz w:val="16"/>
          <w:lang w:val="en-GB"/>
        </w:rPr>
        <w:t xml:space="preserve"> </w:t>
      </w:r>
      <w:r w:rsidRPr="007F4949">
        <w:rPr>
          <w:sz w:val="16"/>
          <w:lang w:val="en-GB"/>
        </w:rPr>
        <w:t>MIZŠ</w:t>
      </w:r>
      <w:r w:rsidRPr="007F3583">
        <w:rPr>
          <w:sz w:val="16"/>
          <w:lang w:val="en-GB"/>
        </w:rPr>
        <w:t>, Analysis of the state of public infrastructure in higher education and science with orientations for further action, February 2021, and Analysis of the state of public infrastructure in the field of secondary education with orientations for further action, November 2021.</w:t>
      </w:r>
    </w:p>
  </w:footnote>
  <w:footnote w:id="109">
    <w:p w14:paraId="5855A93F" w14:textId="77777777" w:rsidR="006633FB" w:rsidRPr="007F3583" w:rsidRDefault="006633FB" w:rsidP="0051160A">
      <w:pPr>
        <w:pStyle w:val="Sprotnaopomba-besedilo"/>
        <w:jc w:val="both"/>
        <w:rPr>
          <w:sz w:val="16"/>
          <w:lang w:val="en-GB"/>
        </w:rPr>
      </w:pPr>
      <w:r w:rsidRPr="007F3583">
        <w:rPr>
          <w:rStyle w:val="Sprotnaopomba-sklic"/>
          <w:sz w:val="16"/>
          <w:lang w:val="en-GB"/>
        </w:rPr>
        <w:footnoteRef/>
      </w:r>
      <w:r>
        <w:rPr>
          <w:sz w:val="16"/>
          <w:lang w:val="en-GB"/>
        </w:rPr>
        <w:t xml:space="preserve"> The percentage is different for </w:t>
      </w:r>
      <w:r w:rsidRPr="007F3583">
        <w:rPr>
          <w:sz w:val="16"/>
          <w:lang w:val="en-GB"/>
        </w:rPr>
        <w:t>the University of Ljubljana and the University of Primorska.</w:t>
      </w:r>
    </w:p>
  </w:footnote>
  <w:footnote w:id="110">
    <w:p w14:paraId="694ACAC6" w14:textId="77777777" w:rsidR="006633FB" w:rsidRPr="007F3583" w:rsidRDefault="006633FB" w:rsidP="0051160A">
      <w:pPr>
        <w:pStyle w:val="Sprotnaopomba-besedilo"/>
        <w:jc w:val="both"/>
        <w:rPr>
          <w:lang w:val="en-GB"/>
        </w:rPr>
      </w:pPr>
      <w:r w:rsidRPr="007F3583">
        <w:rPr>
          <w:rStyle w:val="Sprotnaopomba-sklic"/>
          <w:sz w:val="16"/>
          <w:lang w:val="en-GB"/>
        </w:rPr>
        <w:footnoteRef/>
      </w:r>
      <w:r w:rsidRPr="007F3583">
        <w:rPr>
          <w:sz w:val="16"/>
          <w:lang w:val="en-GB"/>
        </w:rPr>
        <w:t xml:space="preserve"> MI</w:t>
      </w:r>
      <w:r>
        <w:rPr>
          <w:sz w:val="16"/>
          <w:lang w:val="en-GB"/>
        </w:rPr>
        <w:t>ZŠ</w:t>
      </w:r>
      <w:r w:rsidRPr="007F3583">
        <w:rPr>
          <w:sz w:val="16"/>
          <w:lang w:val="en-GB"/>
        </w:rPr>
        <w:t>, Analysis of the situation and needs of ICT infrastructure of public higher education institutions and public higher education libraries, 2019.</w:t>
      </w:r>
    </w:p>
  </w:footnote>
  <w:footnote w:id="111">
    <w:p w14:paraId="7551F58D" w14:textId="77777777" w:rsidR="00DD13BF" w:rsidRPr="00520075" w:rsidRDefault="00DD13BF" w:rsidP="00DD13BF">
      <w:pPr>
        <w:pStyle w:val="Sprotnaopomba-besedilo"/>
        <w:rPr>
          <w:sz w:val="16"/>
          <w:szCs w:val="16"/>
        </w:rPr>
      </w:pPr>
      <w:r w:rsidRPr="00520075">
        <w:rPr>
          <w:rStyle w:val="Sprotnaopomba-sklic"/>
          <w:sz w:val="16"/>
          <w:szCs w:val="16"/>
        </w:rPr>
        <w:footnoteRef/>
      </w:r>
      <w:r w:rsidRPr="00520075">
        <w:rPr>
          <w:sz w:val="16"/>
          <w:szCs w:val="16"/>
        </w:rPr>
        <w:t xml:space="preserve"> </w:t>
      </w:r>
      <w:r>
        <w:rPr>
          <w:sz w:val="16"/>
          <w:szCs w:val="16"/>
        </w:rPr>
        <w:t xml:space="preserve">ZRSZ, Unemployed persons – recipients of social assistance in cash in the labour market, November 2021. Available at: </w:t>
      </w:r>
      <w:hyperlink r:id="rId95" w:history="1">
        <w:r w:rsidRPr="00E2688D">
          <w:rPr>
            <w:rStyle w:val="Hiperpovezava"/>
            <w:sz w:val="16"/>
            <w:szCs w:val="16"/>
          </w:rPr>
          <w:t>https://www.ess.gov.si/_files/13929/Prejemniki_DSP_2021.pdf</w:t>
        </w:r>
      </w:hyperlink>
      <w:r>
        <w:rPr>
          <w:sz w:val="16"/>
          <w:szCs w:val="16"/>
        </w:rPr>
        <w:t xml:space="preserve">. </w:t>
      </w:r>
    </w:p>
  </w:footnote>
  <w:footnote w:id="112">
    <w:p w14:paraId="64462A71" w14:textId="77777777" w:rsidR="00DD13BF" w:rsidRPr="00315EE3" w:rsidRDefault="00DD13BF" w:rsidP="00DD13BF">
      <w:pPr>
        <w:pStyle w:val="Sprotnaopomba-besedilo"/>
      </w:pPr>
      <w:r>
        <w:rPr>
          <w:rStyle w:val="Sprotnaopomba-sklic"/>
        </w:rPr>
        <w:footnoteRef/>
      </w:r>
      <w:r>
        <w:t xml:space="preserve"> </w:t>
      </w:r>
      <w:r w:rsidRPr="00315EE3">
        <w:rPr>
          <w:sz w:val="16"/>
          <w:szCs w:val="16"/>
          <w:lang w:val="sl-SI"/>
        </w:rPr>
        <w:t xml:space="preserve">Social Protection Institute of the </w:t>
      </w:r>
      <w:r>
        <w:rPr>
          <w:sz w:val="16"/>
          <w:szCs w:val="16"/>
          <w:lang w:val="sl-SI"/>
        </w:rPr>
        <w:t>Republic</w:t>
      </w:r>
      <w:r w:rsidRPr="00315EE3">
        <w:rPr>
          <w:sz w:val="16"/>
          <w:szCs w:val="16"/>
          <w:lang w:val="sl-SI"/>
        </w:rPr>
        <w:t xml:space="preserve"> of Slovenia</w:t>
      </w:r>
      <w:r>
        <w:rPr>
          <w:sz w:val="16"/>
          <w:szCs w:val="16"/>
          <w:lang w:val="sl-SI"/>
        </w:rPr>
        <w:t xml:space="preserve">, Implementation of social activation in the period 2017-2019: Findings and recommendations; final report. Available at (in Slovene): </w:t>
      </w:r>
      <w:hyperlink r:id="rId96" w:history="1">
        <w:r w:rsidRPr="003669B8">
          <w:rPr>
            <w:rStyle w:val="Hiperpovezava"/>
            <w:sz w:val="16"/>
            <w:szCs w:val="16"/>
          </w:rPr>
          <w:t>https://irssv.si/wp-content/uploads/2021/10/Koncno-porocilo-SA-IRSSV.pdf</w:t>
        </w:r>
      </w:hyperlink>
      <w:r>
        <w:rPr>
          <w:sz w:val="16"/>
          <w:szCs w:val="16"/>
        </w:rPr>
        <w:t xml:space="preserve"> </w:t>
      </w:r>
    </w:p>
  </w:footnote>
  <w:footnote w:id="113">
    <w:p w14:paraId="72D71394" w14:textId="77777777" w:rsidR="00DD13BF" w:rsidRDefault="00DD13BF" w:rsidP="00DD13BF">
      <w:pPr>
        <w:pStyle w:val="Sprotnaopomba-besedilo"/>
      </w:pPr>
      <w:r w:rsidRPr="0023521A">
        <w:rPr>
          <w:rStyle w:val="Sprotnaopomba-sklic"/>
          <w:sz w:val="16"/>
          <w:szCs w:val="16"/>
        </w:rPr>
        <w:footnoteRef/>
      </w:r>
      <w:r w:rsidRPr="0023521A">
        <w:rPr>
          <w:rStyle w:val="Sprotnaopomba-sklic"/>
          <w:sz w:val="16"/>
          <w:szCs w:val="16"/>
        </w:rPr>
        <w:t xml:space="preserve"> </w:t>
      </w:r>
      <w:r w:rsidRPr="001759FE">
        <w:rPr>
          <w:sz w:val="16"/>
          <w:szCs w:val="16"/>
        </w:rPr>
        <w:t xml:space="preserve">Deloitte, </w:t>
      </w:r>
      <w:r>
        <w:rPr>
          <w:sz w:val="16"/>
          <w:szCs w:val="16"/>
        </w:rPr>
        <w:t xml:space="preserve">Evaluation of efficiency of the programme Project learning for young adults </w:t>
      </w:r>
      <w:r w:rsidRPr="001759FE">
        <w:rPr>
          <w:sz w:val="16"/>
          <w:szCs w:val="16"/>
        </w:rPr>
        <w:t xml:space="preserve">(PUM-O), </w:t>
      </w:r>
      <w:r>
        <w:rPr>
          <w:sz w:val="16"/>
          <w:szCs w:val="16"/>
        </w:rPr>
        <w:t>Integration of young not in employment, education, or further education, and pathways to labour market integration.</w:t>
      </w:r>
      <w:r w:rsidRPr="001759FE">
        <w:rPr>
          <w:sz w:val="16"/>
          <w:szCs w:val="16"/>
        </w:rPr>
        <w:t xml:space="preserve"> </w:t>
      </w:r>
      <w:r>
        <w:rPr>
          <w:sz w:val="16"/>
          <w:szCs w:val="16"/>
        </w:rPr>
        <w:t>Available at (in Slovene):</w:t>
      </w:r>
      <w:r w:rsidRPr="001759FE">
        <w:rPr>
          <w:sz w:val="16"/>
          <w:szCs w:val="16"/>
        </w:rPr>
        <w:t xml:space="preserve"> </w:t>
      </w:r>
      <w:hyperlink r:id="rId97" w:history="1">
        <w:r w:rsidRPr="003669B8">
          <w:rPr>
            <w:rStyle w:val="Hiperpovezava"/>
            <w:sz w:val="16"/>
            <w:szCs w:val="16"/>
          </w:rPr>
          <w:t>https://www.eu-skladi.si/sl/dokumenti/studije-in-vrednotenja/pumo_koncno-porocilo-final-14032019.pdf</w:t>
        </w:r>
      </w:hyperlink>
      <w:r>
        <w:rPr>
          <w:sz w:val="16"/>
          <w:szCs w:val="16"/>
        </w:rPr>
        <w:t xml:space="preserve"> </w:t>
      </w:r>
    </w:p>
  </w:footnote>
  <w:footnote w:id="114">
    <w:p w14:paraId="40170F80" w14:textId="77777777" w:rsidR="00DD13BF" w:rsidRPr="00E841C4" w:rsidRDefault="00DD13BF" w:rsidP="00DD13BF">
      <w:pPr>
        <w:rPr>
          <w:sz w:val="16"/>
          <w:szCs w:val="16"/>
        </w:rPr>
      </w:pPr>
      <w:r w:rsidRPr="00E841C4">
        <w:rPr>
          <w:rStyle w:val="Sprotnaopomba-sklic"/>
          <w:sz w:val="16"/>
          <w:szCs w:val="16"/>
        </w:rPr>
        <w:footnoteRef/>
      </w:r>
      <w:r w:rsidRPr="00E841C4">
        <w:rPr>
          <w:rStyle w:val="Sprotnaopomba-sklic"/>
          <w:sz w:val="16"/>
          <w:szCs w:val="16"/>
        </w:rPr>
        <w:t xml:space="preserve"> </w:t>
      </w:r>
      <w:r>
        <w:rPr>
          <w:sz w:val="16"/>
          <w:szCs w:val="16"/>
        </w:rPr>
        <w:t xml:space="preserve">Available at (in Slovene): </w:t>
      </w:r>
      <w:hyperlink r:id="rId98" w:history="1">
        <w:r w:rsidRPr="00E841C4">
          <w:rPr>
            <w:rStyle w:val="Hiperpovezava"/>
            <w:sz w:val="16"/>
            <w:szCs w:val="16"/>
          </w:rPr>
          <w:t>Resolucija o nacionalnem programu socialnega varstva za obdobje 2022–2030 (ReNPSV22–30) (pisrs.si)</w:t>
        </w:r>
      </w:hyperlink>
      <w:r>
        <w:rPr>
          <w:rStyle w:val="Hiperpovezava"/>
          <w:sz w:val="16"/>
          <w:szCs w:val="16"/>
        </w:rPr>
        <w:t>.</w:t>
      </w:r>
    </w:p>
  </w:footnote>
  <w:footnote w:id="115">
    <w:p w14:paraId="4FBA695B" w14:textId="77777777" w:rsidR="00DD13BF" w:rsidRDefault="00DD13BF" w:rsidP="00DD13BF">
      <w:pPr>
        <w:pStyle w:val="Sprotnaopomba-besedilo"/>
      </w:pPr>
      <w:r w:rsidRPr="00130AA5">
        <w:rPr>
          <w:rStyle w:val="Sprotnaopomba-sklic"/>
          <w:sz w:val="16"/>
          <w:szCs w:val="16"/>
        </w:rPr>
        <w:footnoteRef/>
      </w:r>
      <w:r w:rsidRPr="00130AA5">
        <w:rPr>
          <w:sz w:val="16"/>
          <w:szCs w:val="16"/>
        </w:rPr>
        <w:t xml:space="preserve"> Resolu</w:t>
      </w:r>
      <w:r>
        <w:rPr>
          <w:sz w:val="16"/>
          <w:szCs w:val="16"/>
        </w:rPr>
        <w:t>tion on the Family Policy 2018-2028: ''A Society Friendly to All Families''. Available at (in Slovene):</w:t>
      </w:r>
      <w:r w:rsidRPr="00130AA5">
        <w:rPr>
          <w:sz w:val="16"/>
          <w:szCs w:val="16"/>
        </w:rPr>
        <w:t xml:space="preserve"> </w:t>
      </w:r>
      <w:hyperlink r:id="rId99" w:history="1">
        <w:r w:rsidRPr="00E40ADD">
          <w:rPr>
            <w:rStyle w:val="Hiperpovezava"/>
            <w:sz w:val="16"/>
            <w:szCs w:val="16"/>
          </w:rPr>
          <w:t>http://www.pisrs.si/Pis.web/pregledPredpisa?id=RESO118</w:t>
        </w:r>
      </w:hyperlink>
      <w:r>
        <w:rPr>
          <w:rStyle w:val="Hiperpovezava"/>
          <w:sz w:val="16"/>
          <w:szCs w:val="16"/>
        </w:rPr>
        <w:t>.</w:t>
      </w:r>
      <w:r>
        <w:rPr>
          <w:sz w:val="16"/>
          <w:szCs w:val="16"/>
        </w:rPr>
        <w:t xml:space="preserve"> </w:t>
      </w:r>
    </w:p>
  </w:footnote>
  <w:footnote w:id="116">
    <w:p w14:paraId="3D68A951" w14:textId="77777777" w:rsidR="00DD13BF" w:rsidRPr="000B33A5" w:rsidRDefault="00DD13BF" w:rsidP="00DD13BF">
      <w:pPr>
        <w:pStyle w:val="Sprotnaopomba-besedilo"/>
        <w:rPr>
          <w:sz w:val="16"/>
          <w:szCs w:val="16"/>
        </w:rPr>
      </w:pPr>
      <w:r w:rsidRPr="000B33A5">
        <w:rPr>
          <w:rStyle w:val="Sprotnaopomba-sklic"/>
          <w:sz w:val="16"/>
          <w:szCs w:val="16"/>
        </w:rPr>
        <w:footnoteRef/>
      </w:r>
      <w:r w:rsidRPr="000B33A5">
        <w:rPr>
          <w:sz w:val="16"/>
          <w:szCs w:val="16"/>
        </w:rPr>
        <w:t xml:space="preserve"> </w:t>
      </w:r>
      <w:r w:rsidRPr="00EC1662">
        <w:rPr>
          <w:sz w:val="16"/>
          <w:szCs w:val="16"/>
        </w:rPr>
        <w:t xml:space="preserve">Barbara Lovrečič, Mercedes Lovrečič, </w:t>
      </w:r>
      <w:r>
        <w:rPr>
          <w:sz w:val="16"/>
          <w:szCs w:val="16"/>
        </w:rPr>
        <w:t xml:space="preserve">Monitoring dementia in Slovenia: </w:t>
      </w:r>
      <w:r w:rsidRPr="00DC3F0A">
        <w:rPr>
          <w:sz w:val="16"/>
          <w:szCs w:val="16"/>
        </w:rPr>
        <w:t>Epidemiolo</w:t>
      </w:r>
      <w:r>
        <w:rPr>
          <w:sz w:val="16"/>
          <w:szCs w:val="16"/>
        </w:rPr>
        <w:t>gic and other aspects.</w:t>
      </w:r>
      <w:r w:rsidRPr="00DC3F0A">
        <w:rPr>
          <w:sz w:val="16"/>
          <w:szCs w:val="16"/>
        </w:rPr>
        <w:t xml:space="preserve"> </w:t>
      </w:r>
      <w:r>
        <w:rPr>
          <w:sz w:val="16"/>
          <w:szCs w:val="16"/>
        </w:rPr>
        <w:t>Available at (in Slovene):</w:t>
      </w:r>
      <w:r w:rsidRPr="00EC1662">
        <w:rPr>
          <w:sz w:val="16"/>
          <w:szCs w:val="16"/>
        </w:rPr>
        <w:t xml:space="preserve"> </w:t>
      </w:r>
      <w:hyperlink r:id="rId100" w:history="1">
        <w:r w:rsidRPr="00975A56">
          <w:rPr>
            <w:rStyle w:val="Hiperpovezava"/>
            <w:sz w:val="16"/>
            <w:szCs w:val="16"/>
          </w:rPr>
          <w:t>https://omp.zrc-sazu.si/zalozba/catalog/view/1970/8123/1513-2</w:t>
        </w:r>
      </w:hyperlink>
      <w:r>
        <w:rPr>
          <w:sz w:val="16"/>
          <w:szCs w:val="16"/>
        </w:rPr>
        <w:t>.</w:t>
      </w:r>
    </w:p>
  </w:footnote>
  <w:footnote w:id="117">
    <w:p w14:paraId="7334596C" w14:textId="77777777" w:rsidR="00DD13BF" w:rsidRPr="002F60AA" w:rsidRDefault="00DD13BF" w:rsidP="00DD13BF">
      <w:pPr>
        <w:pStyle w:val="Sprotnaopomba-besedilo"/>
        <w:rPr>
          <w:sz w:val="16"/>
          <w:szCs w:val="16"/>
        </w:rPr>
      </w:pPr>
      <w:r w:rsidRPr="002F60AA">
        <w:rPr>
          <w:rStyle w:val="Sprotnaopomba-sklic"/>
          <w:sz w:val="16"/>
          <w:szCs w:val="16"/>
        </w:rPr>
        <w:footnoteRef/>
      </w:r>
      <w:r w:rsidRPr="002F60AA">
        <w:rPr>
          <w:sz w:val="16"/>
          <w:szCs w:val="16"/>
        </w:rPr>
        <w:t xml:space="preserve"> </w:t>
      </w:r>
      <w:r>
        <w:rPr>
          <w:sz w:val="16"/>
          <w:szCs w:val="16"/>
        </w:rPr>
        <w:t>UMAR, 2022 Development Report</w:t>
      </w:r>
      <w:r w:rsidRPr="00BC0F46">
        <w:rPr>
          <w:sz w:val="16"/>
          <w:szCs w:val="16"/>
        </w:rPr>
        <w:t>, Ljubljana, 202</w:t>
      </w:r>
      <w:r>
        <w:rPr>
          <w:sz w:val="16"/>
          <w:szCs w:val="16"/>
        </w:rPr>
        <w:t>2. Available at</w:t>
      </w:r>
      <w:r w:rsidRPr="00BC0F46">
        <w:rPr>
          <w:sz w:val="16"/>
          <w:szCs w:val="16"/>
        </w:rPr>
        <w:t xml:space="preserve">: </w:t>
      </w:r>
      <w:hyperlink r:id="rId101" w:history="1">
        <w:r w:rsidRPr="001566DA">
          <w:rPr>
            <w:rStyle w:val="Hiperpovezava"/>
            <w:sz w:val="16"/>
            <w:szCs w:val="16"/>
          </w:rPr>
          <w:t>https://www.umar.gov.si/fileadmin/user_upload/razvoj_slovenije/2022/angleski/Development_Report_2022.pdf</w:t>
        </w:r>
      </w:hyperlink>
      <w:r>
        <w:rPr>
          <w:sz w:val="16"/>
          <w:szCs w:val="16"/>
        </w:rPr>
        <w:t xml:space="preserve"> </w:t>
      </w:r>
    </w:p>
  </w:footnote>
  <w:footnote w:id="118">
    <w:p w14:paraId="3A576BA3" w14:textId="77777777" w:rsidR="00DD13BF" w:rsidRPr="009903E9" w:rsidRDefault="00DD13BF" w:rsidP="00DD13BF">
      <w:pPr>
        <w:pStyle w:val="Sprotnaopomba-besedilo"/>
        <w:rPr>
          <w:sz w:val="16"/>
          <w:szCs w:val="16"/>
        </w:rPr>
      </w:pPr>
      <w:r w:rsidRPr="009903E9">
        <w:rPr>
          <w:rStyle w:val="Sprotnaopomba-sklic"/>
          <w:sz w:val="16"/>
          <w:szCs w:val="16"/>
        </w:rPr>
        <w:footnoteRef/>
      </w:r>
      <w:r w:rsidRPr="009903E9">
        <w:rPr>
          <w:sz w:val="16"/>
          <w:szCs w:val="16"/>
        </w:rPr>
        <w:t xml:space="preserve"> </w:t>
      </w:r>
      <w:r>
        <w:rPr>
          <w:sz w:val="16"/>
          <w:szCs w:val="16"/>
        </w:rPr>
        <w:t>Data of NIJZ, available at (in Slovene):</w:t>
      </w:r>
      <w:r w:rsidRPr="00EC1662">
        <w:rPr>
          <w:sz w:val="16"/>
          <w:szCs w:val="16"/>
        </w:rPr>
        <w:t xml:space="preserve"> </w:t>
      </w:r>
      <w:hyperlink r:id="rId102" w:history="1">
        <w:r w:rsidRPr="00975A56">
          <w:rPr>
            <w:rStyle w:val="Hiperpovezava"/>
            <w:sz w:val="16"/>
            <w:szCs w:val="16"/>
          </w:rPr>
          <w:t>https://www.nijz.si/sites/www.nijz.si/files/uploaded/podatki/objave/Umrli/prva_objava_umrli_2020.pdf</w:t>
        </w:r>
      </w:hyperlink>
      <w:r w:rsidRPr="00EC1662">
        <w:rPr>
          <w:sz w:val="16"/>
          <w:szCs w:val="16"/>
        </w:rPr>
        <w:t>.</w:t>
      </w:r>
    </w:p>
  </w:footnote>
  <w:footnote w:id="119">
    <w:p w14:paraId="46C9192B" w14:textId="77777777" w:rsidR="00DD13BF" w:rsidRPr="00EC1662" w:rsidRDefault="00DD13BF" w:rsidP="00DD13BF">
      <w:pPr>
        <w:pStyle w:val="Sprotnaopomba-besedilo"/>
        <w:rPr>
          <w:sz w:val="16"/>
          <w:szCs w:val="16"/>
        </w:rPr>
      </w:pPr>
      <w:r w:rsidRPr="00EC1662">
        <w:rPr>
          <w:rStyle w:val="Sprotnaopomba-sklic"/>
          <w:sz w:val="16"/>
          <w:szCs w:val="16"/>
        </w:rPr>
        <w:footnoteRef/>
      </w:r>
      <w:r w:rsidRPr="00EC1662">
        <w:rPr>
          <w:sz w:val="16"/>
          <w:szCs w:val="16"/>
        </w:rPr>
        <w:t xml:space="preserve"> </w:t>
      </w:r>
      <w:r>
        <w:rPr>
          <w:sz w:val="16"/>
          <w:szCs w:val="16"/>
        </w:rPr>
        <w:t>Except for 2020 when covid-19 was the leading cause of death in the country.</w:t>
      </w:r>
    </w:p>
  </w:footnote>
  <w:footnote w:id="120">
    <w:p w14:paraId="2BD74F01" w14:textId="77777777" w:rsidR="00DD13BF" w:rsidRPr="002F60AA" w:rsidRDefault="00DD13BF" w:rsidP="00DD13BF">
      <w:pPr>
        <w:pStyle w:val="Sprotnaopomba-besedilo"/>
        <w:rPr>
          <w:sz w:val="16"/>
          <w:szCs w:val="16"/>
        </w:rPr>
      </w:pPr>
      <w:r w:rsidRPr="002F60AA">
        <w:rPr>
          <w:rStyle w:val="Sprotnaopomba-sklic"/>
          <w:sz w:val="16"/>
          <w:szCs w:val="16"/>
        </w:rPr>
        <w:footnoteRef/>
      </w:r>
      <w:r w:rsidRPr="002F60AA">
        <w:rPr>
          <w:sz w:val="16"/>
          <w:szCs w:val="16"/>
        </w:rPr>
        <w:t xml:space="preserve"> </w:t>
      </w:r>
      <w:r>
        <w:rPr>
          <w:sz w:val="16"/>
          <w:szCs w:val="16"/>
        </w:rPr>
        <w:t xml:space="preserve">EC and OECD, </w:t>
      </w:r>
      <w:r w:rsidRPr="008661B6">
        <w:rPr>
          <w:sz w:val="16"/>
          <w:szCs w:val="16"/>
        </w:rPr>
        <w:t>State of Health in the EU</w:t>
      </w:r>
      <w:r>
        <w:rPr>
          <w:sz w:val="16"/>
          <w:szCs w:val="16"/>
        </w:rPr>
        <w:t>, Slovenia: Country Health Profile 2019.</w:t>
      </w:r>
      <w:r w:rsidRPr="00EC1662">
        <w:rPr>
          <w:sz w:val="16"/>
          <w:szCs w:val="16"/>
        </w:rPr>
        <w:t xml:space="preserve"> </w:t>
      </w:r>
      <w:r>
        <w:rPr>
          <w:sz w:val="16"/>
          <w:szCs w:val="16"/>
        </w:rPr>
        <w:t xml:space="preserve">Available at: </w:t>
      </w:r>
      <w:hyperlink r:id="rId103" w:history="1">
        <w:r w:rsidRPr="001566DA">
          <w:rPr>
            <w:rStyle w:val="Hiperpovezava"/>
            <w:sz w:val="16"/>
            <w:szCs w:val="16"/>
          </w:rPr>
          <w:t>https://www.oecd-ilibrary.org/docserver/79ba70a2-en.pdf?expires=1675428000&amp;id=id&amp;accname=guest&amp;checksum=C210C8F003F747226C96F250E8930A3F</w:t>
        </w:r>
      </w:hyperlink>
    </w:p>
  </w:footnote>
  <w:footnote w:id="121">
    <w:p w14:paraId="7DFE9EAB" w14:textId="77777777" w:rsidR="00DD13BF" w:rsidRPr="00914FCF" w:rsidRDefault="00DD13BF" w:rsidP="00DD13BF">
      <w:pPr>
        <w:pStyle w:val="Sprotnaopomba-besedilo"/>
        <w:rPr>
          <w:sz w:val="16"/>
          <w:szCs w:val="16"/>
        </w:rPr>
      </w:pPr>
      <w:r w:rsidRPr="00914FCF">
        <w:rPr>
          <w:rStyle w:val="Sprotnaopomba-sklic"/>
          <w:sz w:val="16"/>
          <w:szCs w:val="16"/>
        </w:rPr>
        <w:footnoteRef/>
      </w:r>
      <w:r w:rsidRPr="00914FCF">
        <w:rPr>
          <w:sz w:val="16"/>
          <w:szCs w:val="16"/>
        </w:rPr>
        <w:t xml:space="preserve"> </w:t>
      </w:r>
      <w:r>
        <w:rPr>
          <w:sz w:val="16"/>
          <w:szCs w:val="16"/>
        </w:rPr>
        <w:t xml:space="preserve">Available at: </w:t>
      </w:r>
      <w:hyperlink r:id="rId104" w:history="1">
        <w:r w:rsidRPr="00E02501">
          <w:rPr>
            <w:rStyle w:val="Hiperpovezava"/>
            <w:sz w:val="16"/>
            <w:szCs w:val="16"/>
          </w:rPr>
          <w:t>https://www.researchgate.net/figure/Digital-skills-level-by-EU-country-average-levels-from-2016-2019_fig3_343837792</w:t>
        </w:r>
      </w:hyperlink>
      <w:r>
        <w:rPr>
          <w:sz w:val="16"/>
          <w:szCs w:val="16"/>
        </w:rPr>
        <w:t xml:space="preserve">. </w:t>
      </w:r>
    </w:p>
  </w:footnote>
  <w:footnote w:id="122">
    <w:p w14:paraId="2C1A0700" w14:textId="77777777" w:rsidR="00DD13BF" w:rsidRPr="00E6140A" w:rsidRDefault="00DD13BF" w:rsidP="00DD13BF">
      <w:pPr>
        <w:pStyle w:val="Sprotnaopomba-besedilo"/>
        <w:rPr>
          <w:sz w:val="16"/>
          <w:szCs w:val="16"/>
        </w:rPr>
      </w:pPr>
      <w:r w:rsidRPr="00E6140A">
        <w:rPr>
          <w:rStyle w:val="Sprotnaopomba-sklic"/>
          <w:sz w:val="16"/>
          <w:szCs w:val="16"/>
        </w:rPr>
        <w:footnoteRef/>
      </w:r>
      <w:r w:rsidRPr="00E6140A">
        <w:rPr>
          <w:sz w:val="16"/>
          <w:szCs w:val="16"/>
        </w:rPr>
        <w:t xml:space="preserve"> </w:t>
      </w:r>
      <w:r>
        <w:rPr>
          <w:sz w:val="16"/>
          <w:szCs w:val="16"/>
        </w:rPr>
        <w:t xml:space="preserve">SURS data obtained in accordance with the methodology of the EU 2020 Strategy. Available at: </w:t>
      </w:r>
      <w:hyperlink r:id="rId105" w:history="1">
        <w:r w:rsidRPr="00B6101A">
          <w:rPr>
            <w:rStyle w:val="Hiperpovezava"/>
            <w:sz w:val="16"/>
            <w:szCs w:val="16"/>
          </w:rPr>
          <w:t>https://pxweb.stat.si/SiStatData/pxweb/en/Data/-/0867628S.px/</w:t>
        </w:r>
      </w:hyperlink>
      <w:r>
        <w:rPr>
          <w:sz w:val="16"/>
          <w:szCs w:val="16"/>
        </w:rPr>
        <w:t xml:space="preserve"> </w:t>
      </w:r>
    </w:p>
  </w:footnote>
  <w:footnote w:id="123">
    <w:p w14:paraId="7D8B4EA8" w14:textId="77777777" w:rsidR="00DD13BF" w:rsidRPr="0081660E" w:rsidRDefault="00DD13BF" w:rsidP="00DD13BF">
      <w:pPr>
        <w:pStyle w:val="Sprotnaopomba-besedilo"/>
        <w:rPr>
          <w:rStyle w:val="Sprotnaopomba-sklic"/>
          <w:sz w:val="16"/>
          <w:szCs w:val="16"/>
        </w:rPr>
      </w:pPr>
      <w:r w:rsidRPr="0081660E">
        <w:rPr>
          <w:rStyle w:val="Sprotnaopomba-sklic"/>
          <w:sz w:val="16"/>
          <w:szCs w:val="16"/>
        </w:rPr>
        <w:footnoteRef/>
      </w:r>
      <w:r w:rsidRPr="0081660E">
        <w:rPr>
          <w:rStyle w:val="Sprotnaopomba-sklic"/>
          <w:sz w:val="16"/>
          <w:szCs w:val="16"/>
        </w:rPr>
        <w:t xml:space="preserve"> </w:t>
      </w:r>
      <w:r>
        <w:rPr>
          <w:sz w:val="16"/>
          <w:szCs w:val="16"/>
        </w:rPr>
        <w:t xml:space="preserve">MOP, Spatial problems of Roma settlements in </w:t>
      </w:r>
      <w:r w:rsidRPr="0081660E">
        <w:rPr>
          <w:rStyle w:val="Sprotnaopomba-sklic"/>
          <w:sz w:val="16"/>
          <w:szCs w:val="16"/>
        </w:rPr>
        <w:t>Sloveni</w:t>
      </w:r>
      <w:r>
        <w:rPr>
          <w:rStyle w:val="Sprotnaopomba-sklic"/>
          <w:sz w:val="16"/>
          <w:szCs w:val="16"/>
        </w:rPr>
        <w:t>a</w:t>
      </w:r>
      <w:r w:rsidRPr="0081660E">
        <w:rPr>
          <w:rStyle w:val="Sprotnaopomba-sklic"/>
          <w:sz w:val="16"/>
          <w:szCs w:val="16"/>
        </w:rPr>
        <w:t xml:space="preserve">. </w:t>
      </w:r>
      <w:r>
        <w:rPr>
          <w:rStyle w:val="Sprotnaopomba-sklic"/>
          <w:sz w:val="16"/>
          <w:szCs w:val="16"/>
        </w:rPr>
        <w:t>Available at (in Slovene)</w:t>
      </w:r>
      <w:r>
        <w:rPr>
          <w:sz w:val="16"/>
          <w:szCs w:val="16"/>
        </w:rPr>
        <w:t>:</w:t>
      </w:r>
      <w:r w:rsidRPr="0081660E">
        <w:rPr>
          <w:rStyle w:val="Sprotnaopomba-sklic"/>
          <w:sz w:val="16"/>
          <w:szCs w:val="16"/>
        </w:rPr>
        <w:t xml:space="preserve"> </w:t>
      </w:r>
      <w:hyperlink r:id="rId106" w:history="1">
        <w:r w:rsidRPr="00542A4C">
          <w:rPr>
            <w:rStyle w:val="Hiperpovezava"/>
            <w:sz w:val="16"/>
            <w:szCs w:val="16"/>
          </w:rPr>
          <w:t>https://www.gov.si/assets/ministrstva/MOP/Publikacije/8c3a902c0a/prostorski_problemi_romskih_naselij_elaborat.pdf</w:t>
        </w:r>
      </w:hyperlink>
      <w:r>
        <w:rPr>
          <w:rStyle w:val="Sprotnaopomba-sklic"/>
          <w:sz w:val="16"/>
          <w:szCs w:val="16"/>
        </w:rPr>
        <w:t>.</w:t>
      </w:r>
      <w:r>
        <w:rPr>
          <w:sz w:val="16"/>
          <w:szCs w:val="16"/>
        </w:rPr>
        <w:t xml:space="preserve"> </w:t>
      </w:r>
    </w:p>
  </w:footnote>
  <w:footnote w:id="124">
    <w:p w14:paraId="6455840E" w14:textId="77777777" w:rsidR="00DD13BF" w:rsidRPr="002F60AA" w:rsidRDefault="00DD13BF" w:rsidP="00DD13BF">
      <w:pPr>
        <w:pStyle w:val="Sprotnaopomba-besedilo"/>
        <w:rPr>
          <w:sz w:val="16"/>
          <w:szCs w:val="16"/>
        </w:rPr>
      </w:pPr>
      <w:r w:rsidRPr="002F60AA">
        <w:rPr>
          <w:rStyle w:val="Sprotnaopomba-sklic"/>
          <w:sz w:val="16"/>
          <w:szCs w:val="16"/>
        </w:rPr>
        <w:footnoteRef/>
      </w:r>
      <w:r w:rsidRPr="002F60AA">
        <w:rPr>
          <w:sz w:val="16"/>
          <w:szCs w:val="16"/>
        </w:rPr>
        <w:t xml:space="preserve"> </w:t>
      </w:r>
      <w:r>
        <w:rPr>
          <w:sz w:val="16"/>
          <w:szCs w:val="16"/>
        </w:rPr>
        <w:t xml:space="preserve">Government of the Republic of Slovenia, </w:t>
      </w:r>
      <w:r w:rsidRPr="002F60AA">
        <w:rPr>
          <w:sz w:val="16"/>
          <w:szCs w:val="16"/>
        </w:rPr>
        <w:t>Na</w:t>
      </w:r>
      <w:r>
        <w:rPr>
          <w:sz w:val="16"/>
          <w:szCs w:val="16"/>
        </w:rPr>
        <w:t xml:space="preserve">tional Programme of Measures for the Roma 2021-2030, December 2021. Available at (in Slovene): </w:t>
      </w:r>
      <w:hyperlink r:id="rId107" w:history="1">
        <w:r w:rsidRPr="00B45AC9">
          <w:rPr>
            <w:rStyle w:val="Hiperpovezava"/>
            <w:sz w:val="16"/>
            <w:szCs w:val="16"/>
          </w:rPr>
          <w:t>https://www.gov.si/assets/vladne-sluzbe/UN/NPUR-2021-2030/108NPRomi.docx</w:t>
        </w:r>
      </w:hyperlink>
      <w:r>
        <w:rPr>
          <w:sz w:val="16"/>
          <w:szCs w:val="16"/>
        </w:rPr>
        <w:t xml:space="preserve">. </w:t>
      </w:r>
    </w:p>
  </w:footnote>
  <w:footnote w:id="125">
    <w:p w14:paraId="3FB80532" w14:textId="77777777" w:rsidR="00DD13BF" w:rsidRPr="004A5486" w:rsidRDefault="00DD13BF" w:rsidP="00DD13BF">
      <w:pPr>
        <w:pStyle w:val="Sprotnaopomba-besedilo"/>
        <w:rPr>
          <w:sz w:val="16"/>
          <w:szCs w:val="16"/>
        </w:rPr>
      </w:pPr>
      <w:r w:rsidRPr="004A5486">
        <w:rPr>
          <w:rStyle w:val="Sprotnaopomba-sklic"/>
          <w:sz w:val="16"/>
          <w:szCs w:val="16"/>
        </w:rPr>
        <w:footnoteRef/>
      </w:r>
      <w:r w:rsidRPr="004A5486">
        <w:rPr>
          <w:sz w:val="16"/>
          <w:szCs w:val="16"/>
        </w:rPr>
        <w:t xml:space="preserve"> </w:t>
      </w:r>
      <w:r>
        <w:rPr>
          <w:sz w:val="16"/>
          <w:szCs w:val="16"/>
        </w:rPr>
        <w:t>Resolution on the National Programme of Sport for the 2014-2023 Period</w:t>
      </w:r>
      <w:r w:rsidRPr="008404FA">
        <w:t xml:space="preserve"> </w:t>
      </w:r>
      <w:r w:rsidRPr="008404FA">
        <w:rPr>
          <w:sz w:val="16"/>
          <w:szCs w:val="16"/>
        </w:rPr>
        <w:t>(</w:t>
      </w:r>
      <w:r>
        <w:rPr>
          <w:sz w:val="16"/>
          <w:szCs w:val="16"/>
        </w:rPr>
        <w:t xml:space="preserve">Official Gazette of the </w:t>
      </w:r>
      <w:r w:rsidRPr="008404FA">
        <w:rPr>
          <w:sz w:val="16"/>
          <w:szCs w:val="16"/>
        </w:rPr>
        <w:t>R</w:t>
      </w:r>
      <w:r>
        <w:rPr>
          <w:sz w:val="16"/>
          <w:szCs w:val="16"/>
        </w:rPr>
        <w:t xml:space="preserve">epublic of </w:t>
      </w:r>
      <w:r w:rsidRPr="008404FA">
        <w:rPr>
          <w:sz w:val="16"/>
          <w:szCs w:val="16"/>
        </w:rPr>
        <w:t>S</w:t>
      </w:r>
      <w:r>
        <w:rPr>
          <w:sz w:val="16"/>
          <w:szCs w:val="16"/>
        </w:rPr>
        <w:t>lovenia,</w:t>
      </w:r>
      <w:r w:rsidRPr="008404FA">
        <w:rPr>
          <w:sz w:val="16"/>
          <w:szCs w:val="16"/>
        </w:rPr>
        <w:t xml:space="preserve"> </w:t>
      </w:r>
      <w:r>
        <w:rPr>
          <w:sz w:val="16"/>
          <w:szCs w:val="16"/>
        </w:rPr>
        <w:t>No</w:t>
      </w:r>
      <w:r w:rsidRPr="008404FA">
        <w:rPr>
          <w:sz w:val="16"/>
          <w:szCs w:val="16"/>
        </w:rPr>
        <w:t xml:space="preserve"> 2</w:t>
      </w:r>
      <w:r>
        <w:rPr>
          <w:sz w:val="16"/>
          <w:szCs w:val="16"/>
        </w:rPr>
        <w:t>6</w:t>
      </w:r>
      <w:r w:rsidRPr="008404FA">
        <w:rPr>
          <w:sz w:val="16"/>
          <w:szCs w:val="16"/>
        </w:rPr>
        <w:t>/</w:t>
      </w:r>
      <w:r>
        <w:rPr>
          <w:sz w:val="16"/>
          <w:szCs w:val="16"/>
        </w:rPr>
        <w:t>14</w:t>
      </w:r>
      <w:r w:rsidRPr="008404FA">
        <w:rPr>
          <w:sz w:val="16"/>
          <w:szCs w:val="16"/>
        </w:rPr>
        <w:t>)</w:t>
      </w:r>
      <w:r>
        <w:rPr>
          <w:sz w:val="16"/>
          <w:szCs w:val="16"/>
        </w:rPr>
        <w:t xml:space="preserve">. Available at (in Slovene): </w:t>
      </w:r>
      <w:hyperlink r:id="rId108" w:history="1">
        <w:r w:rsidRPr="00542A4C">
          <w:rPr>
            <w:rStyle w:val="Hiperpovezava"/>
            <w:sz w:val="16"/>
            <w:szCs w:val="16"/>
          </w:rPr>
          <w:t>http://www.pisrs.si/Pis.web/pregledPredpisa?id=RESO99</w:t>
        </w:r>
      </w:hyperlink>
      <w:r>
        <w:rPr>
          <w:sz w:val="16"/>
          <w:szCs w:val="16"/>
        </w:rPr>
        <w:t xml:space="preserve">. </w:t>
      </w:r>
    </w:p>
  </w:footnote>
  <w:footnote w:id="126">
    <w:p w14:paraId="11AC2F86" w14:textId="77777777" w:rsidR="00DD13BF" w:rsidRPr="00A85BB8" w:rsidRDefault="00DD13BF" w:rsidP="00DD13BF">
      <w:pPr>
        <w:pStyle w:val="Sprotnaopomba-besedilo"/>
        <w:rPr>
          <w:sz w:val="16"/>
          <w:szCs w:val="16"/>
        </w:rPr>
      </w:pPr>
      <w:r w:rsidRPr="00A85BB8">
        <w:rPr>
          <w:rStyle w:val="Sprotnaopomba-sklic"/>
          <w:sz w:val="16"/>
          <w:szCs w:val="16"/>
        </w:rPr>
        <w:footnoteRef/>
      </w:r>
      <w:r w:rsidRPr="00A85BB8">
        <w:rPr>
          <w:sz w:val="16"/>
          <w:szCs w:val="16"/>
        </w:rPr>
        <w:t xml:space="preserve"> UMAR, E</w:t>
      </w:r>
      <w:r>
        <w:rPr>
          <w:sz w:val="16"/>
          <w:szCs w:val="16"/>
        </w:rPr>
        <w:t>uropean Pillar of Social Rights, Sloveni</w:t>
      </w:r>
      <w:r w:rsidRPr="00A85BB8">
        <w:rPr>
          <w:sz w:val="16"/>
          <w:szCs w:val="16"/>
        </w:rPr>
        <w:t xml:space="preserve">a 2000-2020, 2021. </w:t>
      </w:r>
      <w:r>
        <w:rPr>
          <w:sz w:val="16"/>
          <w:szCs w:val="16"/>
        </w:rPr>
        <w:t>Summary available at</w:t>
      </w:r>
      <w:r w:rsidRPr="00A85BB8">
        <w:rPr>
          <w:sz w:val="16"/>
          <w:szCs w:val="16"/>
        </w:rPr>
        <w:t xml:space="preserve">: </w:t>
      </w:r>
      <w:hyperlink r:id="rId109" w:history="1">
        <w:r w:rsidRPr="00B6101A">
          <w:rPr>
            <w:rStyle w:val="Hiperpovezava"/>
            <w:sz w:val="16"/>
            <w:szCs w:val="16"/>
          </w:rPr>
          <w:t>https://www.umar.gov.si/fileadmin/user_upload/publikacije/ESSP/2021/angleski/ESSP_2021_Summary.pdf</w:t>
        </w:r>
      </w:hyperlink>
      <w:r>
        <w:rPr>
          <w:sz w:val="16"/>
          <w:szCs w:val="16"/>
        </w:rPr>
        <w:t xml:space="preserve"> </w:t>
      </w:r>
      <w:r w:rsidRPr="00E6502B">
        <w:rPr>
          <w:sz w:val="16"/>
          <w:szCs w:val="16"/>
        </w:rPr>
        <w:t xml:space="preserve"> </w:t>
      </w:r>
    </w:p>
  </w:footnote>
  <w:footnote w:id="127">
    <w:p w14:paraId="15A7F1C9" w14:textId="77777777" w:rsidR="00DD13BF" w:rsidRPr="001D50AA" w:rsidRDefault="00DD13BF" w:rsidP="00DD13BF">
      <w:pPr>
        <w:pStyle w:val="Sprotnaopomba-besedilo"/>
        <w:rPr>
          <w:sz w:val="16"/>
          <w:szCs w:val="16"/>
        </w:rPr>
      </w:pPr>
      <w:r w:rsidRPr="001D50AA">
        <w:rPr>
          <w:rStyle w:val="Sprotnaopomba-sklic"/>
          <w:sz w:val="16"/>
          <w:szCs w:val="16"/>
        </w:rPr>
        <w:footnoteRef/>
      </w:r>
      <w:r w:rsidRPr="001D50AA">
        <w:rPr>
          <w:sz w:val="16"/>
          <w:szCs w:val="16"/>
        </w:rPr>
        <w:t xml:space="preserve"> </w:t>
      </w:r>
      <w:r>
        <w:rPr>
          <w:sz w:val="16"/>
          <w:szCs w:val="16"/>
        </w:rPr>
        <w:t xml:space="preserve">The strategy is expected to be adopted by the end of 2022, and in any case before the start of the relevant activities.  </w:t>
      </w:r>
    </w:p>
  </w:footnote>
  <w:footnote w:id="128">
    <w:p w14:paraId="66F37825" w14:textId="77777777" w:rsidR="00DD13BF" w:rsidRPr="00C03228" w:rsidRDefault="00DD13BF" w:rsidP="00DD13BF">
      <w:pPr>
        <w:pStyle w:val="Sprotnaopomba-besedilo"/>
        <w:rPr>
          <w:sz w:val="16"/>
          <w:szCs w:val="16"/>
        </w:rPr>
      </w:pPr>
      <w:r w:rsidRPr="00C03228">
        <w:rPr>
          <w:rStyle w:val="Sprotnaopomba-sklic"/>
          <w:sz w:val="16"/>
          <w:szCs w:val="16"/>
        </w:rPr>
        <w:footnoteRef/>
      </w:r>
      <w:r w:rsidRPr="00C03228">
        <w:rPr>
          <w:sz w:val="16"/>
          <w:szCs w:val="16"/>
        </w:rPr>
        <w:t xml:space="preserve"> </w:t>
      </w:r>
      <w:r>
        <w:rPr>
          <w:sz w:val="16"/>
          <w:szCs w:val="16"/>
        </w:rPr>
        <w:t xml:space="preserve">MZ, draft act on ensuring funding for investment in Slovene health system in the 2021-2031 period, Ljubljana, 2021. Available at (in Slovene): </w:t>
      </w:r>
      <w:hyperlink r:id="rId110" w:history="1">
        <w:r w:rsidRPr="008834F8">
          <w:rPr>
            <w:rStyle w:val="Hiperpovezava"/>
            <w:sz w:val="16"/>
            <w:szCs w:val="16"/>
          </w:rPr>
          <w:t>https://e-uprava.gov.si/drzava-in-druzba/e-demokracija/predlogi-predpisov/predlog-predpisa.html?id=12742</w:t>
        </w:r>
      </w:hyperlink>
      <w:r>
        <w:rPr>
          <w:sz w:val="16"/>
          <w:szCs w:val="16"/>
        </w:rPr>
        <w:t>.</w:t>
      </w:r>
    </w:p>
  </w:footnote>
  <w:footnote w:id="129">
    <w:p w14:paraId="25551243" w14:textId="77777777" w:rsidR="00DD13BF" w:rsidRPr="00C165E1" w:rsidRDefault="00DD13BF" w:rsidP="00DD13BF">
      <w:pPr>
        <w:pStyle w:val="Sprotnaopomba-besedilo"/>
        <w:rPr>
          <w:sz w:val="16"/>
          <w:szCs w:val="16"/>
        </w:rPr>
      </w:pPr>
      <w:r w:rsidRPr="00C165E1">
        <w:rPr>
          <w:rStyle w:val="Sprotnaopomba-sklic"/>
          <w:sz w:val="16"/>
          <w:szCs w:val="16"/>
        </w:rPr>
        <w:footnoteRef/>
      </w:r>
      <w:r w:rsidRPr="00C165E1">
        <w:rPr>
          <w:sz w:val="16"/>
          <w:szCs w:val="16"/>
        </w:rPr>
        <w:t xml:space="preserve"> </w:t>
      </w:r>
      <w:r>
        <w:rPr>
          <w:sz w:val="16"/>
          <w:szCs w:val="16"/>
        </w:rPr>
        <w:t xml:space="preserve">The needs are identified in the document Mapping of healthcare and long-term care needs, including health workforce needs in order to ensure sustainable and coordinated action under Cohesion Policy 2021-2027. </w:t>
      </w:r>
    </w:p>
  </w:footnote>
  <w:footnote w:id="130">
    <w:p w14:paraId="4BAA609E" w14:textId="77777777" w:rsidR="00DD13BF" w:rsidRPr="00EC1662" w:rsidRDefault="00DD13BF" w:rsidP="00DD13BF">
      <w:pPr>
        <w:pStyle w:val="Sprotnaopomba-besedilo"/>
        <w:rPr>
          <w:sz w:val="16"/>
          <w:szCs w:val="16"/>
        </w:rPr>
      </w:pPr>
      <w:r w:rsidRPr="00EC1662">
        <w:rPr>
          <w:rStyle w:val="Sprotnaopomba-sklic"/>
          <w:sz w:val="16"/>
          <w:szCs w:val="16"/>
        </w:rPr>
        <w:footnoteRef/>
      </w:r>
      <w:r w:rsidRPr="00EC1662">
        <w:rPr>
          <w:sz w:val="16"/>
          <w:szCs w:val="16"/>
        </w:rPr>
        <w:t xml:space="preserve"> Anal</w:t>
      </w:r>
      <w:r>
        <w:rPr>
          <w:sz w:val="16"/>
          <w:szCs w:val="16"/>
        </w:rPr>
        <w:t>ysis of the health system in Slovenia</w:t>
      </w:r>
      <w:r w:rsidRPr="00EC1662">
        <w:rPr>
          <w:sz w:val="16"/>
          <w:szCs w:val="16"/>
        </w:rPr>
        <w:t xml:space="preserve">, </w:t>
      </w:r>
      <w:r>
        <w:rPr>
          <w:sz w:val="16"/>
          <w:szCs w:val="16"/>
        </w:rPr>
        <w:t>available at (in Slovene):</w:t>
      </w:r>
      <w:r w:rsidRPr="00EC1662">
        <w:rPr>
          <w:sz w:val="16"/>
          <w:szCs w:val="16"/>
        </w:rPr>
        <w:t xml:space="preserve"> </w:t>
      </w:r>
      <w:hyperlink r:id="rId111" w:history="1">
        <w:r w:rsidRPr="00EC1662">
          <w:rPr>
            <w:rStyle w:val="Hiperpovezava"/>
            <w:sz w:val="16"/>
            <w:szCs w:val="16"/>
          </w:rPr>
          <w:t>SLO_-analiza_ZS_povzetek_in_kljucne_ugotovitve_lektorirana_verzija.pdf (gov.si)</w:t>
        </w:r>
      </w:hyperlink>
      <w:r>
        <w:rPr>
          <w:sz w:val="16"/>
          <w:szCs w:val="16"/>
        </w:rPr>
        <w:t>.</w:t>
      </w:r>
    </w:p>
  </w:footnote>
  <w:footnote w:id="131">
    <w:p w14:paraId="624963CA" w14:textId="77777777" w:rsidR="00DD13BF" w:rsidRPr="003713AC" w:rsidRDefault="00DD13BF" w:rsidP="00DD13BF">
      <w:pPr>
        <w:pStyle w:val="Sprotnaopomba-besedilo"/>
        <w:rPr>
          <w:lang w:val="sl-SI"/>
        </w:rPr>
      </w:pPr>
      <w:r>
        <w:rPr>
          <w:rStyle w:val="Sprotnaopomba-sklic"/>
        </w:rPr>
        <w:footnoteRef/>
      </w:r>
      <w:r>
        <w:t xml:space="preserve"> </w:t>
      </w:r>
      <w:r w:rsidRPr="00EB55F5">
        <w:rPr>
          <w:sz w:val="16"/>
          <w:szCs w:val="16"/>
        </w:rPr>
        <w:t>Eu</w:t>
      </w:r>
      <w:r>
        <w:rPr>
          <w:sz w:val="16"/>
          <w:szCs w:val="16"/>
        </w:rPr>
        <w:t>r</w:t>
      </w:r>
      <w:r w:rsidRPr="00EB55F5">
        <w:rPr>
          <w:sz w:val="16"/>
          <w:szCs w:val="16"/>
        </w:rPr>
        <w:t>opean Union (2018). Cultural Heritage Counts for Europe.</w:t>
      </w:r>
    </w:p>
  </w:footnote>
  <w:footnote w:id="132">
    <w:p w14:paraId="348626C8" w14:textId="77777777" w:rsidR="00DD13BF" w:rsidRPr="00493E6D" w:rsidRDefault="00DD13BF" w:rsidP="00DD13BF">
      <w:pPr>
        <w:pStyle w:val="Sprotnaopomba-besedilo"/>
        <w:rPr>
          <w:sz w:val="16"/>
          <w:szCs w:val="16"/>
        </w:rPr>
      </w:pPr>
      <w:r w:rsidRPr="00493E6D">
        <w:rPr>
          <w:rStyle w:val="Sprotnaopomba-sklic"/>
          <w:sz w:val="16"/>
          <w:szCs w:val="16"/>
        </w:rPr>
        <w:footnoteRef/>
      </w:r>
      <w:r w:rsidRPr="00A352BB">
        <w:rPr>
          <w:sz w:val="16"/>
          <w:szCs w:val="16"/>
        </w:rPr>
        <w:t xml:space="preserve"> </w:t>
      </w:r>
      <w:r>
        <w:rPr>
          <w:sz w:val="16"/>
          <w:szCs w:val="16"/>
        </w:rPr>
        <w:t>Data from the research project No</w:t>
      </w:r>
      <w:r w:rsidRPr="00A352BB">
        <w:rPr>
          <w:sz w:val="16"/>
          <w:szCs w:val="16"/>
        </w:rPr>
        <w:t>. CRP V6-1510</w:t>
      </w:r>
      <w:r w:rsidRPr="00493E6D">
        <w:rPr>
          <w:sz w:val="16"/>
          <w:szCs w:val="16"/>
        </w:rPr>
        <w:t xml:space="preserve"> “</w:t>
      </w:r>
      <w:r>
        <w:rPr>
          <w:sz w:val="16"/>
          <w:szCs w:val="16"/>
        </w:rPr>
        <w:t>Integrated methodology for inventory and analysis of degraded areas, pilot inventory and setting up of an updated register (2015-2017)”</w:t>
      </w:r>
      <w:r w:rsidRPr="00493E6D">
        <w:rPr>
          <w:sz w:val="16"/>
          <w:szCs w:val="16"/>
        </w:rPr>
        <w:t xml:space="preserve"> </w:t>
      </w:r>
      <w:r>
        <w:rPr>
          <w:sz w:val="16"/>
          <w:szCs w:val="16"/>
        </w:rPr>
        <w:t>and from the follow-up study compiling the change in the state of play between</w:t>
      </w:r>
      <w:r w:rsidRPr="00493E6D">
        <w:rPr>
          <w:sz w:val="16"/>
          <w:szCs w:val="16"/>
        </w:rPr>
        <w:t xml:space="preserve"> 2017 </w:t>
      </w:r>
      <w:r>
        <w:rPr>
          <w:sz w:val="16"/>
          <w:szCs w:val="16"/>
        </w:rPr>
        <w:t>and</w:t>
      </w:r>
      <w:r w:rsidRPr="00493E6D">
        <w:rPr>
          <w:sz w:val="16"/>
          <w:szCs w:val="16"/>
        </w:rPr>
        <w:t xml:space="preserve"> 2019 “</w:t>
      </w:r>
      <w:r>
        <w:rPr>
          <w:sz w:val="16"/>
          <w:szCs w:val="16"/>
        </w:rPr>
        <w:t>Updating data and spatial database of functionally degraded areas in Slovenia</w:t>
      </w:r>
      <w:r w:rsidRPr="00493E6D">
        <w:rPr>
          <w:sz w:val="16"/>
          <w:szCs w:val="16"/>
        </w:rPr>
        <w:t>”.</w:t>
      </w:r>
    </w:p>
  </w:footnote>
  <w:footnote w:id="133">
    <w:p w14:paraId="198A9DCD" w14:textId="77777777" w:rsidR="00DD13BF" w:rsidRPr="00141AC4" w:rsidRDefault="00DD13BF" w:rsidP="00DD13BF">
      <w:pPr>
        <w:pStyle w:val="Sprotnaopomba-besedilo"/>
        <w:jc w:val="both"/>
        <w:rPr>
          <w:sz w:val="16"/>
          <w:szCs w:val="16"/>
        </w:rPr>
      </w:pPr>
      <w:r w:rsidRPr="00141AC4">
        <w:rPr>
          <w:rStyle w:val="Sprotnaopomba-sklic"/>
          <w:sz w:val="16"/>
          <w:szCs w:val="16"/>
        </w:rPr>
        <w:footnoteRef/>
      </w:r>
      <w:r w:rsidRPr="00141AC4">
        <w:rPr>
          <w:sz w:val="16"/>
          <w:szCs w:val="16"/>
        </w:rPr>
        <w:t xml:space="preserve"> </w:t>
      </w:r>
      <w:r>
        <w:rPr>
          <w:sz w:val="16"/>
          <w:szCs w:val="16"/>
        </w:rPr>
        <w:t>Ministry of Infrastructure, t</w:t>
      </w:r>
      <w:r>
        <w:rPr>
          <w:sz w:val="16"/>
          <w:szCs w:val="16"/>
          <w:lang w:val="en-GB"/>
        </w:rPr>
        <w:t>he National Strategy for the Phasing-Out of Coal and the Restructuring of Coal Regions in Accordance with the Principles of a Just Transition, December 2021</w:t>
      </w:r>
      <w:r>
        <w:rPr>
          <w:sz w:val="16"/>
          <w:szCs w:val="16"/>
        </w:rPr>
        <w:t xml:space="preserve">. The document was adopted by the government on 13 January 2022. Available at (in Slovene): </w:t>
      </w:r>
      <w:hyperlink r:id="rId112" w:history="1">
        <w:r w:rsidRPr="00677031">
          <w:rPr>
            <w:rStyle w:val="Hiperpovezava"/>
            <w:sz w:val="16"/>
            <w:szCs w:val="16"/>
          </w:rPr>
          <w:t>https://www.energetika-portal.si/dokumenti/strateski-razvojni-dokumenti/nacionalna-strategija-za-izstop-iz-premoga-in-prestrukturiranje-premogovnih-regij/</w:t>
        </w:r>
      </w:hyperlink>
      <w:r>
        <w:rPr>
          <w:sz w:val="16"/>
          <w:szCs w:val="16"/>
        </w:rPr>
        <w:t xml:space="preserve">. </w:t>
      </w:r>
    </w:p>
  </w:footnote>
  <w:footnote w:id="134">
    <w:p w14:paraId="75D47E76" w14:textId="77777777" w:rsidR="00DD13BF" w:rsidRPr="00110859" w:rsidRDefault="00DD13BF" w:rsidP="00DD13BF">
      <w:pPr>
        <w:pStyle w:val="Sprotnaopomba-besedilo"/>
        <w:rPr>
          <w:sz w:val="16"/>
          <w:szCs w:val="16"/>
        </w:rPr>
      </w:pPr>
      <w:r w:rsidRPr="00110859">
        <w:rPr>
          <w:rStyle w:val="Sprotnaopomba-sklic"/>
          <w:sz w:val="16"/>
          <w:szCs w:val="16"/>
        </w:rPr>
        <w:footnoteRef/>
      </w:r>
      <w:r w:rsidRPr="00110859">
        <w:rPr>
          <w:sz w:val="16"/>
          <w:szCs w:val="16"/>
        </w:rPr>
        <w:t xml:space="preserve"> </w:t>
      </w:r>
      <w:r>
        <w:rPr>
          <w:sz w:val="16"/>
          <w:szCs w:val="16"/>
        </w:rPr>
        <w:t>Smart Cities and Communities (PMIS)</w:t>
      </w:r>
      <w:r w:rsidRPr="00110859">
        <w:rPr>
          <w:sz w:val="16"/>
          <w:szCs w:val="16"/>
        </w:rPr>
        <w:t>, Horizontal</w:t>
      </w:r>
      <w:r>
        <w:rPr>
          <w:sz w:val="16"/>
          <w:szCs w:val="16"/>
        </w:rPr>
        <w:t xml:space="preserve"> Network of Information and Communication Technologies</w:t>
      </w:r>
      <w:r w:rsidRPr="00110859">
        <w:rPr>
          <w:sz w:val="16"/>
          <w:szCs w:val="16"/>
        </w:rPr>
        <w:t xml:space="preserve"> (HOM IKT), </w:t>
      </w:r>
      <w:r>
        <w:rPr>
          <w:sz w:val="16"/>
          <w:szCs w:val="16"/>
        </w:rPr>
        <w:t>Health-Medicine</w:t>
      </w:r>
      <w:r w:rsidRPr="00110859">
        <w:rPr>
          <w:sz w:val="16"/>
          <w:szCs w:val="16"/>
        </w:rPr>
        <w:t xml:space="preserve">, </w:t>
      </w:r>
      <w:r>
        <w:rPr>
          <w:sz w:val="16"/>
          <w:szCs w:val="16"/>
        </w:rPr>
        <w:t>Smart Buildings and Homes, including the Wood Chain (PSIDL)</w:t>
      </w:r>
      <w:r w:rsidRPr="00110859">
        <w:rPr>
          <w:sz w:val="16"/>
          <w:szCs w:val="16"/>
        </w:rPr>
        <w:t xml:space="preserve">, </w:t>
      </w:r>
      <w:r>
        <w:rPr>
          <w:sz w:val="16"/>
          <w:szCs w:val="16"/>
        </w:rPr>
        <w:t>Sustainable Food</w:t>
      </w:r>
      <w:r w:rsidRPr="00110859">
        <w:rPr>
          <w:sz w:val="16"/>
          <w:szCs w:val="16"/>
        </w:rPr>
        <w:t xml:space="preserve">, </w:t>
      </w:r>
      <w:r>
        <w:rPr>
          <w:sz w:val="16"/>
          <w:szCs w:val="16"/>
        </w:rPr>
        <w:t>Networks for the Transition to a Circular Economy,</w:t>
      </w:r>
      <w:r w:rsidRPr="00110859">
        <w:rPr>
          <w:sz w:val="16"/>
          <w:szCs w:val="16"/>
        </w:rPr>
        <w:t xml:space="preserve"> </w:t>
      </w:r>
      <w:r>
        <w:rPr>
          <w:sz w:val="16"/>
          <w:szCs w:val="16"/>
        </w:rPr>
        <w:t>Sustainable Tourism</w:t>
      </w:r>
      <w:r w:rsidRPr="00110859">
        <w:rPr>
          <w:sz w:val="16"/>
          <w:szCs w:val="16"/>
        </w:rPr>
        <w:t>, Mobil</w:t>
      </w:r>
      <w:r>
        <w:rPr>
          <w:sz w:val="16"/>
          <w:szCs w:val="16"/>
        </w:rPr>
        <w:t>ity, Factories of the Future</w:t>
      </w:r>
      <w:r w:rsidRPr="00110859">
        <w:rPr>
          <w:sz w:val="16"/>
          <w:szCs w:val="16"/>
        </w:rPr>
        <w:t>, Material</w:t>
      </w:r>
      <w:r>
        <w:rPr>
          <w:sz w:val="16"/>
          <w:szCs w:val="16"/>
        </w:rPr>
        <w:t>s as End Products</w:t>
      </w:r>
      <w:r w:rsidRPr="00110859">
        <w:rPr>
          <w:sz w:val="16"/>
          <w:szCs w:val="16"/>
        </w:rPr>
        <w:t>.</w:t>
      </w:r>
    </w:p>
  </w:footnote>
  <w:footnote w:id="135">
    <w:p w14:paraId="74046F86" w14:textId="77777777" w:rsidR="00DD13BF" w:rsidRPr="008B3FE1" w:rsidRDefault="00DD13BF" w:rsidP="00DD13BF">
      <w:pPr>
        <w:pStyle w:val="Sprotnaopomba-besedilo"/>
        <w:rPr>
          <w:sz w:val="16"/>
          <w:szCs w:val="16"/>
        </w:rPr>
      </w:pPr>
      <w:r w:rsidRPr="008B3FE1">
        <w:rPr>
          <w:rStyle w:val="Sprotnaopomba-sklic"/>
          <w:sz w:val="16"/>
          <w:szCs w:val="16"/>
        </w:rPr>
        <w:footnoteRef/>
      </w:r>
      <w:r w:rsidRPr="008B3FE1">
        <w:rPr>
          <w:sz w:val="16"/>
          <w:szCs w:val="16"/>
        </w:rPr>
        <w:t xml:space="preserve"> </w:t>
      </w:r>
      <w:r>
        <w:rPr>
          <w:sz w:val="16"/>
          <w:szCs w:val="16"/>
        </w:rPr>
        <w:t xml:space="preserve">Both strategies are under preparation. </w:t>
      </w:r>
    </w:p>
  </w:footnote>
  <w:footnote w:id="136">
    <w:p w14:paraId="69374EDB" w14:textId="77777777" w:rsidR="00DD13BF" w:rsidRPr="00B2340D" w:rsidRDefault="00DD13BF" w:rsidP="00DD13BF">
      <w:pPr>
        <w:pStyle w:val="Sprotnaopomba-besedilo"/>
        <w:rPr>
          <w:sz w:val="16"/>
          <w:szCs w:val="16"/>
        </w:rPr>
      </w:pPr>
      <w:r w:rsidRPr="00B2340D">
        <w:rPr>
          <w:rStyle w:val="Sprotnaopomba-sklic"/>
          <w:sz w:val="16"/>
          <w:szCs w:val="16"/>
        </w:rPr>
        <w:footnoteRef/>
      </w:r>
      <w:r w:rsidRPr="00B2340D">
        <w:rPr>
          <w:sz w:val="16"/>
          <w:szCs w:val="16"/>
        </w:rPr>
        <w:t xml:space="preserve"> </w:t>
      </w:r>
      <w:r>
        <w:rPr>
          <w:sz w:val="16"/>
          <w:szCs w:val="16"/>
        </w:rPr>
        <w:t xml:space="preserve">This includes the policy of data re-use that is defined in the Public Information Access Act and complies with the Open Data Directive and the European Strategy for Data and will promote the data economy and its development (where relevant and acceptable). </w:t>
      </w:r>
    </w:p>
  </w:footnote>
  <w:footnote w:id="137">
    <w:p w14:paraId="09D9060C" w14:textId="77777777" w:rsidR="00DD13BF" w:rsidRPr="00337C80" w:rsidRDefault="00DD13BF" w:rsidP="00DD13BF">
      <w:pPr>
        <w:pStyle w:val="Sprotnaopomba-besedilo"/>
        <w:rPr>
          <w:sz w:val="16"/>
          <w:szCs w:val="16"/>
        </w:rPr>
      </w:pPr>
      <w:r w:rsidRPr="00337C80">
        <w:rPr>
          <w:rStyle w:val="Sprotnaopomba-sklic"/>
          <w:sz w:val="16"/>
          <w:szCs w:val="16"/>
        </w:rPr>
        <w:footnoteRef/>
      </w:r>
      <w:r w:rsidRPr="00337C80">
        <w:rPr>
          <w:sz w:val="16"/>
          <w:szCs w:val="16"/>
        </w:rPr>
        <w:t xml:space="preserve"> </w:t>
      </w:r>
      <w:r>
        <w:rPr>
          <w:sz w:val="16"/>
          <w:szCs w:val="16"/>
        </w:rPr>
        <w:t>For example</w:t>
      </w:r>
      <w:r w:rsidRPr="00337C80">
        <w:rPr>
          <w:sz w:val="16"/>
          <w:szCs w:val="16"/>
        </w:rPr>
        <w:t>: Single</w:t>
      </w:r>
      <w:r>
        <w:rPr>
          <w:sz w:val="16"/>
          <w:szCs w:val="16"/>
        </w:rPr>
        <w:t xml:space="preserve"> Digital Gateway Regulation.</w:t>
      </w:r>
    </w:p>
  </w:footnote>
  <w:footnote w:id="138">
    <w:p w14:paraId="65C9AFB5" w14:textId="77777777" w:rsidR="00DD13BF" w:rsidRPr="00D00F94" w:rsidRDefault="00DD13BF" w:rsidP="00DD13BF">
      <w:pPr>
        <w:pStyle w:val="Sprotnaopomba-besedilo"/>
        <w:rPr>
          <w:sz w:val="16"/>
          <w:szCs w:val="16"/>
        </w:rPr>
      </w:pPr>
      <w:r w:rsidRPr="00D00F94">
        <w:rPr>
          <w:rStyle w:val="Sprotnaopomba-sklic"/>
          <w:sz w:val="16"/>
          <w:szCs w:val="16"/>
        </w:rPr>
        <w:footnoteRef/>
      </w:r>
      <w:r w:rsidRPr="00D00F94">
        <w:rPr>
          <w:sz w:val="16"/>
          <w:szCs w:val="16"/>
        </w:rPr>
        <w:t xml:space="preserve"> </w:t>
      </w:r>
      <w:r>
        <w:rPr>
          <w:sz w:val="16"/>
          <w:szCs w:val="16"/>
        </w:rPr>
        <w:t>With reference to Regulation</w:t>
      </w:r>
      <w:r w:rsidRPr="00D00F94">
        <w:rPr>
          <w:sz w:val="16"/>
          <w:szCs w:val="16"/>
        </w:rPr>
        <w:t xml:space="preserve"> (EU) 910/2014 (eIDAS)</w:t>
      </w:r>
      <w:r>
        <w:rPr>
          <w:sz w:val="16"/>
          <w:szCs w:val="16"/>
        </w:rPr>
        <w:t>.</w:t>
      </w:r>
    </w:p>
  </w:footnote>
  <w:footnote w:id="139">
    <w:p w14:paraId="0566992F" w14:textId="77777777" w:rsidR="00DD13BF" w:rsidRPr="00D00F94" w:rsidRDefault="00DD13BF" w:rsidP="00DD13BF">
      <w:pPr>
        <w:pStyle w:val="Sprotnaopomba-besedilo"/>
        <w:rPr>
          <w:sz w:val="16"/>
          <w:szCs w:val="16"/>
        </w:rPr>
      </w:pPr>
      <w:r w:rsidRPr="00D00F94">
        <w:rPr>
          <w:rStyle w:val="Sprotnaopomba-sklic"/>
          <w:sz w:val="16"/>
          <w:szCs w:val="16"/>
        </w:rPr>
        <w:footnoteRef/>
      </w:r>
      <w:r w:rsidRPr="00D00F94">
        <w:rPr>
          <w:sz w:val="16"/>
          <w:szCs w:val="16"/>
        </w:rPr>
        <w:t xml:space="preserve"> </w:t>
      </w:r>
      <w:r>
        <w:rPr>
          <w:sz w:val="16"/>
          <w:szCs w:val="16"/>
        </w:rPr>
        <w:t xml:space="preserve">With reference to the European </w:t>
      </w:r>
      <w:r w:rsidRPr="00D00F94">
        <w:rPr>
          <w:sz w:val="16"/>
          <w:szCs w:val="16"/>
        </w:rPr>
        <w:t>Data Governance Act.</w:t>
      </w:r>
    </w:p>
  </w:footnote>
  <w:footnote w:id="140">
    <w:p w14:paraId="4C0F5F2A" w14:textId="77777777" w:rsidR="00DD13BF" w:rsidRDefault="00DD13BF" w:rsidP="00DD13BF">
      <w:pPr>
        <w:pStyle w:val="Sprotnaopomba-besedilo"/>
      </w:pPr>
      <w:r w:rsidRPr="005B06E9">
        <w:rPr>
          <w:rStyle w:val="Sprotnaopomba-sklic"/>
          <w:sz w:val="16"/>
          <w:szCs w:val="16"/>
        </w:rPr>
        <w:footnoteRef/>
      </w:r>
      <w:r w:rsidRPr="005B06E9">
        <w:rPr>
          <w:sz w:val="16"/>
          <w:szCs w:val="16"/>
        </w:rPr>
        <w:t xml:space="preserve"> </w:t>
      </w:r>
      <w:r>
        <w:rPr>
          <w:sz w:val="16"/>
          <w:szCs w:val="16"/>
        </w:rPr>
        <w:t>Communication from the Commission to the European Parliament, the Council, the European Economic and Social Committee and the Committee of the Regions ‘’A Union of Equality: Gender Equality Strategy 2020-2025’’. Available at:</w:t>
      </w:r>
      <w:r w:rsidRPr="005B06E9">
        <w:rPr>
          <w:sz w:val="16"/>
          <w:szCs w:val="16"/>
        </w:rPr>
        <w:t xml:space="preserve"> </w:t>
      </w:r>
      <w:hyperlink r:id="rId113" w:history="1">
        <w:r w:rsidRPr="00A15173">
          <w:rPr>
            <w:rStyle w:val="Hiperpovezava"/>
            <w:sz w:val="16"/>
            <w:szCs w:val="16"/>
          </w:rPr>
          <w:t>https://eur-lex.europa.eu/legal-content/EN/TXT/?uri=CELEX%3A52020DC0152</w:t>
        </w:r>
      </w:hyperlink>
    </w:p>
    <w:p w14:paraId="04C2A5DA" w14:textId="77777777" w:rsidR="00DD13BF" w:rsidRPr="005B06E9" w:rsidRDefault="00DD13BF" w:rsidP="00DD13BF">
      <w:pPr>
        <w:pStyle w:val="Sprotnaopomba-besedilo"/>
        <w:rPr>
          <w:sz w:val="16"/>
          <w:szCs w:val="16"/>
        </w:rPr>
      </w:pPr>
      <w:r>
        <w:rPr>
          <w:sz w:val="16"/>
          <w:szCs w:val="16"/>
        </w:rPr>
        <w:t xml:space="preserve"> </w:t>
      </w:r>
    </w:p>
  </w:footnote>
  <w:footnote w:id="141">
    <w:p w14:paraId="3A615CA2" w14:textId="77777777" w:rsidR="00DD13BF" w:rsidRDefault="00DD13BF" w:rsidP="00DD13BF">
      <w:pPr>
        <w:pStyle w:val="Sprotnaopomba-besedilo"/>
      </w:pPr>
      <w:r w:rsidRPr="001D2C54">
        <w:rPr>
          <w:rStyle w:val="Sprotnaopomba-sklic"/>
          <w:sz w:val="16"/>
          <w:szCs w:val="16"/>
        </w:rPr>
        <w:footnoteRef/>
      </w:r>
      <w:r w:rsidRPr="001D2C54">
        <w:rPr>
          <w:sz w:val="16"/>
          <w:szCs w:val="16"/>
        </w:rPr>
        <w:t xml:space="preserve"> </w:t>
      </w:r>
      <w:r>
        <w:rPr>
          <w:sz w:val="16"/>
          <w:szCs w:val="16"/>
        </w:rPr>
        <w:t>Maps showing spatial distribution of</w:t>
      </w:r>
      <w:r>
        <w:rPr>
          <w:rFonts w:eastAsia="Calibri"/>
          <w:sz w:val="16"/>
          <w:szCs w:val="16"/>
        </w:rPr>
        <w:t xml:space="preserve"> white spots are</w:t>
      </w:r>
      <w:r w:rsidRPr="00515138">
        <w:rPr>
          <w:rFonts w:eastAsia="Calibri"/>
          <w:sz w:val="16"/>
          <w:szCs w:val="16"/>
        </w:rPr>
        <w:t xml:space="preserve"> accessible at DID Bele lise (gov.si) and AKOS </w:t>
      </w:r>
      <w:r>
        <w:rPr>
          <w:rFonts w:eastAsia="Calibri"/>
          <w:sz w:val="16"/>
          <w:szCs w:val="16"/>
        </w:rPr>
        <w:t xml:space="preserve">(Agency for Communication Networks and Services of the Republic of Slovenia) </w:t>
      </w:r>
      <w:r w:rsidRPr="00515138">
        <w:rPr>
          <w:rFonts w:eastAsia="Calibri"/>
          <w:sz w:val="16"/>
          <w:szCs w:val="16"/>
        </w:rPr>
        <w:t>Geoportal (akos-rs.si). Th</w:t>
      </w:r>
      <w:r>
        <w:rPr>
          <w:rFonts w:eastAsia="Calibri"/>
          <w:sz w:val="16"/>
          <w:szCs w:val="16"/>
        </w:rPr>
        <w:t>e concrete list of addresses or</w:t>
      </w:r>
      <w:r w:rsidRPr="00515138">
        <w:rPr>
          <w:rFonts w:eastAsia="Calibri"/>
          <w:sz w:val="16"/>
          <w:szCs w:val="16"/>
        </w:rPr>
        <w:t xml:space="preserve"> households that were identified as white spots in the 2019 round of testing </w:t>
      </w:r>
      <w:r>
        <w:rPr>
          <w:rFonts w:eastAsia="Calibri"/>
          <w:sz w:val="16"/>
          <w:szCs w:val="16"/>
        </w:rPr>
        <w:t xml:space="preserve">of </w:t>
      </w:r>
      <w:r w:rsidRPr="00515138">
        <w:rPr>
          <w:rFonts w:eastAsia="Calibri"/>
          <w:sz w:val="16"/>
          <w:szCs w:val="16"/>
        </w:rPr>
        <w:t xml:space="preserve">commercial interest </w:t>
      </w:r>
      <w:r>
        <w:rPr>
          <w:rFonts w:eastAsia="Calibri"/>
          <w:sz w:val="16"/>
          <w:szCs w:val="16"/>
        </w:rPr>
        <w:t xml:space="preserve">and </w:t>
      </w:r>
      <w:r w:rsidRPr="00515138">
        <w:rPr>
          <w:rFonts w:eastAsia="Calibri"/>
          <w:sz w:val="16"/>
          <w:szCs w:val="16"/>
        </w:rPr>
        <w:t>subject of the public tender GOŠO 4 (Deployment of Open Broadband Networks)</w:t>
      </w:r>
      <w:r w:rsidRPr="00515138">
        <w:t xml:space="preserve"> </w:t>
      </w:r>
      <w:r w:rsidRPr="00872DC4">
        <w:rPr>
          <w:sz w:val="16"/>
          <w:szCs w:val="16"/>
        </w:rPr>
        <w:t>is available at</w:t>
      </w:r>
      <w:r>
        <w:rPr>
          <w:sz w:val="16"/>
          <w:szCs w:val="16"/>
        </w:rPr>
        <w:t>:</w:t>
      </w:r>
      <w:r>
        <w:t xml:space="preserve"> </w:t>
      </w:r>
      <w:r w:rsidRPr="00515138">
        <w:rPr>
          <w:rFonts w:eastAsia="Calibri"/>
          <w:sz w:val="16"/>
          <w:szCs w:val="16"/>
        </w:rPr>
        <w:t>[https://www.gov.si/assets/ministrstva/MJU/DID/GOSO/PRILO</w:t>
      </w:r>
      <w:r>
        <w:rPr>
          <w:rFonts w:eastAsia="Calibri"/>
          <w:sz w:val="16"/>
          <w:szCs w:val="16"/>
        </w:rPr>
        <w:t xml:space="preserve">GA_2_RD_BL_GOSO4_V4.xlsxin], </w:t>
      </w:r>
      <w:r w:rsidRPr="00515138">
        <w:rPr>
          <w:rFonts w:eastAsia="Calibri"/>
          <w:sz w:val="16"/>
          <w:szCs w:val="16"/>
        </w:rPr>
        <w:t xml:space="preserve">the </w:t>
      </w:r>
      <w:r>
        <w:rPr>
          <w:rFonts w:eastAsia="Calibri"/>
          <w:sz w:val="16"/>
          <w:szCs w:val="16"/>
        </w:rPr>
        <w:t xml:space="preserve">list of the </w:t>
      </w:r>
      <w:r w:rsidRPr="00515138">
        <w:rPr>
          <w:rFonts w:eastAsia="Calibri"/>
          <w:sz w:val="16"/>
          <w:szCs w:val="16"/>
        </w:rPr>
        <w:t xml:space="preserve">remaining white spots </w:t>
      </w:r>
      <w:r>
        <w:rPr>
          <w:rFonts w:eastAsia="Calibri"/>
          <w:sz w:val="16"/>
          <w:szCs w:val="16"/>
        </w:rPr>
        <w:t>that were subject of the public tender</w:t>
      </w:r>
      <w:r w:rsidRPr="00515138">
        <w:rPr>
          <w:rFonts w:eastAsia="Calibri"/>
          <w:sz w:val="16"/>
          <w:szCs w:val="16"/>
        </w:rPr>
        <w:t xml:space="preserve"> GOŠO 5 </w:t>
      </w:r>
      <w:r>
        <w:rPr>
          <w:rFonts w:eastAsia="Calibri"/>
          <w:sz w:val="16"/>
          <w:szCs w:val="16"/>
        </w:rPr>
        <w:t xml:space="preserve">is available at: </w:t>
      </w:r>
      <w:r w:rsidRPr="00515138">
        <w:rPr>
          <w:rFonts w:eastAsia="Calibri"/>
          <w:sz w:val="16"/>
          <w:szCs w:val="16"/>
        </w:rPr>
        <w:t xml:space="preserve">[https://www.gov.si/assets/ministrstva/MJU/DID/GOSO-5/PRILOGA_2_GOSO5_BL_cist.xlsx]. After completing the testing of commercial interest in 2021, a contract was signed with the only operator that showed interest; the contract involved </w:t>
      </w:r>
      <w:r>
        <w:rPr>
          <w:rFonts w:eastAsia="Calibri"/>
          <w:sz w:val="16"/>
          <w:szCs w:val="16"/>
        </w:rPr>
        <w:t>only</w:t>
      </w:r>
      <w:r w:rsidRPr="00515138">
        <w:rPr>
          <w:rFonts w:eastAsia="Calibri"/>
          <w:sz w:val="16"/>
          <w:szCs w:val="16"/>
        </w:rPr>
        <w:t xml:space="preserve"> 1,500 households. Therefore, by the end of 2022, the country expects to carry out another round of testing of commercial interest that will help identify white spots to be addressed by subsequent public tenders. [https://www.gov.si/assets/ministrstva/MJU/DID/GOSO/PR</w:t>
      </w:r>
      <w:r>
        <w:rPr>
          <w:rFonts w:eastAsia="Calibri"/>
          <w:sz w:val="16"/>
          <w:szCs w:val="16"/>
        </w:rPr>
        <w:t>ILOGA_2_RD_BL_GOSO4_V4.xlsxin] a</w:t>
      </w:r>
      <w:r w:rsidRPr="00515138">
        <w:rPr>
          <w:rFonts w:eastAsia="Calibri"/>
          <w:sz w:val="16"/>
          <w:szCs w:val="16"/>
        </w:rPr>
        <w:t>n</w:t>
      </w:r>
      <w:r>
        <w:rPr>
          <w:rFonts w:eastAsia="Calibri"/>
          <w:sz w:val="16"/>
          <w:szCs w:val="16"/>
        </w:rPr>
        <w:t>d</w:t>
      </w:r>
      <w:r w:rsidRPr="00515138">
        <w:rPr>
          <w:rFonts w:eastAsia="Calibri"/>
          <w:sz w:val="16"/>
          <w:szCs w:val="16"/>
        </w:rPr>
        <w:t xml:space="preserve"> GOŠO 5 [https://www.gov.si/assets/ministrstva/MJU/DID/GOSO-5/PRILOGA_2_GOSO5_BL_cist.xlsx].</w:t>
      </w:r>
    </w:p>
  </w:footnote>
  <w:footnote w:id="142">
    <w:p w14:paraId="442B94C8" w14:textId="77777777" w:rsidR="00DD13BF" w:rsidRPr="005D076D" w:rsidRDefault="00DD13BF" w:rsidP="00DD13BF">
      <w:pPr>
        <w:pStyle w:val="Sprotnaopomba-besedilo"/>
        <w:jc w:val="both"/>
        <w:rPr>
          <w:sz w:val="16"/>
          <w:szCs w:val="16"/>
        </w:rPr>
      </w:pPr>
      <w:r w:rsidRPr="005D076D">
        <w:rPr>
          <w:rStyle w:val="Sprotnaopomba-sklic"/>
          <w:sz w:val="16"/>
          <w:szCs w:val="16"/>
        </w:rPr>
        <w:footnoteRef/>
      </w:r>
      <w:r w:rsidRPr="005D076D">
        <w:rPr>
          <w:sz w:val="16"/>
          <w:szCs w:val="16"/>
        </w:rPr>
        <w:t xml:space="preserve"> </w:t>
      </w:r>
      <w:r>
        <w:rPr>
          <w:sz w:val="16"/>
          <w:szCs w:val="16"/>
        </w:rPr>
        <w:t xml:space="preserve">The area of digital connectivity will build on the actual needs that will be identified in the Gigabit Infrastructure Development Plan by 2030 that was approved by the government on 25 August 2022 and fully complies with the EU digital targets.  </w:t>
      </w:r>
    </w:p>
  </w:footnote>
  <w:footnote w:id="143">
    <w:p w14:paraId="56F7A601" w14:textId="77777777" w:rsidR="00DD13BF" w:rsidRDefault="00DD13BF" w:rsidP="00DD13BF">
      <w:r>
        <w:rPr>
          <w:sz w:val="16"/>
          <w:szCs w:val="16"/>
          <w:vertAlign w:val="superscript"/>
        </w:rPr>
        <w:footnoteRef/>
      </w:r>
      <w:r>
        <w:rPr>
          <w:sz w:val="16"/>
          <w:vertAlign w:val="superscript"/>
        </w:rPr>
        <w:t xml:space="preserve"> </w:t>
      </w:r>
      <w:r>
        <w:rPr>
          <w:sz w:val="16"/>
        </w:rPr>
        <w:t>If the study is not prepared in time, the stated guiding principle will not be taken into account for operations that will begin prior to the preparation of the study.</w:t>
      </w:r>
    </w:p>
  </w:footnote>
  <w:footnote w:id="144">
    <w:p w14:paraId="75A85D09" w14:textId="77777777" w:rsidR="00DD13BF" w:rsidRPr="00B2079E" w:rsidRDefault="00DD13BF" w:rsidP="00DD13BF">
      <w:pPr>
        <w:pStyle w:val="Sprotnaopomba-besedilo"/>
        <w:rPr>
          <w:sz w:val="16"/>
          <w:szCs w:val="16"/>
        </w:rPr>
      </w:pPr>
      <w:r>
        <w:rPr>
          <w:rStyle w:val="Sprotnaopomba-sklic"/>
          <w:sz w:val="16"/>
          <w:szCs w:val="16"/>
        </w:rPr>
        <w:footnoteRef/>
      </w:r>
      <w:r>
        <w:rPr>
          <w:sz w:val="16"/>
        </w:rPr>
        <w:t xml:space="preserve"> Wood not suitable for industrial processing and waste wood.</w:t>
      </w:r>
    </w:p>
  </w:footnote>
  <w:footnote w:id="145">
    <w:p w14:paraId="570618F4" w14:textId="77777777" w:rsidR="00DD13BF" w:rsidRPr="00E81F9C" w:rsidRDefault="00DD13BF" w:rsidP="00DD13BF">
      <w:pPr>
        <w:rPr>
          <w:sz w:val="16"/>
          <w:szCs w:val="16"/>
        </w:rPr>
      </w:pPr>
      <w:r>
        <w:rPr>
          <w:sz w:val="16"/>
          <w:szCs w:val="16"/>
          <w:vertAlign w:val="superscript"/>
        </w:rPr>
        <w:footnoteRef/>
      </w:r>
      <w:r>
        <w:rPr>
          <w:sz w:val="16"/>
          <w:vertAlign w:val="superscript"/>
        </w:rPr>
        <w:t xml:space="preserve"> </w:t>
      </w:r>
      <w:r>
        <w:rPr>
          <w:sz w:val="16"/>
        </w:rPr>
        <w:t>If the study is not prepared in time, the stated guiding principle will not be taken into account for operations that will begin prior to the preparation of the study.</w:t>
      </w:r>
    </w:p>
  </w:footnote>
  <w:footnote w:id="146">
    <w:p w14:paraId="1FF83E0E" w14:textId="77777777" w:rsidR="00DD13BF" w:rsidRPr="00861E9D" w:rsidRDefault="00DD13BF" w:rsidP="00DD13BF">
      <w:pPr>
        <w:pStyle w:val="Sprotnaopomba-besedilo"/>
        <w:rPr>
          <w:sz w:val="16"/>
          <w:szCs w:val="16"/>
        </w:rPr>
      </w:pPr>
      <w:r>
        <w:rPr>
          <w:rStyle w:val="Sprotnaopomba-sklic"/>
          <w:sz w:val="16"/>
          <w:szCs w:val="16"/>
        </w:rPr>
        <w:footnoteRef/>
      </w:r>
      <w:r>
        <w:rPr>
          <w:sz w:val="16"/>
        </w:rPr>
        <w:t xml:space="preserve"> According to the National Disaster Risk Assessment (no. </w:t>
      </w:r>
      <w:r>
        <w:rPr>
          <w:color w:val="000000"/>
          <w:sz w:val="16"/>
        </w:rPr>
        <w:t>84000-3/2018/3 of 6 December 2018), assessments of the state of the natural environment, past experiences with natural disasters, analyses of the situation and forecasts of an increase in climate-related natural disasters in the coming decades.</w:t>
      </w:r>
    </w:p>
  </w:footnote>
  <w:footnote w:id="147">
    <w:p w14:paraId="11716AC4" w14:textId="77777777" w:rsidR="00DD13BF" w:rsidRPr="00B90514" w:rsidRDefault="00DD13BF" w:rsidP="00DD13BF">
      <w:pPr>
        <w:pStyle w:val="Sprotnaopomba-besedilo"/>
        <w:rPr>
          <w:sz w:val="16"/>
          <w:szCs w:val="16"/>
        </w:rPr>
      </w:pPr>
      <w:r>
        <w:rPr>
          <w:rStyle w:val="Sprotnaopomba-sklic"/>
          <w:sz w:val="16"/>
          <w:szCs w:val="16"/>
        </w:rPr>
        <w:footnoteRef/>
      </w:r>
      <w:r>
        <w:rPr>
          <w:sz w:val="16"/>
        </w:rPr>
        <w:t xml:space="preserve"> Available at: </w:t>
      </w:r>
      <w:hyperlink r:id="rId114" w:history="1">
        <w:r>
          <w:rPr>
            <w:rStyle w:val="Hiperpovezava"/>
            <w:sz w:val="16"/>
          </w:rPr>
          <w:t>https://www.gov.si/assets/ministrstva/MOP/Dokumenti/Voda/NZPO/e56d7a6180/predhodna_ocena_poplavne_ogrozenosti_2019.pdf</w:t>
        </w:r>
      </w:hyperlink>
      <w:r>
        <w:rPr>
          <w:sz w:val="16"/>
        </w:rPr>
        <w:t>.</w:t>
      </w:r>
    </w:p>
  </w:footnote>
  <w:footnote w:id="148">
    <w:p w14:paraId="4719A636" w14:textId="77777777" w:rsidR="00DD13BF" w:rsidRPr="00DB5BD1" w:rsidRDefault="00DD13BF" w:rsidP="00DD13BF">
      <w:pPr>
        <w:pStyle w:val="Sprotnaopomba-besedilo"/>
        <w:rPr>
          <w:sz w:val="16"/>
          <w:szCs w:val="16"/>
        </w:rPr>
      </w:pPr>
      <w:r>
        <w:rPr>
          <w:rStyle w:val="Sprotnaopomba-sklic"/>
          <w:sz w:val="16"/>
          <w:szCs w:val="16"/>
        </w:rPr>
        <w:footnoteRef/>
      </w:r>
      <w:r>
        <w:rPr>
          <w:sz w:val="16"/>
        </w:rPr>
        <w:t xml:space="preserve"> Currently, the Flood Risk Reduction Plan 2017–2021 still applies, but its updating is foreseen in 2022 (milestone in the RRP).</w:t>
      </w:r>
    </w:p>
  </w:footnote>
  <w:footnote w:id="149">
    <w:p w14:paraId="3E0A4A9F" w14:textId="77777777" w:rsidR="00DD13BF" w:rsidRPr="00894C1D" w:rsidRDefault="00DD13BF" w:rsidP="00DD13BF">
      <w:pPr>
        <w:pStyle w:val="Sprotnaopomba-besedilo"/>
        <w:rPr>
          <w:sz w:val="16"/>
          <w:szCs w:val="16"/>
        </w:rPr>
      </w:pPr>
      <w:r>
        <w:rPr>
          <w:rStyle w:val="Sprotnaopomba-sklic"/>
          <w:sz w:val="16"/>
          <w:szCs w:val="16"/>
        </w:rPr>
        <w:footnoteRef/>
      </w:r>
      <w:r>
        <w:rPr>
          <w:sz w:val="16"/>
        </w:rPr>
        <w:t xml:space="preserve"> Available at: </w:t>
      </w:r>
      <w:hyperlink r:id="rId115" w:history="1">
        <w:r>
          <w:rPr>
            <w:rStyle w:val="Hiperpovezava"/>
            <w:sz w:val="16"/>
          </w:rPr>
          <w:t>https://www.gov.si/assets/organi-v-sestavi/URSZR/Datoteke/Ocene-tveganja-za-nesrece/drzavna-ocena-tveganj-za-nesrece-2.0_2018_za-splet.pdf</w:t>
        </w:r>
      </w:hyperlink>
      <w:r>
        <w:rPr>
          <w:sz w:val="16"/>
        </w:rPr>
        <w:t xml:space="preserve">. </w:t>
      </w:r>
    </w:p>
  </w:footnote>
  <w:footnote w:id="150">
    <w:p w14:paraId="2BDD89E8" w14:textId="77777777" w:rsidR="00DD13BF" w:rsidRPr="001A40FC" w:rsidRDefault="00DD13BF" w:rsidP="00DD13BF">
      <w:pPr>
        <w:pStyle w:val="Sprotnaopomba-besedilo"/>
        <w:rPr>
          <w:sz w:val="16"/>
          <w:szCs w:val="16"/>
        </w:rPr>
      </w:pPr>
      <w:r>
        <w:rPr>
          <w:rStyle w:val="Sprotnaopomba-sklic"/>
          <w:sz w:val="16"/>
          <w:szCs w:val="16"/>
        </w:rPr>
        <w:footnoteRef/>
      </w:r>
      <w:r>
        <w:rPr>
          <w:sz w:val="16"/>
        </w:rPr>
        <w:t xml:space="preserve"> Government of the Republic of Slovenia, Operational Programme for the discharge and treatment of urban waste water, 2020. Available at: </w:t>
      </w:r>
      <w:hyperlink r:id="rId116" w:history="1">
        <w:r>
          <w:rPr>
            <w:rStyle w:val="Hiperpovezava"/>
            <w:sz w:val="16"/>
          </w:rPr>
          <w:t>https://www.gov.si/assets/ministrstva/MOP/Dokumenti/Voda/Odvajanje_ciscenje_komunalne_vode/op_odvajanje_ciscenje_komunalne_vode_2020.docx</w:t>
        </w:r>
      </w:hyperlink>
      <w:r>
        <w:rPr>
          <w:sz w:val="16"/>
        </w:rPr>
        <w:t>.</w:t>
      </w:r>
    </w:p>
  </w:footnote>
  <w:footnote w:id="151">
    <w:p w14:paraId="6D006272" w14:textId="77777777" w:rsidR="00DD13BF" w:rsidRPr="00E22ED7" w:rsidRDefault="00DD13BF" w:rsidP="00DD13BF">
      <w:pPr>
        <w:pStyle w:val="Sprotnaopomba-besedilo"/>
        <w:rPr>
          <w:sz w:val="16"/>
          <w:szCs w:val="16"/>
        </w:rPr>
      </w:pPr>
      <w:r>
        <w:rPr>
          <w:rStyle w:val="Sprotnaopomba-sklic"/>
          <w:sz w:val="16"/>
          <w:szCs w:val="16"/>
        </w:rPr>
        <w:footnoteRef/>
      </w:r>
      <w:r>
        <w:rPr>
          <w:sz w:val="16"/>
        </w:rPr>
        <w:t xml:space="preserve"> The programme is currently being drafted within the LIFE integrated project for enhanced management of Natura 2000 in Slovenia and constitutes a more detailed Prioritised Action Framework for the Natura 2000 network in Slovenia for Natura 2000 sites pursuant to Article 8 of Council Directive 92/43/EEC on the conservation of natural habitats and of wild fauna and flora (Habitats Directive) for the period of the Multiannual Financial Framework 2021–2027.</w:t>
      </w:r>
    </w:p>
  </w:footnote>
  <w:footnote w:id="152">
    <w:p w14:paraId="42CD8F19" w14:textId="77777777" w:rsidR="00DD13BF" w:rsidRPr="007240AF" w:rsidRDefault="00DD13BF" w:rsidP="00DD13BF">
      <w:pPr>
        <w:pStyle w:val="Sprotnaopomba-besedilo"/>
        <w:rPr>
          <w:sz w:val="16"/>
          <w:szCs w:val="16"/>
        </w:rPr>
      </w:pPr>
      <w:r>
        <w:rPr>
          <w:rStyle w:val="Sprotnaopomba-sklic"/>
          <w:sz w:val="16"/>
          <w:szCs w:val="16"/>
        </w:rPr>
        <w:footnoteRef/>
      </w:r>
      <w:r>
        <w:rPr>
          <w:sz w:val="16"/>
        </w:rPr>
        <w:t xml:space="preserve"> The objective will be operationalised in the national policy after the adoption of the new spatial policy. The baseline value is determined on a case-by-case basis (for individual settlements) as part of the planning process. Therefore, it is neither ascertainable nor determined at the national level.</w:t>
      </w:r>
    </w:p>
  </w:footnote>
  <w:footnote w:id="153">
    <w:p w14:paraId="62F78A45" w14:textId="77777777" w:rsidR="00DD13BF" w:rsidRPr="00CE451E" w:rsidRDefault="00DD13BF" w:rsidP="00DD13BF">
      <w:pPr>
        <w:rPr>
          <w:sz w:val="16"/>
          <w:szCs w:val="16"/>
        </w:rPr>
      </w:pPr>
      <w:r>
        <w:rPr>
          <w:sz w:val="16"/>
          <w:szCs w:val="16"/>
          <w:vertAlign w:val="superscript"/>
        </w:rPr>
        <w:footnoteRef/>
      </w:r>
      <w:r>
        <w:rPr>
          <w:sz w:val="16"/>
        </w:rPr>
        <w:t xml:space="preserve"> </w:t>
      </w:r>
      <w:hyperlink r:id="rId117" w:history="1">
        <w:r>
          <w:rPr>
            <w:rStyle w:val="Hiperpovezava"/>
            <w:sz w:val="16"/>
          </w:rPr>
          <w:t>http://kazalci.arso.gov.si/sl/content/raba-koncne-energije-v-prometu-3</w:t>
        </w:r>
      </w:hyperlink>
      <w:r>
        <w:rPr>
          <w:sz w:val="16"/>
        </w:rPr>
        <w:t xml:space="preserve"> </w:t>
      </w:r>
    </w:p>
  </w:footnote>
  <w:footnote w:id="154">
    <w:p w14:paraId="4D807140" w14:textId="77777777" w:rsidR="00DD13BF" w:rsidRPr="00936F88" w:rsidRDefault="00DD13BF" w:rsidP="00DD13BF">
      <w:pPr>
        <w:pStyle w:val="Sprotnaopomba-besedilo"/>
        <w:rPr>
          <w:sz w:val="16"/>
          <w:szCs w:val="16"/>
        </w:rPr>
      </w:pPr>
      <w:r>
        <w:rPr>
          <w:rStyle w:val="Sprotnaopomba-sklic"/>
          <w:sz w:val="16"/>
          <w:szCs w:val="16"/>
        </w:rPr>
        <w:footnoteRef/>
      </w:r>
      <w:r>
        <w:rPr>
          <w:sz w:val="16"/>
        </w:rPr>
        <w:t xml:space="preserve"> Available at: </w:t>
      </w:r>
      <w:hyperlink r:id="rId118" w:history="1">
        <w:r>
          <w:rPr>
            <w:rStyle w:val="Hiperpovezava"/>
            <w:sz w:val="16"/>
          </w:rPr>
          <w:t>https://www.energetika-portal.si/fileadmin/dokumenti/publikacije/alternativna_goriva/strategija_alternativna_goriva_final.pdf</w:t>
        </w:r>
      </w:hyperlink>
      <w:r>
        <w:rPr>
          <w:sz w:val="16"/>
        </w:rPr>
        <w:t xml:space="preserve">. </w:t>
      </w:r>
    </w:p>
  </w:footnote>
  <w:footnote w:id="155">
    <w:p w14:paraId="53858B93" w14:textId="77777777" w:rsidR="00DD13BF" w:rsidRDefault="00DD13BF" w:rsidP="00DD13BF">
      <w:pPr>
        <w:pStyle w:val="Sprotnaopomba-besedilo"/>
      </w:pPr>
      <w:r>
        <w:rPr>
          <w:rStyle w:val="Sprotnaopomba-sklic"/>
          <w:sz w:val="16"/>
          <w:szCs w:val="16"/>
        </w:rPr>
        <w:footnoteRef/>
      </w:r>
      <w:r>
        <w:rPr>
          <w:sz w:val="16"/>
        </w:rPr>
        <w:t xml:space="preserve"> Ministry of Infrastructure, Transport Development Strategy of the Republic of Slovenia by 2030. Available at: </w:t>
      </w:r>
      <w:hyperlink r:id="rId119" w:history="1">
        <w:r>
          <w:rPr>
            <w:rStyle w:val="Hiperpovezava"/>
            <w:sz w:val="16"/>
          </w:rPr>
          <w:t>https://www.gov.si/assets/ministrstva/MzI/Dokumenti/Strategija-razvoja-prometa-v-Republiki-Sloveniji-do-leta-2030.pdf</w:t>
        </w:r>
      </w:hyperlink>
      <w:r>
        <w:rPr>
          <w:sz w:val="16"/>
        </w:rPr>
        <w:t>.</w:t>
      </w:r>
    </w:p>
  </w:footnote>
  <w:footnote w:id="156">
    <w:p w14:paraId="454872C0" w14:textId="77777777" w:rsidR="00DD13BF" w:rsidRPr="003763C3" w:rsidRDefault="00DD13BF" w:rsidP="00DD13BF">
      <w:pPr>
        <w:pStyle w:val="Sprotnaopomba-besedilo"/>
        <w:rPr>
          <w:sz w:val="16"/>
          <w:szCs w:val="16"/>
        </w:rPr>
      </w:pPr>
      <w:r>
        <w:rPr>
          <w:rStyle w:val="Sprotnaopomba-sklic"/>
          <w:sz w:val="16"/>
          <w:szCs w:val="16"/>
        </w:rPr>
        <w:footnoteRef/>
      </w:r>
      <w:r>
        <w:rPr>
          <w:sz w:val="16"/>
        </w:rPr>
        <w:t xml:space="preserve"> Resolution on the National Programme for the Development of Transport of the Republic of Slovenia until 2030</w:t>
      </w:r>
      <w:r>
        <w:t xml:space="preserve"> </w:t>
      </w:r>
      <w:r>
        <w:rPr>
          <w:sz w:val="16"/>
        </w:rPr>
        <w:t>(Official Gazette of the Republic of Slovenia [</w:t>
      </w:r>
      <w:r>
        <w:rPr>
          <w:i/>
          <w:iCs/>
          <w:sz w:val="16"/>
        </w:rPr>
        <w:t>Uradni list RS</w:t>
      </w:r>
      <w:r>
        <w:rPr>
          <w:sz w:val="16"/>
        </w:rPr>
        <w:t xml:space="preserve">], Nos. 75/16 and 90/21). Available at: </w:t>
      </w:r>
      <w:hyperlink r:id="rId120" w:history="1">
        <w:r>
          <w:rPr>
            <w:rStyle w:val="Hiperpovezava"/>
            <w:sz w:val="16"/>
          </w:rPr>
          <w:t>http://www.pisrs.si/Pis.web/pregledPredpisa?id=RESO115</w:t>
        </w:r>
      </w:hyperlink>
      <w:r>
        <w:rPr>
          <w:sz w:val="16"/>
        </w:rPr>
        <w:t xml:space="preserve">. </w:t>
      </w:r>
    </w:p>
  </w:footnote>
  <w:footnote w:id="157">
    <w:p w14:paraId="0766FC41" w14:textId="77777777" w:rsidR="00DD13BF" w:rsidRPr="00C932CA" w:rsidRDefault="00DD13BF" w:rsidP="00DD13BF">
      <w:pPr>
        <w:pStyle w:val="Sprotnaopomba-besedilo"/>
        <w:rPr>
          <w:sz w:val="16"/>
          <w:szCs w:val="16"/>
        </w:rPr>
      </w:pPr>
      <w:r>
        <w:rPr>
          <w:rStyle w:val="Sprotnaopomba-sklic"/>
          <w:sz w:val="16"/>
          <w:szCs w:val="16"/>
        </w:rPr>
        <w:footnoteRef/>
      </w:r>
      <w:r>
        <w:rPr>
          <w:sz w:val="16"/>
        </w:rPr>
        <w:t xml:space="preserve"> EK, Country Report – Slovenia 2020, Commission Staff Working Document, SWD (2020), 523 final, Brussels.</w:t>
      </w:r>
    </w:p>
  </w:footnote>
  <w:footnote w:id="158">
    <w:p w14:paraId="14E80E8D" w14:textId="77777777" w:rsidR="00DD13BF" w:rsidRPr="001818EF" w:rsidRDefault="00DD13BF" w:rsidP="00DD13BF">
      <w:pPr>
        <w:pStyle w:val="Sprotnaopomba-besedilo"/>
        <w:rPr>
          <w:sz w:val="16"/>
          <w:szCs w:val="16"/>
        </w:rPr>
      </w:pPr>
      <w:r>
        <w:rPr>
          <w:rStyle w:val="Sprotnaopomba-sklic"/>
          <w:sz w:val="16"/>
          <w:szCs w:val="16"/>
        </w:rPr>
        <w:footnoteRef/>
      </w:r>
      <w:r>
        <w:rPr>
          <w:sz w:val="16"/>
        </w:rPr>
        <w:t xml:space="preserve"> ZRSZ, Report on long-term unemployed persons, September 2021. Available at: </w:t>
      </w:r>
      <w:hyperlink r:id="rId121" w:history="1">
        <w:r>
          <w:rPr>
            <w:rStyle w:val="Hiperpovezava"/>
            <w:sz w:val="16"/>
          </w:rPr>
          <w:t>https://www.ess.gov.si/_files/13926/DBO_2021.pdf</w:t>
        </w:r>
      </w:hyperlink>
      <w:r>
        <w:rPr>
          <w:sz w:val="16"/>
        </w:rPr>
        <w:t xml:space="preserve"> .</w:t>
      </w:r>
    </w:p>
  </w:footnote>
  <w:footnote w:id="159">
    <w:p w14:paraId="2582EEE5" w14:textId="77777777" w:rsidR="00DD13BF" w:rsidRPr="00460A70" w:rsidRDefault="00DD13BF" w:rsidP="00DD13BF">
      <w:pPr>
        <w:pStyle w:val="Sprotnaopomba-besedilo"/>
        <w:rPr>
          <w:sz w:val="16"/>
          <w:szCs w:val="16"/>
        </w:rPr>
      </w:pPr>
      <w:r>
        <w:rPr>
          <w:rStyle w:val="Sprotnaopomba-sklic"/>
          <w:sz w:val="16"/>
          <w:szCs w:val="16"/>
        </w:rPr>
        <w:footnoteRef/>
      </w:r>
      <w:r>
        <w:rPr>
          <w:sz w:val="16"/>
        </w:rPr>
        <w:t xml:space="preserve"> COM/2019/653 final. Available at: </w:t>
      </w:r>
      <w:hyperlink r:id="rId122" w:history="1">
        <w:r>
          <w:rPr>
            <w:rStyle w:val="Hiperpovezava"/>
            <w:sz w:val="16"/>
          </w:rPr>
          <w:t>https://eur-lex.europa.eu/legal-content/SL/TXT/?uri=CELEX:52019DC0653</w:t>
        </w:r>
      </w:hyperlink>
      <w:r>
        <w:rPr>
          <w:sz w:val="16"/>
        </w:rPr>
        <w:t xml:space="preserve">. </w:t>
      </w:r>
    </w:p>
  </w:footnote>
  <w:footnote w:id="160">
    <w:p w14:paraId="2B139F75" w14:textId="77777777" w:rsidR="00DD13BF" w:rsidRPr="003910C1" w:rsidRDefault="00DD13BF" w:rsidP="00DD13BF">
      <w:pPr>
        <w:pStyle w:val="Sprotnaopomba-besedilo"/>
        <w:rPr>
          <w:sz w:val="16"/>
          <w:szCs w:val="16"/>
        </w:rPr>
      </w:pPr>
      <w:r>
        <w:rPr>
          <w:rStyle w:val="Sprotnaopomba-sklic"/>
          <w:sz w:val="16"/>
          <w:szCs w:val="16"/>
        </w:rPr>
        <w:footnoteRef/>
      </w:r>
      <w:r>
        <w:rPr>
          <w:sz w:val="16"/>
        </w:rPr>
        <w:t xml:space="preserve"> Available at: </w:t>
      </w:r>
      <w:hyperlink r:id="rId123" w:history="1">
        <w:r>
          <w:rPr>
            <w:rStyle w:val="Hiperpovezava"/>
            <w:sz w:val="16"/>
          </w:rPr>
          <w:t>https://ec.europa.eu/education/education-in-the-eu/digital-education-action-plan_sl</w:t>
        </w:r>
      </w:hyperlink>
      <w:r>
        <w:rPr>
          <w:rStyle w:val="Hiperpovezava"/>
          <w:sz w:val="16"/>
        </w:rPr>
        <w:t>.</w:t>
      </w:r>
      <w:r>
        <w:rPr>
          <w:sz w:val="16"/>
        </w:rPr>
        <w:t xml:space="preserve"> </w:t>
      </w:r>
    </w:p>
  </w:footnote>
  <w:footnote w:id="161">
    <w:p w14:paraId="2AD9244C" w14:textId="77777777" w:rsidR="00DD13BF" w:rsidRPr="006966EB" w:rsidRDefault="00DD13BF" w:rsidP="00DD13BF">
      <w:pPr>
        <w:pStyle w:val="Sprotnaopomba-besedilo"/>
        <w:rPr>
          <w:sz w:val="16"/>
          <w:szCs w:val="16"/>
        </w:rPr>
      </w:pPr>
      <w:r>
        <w:rPr>
          <w:rStyle w:val="Sprotnaopomba-sklic"/>
          <w:sz w:val="16"/>
          <w:szCs w:val="16"/>
        </w:rPr>
        <w:footnoteRef/>
      </w:r>
      <w:r>
        <w:rPr>
          <w:sz w:val="16"/>
        </w:rPr>
        <w:t xml:space="preserve"> Official Gazette of the Republic of Slovenia [</w:t>
      </w:r>
      <w:r>
        <w:rPr>
          <w:i/>
          <w:iCs/>
          <w:sz w:val="16"/>
        </w:rPr>
        <w:t>Uradni list RS</w:t>
      </w:r>
      <w:r>
        <w:rPr>
          <w:sz w:val="16"/>
        </w:rPr>
        <w:t xml:space="preserve">], Nos. 16/07 – official consolidated text, 36/08, 58/09, 64/09 – corr., 65/09 – corr., 20/11, 40/12 – ZUJF, 57/12 – ZPCP-2D, 47/15, 46/16, 49/16 – corr., 25/17 – ZVaj, 123/21, 172/21 and 207/21. Available at: </w:t>
      </w:r>
      <w:hyperlink r:id="rId124" w:history="1">
        <w:r>
          <w:rPr>
            <w:rStyle w:val="Hiperpovezava"/>
            <w:sz w:val="16"/>
          </w:rPr>
          <w:t>http://pisrs.si/Pis.web/pregledPredpisa?id=ZAKO445</w:t>
        </w:r>
      </w:hyperlink>
      <w:r>
        <w:rPr>
          <w:sz w:val="16"/>
        </w:rPr>
        <w:t xml:space="preserve">. </w:t>
      </w:r>
    </w:p>
  </w:footnote>
  <w:footnote w:id="162">
    <w:p w14:paraId="67523473" w14:textId="77777777" w:rsidR="00DD13BF" w:rsidRPr="009E7454" w:rsidRDefault="00DD13BF" w:rsidP="00DD13BF">
      <w:pPr>
        <w:pStyle w:val="Sprotnaopomba-besedilo"/>
        <w:rPr>
          <w:sz w:val="16"/>
          <w:szCs w:val="16"/>
        </w:rPr>
      </w:pPr>
      <w:r>
        <w:rPr>
          <w:rStyle w:val="Sprotnaopomba-sklic"/>
          <w:sz w:val="16"/>
          <w:szCs w:val="16"/>
        </w:rPr>
        <w:footnoteRef/>
      </w:r>
      <w:r>
        <w:rPr>
          <w:sz w:val="16"/>
        </w:rPr>
        <w:t xml:space="preserve"> Official Gazette of the Republic of Slovenia [</w:t>
      </w:r>
      <w:r>
        <w:rPr>
          <w:i/>
          <w:iCs/>
          <w:sz w:val="16"/>
        </w:rPr>
        <w:t>Uradni list RS</w:t>
      </w:r>
      <w:r>
        <w:rPr>
          <w:sz w:val="16"/>
        </w:rPr>
        <w:t>], available at: http://pisrs.si/Pis.web/pregledPredpisa?id=ZAKO445.</w:t>
      </w:r>
    </w:p>
  </w:footnote>
  <w:footnote w:id="163">
    <w:p w14:paraId="57B30C7F" w14:textId="77777777" w:rsidR="00DD13BF" w:rsidRPr="00011B75" w:rsidRDefault="00DD13BF" w:rsidP="00DD13BF">
      <w:pPr>
        <w:pStyle w:val="Sprotnaopomba-besedilo"/>
        <w:rPr>
          <w:sz w:val="16"/>
          <w:szCs w:val="16"/>
        </w:rPr>
      </w:pPr>
      <w:r>
        <w:rPr>
          <w:rStyle w:val="Sprotnaopomba-sklic"/>
          <w:sz w:val="16"/>
          <w:szCs w:val="16"/>
        </w:rPr>
        <w:footnoteRef/>
      </w:r>
      <w:r>
        <w:rPr>
          <w:sz w:val="16"/>
        </w:rPr>
        <w:t xml:space="preserve"> Official Gazette of the Republic of Slovenia [</w:t>
      </w:r>
      <w:r>
        <w:rPr>
          <w:i/>
          <w:iCs/>
          <w:sz w:val="16"/>
        </w:rPr>
        <w:t>Uradni list RS</w:t>
      </w:r>
      <w:r>
        <w:rPr>
          <w:sz w:val="16"/>
        </w:rPr>
        <w:t>], available at: http://www.pisrs.si/Pis.web/pregledPredpisa?id=RESO139.</w:t>
      </w:r>
    </w:p>
  </w:footnote>
  <w:footnote w:id="164">
    <w:p w14:paraId="0AF3537C" w14:textId="77777777" w:rsidR="00DD13BF" w:rsidRPr="000F1C6C" w:rsidRDefault="00DD13BF" w:rsidP="00DD13BF">
      <w:pPr>
        <w:pStyle w:val="Sprotnaopomba-besedilo"/>
        <w:rPr>
          <w:sz w:val="16"/>
          <w:szCs w:val="16"/>
        </w:rPr>
      </w:pPr>
      <w:r>
        <w:rPr>
          <w:rStyle w:val="Sprotnaopomba-sklic"/>
          <w:sz w:val="16"/>
          <w:szCs w:val="16"/>
        </w:rPr>
        <w:footnoteRef/>
      </w:r>
      <w:r>
        <w:rPr>
          <w:sz w:val="16"/>
        </w:rPr>
        <w:t xml:space="preserve"> UMAR, European Pillar of Social Rights, Slovenia 2000–2020, 2021. Available at: </w:t>
      </w:r>
      <w:hyperlink r:id="rId125" w:history="1">
        <w:r>
          <w:rPr>
            <w:rStyle w:val="Hiperpovezava"/>
            <w:sz w:val="16"/>
          </w:rPr>
          <w:t>https://www.umar.gov.si/fileadmin/user_upload/publikacije/ESSP/2021/ESSP_splet.pdf</w:t>
        </w:r>
      </w:hyperlink>
      <w:r>
        <w:rPr>
          <w:sz w:val="16"/>
        </w:rPr>
        <w:t>.</w:t>
      </w:r>
    </w:p>
  </w:footnote>
  <w:footnote w:id="165">
    <w:p w14:paraId="33D66C60" w14:textId="77777777" w:rsidR="00DD13BF" w:rsidRPr="000F1C6C" w:rsidRDefault="00DD13BF" w:rsidP="00DD13BF">
      <w:pPr>
        <w:pStyle w:val="Sprotnaopomba-besedilo"/>
        <w:rPr>
          <w:sz w:val="16"/>
          <w:szCs w:val="16"/>
        </w:rPr>
      </w:pPr>
      <w:r>
        <w:rPr>
          <w:rStyle w:val="Sprotnaopomba-sklic"/>
          <w:sz w:val="16"/>
          <w:szCs w:val="16"/>
        </w:rPr>
        <w:footnoteRef/>
      </w:r>
      <w:r>
        <w:rPr>
          <w:sz w:val="16"/>
        </w:rPr>
        <w:t xml:space="preserve"> The Resolution was adopted on 23 March 2022. Available a</w:t>
      </w:r>
      <w:r>
        <w:t>t</w:t>
      </w:r>
      <w:r>
        <w:rPr>
          <w:sz w:val="16"/>
        </w:rPr>
        <w:t xml:space="preserve">: </w:t>
      </w:r>
      <w:hyperlink r:id="rId126" w:history="1">
        <w:r>
          <w:rPr>
            <w:rStyle w:val="Hiperpovezava"/>
            <w:sz w:val="16"/>
          </w:rPr>
          <w:t>https://e-uprava.gov.si/drzava-in-druzba/e-demokracija/predlogi-predpisov/predlog-predpisa.html?id=13038</w:t>
        </w:r>
      </w:hyperlink>
      <w:r>
        <w:rPr>
          <w:sz w:val="16"/>
        </w:rPr>
        <w:t xml:space="preserve">. </w:t>
      </w:r>
    </w:p>
  </w:footnote>
  <w:footnote w:id="166">
    <w:p w14:paraId="44087EC9" w14:textId="77777777" w:rsidR="00DD13BF" w:rsidRPr="00CB5E6F" w:rsidRDefault="00DD13BF" w:rsidP="00DD13BF">
      <w:pPr>
        <w:rPr>
          <w:sz w:val="16"/>
          <w:szCs w:val="16"/>
        </w:rPr>
      </w:pPr>
      <w:r>
        <w:rPr>
          <w:rStyle w:val="Sprotnaopomba-sklic"/>
          <w:sz w:val="16"/>
          <w:szCs w:val="16"/>
        </w:rPr>
        <w:footnoteRef/>
      </w:r>
      <w:r>
        <w:rPr>
          <w:sz w:val="16"/>
        </w:rPr>
        <w:t xml:space="preserve"> Health care infrastructure measures are based on the investment gap, and the results of infrastructure and service mapping In accordance with the UN Convention on the Rights of Persons with Disabilities, a review of decisions for priority investments will be made based on an assessment of individual needs. Mapping is based on a review of the current number of residential institutions (including residential institutions in the community) and non-residential family communities of services, taking into account territorial inequalities and demographic challenges. All investments in health care infrastructure will fully comply with the requirements of the UN Convention on the Rights of Persons with Disabilities, including General Comment No. 5 and the conclusions of the UNCRPD Committee, while taking into account the principles of equality, freedom of choice, the right to live independently, accessibility, and the prohibition of all forms of segregation. In addition, each investment will ensure accessibility in line with the latest EU accessibility standards. Investments will have to demonstrate compliance with the deinstitutionalisation strategy, and the relevant EU political and legal frameworks for respect for human rights, i.e. the UN Convention on the Rights of Persons with Disabilities and General Comment No. 5, the European Pillar of Social Rights, and the Strategy for the rights of persons with disabilities 2021–2030. Investments will follow the deinstitutionalisation strategy, so that they do not contribute to the creation of new environments that are not fully in line with the UNCRPD. According to the partnership principle, independent bodies for fundamental rights and human rights organisations will be involved in all phases of programming, implementation, monitoring, and evaluation of investments in social and health infrastructure to ensure respect for the principles of independent living, non-segregation, and non-discrimination in accordance with the UN Convention on the Rights of Persons with Disabilities and the Charter.</w:t>
      </w:r>
    </w:p>
  </w:footnote>
  <w:footnote w:id="167">
    <w:p w14:paraId="14F4ABAE" w14:textId="77777777" w:rsidR="00DD13BF" w:rsidRPr="00A65DE5" w:rsidRDefault="00DD13BF" w:rsidP="00DD13BF">
      <w:pPr>
        <w:pStyle w:val="Sprotnaopomba-besedilo"/>
        <w:rPr>
          <w:sz w:val="16"/>
          <w:szCs w:val="16"/>
        </w:rPr>
      </w:pPr>
      <w:r>
        <w:rPr>
          <w:rStyle w:val="Sprotnaopomba-sklic"/>
          <w:sz w:val="16"/>
          <w:szCs w:val="16"/>
        </w:rPr>
        <w:footnoteRef/>
      </w:r>
      <w:r>
        <w:rPr>
          <w:sz w:val="16"/>
        </w:rPr>
        <w:t xml:space="preserve"> Ministry of Culture, Cultural Heritage Strategy 2020–2023, November 2019. Available at: </w:t>
      </w:r>
      <w:hyperlink r:id="rId127" w:history="1">
        <w:r>
          <w:rPr>
            <w:rStyle w:val="Hiperpovezava"/>
            <w:sz w:val="16"/>
          </w:rPr>
          <w:t>https://www.gov.si/assets/ministrstva/MK/DEDISCINA/STRAT_KD_2019.pdf</w:t>
        </w:r>
      </w:hyperlink>
      <w:r>
        <w:rPr>
          <w:sz w:val="16"/>
        </w:rPr>
        <w:t xml:space="preserve">. </w:t>
      </w:r>
    </w:p>
  </w:footnote>
  <w:footnote w:id="168">
    <w:p w14:paraId="096AF0B4" w14:textId="77777777" w:rsidR="00DD13BF" w:rsidRPr="00886370" w:rsidRDefault="00DD13BF" w:rsidP="00DD13BF">
      <w:pPr>
        <w:pStyle w:val="Sprotnaopomba-besedilo"/>
        <w:rPr>
          <w:sz w:val="16"/>
          <w:szCs w:val="16"/>
        </w:rPr>
      </w:pPr>
      <w:r>
        <w:rPr>
          <w:rStyle w:val="Sprotnaopomba-sklic"/>
          <w:sz w:val="16"/>
          <w:szCs w:val="16"/>
        </w:rPr>
        <w:footnoteRef/>
      </w:r>
      <w:r>
        <w:rPr>
          <w:sz w:val="16"/>
        </w:rPr>
        <w:t xml:space="preserve"> Ministry of Economic Development and Technology, Slovenian Tourism Strategy 2022–2028: Green and boutique. Low carbon. Greater value for everyone, May 2022. Available at: </w:t>
      </w:r>
      <w:hyperlink r:id="rId128" w:history="1">
        <w:r>
          <w:rPr>
            <w:rStyle w:val="Hiperpovezava"/>
            <w:sz w:val="16"/>
          </w:rPr>
          <w:t>https://www.gov.si/assets/ministrstva/MGRT/Dokumenti/DTUR/Nova-strategija-2022-2028/Strategija-slovenskega-turizma-2022-2028-dokument.pdf</w:t>
        </w:r>
      </w:hyperlink>
      <w:r>
        <w:rPr>
          <w:sz w:val="16"/>
        </w:rPr>
        <w:t xml:space="preserve">. </w:t>
      </w:r>
    </w:p>
  </w:footnote>
  <w:footnote w:id="169">
    <w:p w14:paraId="66A0EF99" w14:textId="77777777" w:rsidR="00DD13BF" w:rsidRPr="00886370" w:rsidRDefault="00DD13BF" w:rsidP="00DD13BF">
      <w:pPr>
        <w:pStyle w:val="Sprotnaopomba-besedilo"/>
        <w:rPr>
          <w:sz w:val="16"/>
          <w:szCs w:val="16"/>
        </w:rPr>
      </w:pPr>
      <w:r>
        <w:rPr>
          <w:rStyle w:val="Sprotnaopomba-sklic"/>
          <w:sz w:val="16"/>
          <w:szCs w:val="16"/>
        </w:rPr>
        <w:footnoteRef/>
      </w:r>
      <w:r>
        <w:rPr>
          <w:sz w:val="16"/>
        </w:rPr>
        <w:t xml:space="preserve"> Slovenian Tourism Strategy 2022–2028</w:t>
      </w:r>
      <w:r>
        <w:t xml:space="preserve">. </w:t>
      </w:r>
      <w:r>
        <w:rPr>
          <w:sz w:val="16"/>
        </w:rPr>
        <w:t>Available at: https://www.gov.si/assets/ministrstva/MGRT/Dokumenti/DTUR/Nova-strategija-2022-2028/Strategija-slovenskega-turizma-2022-2028-dokument.pdf.</w:t>
      </w:r>
    </w:p>
  </w:footnote>
  <w:footnote w:id="170">
    <w:p w14:paraId="4714A1FD" w14:textId="77777777" w:rsidR="00DD13BF" w:rsidRPr="00D13CBB" w:rsidRDefault="00DD13BF" w:rsidP="00DD13BF">
      <w:pPr>
        <w:pStyle w:val="Sprotnaopomba-besedilo"/>
        <w:rPr>
          <w:rStyle w:val="Sprotnaopomba-sklic"/>
          <w:sz w:val="16"/>
          <w:szCs w:val="16"/>
        </w:rPr>
      </w:pPr>
      <w:r>
        <w:rPr>
          <w:rStyle w:val="Sprotnaopomba-sklic"/>
          <w:sz w:val="16"/>
          <w:szCs w:val="16"/>
        </w:rPr>
        <w:footnoteRef/>
      </w:r>
      <w:r>
        <w:rPr>
          <w:rStyle w:val="Sprotnaopomba-sklic"/>
          <w:sz w:val="16"/>
        </w:rPr>
        <w:t xml:space="preserve"> </w:t>
      </w:r>
      <w:hyperlink r:id="rId129" w:history="1">
        <w:r>
          <w:rPr>
            <w:rStyle w:val="Sprotnaopomba-sklic"/>
            <w:sz w:val="16"/>
          </w:rPr>
          <w:t>https://ec.europa.eu/environment/integration/research/newsalert/pdf/no_net_land_take_by_2050_FB14_en.pdf</w:t>
        </w:r>
      </w:hyperlink>
      <w:r>
        <w:rPr>
          <w:rStyle w:val="Sprotnaopomba-sklic"/>
          <w:sz w:val="16"/>
        </w:rPr>
        <w:t xml:space="preserve"> </w:t>
      </w:r>
    </w:p>
  </w:footnote>
  <w:footnote w:id="171">
    <w:p w14:paraId="7D9745D7" w14:textId="77777777" w:rsidR="00DD13BF" w:rsidRPr="00762A78" w:rsidRDefault="00DD13BF" w:rsidP="00DD13BF">
      <w:pPr>
        <w:pStyle w:val="Sprotnaopomba-besedilo"/>
        <w:rPr>
          <w:rStyle w:val="Sprotnaopomba-sklic"/>
        </w:rPr>
      </w:pPr>
      <w:r>
        <w:rPr>
          <w:rStyle w:val="Sprotnaopomba-sklic"/>
          <w:sz w:val="16"/>
          <w:szCs w:val="16"/>
        </w:rPr>
        <w:footnoteRef/>
      </w:r>
      <w:r>
        <w:rPr>
          <w:rStyle w:val="Sprotnaopomba-sklic"/>
        </w:rPr>
        <w:t xml:space="preserve"> </w:t>
      </w:r>
      <w:hyperlink r:id="rId130" w:history="1">
        <w:r>
          <w:rPr>
            <w:rStyle w:val="Sprotnaopomba-sklic"/>
            <w:sz w:val="16"/>
          </w:rPr>
          <w:t>https://ec.europa.eu/futurium/en/sustainable-land-use/sustainable-use-land-and-nature-based-solutions-partnership-presents-final.html</w:t>
        </w:r>
      </w:hyperlink>
    </w:p>
  </w:footnote>
  <w:footnote w:id="172">
    <w:p w14:paraId="2F5F4EA1" w14:textId="77777777" w:rsidR="00DD13BF" w:rsidRPr="00762A78" w:rsidRDefault="00DD13BF" w:rsidP="00DD13BF">
      <w:pPr>
        <w:pStyle w:val="Sprotnaopomba-besedilo"/>
        <w:rPr>
          <w:rStyle w:val="Sprotnaopomba-sklic"/>
          <w:sz w:val="16"/>
          <w:szCs w:val="16"/>
        </w:rPr>
      </w:pPr>
      <w:r>
        <w:rPr>
          <w:rStyle w:val="Sprotnaopomba-sklic"/>
          <w:sz w:val="16"/>
          <w:szCs w:val="16"/>
        </w:rPr>
        <w:footnoteRef/>
      </w:r>
      <w:r>
        <w:rPr>
          <w:rStyle w:val="Sprotnaopomba-sklic"/>
          <w:sz w:val="16"/>
        </w:rPr>
        <w:t xml:space="preserve"> https://ec.europa.eu/futurium/en/culturecultural-heritage/partnership-culture-cultural-heritage-cultural-heritage-resource-and.html</w:t>
      </w:r>
    </w:p>
  </w:footnote>
  <w:footnote w:id="173">
    <w:p w14:paraId="76584456" w14:textId="77777777" w:rsidR="00DD13BF" w:rsidRPr="00C81227" w:rsidRDefault="00DD13BF" w:rsidP="00DD13BF">
      <w:pPr>
        <w:pStyle w:val="Sprotnaopomba-besedilo"/>
        <w:rPr>
          <w:rStyle w:val="Sprotnaopomba-sklic"/>
          <w:sz w:val="16"/>
          <w:szCs w:val="16"/>
        </w:rPr>
      </w:pPr>
      <w:r>
        <w:rPr>
          <w:rStyle w:val="Sprotnaopomba-sklic"/>
          <w:sz w:val="16"/>
          <w:szCs w:val="16"/>
        </w:rPr>
        <w:footnoteRef/>
      </w:r>
      <w:r>
        <w:rPr>
          <w:rStyle w:val="Sprotnaopomba-sklic"/>
        </w:rPr>
        <w:t xml:space="preserve"> </w:t>
      </w:r>
      <w:r>
        <w:rPr>
          <w:rStyle w:val="Sprotnaopomba-sklic"/>
          <w:sz w:val="16"/>
        </w:rPr>
        <w:t>https://ec.europa.eu/regional_policy/en/information/publications/brochures/2020/new-leipzig-charter-the-transformative-power-of-cities-for-the-common-good</w:t>
      </w:r>
    </w:p>
    <w:p w14:paraId="33428CE1" w14:textId="77777777" w:rsidR="00DD13BF" w:rsidRDefault="00DD13BF" w:rsidP="00DD13B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8A6D" w14:textId="77777777" w:rsidR="00DD13BF" w:rsidRDefault="00DD13BF" w:rsidP="00AE38BF">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E1FCC" w14:textId="77777777" w:rsidR="00DD13BF" w:rsidRDefault="00DD13BF" w:rsidP="00B745CF">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6E29" w14:textId="77777777" w:rsidR="00DD13BF" w:rsidRDefault="00DD13BF" w:rsidP="003E6CF6">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9BCD" w14:textId="77777777" w:rsidR="00DD13BF" w:rsidRDefault="00DD13BF" w:rsidP="00B745CF">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EEDC" w14:textId="77777777" w:rsidR="00DD13BF" w:rsidRDefault="00DD13BF" w:rsidP="00B745CF">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EBD8" w14:textId="77777777" w:rsidR="00DD13BF" w:rsidRDefault="00DD13BF" w:rsidP="00B745CF">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D4EB" w14:textId="77777777" w:rsidR="00DD13BF" w:rsidRDefault="00DD13BF" w:rsidP="00B745CF">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4F49" w14:textId="77777777" w:rsidR="00DD13BF" w:rsidRDefault="00DD13BF" w:rsidP="00B745CF">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45E4" w14:textId="77777777" w:rsidR="00DD13BF" w:rsidRDefault="00DD13BF" w:rsidP="00B745CF">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F659" w14:textId="77777777" w:rsidR="00DD13BF" w:rsidRDefault="00DD13BF" w:rsidP="00B745CF">
    <w:pPr>
      <w:pStyle w:val="Glava"/>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CFEF" w14:textId="77777777" w:rsidR="00DD13BF" w:rsidRDefault="00DD13BF" w:rsidP="00B745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E54C" w14:textId="77777777" w:rsidR="00DD13BF" w:rsidRDefault="00DD13BF">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07FB" w14:textId="77777777" w:rsidR="00DD13BF" w:rsidRDefault="00DD13BF" w:rsidP="003E6CF6">
    <w:pPr>
      <w:pStyle w:val="Glava"/>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6E37" w14:textId="77777777" w:rsidR="00DD13BF" w:rsidRDefault="00DD13BF" w:rsidP="003E6CF6">
    <w:pPr>
      <w:pStyle w:val="Glava"/>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4E5D" w14:textId="77777777" w:rsidR="00DD13BF" w:rsidRDefault="00DD13BF" w:rsidP="00B745CF">
    <w:pPr>
      <w:pStyle w:val="Glava"/>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96C4" w14:textId="77777777" w:rsidR="00DD13BF" w:rsidRDefault="00DD13BF" w:rsidP="003E6CF6">
    <w:pPr>
      <w:pStyle w:val="Glava"/>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4788" w14:textId="77777777" w:rsidR="00DD13BF" w:rsidRDefault="00DD13BF" w:rsidP="00B745CF">
    <w:pPr>
      <w:pStyle w:val="Glava"/>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315A" w14:textId="77777777" w:rsidR="00DD13BF" w:rsidRDefault="00DD13BF" w:rsidP="00B745CF">
    <w:pPr>
      <w:pStyle w:val="Glava"/>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5838B" w14:textId="77777777" w:rsidR="00DD13BF" w:rsidRDefault="00DD13BF" w:rsidP="003E6CF6">
    <w:pPr>
      <w:pStyle w:val="Glava"/>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A94F" w14:textId="77777777" w:rsidR="00DD13BF" w:rsidRDefault="00DD13BF" w:rsidP="003E6CF6">
    <w:pPr>
      <w:pStyle w:val="Glava"/>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2C1F" w14:textId="77777777" w:rsidR="00DD13BF" w:rsidRDefault="00DD13BF" w:rsidP="003E6CF6">
    <w:pPr>
      <w:pStyle w:val="Glava"/>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48B6ACDF" w14:textId="77777777" w:rsidTr="001A469D">
      <w:tc>
        <w:tcPr>
          <w:tcW w:w="4665" w:type="dxa"/>
        </w:tcPr>
        <w:p w14:paraId="42E1599E" w14:textId="77777777" w:rsidR="00DD13BF" w:rsidRDefault="00DD13BF" w:rsidP="000F7D49">
          <w:pPr>
            <w:pStyle w:val="Glava"/>
            <w:ind w:left="-115"/>
          </w:pPr>
        </w:p>
      </w:tc>
      <w:tc>
        <w:tcPr>
          <w:tcW w:w="4665" w:type="dxa"/>
        </w:tcPr>
        <w:p w14:paraId="5A37CDC6" w14:textId="77777777" w:rsidR="00DD13BF" w:rsidRDefault="00DD13BF" w:rsidP="000F7D49">
          <w:pPr>
            <w:pStyle w:val="Glava"/>
            <w:jc w:val="center"/>
          </w:pPr>
        </w:p>
      </w:tc>
      <w:tc>
        <w:tcPr>
          <w:tcW w:w="4665" w:type="dxa"/>
        </w:tcPr>
        <w:p w14:paraId="29DE1ACB" w14:textId="77777777" w:rsidR="00DD13BF" w:rsidRDefault="00DD13BF" w:rsidP="000F7D49">
          <w:pPr>
            <w:pStyle w:val="Glava"/>
            <w:ind w:right="-115"/>
            <w:jc w:val="right"/>
          </w:pPr>
        </w:p>
      </w:tc>
    </w:tr>
  </w:tbl>
  <w:p w14:paraId="2312B9A9" w14:textId="77777777" w:rsidR="00DD13BF" w:rsidRDefault="00DD13BF" w:rsidP="003E6CF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467DF" w14:textId="77777777" w:rsidR="00DD13BF" w:rsidRDefault="00DD13BF" w:rsidP="003E6CF6">
    <w:pPr>
      <w:pStyle w:val="Glava"/>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FF30" w14:textId="77777777" w:rsidR="00DD13BF" w:rsidRDefault="00DD13BF" w:rsidP="003E6CF6">
    <w:pPr>
      <w:pStyle w:val="Glava"/>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7B7DA" w14:textId="77777777" w:rsidR="00DD13BF" w:rsidRDefault="00DD13BF" w:rsidP="003E6CF6">
    <w:pPr>
      <w:pStyle w:val="Glava"/>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4F99" w14:textId="77777777" w:rsidR="00DD13BF" w:rsidRDefault="00DD13BF" w:rsidP="003E6CF6">
    <w:pPr>
      <w:pStyle w:val="Glava"/>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6A02" w14:textId="77777777" w:rsidR="00DD13BF" w:rsidRDefault="00DD13BF" w:rsidP="003E6CF6">
    <w:pPr>
      <w:pStyle w:val="Glava"/>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D3DB" w14:textId="77777777" w:rsidR="00DD13BF" w:rsidRDefault="00DD13BF" w:rsidP="003E6CF6">
    <w:pPr>
      <w:pStyle w:val="Glava"/>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26CD" w14:textId="77777777" w:rsidR="00DD13BF" w:rsidRDefault="00DD13BF" w:rsidP="003E6CF6">
    <w:pPr>
      <w:pStyle w:val="Glava"/>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3701" w14:textId="77777777" w:rsidR="00DD13BF" w:rsidRDefault="00DD13BF" w:rsidP="003E6CF6">
    <w:pPr>
      <w:pStyle w:val="Glava"/>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4723" w14:textId="77777777" w:rsidR="00DD13BF" w:rsidRDefault="00DD13BF" w:rsidP="003E6CF6">
    <w:pPr>
      <w:pStyle w:val="Glava"/>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440F" w14:textId="77777777" w:rsidR="00DD13BF" w:rsidRDefault="00DD13BF" w:rsidP="003E6CF6">
    <w:pPr>
      <w:pStyle w:val="Glava"/>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E5AE" w14:textId="77777777" w:rsidR="00DD13BF" w:rsidRDefault="00DD13BF" w:rsidP="003E6CF6">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3F8" w14:textId="77777777" w:rsidR="00DD13BF" w:rsidRDefault="00DD13BF" w:rsidP="003E6CF6">
    <w:pPr>
      <w:pStyle w:val="Glava"/>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436C" w14:textId="77777777" w:rsidR="00DD13BF" w:rsidRDefault="00DD13BF" w:rsidP="003E6CF6">
    <w:pPr>
      <w:pStyle w:val="Glava"/>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5571" w14:textId="77777777" w:rsidR="00DD13BF" w:rsidRDefault="00DD13BF" w:rsidP="003E6CF6">
    <w:pPr>
      <w:pStyle w:val="Glava"/>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D4B2" w14:textId="77777777" w:rsidR="00DD13BF" w:rsidRDefault="00DD13BF" w:rsidP="003E6CF6">
    <w:pPr>
      <w:pStyle w:val="Glava"/>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D461" w14:textId="77777777" w:rsidR="00DD13BF" w:rsidRDefault="00DD13BF" w:rsidP="003E6CF6">
    <w:pPr>
      <w:pStyle w:val="Glava"/>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F917" w14:textId="77777777" w:rsidR="00DD13BF" w:rsidRDefault="00DD13BF" w:rsidP="003E6CF6">
    <w:pPr>
      <w:pStyle w:val="Glava"/>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387B861" w14:textId="77777777" w:rsidTr="00460F16">
      <w:tc>
        <w:tcPr>
          <w:tcW w:w="4665" w:type="dxa"/>
        </w:tcPr>
        <w:p w14:paraId="36C1A507" w14:textId="77777777" w:rsidR="00DD13BF" w:rsidRDefault="00DD13BF" w:rsidP="000F7D49">
          <w:pPr>
            <w:pStyle w:val="Glava"/>
            <w:ind w:left="-115"/>
          </w:pPr>
        </w:p>
      </w:tc>
      <w:tc>
        <w:tcPr>
          <w:tcW w:w="4665" w:type="dxa"/>
        </w:tcPr>
        <w:p w14:paraId="3DE4CE17" w14:textId="77777777" w:rsidR="00DD13BF" w:rsidRDefault="00DD13BF" w:rsidP="000F7D49">
          <w:pPr>
            <w:pStyle w:val="Glava"/>
            <w:jc w:val="center"/>
          </w:pPr>
        </w:p>
      </w:tc>
      <w:tc>
        <w:tcPr>
          <w:tcW w:w="4665" w:type="dxa"/>
        </w:tcPr>
        <w:p w14:paraId="0DC32C50" w14:textId="77777777" w:rsidR="00DD13BF" w:rsidRDefault="00DD13BF" w:rsidP="000F7D49">
          <w:pPr>
            <w:pStyle w:val="Glava"/>
            <w:ind w:right="-115"/>
            <w:jc w:val="right"/>
          </w:pPr>
        </w:p>
      </w:tc>
    </w:tr>
  </w:tbl>
  <w:p w14:paraId="58B9275F" w14:textId="77777777" w:rsidR="00DD13BF" w:rsidRDefault="00DD13BF" w:rsidP="003E6CF6">
    <w:pPr>
      <w:pStyle w:val="Glava"/>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622AE5E3" w14:textId="77777777" w:rsidTr="001D3F95">
      <w:tc>
        <w:tcPr>
          <w:tcW w:w="4665" w:type="dxa"/>
        </w:tcPr>
        <w:p w14:paraId="79868EB0" w14:textId="77777777" w:rsidR="00DD13BF" w:rsidRDefault="00DD13BF" w:rsidP="000F7D49">
          <w:pPr>
            <w:pStyle w:val="Glava"/>
            <w:ind w:left="-115"/>
          </w:pPr>
        </w:p>
      </w:tc>
      <w:tc>
        <w:tcPr>
          <w:tcW w:w="4665" w:type="dxa"/>
        </w:tcPr>
        <w:p w14:paraId="3A1CFF22" w14:textId="77777777" w:rsidR="00DD13BF" w:rsidRDefault="00DD13BF" w:rsidP="000F7D49">
          <w:pPr>
            <w:pStyle w:val="Glava"/>
            <w:jc w:val="center"/>
          </w:pPr>
        </w:p>
      </w:tc>
      <w:tc>
        <w:tcPr>
          <w:tcW w:w="4665" w:type="dxa"/>
        </w:tcPr>
        <w:p w14:paraId="0574854F" w14:textId="77777777" w:rsidR="00DD13BF" w:rsidRDefault="00DD13BF" w:rsidP="000F7D49">
          <w:pPr>
            <w:pStyle w:val="Glava"/>
            <w:ind w:right="-115"/>
            <w:jc w:val="right"/>
          </w:pPr>
        </w:p>
      </w:tc>
    </w:tr>
  </w:tbl>
  <w:p w14:paraId="22C22C87" w14:textId="77777777" w:rsidR="00DD13BF" w:rsidRDefault="00DD13BF" w:rsidP="003E6CF6">
    <w:pPr>
      <w:pStyle w:val="Glava"/>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7893F561" w14:textId="77777777" w:rsidTr="001D3F95">
      <w:tc>
        <w:tcPr>
          <w:tcW w:w="4665" w:type="dxa"/>
        </w:tcPr>
        <w:p w14:paraId="6BF099D5" w14:textId="77777777" w:rsidR="00DD13BF" w:rsidRDefault="00DD13BF" w:rsidP="000F7D49">
          <w:pPr>
            <w:pStyle w:val="Glava"/>
            <w:ind w:left="-115"/>
          </w:pPr>
        </w:p>
      </w:tc>
      <w:tc>
        <w:tcPr>
          <w:tcW w:w="4665" w:type="dxa"/>
        </w:tcPr>
        <w:p w14:paraId="084A768B" w14:textId="77777777" w:rsidR="00DD13BF" w:rsidRDefault="00DD13BF" w:rsidP="000F7D49">
          <w:pPr>
            <w:pStyle w:val="Glava"/>
            <w:jc w:val="center"/>
          </w:pPr>
        </w:p>
      </w:tc>
      <w:tc>
        <w:tcPr>
          <w:tcW w:w="4665" w:type="dxa"/>
        </w:tcPr>
        <w:p w14:paraId="2BB27735" w14:textId="77777777" w:rsidR="00DD13BF" w:rsidRDefault="00DD13BF" w:rsidP="000F7D49">
          <w:pPr>
            <w:pStyle w:val="Glava"/>
            <w:ind w:right="-115"/>
            <w:jc w:val="right"/>
          </w:pPr>
        </w:p>
      </w:tc>
    </w:tr>
  </w:tbl>
  <w:p w14:paraId="5F39953B" w14:textId="77777777" w:rsidR="00DD13BF" w:rsidRDefault="00DD13BF" w:rsidP="003E6CF6">
    <w:pPr>
      <w:pStyle w:val="Glava"/>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D13BF" w14:paraId="1BD23F61" w14:textId="77777777" w:rsidTr="001D3F95">
      <w:tc>
        <w:tcPr>
          <w:tcW w:w="4665" w:type="dxa"/>
        </w:tcPr>
        <w:p w14:paraId="2DA41D4D" w14:textId="77777777" w:rsidR="00DD13BF" w:rsidRDefault="00DD13BF" w:rsidP="000F7D49">
          <w:pPr>
            <w:pStyle w:val="Glava"/>
            <w:ind w:left="-115"/>
          </w:pPr>
        </w:p>
      </w:tc>
      <w:tc>
        <w:tcPr>
          <w:tcW w:w="4665" w:type="dxa"/>
        </w:tcPr>
        <w:p w14:paraId="0C04F01D" w14:textId="77777777" w:rsidR="00DD13BF" w:rsidRDefault="00DD13BF" w:rsidP="000F7D49">
          <w:pPr>
            <w:pStyle w:val="Glava"/>
            <w:jc w:val="center"/>
          </w:pPr>
        </w:p>
      </w:tc>
      <w:tc>
        <w:tcPr>
          <w:tcW w:w="4665" w:type="dxa"/>
        </w:tcPr>
        <w:p w14:paraId="347C338C" w14:textId="77777777" w:rsidR="00DD13BF" w:rsidRDefault="00DD13BF" w:rsidP="000F7D49">
          <w:pPr>
            <w:pStyle w:val="Glava"/>
            <w:ind w:right="-115"/>
            <w:jc w:val="right"/>
          </w:pPr>
        </w:p>
      </w:tc>
    </w:tr>
  </w:tbl>
  <w:p w14:paraId="6BD62495" w14:textId="77777777" w:rsidR="00DD13BF" w:rsidRDefault="00DD13BF" w:rsidP="003E6CF6">
    <w:pPr>
      <w:pStyle w:val="Glava"/>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3787" w14:textId="77777777" w:rsidR="00DD13BF" w:rsidRDefault="00DD13BF" w:rsidP="003E6CF6">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059B" w14:textId="77777777" w:rsidR="00DD13BF" w:rsidRDefault="00DD13BF" w:rsidP="00B745CF">
    <w:pPr>
      <w:pStyle w:val="Glava"/>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00F3" w14:textId="77777777" w:rsidR="00DD13BF" w:rsidRDefault="00DD13BF" w:rsidP="003E6CF6">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E99A" w14:textId="77777777" w:rsidR="00DD13BF" w:rsidRDefault="00DD13BF" w:rsidP="003E6CF6">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846B" w14:textId="77777777" w:rsidR="00DD13BF" w:rsidRDefault="00DD13BF" w:rsidP="003E6CF6">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8516" w14:textId="77777777" w:rsidR="00DD13BF" w:rsidRDefault="00DD13BF" w:rsidP="00B745CF">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F927" w14:textId="77777777" w:rsidR="00DD13BF" w:rsidRDefault="00DD13BF" w:rsidP="00B745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90"/>
    <w:multiLevelType w:val="hybridMultilevel"/>
    <w:tmpl w:val="9356AD98"/>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63722"/>
    <w:multiLevelType w:val="hybridMultilevel"/>
    <w:tmpl w:val="94F282E6"/>
    <w:lvl w:ilvl="0" w:tplc="E32CABA2">
      <w:start w:val="1"/>
      <w:numFmt w:val="bullet"/>
      <w:lvlText w:val="-"/>
      <w:lvlJc w:val="left"/>
      <w:pPr>
        <w:ind w:left="780" w:hanging="360"/>
      </w:pPr>
      <w:rPr>
        <w:rFonts w:ascii="Calibri" w:eastAsiaTheme="minorHAnsi" w:hAnsi="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082A7345"/>
    <w:multiLevelType w:val="hybridMultilevel"/>
    <w:tmpl w:val="D61ED2C0"/>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160EA"/>
    <w:multiLevelType w:val="hybridMultilevel"/>
    <w:tmpl w:val="7C100F5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FD5FFB"/>
    <w:multiLevelType w:val="hybridMultilevel"/>
    <w:tmpl w:val="EDF0CBBE"/>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1634F3"/>
    <w:multiLevelType w:val="hybridMultilevel"/>
    <w:tmpl w:val="1808358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BC5232"/>
    <w:multiLevelType w:val="hybridMultilevel"/>
    <w:tmpl w:val="04CC4F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566E29"/>
    <w:multiLevelType w:val="hybridMultilevel"/>
    <w:tmpl w:val="F332725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444F0"/>
    <w:multiLevelType w:val="hybridMultilevel"/>
    <w:tmpl w:val="BFD626EA"/>
    <w:lvl w:ilvl="0" w:tplc="AF12E4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56153"/>
    <w:multiLevelType w:val="hybridMultilevel"/>
    <w:tmpl w:val="04347B36"/>
    <w:lvl w:ilvl="0" w:tplc="413892F0">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18B76D7"/>
    <w:multiLevelType w:val="hybridMultilevel"/>
    <w:tmpl w:val="21D8B2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1DC28B9"/>
    <w:multiLevelType w:val="hybridMultilevel"/>
    <w:tmpl w:val="E0CA48D8"/>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FF7C2D"/>
    <w:multiLevelType w:val="hybridMultilevel"/>
    <w:tmpl w:val="417ED97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3857FD"/>
    <w:multiLevelType w:val="hybridMultilevel"/>
    <w:tmpl w:val="8558032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8039A5"/>
    <w:multiLevelType w:val="hybridMultilevel"/>
    <w:tmpl w:val="80B05D6A"/>
    <w:lvl w:ilvl="0" w:tplc="B58AF2BA">
      <w:numFmt w:val="bullet"/>
      <w:lvlText w:val="•"/>
      <w:lvlJc w:val="left"/>
      <w:pPr>
        <w:ind w:left="824" w:hanging="360"/>
      </w:pPr>
      <w:rPr>
        <w:rFonts w:hint="default"/>
        <w:lang w:val="sl-SI" w:eastAsia="en-US" w:bidi="ar-SA"/>
      </w:rPr>
    </w:lvl>
    <w:lvl w:ilvl="1" w:tplc="04240003" w:tentative="1">
      <w:start w:val="1"/>
      <w:numFmt w:val="bullet"/>
      <w:lvlText w:val="o"/>
      <w:lvlJc w:val="left"/>
      <w:pPr>
        <w:ind w:left="1544" w:hanging="360"/>
      </w:pPr>
      <w:rPr>
        <w:rFonts w:ascii="Courier New" w:hAnsi="Courier New" w:cs="Courier New" w:hint="default"/>
      </w:rPr>
    </w:lvl>
    <w:lvl w:ilvl="2" w:tplc="04240005" w:tentative="1">
      <w:start w:val="1"/>
      <w:numFmt w:val="bullet"/>
      <w:lvlText w:val=""/>
      <w:lvlJc w:val="left"/>
      <w:pPr>
        <w:ind w:left="2264" w:hanging="360"/>
      </w:pPr>
      <w:rPr>
        <w:rFonts w:ascii="Wingdings" w:hAnsi="Wingdings" w:hint="default"/>
      </w:rPr>
    </w:lvl>
    <w:lvl w:ilvl="3" w:tplc="04240001" w:tentative="1">
      <w:start w:val="1"/>
      <w:numFmt w:val="bullet"/>
      <w:lvlText w:val=""/>
      <w:lvlJc w:val="left"/>
      <w:pPr>
        <w:ind w:left="2984" w:hanging="360"/>
      </w:pPr>
      <w:rPr>
        <w:rFonts w:ascii="Symbol" w:hAnsi="Symbol" w:hint="default"/>
      </w:rPr>
    </w:lvl>
    <w:lvl w:ilvl="4" w:tplc="04240003" w:tentative="1">
      <w:start w:val="1"/>
      <w:numFmt w:val="bullet"/>
      <w:lvlText w:val="o"/>
      <w:lvlJc w:val="left"/>
      <w:pPr>
        <w:ind w:left="3704" w:hanging="360"/>
      </w:pPr>
      <w:rPr>
        <w:rFonts w:ascii="Courier New" w:hAnsi="Courier New" w:cs="Courier New" w:hint="default"/>
      </w:rPr>
    </w:lvl>
    <w:lvl w:ilvl="5" w:tplc="04240005" w:tentative="1">
      <w:start w:val="1"/>
      <w:numFmt w:val="bullet"/>
      <w:lvlText w:val=""/>
      <w:lvlJc w:val="left"/>
      <w:pPr>
        <w:ind w:left="4424" w:hanging="360"/>
      </w:pPr>
      <w:rPr>
        <w:rFonts w:ascii="Wingdings" w:hAnsi="Wingdings" w:hint="default"/>
      </w:rPr>
    </w:lvl>
    <w:lvl w:ilvl="6" w:tplc="04240001" w:tentative="1">
      <w:start w:val="1"/>
      <w:numFmt w:val="bullet"/>
      <w:lvlText w:val=""/>
      <w:lvlJc w:val="left"/>
      <w:pPr>
        <w:ind w:left="5144" w:hanging="360"/>
      </w:pPr>
      <w:rPr>
        <w:rFonts w:ascii="Symbol" w:hAnsi="Symbol" w:hint="default"/>
      </w:rPr>
    </w:lvl>
    <w:lvl w:ilvl="7" w:tplc="04240003" w:tentative="1">
      <w:start w:val="1"/>
      <w:numFmt w:val="bullet"/>
      <w:lvlText w:val="o"/>
      <w:lvlJc w:val="left"/>
      <w:pPr>
        <w:ind w:left="5864" w:hanging="360"/>
      </w:pPr>
      <w:rPr>
        <w:rFonts w:ascii="Courier New" w:hAnsi="Courier New" w:cs="Courier New" w:hint="default"/>
      </w:rPr>
    </w:lvl>
    <w:lvl w:ilvl="8" w:tplc="04240005" w:tentative="1">
      <w:start w:val="1"/>
      <w:numFmt w:val="bullet"/>
      <w:lvlText w:val=""/>
      <w:lvlJc w:val="left"/>
      <w:pPr>
        <w:ind w:left="6584" w:hanging="360"/>
      </w:pPr>
      <w:rPr>
        <w:rFonts w:ascii="Wingdings" w:hAnsi="Wingdings" w:hint="default"/>
      </w:rPr>
    </w:lvl>
  </w:abstractNum>
  <w:abstractNum w:abstractNumId="15" w15:restartNumberingAfterBreak="0">
    <w:nsid w:val="27B62E3C"/>
    <w:multiLevelType w:val="hybridMultilevel"/>
    <w:tmpl w:val="3740E722"/>
    <w:lvl w:ilvl="0" w:tplc="1A1E51E2">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28DF3944"/>
    <w:multiLevelType w:val="hybridMultilevel"/>
    <w:tmpl w:val="29B2071A"/>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0101BA"/>
    <w:multiLevelType w:val="hybridMultilevel"/>
    <w:tmpl w:val="CD0E172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2B9116BF"/>
    <w:multiLevelType w:val="hybridMultilevel"/>
    <w:tmpl w:val="A3CE9A7C"/>
    <w:lvl w:ilvl="0" w:tplc="FFFFFFFF">
      <w:start w:val="1"/>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205240"/>
    <w:multiLevelType w:val="multilevel"/>
    <w:tmpl w:val="2F4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26E79"/>
    <w:multiLevelType w:val="hybridMultilevel"/>
    <w:tmpl w:val="CBBA55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lang w:val="sl-SI" w:eastAsia="en-US" w:bidi="ar-SA"/>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385614"/>
    <w:multiLevelType w:val="hybridMultilevel"/>
    <w:tmpl w:val="1A84C22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59301D"/>
    <w:multiLevelType w:val="hybridMultilevel"/>
    <w:tmpl w:val="20F6C4F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DC63E1"/>
    <w:multiLevelType w:val="hybridMultilevel"/>
    <w:tmpl w:val="E5E2B7C0"/>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0C5611"/>
    <w:multiLevelType w:val="hybridMultilevel"/>
    <w:tmpl w:val="29B6A8B4"/>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0AD5ED4"/>
    <w:multiLevelType w:val="hybridMultilevel"/>
    <w:tmpl w:val="6FDA5CBC"/>
    <w:lvl w:ilvl="0" w:tplc="F2C05C3E">
      <w:start w:val="1"/>
      <w:numFmt w:val="bullet"/>
      <w:lvlText w:val=""/>
      <w:lvlJc w:val="left"/>
      <w:pPr>
        <w:ind w:left="720" w:hanging="360"/>
      </w:pPr>
      <w:rPr>
        <w:rFonts w:ascii="Symbol" w:hAnsi="Symbol" w:hint="default"/>
      </w:rPr>
    </w:lvl>
    <w:lvl w:ilvl="1" w:tplc="3AC02A70">
      <w:start w:val="1"/>
      <w:numFmt w:val="bullet"/>
      <w:lvlText w:val="o"/>
      <w:lvlJc w:val="left"/>
      <w:pPr>
        <w:ind w:left="1440" w:hanging="360"/>
      </w:pPr>
      <w:rPr>
        <w:rFonts w:ascii="&quot;Courier New&quot;" w:hAnsi="&quot;Courier New&quot;" w:hint="default"/>
      </w:rPr>
    </w:lvl>
    <w:lvl w:ilvl="2" w:tplc="7B980C12">
      <w:start w:val="1"/>
      <w:numFmt w:val="bullet"/>
      <w:lvlText w:val=""/>
      <w:lvlJc w:val="left"/>
      <w:pPr>
        <w:ind w:left="2160" w:hanging="360"/>
      </w:pPr>
      <w:rPr>
        <w:rFonts w:ascii="Wingdings" w:hAnsi="Wingdings" w:hint="default"/>
      </w:rPr>
    </w:lvl>
    <w:lvl w:ilvl="3" w:tplc="62B8C3CC">
      <w:start w:val="1"/>
      <w:numFmt w:val="bullet"/>
      <w:lvlText w:val=""/>
      <w:lvlJc w:val="left"/>
      <w:pPr>
        <w:ind w:left="2880" w:hanging="360"/>
      </w:pPr>
      <w:rPr>
        <w:rFonts w:ascii="Symbol" w:hAnsi="Symbol" w:hint="default"/>
      </w:rPr>
    </w:lvl>
    <w:lvl w:ilvl="4" w:tplc="1A1E51E2">
      <w:start w:val="1"/>
      <w:numFmt w:val="bullet"/>
      <w:lvlText w:val="o"/>
      <w:lvlJc w:val="left"/>
      <w:pPr>
        <w:ind w:left="3600" w:hanging="360"/>
      </w:pPr>
      <w:rPr>
        <w:rFonts w:ascii="Courier New" w:hAnsi="Courier New" w:hint="default"/>
      </w:rPr>
    </w:lvl>
    <w:lvl w:ilvl="5" w:tplc="E4260A70">
      <w:start w:val="1"/>
      <w:numFmt w:val="bullet"/>
      <w:lvlText w:val=""/>
      <w:lvlJc w:val="left"/>
      <w:pPr>
        <w:ind w:left="4320" w:hanging="360"/>
      </w:pPr>
      <w:rPr>
        <w:rFonts w:ascii="Wingdings" w:hAnsi="Wingdings" w:hint="default"/>
      </w:rPr>
    </w:lvl>
    <w:lvl w:ilvl="6" w:tplc="E32E1B16">
      <w:start w:val="1"/>
      <w:numFmt w:val="bullet"/>
      <w:lvlText w:val=""/>
      <w:lvlJc w:val="left"/>
      <w:pPr>
        <w:ind w:left="5040" w:hanging="360"/>
      </w:pPr>
      <w:rPr>
        <w:rFonts w:ascii="Symbol" w:hAnsi="Symbol" w:hint="default"/>
      </w:rPr>
    </w:lvl>
    <w:lvl w:ilvl="7" w:tplc="78B8CB10">
      <w:start w:val="1"/>
      <w:numFmt w:val="bullet"/>
      <w:lvlText w:val="o"/>
      <w:lvlJc w:val="left"/>
      <w:pPr>
        <w:ind w:left="5760" w:hanging="360"/>
      </w:pPr>
      <w:rPr>
        <w:rFonts w:ascii="Courier New" w:hAnsi="Courier New" w:hint="default"/>
      </w:rPr>
    </w:lvl>
    <w:lvl w:ilvl="8" w:tplc="A5E4BA02">
      <w:start w:val="1"/>
      <w:numFmt w:val="bullet"/>
      <w:lvlText w:val=""/>
      <w:lvlJc w:val="left"/>
      <w:pPr>
        <w:ind w:left="6480" w:hanging="360"/>
      </w:pPr>
      <w:rPr>
        <w:rFonts w:ascii="Wingdings" w:hAnsi="Wingdings" w:hint="default"/>
      </w:rPr>
    </w:lvl>
  </w:abstractNum>
  <w:abstractNum w:abstractNumId="26" w15:restartNumberingAfterBreak="0">
    <w:nsid w:val="42B42B32"/>
    <w:multiLevelType w:val="hybridMultilevel"/>
    <w:tmpl w:val="D1982B66"/>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D14FD3"/>
    <w:multiLevelType w:val="hybridMultilevel"/>
    <w:tmpl w:val="43F228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284405"/>
    <w:multiLevelType w:val="hybridMultilevel"/>
    <w:tmpl w:val="4FBC790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0B433B"/>
    <w:multiLevelType w:val="hybridMultilevel"/>
    <w:tmpl w:val="EF3208B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B067841"/>
    <w:multiLevelType w:val="hybridMultilevel"/>
    <w:tmpl w:val="5A4EFB84"/>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C761256"/>
    <w:multiLevelType w:val="hybridMultilevel"/>
    <w:tmpl w:val="2CF8907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F05F98"/>
    <w:multiLevelType w:val="multilevel"/>
    <w:tmpl w:val="0C600AE8"/>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val="0"/>
        <w:i w:val="0"/>
        <w:iCs w:val="0"/>
        <w:caps w:val="0"/>
        <w:smallCaps w:val="0"/>
        <w:strike w:val="0"/>
        <w:dstrike w:val="0"/>
        <w:noProof w:val="0"/>
        <w:vanish w:val="0"/>
        <w:color w:val="2E74B5"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3" w15:restartNumberingAfterBreak="0">
    <w:nsid w:val="4DC83CA6"/>
    <w:multiLevelType w:val="hybridMultilevel"/>
    <w:tmpl w:val="BDA04F8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2E56366"/>
    <w:multiLevelType w:val="hybridMultilevel"/>
    <w:tmpl w:val="021A10FC"/>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5950DA8"/>
    <w:multiLevelType w:val="hybridMultilevel"/>
    <w:tmpl w:val="43F2FA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570E24"/>
    <w:multiLevelType w:val="hybridMultilevel"/>
    <w:tmpl w:val="7B50297A"/>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E814F5"/>
    <w:multiLevelType w:val="hybridMultilevel"/>
    <w:tmpl w:val="4462F544"/>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4A2DA4"/>
    <w:multiLevelType w:val="hybridMultilevel"/>
    <w:tmpl w:val="665A0492"/>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9" w15:restartNumberingAfterBreak="0">
    <w:nsid w:val="5D8039AC"/>
    <w:multiLevelType w:val="hybridMultilevel"/>
    <w:tmpl w:val="95DA484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E32CABA2">
      <w:start w:val="1"/>
      <w:numFmt w:val="bullet"/>
      <w:lvlText w:val="-"/>
      <w:lvlJc w:val="left"/>
      <w:pPr>
        <w:ind w:left="2160" w:hanging="360"/>
      </w:pPr>
      <w:rPr>
        <w:rFonts w:ascii="Calibri" w:eastAsiaTheme="minorHAnsi" w:hAnsi="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02D64E1"/>
    <w:multiLevelType w:val="hybridMultilevel"/>
    <w:tmpl w:val="B7248DCC"/>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3A75A47"/>
    <w:multiLevelType w:val="hybridMultilevel"/>
    <w:tmpl w:val="5E24EC0A"/>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4AB4A6C"/>
    <w:multiLevelType w:val="hybridMultilevel"/>
    <w:tmpl w:val="B0F2AB70"/>
    <w:lvl w:ilvl="0" w:tplc="04240003">
      <w:start w:val="1"/>
      <w:numFmt w:val="bullet"/>
      <w:lvlText w:val="o"/>
      <w:lvlJc w:val="left"/>
      <w:pPr>
        <w:ind w:left="1461" w:hanging="360"/>
      </w:pPr>
      <w:rPr>
        <w:rFonts w:ascii="Courier New" w:hAnsi="Courier New" w:cs="Courier New" w:hint="default"/>
        <w:lang w:val="sl-SI" w:eastAsia="en-US" w:bidi="ar-SA"/>
      </w:rPr>
    </w:lvl>
    <w:lvl w:ilvl="1" w:tplc="04240003" w:tentative="1">
      <w:start w:val="1"/>
      <w:numFmt w:val="bullet"/>
      <w:lvlText w:val="o"/>
      <w:lvlJc w:val="left"/>
      <w:pPr>
        <w:ind w:left="2181" w:hanging="360"/>
      </w:pPr>
      <w:rPr>
        <w:rFonts w:ascii="Courier New" w:hAnsi="Courier New" w:cs="Courier New" w:hint="default"/>
      </w:rPr>
    </w:lvl>
    <w:lvl w:ilvl="2" w:tplc="04240005" w:tentative="1">
      <w:start w:val="1"/>
      <w:numFmt w:val="bullet"/>
      <w:lvlText w:val=""/>
      <w:lvlJc w:val="left"/>
      <w:pPr>
        <w:ind w:left="2901" w:hanging="360"/>
      </w:pPr>
      <w:rPr>
        <w:rFonts w:ascii="Wingdings" w:hAnsi="Wingdings" w:hint="default"/>
      </w:rPr>
    </w:lvl>
    <w:lvl w:ilvl="3" w:tplc="04240001" w:tentative="1">
      <w:start w:val="1"/>
      <w:numFmt w:val="bullet"/>
      <w:lvlText w:val=""/>
      <w:lvlJc w:val="left"/>
      <w:pPr>
        <w:ind w:left="3621" w:hanging="360"/>
      </w:pPr>
      <w:rPr>
        <w:rFonts w:ascii="Symbol" w:hAnsi="Symbol" w:hint="default"/>
      </w:rPr>
    </w:lvl>
    <w:lvl w:ilvl="4" w:tplc="04240003" w:tentative="1">
      <w:start w:val="1"/>
      <w:numFmt w:val="bullet"/>
      <w:lvlText w:val="o"/>
      <w:lvlJc w:val="left"/>
      <w:pPr>
        <w:ind w:left="4341" w:hanging="360"/>
      </w:pPr>
      <w:rPr>
        <w:rFonts w:ascii="Courier New" w:hAnsi="Courier New" w:cs="Courier New" w:hint="default"/>
      </w:rPr>
    </w:lvl>
    <w:lvl w:ilvl="5" w:tplc="04240005" w:tentative="1">
      <w:start w:val="1"/>
      <w:numFmt w:val="bullet"/>
      <w:lvlText w:val=""/>
      <w:lvlJc w:val="left"/>
      <w:pPr>
        <w:ind w:left="5061" w:hanging="360"/>
      </w:pPr>
      <w:rPr>
        <w:rFonts w:ascii="Wingdings" w:hAnsi="Wingdings" w:hint="default"/>
      </w:rPr>
    </w:lvl>
    <w:lvl w:ilvl="6" w:tplc="04240001" w:tentative="1">
      <w:start w:val="1"/>
      <w:numFmt w:val="bullet"/>
      <w:lvlText w:val=""/>
      <w:lvlJc w:val="left"/>
      <w:pPr>
        <w:ind w:left="5781" w:hanging="360"/>
      </w:pPr>
      <w:rPr>
        <w:rFonts w:ascii="Symbol" w:hAnsi="Symbol" w:hint="default"/>
      </w:rPr>
    </w:lvl>
    <w:lvl w:ilvl="7" w:tplc="04240003" w:tentative="1">
      <w:start w:val="1"/>
      <w:numFmt w:val="bullet"/>
      <w:lvlText w:val="o"/>
      <w:lvlJc w:val="left"/>
      <w:pPr>
        <w:ind w:left="6501" w:hanging="360"/>
      </w:pPr>
      <w:rPr>
        <w:rFonts w:ascii="Courier New" w:hAnsi="Courier New" w:cs="Courier New" w:hint="default"/>
      </w:rPr>
    </w:lvl>
    <w:lvl w:ilvl="8" w:tplc="04240005" w:tentative="1">
      <w:start w:val="1"/>
      <w:numFmt w:val="bullet"/>
      <w:lvlText w:val=""/>
      <w:lvlJc w:val="left"/>
      <w:pPr>
        <w:ind w:left="7221" w:hanging="360"/>
      </w:pPr>
      <w:rPr>
        <w:rFonts w:ascii="Wingdings" w:hAnsi="Wingdings" w:hint="default"/>
      </w:rPr>
    </w:lvl>
  </w:abstractNum>
  <w:abstractNum w:abstractNumId="43" w15:restartNumberingAfterBreak="0">
    <w:nsid w:val="66627E5A"/>
    <w:multiLevelType w:val="hybridMultilevel"/>
    <w:tmpl w:val="F2067ADC"/>
    <w:lvl w:ilvl="0" w:tplc="2A50A978">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709049D"/>
    <w:multiLevelType w:val="hybridMultilevel"/>
    <w:tmpl w:val="4672E532"/>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98619DA"/>
    <w:multiLevelType w:val="hybridMultilevel"/>
    <w:tmpl w:val="D834CEB4"/>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6" w15:restartNumberingAfterBreak="0">
    <w:nsid w:val="6A3F4761"/>
    <w:multiLevelType w:val="hybridMultilevel"/>
    <w:tmpl w:val="4526191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712F88"/>
    <w:multiLevelType w:val="hybridMultilevel"/>
    <w:tmpl w:val="3C340A7A"/>
    <w:lvl w:ilvl="0" w:tplc="AF12E4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CE13356"/>
    <w:multiLevelType w:val="hybridMultilevel"/>
    <w:tmpl w:val="43B4DFF0"/>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D2F787A"/>
    <w:multiLevelType w:val="hybridMultilevel"/>
    <w:tmpl w:val="203044B4"/>
    <w:lvl w:ilvl="0" w:tplc="4C5A6F78">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DAC2A8B"/>
    <w:multiLevelType w:val="hybridMultilevel"/>
    <w:tmpl w:val="9336ED26"/>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0083A25"/>
    <w:multiLevelType w:val="hybridMultilevel"/>
    <w:tmpl w:val="DE201C7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D250F9"/>
    <w:multiLevelType w:val="hybridMultilevel"/>
    <w:tmpl w:val="409C0BC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42D3C3B"/>
    <w:multiLevelType w:val="hybridMultilevel"/>
    <w:tmpl w:val="EA30F16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5C2014D"/>
    <w:multiLevelType w:val="hybridMultilevel"/>
    <w:tmpl w:val="8E5E4C34"/>
    <w:lvl w:ilvl="0" w:tplc="D7463FF0">
      <w:start w:val="1"/>
      <w:numFmt w:val="bullet"/>
      <w:lvlText w:val="-"/>
      <w:lvlJc w:val="left"/>
      <w:pPr>
        <w:ind w:left="720" w:hanging="360"/>
      </w:pPr>
      <w:rPr>
        <w:rFonts w:ascii="Calibri" w:hAnsi="Calibri" w:hint="default"/>
      </w:rPr>
    </w:lvl>
    <w:lvl w:ilvl="1" w:tplc="2DF434A6">
      <w:start w:val="1"/>
      <w:numFmt w:val="bullet"/>
      <w:lvlText w:val="o"/>
      <w:lvlJc w:val="left"/>
      <w:pPr>
        <w:ind w:left="1440" w:hanging="360"/>
      </w:pPr>
      <w:rPr>
        <w:rFonts w:ascii="Courier New" w:hAnsi="Courier New" w:hint="default"/>
      </w:rPr>
    </w:lvl>
    <w:lvl w:ilvl="2" w:tplc="23B41054">
      <w:start w:val="1"/>
      <w:numFmt w:val="bullet"/>
      <w:lvlText w:val=""/>
      <w:lvlJc w:val="left"/>
      <w:pPr>
        <w:ind w:left="2160" w:hanging="360"/>
      </w:pPr>
      <w:rPr>
        <w:rFonts w:ascii="Wingdings" w:hAnsi="Wingdings" w:hint="default"/>
      </w:rPr>
    </w:lvl>
    <w:lvl w:ilvl="3" w:tplc="DACAF152">
      <w:start w:val="1"/>
      <w:numFmt w:val="bullet"/>
      <w:lvlText w:val=""/>
      <w:lvlJc w:val="left"/>
      <w:pPr>
        <w:ind w:left="2880" w:hanging="360"/>
      </w:pPr>
      <w:rPr>
        <w:rFonts w:ascii="Symbol" w:hAnsi="Symbol" w:hint="default"/>
      </w:rPr>
    </w:lvl>
    <w:lvl w:ilvl="4" w:tplc="628297AA">
      <w:start w:val="1"/>
      <w:numFmt w:val="bullet"/>
      <w:lvlText w:val="o"/>
      <w:lvlJc w:val="left"/>
      <w:pPr>
        <w:ind w:left="3600" w:hanging="360"/>
      </w:pPr>
      <w:rPr>
        <w:rFonts w:ascii="Courier New" w:hAnsi="Courier New" w:hint="default"/>
      </w:rPr>
    </w:lvl>
    <w:lvl w:ilvl="5" w:tplc="C1928ECC">
      <w:start w:val="1"/>
      <w:numFmt w:val="bullet"/>
      <w:lvlText w:val=""/>
      <w:lvlJc w:val="left"/>
      <w:pPr>
        <w:ind w:left="4320" w:hanging="360"/>
      </w:pPr>
      <w:rPr>
        <w:rFonts w:ascii="Wingdings" w:hAnsi="Wingdings" w:hint="default"/>
      </w:rPr>
    </w:lvl>
    <w:lvl w:ilvl="6" w:tplc="D55CE574">
      <w:start w:val="1"/>
      <w:numFmt w:val="bullet"/>
      <w:lvlText w:val=""/>
      <w:lvlJc w:val="left"/>
      <w:pPr>
        <w:ind w:left="5040" w:hanging="360"/>
      </w:pPr>
      <w:rPr>
        <w:rFonts w:ascii="Symbol" w:hAnsi="Symbol" w:hint="default"/>
      </w:rPr>
    </w:lvl>
    <w:lvl w:ilvl="7" w:tplc="3044FC00">
      <w:start w:val="1"/>
      <w:numFmt w:val="bullet"/>
      <w:lvlText w:val="o"/>
      <w:lvlJc w:val="left"/>
      <w:pPr>
        <w:ind w:left="5760" w:hanging="360"/>
      </w:pPr>
      <w:rPr>
        <w:rFonts w:ascii="Courier New" w:hAnsi="Courier New" w:hint="default"/>
      </w:rPr>
    </w:lvl>
    <w:lvl w:ilvl="8" w:tplc="44A01AEC">
      <w:start w:val="1"/>
      <w:numFmt w:val="bullet"/>
      <w:lvlText w:val=""/>
      <w:lvlJc w:val="left"/>
      <w:pPr>
        <w:ind w:left="6480" w:hanging="360"/>
      </w:pPr>
      <w:rPr>
        <w:rFonts w:ascii="Wingdings" w:hAnsi="Wingdings" w:hint="default"/>
      </w:rPr>
    </w:lvl>
  </w:abstractNum>
  <w:abstractNum w:abstractNumId="55" w15:restartNumberingAfterBreak="0">
    <w:nsid w:val="775A154B"/>
    <w:multiLevelType w:val="hybridMultilevel"/>
    <w:tmpl w:val="E03615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7A71370"/>
    <w:multiLevelType w:val="hybridMultilevel"/>
    <w:tmpl w:val="D1F2B486"/>
    <w:lvl w:ilvl="0" w:tplc="B58AF2BA">
      <w:numFmt w:val="bullet"/>
      <w:lvlText w:val="•"/>
      <w:lvlJc w:val="left"/>
      <w:pPr>
        <w:ind w:left="775" w:hanging="360"/>
      </w:pPr>
      <w:rPr>
        <w:rFonts w:hint="default"/>
        <w:lang w:val="sl-SI" w:eastAsia="en-US" w:bidi="ar-SA"/>
      </w:rPr>
    </w:lvl>
    <w:lvl w:ilvl="1" w:tplc="04240003">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57" w15:restartNumberingAfterBreak="0">
    <w:nsid w:val="788F533D"/>
    <w:multiLevelType w:val="hybridMultilevel"/>
    <w:tmpl w:val="17962792"/>
    <w:lvl w:ilvl="0" w:tplc="0424000D">
      <w:start w:val="1"/>
      <w:numFmt w:val="bullet"/>
      <w:lvlText w:val=""/>
      <w:lvlJc w:val="left"/>
      <w:pPr>
        <w:ind w:left="829" w:hanging="360"/>
      </w:pPr>
      <w:rPr>
        <w:rFonts w:ascii="Wingdings" w:hAnsi="Wingdings"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58" w15:restartNumberingAfterBreak="0">
    <w:nsid w:val="7A5553B9"/>
    <w:multiLevelType w:val="hybridMultilevel"/>
    <w:tmpl w:val="472A8F7C"/>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B9006EC"/>
    <w:multiLevelType w:val="hybridMultilevel"/>
    <w:tmpl w:val="77D6AB52"/>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32"/>
  </w:num>
  <w:num w:numId="4">
    <w:abstractNumId w:val="57"/>
  </w:num>
  <w:num w:numId="5">
    <w:abstractNumId w:val="8"/>
  </w:num>
  <w:num w:numId="6">
    <w:abstractNumId w:val="26"/>
  </w:num>
  <w:num w:numId="7">
    <w:abstractNumId w:val="2"/>
  </w:num>
  <w:num w:numId="8">
    <w:abstractNumId w:val="59"/>
  </w:num>
  <w:num w:numId="9">
    <w:abstractNumId w:val="40"/>
  </w:num>
  <w:num w:numId="10">
    <w:abstractNumId w:val="0"/>
  </w:num>
  <w:num w:numId="11">
    <w:abstractNumId w:val="41"/>
  </w:num>
  <w:num w:numId="12">
    <w:abstractNumId w:val="22"/>
  </w:num>
  <w:num w:numId="13">
    <w:abstractNumId w:val="14"/>
  </w:num>
  <w:num w:numId="14">
    <w:abstractNumId w:val="43"/>
  </w:num>
  <w:num w:numId="15">
    <w:abstractNumId w:val="15"/>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num>
  <w:num w:numId="18">
    <w:abstractNumId w:val="52"/>
  </w:num>
  <w:num w:numId="19">
    <w:abstractNumId w:val="5"/>
  </w:num>
  <w:num w:numId="20">
    <w:abstractNumId w:val="29"/>
  </w:num>
  <w:num w:numId="21">
    <w:abstractNumId w:val="13"/>
  </w:num>
  <w:num w:numId="22">
    <w:abstractNumId w:val="23"/>
  </w:num>
  <w:num w:numId="23">
    <w:abstractNumId w:val="56"/>
  </w:num>
  <w:num w:numId="24">
    <w:abstractNumId w:val="35"/>
  </w:num>
  <w:num w:numId="25">
    <w:abstractNumId w:val="39"/>
  </w:num>
  <w:num w:numId="26">
    <w:abstractNumId w:val="31"/>
  </w:num>
  <w:num w:numId="27">
    <w:abstractNumId w:val="37"/>
  </w:num>
  <w:num w:numId="28">
    <w:abstractNumId w:val="53"/>
  </w:num>
  <w:num w:numId="29">
    <w:abstractNumId w:val="24"/>
  </w:num>
  <w:num w:numId="30">
    <w:abstractNumId w:val="12"/>
  </w:num>
  <w:num w:numId="31">
    <w:abstractNumId w:val="11"/>
  </w:num>
  <w:num w:numId="32">
    <w:abstractNumId w:val="18"/>
  </w:num>
  <w:num w:numId="33">
    <w:abstractNumId w:val="51"/>
  </w:num>
  <w:num w:numId="34">
    <w:abstractNumId w:val="30"/>
  </w:num>
  <w:num w:numId="35">
    <w:abstractNumId w:val="21"/>
  </w:num>
  <w:num w:numId="36">
    <w:abstractNumId w:val="6"/>
  </w:num>
  <w:num w:numId="37">
    <w:abstractNumId w:val="46"/>
  </w:num>
  <w:num w:numId="38">
    <w:abstractNumId w:val="20"/>
  </w:num>
  <w:num w:numId="39">
    <w:abstractNumId w:val="28"/>
  </w:num>
  <w:num w:numId="40">
    <w:abstractNumId w:val="7"/>
  </w:num>
  <w:num w:numId="41">
    <w:abstractNumId w:val="16"/>
  </w:num>
  <w:num w:numId="42">
    <w:abstractNumId w:val="27"/>
  </w:num>
  <w:num w:numId="43">
    <w:abstractNumId w:val="49"/>
  </w:num>
  <w:num w:numId="44">
    <w:abstractNumId w:val="44"/>
  </w:num>
  <w:num w:numId="45">
    <w:abstractNumId w:val="34"/>
  </w:num>
  <w:num w:numId="46">
    <w:abstractNumId w:val="4"/>
  </w:num>
  <w:num w:numId="47">
    <w:abstractNumId w:val="50"/>
  </w:num>
  <w:num w:numId="48">
    <w:abstractNumId w:val="58"/>
  </w:num>
  <w:num w:numId="49">
    <w:abstractNumId w:val="48"/>
  </w:num>
  <w:num w:numId="50">
    <w:abstractNumId w:val="19"/>
  </w:num>
  <w:num w:numId="51">
    <w:abstractNumId w:val="10"/>
  </w:num>
  <w:num w:numId="52">
    <w:abstractNumId w:val="47"/>
  </w:num>
  <w:num w:numId="53">
    <w:abstractNumId w:val="42"/>
  </w:num>
  <w:num w:numId="54">
    <w:abstractNumId w:val="3"/>
  </w:num>
  <w:num w:numId="55">
    <w:abstractNumId w:val="17"/>
  </w:num>
  <w:num w:numId="56">
    <w:abstractNumId w:val="36"/>
  </w:num>
  <w:num w:numId="57">
    <w:abstractNumId w:val="9"/>
  </w:num>
  <w:num w:numId="58">
    <w:abstractNumId w:val="38"/>
  </w:num>
  <w:num w:numId="59">
    <w:abstractNumId w:val="45"/>
  </w:num>
  <w:num w:numId="60">
    <w:abstractNumId w:val="1"/>
  </w:num>
  <w:num w:numId="61">
    <w:abstractNumId w:val="5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jca Ovsenek">
    <w15:presenceInfo w15:providerId="None" w15:userId="Mojca Ovsenek"/>
  </w15:person>
  <w15:person w15:author="Laura">
    <w15:presenceInfo w15:providerId="None" w15:userId="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2tDS1MLCwNDQ3NTFR0lEKTi0uzszPAykwNK0FABmpkVwtAAAA"/>
  </w:docVars>
  <w:rsids>
    <w:rsidRoot w:val="00F7547B"/>
    <w:rsid w:val="00003141"/>
    <w:rsid w:val="00013AB7"/>
    <w:rsid w:val="00027522"/>
    <w:rsid w:val="00036527"/>
    <w:rsid w:val="00045437"/>
    <w:rsid w:val="0004551D"/>
    <w:rsid w:val="00055588"/>
    <w:rsid w:val="00057848"/>
    <w:rsid w:val="00057B17"/>
    <w:rsid w:val="000605AF"/>
    <w:rsid w:val="0007052B"/>
    <w:rsid w:val="000751CD"/>
    <w:rsid w:val="000816FC"/>
    <w:rsid w:val="00087599"/>
    <w:rsid w:val="00092479"/>
    <w:rsid w:val="000A306B"/>
    <w:rsid w:val="000A4D99"/>
    <w:rsid w:val="000B19C4"/>
    <w:rsid w:val="000C10CD"/>
    <w:rsid w:val="000E16CA"/>
    <w:rsid w:val="000E50C2"/>
    <w:rsid w:val="000E569A"/>
    <w:rsid w:val="000E7722"/>
    <w:rsid w:val="000F3EC8"/>
    <w:rsid w:val="000F5298"/>
    <w:rsid w:val="00102192"/>
    <w:rsid w:val="00110A15"/>
    <w:rsid w:val="00111B9A"/>
    <w:rsid w:val="00116C68"/>
    <w:rsid w:val="00116DDF"/>
    <w:rsid w:val="0012623E"/>
    <w:rsid w:val="001279AF"/>
    <w:rsid w:val="001341E1"/>
    <w:rsid w:val="001364A9"/>
    <w:rsid w:val="00146CBB"/>
    <w:rsid w:val="00160047"/>
    <w:rsid w:val="00161517"/>
    <w:rsid w:val="00164D04"/>
    <w:rsid w:val="0017687D"/>
    <w:rsid w:val="00184698"/>
    <w:rsid w:val="00195415"/>
    <w:rsid w:val="001A2670"/>
    <w:rsid w:val="001B6C29"/>
    <w:rsid w:val="001C6F39"/>
    <w:rsid w:val="001D7AEE"/>
    <w:rsid w:val="001E19B0"/>
    <w:rsid w:val="001E24B9"/>
    <w:rsid w:val="001F0410"/>
    <w:rsid w:val="001F5EA4"/>
    <w:rsid w:val="0021092D"/>
    <w:rsid w:val="00214D8D"/>
    <w:rsid w:val="00230266"/>
    <w:rsid w:val="0023065E"/>
    <w:rsid w:val="00235E4C"/>
    <w:rsid w:val="00250E41"/>
    <w:rsid w:val="00264FB4"/>
    <w:rsid w:val="00272B6A"/>
    <w:rsid w:val="00293282"/>
    <w:rsid w:val="00297DF4"/>
    <w:rsid w:val="002A4AA4"/>
    <w:rsid w:val="002B2B45"/>
    <w:rsid w:val="002B3F5B"/>
    <w:rsid w:val="002B47E4"/>
    <w:rsid w:val="002C4466"/>
    <w:rsid w:val="002D15CC"/>
    <w:rsid w:val="002D1EB1"/>
    <w:rsid w:val="002D2CB6"/>
    <w:rsid w:val="002D2E81"/>
    <w:rsid w:val="002D5842"/>
    <w:rsid w:val="002E243C"/>
    <w:rsid w:val="002E46E9"/>
    <w:rsid w:val="002E543D"/>
    <w:rsid w:val="00305559"/>
    <w:rsid w:val="0032633A"/>
    <w:rsid w:val="00327B7B"/>
    <w:rsid w:val="00351D96"/>
    <w:rsid w:val="0035650E"/>
    <w:rsid w:val="00360033"/>
    <w:rsid w:val="003610D2"/>
    <w:rsid w:val="003628D7"/>
    <w:rsid w:val="00362B57"/>
    <w:rsid w:val="0037294D"/>
    <w:rsid w:val="00372F31"/>
    <w:rsid w:val="003738EC"/>
    <w:rsid w:val="00375CEF"/>
    <w:rsid w:val="00375DF7"/>
    <w:rsid w:val="00383765"/>
    <w:rsid w:val="0039130E"/>
    <w:rsid w:val="00395978"/>
    <w:rsid w:val="003B0886"/>
    <w:rsid w:val="003E6583"/>
    <w:rsid w:val="003E6F55"/>
    <w:rsid w:val="003F49D5"/>
    <w:rsid w:val="00400A98"/>
    <w:rsid w:val="00407F84"/>
    <w:rsid w:val="00414F40"/>
    <w:rsid w:val="00415A47"/>
    <w:rsid w:val="00421AB9"/>
    <w:rsid w:val="0042514F"/>
    <w:rsid w:val="00425393"/>
    <w:rsid w:val="00425F22"/>
    <w:rsid w:val="00426A9E"/>
    <w:rsid w:val="004274CF"/>
    <w:rsid w:val="00430A03"/>
    <w:rsid w:val="00466F9D"/>
    <w:rsid w:val="00476A08"/>
    <w:rsid w:val="0048385D"/>
    <w:rsid w:val="00490382"/>
    <w:rsid w:val="00496E59"/>
    <w:rsid w:val="004A446A"/>
    <w:rsid w:val="004B3731"/>
    <w:rsid w:val="004C2608"/>
    <w:rsid w:val="004C3A3C"/>
    <w:rsid w:val="004C7AF2"/>
    <w:rsid w:val="004D0898"/>
    <w:rsid w:val="004E3475"/>
    <w:rsid w:val="004F6313"/>
    <w:rsid w:val="00501B9D"/>
    <w:rsid w:val="0051160A"/>
    <w:rsid w:val="005159C9"/>
    <w:rsid w:val="005203A4"/>
    <w:rsid w:val="00536C2C"/>
    <w:rsid w:val="00540CB6"/>
    <w:rsid w:val="00544F20"/>
    <w:rsid w:val="00545000"/>
    <w:rsid w:val="00545D4E"/>
    <w:rsid w:val="005511E6"/>
    <w:rsid w:val="0055345F"/>
    <w:rsid w:val="0057649A"/>
    <w:rsid w:val="0059056F"/>
    <w:rsid w:val="00592104"/>
    <w:rsid w:val="0059410C"/>
    <w:rsid w:val="00594B10"/>
    <w:rsid w:val="005B2438"/>
    <w:rsid w:val="005C026F"/>
    <w:rsid w:val="005C5C7E"/>
    <w:rsid w:val="005C7B00"/>
    <w:rsid w:val="005E3C7E"/>
    <w:rsid w:val="005E5481"/>
    <w:rsid w:val="005E6821"/>
    <w:rsid w:val="005E75B1"/>
    <w:rsid w:val="005F5EEA"/>
    <w:rsid w:val="005F627A"/>
    <w:rsid w:val="00600568"/>
    <w:rsid w:val="00611221"/>
    <w:rsid w:val="006633FB"/>
    <w:rsid w:val="00677903"/>
    <w:rsid w:val="00681901"/>
    <w:rsid w:val="00692139"/>
    <w:rsid w:val="006935DB"/>
    <w:rsid w:val="00696743"/>
    <w:rsid w:val="006B21A3"/>
    <w:rsid w:val="006D0921"/>
    <w:rsid w:val="006D642C"/>
    <w:rsid w:val="006D7086"/>
    <w:rsid w:val="006E68AB"/>
    <w:rsid w:val="006F08DB"/>
    <w:rsid w:val="00703109"/>
    <w:rsid w:val="00705185"/>
    <w:rsid w:val="00724754"/>
    <w:rsid w:val="00727073"/>
    <w:rsid w:val="007307C2"/>
    <w:rsid w:val="00730A15"/>
    <w:rsid w:val="0076298E"/>
    <w:rsid w:val="00774C60"/>
    <w:rsid w:val="00783107"/>
    <w:rsid w:val="00791F2F"/>
    <w:rsid w:val="007978F5"/>
    <w:rsid w:val="007A0456"/>
    <w:rsid w:val="007A7C78"/>
    <w:rsid w:val="007B1171"/>
    <w:rsid w:val="007B3E30"/>
    <w:rsid w:val="007B5C18"/>
    <w:rsid w:val="007B765B"/>
    <w:rsid w:val="007C07A4"/>
    <w:rsid w:val="007C2EFE"/>
    <w:rsid w:val="007C47AA"/>
    <w:rsid w:val="007C7398"/>
    <w:rsid w:val="007C7490"/>
    <w:rsid w:val="007E74E4"/>
    <w:rsid w:val="007F3583"/>
    <w:rsid w:val="007F4949"/>
    <w:rsid w:val="008100E2"/>
    <w:rsid w:val="00814745"/>
    <w:rsid w:val="00816C18"/>
    <w:rsid w:val="00821493"/>
    <w:rsid w:val="00821FE6"/>
    <w:rsid w:val="00844CB7"/>
    <w:rsid w:val="00854BCC"/>
    <w:rsid w:val="00864DE3"/>
    <w:rsid w:val="0087600B"/>
    <w:rsid w:val="00890877"/>
    <w:rsid w:val="008B0C4C"/>
    <w:rsid w:val="008B2F73"/>
    <w:rsid w:val="008B3E30"/>
    <w:rsid w:val="008B3E7D"/>
    <w:rsid w:val="008C0B32"/>
    <w:rsid w:val="008D0149"/>
    <w:rsid w:val="008D6CF9"/>
    <w:rsid w:val="008E38BC"/>
    <w:rsid w:val="008E655A"/>
    <w:rsid w:val="008F3A9E"/>
    <w:rsid w:val="00914465"/>
    <w:rsid w:val="00932A08"/>
    <w:rsid w:val="0093371D"/>
    <w:rsid w:val="00962588"/>
    <w:rsid w:val="009635B4"/>
    <w:rsid w:val="0096638D"/>
    <w:rsid w:val="009716C0"/>
    <w:rsid w:val="00971BEF"/>
    <w:rsid w:val="0097270F"/>
    <w:rsid w:val="00977086"/>
    <w:rsid w:val="009870E1"/>
    <w:rsid w:val="00996C08"/>
    <w:rsid w:val="009B2119"/>
    <w:rsid w:val="009B34F7"/>
    <w:rsid w:val="009C568E"/>
    <w:rsid w:val="009D4311"/>
    <w:rsid w:val="009D4C8E"/>
    <w:rsid w:val="009F0B09"/>
    <w:rsid w:val="009F2277"/>
    <w:rsid w:val="009F7746"/>
    <w:rsid w:val="00A047F9"/>
    <w:rsid w:val="00A1790C"/>
    <w:rsid w:val="00A43CD0"/>
    <w:rsid w:val="00A460EF"/>
    <w:rsid w:val="00A5149C"/>
    <w:rsid w:val="00A60D94"/>
    <w:rsid w:val="00A661DB"/>
    <w:rsid w:val="00A67116"/>
    <w:rsid w:val="00A703E0"/>
    <w:rsid w:val="00A71A19"/>
    <w:rsid w:val="00A71D98"/>
    <w:rsid w:val="00A77374"/>
    <w:rsid w:val="00A82FD2"/>
    <w:rsid w:val="00A84886"/>
    <w:rsid w:val="00A90261"/>
    <w:rsid w:val="00A9053B"/>
    <w:rsid w:val="00AA1181"/>
    <w:rsid w:val="00AC6618"/>
    <w:rsid w:val="00AD70D1"/>
    <w:rsid w:val="00AD717F"/>
    <w:rsid w:val="00AE6AD9"/>
    <w:rsid w:val="00AF2397"/>
    <w:rsid w:val="00B02577"/>
    <w:rsid w:val="00B05E51"/>
    <w:rsid w:val="00B17138"/>
    <w:rsid w:val="00B17889"/>
    <w:rsid w:val="00B17E6E"/>
    <w:rsid w:val="00B27B8C"/>
    <w:rsid w:val="00B3317E"/>
    <w:rsid w:val="00B35E9F"/>
    <w:rsid w:val="00B51D7A"/>
    <w:rsid w:val="00B5207C"/>
    <w:rsid w:val="00B56648"/>
    <w:rsid w:val="00B74D8B"/>
    <w:rsid w:val="00B91B39"/>
    <w:rsid w:val="00B977F4"/>
    <w:rsid w:val="00BA0347"/>
    <w:rsid w:val="00BA7FBB"/>
    <w:rsid w:val="00BB1897"/>
    <w:rsid w:val="00BC49EB"/>
    <w:rsid w:val="00BD673A"/>
    <w:rsid w:val="00BE02E7"/>
    <w:rsid w:val="00BE4AD6"/>
    <w:rsid w:val="00BE4F6C"/>
    <w:rsid w:val="00BF1CE8"/>
    <w:rsid w:val="00C01C6E"/>
    <w:rsid w:val="00C23207"/>
    <w:rsid w:val="00C24E5C"/>
    <w:rsid w:val="00C26DA9"/>
    <w:rsid w:val="00C30BF0"/>
    <w:rsid w:val="00C34255"/>
    <w:rsid w:val="00C6140E"/>
    <w:rsid w:val="00C65962"/>
    <w:rsid w:val="00C6717A"/>
    <w:rsid w:val="00C72CDB"/>
    <w:rsid w:val="00C7436C"/>
    <w:rsid w:val="00C76037"/>
    <w:rsid w:val="00C80469"/>
    <w:rsid w:val="00C844E6"/>
    <w:rsid w:val="00C918C4"/>
    <w:rsid w:val="00CA04AB"/>
    <w:rsid w:val="00CC2C70"/>
    <w:rsid w:val="00CC6F26"/>
    <w:rsid w:val="00CD2549"/>
    <w:rsid w:val="00CD44B6"/>
    <w:rsid w:val="00CE280E"/>
    <w:rsid w:val="00CF28BB"/>
    <w:rsid w:val="00CF4F34"/>
    <w:rsid w:val="00CF69C8"/>
    <w:rsid w:val="00D113EF"/>
    <w:rsid w:val="00D13E44"/>
    <w:rsid w:val="00D14C15"/>
    <w:rsid w:val="00D15D31"/>
    <w:rsid w:val="00D22DD9"/>
    <w:rsid w:val="00D30289"/>
    <w:rsid w:val="00D35CD3"/>
    <w:rsid w:val="00D402BA"/>
    <w:rsid w:val="00D42568"/>
    <w:rsid w:val="00D5225E"/>
    <w:rsid w:val="00D64D2E"/>
    <w:rsid w:val="00D77E81"/>
    <w:rsid w:val="00D937C6"/>
    <w:rsid w:val="00D94C8C"/>
    <w:rsid w:val="00D950A7"/>
    <w:rsid w:val="00DA2C10"/>
    <w:rsid w:val="00DB215F"/>
    <w:rsid w:val="00DB504E"/>
    <w:rsid w:val="00DB506D"/>
    <w:rsid w:val="00DB6B8F"/>
    <w:rsid w:val="00DC285B"/>
    <w:rsid w:val="00DC6997"/>
    <w:rsid w:val="00DD13BF"/>
    <w:rsid w:val="00DE3E4E"/>
    <w:rsid w:val="00DE64C4"/>
    <w:rsid w:val="00DE67B9"/>
    <w:rsid w:val="00DF0191"/>
    <w:rsid w:val="00DF0666"/>
    <w:rsid w:val="00E05E41"/>
    <w:rsid w:val="00E07526"/>
    <w:rsid w:val="00E10933"/>
    <w:rsid w:val="00E1484B"/>
    <w:rsid w:val="00E1518F"/>
    <w:rsid w:val="00E23BC4"/>
    <w:rsid w:val="00E26B8A"/>
    <w:rsid w:val="00E35040"/>
    <w:rsid w:val="00E468E3"/>
    <w:rsid w:val="00E46D70"/>
    <w:rsid w:val="00E56FA0"/>
    <w:rsid w:val="00E57573"/>
    <w:rsid w:val="00E578C2"/>
    <w:rsid w:val="00E60E6E"/>
    <w:rsid w:val="00E6138C"/>
    <w:rsid w:val="00E61590"/>
    <w:rsid w:val="00E61E0A"/>
    <w:rsid w:val="00E721FA"/>
    <w:rsid w:val="00E7373C"/>
    <w:rsid w:val="00E96C97"/>
    <w:rsid w:val="00E970FE"/>
    <w:rsid w:val="00EB06B3"/>
    <w:rsid w:val="00EB48FB"/>
    <w:rsid w:val="00EC1D07"/>
    <w:rsid w:val="00ED16FE"/>
    <w:rsid w:val="00EE13D4"/>
    <w:rsid w:val="00F20B92"/>
    <w:rsid w:val="00F31419"/>
    <w:rsid w:val="00F3538B"/>
    <w:rsid w:val="00F52B78"/>
    <w:rsid w:val="00F559CE"/>
    <w:rsid w:val="00F6244F"/>
    <w:rsid w:val="00F63115"/>
    <w:rsid w:val="00F664FB"/>
    <w:rsid w:val="00F7547B"/>
    <w:rsid w:val="00F7599D"/>
    <w:rsid w:val="00F809EA"/>
    <w:rsid w:val="00F81ADE"/>
    <w:rsid w:val="00F82168"/>
    <w:rsid w:val="00F915A0"/>
    <w:rsid w:val="00F94682"/>
    <w:rsid w:val="00F962D9"/>
    <w:rsid w:val="00FA55B5"/>
    <w:rsid w:val="00FB04F0"/>
    <w:rsid w:val="00FB2891"/>
    <w:rsid w:val="00FB50E1"/>
    <w:rsid w:val="00FB78DC"/>
    <w:rsid w:val="00FC0698"/>
    <w:rsid w:val="00FC2A1C"/>
    <w:rsid w:val="00FC79FA"/>
    <w:rsid w:val="00FD3C17"/>
    <w:rsid w:val="00FD4C40"/>
    <w:rsid w:val="00FD69DB"/>
    <w:rsid w:val="00FD7B1F"/>
    <w:rsid w:val="00FF39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864E"/>
  <w15:chartTrackingRefBased/>
  <w15:docId w15:val="{58D0962F-16BA-4FDB-9A7D-41EA9020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 w:eastAsia="sl-SI"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821FE6"/>
    <w:pPr>
      <w:widowControl w:val="0"/>
      <w:autoSpaceDE w:val="0"/>
      <w:autoSpaceDN w:val="0"/>
      <w:spacing w:after="0" w:line="240" w:lineRule="auto"/>
    </w:pPr>
    <w:rPr>
      <w:rFonts w:ascii="Times New Roman" w:eastAsia="Times New Roman" w:hAnsi="Times New Roman" w:cs="Times New Roman"/>
    </w:rPr>
  </w:style>
  <w:style w:type="paragraph" w:styleId="Naslov1">
    <w:name w:val="heading 1"/>
    <w:basedOn w:val="Navaden"/>
    <w:link w:val="Naslov1Znak"/>
    <w:uiPriority w:val="9"/>
    <w:qFormat/>
    <w:rsid w:val="00821FE6"/>
    <w:pPr>
      <w:numPr>
        <w:numId w:val="3"/>
      </w:numPr>
      <w:spacing w:before="89"/>
      <w:ind w:right="440"/>
      <w:outlineLvl w:val="0"/>
    </w:pPr>
    <w:rPr>
      <w:b/>
      <w:color w:val="2E74B5" w:themeColor="accent1" w:themeShade="BF"/>
      <w:sz w:val="28"/>
    </w:rPr>
  </w:style>
  <w:style w:type="paragraph" w:styleId="Naslov2">
    <w:name w:val="heading 2"/>
    <w:basedOn w:val="Navaden"/>
    <w:link w:val="Naslov2Znak"/>
    <w:uiPriority w:val="9"/>
    <w:qFormat/>
    <w:rsid w:val="00821FE6"/>
    <w:pPr>
      <w:numPr>
        <w:ilvl w:val="1"/>
        <w:numId w:val="3"/>
      </w:numPr>
      <w:ind w:right="610"/>
      <w:outlineLvl w:val="1"/>
    </w:pPr>
    <w:rPr>
      <w:rFonts w:eastAsia="Cambria" w:cs="Cambria"/>
      <w:b/>
      <w:color w:val="2E74B5" w:themeColor="accent1" w:themeShade="BF"/>
      <w:sz w:val="24"/>
    </w:rPr>
  </w:style>
  <w:style w:type="paragraph" w:styleId="Naslov3">
    <w:name w:val="heading 3"/>
    <w:basedOn w:val="Navaden"/>
    <w:link w:val="Naslov3Znak"/>
    <w:uiPriority w:val="9"/>
    <w:qFormat/>
    <w:rsid w:val="00821FE6"/>
    <w:pPr>
      <w:numPr>
        <w:ilvl w:val="2"/>
        <w:numId w:val="3"/>
      </w:numPr>
      <w:ind w:right="610"/>
      <w:outlineLvl w:val="2"/>
    </w:pPr>
    <w:rPr>
      <w:rFonts w:eastAsia="Cambria" w:cs="Cambria"/>
      <w:b/>
      <w:i/>
      <w:color w:val="5B9BD5" w:themeColor="accent1"/>
      <w:sz w:val="24"/>
    </w:rPr>
  </w:style>
  <w:style w:type="paragraph" w:styleId="Naslov4">
    <w:name w:val="heading 4"/>
    <w:basedOn w:val="Navaden"/>
    <w:next w:val="Navaden"/>
    <w:link w:val="Naslov4Znak"/>
    <w:uiPriority w:val="9"/>
    <w:unhideWhenUsed/>
    <w:qFormat/>
    <w:rsid w:val="00821FE6"/>
    <w:pPr>
      <w:keepNext/>
      <w:keepLines/>
      <w:widowControl/>
      <w:numPr>
        <w:ilvl w:val="3"/>
        <w:numId w:val="3"/>
      </w:numPr>
      <w:autoSpaceDE/>
      <w:autoSpaceDN/>
      <w:spacing w:before="40" w:line="259" w:lineRule="auto"/>
      <w:outlineLvl w:val="3"/>
    </w:pPr>
    <w:rPr>
      <w:rFonts w:eastAsiaTheme="majorEastAsia" w:cstheme="majorBidi"/>
      <w:i/>
      <w:color w:val="2E74B5" w:themeColor="accent1" w:themeShade="BF"/>
      <w:sz w:val="24"/>
    </w:rPr>
  </w:style>
  <w:style w:type="paragraph" w:styleId="Naslov5">
    <w:name w:val="heading 5"/>
    <w:basedOn w:val="Navaden"/>
    <w:next w:val="Navaden"/>
    <w:link w:val="Naslov5Znak"/>
    <w:uiPriority w:val="9"/>
    <w:unhideWhenUsed/>
    <w:qFormat/>
    <w:rsid w:val="00821FE6"/>
    <w:pPr>
      <w:keepNext/>
      <w:keepLines/>
      <w:numPr>
        <w:ilvl w:val="4"/>
        <w:numId w:val="3"/>
      </w:numPr>
      <w:spacing w:before="40"/>
      <w:outlineLvl w:val="4"/>
    </w:pPr>
    <w:rPr>
      <w:rFonts w:eastAsiaTheme="majorEastAsia" w:cstheme="majorBidi"/>
      <w:i/>
      <w:sz w:val="24"/>
    </w:rPr>
  </w:style>
  <w:style w:type="paragraph" w:styleId="Naslov6">
    <w:name w:val="heading 6"/>
    <w:basedOn w:val="Navaden"/>
    <w:next w:val="Navaden"/>
    <w:link w:val="Naslov6Znak"/>
    <w:uiPriority w:val="9"/>
    <w:semiHidden/>
    <w:unhideWhenUsed/>
    <w:qFormat/>
    <w:rsid w:val="00821FE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821FE6"/>
    <w:pPr>
      <w:keepNext/>
      <w:keepLines/>
      <w:numPr>
        <w:ilvl w:val="6"/>
        <w:numId w:val="3"/>
      </w:numPr>
      <w:spacing w:before="40"/>
      <w:outlineLvl w:val="6"/>
    </w:pPr>
    <w:rPr>
      <w:rFonts w:asciiTheme="majorHAnsi" w:eastAsiaTheme="majorEastAsia" w:hAnsiTheme="majorHAnsi" w:cstheme="majorBidi"/>
      <w:i/>
      <w:color w:val="1F4D78" w:themeColor="accent1" w:themeShade="7F"/>
    </w:rPr>
  </w:style>
  <w:style w:type="paragraph" w:styleId="Naslov8">
    <w:name w:val="heading 8"/>
    <w:basedOn w:val="Navaden"/>
    <w:next w:val="Navaden"/>
    <w:link w:val="Naslov8Znak"/>
    <w:uiPriority w:val="9"/>
    <w:semiHidden/>
    <w:unhideWhenUsed/>
    <w:qFormat/>
    <w:rsid w:val="00821FE6"/>
    <w:pPr>
      <w:keepNext/>
      <w:keepLines/>
      <w:numPr>
        <w:ilvl w:val="7"/>
        <w:numId w:val="3"/>
      </w:numPr>
      <w:spacing w:before="40"/>
      <w:outlineLvl w:val="7"/>
    </w:pPr>
    <w:rPr>
      <w:rFonts w:asciiTheme="majorHAnsi" w:eastAsiaTheme="majorEastAsia" w:hAnsiTheme="majorHAnsi" w:cstheme="majorBidi"/>
      <w:color w:val="272727" w:themeColor="text1" w:themeTint="D8"/>
      <w:sz w:val="21"/>
    </w:rPr>
  </w:style>
  <w:style w:type="paragraph" w:styleId="Naslov9">
    <w:name w:val="heading 9"/>
    <w:basedOn w:val="Navaden"/>
    <w:next w:val="Navaden"/>
    <w:link w:val="Naslov9Znak"/>
    <w:uiPriority w:val="9"/>
    <w:semiHidden/>
    <w:unhideWhenUsed/>
    <w:qFormat/>
    <w:rsid w:val="00821FE6"/>
    <w:pPr>
      <w:keepNext/>
      <w:keepLines/>
      <w:numPr>
        <w:ilvl w:val="8"/>
        <w:numId w:val="3"/>
      </w:numPr>
      <w:spacing w:before="40"/>
      <w:outlineLvl w:val="8"/>
    </w:pPr>
    <w:rPr>
      <w:rFonts w:asciiTheme="majorHAnsi" w:eastAsiaTheme="majorEastAsia" w:hAnsiTheme="majorHAnsi" w:cstheme="majorBidi"/>
      <w:i/>
      <w:color w:val="272727" w:themeColor="text1" w:themeTint="D8"/>
      <w:sz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21FE6"/>
    <w:rPr>
      <w:rFonts w:ascii="Times New Roman" w:eastAsia="Times New Roman" w:hAnsi="Times New Roman" w:cs="Times New Roman"/>
      <w:b/>
      <w:color w:val="2E74B5" w:themeColor="accent1" w:themeShade="BF"/>
      <w:sz w:val="28"/>
    </w:rPr>
  </w:style>
  <w:style w:type="character" w:customStyle="1" w:styleId="Naslov2Znak">
    <w:name w:val="Naslov 2 Znak"/>
    <w:basedOn w:val="Privzetapisavaodstavka"/>
    <w:link w:val="Naslov2"/>
    <w:uiPriority w:val="9"/>
    <w:rsid w:val="00821FE6"/>
    <w:rPr>
      <w:rFonts w:ascii="Times New Roman" w:eastAsia="Cambria" w:hAnsi="Times New Roman" w:cs="Cambria"/>
      <w:b/>
      <w:color w:val="2E74B5" w:themeColor="accent1" w:themeShade="BF"/>
      <w:sz w:val="24"/>
    </w:rPr>
  </w:style>
  <w:style w:type="character" w:customStyle="1" w:styleId="Naslov3Znak">
    <w:name w:val="Naslov 3 Znak"/>
    <w:basedOn w:val="Privzetapisavaodstavka"/>
    <w:link w:val="Naslov3"/>
    <w:uiPriority w:val="9"/>
    <w:rsid w:val="00821FE6"/>
    <w:rPr>
      <w:rFonts w:ascii="Times New Roman" w:eastAsia="Cambria" w:hAnsi="Times New Roman" w:cs="Cambria"/>
      <w:b/>
      <w:i/>
      <w:color w:val="5B9BD5" w:themeColor="accent1"/>
      <w:sz w:val="24"/>
    </w:rPr>
  </w:style>
  <w:style w:type="character" w:customStyle="1" w:styleId="Naslov4Znak">
    <w:name w:val="Naslov 4 Znak"/>
    <w:basedOn w:val="Privzetapisavaodstavka"/>
    <w:link w:val="Naslov4"/>
    <w:uiPriority w:val="9"/>
    <w:rsid w:val="00821FE6"/>
    <w:rPr>
      <w:rFonts w:ascii="Times New Roman" w:eastAsiaTheme="majorEastAsia" w:hAnsi="Times New Roman" w:cstheme="majorBidi"/>
      <w:i/>
      <w:color w:val="2E74B5" w:themeColor="accent1" w:themeShade="BF"/>
      <w:sz w:val="24"/>
    </w:rPr>
  </w:style>
  <w:style w:type="character" w:customStyle="1" w:styleId="Naslov5Znak">
    <w:name w:val="Naslov 5 Znak"/>
    <w:basedOn w:val="Privzetapisavaodstavka"/>
    <w:link w:val="Naslov5"/>
    <w:uiPriority w:val="9"/>
    <w:rsid w:val="00821FE6"/>
    <w:rPr>
      <w:rFonts w:ascii="Times New Roman" w:eastAsiaTheme="majorEastAsia" w:hAnsi="Times New Roman" w:cstheme="majorBidi"/>
      <w:i/>
      <w:sz w:val="24"/>
    </w:rPr>
  </w:style>
  <w:style w:type="character" w:customStyle="1" w:styleId="Naslov6Znak">
    <w:name w:val="Naslov 6 Znak"/>
    <w:basedOn w:val="Privzetapisavaodstavka"/>
    <w:link w:val="Naslov6"/>
    <w:uiPriority w:val="9"/>
    <w:semiHidden/>
    <w:rsid w:val="00821FE6"/>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821FE6"/>
    <w:rPr>
      <w:rFonts w:asciiTheme="majorHAnsi" w:eastAsiaTheme="majorEastAsia" w:hAnsiTheme="majorHAnsi" w:cstheme="majorBidi"/>
      <w:i/>
      <w:color w:val="1F4D78" w:themeColor="accent1" w:themeShade="7F"/>
    </w:rPr>
  </w:style>
  <w:style w:type="character" w:customStyle="1" w:styleId="Naslov8Znak">
    <w:name w:val="Naslov 8 Znak"/>
    <w:basedOn w:val="Privzetapisavaodstavka"/>
    <w:link w:val="Naslov8"/>
    <w:uiPriority w:val="9"/>
    <w:semiHidden/>
    <w:rsid w:val="00821FE6"/>
    <w:rPr>
      <w:rFonts w:asciiTheme="majorHAnsi" w:eastAsiaTheme="majorEastAsia" w:hAnsiTheme="majorHAnsi" w:cstheme="majorBidi"/>
      <w:color w:val="272727" w:themeColor="text1" w:themeTint="D8"/>
      <w:sz w:val="21"/>
    </w:rPr>
  </w:style>
  <w:style w:type="character" w:customStyle="1" w:styleId="Naslov9Znak">
    <w:name w:val="Naslov 9 Znak"/>
    <w:basedOn w:val="Privzetapisavaodstavka"/>
    <w:link w:val="Naslov9"/>
    <w:uiPriority w:val="9"/>
    <w:semiHidden/>
    <w:rsid w:val="00821FE6"/>
    <w:rPr>
      <w:rFonts w:asciiTheme="majorHAnsi" w:eastAsiaTheme="majorEastAsia" w:hAnsiTheme="majorHAnsi" w:cstheme="majorBidi"/>
      <w:i/>
      <w:color w:val="272727" w:themeColor="text1" w:themeTint="D8"/>
      <w:sz w:val="21"/>
    </w:rPr>
  </w:style>
  <w:style w:type="table" w:customStyle="1" w:styleId="NormalTable0">
    <w:name w:val="Normal Table0"/>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821FE6"/>
    <w:rPr>
      <w:rFonts w:ascii="Cambria" w:eastAsia="Cambria" w:hAnsi="Cambria" w:cs="Cambria"/>
      <w:sz w:val="19"/>
    </w:rPr>
  </w:style>
  <w:style w:type="character" w:customStyle="1" w:styleId="TelobesedilaZnak">
    <w:name w:val="Telo besedila Znak"/>
    <w:basedOn w:val="Privzetapisavaodstavka"/>
    <w:link w:val="Telobesedila"/>
    <w:uiPriority w:val="1"/>
    <w:rsid w:val="00821FE6"/>
    <w:rPr>
      <w:rFonts w:ascii="Cambria" w:eastAsia="Cambria" w:hAnsi="Cambria" w:cs="Cambria"/>
      <w:sz w:val="19"/>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821FE6"/>
    <w:pPr>
      <w:ind w:left="620"/>
    </w:pPr>
    <w:rPr>
      <w:rFonts w:ascii="Cambria" w:eastAsia="Cambria" w:hAnsi="Cambria" w:cs="Cambria"/>
    </w:rPr>
  </w:style>
  <w:style w:type="paragraph" w:customStyle="1" w:styleId="TableParagraph">
    <w:name w:val="Table Paragraph"/>
    <w:basedOn w:val="Navaden"/>
    <w:uiPriority w:val="1"/>
    <w:qFormat/>
    <w:rsid w:val="00821FE6"/>
  </w:style>
  <w:style w:type="paragraph" w:styleId="Glava">
    <w:name w:val="header"/>
    <w:basedOn w:val="Navaden"/>
    <w:link w:val="GlavaZnak"/>
    <w:uiPriority w:val="99"/>
    <w:unhideWhenUsed/>
    <w:rsid w:val="00821FE6"/>
    <w:pPr>
      <w:tabs>
        <w:tab w:val="center" w:pos="4536"/>
        <w:tab w:val="right" w:pos="9072"/>
      </w:tabs>
    </w:pPr>
  </w:style>
  <w:style w:type="character" w:customStyle="1" w:styleId="GlavaZnak">
    <w:name w:val="Glava Znak"/>
    <w:basedOn w:val="Privzetapisavaodstavka"/>
    <w:link w:val="Glava"/>
    <w:uiPriority w:val="99"/>
    <w:rsid w:val="00821FE6"/>
    <w:rPr>
      <w:rFonts w:ascii="Times New Roman" w:eastAsia="Times New Roman" w:hAnsi="Times New Roman" w:cs="Times New Roman"/>
    </w:rPr>
  </w:style>
  <w:style w:type="paragraph" w:styleId="Noga">
    <w:name w:val="footer"/>
    <w:basedOn w:val="Navaden"/>
    <w:link w:val="NogaZnak"/>
    <w:uiPriority w:val="99"/>
    <w:unhideWhenUsed/>
    <w:rsid w:val="00821FE6"/>
    <w:pPr>
      <w:tabs>
        <w:tab w:val="center" w:pos="4536"/>
        <w:tab w:val="right" w:pos="9072"/>
      </w:tabs>
    </w:pPr>
  </w:style>
  <w:style w:type="character" w:customStyle="1" w:styleId="NogaZnak">
    <w:name w:val="Noga Znak"/>
    <w:basedOn w:val="Privzetapisavaodstavka"/>
    <w:link w:val="Noga"/>
    <w:uiPriority w:val="99"/>
    <w:rsid w:val="00821FE6"/>
    <w:rPr>
      <w:rFonts w:ascii="Times New Roman" w:eastAsia="Times New Roman" w:hAnsi="Times New Roman" w:cs="Times New Roman"/>
    </w:rPr>
  </w:style>
  <w:style w:type="table" w:styleId="Tabelamrea">
    <w:name w:val="Table Grid"/>
    <w:basedOn w:val="Navadnatabel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821FE6"/>
    <w:rPr>
      <w:sz w:val="16"/>
    </w:rPr>
  </w:style>
  <w:style w:type="paragraph" w:styleId="Pripombabesedilo">
    <w:name w:val="annotation text"/>
    <w:basedOn w:val="Navaden"/>
    <w:link w:val="PripombabesediloZnak"/>
    <w:uiPriority w:val="99"/>
    <w:unhideWhenUsed/>
    <w:rsid w:val="00821FE6"/>
    <w:pPr>
      <w:widowControl/>
      <w:autoSpaceDE/>
      <w:autoSpaceDN/>
      <w:spacing w:after="160"/>
    </w:pPr>
    <w:rPr>
      <w:rFonts w:asciiTheme="minorHAnsi" w:eastAsiaTheme="minorHAnsi" w:hAnsiTheme="minorHAnsi" w:cstheme="minorBidi"/>
      <w:sz w:val="20"/>
    </w:rPr>
  </w:style>
  <w:style w:type="character" w:customStyle="1" w:styleId="PripombabesediloZnak">
    <w:name w:val="Pripomba – besedilo Znak"/>
    <w:basedOn w:val="Privzetapisavaodstavka"/>
    <w:link w:val="Pripombabesedilo"/>
    <w:uiPriority w:val="99"/>
    <w:rsid w:val="00821FE6"/>
    <w:rPr>
      <w:sz w:val="20"/>
    </w:rPr>
  </w:style>
  <w:style w:type="paragraph" w:styleId="Besedilooblaka">
    <w:name w:val="Balloon Text"/>
    <w:basedOn w:val="Navaden"/>
    <w:link w:val="BesedilooblakaZnak"/>
    <w:uiPriority w:val="99"/>
    <w:semiHidden/>
    <w:unhideWhenUsed/>
    <w:rsid w:val="00821FE6"/>
    <w:rPr>
      <w:rFonts w:ascii="Segoe UI" w:hAnsi="Segoe UI" w:cs="Segoe UI"/>
      <w:sz w:val="18"/>
    </w:rPr>
  </w:style>
  <w:style w:type="character" w:customStyle="1" w:styleId="BesedilooblakaZnak">
    <w:name w:val="Besedilo oblačka Znak"/>
    <w:basedOn w:val="Privzetapisavaodstavka"/>
    <w:link w:val="Besedilooblaka"/>
    <w:uiPriority w:val="99"/>
    <w:semiHidden/>
    <w:rsid w:val="00821FE6"/>
    <w:rPr>
      <w:rFonts w:ascii="Segoe UI" w:eastAsia="Times New Roman" w:hAnsi="Segoe UI" w:cs="Segoe UI"/>
      <w:sz w:val="18"/>
    </w:rPr>
  </w:style>
  <w:style w:type="paragraph" w:styleId="Sprotnaopomba-besedilo">
    <w:name w:val="footnote text"/>
    <w:aliases w:val="Schriftart: 9 pt,Schriftart: 10 pt,Schriftart: 8 pt,WB-Fußnotentext,FoodNote,ft,Footnote text,Footnote Text Char Char,Footnote Text Char1 Char Char,Footnote Text Char Char Char Char,fn,f,Char,Voetnoottekst Char,Char Char,o"/>
    <w:basedOn w:val="Navaden"/>
    <w:link w:val="Sprotnaopomba-besediloZnak"/>
    <w:uiPriority w:val="99"/>
    <w:unhideWhenUsed/>
    <w:qFormat/>
    <w:rsid w:val="00821FE6"/>
    <w:rPr>
      <w:sz w:val="20"/>
    </w:rPr>
  </w:style>
  <w:style w:type="character" w:customStyle="1" w:styleId="Sprotnaopomba-besediloZnak">
    <w:name w:val="Sprotna opomba - besedilo Znak"/>
    <w:aliases w:val="Schriftart: 9 pt Znak,Schriftart: 10 pt Znak,Schriftart: 8 pt Znak,WB-Fußnotentext Znak,FoodNote Znak,ft Znak,Footnote text Znak,Footnote Text Char Char Znak,Footnote Text Char1 Char Char Znak,fn Znak,f Znak,Char Znak"/>
    <w:basedOn w:val="Privzetapisavaodstavka"/>
    <w:link w:val="Sprotnaopomba-besedilo"/>
    <w:uiPriority w:val="99"/>
    <w:qFormat/>
    <w:rsid w:val="00821FE6"/>
    <w:rPr>
      <w:rFonts w:ascii="Times New Roman" w:eastAsia="Times New Roman" w:hAnsi="Times New Roman" w:cs="Times New Roman"/>
      <w:sz w:val="20"/>
    </w:rPr>
  </w:style>
  <w:style w:type="character" w:styleId="Sprotnaopomba-sklic">
    <w:name w:val="footnote reference"/>
    <w:aliases w:val="16 Point,Superscript 6 Point,Footnote Reference Number,Footnote Reference_LVL6,Footnote Reference_LVL61,Footnote Reference_LVL62,Footnote Reference_LVL63,Footnote Reference_LVL64,Footnote call,BVI fnr,SUPERS,Footnote symbol,Fussno"/>
    <w:basedOn w:val="Privzetapisavaodstavka"/>
    <w:link w:val="FootnotesymbolCarZchn"/>
    <w:uiPriority w:val="99"/>
    <w:unhideWhenUsed/>
    <w:qFormat/>
    <w:rsid w:val="00821FE6"/>
    <w:rPr>
      <w:vertAlign w:val="superscript"/>
    </w:rPr>
  </w:style>
  <w:style w:type="character" w:customStyle="1" w:styleId="Hiperpovezava1">
    <w:name w:val="Hiperpovezava1"/>
    <w:basedOn w:val="Privzetapisavaodstavka"/>
    <w:uiPriority w:val="99"/>
    <w:unhideWhenUsed/>
    <w:rsid w:val="00821FE6"/>
    <w:rPr>
      <w:color w:val="0563C1"/>
      <w:u w:val="single"/>
    </w:rPr>
  </w:style>
  <w:style w:type="character" w:styleId="Hiperpovezava">
    <w:name w:val="Hyperlink"/>
    <w:basedOn w:val="Privzetapisavaodstavka"/>
    <w:uiPriority w:val="99"/>
    <w:unhideWhenUsed/>
    <w:rsid w:val="00821FE6"/>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821FE6"/>
    <w:pPr>
      <w:widowControl w:val="0"/>
      <w:autoSpaceDE w:val="0"/>
      <w:autoSpaceDN w:val="0"/>
      <w:spacing w:after="0"/>
    </w:pPr>
    <w:rPr>
      <w:rFonts w:ascii="Times New Roman" w:eastAsia="Times New Roman" w:hAnsi="Times New Roman" w:cs="Times New Roman"/>
      <w:b/>
    </w:rPr>
  </w:style>
  <w:style w:type="character" w:customStyle="1" w:styleId="ZadevapripombeZnak">
    <w:name w:val="Zadeva pripombe Znak"/>
    <w:basedOn w:val="PripombabesediloZnak"/>
    <w:link w:val="Zadevapripombe"/>
    <w:uiPriority w:val="99"/>
    <w:semiHidden/>
    <w:rsid w:val="00821FE6"/>
    <w:rPr>
      <w:rFonts w:ascii="Times New Roman" w:eastAsia="Times New Roman" w:hAnsi="Times New Roman" w:cs="Times New Roman"/>
      <w:b/>
      <w:sz w:val="20"/>
    </w:rPr>
  </w:style>
  <w:style w:type="table" w:customStyle="1" w:styleId="Tabelamrea2">
    <w:name w:val="Tabela – mreža2"/>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unhideWhenUsed/>
    <w:rsid w:val="00821FE6"/>
    <w:pPr>
      <w:widowControl/>
      <w:tabs>
        <w:tab w:val="left" w:pos="440"/>
        <w:tab w:val="right" w:leader="dot" w:pos="9062"/>
      </w:tabs>
      <w:autoSpaceDE/>
      <w:autoSpaceDN/>
      <w:spacing w:line="259" w:lineRule="auto"/>
      <w:jc w:val="both"/>
    </w:pPr>
    <w:rPr>
      <w:rFonts w:eastAsiaTheme="minorEastAsia"/>
      <w:b/>
      <w:sz w:val="24"/>
    </w:rPr>
  </w:style>
  <w:style w:type="table" w:customStyle="1" w:styleId="Tabelamrea1">
    <w:name w:val="Tabela – mreža1"/>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2">
    <w:name w:val="toc 2"/>
    <w:basedOn w:val="Navaden"/>
    <w:next w:val="Navaden"/>
    <w:autoRedefine/>
    <w:uiPriority w:val="39"/>
    <w:unhideWhenUsed/>
    <w:rsid w:val="00821FE6"/>
    <w:pPr>
      <w:spacing w:after="100"/>
      <w:ind w:left="220"/>
    </w:pPr>
    <w:rPr>
      <w:b/>
      <w:sz w:val="24"/>
    </w:rPr>
  </w:style>
  <w:style w:type="paragraph" w:styleId="Kazalovsebine3">
    <w:name w:val="toc 3"/>
    <w:basedOn w:val="Navaden"/>
    <w:next w:val="Navaden"/>
    <w:autoRedefine/>
    <w:uiPriority w:val="39"/>
    <w:unhideWhenUsed/>
    <w:rsid w:val="00821FE6"/>
    <w:pPr>
      <w:tabs>
        <w:tab w:val="left" w:pos="1320"/>
        <w:tab w:val="right" w:leader="dot" w:pos="9066"/>
      </w:tabs>
      <w:spacing w:after="100"/>
      <w:ind w:left="440"/>
    </w:pPr>
    <w:rPr>
      <w:b/>
    </w:rPr>
  </w:style>
  <w:style w:type="paragraph" w:styleId="Revizija">
    <w:name w:val="Revision"/>
    <w:hidden/>
    <w:uiPriority w:val="99"/>
    <w:semiHidden/>
    <w:rsid w:val="00821FE6"/>
    <w:pPr>
      <w:spacing w:after="0" w:line="240" w:lineRule="auto"/>
    </w:pPr>
    <w:rPr>
      <w:rFonts w:ascii="Times New Roman" w:eastAsia="Times New Roman" w:hAnsi="Times New Roman" w:cs="Times New Roman"/>
    </w:rPr>
  </w:style>
  <w:style w:type="paragraph" w:customStyle="1" w:styleId="xmsonormal">
    <w:name w:val="x_msonormal"/>
    <w:basedOn w:val="Navaden"/>
    <w:rsid w:val="00821FE6"/>
    <w:pPr>
      <w:widowControl/>
      <w:autoSpaceDE/>
      <w:autoSpaceDN/>
    </w:pPr>
    <w:rPr>
      <w:rFonts w:ascii="Calibri" w:eastAsiaTheme="minorHAnsi" w:hAnsi="Calibri" w:cs="Calibri"/>
    </w:rPr>
  </w:style>
  <w:style w:type="paragraph" w:customStyle="1" w:styleId="Default">
    <w:name w:val="Default"/>
    <w:rsid w:val="00821FE6"/>
    <w:pPr>
      <w:autoSpaceDE w:val="0"/>
      <w:autoSpaceDN w:val="0"/>
      <w:adjustRightInd w:val="0"/>
      <w:spacing w:after="0" w:line="240" w:lineRule="auto"/>
    </w:pPr>
    <w:rPr>
      <w:rFonts w:ascii="Calibri" w:hAnsi="Calibri" w:cs="Calibri"/>
      <w:color w:val="000000"/>
      <w:sz w:val="24"/>
    </w:rPr>
  </w:style>
  <w:style w:type="character" w:customStyle="1" w:styleId="jlqj4b">
    <w:name w:val="jlqj4b"/>
    <w:basedOn w:val="Privzetapisavaodstavka"/>
    <w:rsid w:val="00821FE6"/>
  </w:style>
  <w:style w:type="character" w:styleId="SledenaHiperpovezava">
    <w:name w:val="FollowedHyperlink"/>
    <w:basedOn w:val="Privzetapisavaodstavka"/>
    <w:uiPriority w:val="99"/>
    <w:semiHidden/>
    <w:unhideWhenUsed/>
    <w:rsid w:val="00821FE6"/>
    <w:rPr>
      <w:color w:val="954F72" w:themeColor="followedHyperlink"/>
      <w:u w:val="single"/>
    </w:rPr>
  </w:style>
  <w:style w:type="paragraph" w:customStyle="1" w:styleId="tevilnatoka">
    <w:name w:val="tevilnatoka"/>
    <w:basedOn w:val="Navaden"/>
    <w:rsid w:val="00821FE6"/>
    <w:pPr>
      <w:widowControl/>
      <w:autoSpaceDE/>
      <w:autoSpaceDN/>
      <w:spacing w:before="100" w:beforeAutospacing="1" w:after="100" w:afterAutospacing="1"/>
    </w:pPr>
    <w:rPr>
      <w:sz w:val="24"/>
    </w:rPr>
  </w:style>
  <w:style w:type="paragraph" w:customStyle="1" w:styleId="rkovnatokazaodstavkom">
    <w:name w:val="rkovnatokazaodstavkom"/>
    <w:basedOn w:val="Navaden"/>
    <w:rsid w:val="00821FE6"/>
    <w:pPr>
      <w:widowControl/>
      <w:autoSpaceDE/>
      <w:autoSpaceDN/>
      <w:spacing w:before="100" w:beforeAutospacing="1" w:after="100" w:afterAutospacing="1"/>
    </w:pPr>
    <w:rPr>
      <w:sz w:val="24"/>
    </w:rPr>
  </w:style>
  <w:style w:type="character" w:customStyle="1" w:styleId="Nerazreenaomemba1">
    <w:name w:val="Nerazrešena omemba1"/>
    <w:basedOn w:val="Privzetapisavaodstavka"/>
    <w:uiPriority w:val="99"/>
    <w:semiHidden/>
    <w:unhideWhenUsed/>
    <w:rsid w:val="00821FE6"/>
    <w:rPr>
      <w:color w:val="605E5C"/>
      <w:shd w:val="clear" w:color="auto" w:fill="E1DFDD"/>
    </w:rPr>
  </w:style>
  <w:style w:type="paragraph" w:styleId="Brezrazmikov">
    <w:name w:val="No Spacing"/>
    <w:uiPriority w:val="1"/>
    <w:qFormat/>
    <w:rsid w:val="00821FE6"/>
    <w:pPr>
      <w:spacing w:after="0" w:line="240" w:lineRule="auto"/>
    </w:pPr>
  </w:style>
  <w:style w:type="table" w:customStyle="1" w:styleId="TableNormal1">
    <w:name w:val="Table Normal1"/>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Brezseznama1">
    <w:name w:val="Brez seznama1"/>
    <w:next w:val="Brezseznama"/>
    <w:uiPriority w:val="99"/>
    <w:semiHidden/>
    <w:unhideWhenUsed/>
    <w:rsid w:val="00821FE6"/>
  </w:style>
  <w:style w:type="paragraph" w:styleId="HTML-oblikovano">
    <w:name w:val="HTML Preformatted"/>
    <w:basedOn w:val="Navaden"/>
    <w:link w:val="HTML-oblikovanoZnak"/>
    <w:uiPriority w:val="99"/>
    <w:semiHidden/>
    <w:unhideWhenUsed/>
    <w:rsid w:val="00821F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rPr>
  </w:style>
  <w:style w:type="character" w:customStyle="1" w:styleId="HTML-oblikovanoZnak">
    <w:name w:val="HTML-oblikovano Znak"/>
    <w:basedOn w:val="Privzetapisavaodstavka"/>
    <w:link w:val="HTML-oblikovano"/>
    <w:uiPriority w:val="99"/>
    <w:semiHidden/>
    <w:rsid w:val="00821FE6"/>
    <w:rPr>
      <w:rFonts w:ascii="Courier New" w:eastAsia="Times New Roman" w:hAnsi="Courier New" w:cs="Courier New"/>
      <w:sz w:val="20"/>
    </w:rPr>
  </w:style>
  <w:style w:type="character" w:customStyle="1" w:styleId="y2iqfc">
    <w:name w:val="y2iqfc"/>
    <w:basedOn w:val="Privzetapisavaodstavka"/>
    <w:rsid w:val="00821FE6"/>
  </w:style>
  <w:style w:type="character" w:styleId="Krepko">
    <w:name w:val="Strong"/>
    <w:basedOn w:val="Privzetapisavaodstavka"/>
    <w:uiPriority w:val="22"/>
    <w:qFormat/>
    <w:rsid w:val="00821FE6"/>
    <w:rPr>
      <w:b/>
    </w:rPr>
  </w:style>
  <w:style w:type="numbering" w:customStyle="1" w:styleId="Brezseznama2">
    <w:name w:val="Brez seznama2"/>
    <w:next w:val="Brezseznama"/>
    <w:uiPriority w:val="99"/>
    <w:semiHidden/>
    <w:unhideWhenUsed/>
    <w:rsid w:val="00821FE6"/>
  </w:style>
  <w:style w:type="table" w:customStyle="1" w:styleId="Tabelamrea3">
    <w:name w:val="Tabela – mreža3"/>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1">
    <w:name w:val="Tabela – mreža211"/>
    <w:basedOn w:val="Navadnatabela"/>
    <w:next w:val="Tabelamrea"/>
    <w:uiPriority w:val="39"/>
    <w:rsid w:val="0082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821FE6"/>
  </w:style>
  <w:style w:type="table" w:customStyle="1" w:styleId="TableNormal11">
    <w:name w:val="Table Normal11"/>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Navadensplet">
    <w:name w:val="Normal (Web)"/>
    <w:basedOn w:val="Navaden"/>
    <w:uiPriority w:val="99"/>
    <w:semiHidden/>
    <w:unhideWhenUsed/>
    <w:rsid w:val="00821FE6"/>
    <w:rPr>
      <w:sz w:val="24"/>
    </w:rPr>
  </w:style>
  <w:style w:type="paragraph" w:styleId="NaslovTOC">
    <w:name w:val="TOC Heading"/>
    <w:basedOn w:val="Naslov1"/>
    <w:next w:val="Navaden"/>
    <w:uiPriority w:val="39"/>
    <w:semiHidden/>
    <w:unhideWhenUsed/>
    <w:qFormat/>
    <w:rsid w:val="00821FE6"/>
    <w:pPr>
      <w:keepNext/>
      <w:keepLines/>
      <w:widowControl/>
      <w:numPr>
        <w:numId w:val="0"/>
      </w:numPr>
      <w:autoSpaceDE/>
      <w:autoSpaceDN/>
      <w:spacing w:before="480" w:line="276" w:lineRule="auto"/>
      <w:ind w:right="0"/>
      <w:outlineLvl w:val="9"/>
    </w:pPr>
    <w:rPr>
      <w:rFonts w:asciiTheme="majorHAnsi" w:eastAsiaTheme="majorEastAsia" w:hAnsiTheme="majorHAnsi" w:cstheme="majorBidi"/>
    </w:rPr>
  </w:style>
  <w:style w:type="paragraph" w:styleId="Kazalovsebine4">
    <w:name w:val="toc 4"/>
    <w:basedOn w:val="Navaden"/>
    <w:next w:val="Navaden"/>
    <w:autoRedefine/>
    <w:uiPriority w:val="39"/>
    <w:unhideWhenUsed/>
    <w:rsid w:val="00821FE6"/>
    <w:pPr>
      <w:tabs>
        <w:tab w:val="left" w:pos="1540"/>
        <w:tab w:val="right" w:leader="dot" w:pos="9066"/>
      </w:tabs>
      <w:spacing w:after="100"/>
      <w:ind w:left="660"/>
      <w:jc w:val="both"/>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821FE6"/>
    <w:rPr>
      <w:rFonts w:ascii="Cambria" w:eastAsia="Cambria" w:hAnsi="Cambria" w:cs="Cambria"/>
    </w:rPr>
  </w:style>
  <w:style w:type="table" w:customStyle="1" w:styleId="TableNormal5">
    <w:name w:val="Table Normal5"/>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Nerazreenaomemba11">
    <w:name w:val="Nerazrešena omemba11"/>
    <w:basedOn w:val="Privzetapisavaodstavka"/>
    <w:uiPriority w:val="99"/>
    <w:semiHidden/>
    <w:unhideWhenUsed/>
    <w:rsid w:val="00821FE6"/>
    <w:rPr>
      <w:color w:val="605E5C"/>
      <w:shd w:val="clear" w:color="auto" w:fill="E1DFDD"/>
    </w:rPr>
  </w:style>
  <w:style w:type="paragraph" w:customStyle="1" w:styleId="msonormal0">
    <w:name w:val="msonormal"/>
    <w:basedOn w:val="Navaden"/>
    <w:rsid w:val="00821FE6"/>
    <w:pPr>
      <w:widowControl/>
      <w:autoSpaceDE/>
      <w:autoSpaceDN/>
      <w:spacing w:before="100" w:beforeAutospacing="1" w:after="100" w:afterAutospacing="1"/>
    </w:pPr>
    <w:rPr>
      <w:sz w:val="24"/>
    </w:rPr>
  </w:style>
  <w:style w:type="paragraph" w:customStyle="1" w:styleId="xl65">
    <w:name w:val="xl65"/>
    <w:basedOn w:val="Navaden"/>
    <w:rsid w:val="00821FE6"/>
    <w:pPr>
      <w:widowControl/>
      <w:autoSpaceDE/>
      <w:autoSpaceDN/>
      <w:spacing w:before="100" w:beforeAutospacing="1" w:after="100" w:afterAutospacing="1"/>
    </w:pPr>
    <w:rPr>
      <w:sz w:val="18"/>
    </w:rPr>
  </w:style>
  <w:style w:type="paragraph" w:customStyle="1" w:styleId="xl66">
    <w:name w:val="xl66"/>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rPr>
  </w:style>
  <w:style w:type="paragraph" w:customStyle="1" w:styleId="xl67">
    <w:name w:val="xl67"/>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rPr>
  </w:style>
  <w:style w:type="paragraph" w:customStyle="1" w:styleId="xl68">
    <w:name w:val="xl68"/>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69">
    <w:name w:val="xl69"/>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rPr>
  </w:style>
  <w:style w:type="paragraph" w:customStyle="1" w:styleId="xl70">
    <w:name w:val="xl70"/>
    <w:basedOn w:val="Navaden"/>
    <w:rsid w:val="00821FE6"/>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rPr>
  </w:style>
  <w:style w:type="paragraph" w:customStyle="1" w:styleId="xl71">
    <w:name w:val="xl71"/>
    <w:basedOn w:val="Navaden"/>
    <w:rsid w:val="00821FE6"/>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72">
    <w:name w:val="xl72"/>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73">
    <w:name w:val="xl73"/>
    <w:basedOn w:val="Navaden"/>
    <w:rsid w:val="00821FE6"/>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74">
    <w:name w:val="xl74"/>
    <w:basedOn w:val="Navaden"/>
    <w:rsid w:val="00821FE6"/>
    <w:pPr>
      <w:widowControl/>
      <w:pBdr>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75">
    <w:name w:val="xl75"/>
    <w:basedOn w:val="Navaden"/>
    <w:rsid w:val="00821FE6"/>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76">
    <w:name w:val="xl76"/>
    <w:basedOn w:val="Navaden"/>
    <w:rsid w:val="00821FE6"/>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77">
    <w:name w:val="xl77"/>
    <w:basedOn w:val="Navaden"/>
    <w:rsid w:val="00821FE6"/>
    <w:pPr>
      <w:widowControl/>
      <w:pBdr>
        <w:left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78">
    <w:name w:val="xl78"/>
    <w:basedOn w:val="Navaden"/>
    <w:rsid w:val="00821FE6"/>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79">
    <w:name w:val="xl79"/>
    <w:basedOn w:val="Navaden"/>
    <w:rsid w:val="00821FE6"/>
    <w:pPr>
      <w:widowControl/>
      <w:pBdr>
        <w:top w:val="single" w:sz="8" w:space="0" w:color="auto"/>
        <w:left w:val="single" w:sz="8" w:space="0" w:color="auto"/>
        <w:bottom w:val="single" w:sz="8" w:space="0" w:color="auto"/>
      </w:pBdr>
      <w:autoSpaceDE/>
      <w:autoSpaceDN/>
      <w:spacing w:before="100" w:beforeAutospacing="1" w:after="100" w:afterAutospacing="1"/>
    </w:pPr>
    <w:rPr>
      <w:sz w:val="18"/>
    </w:rPr>
  </w:style>
  <w:style w:type="paragraph" w:customStyle="1" w:styleId="xl80">
    <w:name w:val="xl80"/>
    <w:basedOn w:val="Navaden"/>
    <w:rsid w:val="00821FE6"/>
    <w:pPr>
      <w:widowControl/>
      <w:pBdr>
        <w:top w:val="single" w:sz="8" w:space="0" w:color="auto"/>
        <w:bottom w:val="single" w:sz="8" w:space="0" w:color="auto"/>
        <w:right w:val="single" w:sz="8" w:space="0" w:color="auto"/>
      </w:pBdr>
      <w:autoSpaceDE/>
      <w:autoSpaceDN/>
      <w:spacing w:before="100" w:beforeAutospacing="1" w:after="100" w:afterAutospacing="1"/>
    </w:pPr>
    <w:rPr>
      <w:sz w:val="18"/>
    </w:rPr>
  </w:style>
  <w:style w:type="paragraph" w:customStyle="1" w:styleId="xl81">
    <w:name w:val="xl81"/>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82">
    <w:name w:val="xl82"/>
    <w:basedOn w:val="Navaden"/>
    <w:rsid w:val="00821FE6"/>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83">
    <w:name w:val="xl83"/>
    <w:basedOn w:val="Navaden"/>
    <w:rsid w:val="00821FE6"/>
    <w:pPr>
      <w:widowControl/>
      <w:pBdr>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84">
    <w:name w:val="xl84"/>
    <w:basedOn w:val="Navaden"/>
    <w:rsid w:val="00821FE6"/>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85">
    <w:name w:val="xl85"/>
    <w:basedOn w:val="Navaden"/>
    <w:rsid w:val="00821FE6"/>
    <w:pPr>
      <w:widowControl/>
      <w:pBdr>
        <w:top w:val="single" w:sz="8" w:space="0" w:color="auto"/>
        <w:left w:val="single" w:sz="8" w:space="0" w:color="auto"/>
      </w:pBdr>
      <w:autoSpaceDE/>
      <w:autoSpaceDN/>
      <w:spacing w:before="100" w:beforeAutospacing="1" w:after="100" w:afterAutospacing="1"/>
      <w:jc w:val="center"/>
      <w:textAlignment w:val="center"/>
    </w:pPr>
    <w:rPr>
      <w:sz w:val="18"/>
    </w:rPr>
  </w:style>
  <w:style w:type="paragraph" w:customStyle="1" w:styleId="xl86">
    <w:name w:val="xl86"/>
    <w:basedOn w:val="Navaden"/>
    <w:rsid w:val="00821FE6"/>
    <w:pPr>
      <w:widowControl/>
      <w:pBdr>
        <w:top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87">
    <w:name w:val="xl87"/>
    <w:basedOn w:val="Navaden"/>
    <w:rsid w:val="00821FE6"/>
    <w:pPr>
      <w:widowControl/>
      <w:pBdr>
        <w:left w:val="single" w:sz="8" w:space="0" w:color="auto"/>
      </w:pBdr>
      <w:autoSpaceDE/>
      <w:autoSpaceDN/>
      <w:spacing w:before="100" w:beforeAutospacing="1" w:after="100" w:afterAutospacing="1"/>
      <w:jc w:val="center"/>
      <w:textAlignment w:val="center"/>
    </w:pPr>
    <w:rPr>
      <w:sz w:val="18"/>
    </w:rPr>
  </w:style>
  <w:style w:type="paragraph" w:customStyle="1" w:styleId="xl88">
    <w:name w:val="xl88"/>
    <w:basedOn w:val="Navaden"/>
    <w:rsid w:val="00821FE6"/>
    <w:pPr>
      <w:widowControl/>
      <w:pBdr>
        <w:right w:val="single" w:sz="8" w:space="0" w:color="auto"/>
      </w:pBdr>
      <w:autoSpaceDE/>
      <w:autoSpaceDN/>
      <w:spacing w:before="100" w:beforeAutospacing="1" w:after="100" w:afterAutospacing="1"/>
      <w:jc w:val="center"/>
      <w:textAlignment w:val="center"/>
    </w:pPr>
    <w:rPr>
      <w:sz w:val="18"/>
    </w:rPr>
  </w:style>
  <w:style w:type="paragraph" w:customStyle="1" w:styleId="xl89">
    <w:name w:val="xl89"/>
    <w:basedOn w:val="Navaden"/>
    <w:rsid w:val="00821FE6"/>
    <w:pPr>
      <w:widowControl/>
      <w:pBdr>
        <w:left w:val="single" w:sz="8" w:space="0" w:color="auto"/>
        <w:bottom w:val="single" w:sz="8" w:space="0" w:color="auto"/>
      </w:pBdr>
      <w:autoSpaceDE/>
      <w:autoSpaceDN/>
      <w:spacing w:before="100" w:beforeAutospacing="1" w:after="100" w:afterAutospacing="1"/>
      <w:jc w:val="center"/>
      <w:textAlignment w:val="center"/>
    </w:pPr>
    <w:rPr>
      <w:sz w:val="18"/>
    </w:rPr>
  </w:style>
  <w:style w:type="paragraph" w:customStyle="1" w:styleId="xl90">
    <w:name w:val="xl90"/>
    <w:basedOn w:val="Navaden"/>
    <w:rsid w:val="00821FE6"/>
    <w:pPr>
      <w:widowControl/>
      <w:pBdr>
        <w:bottom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91">
    <w:name w:val="xl91"/>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rPr>
  </w:style>
  <w:style w:type="paragraph" w:customStyle="1" w:styleId="xl92">
    <w:name w:val="xl92"/>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rPr>
  </w:style>
  <w:style w:type="paragraph" w:customStyle="1" w:styleId="xl93">
    <w:name w:val="xl93"/>
    <w:basedOn w:val="Navaden"/>
    <w:rsid w:val="00821FE6"/>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94">
    <w:name w:val="xl94"/>
    <w:basedOn w:val="Navaden"/>
    <w:rsid w:val="00821FE6"/>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18"/>
    </w:rPr>
  </w:style>
  <w:style w:type="paragraph" w:customStyle="1" w:styleId="xl95">
    <w:name w:val="xl95"/>
    <w:basedOn w:val="Navaden"/>
    <w:rsid w:val="00821FE6"/>
    <w:pPr>
      <w:widowControl/>
      <w:pBdr>
        <w:top w:val="single" w:sz="8" w:space="0" w:color="auto"/>
        <w:bottom w:val="single" w:sz="8" w:space="0" w:color="auto"/>
      </w:pBdr>
      <w:autoSpaceDE/>
      <w:autoSpaceDN/>
      <w:spacing w:before="100" w:beforeAutospacing="1" w:after="100" w:afterAutospacing="1"/>
      <w:jc w:val="center"/>
      <w:textAlignment w:val="center"/>
    </w:pPr>
    <w:rPr>
      <w:sz w:val="18"/>
    </w:rPr>
  </w:style>
  <w:style w:type="paragraph" w:customStyle="1" w:styleId="xl96">
    <w:name w:val="xl96"/>
    <w:basedOn w:val="Navaden"/>
    <w:rsid w:val="00821FE6"/>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rPr>
  </w:style>
  <w:style w:type="paragraph" w:customStyle="1" w:styleId="xl97">
    <w:name w:val="xl97"/>
    <w:basedOn w:val="Navaden"/>
    <w:rsid w:val="00821FE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98">
    <w:name w:val="xl98"/>
    <w:basedOn w:val="Navaden"/>
    <w:rsid w:val="00821FE6"/>
    <w:pPr>
      <w:widowControl/>
      <w:pBdr>
        <w:left w:val="single" w:sz="8" w:space="0" w:color="auto"/>
        <w:right w:val="single" w:sz="8" w:space="0" w:color="auto"/>
      </w:pBdr>
      <w:autoSpaceDE/>
      <w:autoSpaceDN/>
      <w:spacing w:before="100" w:beforeAutospacing="1" w:after="100" w:afterAutospacing="1"/>
      <w:textAlignment w:val="center"/>
    </w:pPr>
    <w:rPr>
      <w:sz w:val="18"/>
    </w:rPr>
  </w:style>
  <w:style w:type="paragraph" w:customStyle="1" w:styleId="xl99">
    <w:name w:val="xl99"/>
    <w:basedOn w:val="Navaden"/>
    <w:rsid w:val="00821FE6"/>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rPr>
  </w:style>
  <w:style w:type="table" w:customStyle="1" w:styleId="NormalTable01">
    <w:name w:val="Normal Table01"/>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NormalTable03">
    <w:name w:val="Normal Table03"/>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alineazaodstavkom">
    <w:name w:val="alineazaodstavkom"/>
    <w:basedOn w:val="Navaden"/>
    <w:rsid w:val="00821FE6"/>
    <w:pPr>
      <w:widowControl/>
      <w:autoSpaceDE/>
      <w:autoSpaceDN/>
      <w:spacing w:before="100" w:beforeAutospacing="1" w:after="100" w:afterAutospacing="1"/>
    </w:pPr>
    <w:rPr>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821FE6"/>
    <w:pPr>
      <w:widowControl/>
      <w:autoSpaceDE/>
      <w:autoSpaceDN/>
      <w:spacing w:before="60" w:after="160" w:line="240" w:lineRule="exact"/>
      <w:ind w:left="357" w:hanging="357"/>
      <w:jc w:val="both"/>
    </w:pPr>
    <w:rPr>
      <w:rFonts w:asciiTheme="minorHAnsi" w:eastAsiaTheme="minorHAnsi" w:hAnsiTheme="minorHAnsi" w:cstheme="minorBidi"/>
      <w:vertAlign w:val="superscript"/>
    </w:rPr>
  </w:style>
  <w:style w:type="paragraph" w:styleId="Konnaopomba-besedilo">
    <w:name w:val="endnote text"/>
    <w:basedOn w:val="Navaden"/>
    <w:link w:val="Konnaopomba-besediloZnak"/>
    <w:uiPriority w:val="99"/>
    <w:semiHidden/>
    <w:unhideWhenUsed/>
    <w:rsid w:val="00821FE6"/>
    <w:rPr>
      <w:sz w:val="20"/>
    </w:rPr>
  </w:style>
  <w:style w:type="character" w:customStyle="1" w:styleId="Konnaopomba-besediloZnak">
    <w:name w:val="Končna opomba - besedilo Znak"/>
    <w:basedOn w:val="Privzetapisavaodstavka"/>
    <w:link w:val="Konnaopomba-besedilo"/>
    <w:uiPriority w:val="99"/>
    <w:semiHidden/>
    <w:rsid w:val="00821FE6"/>
    <w:rPr>
      <w:rFonts w:ascii="Times New Roman" w:eastAsia="Times New Roman" w:hAnsi="Times New Roman" w:cs="Times New Roman"/>
      <w:sz w:val="20"/>
    </w:rPr>
  </w:style>
  <w:style w:type="character" w:styleId="Konnaopomba-sklic">
    <w:name w:val="endnote reference"/>
    <w:basedOn w:val="Privzetapisavaodstavka"/>
    <w:uiPriority w:val="99"/>
    <w:semiHidden/>
    <w:unhideWhenUsed/>
    <w:rsid w:val="00821FE6"/>
    <w:rPr>
      <w:vertAlign w:val="superscript"/>
    </w:rPr>
  </w:style>
  <w:style w:type="paragraph" w:customStyle="1" w:styleId="TabelaO">
    <w:name w:val="Tabela_O"/>
    <w:basedOn w:val="Navaden"/>
    <w:link w:val="TabelaOZnak"/>
    <w:qFormat/>
    <w:rsid w:val="00821FE6"/>
    <w:pPr>
      <w:widowControl/>
      <w:autoSpaceDE/>
      <w:autoSpaceDN/>
      <w:jc w:val="both"/>
    </w:pPr>
    <w:rPr>
      <w:rFonts w:ascii="Segoe UI Semilight" w:eastAsiaTheme="minorHAnsi" w:hAnsi="Segoe UI Semilight" w:cs="Segoe UI Semilight"/>
      <w:sz w:val="20"/>
    </w:rPr>
  </w:style>
  <w:style w:type="character" w:customStyle="1" w:styleId="TabelaOZnak">
    <w:name w:val="Tabela_O Znak"/>
    <w:basedOn w:val="Privzetapisavaodstavka"/>
    <w:link w:val="TabelaO"/>
    <w:rsid w:val="00821FE6"/>
    <w:rPr>
      <w:rFonts w:ascii="Segoe UI Semilight" w:hAnsi="Segoe UI Semilight" w:cs="Segoe UI Semilight"/>
      <w:sz w:val="20"/>
    </w:rPr>
  </w:style>
  <w:style w:type="character" w:customStyle="1" w:styleId="UnresolvedMention">
    <w:name w:val="Unresolved Mention"/>
    <w:basedOn w:val="Privzetapisavaodstavka"/>
    <w:uiPriority w:val="99"/>
    <w:semiHidden/>
    <w:unhideWhenUsed/>
    <w:rsid w:val="00821FE6"/>
    <w:rPr>
      <w:color w:val="605E5C"/>
      <w:shd w:val="clear" w:color="auto" w:fill="E1DFDD"/>
    </w:rPr>
  </w:style>
  <w:style w:type="character" w:customStyle="1" w:styleId="eop">
    <w:name w:val="eop"/>
    <w:basedOn w:val="Privzetapisavaodstavka"/>
    <w:rsid w:val="00821FE6"/>
  </w:style>
  <w:style w:type="table" w:customStyle="1" w:styleId="NormalTable2">
    <w:name w:val="Normal Table2"/>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NormalTable04">
    <w:name w:val="Normal Table04"/>
    <w:uiPriority w:val="2"/>
    <w:semiHidden/>
    <w:unhideWhenUsed/>
    <w:qFormat/>
    <w:rsid w:val="00821FE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P68B1DB1-Navaden1">
    <w:name w:val="P68B1DB1-Navaden1"/>
    <w:basedOn w:val="Navaden"/>
    <w:rPr>
      <w:rFonts w:eastAsia="Calibri"/>
    </w:rPr>
  </w:style>
  <w:style w:type="paragraph" w:customStyle="1" w:styleId="P68B1DB1-Navaden2">
    <w:name w:val="P68B1DB1-Navaden2"/>
    <w:basedOn w:val="Navaden"/>
    <w:rPr>
      <w:rFonts w:eastAsia="Calibri"/>
      <w:b/>
    </w:rPr>
  </w:style>
  <w:style w:type="paragraph" w:customStyle="1" w:styleId="P68B1DB1-Navaden3">
    <w:name w:val="P68B1DB1-Navaden3"/>
    <w:basedOn w:val="Navaden"/>
    <w:rPr>
      <w:rFonts w:eastAsia="Calibri"/>
      <w:b/>
      <w:i/>
    </w:rPr>
  </w:style>
  <w:style w:type="paragraph" w:customStyle="1" w:styleId="P68B1DB1-Navaden4">
    <w:name w:val="P68B1DB1-Navaden4"/>
    <w:basedOn w:val="Navaden"/>
    <w:rPr>
      <w:b/>
      <w:i/>
    </w:rPr>
  </w:style>
  <w:style w:type="paragraph" w:customStyle="1" w:styleId="P68B1DB1-Navaden5">
    <w:name w:val="P68B1DB1-Navaden5"/>
    <w:basedOn w:val="Navaden"/>
    <w:rPr>
      <w:b/>
    </w:rPr>
  </w:style>
  <w:style w:type="paragraph" w:customStyle="1" w:styleId="P68B1DB1-Navaden6">
    <w:name w:val="P68B1DB1-Navaden6"/>
    <w:basedOn w:val="Navaden"/>
    <w:rPr>
      <w:rFonts w:eastAsia="Arial"/>
    </w:rPr>
  </w:style>
  <w:style w:type="paragraph" w:customStyle="1" w:styleId="P68B1DB1-Odstavekseznama7">
    <w:name w:val="P68B1DB1-Odstavekseznama7"/>
    <w:basedOn w:val="Odstavekseznama"/>
    <w:rPr>
      <w:rFonts w:ascii="Times New Roman" w:eastAsia="Calibri" w:hAnsi="Times New Roman" w:cs="Times New Roman"/>
    </w:rPr>
  </w:style>
  <w:style w:type="paragraph" w:customStyle="1" w:styleId="P68B1DB1-TableParagraph8">
    <w:name w:val="P68B1DB1-TableParagraph8"/>
    <w:basedOn w:val="TableParagraph"/>
    <w:rPr>
      <w:rFonts w:cstheme="minorHAnsi"/>
    </w:rPr>
  </w:style>
  <w:style w:type="paragraph" w:customStyle="1" w:styleId="P68B1DB1-Navaden9">
    <w:name w:val="P68B1DB1-Navaden9"/>
    <w:basedOn w:val="Navaden"/>
    <w:rPr>
      <w:rFonts w:cstheme="minorBidi"/>
    </w:rPr>
  </w:style>
  <w:style w:type="paragraph" w:customStyle="1" w:styleId="P68B1DB1-Navaden10">
    <w:name w:val="P68B1DB1-Navaden10"/>
    <w:basedOn w:val="Navaden"/>
    <w:rPr>
      <w:rFonts w:cstheme="minorHAnsi"/>
    </w:rPr>
  </w:style>
  <w:style w:type="paragraph" w:customStyle="1" w:styleId="P68B1DB1-Navaden11">
    <w:name w:val="P68B1DB1-Navaden11"/>
    <w:basedOn w:val="Navaden"/>
    <w:rPr>
      <w:rFonts w:eastAsiaTheme="minorHAnsi" w:cstheme="minorHAnsi"/>
    </w:rPr>
  </w:style>
  <w:style w:type="paragraph" w:customStyle="1" w:styleId="P68B1DB1-Odstavekseznama12">
    <w:name w:val="P68B1DB1-Odstavekseznama12"/>
    <w:basedOn w:val="Odstavekseznama"/>
    <w:rPr>
      <w:rFonts w:ascii="Times New Roman" w:eastAsia="Times New Roman" w:hAnsi="Times New Roman" w:cs="Times New Roman"/>
    </w:rPr>
  </w:style>
  <w:style w:type="paragraph" w:customStyle="1" w:styleId="P68B1DB1-Odstavekseznama13">
    <w:name w:val="P68B1DB1-Odstavekseznama13"/>
    <w:basedOn w:val="Odstavekseznama"/>
    <w:rPr>
      <w:rFonts w:ascii="Times New Roman" w:hAnsi="Times New Roman" w:cs="Times New Roman"/>
    </w:rPr>
  </w:style>
  <w:style w:type="paragraph" w:customStyle="1" w:styleId="P68B1DB1-Odstavekseznama14">
    <w:name w:val="P68B1DB1-Odstavekseznama14"/>
    <w:basedOn w:val="Odstavekseznama"/>
    <w:rPr>
      <w:rFonts w:ascii="Times New Roman" w:hAnsi="Times New Roman"/>
    </w:rPr>
  </w:style>
  <w:style w:type="paragraph" w:customStyle="1" w:styleId="P68B1DB1-TableParagraph15">
    <w:name w:val="P68B1DB1-TableParagraph15"/>
    <w:basedOn w:val="TableParagraph"/>
    <w:rPr>
      <w:rFonts w:cstheme="minorBidi"/>
    </w:rPr>
  </w:style>
  <w:style w:type="paragraph" w:customStyle="1" w:styleId="P68B1DB1-Navaden16">
    <w:name w:val="P68B1DB1-Navaden16"/>
    <w:basedOn w:val="Navaden"/>
    <w:rPr>
      <w:color w:val="000000"/>
    </w:rPr>
  </w:style>
  <w:style w:type="paragraph" w:customStyle="1" w:styleId="P68B1DB1-Navaden17">
    <w:name w:val="P68B1DB1-Navaden17"/>
    <w:basedOn w:val="Navaden"/>
    <w:rPr>
      <w:sz w:val="16"/>
    </w:rPr>
  </w:style>
  <w:style w:type="paragraph" w:customStyle="1" w:styleId="P68B1DB1-TableParagraph18">
    <w:name w:val="P68B1DB1-TableParagraph18"/>
    <w:basedOn w:val="TableParagraph"/>
    <w:rPr>
      <w:rFonts w:cstheme="minorHAnsi"/>
      <w:sz w:val="20"/>
    </w:rPr>
  </w:style>
  <w:style w:type="paragraph" w:customStyle="1" w:styleId="P68B1DB1-TableParagraph19">
    <w:name w:val="P68B1DB1-TableParagraph19"/>
    <w:basedOn w:val="TableParagraph"/>
    <w:rPr>
      <w:color w:val="000000"/>
      <w:sz w:val="20"/>
    </w:rPr>
  </w:style>
  <w:style w:type="paragraph" w:customStyle="1" w:styleId="P68B1DB1-Navaden20">
    <w:name w:val="P68B1DB1-Navaden20"/>
    <w:basedOn w:val="Navaden"/>
    <w:rPr>
      <w:rFonts w:cstheme="minorHAnsi"/>
      <w:sz w:val="20"/>
    </w:rPr>
  </w:style>
  <w:style w:type="paragraph" w:customStyle="1" w:styleId="P68B1DB1-TableParagraph21">
    <w:name w:val="P68B1DB1-TableParagraph21"/>
    <w:basedOn w:val="TableParagraph"/>
    <w:rPr>
      <w:rFonts w:cstheme="minorBidi"/>
      <w:sz w:val="20"/>
    </w:rPr>
  </w:style>
  <w:style w:type="paragraph" w:customStyle="1" w:styleId="P68B1DB1-TableParagraph22">
    <w:name w:val="P68B1DB1-TableParagraph22"/>
    <w:basedOn w:val="TableParagraph"/>
    <w:rPr>
      <w:sz w:val="20"/>
    </w:rPr>
  </w:style>
  <w:style w:type="paragraph" w:customStyle="1" w:styleId="P68B1DB1-TableParagraph23">
    <w:name w:val="P68B1DB1-TableParagraph23"/>
    <w:basedOn w:val="TableParagraph"/>
    <w:rPr>
      <w:rFonts w:cstheme="minorHAnsi"/>
      <w:sz w:val="18"/>
    </w:rPr>
  </w:style>
  <w:style w:type="paragraph" w:customStyle="1" w:styleId="P68B1DB1-Navaden24">
    <w:name w:val="P68B1DB1-Navaden24"/>
    <w:basedOn w:val="Navaden"/>
    <w:rPr>
      <w:color w:val="000000"/>
      <w:sz w:val="20"/>
    </w:rPr>
  </w:style>
  <w:style w:type="paragraph" w:customStyle="1" w:styleId="P68B1DB1-Navaden25">
    <w:name w:val="P68B1DB1-Navaden25"/>
    <w:basedOn w:val="Navaden"/>
  </w:style>
  <w:style w:type="paragraph" w:customStyle="1" w:styleId="P68B1DB1-Navaden26">
    <w:name w:val="P68B1DB1-Navaden26"/>
    <w:basedOn w:val="Navaden"/>
    <w:rPr>
      <w:rFonts w:cs="Calibri"/>
    </w:rPr>
  </w:style>
  <w:style w:type="paragraph" w:customStyle="1" w:styleId="P68B1DB1-TableParagraph27">
    <w:name w:val="P68B1DB1-TableParagraph27"/>
    <w:basedOn w:val="TableParagraph"/>
    <w:rPr>
      <w:sz w:val="18"/>
    </w:rPr>
  </w:style>
  <w:style w:type="character" w:styleId="Poudarek">
    <w:name w:val="Emphasis"/>
    <w:basedOn w:val="Privzetapisavaodstavka"/>
    <w:uiPriority w:val="20"/>
    <w:qFormat/>
    <w:rsid w:val="00DD13BF"/>
    <w:rPr>
      <w:i/>
      <w:iCs/>
    </w:rPr>
  </w:style>
  <w:style w:type="character" w:customStyle="1" w:styleId="Nerazreenaomemba2">
    <w:name w:val="Nerazrešena omemba2"/>
    <w:basedOn w:val="Privzetapisavaodstavka"/>
    <w:uiPriority w:val="99"/>
    <w:semiHidden/>
    <w:unhideWhenUsed/>
    <w:rsid w:val="00DD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1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isrs.si/Pis.web/pregledPredpisa?id=ZAKO3849" TargetMode="External"/><Relationship Id="rId21" Type="http://schemas.openxmlformats.org/officeDocument/2006/relationships/header" Target="header5.xml"/><Relationship Id="rId42" Type="http://schemas.openxmlformats.org/officeDocument/2006/relationships/footer" Target="footer16.xml"/><Relationship Id="rId63" Type="http://schemas.openxmlformats.org/officeDocument/2006/relationships/header" Target="header26.xml"/><Relationship Id="rId84" Type="http://schemas.openxmlformats.org/officeDocument/2006/relationships/footer" Target="footer37.xml"/><Relationship Id="rId138" Type="http://schemas.openxmlformats.org/officeDocument/2006/relationships/hyperlink" Target="http://www.pisrs.si/Pis.web/pregledPredpisa?id=ZAKO8136" TargetMode="External"/><Relationship Id="rId159" Type="http://schemas.openxmlformats.org/officeDocument/2006/relationships/hyperlink" Target="http://www.pisrs.si/Pis.web/pregledPredpisa?id=RESO115" TargetMode="External"/><Relationship Id="rId170" Type="http://schemas.openxmlformats.org/officeDocument/2006/relationships/hyperlink" Target="https://www.ess.gov.si/_files/14928/Poslovni_nacrt_2022.pdf" TargetMode="External"/><Relationship Id="rId191" Type="http://schemas.openxmlformats.org/officeDocument/2006/relationships/hyperlink" Target="http://pisrs.si/Pis.web/pregledPredpisa?id=STRA77" TargetMode="External"/><Relationship Id="rId205" Type="http://schemas.openxmlformats.org/officeDocument/2006/relationships/hyperlink" Target="http://www.pisrs.si/Pis.web/pregledPredpisa?id=RESO138" TargetMode="External"/><Relationship Id="rId226" Type="http://schemas.openxmlformats.org/officeDocument/2006/relationships/hyperlink" Target="http://www.pisrs.si/Pis.web/pregledPredpisa?id=ZAKO7077" TargetMode="External"/><Relationship Id="rId247" Type="http://schemas.openxmlformats.org/officeDocument/2006/relationships/theme" Target="theme/theme1.xml"/><Relationship Id="rId107" Type="http://schemas.openxmlformats.org/officeDocument/2006/relationships/header" Target="header48.xml"/><Relationship Id="rId11" Type="http://schemas.openxmlformats.org/officeDocument/2006/relationships/comments" Target="comments.xml"/><Relationship Id="rId32" Type="http://schemas.openxmlformats.org/officeDocument/2006/relationships/footer" Target="footer11.xml"/><Relationship Id="rId53" Type="http://schemas.openxmlformats.org/officeDocument/2006/relationships/header" Target="header21.xml"/><Relationship Id="rId74" Type="http://schemas.openxmlformats.org/officeDocument/2006/relationships/footer" Target="footer32.xml"/><Relationship Id="rId128" Type="http://schemas.openxmlformats.org/officeDocument/2006/relationships/hyperlink" Target="https://gis.akos-rs.si/" TargetMode="External"/><Relationship Id="rId149" Type="http://schemas.openxmlformats.org/officeDocument/2006/relationships/hyperlink" Target="https://www.gov.si/novice/2020-09-17-odlocitve-32-redne-seje-vlade-republike-slovenije-s-podrocja-ministrstva-za-okolje-in-prostor" TargetMode="External"/><Relationship Id="rId5" Type="http://schemas.openxmlformats.org/officeDocument/2006/relationships/webSettings" Target="webSettings.xml"/><Relationship Id="rId95" Type="http://schemas.openxmlformats.org/officeDocument/2006/relationships/header" Target="header42.xml"/><Relationship Id="rId160" Type="http://schemas.openxmlformats.org/officeDocument/2006/relationships/hyperlink" Target="https://www.uradni-list.si/glasilo-uradni-list-rs/vsebina/2021-01-1886?sop=2021-01-1886" TargetMode="External"/><Relationship Id="rId181" Type="http://schemas.openxmlformats.org/officeDocument/2006/relationships/hyperlink" Target="http://www.pisrs.si/Pis.web/pregledPredpisa?id=ZAKO5834" TargetMode="External"/><Relationship Id="rId216" Type="http://schemas.openxmlformats.org/officeDocument/2006/relationships/hyperlink" Target="http://www.pisrs.si/Pis.web/pregledPredpisa?id=RESO138" TargetMode="External"/><Relationship Id="rId237" Type="http://schemas.openxmlformats.org/officeDocument/2006/relationships/footer" Target="footer50.xml"/><Relationship Id="rId22" Type="http://schemas.openxmlformats.org/officeDocument/2006/relationships/footer" Target="footer6.xml"/><Relationship Id="rId43" Type="http://schemas.openxmlformats.org/officeDocument/2006/relationships/header" Target="header16.xml"/><Relationship Id="rId64" Type="http://schemas.openxmlformats.org/officeDocument/2006/relationships/footer" Target="footer27.xml"/><Relationship Id="rId118" Type="http://schemas.openxmlformats.org/officeDocument/2006/relationships/hyperlink" Target="https://ec.europa.eu/competition-policy/state-aid/procedures/recovery-unlawful-aid_en" TargetMode="External"/><Relationship Id="rId139" Type="http://schemas.openxmlformats.org/officeDocument/2006/relationships/hyperlink" Target="https://www.energetika-portal.si/fileadmin/dokumenti/publikacije/nepn/dokumenti/nepn_5.0_final_feb-2020.pdf" TargetMode="External"/><Relationship Id="rId85" Type="http://schemas.openxmlformats.org/officeDocument/2006/relationships/header" Target="header37.xml"/><Relationship Id="rId150" Type="http://schemas.openxmlformats.org/officeDocument/2006/relationships/hyperlink" Target="https://www.gov.si/teme/javna-sluzba-oskrbe-s-pitno-vodo/" TargetMode="External"/><Relationship Id="rId171" Type="http://schemas.openxmlformats.org/officeDocument/2006/relationships/hyperlink" Target="http://www.pisrs.si/Pis.web/pregledPredpisa?id=PRAV10452" TargetMode="External"/><Relationship Id="rId192" Type="http://schemas.openxmlformats.org/officeDocument/2006/relationships/hyperlink" Target="http://www.pisrs.si/Pis.web/pregledPredpisa?id=RESO138" TargetMode="External"/><Relationship Id="rId206" Type="http://schemas.openxmlformats.org/officeDocument/2006/relationships/hyperlink" Target="http://pisrs.si/Pis.web/pregledPredpisa?id=ZAKO445" TargetMode="External"/><Relationship Id="rId227" Type="http://schemas.openxmlformats.org/officeDocument/2006/relationships/hyperlink" Target="http://www.pisrs.si/Pis.web/pregledPredpisa?id=RESO137" TargetMode="External"/><Relationship Id="rId12" Type="http://schemas.microsoft.com/office/2011/relationships/commentsExtended" Target="commentsExtended.xml"/><Relationship Id="rId17" Type="http://schemas.openxmlformats.org/officeDocument/2006/relationships/header" Target="header3.xml"/><Relationship Id="rId33" Type="http://schemas.openxmlformats.org/officeDocument/2006/relationships/header" Target="header11.xml"/><Relationship Id="rId38" Type="http://schemas.openxmlformats.org/officeDocument/2006/relationships/footer" Target="footer14.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49.xml"/><Relationship Id="rId124" Type="http://schemas.openxmlformats.org/officeDocument/2006/relationships/hyperlink" Target="https://www.gov.si/assets/vladne-sluzbe/SVRK/S4-Slovenska-strategija-pametne-specializacije/Studija-o-slovenskem-prostoru-znanja-slovenski-davcni-politiki-in-tujih-neposrednih-investicijah-ter-vkljucenosti-v-globalne-verige-vrednosti.pdf" TargetMode="External"/><Relationship Id="rId129" Type="http://schemas.openxmlformats.org/officeDocument/2006/relationships/hyperlink" Target="https://egp.gu.gov.si/egp/" TargetMode="Externa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header" Target="header32.xml"/><Relationship Id="rId91" Type="http://schemas.openxmlformats.org/officeDocument/2006/relationships/header" Target="header40.xml"/><Relationship Id="rId96" Type="http://schemas.openxmlformats.org/officeDocument/2006/relationships/footer" Target="footer43.xml"/><Relationship Id="rId140" Type="http://schemas.openxmlformats.org/officeDocument/2006/relationships/hyperlink" Target="https://www.stat.si/StatWeb/Field/Index/5" TargetMode="External"/><Relationship Id="rId145" Type="http://schemas.openxmlformats.org/officeDocument/2006/relationships/hyperlink" Target="https://www.gov.si/novice/2020-09-17-odlocitve-32-redne-seje-vlade-republike-slovenije-s-podrocja-ministrstva-za-okolje-in-prostor" TargetMode="External"/><Relationship Id="rId161" Type="http://schemas.openxmlformats.org/officeDocument/2006/relationships/hyperlink" Target="https://www.energetika-portal.si/fileadmin/dokumenti/publikacije/nepn/dokumenti/nepn_5.0_final_feb-2020.pdf" TargetMode="External"/><Relationship Id="rId166" Type="http://schemas.openxmlformats.org/officeDocument/2006/relationships/hyperlink" Target="https://www.gov.si/assets/ministrstva/MzI/6-letni-plan-nacrta-vlaganj-v-promet-in-infrastrukturo-2019-2025/Operativni-nacrt-od-2020-do-2025.xlsx" TargetMode="External"/><Relationship Id="rId182" Type="http://schemas.openxmlformats.org/officeDocument/2006/relationships/hyperlink" Target="https://www.ess.gov.si/_files/14928/Poslovni_nacrt_2022.pdf" TargetMode="External"/><Relationship Id="rId187" Type="http://schemas.openxmlformats.org/officeDocument/2006/relationships/hyperlink" Target="http://pisrs.si/Pis.web/pregledPredpisa?id=STRA77" TargetMode="External"/><Relationship Id="rId217" Type="http://schemas.openxmlformats.org/officeDocument/2006/relationships/hyperlink" Target="http://pisrs.si/Pis.web/pregledPredpisa?id=ZAKO44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pisrs.si/Pis.web/pregledPredpisa?id=ZAKO4093" TargetMode="External"/><Relationship Id="rId233" Type="http://schemas.openxmlformats.org/officeDocument/2006/relationships/hyperlink" Target="http://www.pisrs.si/Pis.web/pregledPredpisa?id=RESO137" TargetMode="External"/><Relationship Id="rId238" Type="http://schemas.openxmlformats.org/officeDocument/2006/relationships/hyperlink" Target="http://www.evropskasredstva.si" TargetMode="External"/><Relationship Id="rId23" Type="http://schemas.openxmlformats.org/officeDocument/2006/relationships/header" Target="header6.xml"/><Relationship Id="rId28" Type="http://schemas.openxmlformats.org/officeDocument/2006/relationships/footer" Target="footer9.xml"/><Relationship Id="rId49" Type="http://schemas.openxmlformats.org/officeDocument/2006/relationships/header" Target="header19.xml"/><Relationship Id="rId114" Type="http://schemas.openxmlformats.org/officeDocument/2006/relationships/hyperlink" Target="https://ec.europa.eu/growth/single-market/public-procurement/country-reports_en" TargetMode="External"/><Relationship Id="rId119"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44" Type="http://schemas.openxmlformats.org/officeDocument/2006/relationships/footer" Target="footer17.xml"/><Relationship Id="rId60" Type="http://schemas.openxmlformats.org/officeDocument/2006/relationships/footer" Target="footer25.xml"/><Relationship Id="rId65" Type="http://schemas.openxmlformats.org/officeDocument/2006/relationships/header" Target="header27.xml"/><Relationship Id="rId81" Type="http://schemas.openxmlformats.org/officeDocument/2006/relationships/header" Target="header35.xml"/><Relationship Id="rId86" Type="http://schemas.openxmlformats.org/officeDocument/2006/relationships/footer" Target="footer38.xml"/><Relationship Id="rId130" Type="http://schemas.openxmlformats.org/officeDocument/2006/relationships/hyperlink" Target="https://www.gov.si/teme/elektronske-komunikacije/" TargetMode="External"/><Relationship Id="rId135" Type="http://schemas.openxmlformats.org/officeDocument/2006/relationships/hyperlink" Target="https://egp.gu.gov.si/egp/" TargetMode="External"/><Relationship Id="rId151" Type="http://schemas.openxmlformats.org/officeDocument/2006/relationships/hyperlink" Target="https://www.gov.si/novice/2020-09-17-odlocitve-32-redne-seje-vlade-republike-slovenije-s-podrocja-ministrstva-za-okolje-in-prostor" TargetMode="External"/><Relationship Id="rId156" Type="http://schemas.openxmlformats.org/officeDocument/2006/relationships/hyperlink" Target="https://www.gov.si/assets/ministrstva/MOP/Operativni-programi/op_odpadki_2022.pdf" TargetMode="External"/><Relationship Id="rId177" Type="http://schemas.openxmlformats.org/officeDocument/2006/relationships/hyperlink" Target="https://www.gov.si/teme/aktivna-politika-zaposlovanja/" TargetMode="External"/><Relationship Id="rId198" Type="http://schemas.openxmlformats.org/officeDocument/2006/relationships/hyperlink" Target="http://pisrs.si/Pis.web/pregledPredpisa?id=ZAKO445" TargetMode="External"/><Relationship Id="rId172" Type="http://schemas.openxmlformats.org/officeDocument/2006/relationships/hyperlink" Target="http://pisrs.si/Pis.web/pregledPredpisa?id=ZAKO5840" TargetMode="External"/><Relationship Id="rId193" Type="http://schemas.openxmlformats.org/officeDocument/2006/relationships/hyperlink" Target="https://www.gov.si/assets/ministrstva/MIZS/Dokumenti/Srednja-sola/Razpis-za-vpis-v-srednje-sole-in-dijaske-domove/Razpis_2019_20/Merila_vpis_srednje_4_7_08.doc" TargetMode="External"/><Relationship Id="rId202" Type="http://schemas.openxmlformats.org/officeDocument/2006/relationships/hyperlink" Target="http://pisrs.si/Pis.web/pregledPredpisa?id=ZAKO172" TargetMode="External"/><Relationship Id="rId207" Type="http://schemas.openxmlformats.org/officeDocument/2006/relationships/hyperlink" Target="http://pisrs.si/Pis.web/pregledPredpisa?id=ZAKO7641" TargetMode="External"/><Relationship Id="rId223" Type="http://schemas.openxmlformats.org/officeDocument/2006/relationships/hyperlink" Target="http://www.pisrs.si/Pis.web/pregledPredpisa?id=RESO138" TargetMode="External"/><Relationship Id="rId228" Type="http://schemas.openxmlformats.org/officeDocument/2006/relationships/hyperlink" Target="http://pisrs.si/Pis.web/pregledPredpisa?id=ZAKO869" TargetMode="External"/><Relationship Id="rId244" Type="http://schemas.openxmlformats.org/officeDocument/2006/relationships/footer" Target="footer51.xml"/><Relationship Id="rId13" Type="http://schemas.openxmlformats.org/officeDocument/2006/relationships/image" Target="media/image2.png"/><Relationship Id="rId18" Type="http://schemas.openxmlformats.org/officeDocument/2006/relationships/footer" Target="footer4.xml"/><Relationship Id="rId39" Type="http://schemas.openxmlformats.org/officeDocument/2006/relationships/header" Target="header14.xml"/><Relationship Id="rId109" Type="http://schemas.openxmlformats.org/officeDocument/2006/relationships/hyperlink" Target="http://www.pisrs.si/Pis.web/pregledPredpisa?id=ZAKO7086" TargetMode="Externa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header" Target="header22.xml"/><Relationship Id="rId76" Type="http://schemas.openxmlformats.org/officeDocument/2006/relationships/footer" Target="footer33.xml"/><Relationship Id="rId97" Type="http://schemas.openxmlformats.org/officeDocument/2006/relationships/header" Target="header43.xml"/><Relationship Id="rId104" Type="http://schemas.openxmlformats.org/officeDocument/2006/relationships/footer" Target="footer47.xml"/><Relationship Id="rId120"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125" Type="http://schemas.openxmlformats.org/officeDocument/2006/relationships/hyperlink" Target="https://www.eu-skladi.si/portal/sl/po-2020/priprava-programskih-dokumentov-1/slovenska-strategija-pametne-specializacije" TargetMode="External"/><Relationship Id="rId141" Type="http://schemas.openxmlformats.org/officeDocument/2006/relationships/hyperlink" Target="https://www.energetika-portal.si/fileadmin/dokumenti/publikacije/nepn/dokumenti/nepn_5.0_final_feb-2020.pdf" TargetMode="External"/><Relationship Id="rId146" Type="http://schemas.openxmlformats.org/officeDocument/2006/relationships/hyperlink" Target="https://www.gov.si/teme/javna-sluzba-oskrbe-s-pitno-vodo/" TargetMode="External"/><Relationship Id="rId167" Type="http://schemas.openxmlformats.org/officeDocument/2006/relationships/hyperlink" Target="https://www.gov.si/assets/ministrstva/MzI/6-letni-plan-nacrta-vlaganj-v-promet-in-infrastrukturo-2019-2025/Obrazlozitev-predloga-nacrta-vlaganj-v-promet-in-prometno-infrastrukturo-za-obdobje-od-2020-do-2025.pdf" TargetMode="External"/><Relationship Id="rId188" Type="http://schemas.openxmlformats.org/officeDocument/2006/relationships/hyperlink" Target="http://www.pisrs.si/Pis.web/pregledPredpisa?id=RESO139" TargetMode="Externa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footer" Target="footer41.xml"/><Relationship Id="rId162" Type="http://schemas.openxmlformats.org/officeDocument/2006/relationships/hyperlink" Target="http://www.azp.si/pages/si/zakonodaja/evropski-predpisi/tehnicne-specifikacije-za-interoperabilnost.php" TargetMode="External"/><Relationship Id="rId183" Type="http://schemas.openxmlformats.org/officeDocument/2006/relationships/hyperlink" Target="http://pisrs.si/Pis.web/pregledPredpisa?id=ZAKO445" TargetMode="External"/><Relationship Id="rId213" Type="http://schemas.openxmlformats.org/officeDocument/2006/relationships/hyperlink" Target="http://pisrs.si/Pis.web/pregledPredpisa?id=STRA77" TargetMode="External"/><Relationship Id="rId218" Type="http://schemas.openxmlformats.org/officeDocument/2006/relationships/hyperlink" Target="http://www.pisrs.si/Pis.web/pregledPredpisa?id=SKLE9495" TargetMode="External"/><Relationship Id="rId234" Type="http://schemas.openxmlformats.org/officeDocument/2006/relationships/hyperlink" Target="http://www.pisrs.si/Pis.web/pregledPredpisa?id=RESO102" TargetMode="External"/><Relationship Id="rId239" Type="http://schemas.openxmlformats.org/officeDocument/2006/relationships/hyperlink" Target="https://perspektive.eu-skladi.si/" TargetMode="Externa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header" Target="header17.xml"/><Relationship Id="rId66" Type="http://schemas.openxmlformats.org/officeDocument/2006/relationships/footer" Target="footer28.xml"/><Relationship Id="rId87" Type="http://schemas.openxmlformats.org/officeDocument/2006/relationships/header" Target="header38.xml"/><Relationship Id="rId110" Type="http://schemas.openxmlformats.org/officeDocument/2006/relationships/hyperlink" Target="http://www.pisrs.si/Pis.web/pregledPredpisa?id=PRAV12700" TargetMode="External"/><Relationship Id="rId115" Type="http://schemas.openxmlformats.org/officeDocument/2006/relationships/hyperlink" Target="https://ejn.gov.si/direktorat/porocila-in-analize.html" TargetMode="External"/><Relationship Id="rId131" Type="http://schemas.openxmlformats.org/officeDocument/2006/relationships/hyperlink" Target="https://www.gov.si/assets/vladne-sluzbe/SDP/Dokumenti/Nacrt.pdf" TargetMode="External"/><Relationship Id="rId136" Type="http://schemas.openxmlformats.org/officeDocument/2006/relationships/hyperlink" Target="https://www.energetika-portal.si/fileadmin/dokumenti/publikacije/dseps/dseps_2050_final.pdf" TargetMode="External"/><Relationship Id="rId157" Type="http://schemas.openxmlformats.org/officeDocument/2006/relationships/hyperlink" Target="http://www.natura2000.si/fileadmin/user_upload/Dokumenti/LIFE_IP_NATURA_SI/Rezultati/C.3.4_IP_PAF_Slovenia_2021-2027_finalV2.pdf" TargetMode="External"/><Relationship Id="rId178" Type="http://schemas.openxmlformats.org/officeDocument/2006/relationships/hyperlink" Target="http://www.pisrs.si/Pis.web/pregledPredpisa?id=RESO93" TargetMode="External"/><Relationship Id="rId61" Type="http://schemas.openxmlformats.org/officeDocument/2006/relationships/header" Target="header25.xml"/><Relationship Id="rId82" Type="http://schemas.openxmlformats.org/officeDocument/2006/relationships/footer" Target="footer36.xml"/><Relationship Id="rId152" Type="http://schemas.openxmlformats.org/officeDocument/2006/relationships/hyperlink" Target="https://www.gov.si/teme/javna-sluzba-oskrbe-s-pitno-vodo/" TargetMode="External"/><Relationship Id="rId173" Type="http://schemas.openxmlformats.org/officeDocument/2006/relationships/hyperlink" Target="https://www.gov.si/teme/aktivna-politika-zaposlovanja/" TargetMode="External"/><Relationship Id="rId194" Type="http://schemas.openxmlformats.org/officeDocument/2006/relationships/hyperlink" Target="http://pisrs.si/Pis.web/pregledPredpisa?id=ZAKO445" TargetMode="External"/><Relationship Id="rId199" Type="http://schemas.openxmlformats.org/officeDocument/2006/relationships/hyperlink" Target="https://www.eqavet-nrp-slo.si/wp-content/uploads/2018/05/Nacionalni_okvir_Kakovost_Feb_2017-7.pdf" TargetMode="External"/><Relationship Id="rId203" Type="http://schemas.openxmlformats.org/officeDocument/2006/relationships/hyperlink" Target="http://pisrs.si/Pis.web/pregledPredpisa?id=ZAKO7641" TargetMode="External"/><Relationship Id="rId208" Type="http://schemas.openxmlformats.org/officeDocument/2006/relationships/hyperlink" Target="http://pisrs.si/Pis.web/pregledPredpisa?id=ZAKO445" TargetMode="External"/><Relationship Id="rId229" Type="http://schemas.openxmlformats.org/officeDocument/2006/relationships/hyperlink" Target="http://pisrs.si/Pis.web/pregledPredpisa?id=ZAKO869" TargetMode="External"/><Relationship Id="rId19" Type="http://schemas.openxmlformats.org/officeDocument/2006/relationships/header" Target="header4.xml"/><Relationship Id="rId224" Type="http://schemas.openxmlformats.org/officeDocument/2006/relationships/hyperlink" Target="http://pisrs.si/Pis.web/pregledPredpisa?id=ZAKO5284" TargetMode="External"/><Relationship Id="rId240" Type="http://schemas.openxmlformats.org/officeDocument/2006/relationships/hyperlink" Target="https://eu-skladi.si/sl/aktualno/e-novice" TargetMode="External"/><Relationship Id="rId245" Type="http://schemas.openxmlformats.org/officeDocument/2006/relationships/fontTable" Target="fontTable.xml"/><Relationship Id="rId14" Type="http://schemas.openxmlformats.org/officeDocument/2006/relationships/header" Target="header1.xml"/><Relationship Id="rId30" Type="http://schemas.openxmlformats.org/officeDocument/2006/relationships/footer" Target="footer10.xml"/><Relationship Id="rId35" Type="http://schemas.openxmlformats.org/officeDocument/2006/relationships/header" Target="header12.xml"/><Relationship Id="rId56" Type="http://schemas.openxmlformats.org/officeDocument/2006/relationships/footer" Target="footer23.xml"/><Relationship Id="rId77" Type="http://schemas.openxmlformats.org/officeDocument/2006/relationships/header" Target="header33.xml"/><Relationship Id="rId100" Type="http://schemas.openxmlformats.org/officeDocument/2006/relationships/footer" Target="footer45.xml"/><Relationship Id="rId105" Type="http://schemas.openxmlformats.org/officeDocument/2006/relationships/header" Target="header47.xml"/><Relationship Id="rId126" Type="http://schemas.openxmlformats.org/officeDocument/2006/relationships/hyperlink" Target="mailto:s5.svrk@gov.si" TargetMode="External"/><Relationship Id="rId147" Type="http://schemas.openxmlformats.org/officeDocument/2006/relationships/hyperlink" Target="https://www.gov.si/novice/2020-09-17-odlocitve-32-redne-seje-vlade-republike-slovenije-s-podrocja-ministrstva-za-okolje-in-prostor" TargetMode="External"/><Relationship Id="rId168" Type="http://schemas.openxmlformats.org/officeDocument/2006/relationships/hyperlink" Target="https://www.gov.si/teme/aktivna-politika-zaposlovanja/" TargetMode="External"/><Relationship Id="rId8" Type="http://schemas.openxmlformats.org/officeDocument/2006/relationships/image" Target="media/image1.png"/><Relationship Id="rId51" Type="http://schemas.openxmlformats.org/officeDocument/2006/relationships/header" Target="header20.xml"/><Relationship Id="rId72" Type="http://schemas.openxmlformats.org/officeDocument/2006/relationships/footer" Target="footer31.xml"/><Relationship Id="rId93" Type="http://schemas.openxmlformats.org/officeDocument/2006/relationships/header" Target="header41.xml"/><Relationship Id="rId98" Type="http://schemas.openxmlformats.org/officeDocument/2006/relationships/footer" Target="footer44.xml"/><Relationship Id="rId121" Type="http://schemas.openxmlformats.org/officeDocument/2006/relationships/hyperlink" Target="http://www.pisrs.si/Pis.web/pregledPredpisa?id=ZAKO3849" TargetMode="External"/><Relationship Id="rId142" Type="http://schemas.openxmlformats.org/officeDocument/2006/relationships/hyperlink" Target="https://www.gov.si/assets/organi-v-sestavi/URSZR/Datoteke/Ocene-tveganja-za-nesrece/drzavna-ocena-tveganj-za-nesrece-2.0_2018_za-splet.pdf" TargetMode="External"/><Relationship Id="rId163" Type="http://schemas.openxmlformats.org/officeDocument/2006/relationships/hyperlink" Target="https://www.energetika-portal.si/fileadmin/dokumenti/publikacije/alternativna_goriva/strategija_alternativna_goriva_final.pdf" TargetMode="External"/><Relationship Id="rId184" Type="http://schemas.openxmlformats.org/officeDocument/2006/relationships/hyperlink" Target="http://pisrs.si/Pis.web/pregledPredpisa?id=ZAKO5896" TargetMode="External"/><Relationship Id="rId189" Type="http://schemas.openxmlformats.org/officeDocument/2006/relationships/hyperlink" Target="http://www.pisrs.si/Pis.web/pregledPredpisa?id=RESO138" TargetMode="External"/><Relationship Id="rId219" Type="http://schemas.openxmlformats.org/officeDocument/2006/relationships/hyperlink" Target="http://pisrs.si/Pis.web/pregledPredpisa?id=ZAKO4093" TargetMode="External"/><Relationship Id="rId3" Type="http://schemas.openxmlformats.org/officeDocument/2006/relationships/styles" Target="styles.xml"/><Relationship Id="rId214" Type="http://schemas.openxmlformats.org/officeDocument/2006/relationships/hyperlink" Target="http://pisrs.si/Pis.web/pregledPredpisa?id=ZAKO172" TargetMode="External"/><Relationship Id="rId230" Type="http://schemas.openxmlformats.org/officeDocument/2006/relationships/hyperlink" Target="http://www.pisrs.si/Pis.web/pregledPredpisa?id=RESO137" TargetMode="External"/><Relationship Id="rId235" Type="http://schemas.openxmlformats.org/officeDocument/2006/relationships/hyperlink" Target="http://www.pisrs.si/Pis.web/pregledPredpisa?id=RESO102" TargetMode="External"/><Relationship Id="rId25" Type="http://schemas.openxmlformats.org/officeDocument/2006/relationships/header" Target="header7.xml"/><Relationship Id="rId46" Type="http://schemas.openxmlformats.org/officeDocument/2006/relationships/footer" Target="footer18.xml"/><Relationship Id="rId67" Type="http://schemas.openxmlformats.org/officeDocument/2006/relationships/header" Target="header28.xml"/><Relationship Id="rId116" Type="http://schemas.openxmlformats.org/officeDocument/2006/relationships/hyperlink" Target="http://www.pisrs.si/Pis.web/pregledPredpisa?id=ZAKO7086" TargetMode="External"/><Relationship Id="rId137" Type="http://schemas.openxmlformats.org/officeDocument/2006/relationships/hyperlink" Target="https://www.energetika-portal.si/fileadmin/dokumenti/publikacije/nepn/dokumenti/nepn_5.0_final_feb-2020.pdf" TargetMode="External"/><Relationship Id="rId158" Type="http://schemas.openxmlformats.org/officeDocument/2006/relationships/hyperlink" Target="https://www.gov.si/assets/ministrstva/MzI/Dokumenti/Strategija-razvoja-prometa-v-Republiki-Sloveniji-do-leta-2030.pdf" TargetMode="External"/><Relationship Id="rId20" Type="http://schemas.openxmlformats.org/officeDocument/2006/relationships/footer" Target="footer5.xml"/><Relationship Id="rId41" Type="http://schemas.openxmlformats.org/officeDocument/2006/relationships/header" Target="header15.xml"/><Relationship Id="rId62" Type="http://schemas.openxmlformats.org/officeDocument/2006/relationships/footer" Target="footer26.xml"/><Relationship Id="rId83" Type="http://schemas.openxmlformats.org/officeDocument/2006/relationships/header" Target="header36.xml"/><Relationship Id="rId88" Type="http://schemas.openxmlformats.org/officeDocument/2006/relationships/footer" Target="footer39.xml"/><Relationship Id="rId111" Type="http://schemas.openxmlformats.org/officeDocument/2006/relationships/hyperlink" Target="https://www.enarocanje.si/" TargetMode="External"/><Relationship Id="rId132" Type="http://schemas.openxmlformats.org/officeDocument/2006/relationships/hyperlink" Target="https://www.dz-rs.si/wps/portal/Home/zakonodaja/izbran/!ut/p/z1/04_Sj9CPykssy0xPLMnMz0vMAfIjo8zivSy9Hb283Q0N3E3dLQwCQ7z9g7w8nAwsnMz1w9EUGAWZGgS6GDn5BhsYGwQHG-pHEaPfAAdwNCBOPx4FUfiNL8gNDQ11VFQEAAXcoa4!/dz/d5/L2dBISEvZ0FBIS9nQSEh/?uid=1D2556C0C73D5B29C1258841006E12CA&amp;db=pre_zak&amp;mandat=IX&amp;tip=doc" TargetMode="External"/><Relationship Id="rId153" Type="http://schemas.openxmlformats.org/officeDocument/2006/relationships/hyperlink" Target="https://www.gov.si/assets/ministrstva/MOP/Operativni-programi/op_odpadki_2022.pdf" TargetMode="External"/><Relationship Id="rId174" Type="http://schemas.openxmlformats.org/officeDocument/2006/relationships/hyperlink" Target="http://pisrs.si/Pis.web/pregledPredpisa?id=ZAKO5840" TargetMode="External"/><Relationship Id="rId179" Type="http://schemas.openxmlformats.org/officeDocument/2006/relationships/hyperlink" Target="http://www.pisrs.si/Pis.web/pregledPredpisa?id=ZAKO5834" TargetMode="External"/><Relationship Id="rId195" Type="http://schemas.openxmlformats.org/officeDocument/2006/relationships/hyperlink" Target="http://pisrs.si/Pis.web/pregledPredpisa?id=ZAKO172" TargetMode="External"/><Relationship Id="rId209" Type="http://schemas.openxmlformats.org/officeDocument/2006/relationships/hyperlink" Target="http://pisrs.si/Pis.web/pregledPredpisa?id=ZAKO447" TargetMode="External"/><Relationship Id="rId190" Type="http://schemas.openxmlformats.org/officeDocument/2006/relationships/hyperlink" Target="https://pismenost.acs.si/wp-content/uploads/2017/09/Bela-knjiga-o-vzgoji-in-izobra%C5%BEevanju-v-RS-2011.pdf" TargetMode="External"/><Relationship Id="rId204" Type="http://schemas.openxmlformats.org/officeDocument/2006/relationships/hyperlink" Target="http://www.pisrs.si/Pis.web/pregledPredpisa?id=RESO138" TargetMode="External"/><Relationship Id="rId220" Type="http://schemas.openxmlformats.org/officeDocument/2006/relationships/hyperlink" Target="http://pisrs.si/Pis.web/pregledPredpisa?id=STRA77" TargetMode="External"/><Relationship Id="rId225" Type="http://schemas.openxmlformats.org/officeDocument/2006/relationships/hyperlink" Target="http://pisrs.si/Pis.web/pregledPredpisa?id=ZAKO6958" TargetMode="External"/><Relationship Id="rId241" Type="http://schemas.openxmlformats.org/officeDocument/2006/relationships/hyperlink" Target="https://www.facebook.com/svrk.si/" TargetMode="External"/><Relationship Id="rId246" Type="http://schemas.microsoft.com/office/2011/relationships/people" Target="people.xml"/><Relationship Id="rId15" Type="http://schemas.openxmlformats.org/officeDocument/2006/relationships/header" Target="header2.xml"/><Relationship Id="rId36" Type="http://schemas.openxmlformats.org/officeDocument/2006/relationships/footer" Target="footer13.xml"/><Relationship Id="rId57" Type="http://schemas.openxmlformats.org/officeDocument/2006/relationships/header" Target="header23.xml"/><Relationship Id="rId106" Type="http://schemas.openxmlformats.org/officeDocument/2006/relationships/footer" Target="footer48.xml"/><Relationship Id="rId127" Type="http://schemas.openxmlformats.org/officeDocument/2006/relationships/hyperlink" Target="https://mnz-my.sharepoint.com/:w:/g/personal/tjasa_stamcar_gov_si/EaCDbMz8cjNOuevCM1pZhDMB0cRJjYH0UfuxGwZps7yaxg?rtime=c-e1JH492kg" TargetMode="External"/><Relationship Id="rId10" Type="http://schemas.openxmlformats.org/officeDocument/2006/relationships/footer" Target="footer2.xml"/><Relationship Id="rId31" Type="http://schemas.openxmlformats.org/officeDocument/2006/relationships/header" Target="header10.xml"/><Relationship Id="rId52" Type="http://schemas.openxmlformats.org/officeDocument/2006/relationships/footer" Target="footer21.xml"/><Relationship Id="rId73" Type="http://schemas.openxmlformats.org/officeDocument/2006/relationships/header" Target="header31.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143" Type="http://schemas.openxmlformats.org/officeDocument/2006/relationships/hyperlink" Target="https://www.gov.si/assets/organi-v-sestavi/URSZR/Datoteke/Ocene-tveganja-za-nesrece/drzavna-ocena-tveganj-za-nesrece-2.0_2018_za-splet.pdf" TargetMode="External"/><Relationship Id="rId148" Type="http://schemas.openxmlformats.org/officeDocument/2006/relationships/hyperlink" Target="https://www.gov.si/teme/javna-sluzba-oskrbe-s-pitno-vodo/" TargetMode="External"/><Relationship Id="rId164" Type="http://schemas.openxmlformats.org/officeDocument/2006/relationships/hyperlink" Target="https://www.gov.si/assets/ministrstva/MzI/Dokumenti/Akcijski-program-za-alternativna-goriva-v-prometu.doc" TargetMode="External"/><Relationship Id="rId169" Type="http://schemas.openxmlformats.org/officeDocument/2006/relationships/hyperlink" Target="http://pisrs.si/Pis.web/pregledPredpisa?id=ZAKO5840" TargetMode="External"/><Relationship Id="rId185" Type="http://schemas.openxmlformats.org/officeDocument/2006/relationships/hyperlink" Target="http://pisrs.si/Pis.web/pregledPredpisa?id=ZAKO172"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pisrs.si/Pis.web/pregledPredpisa?id=RESO93" TargetMode="External"/><Relationship Id="rId210" Type="http://schemas.openxmlformats.org/officeDocument/2006/relationships/hyperlink" Target="http://pisrs.si/Pis.web/pregledPredpisa?id=ZAKO448" TargetMode="External"/><Relationship Id="rId215" Type="http://schemas.openxmlformats.org/officeDocument/2006/relationships/hyperlink" Target="http://pisrs.si/Pis.web/pregledPredpisa?id=ZAKO7641" TargetMode="External"/><Relationship Id="rId236" Type="http://schemas.openxmlformats.org/officeDocument/2006/relationships/header" Target="header49.xml"/><Relationship Id="rId26" Type="http://schemas.openxmlformats.org/officeDocument/2006/relationships/footer" Target="footer8.xml"/><Relationship Id="rId231" Type="http://schemas.openxmlformats.org/officeDocument/2006/relationships/hyperlink" Target="http://pisrs.si/Pis.web/pregledPredpisa?id=ZAKO869" TargetMode="External"/><Relationship Id="rId47" Type="http://schemas.openxmlformats.org/officeDocument/2006/relationships/header" Target="header18.xml"/><Relationship Id="rId68" Type="http://schemas.openxmlformats.org/officeDocument/2006/relationships/footer" Target="footer29.xml"/><Relationship Id="rId89" Type="http://schemas.openxmlformats.org/officeDocument/2006/relationships/header" Target="header39.xml"/><Relationship Id="rId112" Type="http://schemas.openxmlformats.org/officeDocument/2006/relationships/hyperlink" Target="http://www.pisrs.si/Pis.web/pregledPredpisa?id=ZAKO7086" TargetMode="External"/><Relationship Id="rId133" Type="http://schemas.openxmlformats.org/officeDocument/2006/relationships/hyperlink" Target="http://pisrs.si/Pis.web/pregledPredpisa?id=ZAKO6405" TargetMode="External"/><Relationship Id="rId154" Type="http://schemas.openxmlformats.org/officeDocument/2006/relationships/hyperlink" Target="https://www.gov.si/assets/ministrstva/MOP/Operativni-programi/op_odpadki_2022.pdf" TargetMode="External"/><Relationship Id="rId175" Type="http://schemas.openxmlformats.org/officeDocument/2006/relationships/hyperlink" Target="https://www.gov.si/teme/aktivna-politika-zaposlovanja/" TargetMode="External"/><Relationship Id="rId196" Type="http://schemas.openxmlformats.org/officeDocument/2006/relationships/hyperlink" Target="http://www.pisrs.si/Pis.web/pregledPredpisa?id=RESO138" TargetMode="External"/><Relationship Id="rId200" Type="http://schemas.openxmlformats.org/officeDocument/2006/relationships/hyperlink" Target="http://pisrs.si/Pis.web/pregledPredpisa?id=ZAKO4325" TargetMode="External"/><Relationship Id="rId16" Type="http://schemas.openxmlformats.org/officeDocument/2006/relationships/footer" Target="footer3.xml"/><Relationship Id="rId221" Type="http://schemas.openxmlformats.org/officeDocument/2006/relationships/hyperlink" Target="http://pisrs.si/Pis.web/pregledPredpisa?id=ZAKO172" TargetMode="External"/><Relationship Id="rId242" Type="http://schemas.openxmlformats.org/officeDocument/2006/relationships/hyperlink" Target="http://www.evropskasredstva.si" TargetMode="External"/><Relationship Id="rId37" Type="http://schemas.openxmlformats.org/officeDocument/2006/relationships/header" Target="header13.xml"/><Relationship Id="rId58" Type="http://schemas.openxmlformats.org/officeDocument/2006/relationships/footer" Target="footer24.xml"/><Relationship Id="rId79" Type="http://schemas.openxmlformats.org/officeDocument/2006/relationships/header" Target="header34.xml"/><Relationship Id="rId102" Type="http://schemas.openxmlformats.org/officeDocument/2006/relationships/footer" Target="footer46.xml"/><Relationship Id="rId123" Type="http://schemas.openxmlformats.org/officeDocument/2006/relationships/hyperlink" Target="https://www.gov.si/assets/vladne-sluzbe/SVRK/S4-Slovenska-strategija-pametne-specializacije/Studijakonkurencnosti-slovenskega-gospodarstva-po-panogah_dejavnostih-in-raziskovalnih-dejavnosti-na-podlagi-najnovejsih-podatkov.pdf" TargetMode="External"/><Relationship Id="rId144" Type="http://schemas.openxmlformats.org/officeDocument/2006/relationships/hyperlink" Target="http://www.pisrs.si/Pis.web/pregledPredpisa?id=RESO116" TargetMode="External"/><Relationship Id="rId90" Type="http://schemas.openxmlformats.org/officeDocument/2006/relationships/footer" Target="footer40.xml"/><Relationship Id="rId165" Type="http://schemas.openxmlformats.org/officeDocument/2006/relationships/hyperlink" Target="http://www.pisrs.si/Pis.web/pregledPredpisa?id=STRA76" TargetMode="External"/><Relationship Id="rId186" Type="http://schemas.openxmlformats.org/officeDocument/2006/relationships/hyperlink" Target="http://pisrs.si/Pis.web/pregledPredpisa?id=ZAKO7641" TargetMode="External"/><Relationship Id="rId211" Type="http://schemas.openxmlformats.org/officeDocument/2006/relationships/hyperlink" Target="http://pisrs.si/Pis.web/pregledPredpisa?id=ZAKO450" TargetMode="External"/><Relationship Id="rId232" Type="http://schemas.openxmlformats.org/officeDocument/2006/relationships/hyperlink" Target="http://www.pisrs.si/Pis.web/pregledPredpisa?id=RESO137" TargetMode="External"/><Relationship Id="rId27" Type="http://schemas.openxmlformats.org/officeDocument/2006/relationships/header" Target="header8.xml"/><Relationship Id="rId48" Type="http://schemas.openxmlformats.org/officeDocument/2006/relationships/footer" Target="footer19.xml"/><Relationship Id="rId69" Type="http://schemas.openxmlformats.org/officeDocument/2006/relationships/header" Target="header29.xml"/><Relationship Id="rId113" Type="http://schemas.openxmlformats.org/officeDocument/2006/relationships/hyperlink" Target="https://ejn.gov.si/direktorat/pomoc-uporabnikom.html" TargetMode="External"/><Relationship Id="rId134" Type="http://schemas.openxmlformats.org/officeDocument/2006/relationships/hyperlink" Target="https://www.gov.si/teme/elektronske-komunikacije/" TargetMode="External"/><Relationship Id="rId80" Type="http://schemas.openxmlformats.org/officeDocument/2006/relationships/footer" Target="footer35.xml"/><Relationship Id="rId155" Type="http://schemas.openxmlformats.org/officeDocument/2006/relationships/hyperlink" Target="https://www.gov.si/assets/ministrstva/MOP/Operativni-programi/op_odpadki_2022.pdf" TargetMode="External"/><Relationship Id="rId176" Type="http://schemas.openxmlformats.org/officeDocument/2006/relationships/hyperlink" Target="http://pisrs.si/Pis.web/pregledPredpisa?id=ZAKO5840" TargetMode="External"/><Relationship Id="rId197" Type="http://schemas.openxmlformats.org/officeDocument/2006/relationships/hyperlink" Target="http://www.pisrs.si/Pis.web/pregledPredpisa?id=SKLE506" TargetMode="External"/><Relationship Id="rId201" Type="http://schemas.openxmlformats.org/officeDocument/2006/relationships/hyperlink" Target="http://pisrs.si/Pis.web/pregledPredpisa?id=ZAKO4093" TargetMode="External"/><Relationship Id="rId222" Type="http://schemas.openxmlformats.org/officeDocument/2006/relationships/hyperlink" Target="http://pisrs.si/Pis.web/pregledPredpisa?id=ZAKO7641" TargetMode="External"/><Relationship Id="rId243" Type="http://schemas.openxmlformats.org/officeDocument/2006/relationships/header" Target="header50.xml"/></Relationships>
</file>

<file path=word/_rels/footnotes.xml.rels><?xml version="1.0" encoding="UTF-8" standalone="yes"?>
<Relationships xmlns="http://schemas.openxmlformats.org/package/2006/relationships"><Relationship Id="rId26" Type="http://schemas.openxmlformats.org/officeDocument/2006/relationships/hyperlink" Target="https://www.umar.gov.si/fileadmin/user_upload/razvoj_slovenije/2021/angleski/POR2021_eng.pdf" TargetMode="External"/><Relationship Id="rId117" Type="http://schemas.openxmlformats.org/officeDocument/2006/relationships/hyperlink" Target="http://kazalci.arso.gov.si/sl/content/raba-koncne-energije-v-prometu-3" TargetMode="External"/><Relationship Id="rId21" Type="http://schemas.openxmlformats.org/officeDocument/2006/relationships/hyperlink" Target="https://www.energetika-portal.si/fileadmin/dokumenti/publikacije/nepn/dokumenti/nepn_5.0_final_feb-2020.pdf" TargetMode="External"/><Relationship Id="rId42" Type="http://schemas.openxmlformats.org/officeDocument/2006/relationships/hyperlink" Target="https://www.umar.gov.si/fileadmin/user_upload/razvoj_slovenije/2020/angleski/Development_report_2020.pdf" TargetMode="External"/><Relationship Id="rId47" Type="http://schemas.openxmlformats.org/officeDocument/2006/relationships/hyperlink" Target="https://digital-strategy.ec.europa.eu/en/library/connectivity-european-gigabit-society-brochure" TargetMode="External"/><Relationship Id="rId63" Type="http://schemas.openxmlformats.org/officeDocument/2006/relationships/hyperlink" Target="https://www.stat.si/StatWeb/news/Index/9877" TargetMode="External"/><Relationship Id="rId68" Type="http://schemas.openxmlformats.org/officeDocument/2006/relationships/hyperlink" Target="http://www.pisrs.si/Pis.web/pregledPredpisa?id=ZAKO8249" TargetMode="External"/><Relationship Id="rId84" Type="http://schemas.openxmlformats.org/officeDocument/2006/relationships/hyperlink" Target="https://www.umar.gov.si/fileadmin/user_upload/razvoj_slovenije/2021/angleski/POR2021_eng.pdf" TargetMode="External"/><Relationship Id="rId89" Type="http://schemas.openxmlformats.org/officeDocument/2006/relationships/hyperlink" Target="https://www.oecd-ilibrary.org/docserver/eag-2017-66-en.pdf?expires=1653869753&amp;id=id&amp;accname=guest&amp;checksum=8FA585CAB469E0E466D06C17667B5CC2" TargetMode="External"/><Relationship Id="rId112" Type="http://schemas.openxmlformats.org/officeDocument/2006/relationships/hyperlink" Target="https://www.energetika-portal.si/dokumenti/strateski-razvojni-dokumenti/nacionalna-strategija-za-izstop-iz-premoga-in-prestrukturiranje-premogovnih-regij/" TargetMode="External"/><Relationship Id="rId16" Type="http://schemas.openxmlformats.org/officeDocument/2006/relationships/hyperlink" Target="https://podnebnapot2050.si/wp-content/uploads/2022/06/PO2022_Zvezek3_Stavbe_KON_2022-06-15F.pdf" TargetMode="External"/><Relationship Id="rId107" Type="http://schemas.openxmlformats.org/officeDocument/2006/relationships/hyperlink" Target="https://www.gov.si/assets/vladne-sluzbe/UN/NPUR-2021-2030/108NPRomi.docx" TargetMode="External"/><Relationship Id="rId11" Type="http://schemas.openxmlformats.org/officeDocument/2006/relationships/hyperlink" Target="http://kazalci.arso.gov.si/sl/content/onesnazenost-zraka-z-delci-pm10-pm25-7?tid=2" TargetMode="External"/><Relationship Id="rId32" Type="http://schemas.openxmlformats.org/officeDocument/2006/relationships/hyperlink" Target="https://eur-lex.europa.eu/legal-content/EN/TXT/PDF/?uri=CELEX:52022DC0626&amp;from=EN" TargetMode="External"/><Relationship Id="rId37" Type="http://schemas.openxmlformats.org/officeDocument/2006/relationships/hyperlink" Target="http://ipmmp.um.si/globalni-podjetniski-monitor/gem-slovenija-monografije/?r=1257" TargetMode="External"/><Relationship Id="rId53" Type="http://schemas.openxmlformats.org/officeDocument/2006/relationships/hyperlink" Target="https://www.energetika-portal.si/fileadmin/dokumenti/publikacije/dseps/dseps_2050_final.pdf" TargetMode="External"/><Relationship Id="rId58" Type="http://schemas.openxmlformats.org/officeDocument/2006/relationships/hyperlink" Target="https://www.gov.si/assets/organi-v-sestavi/URSZR/Datoteke/Ocene-tveganja-za-nesrece/drzavna-ocena-tveganj-za-nesrece-2.0_2018_za-splet.pdf" TargetMode="External"/><Relationship Id="rId74" Type="http://schemas.openxmlformats.org/officeDocument/2006/relationships/hyperlink" Target="https://www.umar.gov.si/fileadmin/user_upload/razvoj_slovenije/2021/angleski/POR2021_eng.pdf" TargetMode="External"/><Relationship Id="rId79" Type="http://schemas.openxmlformats.org/officeDocument/2006/relationships/hyperlink" Target="https://ipmmp.um.si/wp-content/uploads/2021/05/GEM-2020-monografija.pdf" TargetMode="External"/><Relationship Id="rId102" Type="http://schemas.openxmlformats.org/officeDocument/2006/relationships/hyperlink" Target="https://www.nijz.si/sites/www.nijz.si/files/uploaded/podatki/objave/Umrli/prva_objava_umrli_2020.pdf" TargetMode="External"/><Relationship Id="rId123" Type="http://schemas.openxmlformats.org/officeDocument/2006/relationships/hyperlink" Target="https://ec.europa.eu/education/education-in-the-eu/digital-education-action-plan_sl" TargetMode="External"/><Relationship Id="rId128" Type="http://schemas.openxmlformats.org/officeDocument/2006/relationships/hyperlink" Target="https://www.gov.si/assets/ministrstva/MGRT/Dokumenti/DTUR/Nova-strategija-2022-2028/Strategija-slovenskega-turizma-2022-2028-dokument.pdf" TargetMode="External"/><Relationship Id="rId5" Type="http://schemas.openxmlformats.org/officeDocument/2006/relationships/hyperlink" Target="https://podnebnapot2050.si/wp-content/uploads/2022/06/PO2022_Zvezek0_Povzetek_KON_2022-06-15F.pdf" TargetMode="External"/><Relationship Id="rId90" Type="http://schemas.openxmlformats.org/officeDocument/2006/relationships/hyperlink" Target="https://ec.europa.eu/info/sites/default/files/2019-european-semester-country-specific-recommendation-commission-recommendation-slovenia_sl.pdf" TargetMode="External"/><Relationship Id="rId95" Type="http://schemas.openxmlformats.org/officeDocument/2006/relationships/hyperlink" Target="https://www.ess.gov.si/_files/13929/Prejemniki_DSP_2021.pdf" TargetMode="External"/><Relationship Id="rId19" Type="http://schemas.openxmlformats.org/officeDocument/2006/relationships/hyperlink" Target="https://www.umar.gov.si/fileadmin/user_upload/razvoj_slovenije/2022/angleski/Development_Report_2022.pdf" TargetMode="External"/><Relationship Id="rId14" Type="http://schemas.openxmlformats.org/officeDocument/2006/relationships/hyperlink" Target="https://www.umar.gov.si/fileadmin/user_upload/razvoj_slovenije/2021/angleski/POR2021_eng.pdf" TargetMode="External"/><Relationship Id="rId22" Type="http://schemas.openxmlformats.org/officeDocument/2006/relationships/hyperlink" Target="https://www.gov.si/assets/organi-v-sestavi/URSZR/Datoteke/Ocene-tveganja-za-nesrece/drzavna-ocena-tveganj-za-nesrece-2.0_2018_za-splet.pdf" TargetMode="External"/><Relationship Id="rId27" Type="http://schemas.openxmlformats.org/officeDocument/2006/relationships/hyperlink" Target="https://www.umar.gov.si/fileadmin/user_upload/razvoj_slovenije/2022/angleski/Development_Report_2022.pdf" TargetMode="External"/><Relationship Id="rId30" Type="http://schemas.openxmlformats.org/officeDocument/2006/relationships/hyperlink" Target="https://www.gov.si/assets/ministrstva/MGRT/Dokumenti/DTUR/Nova-strategija-2022-2028/Strategija-slovenskega-turizma-2022-2028-dokument.pdf" TargetMode="External"/><Relationship Id="rId35" Type="http://schemas.openxmlformats.org/officeDocument/2006/relationships/hyperlink" Target="https://www.umar.gov.si/fileadmin/user_upload/razvoj_slovenije/2021/angleski/POR2021_eng.pdf" TargetMode="External"/><Relationship Id="rId43" Type="http://schemas.openxmlformats.org/officeDocument/2006/relationships/hyperlink" Target="https://www.ess.gov.si/_files/12836/Porocilo_napovednik_zaposlovanja_2019_II.pdf" TargetMode="External"/><Relationship Id="rId48" Type="http://schemas.openxmlformats.org/officeDocument/2006/relationships/hyperlink" Target="https://eur-lex.europa.eu/legal-content/sl/TXT/?uri=CELEX%3A52021DC0118" TargetMode="External"/><Relationship Id="rId56" Type="http://schemas.openxmlformats.org/officeDocument/2006/relationships/hyperlink" Target="http://www.sos112.si/slo/page.php?src=os7412.htm" TargetMode="External"/><Relationship Id="rId64" Type="http://schemas.openxmlformats.org/officeDocument/2006/relationships/hyperlink" Target="http://www.natura2000.si/fileadmin/user_upload/Dokumenti/Life_Upravljanje/PUN__ProgramNatura.pdf" TargetMode="External"/><Relationship Id="rId69" Type="http://schemas.openxmlformats.org/officeDocument/2006/relationships/hyperlink" Target="https://www.energetika-portal.si/fileadmin/dokumenti/publikacije/alternativna_goriva/strategija_alternativna_goriva_final.pdf" TargetMode="External"/><Relationship Id="rId77" Type="http://schemas.openxmlformats.org/officeDocument/2006/relationships/hyperlink" Target="https://www.umar.gov.si/fileadmin/user_upload/razvoj_slovenije/2021/angleski/POR2021_eng.pdf" TargetMode="External"/><Relationship Id="rId100" Type="http://schemas.openxmlformats.org/officeDocument/2006/relationships/hyperlink" Target="https://omp.zrc-sazu.si/zalozba/catalog/view/1970/8123/1513-2" TargetMode="External"/><Relationship Id="rId105" Type="http://schemas.openxmlformats.org/officeDocument/2006/relationships/hyperlink" Target="https://pxweb.stat.si/SiStatData/pxweb/en/Data/-/0867628S.px/" TargetMode="External"/><Relationship Id="rId113" Type="http://schemas.openxmlformats.org/officeDocument/2006/relationships/hyperlink" Target="https://eur-lex.europa.eu/legal-content/EN/TXT/?uri=CELEX%3A52020DC0152" TargetMode="External"/><Relationship Id="rId118" Type="http://schemas.openxmlformats.org/officeDocument/2006/relationships/hyperlink" Target="https://www.energetika-portal.si/fileadmin/dokumenti/publikacije/alternativna_goriva/strategija_alternativna_goriva_final.pdf" TargetMode="External"/><Relationship Id="rId126" Type="http://schemas.openxmlformats.org/officeDocument/2006/relationships/hyperlink" Target="https://e-uprava.gov.si/drzava-in-druzba/e-demokracija/predlogi-predpisov/predlog-predpisa.html?id=13038" TargetMode="External"/><Relationship Id="rId8" Type="http://schemas.openxmlformats.org/officeDocument/2006/relationships/hyperlink" Target="https://www.umar.gov.si/fileadmin/user_upload/razvoj_slovenije/2021/angleski/POR2021_eng.pdf" TargetMode="External"/><Relationship Id="rId51" Type="http://schemas.openxmlformats.org/officeDocument/2006/relationships/hyperlink" Target="https://www.stat.si/StatWeb/News/Index/9578" TargetMode="External"/><Relationship Id="rId72" Type="http://schemas.openxmlformats.org/officeDocument/2006/relationships/hyperlink" Target="https://www.gov.si/assets/ministrstva/MOP/Dokumenti/Prostorski-razvoj/SPRS/SPRS-2050_gradivo-za-javno-razpravo.pdf" TargetMode="External"/><Relationship Id="rId80" Type="http://schemas.openxmlformats.org/officeDocument/2006/relationships/hyperlink" Target="https://www.ess.gov.si/_files/14807/Porocilo_Napovednik_zaposlovanja_2021_jesen.pdf" TargetMode="External"/><Relationship Id="rId85" Type="http://schemas.openxmlformats.org/officeDocument/2006/relationships/hyperlink" Target="https://eur-lex.europa.eu/legal-content/SL/TXT/PDF/?uri=CELEX:32018H0604(01)&amp;from=LT" TargetMode="External"/><Relationship Id="rId93" Type="http://schemas.openxmlformats.org/officeDocument/2006/relationships/hyperlink" Target="https://www.oecd.org/coronavirus/policy-responses/the-potential-of-online-learning-for-adultsearly-lessons-from-the-covid-19-crisis-ee040002/" TargetMode="External"/><Relationship Id="rId98" Type="http://schemas.openxmlformats.org/officeDocument/2006/relationships/hyperlink" Target="http://www.pisrs.si/Pis.web/pregledPredpisa?id=RESO137" TargetMode="External"/><Relationship Id="rId121" Type="http://schemas.openxmlformats.org/officeDocument/2006/relationships/hyperlink" Target="https://www.ess.gov.si/_files/13926/DBO_2021.pdf" TargetMode="External"/><Relationship Id="rId3" Type="http://schemas.openxmlformats.org/officeDocument/2006/relationships/hyperlink" Target="https://www.umar.gov.si/fileadmin/user_upload/publikacije/Porocilo_o_produktivnosti/2021/angleski/aPoP_2021_splet.pdf" TargetMode="External"/><Relationship Id="rId12" Type="http://schemas.openxmlformats.org/officeDocument/2006/relationships/hyperlink" Target="https://europa.eu/eurobarometer/surveys/detail/2287" TargetMode="External"/><Relationship Id="rId17" Type="http://schemas.openxmlformats.org/officeDocument/2006/relationships/hyperlink" Target="https://www.umar.gov.si/fileadmin/user_upload/razvoj_slovenije/2022/slovenski/POR2022.pdf" TargetMode="External"/><Relationship Id="rId25" Type="http://schemas.openxmlformats.org/officeDocument/2006/relationships/hyperlink" Target="https://www.umar.gov.si/fileadmin/user_upload/napovedi/pomlad/pomladanska_2022/PNGG_2022.pdf" TargetMode="External"/><Relationship Id="rId33" Type="http://schemas.openxmlformats.org/officeDocument/2006/relationships/hyperlink" Target="https://ec.europa.eu/docsroom/documents/45935" TargetMode="External"/><Relationship Id="rId38" Type="http://schemas.openxmlformats.org/officeDocument/2006/relationships/hyperlink" Target="https://www.umar.gov.si/fileadmin/user_upload/razvoj_slovenije/2021/angleski/POR2021_eng.pdf" TargetMode="External"/><Relationship Id="rId46" Type="http://schemas.openxmlformats.org/officeDocument/2006/relationships/hyperlink" Target="https://ec.europa.eu/info/sites/default/files/file_import/2019-european-semester-country-report-slovenia_sl.pdf" TargetMode="External"/><Relationship Id="rId59" Type="http://schemas.openxmlformats.org/officeDocument/2006/relationships/hyperlink" Target="https://www.gov.si/assets/organi-v-sestavi/URSZR/Datoteke/Ocene-tveganja-za-nesrece/drzavna-ocena-tveganj-za-nesrece-2.0_2018_za-splet.pdf" TargetMode="External"/><Relationship Id="rId67" Type="http://schemas.openxmlformats.org/officeDocument/2006/relationships/hyperlink" Target="https://ec.europa.eu/regional_policy/en/information/publications/brochures/2020/new-leipzig-charter-the-transformative-power-of-cities-for-the-common-good" TargetMode="External"/><Relationship Id="rId103" Type="http://schemas.openxmlformats.org/officeDocument/2006/relationships/hyperlink" Target="https://www.oecd-ilibrary.org/docserver/79ba70a2-en.pdf?expires=1675428000&amp;id=id&amp;accname=guest&amp;checksum=C210C8F003F747226C96F250E8930A3F" TargetMode="External"/><Relationship Id="rId108" Type="http://schemas.openxmlformats.org/officeDocument/2006/relationships/hyperlink" Target="http://www.pisrs.si/Pis.web/pregledPredpisa?id=RESO99" TargetMode="External"/><Relationship Id="rId116" Type="http://schemas.openxmlformats.org/officeDocument/2006/relationships/hyperlink" Target="https://www.gov.si/assets/ministrstva/MOP/Dokumenti/Voda/Odvajanje_ciscenje_komunalne_vode/op_odvajanje_ciscenje_komunalne_vode_2020.docx" TargetMode="External"/><Relationship Id="rId124" Type="http://schemas.openxmlformats.org/officeDocument/2006/relationships/hyperlink" Target="http://pisrs.si/Pis.web/pregledPredpisa?id=ZAKO445" TargetMode="External"/><Relationship Id="rId129" Type="http://schemas.openxmlformats.org/officeDocument/2006/relationships/hyperlink" Target="https://ec.europa.eu/environment/integration/research/newsalert/pdf/no_net_land_take_by_2050_FB14_en.pdf" TargetMode="External"/><Relationship Id="rId20" Type="http://schemas.openxmlformats.org/officeDocument/2006/relationships/hyperlink" Target="https://www.agen-rs.si/documents/10926/38704/Poro%C4%8Dilo-o-stanju-na-podro%C4%8Dju-energetike-v-Sloveniji-v-letu-2020/6ef6ecb0-4e1c-4ead-83eb-7da6326cd77f" TargetMode="External"/><Relationship Id="rId41" Type="http://schemas.openxmlformats.org/officeDocument/2006/relationships/hyperlink" Target="https://ec.europa.eu/info/strategy/priorities-2019-2024/europe-fit-digital-age/european-industrial-strategy_en" TargetMode="External"/><Relationship Id="rId54" Type="http://schemas.openxmlformats.org/officeDocument/2006/relationships/hyperlink" Target="https://www.umar.gov.si/fileadmin/user_upload/razvoj_slovenije/2020/angleski/Development_report_2020.pdf" TargetMode="External"/><Relationship Id="rId62" Type="http://schemas.openxmlformats.org/officeDocument/2006/relationships/hyperlink" Target="https://www.gov.si/teme/javna-sluzba-oskrbe-s-pitno-vodo/" TargetMode="External"/><Relationship Id="rId70" Type="http://schemas.openxmlformats.org/officeDocument/2006/relationships/hyperlink" Target="https://data.europa.eu/doi/10.2832/27610" TargetMode="External"/><Relationship Id="rId75" Type="http://schemas.openxmlformats.org/officeDocument/2006/relationships/hyperlink" Target="https://www.umar.gov.si/fileadmin/user_upload/napovedi/jesen/2021/angleski/JNGG_2021_ENG.pdf" TargetMode="External"/><Relationship Id="rId83" Type="http://schemas.openxmlformats.org/officeDocument/2006/relationships/hyperlink" Target="https://www.umar.gov.si/fileadmin/user_upload/publikacije/ESSP/2021/ESSP_splet.pdf" TargetMode="External"/><Relationship Id="rId88" Type="http://schemas.openxmlformats.org/officeDocument/2006/relationships/hyperlink" Target="https://www.ess.gov.si/_files/14103/Analiza_Mladi_in_trg_dela_2021.pdf" TargetMode="External"/><Relationship Id="rId91" Type="http://schemas.openxmlformats.org/officeDocument/2006/relationships/hyperlink" Target="https://www.oecd-ilibrary.org/education/oecd-skills-strategy-2019_9789264313835-en" TargetMode="External"/><Relationship Id="rId96" Type="http://schemas.openxmlformats.org/officeDocument/2006/relationships/hyperlink" Target="https://irssv.si/wp-content/uploads/2021/10/Koncno-porocilo-SA-IRSSV.pdf" TargetMode="External"/><Relationship Id="rId111" Type="http://schemas.openxmlformats.org/officeDocument/2006/relationships/hyperlink" Target="https://www.gov.si/assets/ministrstva/MZ/DOKUMENTI/Organizacija-zdravstvenega-varstva/Analiza-zdravstvenega-sistema-v-Sloveniji/SLO_-analiza_ZS_povzetek_in_kljucne_ugotovitve_lektorirana_verzija.pdf" TargetMode="External"/><Relationship Id="rId1" Type="http://schemas.openxmlformats.org/officeDocument/2006/relationships/hyperlink" Target="https://www.umar.gov.si/fileadmin/user_upload/razvoj_slovenije/2021/angleski/POR2021_eng.pdf" TargetMode="External"/><Relationship Id="rId6" Type="http://schemas.openxmlformats.org/officeDocument/2006/relationships/hyperlink" Target="https://podnebnapot2050.si/wp-content/uploads/2022/06/PO2022_Zvezek2_Promet_KON_2022-06-15F.pdf" TargetMode="External"/><Relationship Id="rId15" Type="http://schemas.openxmlformats.org/officeDocument/2006/relationships/hyperlink" Target="https://www.energetika-portal.si/fileadmin/dokumenti/publikacije/dseps/dseps_2050_final.pdf" TargetMode="External"/><Relationship Id="rId23" Type="http://schemas.openxmlformats.org/officeDocument/2006/relationships/hyperlink" Target="https://www.gov.si/novice/2020-08-25-ministrstvo-za-obrambo-bo-za-podrocje-zascite-in-resevanja-poskusalo-pridobiti-evropska-sredstva/" TargetMode="External"/><Relationship Id="rId28" Type="http://schemas.openxmlformats.org/officeDocument/2006/relationships/hyperlink" Target="http://pisrs.si/Pis.web/pregledPredpisa?id=USTA1" TargetMode="External"/><Relationship Id="rId36" Type="http://schemas.openxmlformats.org/officeDocument/2006/relationships/hyperlink" Target="http://ipmmp.um.si/izsel-je-gem-slovenija-2018-neizkoriscen-podjetniski-potencial/" TargetMode="External"/><Relationship Id="rId49" Type="http://schemas.openxmlformats.org/officeDocument/2006/relationships/hyperlink" Target="https://www.gov.si/assets/vladne-sluzbe/SDP/Dokumenti/Osnutek-nacrta-razvoja-gigabitne-infrastrukture-do-leta-2030" TargetMode="External"/><Relationship Id="rId57" Type="http://schemas.openxmlformats.org/officeDocument/2006/relationships/hyperlink" Target="https://www.gov.si/novice/2020-08-25-ministrstvo-za-obrambo-bo-za-podrocje-zascite-in-resevanja-poskusalo-pridobiti-evropska-sredstva/" TargetMode="External"/><Relationship Id="rId106" Type="http://schemas.openxmlformats.org/officeDocument/2006/relationships/hyperlink" Target="https://www.gov.si/assets/ministrstva/MOP/Publikacije/8c3a902c0a/prostorski_problemi_romskih_naselij_elaborat.pdf" TargetMode="External"/><Relationship Id="rId114" Type="http://schemas.openxmlformats.org/officeDocument/2006/relationships/hyperlink" Target="https://www.gov.si/assets/ministrstva/MOP/Dokumenti/Voda/NZPO/e56d7a6180/predhodna_ocena_poplavne_ogrozenosti_2019.pdf" TargetMode="External"/><Relationship Id="rId119" Type="http://schemas.openxmlformats.org/officeDocument/2006/relationships/hyperlink" Target="https://www.gov.si/assets/ministrstva/MzI/Dokumenti/Strategija-razvoja-prometa-v-Republiki-Sloveniji-do-leta-2030.pdf" TargetMode="External"/><Relationship Id="rId127" Type="http://schemas.openxmlformats.org/officeDocument/2006/relationships/hyperlink" Target="https://www.gov.si/assets/ministrstva/MK/DEDISCINA/STRAT_KD_2019.pdf" TargetMode="External"/><Relationship Id="rId10" Type="http://schemas.openxmlformats.org/officeDocument/2006/relationships/hyperlink" Target="https://www.gov.si/assets/ministrstva/MzI/Dokumenti/Transport-Development-Strategy-of-the-Republic-of-Slovenia-Until-2030.pdf" TargetMode="External"/><Relationship Id="rId31" Type="http://schemas.openxmlformats.org/officeDocument/2006/relationships/hyperlink" Target="https://www.energetika-portal.si/fileadmin/dokumenti/publikacije/premog_izhod/strategija_prem_vlada_jan202.pdf" TargetMode="External"/><Relationship Id="rId44" Type="http://schemas.openxmlformats.org/officeDocument/2006/relationships/hyperlink" Target="https://www.umar.gov.si/fileadmin/user_upload/razvoj_slovenije/2020/angleski/Development_report_2020.pdf" TargetMode="External"/><Relationship Id="rId52" Type="http://schemas.openxmlformats.org/officeDocument/2006/relationships/hyperlink" Target="https://www.umar.gov.si/fileadmin/user_upload/razvoj_slovenije/2021/angleski/POR2021_eng.pdf" TargetMode="External"/><Relationship Id="rId60" Type="http://schemas.openxmlformats.org/officeDocument/2006/relationships/hyperlink" Target="https://www.gov.si/assets/ministrstva/MOP/Dokumenti/Voda/Odvajanje_ciscenje_komunalne_vode/op_odvajanje_ciscenje_komunalne_vode_2020.docx" TargetMode="External"/><Relationship Id="rId65" Type="http://schemas.openxmlformats.org/officeDocument/2006/relationships/hyperlink" Target="https://eur-lex.europa.eu/legal-content/EN/TXT/?uri=COM:2021:240:FIN" TargetMode="External"/><Relationship Id="rId73" Type="http://schemas.openxmlformats.org/officeDocument/2006/relationships/hyperlink" Target="https://pxweb.stat.si/SiStatData/pxweb/sl/Data/-/2281233S.px" TargetMode="External"/><Relationship Id="rId78" Type="http://schemas.openxmlformats.org/officeDocument/2006/relationships/hyperlink" Target="https://ipmmp.um.si/globalni-podjetniski-monitor/gem-slovenija-monografije/?r=1127" TargetMode="External"/><Relationship Id="rId81" Type="http://schemas.openxmlformats.org/officeDocument/2006/relationships/hyperlink" Target="https://www.umar.gov.si/fileadmin/user_upload/publikacije/ESSP/2021/ESSP_splet.pdf" TargetMode="External"/><Relationship Id="rId86" Type="http://schemas.openxmlformats.org/officeDocument/2006/relationships/hyperlink" Target="https://stat.link/qetsh9" TargetMode="External"/><Relationship Id="rId94" Type="http://schemas.openxmlformats.org/officeDocument/2006/relationships/hyperlink" Target="https://www.umar.gov.si/fileadmin/user_upload/razvoj_slovenije/2021/angleski/POR2021_eng.pdf" TargetMode="External"/><Relationship Id="rId99" Type="http://schemas.openxmlformats.org/officeDocument/2006/relationships/hyperlink" Target="http://www.pisrs.si/Pis.web/pregledPredpisa?id=RESO118" TargetMode="External"/><Relationship Id="rId101" Type="http://schemas.openxmlformats.org/officeDocument/2006/relationships/hyperlink" Target="https://www.umar.gov.si/fileadmin/user_upload/razvoj_slovenije/2022/angleski/Development_Report_2022.pdf" TargetMode="External"/><Relationship Id="rId122" Type="http://schemas.openxmlformats.org/officeDocument/2006/relationships/hyperlink" Target="https://eur-lex.europa.eu/legal-content/SL/TXT/?uri=CELEX:52019DC0653" TargetMode="External"/><Relationship Id="rId130" Type="http://schemas.openxmlformats.org/officeDocument/2006/relationships/hyperlink" Target="https://ec.europa.eu/futurium/en/sustainable-land-use/sustainable-use-land-and-nature-based-solutions-partnership-presents-final.html" TargetMode="External"/><Relationship Id="rId4" Type="http://schemas.openxmlformats.org/officeDocument/2006/relationships/hyperlink" Target="https://www.umar.gov.si/fileadmin/user_upload/publikacije/Porocilo_o_produktivnosti/2021/angleski/aPoP_2021_splet.pdf" TargetMode="External"/><Relationship Id="rId9" Type="http://schemas.openxmlformats.org/officeDocument/2006/relationships/hyperlink" Target="https://podnebnapot2050.si/wp-content/uploads/2022/06/PO2022_Zvezek2_Promet_KON_2022-06-15F.pdf" TargetMode="External"/><Relationship Id="rId13" Type="http://schemas.openxmlformats.org/officeDocument/2006/relationships/hyperlink" Target="https://europa.eu/eurobarometer/surveys/detail/2287" TargetMode="External"/><Relationship Id="rId18" Type="http://schemas.openxmlformats.org/officeDocument/2006/relationships/hyperlink" Target="https://www.stat.si/statweb/News/Index/10057" TargetMode="External"/><Relationship Id="rId39" Type="http://schemas.openxmlformats.org/officeDocument/2006/relationships/hyperlink" Target="https://eur-lex.europa.eu/legal-content/SL/TXT/PDF/?uri=CELEX:52016DC0733&amp;from=EN" TargetMode="External"/><Relationship Id="rId109" Type="http://schemas.openxmlformats.org/officeDocument/2006/relationships/hyperlink" Target="https://www.umar.gov.si/fileadmin/user_upload/publikacije/ESSP/2021/angleski/ESSP_2021_Summary.pdf" TargetMode="External"/><Relationship Id="rId34" Type="http://schemas.openxmlformats.org/officeDocument/2006/relationships/hyperlink" Target="https://ec.europa.eu/newsroom/dae/redirection/document/80600" TargetMode="External"/><Relationship Id="rId50" Type="http://schemas.openxmlformats.org/officeDocument/2006/relationships/hyperlink" Target="https://ec.europa.eu/newsroom/dae/redirection/document/80600" TargetMode="External"/><Relationship Id="rId55" Type="http://schemas.openxmlformats.org/officeDocument/2006/relationships/hyperlink" Target="https://www.umar.gov.si/fileadmin/user_upload/razvoj_slovenije/2021/angleski/POR2021_eng.pdf" TargetMode="External"/><Relationship Id="rId76" Type="http://schemas.openxmlformats.org/officeDocument/2006/relationships/hyperlink" Target="https://www.gov.si/teme/aktivna-politika-zaposlovanja/" TargetMode="External"/><Relationship Id="rId97" Type="http://schemas.openxmlformats.org/officeDocument/2006/relationships/hyperlink" Target="https://www.eu-skladi.si/sl/dokumenti/studije-in-vrednotenja/pumo_koncno-porocilo-final-14032019.pdf" TargetMode="External"/><Relationship Id="rId104" Type="http://schemas.openxmlformats.org/officeDocument/2006/relationships/hyperlink" Target="https://www.researchgate.net/figure/Digital-skills-level-by-EU-country-average-levels-from-2016-2019_fig3_343837792" TargetMode="External"/><Relationship Id="rId120" Type="http://schemas.openxmlformats.org/officeDocument/2006/relationships/hyperlink" Target="http://www.pisrs.si/Pis.web/pregledPredpisa?id=RESO115" TargetMode="External"/><Relationship Id="rId125" Type="http://schemas.openxmlformats.org/officeDocument/2006/relationships/hyperlink" Target="https://www.umar.gov.si/fileadmin/user_upload/publikacije/ESSP/2021/ESSP_splet.pdf" TargetMode="External"/><Relationship Id="rId7" Type="http://schemas.openxmlformats.org/officeDocument/2006/relationships/hyperlink" Target="https://www.care4climate.si/_files/196/Izrocek-ZRC-SAZU.pdf" TargetMode="External"/><Relationship Id="rId71" Type="http://schemas.openxmlformats.org/officeDocument/2006/relationships/hyperlink" Target="http://www.pisrs.si/Pis.web/pregledPredpisa?id=PRAV13393" TargetMode="External"/><Relationship Id="rId92" Type="http://schemas.openxmlformats.org/officeDocument/2006/relationships/hyperlink" Target="https://www.oecd.org/skills/piaac/Skills-Matter-Slovenia-Slovenian-Version.pdf" TargetMode="External"/><Relationship Id="rId2" Type="http://schemas.openxmlformats.org/officeDocument/2006/relationships/hyperlink" Target="https://www.umar.gov.si/fileadmin/user_upload/razvoj_slovenije/2022/angleski/Development_Report_2022.pdf" TargetMode="External"/><Relationship Id="rId29" Type="http://schemas.openxmlformats.org/officeDocument/2006/relationships/hyperlink" Target="https://www.umar.gov.si/fileadmin/user_upload/razvoj_slovenije/2022/angleski/Development_Report_2022.pdf" TargetMode="External"/><Relationship Id="rId24" Type="http://schemas.openxmlformats.org/officeDocument/2006/relationships/hyperlink" Target="https://www.gov.si/novice/2020-09-17-odlocitve-32-redne-seje-vlade-republike-slovenije-s-podrocja-ministrstva-za-okolje-in-prostor" TargetMode="External"/><Relationship Id="rId40" Type="http://schemas.openxmlformats.org/officeDocument/2006/relationships/hyperlink" Target="https://ec.europa.eu/social/BlobServlet?docId=21575&amp;langId=en" TargetMode="External"/><Relationship Id="rId45" Type="http://schemas.openxmlformats.org/officeDocument/2006/relationships/hyperlink" Target="https://op.europa.eu/sl/publication-detail/-/publication/6179f7e9-5945-11ea-8b81-01aa75ed71a1" TargetMode="External"/><Relationship Id="rId66" Type="http://schemas.openxmlformats.org/officeDocument/2006/relationships/hyperlink" Target="https://ec.europa.eu/environment/nature/ecosystems/strategy/index_en.htm" TargetMode="External"/><Relationship Id="rId87" Type="http://schemas.openxmlformats.org/officeDocument/2006/relationships/hyperlink" Target="https://ec.europa.eu/education/sites/education/files/document-library-docs/et-monitor-report-2019-slovenia_sl.pdf" TargetMode="External"/><Relationship Id="rId110" Type="http://schemas.openxmlformats.org/officeDocument/2006/relationships/hyperlink" Target="https://e-uprava.gov.si/drzava-in-druzba/e-demokracija/predlogi-predpisov/predlog-predpisa.html?id=12742" TargetMode="External"/><Relationship Id="rId115" Type="http://schemas.openxmlformats.org/officeDocument/2006/relationships/hyperlink" Target="https://www.gov.si/assets/organi-v-sestavi/URSZR/Datoteke/Ocene-tveganja-za-nesrece/drzavna-ocena-tveganj-za-nesrece-2.0_2018_za-splet.pdf" TargetMode="External"/><Relationship Id="rId61" Type="http://schemas.openxmlformats.org/officeDocument/2006/relationships/hyperlink" Target="http://www.pisrs.si/Pis.web/pregledPredpisa?id=URED6951" TargetMode="External"/><Relationship Id="rId82" Type="http://schemas.openxmlformats.org/officeDocument/2006/relationships/hyperlink" Target="https://www.umar.gov.si/fileadmin/user_upload/razvoj_slovenije/2021/angleski/POR2021_eng.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0B54EA-3F7C-49FA-A450-ACFD080D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3018</TotalTime>
  <Pages>330</Pages>
  <Words>110674</Words>
  <Characters>630848</Characters>
  <Application>Microsoft Office Word</Application>
  <DocSecurity>0</DocSecurity>
  <Lines>5257</Lines>
  <Paragraphs>1480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Ovsenek</dc:creator>
  <cp:keywords/>
  <dc:description/>
  <cp:lastModifiedBy>Marjanca Scheicher</cp:lastModifiedBy>
  <cp:revision>231</cp:revision>
  <cp:lastPrinted>2023-03-31T11:25:00Z</cp:lastPrinted>
  <dcterms:created xsi:type="dcterms:W3CDTF">2023-02-03T06:23:00Z</dcterms:created>
  <dcterms:modified xsi:type="dcterms:W3CDTF">2023-03-31T11:28:00Z</dcterms:modified>
</cp:coreProperties>
</file>