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11.0 -->
  <w:body>
    <w:p w:rsidR="00A77B3E">
      <w:pPr>
        <w:jc w:val="left"/>
      </w:pP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  <w:t>Napoved plačila SFC2021</w:t>
      </w:r>
    </w:p>
    <w:p w:rsidR="00A77B3E">
      <w:pPr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777"/>
        <w:gridCol w:w="767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2021SI65AMPR001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AMIF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202401.0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>
      <w:pPr>
        <w:pStyle w:val="TOC1"/>
        <w:tabs>
          <w:tab w:val="right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Napoved zneska, za katerega namerava država članica predložiti zahtevke za plačila za tekoče in naslednje finančno leto (člen 69(10))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br w:type="page"/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 w:rsidR="00A77B3E">
      <w:pPr>
        <w:pStyle w:val="Heading1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Napoved zneska, za katerega namerava država članica predložiti zahtevke za plačila za tekoče in naslednje finančno leto (člen 69(10))</w:t>
      </w:r>
      <w:bookmarkEnd w:id="0"/>
    </w:p>
    <w:p w:rsidR="00A77B3E">
      <w:pPr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612"/>
        <w:gridCol w:w="2612"/>
        <w:gridCol w:w="2613"/>
        <w:gridCol w:w="261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1250" w:type="pct"/>
            <w:gridSpan w:val="3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Pričakovan prispevek Unije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1250" w:type="pct"/>
            <w:gridSpan w:val="2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2024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Sklad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januar–oktober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november–december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januar–december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AMIF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3.000.000,00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2.000.000,00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8.000.000,00</w:t>
            </w:r>
          </w:p>
        </w:tc>
      </w:tr>
    </w:tbl>
    <w:p w:rsidR="00A77B3E">
      <w:pPr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20" w:right="936" w:bottom="864" w:left="720" w:header="0" w:footer="72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4114"/>
      <w:gridCol w:w="2223"/>
      <w:gridCol w:w="4113"/>
    </w:tblGrid>
    <w:tr>
      <w:tblPrEx>
        <w:tblW w:w="5000" w:type="pct"/>
        <w:tblCellMar>
          <w:left w:w="108" w:type="dxa"/>
          <w:right w:w="108" w:type="dxa"/>
        </w:tblCellMar>
      </w:tblPrEx>
      <w:trPr>
        <w:trHeight w:val="240"/>
      </w:trPr>
      <w:tc>
        <w:tcPr>
          <w:tcMar>
            <w:left w:w="100" w:type="dxa"/>
            <w:right w:w="10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lef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left="720"/>
    </w:pPr>
    <w:rPr>
      <w:i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