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A02" w:rsidRDefault="006A2A02" w:rsidP="006A41E2">
      <w:pPr>
        <w:pStyle w:val="Annexetitre"/>
        <w:rPr>
          <w:noProof/>
          <w:sz w:val="28"/>
          <w:szCs w:val="28"/>
          <w:u w:val="none"/>
        </w:rPr>
      </w:pPr>
      <w:r>
        <w:rPr>
          <w:noProof/>
          <w:lang w:eastAsia="sl-SI"/>
        </w:rPr>
        <w:drawing>
          <wp:anchor distT="0" distB="0" distL="114300" distR="114300" simplePos="0" relativeHeight="251659264" behindDoc="1" locked="0" layoutInCell="1" allowOverlap="1" wp14:anchorId="7CD13057" wp14:editId="003867C1">
            <wp:simplePos x="0" y="0"/>
            <wp:positionH relativeFrom="page">
              <wp:posOffset>899795</wp:posOffset>
            </wp:positionH>
            <wp:positionV relativeFrom="page">
              <wp:posOffset>719455</wp:posOffset>
            </wp:positionV>
            <wp:extent cx="5928995" cy="489585"/>
            <wp:effectExtent l="0" t="0" r="0" b="5715"/>
            <wp:wrapNone/>
            <wp:docPr id="1" name="Slika 1" descr="MNZ + 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Z + logoEU SEU barvni 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8995"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2A02" w:rsidRDefault="006A2A02" w:rsidP="006A41E2">
      <w:pPr>
        <w:pStyle w:val="Annexetitre"/>
        <w:rPr>
          <w:noProof/>
          <w:sz w:val="28"/>
          <w:szCs w:val="28"/>
          <w:u w:val="none"/>
        </w:rPr>
      </w:pPr>
    </w:p>
    <w:p w:rsidR="006A2A02" w:rsidRDefault="006A2A02" w:rsidP="006A41E2">
      <w:pPr>
        <w:pStyle w:val="Annexetitre"/>
        <w:rPr>
          <w:noProof/>
          <w:sz w:val="28"/>
          <w:szCs w:val="28"/>
          <w:u w:val="none"/>
        </w:rPr>
      </w:pPr>
    </w:p>
    <w:p w:rsidR="006A2A02" w:rsidRDefault="006A2A02" w:rsidP="006A41E2">
      <w:pPr>
        <w:pStyle w:val="Annexetitre"/>
        <w:rPr>
          <w:noProof/>
          <w:sz w:val="28"/>
          <w:szCs w:val="28"/>
          <w:u w:val="none"/>
        </w:rPr>
      </w:pPr>
    </w:p>
    <w:p w:rsidR="006A2A02" w:rsidRDefault="006A2A02" w:rsidP="006A2A02">
      <w:pPr>
        <w:pStyle w:val="Annexetitre"/>
        <w:rPr>
          <w:noProof/>
          <w:sz w:val="28"/>
          <w:szCs w:val="28"/>
          <w:u w:val="none"/>
        </w:rPr>
      </w:pPr>
      <w:r w:rsidRPr="006A2A02">
        <w:rPr>
          <w:noProof/>
          <w:sz w:val="28"/>
          <w:szCs w:val="28"/>
          <w:u w:val="none"/>
        </w:rPr>
        <w:t xml:space="preserve">LETNO POROČILO O SMOTRNOSTI </w:t>
      </w:r>
    </w:p>
    <w:p w:rsidR="006A2A02" w:rsidRDefault="006A2A02" w:rsidP="006A2A02">
      <w:pPr>
        <w:pStyle w:val="Annexetitre"/>
        <w:rPr>
          <w:noProof/>
          <w:sz w:val="28"/>
          <w:szCs w:val="28"/>
          <w:u w:val="none"/>
        </w:rPr>
      </w:pPr>
      <w:r w:rsidRPr="006A2A02">
        <w:rPr>
          <w:noProof/>
          <w:sz w:val="28"/>
          <w:szCs w:val="28"/>
          <w:u w:val="none"/>
        </w:rPr>
        <w:t xml:space="preserve">SKLADA ZA NOTRANJO VARNOST </w:t>
      </w:r>
    </w:p>
    <w:p w:rsidR="00152894" w:rsidRDefault="006A2A02" w:rsidP="006A2A02">
      <w:pPr>
        <w:pStyle w:val="Annexetitre"/>
        <w:rPr>
          <w:noProof/>
          <w:sz w:val="28"/>
          <w:szCs w:val="28"/>
          <w:u w:val="none"/>
        </w:rPr>
      </w:pPr>
      <w:r w:rsidRPr="006A2A02">
        <w:rPr>
          <w:noProof/>
          <w:sz w:val="28"/>
          <w:szCs w:val="28"/>
          <w:u w:val="none"/>
        </w:rPr>
        <w:t>IZ ČLENA 30 UREDBE (EU) 2021/1149</w:t>
      </w:r>
    </w:p>
    <w:p w:rsidR="006A2A02" w:rsidRPr="006A2A02" w:rsidRDefault="006A2A02" w:rsidP="006A2A02"/>
    <w:p w:rsidR="006A41E2" w:rsidRPr="00275BA0" w:rsidRDefault="006A41E2" w:rsidP="006A41E2">
      <w:pPr>
        <w:pStyle w:val="ManualHeading1"/>
        <w:rPr>
          <w:noProof/>
        </w:rPr>
      </w:pPr>
      <w:r w:rsidRPr="00275BA0">
        <w:rPr>
          <w:noProof/>
        </w:rPr>
        <w:t>OPREDELITEV</w:t>
      </w:r>
    </w:p>
    <w:tbl>
      <w:tblPr>
        <w:tblStyle w:val="Tabelamrea"/>
        <w:tblW w:w="9289" w:type="dxa"/>
        <w:tblLook w:val="04A0" w:firstRow="1" w:lastRow="0" w:firstColumn="1" w:lastColumn="0" w:noHBand="0" w:noVBand="1"/>
        <w:tblCaption w:val="Opredelitev dokumenta, stran 1"/>
        <w:tblDescription w:val="CCI 2021SI65ISPR001&#10;Naslov Programme Slovenia-ISF&#10;Različica 1.0&#10;Obračunsko leto 1.7.2022-30.6.2023&#10;Datum potrditve poročila s strani odbora za spremljanje 20.2.2024&#10;"/>
      </w:tblPr>
      <w:tblGrid>
        <w:gridCol w:w="4644"/>
        <w:gridCol w:w="4645"/>
      </w:tblGrid>
      <w:tr w:rsidR="00832BD0" w:rsidRPr="00275BA0" w:rsidTr="0033686D">
        <w:trPr>
          <w:tblHeader/>
        </w:trPr>
        <w:tc>
          <w:tcPr>
            <w:tcW w:w="4644" w:type="dxa"/>
          </w:tcPr>
          <w:p w:rsidR="00832BD0" w:rsidRPr="00275BA0" w:rsidRDefault="00832BD0" w:rsidP="00832BD0">
            <w:pPr>
              <w:pStyle w:val="Personnequisigne"/>
              <w:rPr>
                <w:noProof/>
              </w:rPr>
            </w:pPr>
            <w:r w:rsidRPr="00275BA0">
              <w:rPr>
                <w:noProof/>
              </w:rPr>
              <w:t>CCI</w:t>
            </w:r>
          </w:p>
        </w:tc>
        <w:tc>
          <w:tcPr>
            <w:tcW w:w="4645" w:type="dxa"/>
          </w:tcPr>
          <w:p w:rsidR="00832BD0" w:rsidRPr="00275BA0" w:rsidRDefault="00832BD0" w:rsidP="00832BD0">
            <w:pPr>
              <w:pStyle w:val="Personnequisigne"/>
              <w:rPr>
                <w:noProof/>
              </w:rPr>
            </w:pPr>
            <w:r w:rsidRPr="00275BA0">
              <w:rPr>
                <w:noProof/>
              </w:rPr>
              <w:t>2021SI65ISPR001</w:t>
            </w:r>
          </w:p>
        </w:tc>
      </w:tr>
      <w:tr w:rsidR="00832BD0" w:rsidRPr="00275BA0" w:rsidTr="00832BD0">
        <w:tc>
          <w:tcPr>
            <w:tcW w:w="4644" w:type="dxa"/>
          </w:tcPr>
          <w:p w:rsidR="00832BD0" w:rsidRPr="00275BA0" w:rsidRDefault="00832BD0" w:rsidP="00832BD0">
            <w:pPr>
              <w:pStyle w:val="Personnequisigne"/>
              <w:rPr>
                <w:noProof/>
              </w:rPr>
            </w:pPr>
            <w:r w:rsidRPr="00275BA0">
              <w:rPr>
                <w:noProof/>
              </w:rPr>
              <w:t>Naslov</w:t>
            </w:r>
          </w:p>
        </w:tc>
        <w:tc>
          <w:tcPr>
            <w:tcW w:w="4645" w:type="dxa"/>
          </w:tcPr>
          <w:p w:rsidR="00832BD0" w:rsidRPr="00275BA0" w:rsidRDefault="00832BD0" w:rsidP="00832BD0">
            <w:pPr>
              <w:pStyle w:val="Personnequisigne"/>
              <w:rPr>
                <w:noProof/>
              </w:rPr>
            </w:pPr>
            <w:r w:rsidRPr="00275BA0">
              <w:rPr>
                <w:noProof/>
              </w:rPr>
              <w:t>Programme Slovenia-ISF</w:t>
            </w:r>
          </w:p>
        </w:tc>
      </w:tr>
      <w:tr w:rsidR="00832BD0" w:rsidRPr="00275BA0" w:rsidTr="00832BD0">
        <w:tc>
          <w:tcPr>
            <w:tcW w:w="4644" w:type="dxa"/>
          </w:tcPr>
          <w:p w:rsidR="00832BD0" w:rsidRPr="00275BA0" w:rsidRDefault="00832BD0" w:rsidP="00832BD0">
            <w:pPr>
              <w:pStyle w:val="Personnequisigne"/>
              <w:rPr>
                <w:noProof/>
              </w:rPr>
            </w:pPr>
            <w:r w:rsidRPr="00275BA0">
              <w:rPr>
                <w:noProof/>
              </w:rPr>
              <w:t>Različica</w:t>
            </w:r>
          </w:p>
        </w:tc>
        <w:tc>
          <w:tcPr>
            <w:tcW w:w="4645" w:type="dxa"/>
          </w:tcPr>
          <w:p w:rsidR="00832BD0" w:rsidRPr="00275BA0" w:rsidRDefault="00832BD0" w:rsidP="00832BD0">
            <w:pPr>
              <w:pStyle w:val="Personnequisigne"/>
              <w:rPr>
                <w:noProof/>
              </w:rPr>
            </w:pPr>
            <w:r w:rsidRPr="00275BA0">
              <w:rPr>
                <w:noProof/>
              </w:rPr>
              <w:t>1.0</w:t>
            </w:r>
          </w:p>
        </w:tc>
      </w:tr>
      <w:tr w:rsidR="00832BD0" w:rsidRPr="00275BA0" w:rsidTr="00832BD0">
        <w:tc>
          <w:tcPr>
            <w:tcW w:w="4644" w:type="dxa"/>
          </w:tcPr>
          <w:p w:rsidR="00832BD0" w:rsidRPr="00275BA0" w:rsidRDefault="00832BD0" w:rsidP="00832BD0">
            <w:pPr>
              <w:pStyle w:val="Personnequisigne"/>
              <w:rPr>
                <w:noProof/>
              </w:rPr>
            </w:pPr>
            <w:r w:rsidRPr="00275BA0">
              <w:rPr>
                <w:noProof/>
              </w:rPr>
              <w:t>Obračunsko leto</w:t>
            </w:r>
          </w:p>
        </w:tc>
        <w:tc>
          <w:tcPr>
            <w:tcW w:w="4645" w:type="dxa"/>
          </w:tcPr>
          <w:p w:rsidR="00832BD0" w:rsidRPr="00275BA0" w:rsidRDefault="00FD3C01" w:rsidP="00832BD0">
            <w:pPr>
              <w:pStyle w:val="Personnequisigne"/>
              <w:rPr>
                <w:noProof/>
              </w:rPr>
            </w:pPr>
            <w:r>
              <w:rPr>
                <w:noProof/>
              </w:rPr>
              <w:t>1.7.2022-30.6.2023</w:t>
            </w:r>
          </w:p>
        </w:tc>
      </w:tr>
      <w:tr w:rsidR="00832BD0" w:rsidRPr="00275BA0" w:rsidTr="00832BD0">
        <w:tc>
          <w:tcPr>
            <w:tcW w:w="4644" w:type="dxa"/>
          </w:tcPr>
          <w:p w:rsidR="00832BD0" w:rsidRPr="00275BA0" w:rsidRDefault="00832BD0" w:rsidP="00832BD0">
            <w:pPr>
              <w:pStyle w:val="Personnequisigne"/>
              <w:rPr>
                <w:noProof/>
              </w:rPr>
            </w:pPr>
            <w:r w:rsidRPr="00275BA0">
              <w:rPr>
                <w:noProof/>
              </w:rPr>
              <w:t>Datum potrditve poročila s strani odbora za spremljanje</w:t>
            </w:r>
          </w:p>
        </w:tc>
        <w:tc>
          <w:tcPr>
            <w:tcW w:w="4645" w:type="dxa"/>
          </w:tcPr>
          <w:p w:rsidR="00832BD0" w:rsidRPr="00275BA0" w:rsidRDefault="00C35C26" w:rsidP="00832BD0">
            <w:pPr>
              <w:pStyle w:val="Personnequisigne"/>
              <w:rPr>
                <w:noProof/>
              </w:rPr>
            </w:pPr>
            <w:r>
              <w:rPr>
                <w:noProof/>
              </w:rPr>
              <w:t>20</w:t>
            </w:r>
            <w:r w:rsidR="00FD3C01">
              <w:rPr>
                <w:noProof/>
              </w:rPr>
              <w:t>.2.2024</w:t>
            </w:r>
          </w:p>
        </w:tc>
      </w:tr>
    </w:tbl>
    <w:p w:rsidR="006A41E2" w:rsidRPr="00275BA0" w:rsidRDefault="00C30ACF" w:rsidP="00C30ACF">
      <w:pPr>
        <w:pStyle w:val="ManualHeading1"/>
        <w:rPr>
          <w:noProof/>
        </w:rPr>
      </w:pPr>
      <w:r w:rsidRPr="00275BA0">
        <w:t>1.</w:t>
      </w:r>
      <w:r w:rsidRPr="00275BA0">
        <w:tab/>
      </w:r>
      <w:r w:rsidR="006A41E2" w:rsidRPr="00275BA0">
        <w:rPr>
          <w:noProof/>
        </w:rPr>
        <w:t>Smotrnost</w:t>
      </w:r>
    </w:p>
    <w:p w:rsidR="006A41E2" w:rsidRPr="00275BA0" w:rsidRDefault="00C30ACF" w:rsidP="00C30ACF">
      <w:pPr>
        <w:pStyle w:val="ManualHeading2"/>
        <w:rPr>
          <w:noProof/>
        </w:rPr>
      </w:pPr>
      <w:r w:rsidRPr="00275BA0">
        <w:t>1.1.</w:t>
      </w:r>
      <w:r w:rsidRPr="00275BA0">
        <w:tab/>
      </w:r>
      <w:r w:rsidR="006A41E2" w:rsidRPr="00275BA0">
        <w:rPr>
          <w:noProof/>
        </w:rPr>
        <w:t>Napredek pri izvajanju – člen 30(2), točka (a), Uredbe (EU) 2021/1149</w:t>
      </w:r>
    </w:p>
    <w:p w:rsidR="006A41E2" w:rsidRPr="00275BA0" w:rsidRDefault="006A41E2" w:rsidP="006A41E2">
      <w:pPr>
        <w:rPr>
          <w:noProof/>
          <w:sz w:val="22"/>
        </w:rPr>
      </w:pPr>
      <w:r w:rsidRPr="00275BA0">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p>
    <w:p w:rsidR="006A41E2" w:rsidRPr="00275BA0" w:rsidRDefault="006A41E2" w:rsidP="006A41E2">
      <w:pPr>
        <w:rPr>
          <w:noProof/>
          <w:sz w:val="22"/>
        </w:rPr>
      </w:pPr>
      <w:r w:rsidRPr="00275BA0">
        <w:rPr>
          <w:noProof/>
          <w:sz w:val="22"/>
        </w:rPr>
        <w:t xml:space="preserve">V okviru vsakega specifičnega cilja bi morale biti informacije o napredku po možnosti strukturirane po izvedbenih ukrepih, okvirnih ukrepih in želenih rezultatih, opredeljenih v programu. </w:t>
      </w:r>
    </w:p>
    <w:p w:rsidR="006A41E2" w:rsidRPr="00275BA0" w:rsidRDefault="001F7F00" w:rsidP="006A41E2">
      <w:pPr>
        <w:rPr>
          <w:noProof/>
          <w:sz w:val="22"/>
        </w:rPr>
      </w:pPr>
      <w:r w:rsidRPr="00275BA0">
        <w:rPr>
          <w:noProof/>
          <w:sz w:val="22"/>
        </w:rPr>
        <w:t xml:space="preserve">Opišite tudi vse sprejete ukrepe in zadevne dejavnosti v zvezi z izvajanjem partnerstva v skladu s členom 8(2) Uredbe (EU) 2021/1060. </w:t>
      </w:r>
    </w:p>
    <w:tbl>
      <w:tblPr>
        <w:tblStyle w:val="Tabelamrea"/>
        <w:tblW w:w="0" w:type="auto"/>
        <w:tblLook w:val="04A0" w:firstRow="1" w:lastRow="0" w:firstColumn="1" w:lastColumn="0" w:noHBand="0" w:noVBand="1"/>
        <w:tblCaption w:val="Poudarjeno besedilo, stran 1"/>
        <w:tblDescription w:val="Program Sklada za notranjo varnost (v nadaljnjem besedilu: program SNV) je bil potrjen šele 24. novembra 2022, zato je Slovenija v obračunskem obdobju poročanja, tj. od 1.7.2022 do 30.6.2023, šele pričela z izvajanjem aktivnosti v zvezi s programom SNV in ne moremo poročati o napredku pri izvajanju načrtovanih aktivnosti znotraj posameznih specifičnih ciljev.&#10;&#10;V tem obdobju je organ upravljanja (v nadaljenem besedilu: OU) vzpostavil informacijski sistem MIGRA III, preko katerega poteka izmenjava informacij med OU in upravičenci, t.j. oddaja prijav operacij, poročanje o izvajanju operacij (z zahtevki za povračilo) ter vzpostavil sistem upravljanja in nadzora, kar je omogočilo oddajo prvih prijav operacij. &#10;&#10;V tem obdobju je OU, z odločitvijo o podpori, potrdil začetek izvajanja 13 operacij iz programa SNV (neposredna dodelitev), vendar v obdobju poročanja, s strani upravičencev, še ni prejel zahtevkov za povračilo.&#10;"/>
      </w:tblPr>
      <w:tblGrid>
        <w:gridCol w:w="9063"/>
      </w:tblGrid>
      <w:tr w:rsidR="006A41E2" w:rsidRPr="00275BA0" w:rsidTr="0033686D">
        <w:trPr>
          <w:tblHeader/>
        </w:trPr>
        <w:tc>
          <w:tcPr>
            <w:tcW w:w="9289" w:type="dxa"/>
          </w:tcPr>
          <w:p w:rsidR="006A41E2" w:rsidRPr="00FD3C01" w:rsidRDefault="002F6FFF" w:rsidP="00DC1E6A">
            <w:pPr>
              <w:pStyle w:val="Personnequisigne"/>
              <w:jc w:val="both"/>
              <w:rPr>
                <w:i w:val="0"/>
                <w:noProof/>
                <w:sz w:val="22"/>
              </w:rPr>
            </w:pPr>
            <w:r w:rsidRPr="00FD3C01">
              <w:rPr>
                <w:i w:val="0"/>
                <w:noProof/>
                <w:sz w:val="22"/>
              </w:rPr>
              <w:t>Program Sklada za notranjo varnost (v nadaljnjem besedilu: program SNV) je bil potrjen šele 24.</w:t>
            </w:r>
            <w:r w:rsidR="00DC1E6A" w:rsidRPr="00FD3C01">
              <w:rPr>
                <w:i w:val="0"/>
                <w:noProof/>
                <w:sz w:val="22"/>
              </w:rPr>
              <w:t> </w:t>
            </w:r>
            <w:r w:rsidRPr="00FD3C01">
              <w:rPr>
                <w:i w:val="0"/>
                <w:noProof/>
                <w:sz w:val="22"/>
              </w:rPr>
              <w:t xml:space="preserve">novembra 2022, zato </w:t>
            </w:r>
            <w:r w:rsidR="00FD3C01" w:rsidRPr="00FD3C01">
              <w:rPr>
                <w:i w:val="0"/>
                <w:noProof/>
                <w:sz w:val="22"/>
              </w:rPr>
              <w:t xml:space="preserve">je </w:t>
            </w:r>
            <w:r w:rsidRPr="00FD3C01">
              <w:rPr>
                <w:i w:val="0"/>
                <w:noProof/>
                <w:sz w:val="22"/>
              </w:rPr>
              <w:t xml:space="preserve">Slovenija v obračunskem obdobju poročanja, tj. od </w:t>
            </w:r>
            <w:r w:rsidR="00FD3C01" w:rsidRPr="00FD3C01">
              <w:rPr>
                <w:i w:val="0"/>
                <w:noProof/>
                <w:sz w:val="22"/>
              </w:rPr>
              <w:t>1.7.2022 do 30.6.2023</w:t>
            </w:r>
            <w:r w:rsidRPr="00FD3C01">
              <w:rPr>
                <w:i w:val="0"/>
                <w:noProof/>
                <w:sz w:val="22"/>
              </w:rPr>
              <w:t>, še</w:t>
            </w:r>
            <w:r w:rsidR="00FD3C01" w:rsidRPr="00FD3C01">
              <w:rPr>
                <w:i w:val="0"/>
                <w:noProof/>
                <w:sz w:val="22"/>
              </w:rPr>
              <w:t>le</w:t>
            </w:r>
            <w:r w:rsidRPr="00FD3C01">
              <w:rPr>
                <w:i w:val="0"/>
                <w:noProof/>
                <w:sz w:val="22"/>
              </w:rPr>
              <w:t xml:space="preserve"> pričela z izvajanjem aktivnosti v zvezi s programom SNV in ne moremo poročati o napredku pri izvajanju načrtovanih aktivnosti znotraj posameznih specifičnih ciljev.</w:t>
            </w:r>
          </w:p>
          <w:p w:rsidR="00FD3C01" w:rsidRPr="00FD3C01" w:rsidRDefault="00FD3C01" w:rsidP="00FD3C01">
            <w:pPr>
              <w:pStyle w:val="Personnequisigne"/>
              <w:jc w:val="both"/>
              <w:rPr>
                <w:i w:val="0"/>
                <w:noProof/>
                <w:sz w:val="22"/>
              </w:rPr>
            </w:pPr>
          </w:p>
          <w:p w:rsidR="00FD3C01" w:rsidRPr="00FD3C01" w:rsidRDefault="00FD3C01" w:rsidP="00FD3C01">
            <w:pPr>
              <w:pStyle w:val="Personnequisigne"/>
              <w:jc w:val="both"/>
              <w:rPr>
                <w:i w:val="0"/>
                <w:noProof/>
                <w:sz w:val="22"/>
              </w:rPr>
            </w:pPr>
            <w:r w:rsidRPr="00FD3C01">
              <w:rPr>
                <w:i w:val="0"/>
                <w:noProof/>
                <w:sz w:val="22"/>
              </w:rPr>
              <w:t>V tem obdobju je organ upravljanja (v nadaljenem besedilu: OU) vzpostavil informacijski sistem MIGRA III</w:t>
            </w:r>
            <w:r w:rsidR="00E47AD1">
              <w:rPr>
                <w:i w:val="0"/>
                <w:noProof/>
                <w:sz w:val="22"/>
              </w:rPr>
              <w:t>,</w:t>
            </w:r>
            <w:r w:rsidRPr="00FD3C01">
              <w:rPr>
                <w:i w:val="0"/>
                <w:noProof/>
                <w:sz w:val="22"/>
              </w:rPr>
              <w:t xml:space="preserve"> preko katerega poteka izmenjava informacij med OU in upravič</w:t>
            </w:r>
            <w:r w:rsidR="006D1A9C">
              <w:rPr>
                <w:i w:val="0"/>
                <w:noProof/>
                <w:sz w:val="22"/>
              </w:rPr>
              <w:t>enci, t.j. oddaja prijav operaci</w:t>
            </w:r>
            <w:r w:rsidRPr="00FD3C01">
              <w:rPr>
                <w:i w:val="0"/>
                <w:noProof/>
                <w:sz w:val="22"/>
              </w:rPr>
              <w:t xml:space="preserve">j, poročanje o izvajanju operacij (z zahtevki za povračilo) ter vzpostavil sistem upravljanja in nadzora, kar je omogočilo oddajo prvih prijav operacij. </w:t>
            </w:r>
          </w:p>
          <w:p w:rsidR="00FD3C01" w:rsidRPr="00FD3C01" w:rsidRDefault="00FD3C01" w:rsidP="00FD3C01">
            <w:pPr>
              <w:pStyle w:val="Personnequisigne"/>
              <w:jc w:val="both"/>
              <w:rPr>
                <w:i w:val="0"/>
                <w:noProof/>
                <w:sz w:val="22"/>
              </w:rPr>
            </w:pPr>
          </w:p>
          <w:p w:rsidR="00FD3C01" w:rsidRPr="00FD3C01" w:rsidRDefault="00FD3C01" w:rsidP="002F2E39">
            <w:pPr>
              <w:pStyle w:val="Personnequisigne"/>
              <w:jc w:val="both"/>
              <w:rPr>
                <w:i w:val="0"/>
                <w:noProof/>
                <w:sz w:val="22"/>
              </w:rPr>
            </w:pPr>
            <w:r w:rsidRPr="00FD3C01">
              <w:rPr>
                <w:i w:val="0"/>
                <w:noProof/>
                <w:sz w:val="22"/>
              </w:rPr>
              <w:t>V tem obdobju je OU</w:t>
            </w:r>
            <w:r w:rsidR="008D3A5B">
              <w:rPr>
                <w:i w:val="0"/>
                <w:noProof/>
                <w:sz w:val="22"/>
              </w:rPr>
              <w:t>,</w:t>
            </w:r>
            <w:r w:rsidRPr="00FD3C01">
              <w:rPr>
                <w:i w:val="0"/>
                <w:noProof/>
                <w:sz w:val="22"/>
              </w:rPr>
              <w:t xml:space="preserve"> z odločitvijo o podpori</w:t>
            </w:r>
            <w:r w:rsidR="008D3A5B">
              <w:rPr>
                <w:i w:val="0"/>
                <w:noProof/>
                <w:sz w:val="22"/>
              </w:rPr>
              <w:t>,</w:t>
            </w:r>
            <w:r w:rsidRPr="00FD3C01">
              <w:rPr>
                <w:i w:val="0"/>
                <w:noProof/>
                <w:sz w:val="22"/>
              </w:rPr>
              <w:t xml:space="preserve"> potrdil začetek izvajanja 13 operacij iz programa SNV (neposredna dodelitev)</w:t>
            </w:r>
            <w:r w:rsidR="008D3A5B">
              <w:rPr>
                <w:i w:val="0"/>
                <w:noProof/>
                <w:sz w:val="22"/>
              </w:rPr>
              <w:t xml:space="preserve">, </w:t>
            </w:r>
            <w:r w:rsidR="002F2E39">
              <w:rPr>
                <w:i w:val="0"/>
                <w:noProof/>
                <w:sz w:val="22"/>
              </w:rPr>
              <w:t>vendar v</w:t>
            </w:r>
            <w:r w:rsidR="002F2E39" w:rsidRPr="00FD3C01">
              <w:rPr>
                <w:i w:val="0"/>
                <w:sz w:val="22"/>
              </w:rPr>
              <w:t xml:space="preserve"> </w:t>
            </w:r>
            <w:r w:rsidR="002F2E39">
              <w:rPr>
                <w:i w:val="0"/>
                <w:sz w:val="22"/>
              </w:rPr>
              <w:t>obdobju poročanja</w:t>
            </w:r>
            <w:r w:rsidR="002F2E39" w:rsidRPr="00FD3C01">
              <w:rPr>
                <w:i w:val="0"/>
                <w:sz w:val="22"/>
              </w:rPr>
              <w:t>, s strani upravičencev, še ni prejel zahtevkov za povračilo.</w:t>
            </w:r>
          </w:p>
        </w:tc>
      </w:tr>
    </w:tbl>
    <w:p w:rsidR="006A41E2" w:rsidRPr="00275BA0" w:rsidRDefault="00C30ACF" w:rsidP="00C30ACF">
      <w:pPr>
        <w:pStyle w:val="ManualHeading2"/>
        <w:rPr>
          <w:noProof/>
        </w:rPr>
      </w:pPr>
      <w:r w:rsidRPr="00275BA0">
        <w:lastRenderedPageBreak/>
        <w:t>1.2.</w:t>
      </w:r>
      <w:r w:rsidRPr="00275BA0">
        <w:tab/>
      </w:r>
      <w:r w:rsidR="006A41E2" w:rsidRPr="00275BA0">
        <w:rPr>
          <w:noProof/>
        </w:rPr>
        <w:t>Vprašanja, ki vplivajo na smotrnost – člen 30(2), točka (b), Uredbe (EU) 2021/1149</w:t>
      </w:r>
    </w:p>
    <w:p w:rsidR="006A41E2" w:rsidRPr="00275BA0" w:rsidRDefault="006A41E2" w:rsidP="006A41E2">
      <w:pPr>
        <w:rPr>
          <w:noProof/>
          <w:sz w:val="22"/>
        </w:rPr>
      </w:pPr>
      <w:r w:rsidRPr="00275BA0">
        <w:rPr>
          <w:noProof/>
          <w:sz w:val="22"/>
        </w:rPr>
        <w:t xml:space="preserve">Za vsak specifični cilj opišite morebitna vprašanja, ki vplivajo na smotrnost programa med obračunskim letom, in morebitne ukrepe, sprejete za njihovo obravnavo. </w:t>
      </w:r>
    </w:p>
    <w:p w:rsidR="006A41E2" w:rsidRPr="00275BA0" w:rsidRDefault="006A41E2" w:rsidP="006A41E2">
      <w:pPr>
        <w:rPr>
          <w:noProof/>
          <w:sz w:val="22"/>
        </w:rPr>
      </w:pPr>
      <w:r w:rsidRPr="00275BA0">
        <w:rPr>
          <w:noProof/>
          <w:sz w:val="22"/>
        </w:rPr>
        <w:t>Kadar koli je to mogoče in ustrezno, razlikujte med vprašanji, povezanimi z:</w:t>
      </w:r>
    </w:p>
    <w:p w:rsidR="006A41E2" w:rsidRPr="00275BA0" w:rsidRDefault="006A41E2" w:rsidP="00912E10">
      <w:pPr>
        <w:pStyle w:val="Tiret0"/>
        <w:numPr>
          <w:ilvl w:val="0"/>
          <w:numId w:val="11"/>
        </w:numPr>
        <w:rPr>
          <w:noProof/>
          <w:sz w:val="22"/>
        </w:rPr>
      </w:pPr>
      <w:r w:rsidRPr="00275BA0">
        <w:rPr>
          <w:noProof/>
          <w:sz w:val="22"/>
        </w:rPr>
        <w:t>nezadostnim poročanjem o dosežkih</w:t>
      </w:r>
      <w:r w:rsidRPr="00275BA0">
        <w:rPr>
          <w:rStyle w:val="Sprotnaopomba-sklic"/>
          <w:noProof/>
          <w:sz w:val="22"/>
        </w:rPr>
        <w:footnoteReference w:id="2"/>
      </w:r>
      <w:r w:rsidR="00E9035B" w:rsidRPr="00275BA0">
        <w:rPr>
          <w:noProof/>
        </w:rPr>
        <w:t>,</w:t>
      </w:r>
      <w:r w:rsidRPr="00275BA0">
        <w:rPr>
          <w:noProof/>
          <w:sz w:val="22"/>
        </w:rPr>
        <w:t xml:space="preserve"> </w:t>
      </w:r>
    </w:p>
    <w:p w:rsidR="006A41E2" w:rsidRPr="00275BA0" w:rsidRDefault="006A41E2" w:rsidP="00912E10">
      <w:pPr>
        <w:pStyle w:val="Tiret0"/>
        <w:numPr>
          <w:ilvl w:val="0"/>
          <w:numId w:val="11"/>
        </w:numPr>
        <w:rPr>
          <w:noProof/>
          <w:sz w:val="22"/>
        </w:rPr>
      </w:pPr>
      <w:r w:rsidRPr="00275BA0">
        <w:rPr>
          <w:noProof/>
          <w:sz w:val="22"/>
        </w:rPr>
        <w:t>določanjem ciljev</w:t>
      </w:r>
      <w:r w:rsidRPr="00275BA0">
        <w:rPr>
          <w:rStyle w:val="Sprotnaopomba-sklic"/>
          <w:noProof/>
          <w:sz w:val="22"/>
        </w:rPr>
        <w:footnoteReference w:id="3"/>
      </w:r>
      <w:r w:rsidR="00E9035B" w:rsidRPr="00275BA0">
        <w:rPr>
          <w:noProof/>
        </w:rPr>
        <w:t>,</w:t>
      </w:r>
      <w:r w:rsidRPr="00275BA0">
        <w:rPr>
          <w:noProof/>
          <w:sz w:val="22"/>
        </w:rPr>
        <w:t xml:space="preserve"> </w:t>
      </w:r>
    </w:p>
    <w:p w:rsidR="006A41E2" w:rsidRPr="00275BA0" w:rsidRDefault="006A41E2" w:rsidP="00912E10">
      <w:pPr>
        <w:pStyle w:val="Tiret0"/>
        <w:numPr>
          <w:ilvl w:val="0"/>
          <w:numId w:val="11"/>
        </w:numPr>
        <w:rPr>
          <w:noProof/>
          <w:sz w:val="22"/>
        </w:rPr>
      </w:pPr>
      <w:r w:rsidRPr="00275BA0">
        <w:rPr>
          <w:noProof/>
          <w:sz w:val="22"/>
        </w:rPr>
        <w:t>postopkovnimi zamudami in upravnimi zmogljivostmi</w:t>
      </w:r>
      <w:r w:rsidRPr="00275BA0">
        <w:rPr>
          <w:rStyle w:val="Sprotnaopomba-sklic"/>
          <w:noProof/>
          <w:sz w:val="22"/>
        </w:rPr>
        <w:footnoteReference w:id="4"/>
      </w:r>
      <w:r w:rsidR="00E9035B" w:rsidRPr="00275BA0">
        <w:rPr>
          <w:noProof/>
        </w:rPr>
        <w:t>,</w:t>
      </w:r>
      <w:r w:rsidRPr="00275BA0">
        <w:rPr>
          <w:noProof/>
          <w:sz w:val="22"/>
        </w:rPr>
        <w:t xml:space="preserve"> </w:t>
      </w:r>
    </w:p>
    <w:p w:rsidR="006A41E2" w:rsidRPr="00275BA0" w:rsidRDefault="006A41E2" w:rsidP="00912E10">
      <w:pPr>
        <w:pStyle w:val="Tiret0"/>
        <w:numPr>
          <w:ilvl w:val="0"/>
          <w:numId w:val="11"/>
        </w:numPr>
        <w:rPr>
          <w:noProof/>
          <w:sz w:val="22"/>
        </w:rPr>
      </w:pPr>
      <w:r w:rsidRPr="00275BA0">
        <w:rPr>
          <w:noProof/>
          <w:sz w:val="22"/>
        </w:rPr>
        <w:t>kontekstualnimi spremembami</w:t>
      </w:r>
      <w:r w:rsidRPr="00275BA0">
        <w:rPr>
          <w:rStyle w:val="Sprotnaopomba-sklic"/>
          <w:noProof/>
          <w:sz w:val="22"/>
        </w:rPr>
        <w:footnoteReference w:id="5"/>
      </w:r>
      <w:r w:rsidR="00E9035B" w:rsidRPr="00275BA0">
        <w:rPr>
          <w:noProof/>
        </w:rPr>
        <w:t>,</w:t>
      </w:r>
    </w:p>
    <w:p w:rsidR="006A41E2" w:rsidRPr="00275BA0" w:rsidRDefault="006A41E2" w:rsidP="00912E10">
      <w:pPr>
        <w:pStyle w:val="Tiret0"/>
        <w:numPr>
          <w:ilvl w:val="0"/>
          <w:numId w:val="11"/>
        </w:numPr>
        <w:rPr>
          <w:noProof/>
          <w:sz w:val="22"/>
        </w:rPr>
      </w:pPr>
      <w:r w:rsidRPr="00275BA0">
        <w:rPr>
          <w:noProof/>
          <w:sz w:val="22"/>
        </w:rPr>
        <w:t>zasnovo in/ali izvajanjem operacij</w:t>
      </w:r>
      <w:r w:rsidRPr="00275BA0">
        <w:rPr>
          <w:rStyle w:val="Sprotnaopomba-sklic"/>
          <w:noProof/>
          <w:sz w:val="22"/>
        </w:rPr>
        <w:footnoteReference w:id="6"/>
      </w:r>
      <w:r w:rsidRPr="00275BA0">
        <w:rPr>
          <w:noProof/>
          <w:sz w:val="22"/>
        </w:rPr>
        <w:t xml:space="preserve"> ter</w:t>
      </w:r>
    </w:p>
    <w:p w:rsidR="006A41E2" w:rsidRPr="00275BA0" w:rsidRDefault="006A41E2" w:rsidP="00912E10">
      <w:pPr>
        <w:pStyle w:val="Tiret0"/>
        <w:numPr>
          <w:ilvl w:val="0"/>
          <w:numId w:val="11"/>
        </w:numPr>
        <w:rPr>
          <w:noProof/>
          <w:sz w:val="22"/>
        </w:rPr>
      </w:pPr>
      <w:r w:rsidRPr="00275BA0">
        <w:rPr>
          <w:noProof/>
          <w:sz w:val="22"/>
        </w:rPr>
        <w:t xml:space="preserve">katero koli drugo zadevo. </w:t>
      </w:r>
    </w:p>
    <w:p w:rsidR="000E45B7" w:rsidRPr="00275BA0" w:rsidRDefault="000E45B7" w:rsidP="006D7F5F">
      <w:pPr>
        <w:rPr>
          <w:i/>
          <w:noProof/>
          <w:sz w:val="22"/>
        </w:rPr>
      </w:pPr>
      <w:r w:rsidRPr="00275BA0">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rsidR="006A41E2" w:rsidRPr="00275BA0" w:rsidRDefault="0060652B" w:rsidP="006A41E2">
      <w:pPr>
        <w:rPr>
          <w:noProof/>
          <w:sz w:val="22"/>
        </w:rPr>
      </w:pPr>
      <w:r w:rsidRPr="00275BA0">
        <w:rPr>
          <w:noProof/>
          <w:sz w:val="22"/>
        </w:rPr>
        <w:t>Vključite informacije o vseh obrazloženih mnenjih Komisije v zvezi s postopki za ugotavljanje kršitev na podlagi člena 258 Pogodbe o delovanju Evropske unije (PDEU), ki so povezana z izvajanjem Sklada.</w:t>
      </w:r>
    </w:p>
    <w:tbl>
      <w:tblPr>
        <w:tblStyle w:val="Tabelamrea"/>
        <w:tblW w:w="0" w:type="auto"/>
        <w:tblLook w:val="04A0" w:firstRow="1" w:lastRow="0" w:firstColumn="1" w:lastColumn="0" w:noHBand="0" w:noVBand="1"/>
        <w:tblCaption w:val="Poudarjeno besedilo, stran 2"/>
        <w:tblDescription w:val="Slovenija je v obračunskem obdobju poročanja šele pričela z izvajanjem aktivnosti v zvezi s programom SNV, zato ne moremo poročati o morebitnih vprašanjih, ki vplivajo na smotrnost programa, spremembah strategije ali nacionalnih ciljev ali dejavnikov, ki bi privedli do sprememb, ter povezanih prilagoditev, ki bi jih navedene spremembe povzročile v ciljih, ocenjenih v skladu z metodologijo za vzpostavitev okvira smotrnosti.&#10;&#10;OU ne razpolaga z informacijami v zvezi s postopki za ugotavljanje kršitev na podlagi 258. člena Pogodbe o delovanju Evropske unije (PDEU), v povezavi z izvajanjem programa SNV.&#10;"/>
      </w:tblPr>
      <w:tblGrid>
        <w:gridCol w:w="9063"/>
      </w:tblGrid>
      <w:tr w:rsidR="006A41E2" w:rsidRPr="00275BA0" w:rsidTr="009F694C">
        <w:trPr>
          <w:tblHeader/>
        </w:trPr>
        <w:tc>
          <w:tcPr>
            <w:tcW w:w="9289" w:type="dxa"/>
          </w:tcPr>
          <w:p w:rsidR="008116E1" w:rsidRDefault="008116E1" w:rsidP="008116E1">
            <w:pPr>
              <w:pStyle w:val="Personnequisigne"/>
              <w:jc w:val="both"/>
              <w:rPr>
                <w:i w:val="0"/>
                <w:noProof/>
                <w:sz w:val="22"/>
              </w:rPr>
            </w:pPr>
            <w:r w:rsidRPr="001A685B">
              <w:rPr>
                <w:i w:val="0"/>
                <w:noProof/>
                <w:sz w:val="22"/>
              </w:rPr>
              <w:t xml:space="preserve">Slovenija </w:t>
            </w:r>
            <w:r w:rsidR="008D3A5B">
              <w:rPr>
                <w:i w:val="0"/>
                <w:noProof/>
                <w:sz w:val="22"/>
              </w:rPr>
              <w:t xml:space="preserve">je </w:t>
            </w:r>
            <w:r w:rsidRPr="001A685B">
              <w:rPr>
                <w:i w:val="0"/>
                <w:noProof/>
                <w:sz w:val="22"/>
              </w:rPr>
              <w:t>v obračunskem obdobju poročanja še</w:t>
            </w:r>
            <w:r>
              <w:rPr>
                <w:i w:val="0"/>
                <w:noProof/>
                <w:sz w:val="22"/>
              </w:rPr>
              <w:t>le</w:t>
            </w:r>
            <w:r w:rsidRPr="001A685B">
              <w:rPr>
                <w:i w:val="0"/>
                <w:noProof/>
                <w:sz w:val="22"/>
              </w:rPr>
              <w:t xml:space="preserve"> pričela z izvajanjem aktivnosti v zvezi s programom </w:t>
            </w:r>
            <w:r>
              <w:rPr>
                <w:i w:val="0"/>
                <w:noProof/>
                <w:sz w:val="22"/>
              </w:rPr>
              <w:t>SNV</w:t>
            </w:r>
            <w:r w:rsidRPr="001A685B">
              <w:rPr>
                <w:i w:val="0"/>
                <w:noProof/>
                <w:sz w:val="22"/>
              </w:rPr>
              <w:t>, zato ne moremo poročati o morebitnih vprašanjih, ki vplivajo na smotrnost programa, spremembah strategije ali nacionalnih ciljev ali dejavnikov, ki bi privedli do sprememb, ter povezanih prilagoditev, ki bi jih navedene spremembe povzročile v ciljih, ocenjenih v skladu z metodologijo za vzpostavitev okvira smotrnosti.</w:t>
            </w:r>
          </w:p>
          <w:p w:rsidR="008D3A5B" w:rsidRDefault="008D3A5B" w:rsidP="008116E1">
            <w:pPr>
              <w:pStyle w:val="Personnequisigne"/>
              <w:jc w:val="both"/>
              <w:rPr>
                <w:i w:val="0"/>
                <w:sz w:val="22"/>
              </w:rPr>
            </w:pPr>
          </w:p>
          <w:p w:rsidR="008116E1" w:rsidRPr="008116E1" w:rsidRDefault="008116E1" w:rsidP="00E47AD1">
            <w:pPr>
              <w:pStyle w:val="Personnequisigne"/>
              <w:jc w:val="both"/>
              <w:rPr>
                <w:i w:val="0"/>
                <w:noProof/>
                <w:sz w:val="22"/>
              </w:rPr>
            </w:pPr>
            <w:r w:rsidRPr="008116E1">
              <w:rPr>
                <w:i w:val="0"/>
                <w:sz w:val="22"/>
              </w:rPr>
              <w:t xml:space="preserve">OU ne razpolaga z informacijami </w:t>
            </w:r>
            <w:r w:rsidRPr="008116E1">
              <w:rPr>
                <w:i w:val="0"/>
                <w:noProof/>
                <w:sz w:val="22"/>
              </w:rPr>
              <w:t xml:space="preserve">v zvezi s postopki za ugotavljanje kršitev na podlagi 258. člena Pogodbe o delovanju Evropske unije (PDEU), v povezavi z izvajanjem programa </w:t>
            </w:r>
            <w:r w:rsidR="00E47AD1">
              <w:rPr>
                <w:i w:val="0"/>
                <w:noProof/>
                <w:sz w:val="22"/>
              </w:rPr>
              <w:t>SNV</w:t>
            </w:r>
            <w:r w:rsidRPr="008116E1">
              <w:rPr>
                <w:i w:val="0"/>
                <w:noProof/>
                <w:sz w:val="22"/>
              </w:rPr>
              <w:t>.</w:t>
            </w:r>
          </w:p>
        </w:tc>
      </w:tr>
    </w:tbl>
    <w:p w:rsidR="006A41E2" w:rsidRPr="00275BA0" w:rsidRDefault="00C30ACF" w:rsidP="00C30ACF">
      <w:pPr>
        <w:pStyle w:val="ManualHeading2"/>
        <w:rPr>
          <w:noProof/>
        </w:rPr>
      </w:pPr>
      <w:r w:rsidRPr="00275BA0">
        <w:t>1.3.</w:t>
      </w:r>
      <w:r w:rsidRPr="00275BA0">
        <w:tab/>
      </w:r>
      <w:r w:rsidR="006A41E2" w:rsidRPr="00275BA0">
        <w:rPr>
          <w:noProof/>
        </w:rPr>
        <w:t>Posebni blažilni ukrepi</w:t>
      </w:r>
    </w:p>
    <w:p w:rsidR="006A41E2" w:rsidRPr="00275BA0" w:rsidRDefault="006A41E2" w:rsidP="006A41E2">
      <w:pPr>
        <w:rPr>
          <w:noProof/>
          <w:sz w:val="22"/>
        </w:rPr>
      </w:pPr>
      <w:r w:rsidRPr="00275BA0">
        <w:rPr>
          <w:b/>
          <w:noProof/>
          <w:sz w:val="22"/>
        </w:rPr>
        <w:t>Če je ustrezno</w:t>
      </w:r>
      <w:r w:rsidRPr="00275BA0">
        <w:rPr>
          <w:noProof/>
          <w:sz w:val="22"/>
        </w:rPr>
        <w:t xml:space="preserve">, na kratko opišite, kako so dejavnosti programa prispevale k ublažitvi učinkov vseh relevantnih in nenadnih kontekstualnih sprememb, ki so povzročile nepredvidene varnostne grožnje. Kadar koli je mogoče, navedite obseg sredstev, prerazporejenih v ta namen, ter s tem povezane dosežene učinke in rezultate. </w:t>
      </w:r>
    </w:p>
    <w:p w:rsidR="006A41E2" w:rsidRPr="00275BA0" w:rsidRDefault="000E45B7" w:rsidP="006A41E2">
      <w:pPr>
        <w:rPr>
          <w:noProof/>
          <w:sz w:val="22"/>
        </w:rPr>
      </w:pPr>
      <w:r w:rsidRPr="00275BA0">
        <w:rPr>
          <w:noProof/>
          <w:sz w:val="22"/>
        </w:rPr>
        <w:t>Posebno pozornost namenite dejavnostim, ki se izvajajo za ublažitev nepredvidenih varnostnih groženj in katerih dosežki morda ne bodo v celoti zajeti s skupnimi kazalniki učinka in rezultatov.</w:t>
      </w:r>
    </w:p>
    <w:tbl>
      <w:tblPr>
        <w:tblStyle w:val="Tabelamrea"/>
        <w:tblW w:w="0" w:type="auto"/>
        <w:tblLook w:val="04A0" w:firstRow="1" w:lastRow="0" w:firstColumn="1" w:lastColumn="0" w:noHBand="0" w:noVBand="1"/>
        <w:tblCaption w:val="Poudarjeno besedilo, stran 2"/>
        <w:tblDescription w:val="Slovenija je v obračunskem obdobju poročanja šele pričela z izvajanjem aktivnosti v zvezi s programom SNV, zato ne moremo poročati, kako so aktivnosti programa prispevale k ublažitvi učinkov vseh relevantnih in nenadnih kontekstualnih sprememb, ki bi povzročile nepredvidene varnostne grožnje. V ta namen niso bila prerazporejena sredstva.  "/>
      </w:tblPr>
      <w:tblGrid>
        <w:gridCol w:w="9063"/>
      </w:tblGrid>
      <w:tr w:rsidR="006A41E2" w:rsidRPr="00275BA0" w:rsidTr="009F694C">
        <w:trPr>
          <w:tblHeader/>
        </w:trPr>
        <w:tc>
          <w:tcPr>
            <w:tcW w:w="9289" w:type="dxa"/>
          </w:tcPr>
          <w:p w:rsidR="006A41E2" w:rsidRPr="00275BA0" w:rsidRDefault="007A5907" w:rsidP="00431B4C">
            <w:pPr>
              <w:pStyle w:val="Personnequisigne"/>
              <w:jc w:val="both"/>
              <w:rPr>
                <w:i w:val="0"/>
                <w:noProof/>
                <w:sz w:val="22"/>
              </w:rPr>
            </w:pPr>
            <w:r w:rsidRPr="00275BA0">
              <w:rPr>
                <w:i w:val="0"/>
                <w:noProof/>
                <w:sz w:val="22"/>
              </w:rPr>
              <w:t xml:space="preserve">Slovenija </w:t>
            </w:r>
            <w:r w:rsidR="008116E1">
              <w:rPr>
                <w:i w:val="0"/>
                <w:noProof/>
                <w:sz w:val="22"/>
              </w:rPr>
              <w:t xml:space="preserve">je </w:t>
            </w:r>
            <w:r w:rsidRPr="00275BA0">
              <w:rPr>
                <w:i w:val="0"/>
                <w:noProof/>
                <w:sz w:val="22"/>
              </w:rPr>
              <w:t>v obračunskem obdobju poročanja še</w:t>
            </w:r>
            <w:r w:rsidR="008116E1">
              <w:rPr>
                <w:i w:val="0"/>
                <w:noProof/>
                <w:sz w:val="22"/>
              </w:rPr>
              <w:t>le pričela z izvajanjem aktivnosti</w:t>
            </w:r>
            <w:r w:rsidR="008116E1" w:rsidRPr="00275BA0">
              <w:rPr>
                <w:i w:val="0"/>
                <w:noProof/>
                <w:sz w:val="22"/>
              </w:rPr>
              <w:t xml:space="preserve"> v zvezi s programom SNV,</w:t>
            </w:r>
            <w:r w:rsidR="008116E1">
              <w:rPr>
                <w:i w:val="0"/>
                <w:noProof/>
                <w:sz w:val="22"/>
              </w:rPr>
              <w:t xml:space="preserve"> zato </w:t>
            </w:r>
            <w:r w:rsidRPr="00275BA0">
              <w:rPr>
                <w:i w:val="0"/>
                <w:noProof/>
                <w:sz w:val="22"/>
              </w:rPr>
              <w:t>ne moremo poročati</w:t>
            </w:r>
            <w:r w:rsidR="00DC1E6A" w:rsidRPr="00275BA0">
              <w:rPr>
                <w:i w:val="0"/>
                <w:noProof/>
                <w:sz w:val="22"/>
              </w:rPr>
              <w:t>,</w:t>
            </w:r>
            <w:r w:rsidRPr="00275BA0">
              <w:rPr>
                <w:i w:val="0"/>
                <w:noProof/>
                <w:sz w:val="22"/>
              </w:rPr>
              <w:t xml:space="preserve"> kako so aktivnosti programa prispevale k ublažitvi </w:t>
            </w:r>
            <w:r w:rsidRPr="00275BA0">
              <w:rPr>
                <w:i w:val="0"/>
                <w:noProof/>
                <w:sz w:val="22"/>
              </w:rPr>
              <w:lastRenderedPageBreak/>
              <w:t>učinkov vseh relevantnih in nenadnih kontekstualnih sprememb, ki bi povzročile nepredvidene varnostne grožnje.</w:t>
            </w:r>
            <w:r w:rsidR="00431B4C">
              <w:rPr>
                <w:i w:val="0"/>
                <w:noProof/>
                <w:sz w:val="22"/>
              </w:rPr>
              <w:t xml:space="preserve"> </w:t>
            </w:r>
            <w:r w:rsidR="00431B4C" w:rsidRPr="00431B4C">
              <w:rPr>
                <w:i w:val="0"/>
                <w:noProof/>
                <w:sz w:val="22"/>
              </w:rPr>
              <w:t xml:space="preserve">V ta namen niso bila prerazporejena sredstva.  </w:t>
            </w:r>
          </w:p>
        </w:tc>
      </w:tr>
    </w:tbl>
    <w:p w:rsidR="006A41E2" w:rsidRPr="00275BA0" w:rsidRDefault="00C30ACF" w:rsidP="00C30ACF">
      <w:pPr>
        <w:pStyle w:val="ManualHeading2"/>
        <w:rPr>
          <w:noProof/>
        </w:rPr>
      </w:pPr>
      <w:r w:rsidRPr="00275BA0">
        <w:lastRenderedPageBreak/>
        <w:t>1.4.</w:t>
      </w:r>
      <w:r w:rsidRPr="00275BA0">
        <w:tab/>
      </w:r>
      <w:r w:rsidR="006A41E2" w:rsidRPr="00275BA0">
        <w:rPr>
          <w:noProof/>
        </w:rPr>
        <w:t>Operativna podpora – člen 16(3) Uredbe (EU) 2021/1149</w:t>
      </w:r>
    </w:p>
    <w:p w:rsidR="006A41E2" w:rsidRPr="00275BA0" w:rsidRDefault="00C62604" w:rsidP="006A41E2">
      <w:pPr>
        <w:rPr>
          <w:noProof/>
          <w:sz w:val="22"/>
        </w:rPr>
      </w:pPr>
      <w:r w:rsidRPr="00275BA0">
        <w:rPr>
          <w:noProof/>
          <w:sz w:val="22"/>
        </w:rPr>
        <w:t>Če je bila med obračunskim letom uporabljena operativna podpora, opišite, kako je prispevala k doseganju ciljev Sklada</w:t>
      </w:r>
      <w:r w:rsidRPr="00275BA0">
        <w:rPr>
          <w:rStyle w:val="Sprotnaopomba-sklic"/>
          <w:noProof/>
          <w:sz w:val="22"/>
        </w:rPr>
        <w:footnoteReference w:id="7"/>
      </w:r>
      <w:r w:rsidRPr="00275BA0">
        <w:rPr>
          <w:noProof/>
        </w:rPr>
        <w:t>.</w:t>
      </w:r>
      <w:r w:rsidRPr="00275BA0">
        <w:rPr>
          <w:noProof/>
          <w:sz w:val="22"/>
        </w:rPr>
        <w:t xml:space="preserve"> </w:t>
      </w:r>
    </w:p>
    <w:p w:rsidR="006A41E2" w:rsidRPr="00275BA0" w:rsidRDefault="003A30A1" w:rsidP="006A41E2">
      <w:pPr>
        <w:rPr>
          <w:noProof/>
          <w:sz w:val="22"/>
        </w:rPr>
      </w:pPr>
      <w:r w:rsidRPr="00275BA0">
        <w:rPr>
          <w:noProof/>
          <w:sz w:val="22"/>
        </w:rPr>
        <w:t>Če skupni kumulativni upravičeni stroški operativne podpore za operacije, izbrane za podporo, ob koncu obračunskega leta presegajo 20 % skupnih sredstev, dodeljenih programu, pojasnite razloge za to. Če obstaja tveganje, da bo prag do konca programskega obdobja presežen, opišite predvidene ukrepe za zmanjšanje tveganja.</w:t>
      </w:r>
    </w:p>
    <w:tbl>
      <w:tblPr>
        <w:tblStyle w:val="Tabelamrea"/>
        <w:tblW w:w="0" w:type="auto"/>
        <w:tblLook w:val="04A0" w:firstRow="1" w:lastRow="0" w:firstColumn="1" w:lastColumn="0" w:noHBand="0" w:noVBand="1"/>
        <w:tblCaption w:val="Poudarjeno besedilo, stran 3"/>
        <w:tblDescription w:val="Slovenija v obračunskem obdobju poročanja ni izvajala nobenih aktivnosti operativne podpore v zvezi s programom SNV."/>
      </w:tblPr>
      <w:tblGrid>
        <w:gridCol w:w="9063"/>
      </w:tblGrid>
      <w:tr w:rsidR="006A41E2" w:rsidRPr="00275BA0" w:rsidTr="009F694C">
        <w:trPr>
          <w:tblHeader/>
        </w:trPr>
        <w:tc>
          <w:tcPr>
            <w:tcW w:w="9289" w:type="dxa"/>
          </w:tcPr>
          <w:p w:rsidR="006A41E2" w:rsidRPr="008116E1" w:rsidRDefault="007A5907" w:rsidP="00431B4C">
            <w:pPr>
              <w:pStyle w:val="Personnequisigne"/>
              <w:jc w:val="both"/>
              <w:rPr>
                <w:i w:val="0"/>
                <w:noProof/>
                <w:sz w:val="22"/>
              </w:rPr>
            </w:pPr>
            <w:r w:rsidRPr="00275BA0">
              <w:rPr>
                <w:i w:val="0"/>
                <w:noProof/>
                <w:sz w:val="22"/>
              </w:rPr>
              <w:t xml:space="preserve">Slovenija v obračunskem obdobju poročanja ni izvajala nobenih aktivnosti </w:t>
            </w:r>
            <w:r w:rsidR="00431B4C" w:rsidRPr="00275BA0">
              <w:rPr>
                <w:i w:val="0"/>
                <w:noProof/>
                <w:sz w:val="22"/>
              </w:rPr>
              <w:t xml:space="preserve">operativne podpore </w:t>
            </w:r>
            <w:r w:rsidR="00431B4C">
              <w:rPr>
                <w:i w:val="0"/>
                <w:noProof/>
                <w:sz w:val="22"/>
              </w:rPr>
              <w:t>v zvezi s programom SNV.</w:t>
            </w:r>
          </w:p>
        </w:tc>
      </w:tr>
    </w:tbl>
    <w:p w:rsidR="006A41E2" w:rsidRPr="00275BA0" w:rsidRDefault="00C30ACF" w:rsidP="00C30ACF">
      <w:pPr>
        <w:pStyle w:val="ManualHeading2"/>
        <w:rPr>
          <w:noProof/>
        </w:rPr>
      </w:pPr>
      <w:r w:rsidRPr="00275BA0">
        <w:t>1.5.</w:t>
      </w:r>
      <w:r w:rsidRPr="00275BA0">
        <w:tab/>
      </w:r>
      <w:r w:rsidR="006A41E2" w:rsidRPr="00275BA0">
        <w:rPr>
          <w:noProof/>
        </w:rPr>
        <w:t>Posebni ukrepi</w:t>
      </w:r>
      <w:r w:rsidR="006A41E2" w:rsidRPr="00275BA0">
        <w:rPr>
          <w:rStyle w:val="Sprotnaopomba-sklic"/>
          <w:noProof/>
        </w:rPr>
        <w:footnoteReference w:id="8"/>
      </w:r>
      <w:r w:rsidR="006A41E2" w:rsidRPr="00275BA0">
        <w:rPr>
          <w:noProof/>
        </w:rPr>
        <w:t xml:space="preserve"> </w:t>
      </w:r>
    </w:p>
    <w:p w:rsidR="00EA1A2F" w:rsidRPr="00275BA0" w:rsidRDefault="00EA1A2F" w:rsidP="00EA1A2F">
      <w:pPr>
        <w:rPr>
          <w:noProof/>
          <w:sz w:val="22"/>
        </w:rPr>
      </w:pPr>
      <w:r w:rsidRPr="00275BA0">
        <w:rPr>
          <w:noProof/>
          <w:sz w:val="22"/>
        </w:rPr>
        <w:t>Opišite glavne dosežke vseh posebnih ukrepov, izvedenih med obračunskim letom, ter kako so ti ukrepi prispevali k doseganju ciljev programa in ustvarjanju dodane vrednosti Unije</w:t>
      </w:r>
      <w:r w:rsidRPr="00275BA0">
        <w:rPr>
          <w:rStyle w:val="Sprotnaopomba-sklic"/>
          <w:noProof/>
        </w:rPr>
        <w:footnoteReference w:id="9"/>
      </w:r>
      <w:r w:rsidRPr="00275BA0">
        <w:rPr>
          <w:noProof/>
          <w:sz w:val="22"/>
        </w:rPr>
        <w:t xml:space="preserve">. </w:t>
      </w:r>
    </w:p>
    <w:p w:rsidR="006A41E2" w:rsidRPr="00275BA0" w:rsidRDefault="00EA1A2F" w:rsidP="00EA1A2F">
      <w:pPr>
        <w:rPr>
          <w:noProof/>
          <w:sz w:val="22"/>
        </w:rPr>
      </w:pPr>
      <w:r w:rsidRPr="00275BA0">
        <w:rPr>
          <w:noProof/>
          <w:sz w:val="22"/>
        </w:rPr>
        <w:t>Opišite, kako so posamezni ukrepi napredovali, tako postopkovno</w:t>
      </w:r>
      <w:r w:rsidRPr="00275BA0">
        <w:rPr>
          <w:rStyle w:val="Sprotnaopomba-sklic"/>
          <w:noProof/>
        </w:rPr>
        <w:footnoteReference w:id="10"/>
      </w:r>
      <w:r w:rsidRPr="00275BA0">
        <w:rPr>
          <w:noProof/>
          <w:sz w:val="22"/>
        </w:rPr>
        <w:t xml:space="preserve"> kot operativno</w:t>
      </w:r>
      <w:r w:rsidRPr="00275BA0">
        <w:rPr>
          <w:rStyle w:val="Sprotnaopomba-sklic"/>
          <w:noProof/>
        </w:rPr>
        <w:footnoteReference w:id="11"/>
      </w:r>
      <w:r w:rsidRPr="00275BA0">
        <w:rPr>
          <w:noProof/>
          <w:sz w:val="22"/>
        </w:rPr>
        <w:t>, in izpostavite morebitna vprašanja, ki vplivajo na njihovo uspešnost, zlasti morebitno tveganje premajhne porabe.</w:t>
      </w:r>
    </w:p>
    <w:p w:rsidR="006A41E2" w:rsidRPr="00275BA0" w:rsidRDefault="006A41E2" w:rsidP="006A41E2">
      <w:pPr>
        <w:rPr>
          <w:noProof/>
          <w:sz w:val="22"/>
        </w:rPr>
      </w:pPr>
      <w:r w:rsidRPr="00275BA0">
        <w:rPr>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Caption w:val="Poudarjeno besedilo, stran 3"/>
        <w:tblDescription w:val="Slovenija je v obračunskem obdobju poročanja sodelovala v evropski operativni skupini (EOT) v španski regiji Costa del Sol za odkrivanje in preiskovanje organiziranih kriminalnih združb in storilcev kaznivih - tarč visoke vrednosti (HVT), ki ogrožajo varnost in blaginjo EU, v sklopu operacije odobrene na podlagi poziva ISF/2022/SA/2.2.1 - poseben ukrep  -  EMPACT. Gre za uspešno sodelovanje, saj je dosežena krepitev čezmejnega sodelovanja med pristojnimi organi za boj proti hudim in organiziranim oblikam kriminalitete, kar prispeva k doseganju ciljev programa SNV in ustvarjanju dodane vrednosti Unije. V obdobju poročanja upravičenec za navedno operacijo, še ni zahteval povračila stroškov.&#10;&#10;V okviru projekta je Slovenija kot sodelujoča država upravičena do 60.0000 EUR za 12 mesecev za kritje stroškov napotene osebe v EOT v Marbello – Španijo, kot je to določeno v dokumentu pristojnosti in nalog ter pravil delovanja skupine EOT (TOR), a ugotavljamo, da sredstva ne bodo v celoti porabljena. Ker so sredstva za posebni ukrep dodeljena neposredno Sloveniji, mora le-ta pri izvajanju operacije upoštevati nacionalno zakonodajo in »Nacionalna pravila upravičenosti za črpanje sredstev programa Sklada za azil, migracije in vključevanje, programa Sklada za notranjo varnost ter programa Instrumenta za finančno podporo za upravljanje meja in vizumsko politiko v okviru Sklada za intgrirano upravljanje meja v programskem obdobju 2021-2027«. Skladno s tem gre ugotoviti, da nacionalni predpisi ne dajejo podlage za načrtovana izplačila stroškov v obliki pavšalnega povračila (5.000 EUR na mesec), ampak se dejanski stroški povrnejo zgolj na podlagi ustreznih dokazil. To pomeni, da lahko pričakujemo, kljub uspešno izvedeni operaciji in doseženim ciljem, nižje povračilo stroškov.&#10;"/>
      </w:tblPr>
      <w:tblGrid>
        <w:gridCol w:w="9063"/>
      </w:tblGrid>
      <w:tr w:rsidR="006A41E2" w:rsidRPr="00275BA0" w:rsidTr="009F694C">
        <w:trPr>
          <w:tblHeader/>
        </w:trPr>
        <w:tc>
          <w:tcPr>
            <w:tcW w:w="9289" w:type="dxa"/>
          </w:tcPr>
          <w:p w:rsidR="00227FE7" w:rsidRDefault="007A5907" w:rsidP="00227FE7">
            <w:pPr>
              <w:pStyle w:val="Personnequisigne"/>
              <w:jc w:val="both"/>
              <w:rPr>
                <w:i w:val="0"/>
                <w:noProof/>
                <w:sz w:val="22"/>
              </w:rPr>
            </w:pPr>
            <w:r w:rsidRPr="00275BA0">
              <w:rPr>
                <w:i w:val="0"/>
                <w:noProof/>
                <w:sz w:val="22"/>
              </w:rPr>
              <w:t xml:space="preserve">Slovenija </w:t>
            </w:r>
            <w:r w:rsidR="00DC49C4">
              <w:rPr>
                <w:i w:val="0"/>
                <w:noProof/>
                <w:sz w:val="22"/>
              </w:rPr>
              <w:t xml:space="preserve">je </w:t>
            </w:r>
            <w:r w:rsidRPr="00275BA0">
              <w:rPr>
                <w:i w:val="0"/>
                <w:noProof/>
                <w:sz w:val="22"/>
              </w:rPr>
              <w:t xml:space="preserve">v obračunskem obdobju poročanja </w:t>
            </w:r>
            <w:r w:rsidR="00B36705">
              <w:rPr>
                <w:i w:val="0"/>
                <w:noProof/>
                <w:sz w:val="22"/>
              </w:rPr>
              <w:t>sodelovala v evropski operativni</w:t>
            </w:r>
            <w:r w:rsidR="00DC49C4" w:rsidRPr="00DC49C4">
              <w:rPr>
                <w:i w:val="0"/>
                <w:noProof/>
                <w:sz w:val="22"/>
              </w:rPr>
              <w:t xml:space="preserve"> </w:t>
            </w:r>
            <w:r w:rsidR="00B36705">
              <w:rPr>
                <w:i w:val="0"/>
                <w:noProof/>
                <w:sz w:val="22"/>
              </w:rPr>
              <w:t>skupini</w:t>
            </w:r>
            <w:r w:rsidR="00DC49C4">
              <w:rPr>
                <w:i w:val="0"/>
                <w:noProof/>
                <w:sz w:val="22"/>
              </w:rPr>
              <w:t xml:space="preserve"> (EOT) v španski regiji Costa del Sol</w:t>
            </w:r>
            <w:r w:rsidR="00DC49C4" w:rsidRPr="00DC49C4">
              <w:rPr>
                <w:i w:val="0"/>
                <w:noProof/>
                <w:sz w:val="22"/>
              </w:rPr>
              <w:t xml:space="preserve"> za odkrivanje in preiskovanje organiziranih kriminalnih združb in storilcev kaznivih - tarč visoke vrednosti (HVT), ki ogrožajo varnost in blaginjo EU</w:t>
            </w:r>
            <w:r w:rsidR="00227FE7">
              <w:rPr>
                <w:i w:val="0"/>
                <w:noProof/>
                <w:sz w:val="22"/>
              </w:rPr>
              <w:t>, v sklopu operacije odobrene na podlagi poziva</w:t>
            </w:r>
            <w:r w:rsidR="00227FE7">
              <w:t xml:space="preserve"> ISF/2022/SA/2.2.1 - poseben ukrep  -  EMPACT.</w:t>
            </w:r>
            <w:r w:rsidR="0045095F">
              <w:t xml:space="preserve"> </w:t>
            </w:r>
            <w:r w:rsidR="0045095F">
              <w:rPr>
                <w:i w:val="0"/>
                <w:noProof/>
                <w:sz w:val="22"/>
              </w:rPr>
              <w:t>G</w:t>
            </w:r>
            <w:r w:rsidR="00E51586">
              <w:rPr>
                <w:i w:val="0"/>
                <w:noProof/>
                <w:sz w:val="22"/>
              </w:rPr>
              <w:t>re za uspešno sodel</w:t>
            </w:r>
            <w:r w:rsidR="0045095F">
              <w:rPr>
                <w:i w:val="0"/>
                <w:noProof/>
                <w:sz w:val="22"/>
              </w:rPr>
              <w:t>ovanje, saj je d</w:t>
            </w:r>
            <w:r w:rsidR="00B36705">
              <w:rPr>
                <w:i w:val="0"/>
                <w:noProof/>
                <w:sz w:val="22"/>
              </w:rPr>
              <w:t>osežen</w:t>
            </w:r>
            <w:r w:rsidR="0045095F">
              <w:rPr>
                <w:i w:val="0"/>
                <w:noProof/>
                <w:sz w:val="22"/>
              </w:rPr>
              <w:t xml:space="preserve">a </w:t>
            </w:r>
            <w:r w:rsidR="00B36705" w:rsidRPr="00DC49C4">
              <w:rPr>
                <w:i w:val="0"/>
                <w:noProof/>
                <w:sz w:val="22"/>
              </w:rPr>
              <w:t>krepitev čezmejnega sodelovanja med pristojnimi organi za boj proti hudim in organiziranim oblikam kriminalitete</w:t>
            </w:r>
            <w:r w:rsidR="00B36705">
              <w:rPr>
                <w:i w:val="0"/>
                <w:noProof/>
                <w:sz w:val="22"/>
              </w:rPr>
              <w:t>, kar prispeva</w:t>
            </w:r>
            <w:r w:rsidR="00DC49C4" w:rsidRPr="00275BA0">
              <w:rPr>
                <w:i w:val="0"/>
                <w:noProof/>
                <w:sz w:val="22"/>
              </w:rPr>
              <w:t xml:space="preserve"> k doseganju ciljev programa SNV in ustvarjanju dodane vrednosti Unije.</w:t>
            </w:r>
            <w:r w:rsidR="003021FB">
              <w:rPr>
                <w:i w:val="0"/>
                <w:noProof/>
                <w:sz w:val="22"/>
              </w:rPr>
              <w:t xml:space="preserve"> V obdobju poročanja upravičenec za navedno operacijo, še ni zahteval povračila stroškov.</w:t>
            </w:r>
          </w:p>
          <w:p w:rsidR="00227FE7" w:rsidRDefault="00227FE7" w:rsidP="00227FE7">
            <w:pPr>
              <w:pStyle w:val="Personnequisigne"/>
              <w:jc w:val="both"/>
              <w:rPr>
                <w:i w:val="0"/>
                <w:noProof/>
                <w:sz w:val="22"/>
              </w:rPr>
            </w:pPr>
          </w:p>
          <w:p w:rsidR="006A41E2" w:rsidRPr="00E47AD1" w:rsidRDefault="00E51586" w:rsidP="00E51586">
            <w:pPr>
              <w:pStyle w:val="Personnequisigne"/>
              <w:jc w:val="both"/>
              <w:rPr>
                <w:sz w:val="22"/>
              </w:rPr>
            </w:pPr>
            <w:r w:rsidRPr="00E47AD1">
              <w:rPr>
                <w:sz w:val="22"/>
              </w:rPr>
              <w:t>V okviru projekta</w:t>
            </w:r>
            <w:r w:rsidR="0045095F" w:rsidRPr="00E47AD1">
              <w:rPr>
                <w:sz w:val="22"/>
              </w:rPr>
              <w:t xml:space="preserve"> je Slovenija</w:t>
            </w:r>
            <w:r w:rsidR="00227FE7" w:rsidRPr="00E47AD1">
              <w:rPr>
                <w:sz w:val="22"/>
              </w:rPr>
              <w:t xml:space="preserve"> kot sodelujoča država upravičena </w:t>
            </w:r>
            <w:r w:rsidR="00336B99" w:rsidRPr="00E47AD1">
              <w:rPr>
                <w:sz w:val="22"/>
              </w:rPr>
              <w:t xml:space="preserve">do 60.0000 EUR za 12 mesecev </w:t>
            </w:r>
            <w:r w:rsidR="00227FE7" w:rsidRPr="00E47AD1">
              <w:rPr>
                <w:sz w:val="22"/>
              </w:rPr>
              <w:t>za kritje</w:t>
            </w:r>
            <w:r w:rsidR="00336B99" w:rsidRPr="00E47AD1">
              <w:rPr>
                <w:sz w:val="22"/>
              </w:rPr>
              <w:t xml:space="preserve"> stroškov napotene osebe</w:t>
            </w:r>
            <w:r w:rsidR="00227FE7" w:rsidRPr="00E47AD1">
              <w:rPr>
                <w:sz w:val="22"/>
              </w:rPr>
              <w:t xml:space="preserve"> v EOT v </w:t>
            </w:r>
            <w:proofErr w:type="spellStart"/>
            <w:r w:rsidR="00227FE7" w:rsidRPr="00E47AD1">
              <w:rPr>
                <w:sz w:val="22"/>
              </w:rPr>
              <w:t>Marbello</w:t>
            </w:r>
            <w:proofErr w:type="spellEnd"/>
            <w:r w:rsidR="00227FE7" w:rsidRPr="00E47AD1">
              <w:rPr>
                <w:sz w:val="22"/>
              </w:rPr>
              <w:t xml:space="preserve"> – Španijo, kot je to določeno v dokumentu pristojnosti in nalog ter pravil delovanja skupine EOT</w:t>
            </w:r>
            <w:r w:rsidR="00336B99" w:rsidRPr="00E47AD1">
              <w:rPr>
                <w:sz w:val="22"/>
              </w:rPr>
              <w:t xml:space="preserve"> (TOR)</w:t>
            </w:r>
            <w:r w:rsidRPr="00E47AD1">
              <w:rPr>
                <w:sz w:val="22"/>
              </w:rPr>
              <w:t>,</w:t>
            </w:r>
            <w:r w:rsidR="00E47AD1">
              <w:rPr>
                <w:sz w:val="22"/>
              </w:rPr>
              <w:t xml:space="preserve"> </w:t>
            </w:r>
            <w:r w:rsidRPr="00E47AD1">
              <w:rPr>
                <w:sz w:val="22"/>
              </w:rPr>
              <w:t>a</w:t>
            </w:r>
            <w:r w:rsidR="00336B99" w:rsidRPr="00E47AD1">
              <w:rPr>
                <w:sz w:val="22"/>
              </w:rPr>
              <w:t xml:space="preserve"> ugotavljamo, da sredstva </w:t>
            </w:r>
            <w:r w:rsidRPr="00E47AD1">
              <w:rPr>
                <w:sz w:val="22"/>
              </w:rPr>
              <w:t xml:space="preserve">ne bodo </w:t>
            </w:r>
            <w:r w:rsidR="00336B99" w:rsidRPr="00E47AD1">
              <w:rPr>
                <w:sz w:val="22"/>
              </w:rPr>
              <w:t>v celoti porabljena.</w:t>
            </w:r>
            <w:r w:rsidR="00227FE7" w:rsidRPr="00E47AD1">
              <w:rPr>
                <w:sz w:val="22"/>
              </w:rPr>
              <w:t xml:space="preserve"> </w:t>
            </w:r>
            <w:r w:rsidR="0045095F" w:rsidRPr="00E47AD1">
              <w:rPr>
                <w:sz w:val="22"/>
              </w:rPr>
              <w:t xml:space="preserve">Ker so sredstva za posebni ukrep dodeljena neposredno Sloveniji, mora le-ta pri izvajanju operacije upoštevati nacionalno zakonodajo in </w:t>
            </w:r>
            <w:r w:rsidR="00227FE7" w:rsidRPr="00E47AD1">
              <w:rPr>
                <w:sz w:val="22"/>
              </w:rPr>
              <w:t xml:space="preserve">»Nacionalna pravila upravičenosti za črpanje sredstev programa Sklada za azil, migracije in vključevanje, programa Sklada za notranjo </w:t>
            </w:r>
            <w:r w:rsidR="00227FE7" w:rsidRPr="00E47AD1">
              <w:rPr>
                <w:sz w:val="22"/>
              </w:rPr>
              <w:lastRenderedPageBreak/>
              <w:t xml:space="preserve">varnost ter programa Instrumenta za finančno podporo za upravljanje meja in vizumsko politiko v okviru Sklada za </w:t>
            </w:r>
            <w:proofErr w:type="spellStart"/>
            <w:r w:rsidR="00227FE7" w:rsidRPr="00E47AD1">
              <w:rPr>
                <w:sz w:val="22"/>
              </w:rPr>
              <w:t>intgrirano</w:t>
            </w:r>
            <w:proofErr w:type="spellEnd"/>
            <w:r w:rsidR="00227FE7" w:rsidRPr="00E47AD1">
              <w:rPr>
                <w:sz w:val="22"/>
              </w:rPr>
              <w:t xml:space="preserve"> upravljanje meja v programskem obdobju 2021-2027«.</w:t>
            </w:r>
            <w:r w:rsidR="00336B99" w:rsidRPr="00E47AD1">
              <w:rPr>
                <w:sz w:val="22"/>
              </w:rPr>
              <w:t xml:space="preserve"> </w:t>
            </w:r>
            <w:r w:rsidR="0045095F" w:rsidRPr="00E47AD1">
              <w:rPr>
                <w:sz w:val="22"/>
              </w:rPr>
              <w:t>Skladno s tem gre u</w:t>
            </w:r>
            <w:r w:rsidR="00BA71EA" w:rsidRPr="00E47AD1">
              <w:rPr>
                <w:sz w:val="22"/>
              </w:rPr>
              <w:t xml:space="preserve">gotoviti, da </w:t>
            </w:r>
            <w:r w:rsidR="00227FE7" w:rsidRPr="00E47AD1">
              <w:rPr>
                <w:sz w:val="22"/>
              </w:rPr>
              <w:t xml:space="preserve">nacionalni predpisi ne dajejo podlage za </w:t>
            </w:r>
            <w:r w:rsidRPr="00E47AD1">
              <w:rPr>
                <w:sz w:val="22"/>
              </w:rPr>
              <w:t>načrtovana</w:t>
            </w:r>
            <w:r w:rsidR="00227FE7" w:rsidRPr="00E47AD1">
              <w:rPr>
                <w:sz w:val="22"/>
              </w:rPr>
              <w:t xml:space="preserve"> izplačila stroškov v obliki pavšalnega povračila</w:t>
            </w:r>
            <w:r w:rsidR="00336B99" w:rsidRPr="00E47AD1">
              <w:rPr>
                <w:sz w:val="22"/>
              </w:rPr>
              <w:t xml:space="preserve"> (5</w:t>
            </w:r>
            <w:r w:rsidR="00E47AD1">
              <w:rPr>
                <w:sz w:val="22"/>
              </w:rPr>
              <w:t>.</w:t>
            </w:r>
            <w:r w:rsidR="00336B99" w:rsidRPr="00E47AD1">
              <w:rPr>
                <w:sz w:val="22"/>
              </w:rPr>
              <w:t xml:space="preserve">000 </w:t>
            </w:r>
            <w:r w:rsidRPr="00E47AD1">
              <w:rPr>
                <w:sz w:val="22"/>
              </w:rPr>
              <w:t>EUR</w:t>
            </w:r>
            <w:r w:rsidR="00336B99" w:rsidRPr="00E47AD1">
              <w:rPr>
                <w:sz w:val="22"/>
              </w:rPr>
              <w:t xml:space="preserve"> na mesec)</w:t>
            </w:r>
            <w:r w:rsidR="00227FE7" w:rsidRPr="00E47AD1">
              <w:rPr>
                <w:sz w:val="22"/>
              </w:rPr>
              <w:t>, ampak se dejanski stroški povrnejo zgo</w:t>
            </w:r>
            <w:r w:rsidRPr="00E47AD1">
              <w:rPr>
                <w:sz w:val="22"/>
              </w:rPr>
              <w:t xml:space="preserve">lj na podlagi ustreznih dokazil. </w:t>
            </w:r>
            <w:r w:rsidR="00BA71EA" w:rsidRPr="00E47AD1">
              <w:rPr>
                <w:sz w:val="22"/>
              </w:rPr>
              <w:t>To pomeni, da lahko pričakujemo, k</w:t>
            </w:r>
            <w:r w:rsidR="00336B99" w:rsidRPr="00E47AD1">
              <w:rPr>
                <w:sz w:val="22"/>
              </w:rPr>
              <w:t>ljub uspešno izvedeni operaciji in</w:t>
            </w:r>
            <w:r w:rsidR="00E47AD1">
              <w:rPr>
                <w:sz w:val="22"/>
              </w:rPr>
              <w:t xml:space="preserve"> doseženim ciljem</w:t>
            </w:r>
            <w:r w:rsidR="00BA71EA" w:rsidRPr="00E47AD1">
              <w:rPr>
                <w:sz w:val="22"/>
              </w:rPr>
              <w:t xml:space="preserve">, nižje </w:t>
            </w:r>
            <w:r w:rsidR="00336B99" w:rsidRPr="00E47AD1">
              <w:rPr>
                <w:sz w:val="22"/>
              </w:rPr>
              <w:t>povračilo stroškov.</w:t>
            </w:r>
          </w:p>
        </w:tc>
      </w:tr>
    </w:tbl>
    <w:p w:rsidR="006A41E2" w:rsidRPr="00275BA0" w:rsidRDefault="00544E72" w:rsidP="00930AD9">
      <w:pPr>
        <w:rPr>
          <w:noProof/>
          <w:sz w:val="22"/>
        </w:rPr>
      </w:pPr>
      <w:r w:rsidRPr="00275BA0">
        <w:rPr>
          <w:noProof/>
          <w:sz w:val="22"/>
        </w:rPr>
        <w:lastRenderedPageBreak/>
        <w:t>V spodnjo preglednico vpišite podrobnosti o vseh posebnih nacionalnih ukrepih, ki se izvajajo v okviru programa. Poročanje o posebnih nadnacionalnih ukrepih bi moralo biti skladno z izbrano možnostjo poročanja</w:t>
      </w:r>
      <w:r w:rsidRPr="00275BA0">
        <w:rPr>
          <w:rStyle w:val="Sprotnaopomba-sklic"/>
          <w:noProof/>
          <w:sz w:val="22"/>
        </w:rPr>
        <w:footnoteReference w:id="12"/>
      </w:r>
      <w:r w:rsidRPr="00275BA0">
        <w:rPr>
          <w:noProof/>
          <w:sz w:val="22"/>
        </w:rPr>
        <w:t xml:space="preserve">. </w:t>
      </w:r>
    </w:p>
    <w:tbl>
      <w:tblPr>
        <w:tblStyle w:val="Tabelamrea"/>
        <w:tblW w:w="9242" w:type="dxa"/>
        <w:tblLayout w:type="fixed"/>
        <w:tblCellMar>
          <w:left w:w="28" w:type="dxa"/>
          <w:right w:w="28" w:type="dxa"/>
        </w:tblCellMar>
        <w:tblLook w:val="04A0" w:firstRow="1" w:lastRow="0" w:firstColumn="1" w:lastColumn="0" w:noHBand="0" w:noVBand="1"/>
        <w:tblCaption w:val="Pregledniva, stran 4"/>
        <w:tblDescription w:val="Preglednica, za vpis podatkov; cilji, referenčna številka ukrepa, upravičenec, obdobje izvajanja, upravičeni stroški in izdatki, napredek po kazalnikih."/>
      </w:tblPr>
      <w:tblGrid>
        <w:gridCol w:w="879"/>
        <w:gridCol w:w="992"/>
        <w:gridCol w:w="1134"/>
        <w:gridCol w:w="992"/>
        <w:gridCol w:w="993"/>
        <w:gridCol w:w="1134"/>
        <w:gridCol w:w="1505"/>
        <w:gridCol w:w="1613"/>
      </w:tblGrid>
      <w:tr w:rsidR="006A41E2" w:rsidRPr="00275BA0" w:rsidTr="009F694C">
        <w:trPr>
          <w:trHeight w:val="431"/>
          <w:tblHeader/>
        </w:trPr>
        <w:tc>
          <w:tcPr>
            <w:tcW w:w="879" w:type="dxa"/>
            <w:vMerge w:val="restart"/>
            <w:vAlign w:val="center"/>
          </w:tcPr>
          <w:p w:rsidR="006A41E2" w:rsidRPr="00275BA0" w:rsidRDefault="006A41E2" w:rsidP="00E45665">
            <w:pPr>
              <w:pStyle w:val="Institutionquisigne"/>
              <w:spacing w:before="0"/>
              <w:jc w:val="center"/>
              <w:rPr>
                <w:i w:val="0"/>
                <w:noProof/>
                <w:sz w:val="20"/>
              </w:rPr>
            </w:pPr>
            <w:r w:rsidRPr="00275BA0">
              <w:rPr>
                <w:i w:val="0"/>
                <w:noProof/>
                <w:sz w:val="20"/>
              </w:rPr>
              <w:t>Specifični cilj</w:t>
            </w:r>
          </w:p>
        </w:tc>
        <w:tc>
          <w:tcPr>
            <w:tcW w:w="992" w:type="dxa"/>
            <w:vMerge w:val="restart"/>
            <w:vAlign w:val="center"/>
          </w:tcPr>
          <w:p w:rsidR="006A41E2" w:rsidRPr="00275BA0" w:rsidRDefault="006A41E2" w:rsidP="00E45665">
            <w:pPr>
              <w:pStyle w:val="Institutionquisigne"/>
              <w:spacing w:before="0"/>
              <w:jc w:val="center"/>
              <w:rPr>
                <w:i w:val="0"/>
                <w:noProof/>
                <w:sz w:val="20"/>
              </w:rPr>
            </w:pPr>
            <w:r w:rsidRPr="00275BA0">
              <w:rPr>
                <w:i w:val="0"/>
                <w:noProof/>
                <w:sz w:val="20"/>
              </w:rPr>
              <w:t>Ime / referenčna številka ukrepa</w:t>
            </w:r>
          </w:p>
        </w:tc>
        <w:tc>
          <w:tcPr>
            <w:tcW w:w="1134" w:type="dxa"/>
            <w:vMerge w:val="restart"/>
            <w:vAlign w:val="center"/>
          </w:tcPr>
          <w:p w:rsidR="006A41E2" w:rsidRPr="00275BA0" w:rsidRDefault="006A41E2" w:rsidP="00E45665">
            <w:pPr>
              <w:pStyle w:val="Institutionquisigne"/>
              <w:spacing w:before="0"/>
              <w:jc w:val="center"/>
              <w:rPr>
                <w:i w:val="0"/>
                <w:noProof/>
                <w:sz w:val="20"/>
              </w:rPr>
            </w:pPr>
            <w:r w:rsidRPr="00275BA0">
              <w:rPr>
                <w:i w:val="0"/>
                <w:noProof/>
                <w:sz w:val="20"/>
              </w:rPr>
              <w:t>Upravičenec</w:t>
            </w:r>
          </w:p>
        </w:tc>
        <w:tc>
          <w:tcPr>
            <w:tcW w:w="992" w:type="dxa"/>
            <w:vMerge w:val="restart"/>
            <w:vAlign w:val="center"/>
          </w:tcPr>
          <w:p w:rsidR="006A41E2" w:rsidRPr="00275BA0" w:rsidRDefault="006A41E2" w:rsidP="00E45665">
            <w:pPr>
              <w:pStyle w:val="Institutionquisigne"/>
              <w:spacing w:before="0"/>
              <w:jc w:val="center"/>
              <w:rPr>
                <w:i w:val="0"/>
                <w:noProof/>
                <w:sz w:val="20"/>
              </w:rPr>
            </w:pPr>
            <w:r w:rsidRPr="00275BA0">
              <w:rPr>
                <w:i w:val="0"/>
                <w:noProof/>
                <w:sz w:val="20"/>
              </w:rPr>
              <w:t>Obdobje izvajanja</w:t>
            </w:r>
          </w:p>
        </w:tc>
        <w:tc>
          <w:tcPr>
            <w:tcW w:w="993" w:type="dxa"/>
            <w:vMerge w:val="restart"/>
            <w:vAlign w:val="center"/>
          </w:tcPr>
          <w:p w:rsidR="006A41E2" w:rsidRPr="00275BA0" w:rsidRDefault="006A41E2" w:rsidP="006A41E2">
            <w:pPr>
              <w:pStyle w:val="Institutionquisigne"/>
              <w:spacing w:before="0"/>
              <w:jc w:val="center"/>
              <w:rPr>
                <w:i w:val="0"/>
                <w:noProof/>
                <w:sz w:val="20"/>
              </w:rPr>
            </w:pPr>
            <w:r w:rsidRPr="00275BA0">
              <w:rPr>
                <w:i w:val="0"/>
                <w:noProof/>
                <w:sz w:val="20"/>
              </w:rPr>
              <w:t>Upravičeni stroški</w:t>
            </w:r>
            <w:r w:rsidRPr="00275BA0">
              <w:rPr>
                <w:rStyle w:val="Sprotnaopomba-sklic"/>
                <w:i w:val="0"/>
                <w:noProof/>
                <w:sz w:val="20"/>
              </w:rPr>
              <w:footnoteReference w:id="13"/>
            </w:r>
          </w:p>
        </w:tc>
        <w:tc>
          <w:tcPr>
            <w:tcW w:w="1134" w:type="dxa"/>
            <w:vMerge w:val="restart"/>
            <w:vAlign w:val="center"/>
          </w:tcPr>
          <w:p w:rsidR="006A41E2" w:rsidRPr="00275BA0" w:rsidRDefault="006A41E2" w:rsidP="006A41E2">
            <w:pPr>
              <w:pStyle w:val="Institutionquisigne"/>
              <w:spacing w:before="0"/>
              <w:jc w:val="center"/>
              <w:rPr>
                <w:i w:val="0"/>
                <w:noProof/>
                <w:sz w:val="20"/>
              </w:rPr>
            </w:pPr>
            <w:r w:rsidRPr="00275BA0">
              <w:rPr>
                <w:i w:val="0"/>
                <w:noProof/>
                <w:sz w:val="20"/>
              </w:rPr>
              <w:t>Upravičeni izdatki</w:t>
            </w:r>
            <w:r w:rsidRPr="00275BA0">
              <w:rPr>
                <w:rStyle w:val="Sprotnaopomba-sklic"/>
                <w:i w:val="0"/>
                <w:noProof/>
                <w:sz w:val="20"/>
                <w:szCs w:val="20"/>
              </w:rPr>
              <w:footnoteReference w:id="14"/>
            </w:r>
          </w:p>
        </w:tc>
        <w:tc>
          <w:tcPr>
            <w:tcW w:w="3118" w:type="dxa"/>
            <w:gridSpan w:val="2"/>
            <w:vAlign w:val="center"/>
          </w:tcPr>
          <w:p w:rsidR="006A41E2" w:rsidRPr="00275BA0" w:rsidRDefault="006A41E2" w:rsidP="006A41E2">
            <w:pPr>
              <w:pStyle w:val="Institutionquisigne"/>
              <w:spacing w:before="0"/>
              <w:jc w:val="center"/>
              <w:rPr>
                <w:i w:val="0"/>
                <w:noProof/>
                <w:sz w:val="20"/>
              </w:rPr>
            </w:pPr>
            <w:r w:rsidRPr="00275BA0">
              <w:rPr>
                <w:i w:val="0"/>
                <w:noProof/>
                <w:sz w:val="20"/>
              </w:rPr>
              <w:t>Napredek pri ustreznih skupnih kazalnikih in/ali kazalnikih za posamezne programe</w:t>
            </w:r>
            <w:r w:rsidRPr="00275BA0">
              <w:rPr>
                <w:rStyle w:val="Sprotnaopomba-sklic"/>
                <w:i w:val="0"/>
                <w:noProof/>
                <w:sz w:val="20"/>
              </w:rPr>
              <w:footnoteReference w:id="15"/>
            </w:r>
          </w:p>
        </w:tc>
      </w:tr>
      <w:tr w:rsidR="006A41E2" w:rsidRPr="00275BA0" w:rsidTr="00213BC9">
        <w:tc>
          <w:tcPr>
            <w:tcW w:w="879" w:type="dxa"/>
            <w:vMerge/>
            <w:vAlign w:val="center"/>
          </w:tcPr>
          <w:p w:rsidR="006A41E2" w:rsidRPr="00275BA0" w:rsidRDefault="006A41E2" w:rsidP="00E45665">
            <w:pPr>
              <w:pStyle w:val="Institutionquisigne"/>
              <w:spacing w:before="0"/>
              <w:jc w:val="center"/>
              <w:rPr>
                <w:i w:val="0"/>
                <w:noProof/>
                <w:sz w:val="22"/>
              </w:rPr>
            </w:pPr>
          </w:p>
        </w:tc>
        <w:tc>
          <w:tcPr>
            <w:tcW w:w="992" w:type="dxa"/>
            <w:vMerge/>
            <w:vAlign w:val="center"/>
          </w:tcPr>
          <w:p w:rsidR="006A41E2" w:rsidRPr="00275BA0" w:rsidRDefault="006A41E2" w:rsidP="00E45665">
            <w:pPr>
              <w:pStyle w:val="Institutionquisigne"/>
              <w:spacing w:before="0"/>
              <w:jc w:val="center"/>
              <w:rPr>
                <w:noProof/>
              </w:rPr>
            </w:pPr>
          </w:p>
        </w:tc>
        <w:tc>
          <w:tcPr>
            <w:tcW w:w="1134" w:type="dxa"/>
            <w:vMerge/>
            <w:vAlign w:val="center"/>
          </w:tcPr>
          <w:p w:rsidR="006A41E2" w:rsidRPr="00275BA0" w:rsidRDefault="006A41E2" w:rsidP="00E45665">
            <w:pPr>
              <w:pStyle w:val="Institutionquisigne"/>
              <w:spacing w:before="0"/>
              <w:jc w:val="center"/>
              <w:rPr>
                <w:noProof/>
              </w:rPr>
            </w:pPr>
          </w:p>
        </w:tc>
        <w:tc>
          <w:tcPr>
            <w:tcW w:w="992" w:type="dxa"/>
            <w:vMerge/>
            <w:vAlign w:val="center"/>
          </w:tcPr>
          <w:p w:rsidR="006A41E2" w:rsidRPr="00275BA0" w:rsidRDefault="006A41E2" w:rsidP="00E45665">
            <w:pPr>
              <w:pStyle w:val="Institutionquisigne"/>
              <w:spacing w:before="0"/>
              <w:jc w:val="center"/>
              <w:rPr>
                <w:noProof/>
              </w:rPr>
            </w:pPr>
          </w:p>
        </w:tc>
        <w:tc>
          <w:tcPr>
            <w:tcW w:w="993" w:type="dxa"/>
            <w:vMerge/>
            <w:vAlign w:val="center"/>
          </w:tcPr>
          <w:p w:rsidR="006A41E2" w:rsidRPr="00275BA0" w:rsidRDefault="006A41E2" w:rsidP="00E45665">
            <w:pPr>
              <w:pStyle w:val="Institutionquisigne"/>
              <w:spacing w:before="0"/>
              <w:jc w:val="center"/>
              <w:rPr>
                <w:noProof/>
              </w:rPr>
            </w:pPr>
          </w:p>
        </w:tc>
        <w:tc>
          <w:tcPr>
            <w:tcW w:w="1134" w:type="dxa"/>
            <w:vMerge/>
            <w:vAlign w:val="center"/>
          </w:tcPr>
          <w:p w:rsidR="006A41E2" w:rsidRPr="00275BA0" w:rsidRDefault="006A41E2" w:rsidP="00E45665">
            <w:pPr>
              <w:pStyle w:val="Institutionquisigne"/>
              <w:spacing w:before="0"/>
              <w:jc w:val="center"/>
              <w:rPr>
                <w:noProof/>
              </w:rPr>
            </w:pPr>
          </w:p>
        </w:tc>
        <w:tc>
          <w:tcPr>
            <w:tcW w:w="1505" w:type="dxa"/>
            <w:vAlign w:val="center"/>
          </w:tcPr>
          <w:p w:rsidR="006A41E2" w:rsidRPr="00275BA0" w:rsidRDefault="006A41E2" w:rsidP="00E45665">
            <w:pPr>
              <w:pStyle w:val="Institutionquisigne"/>
              <w:spacing w:before="0"/>
              <w:jc w:val="center"/>
              <w:rPr>
                <w:i w:val="0"/>
                <w:noProof/>
                <w:sz w:val="20"/>
              </w:rPr>
            </w:pPr>
            <w:r w:rsidRPr="00275BA0">
              <w:rPr>
                <w:i w:val="0"/>
                <w:noProof/>
                <w:sz w:val="20"/>
              </w:rPr>
              <w:t>kazalniki učinka</w:t>
            </w:r>
          </w:p>
        </w:tc>
        <w:tc>
          <w:tcPr>
            <w:tcW w:w="1613" w:type="dxa"/>
            <w:vAlign w:val="center"/>
          </w:tcPr>
          <w:p w:rsidR="006A41E2" w:rsidRPr="00275BA0" w:rsidRDefault="006A41E2" w:rsidP="00E45665">
            <w:pPr>
              <w:pStyle w:val="Institutionquisigne"/>
              <w:spacing w:before="0"/>
              <w:jc w:val="center"/>
              <w:rPr>
                <w:i w:val="0"/>
                <w:noProof/>
                <w:sz w:val="20"/>
              </w:rPr>
            </w:pPr>
            <w:r w:rsidRPr="00275BA0">
              <w:rPr>
                <w:i w:val="0"/>
                <w:noProof/>
                <w:sz w:val="20"/>
              </w:rPr>
              <w:t>kazalniki rezultatov</w:t>
            </w:r>
          </w:p>
        </w:tc>
      </w:tr>
      <w:tr w:rsidR="006A41E2" w:rsidRPr="00275BA0" w:rsidTr="00213BC9">
        <w:tc>
          <w:tcPr>
            <w:tcW w:w="879" w:type="dxa"/>
            <w:vAlign w:val="center"/>
          </w:tcPr>
          <w:p w:rsidR="006A41E2" w:rsidRPr="00275BA0" w:rsidRDefault="003021FB" w:rsidP="00E45665">
            <w:pPr>
              <w:pStyle w:val="Institutionquisigne"/>
              <w:spacing w:before="0"/>
              <w:jc w:val="center"/>
              <w:rPr>
                <w:i w:val="0"/>
                <w:noProof/>
                <w:sz w:val="22"/>
              </w:rPr>
            </w:pPr>
            <w:r>
              <w:rPr>
                <w:i w:val="0"/>
                <w:noProof/>
                <w:sz w:val="22"/>
              </w:rPr>
              <w:t>/</w:t>
            </w:r>
          </w:p>
        </w:tc>
        <w:tc>
          <w:tcPr>
            <w:tcW w:w="992" w:type="dxa"/>
            <w:vAlign w:val="center"/>
          </w:tcPr>
          <w:p w:rsidR="006A41E2" w:rsidRPr="00275BA0" w:rsidRDefault="0006040C" w:rsidP="00E45665">
            <w:pPr>
              <w:pStyle w:val="Institutionquisigne"/>
              <w:spacing w:before="0"/>
              <w:jc w:val="center"/>
              <w:rPr>
                <w:noProof/>
              </w:rPr>
            </w:pPr>
            <w:r w:rsidRPr="00275BA0">
              <w:rPr>
                <w:noProof/>
              </w:rPr>
              <w:t>/</w:t>
            </w:r>
          </w:p>
        </w:tc>
        <w:tc>
          <w:tcPr>
            <w:tcW w:w="1134" w:type="dxa"/>
          </w:tcPr>
          <w:p w:rsidR="006A41E2" w:rsidRPr="00275BA0" w:rsidRDefault="0006040C" w:rsidP="00E45665">
            <w:pPr>
              <w:pStyle w:val="Institutionquisigne"/>
              <w:spacing w:before="0"/>
              <w:jc w:val="center"/>
              <w:rPr>
                <w:noProof/>
              </w:rPr>
            </w:pPr>
            <w:r w:rsidRPr="00275BA0">
              <w:rPr>
                <w:noProof/>
              </w:rPr>
              <w:t>/</w:t>
            </w:r>
          </w:p>
        </w:tc>
        <w:tc>
          <w:tcPr>
            <w:tcW w:w="992" w:type="dxa"/>
          </w:tcPr>
          <w:p w:rsidR="006A41E2" w:rsidRPr="00275BA0" w:rsidRDefault="0006040C" w:rsidP="00E45665">
            <w:pPr>
              <w:pStyle w:val="Institutionquisigne"/>
              <w:spacing w:before="0"/>
              <w:jc w:val="center"/>
              <w:rPr>
                <w:noProof/>
              </w:rPr>
            </w:pPr>
            <w:r w:rsidRPr="00275BA0">
              <w:rPr>
                <w:noProof/>
              </w:rPr>
              <w:t>/</w:t>
            </w:r>
          </w:p>
        </w:tc>
        <w:tc>
          <w:tcPr>
            <w:tcW w:w="993" w:type="dxa"/>
          </w:tcPr>
          <w:p w:rsidR="006A41E2" w:rsidRPr="00275BA0" w:rsidRDefault="0006040C" w:rsidP="00E45665">
            <w:pPr>
              <w:pStyle w:val="Institutionquisigne"/>
              <w:spacing w:before="0"/>
              <w:jc w:val="center"/>
              <w:rPr>
                <w:noProof/>
              </w:rPr>
            </w:pPr>
            <w:r w:rsidRPr="00275BA0">
              <w:rPr>
                <w:noProof/>
              </w:rPr>
              <w:t>/</w:t>
            </w:r>
          </w:p>
        </w:tc>
        <w:tc>
          <w:tcPr>
            <w:tcW w:w="1134" w:type="dxa"/>
          </w:tcPr>
          <w:p w:rsidR="006A41E2" w:rsidRPr="00275BA0" w:rsidRDefault="0006040C" w:rsidP="00E45665">
            <w:pPr>
              <w:pStyle w:val="Institutionquisigne"/>
              <w:spacing w:before="0"/>
              <w:jc w:val="center"/>
              <w:rPr>
                <w:noProof/>
              </w:rPr>
            </w:pPr>
            <w:r w:rsidRPr="00275BA0">
              <w:rPr>
                <w:noProof/>
              </w:rPr>
              <w:t>/</w:t>
            </w:r>
          </w:p>
        </w:tc>
        <w:tc>
          <w:tcPr>
            <w:tcW w:w="1505" w:type="dxa"/>
          </w:tcPr>
          <w:p w:rsidR="006A41E2" w:rsidRPr="00275BA0" w:rsidRDefault="0006040C" w:rsidP="00E45665">
            <w:pPr>
              <w:pStyle w:val="Institutionquisigne"/>
              <w:spacing w:before="0"/>
              <w:jc w:val="center"/>
              <w:rPr>
                <w:i w:val="0"/>
                <w:noProof/>
                <w:sz w:val="20"/>
              </w:rPr>
            </w:pPr>
            <w:r w:rsidRPr="00275BA0">
              <w:rPr>
                <w:i w:val="0"/>
                <w:noProof/>
                <w:sz w:val="20"/>
              </w:rPr>
              <w:t>/</w:t>
            </w:r>
          </w:p>
        </w:tc>
        <w:tc>
          <w:tcPr>
            <w:tcW w:w="1613" w:type="dxa"/>
          </w:tcPr>
          <w:p w:rsidR="006A41E2" w:rsidRPr="00275BA0" w:rsidRDefault="0006040C" w:rsidP="00E45665">
            <w:pPr>
              <w:pStyle w:val="Institutionquisigne"/>
              <w:spacing w:before="0"/>
              <w:jc w:val="center"/>
              <w:rPr>
                <w:i w:val="0"/>
                <w:noProof/>
                <w:sz w:val="20"/>
              </w:rPr>
            </w:pPr>
            <w:r w:rsidRPr="00275BA0">
              <w:rPr>
                <w:i w:val="0"/>
                <w:noProof/>
                <w:sz w:val="20"/>
              </w:rPr>
              <w:t>/</w:t>
            </w:r>
          </w:p>
        </w:tc>
      </w:tr>
    </w:tbl>
    <w:p w:rsidR="006A41E2" w:rsidRPr="00275BA0" w:rsidRDefault="00C30ACF" w:rsidP="00C30ACF">
      <w:pPr>
        <w:pStyle w:val="ManualHeading2"/>
        <w:rPr>
          <w:noProof/>
        </w:rPr>
      </w:pPr>
      <w:r w:rsidRPr="00275BA0">
        <w:t>1.6.</w:t>
      </w:r>
      <w:r w:rsidRPr="00275BA0">
        <w:tab/>
      </w:r>
      <w:r w:rsidR="0001528B" w:rsidRPr="00275BA0">
        <w:rPr>
          <w:noProof/>
        </w:rPr>
        <w:t>Skladnost s členom 13(7) Uredbe (EU) 2021/1149</w:t>
      </w:r>
    </w:p>
    <w:p w:rsidR="00E76930" w:rsidRPr="00275BA0" w:rsidRDefault="00352119" w:rsidP="006A41E2">
      <w:pPr>
        <w:rPr>
          <w:noProof/>
          <w:sz w:val="22"/>
        </w:rPr>
      </w:pPr>
      <w:r w:rsidRPr="00275BA0">
        <w:rPr>
          <w:noProof/>
          <w:sz w:val="22"/>
        </w:rPr>
        <w:t xml:space="preserve">Sporočite skupni kumulativni znesek nastalih in plačanih izdatkov za opremo, prevozna sredstva ali izgradnjo za varnost pomembnih zmogljivosti v skladu s členom 13(7) Uredbe (EU) 2021/1149 glede na podatke, ki se elektronsko shranjujejo v skladu s poljem 142 Priloge XVII k Uredbi (EU) 2021/1060. </w:t>
      </w:r>
    </w:p>
    <w:tbl>
      <w:tblPr>
        <w:tblStyle w:val="Tabelamrea"/>
        <w:tblW w:w="0" w:type="auto"/>
        <w:tblLook w:val="04A0" w:firstRow="1" w:lastRow="0" w:firstColumn="1" w:lastColumn="0" w:noHBand="0" w:noVBand="1"/>
        <w:tblCaption w:val="Prazna vrstica tabele."/>
        <w:tblDescription w:val="Prazna vrstica tabele."/>
      </w:tblPr>
      <w:tblGrid>
        <w:gridCol w:w="9063"/>
      </w:tblGrid>
      <w:tr w:rsidR="00352119" w:rsidRPr="00275BA0" w:rsidTr="0033686D">
        <w:trPr>
          <w:tblHeader/>
        </w:trPr>
        <w:tc>
          <w:tcPr>
            <w:tcW w:w="9289" w:type="dxa"/>
          </w:tcPr>
          <w:p w:rsidR="00352119" w:rsidRPr="00275BA0" w:rsidRDefault="00475780" w:rsidP="00352119">
            <w:pPr>
              <w:pStyle w:val="Personnequisigne"/>
              <w:rPr>
                <w:noProof/>
                <w:sz w:val="22"/>
              </w:rPr>
            </w:pPr>
            <w:r w:rsidRPr="00275BA0">
              <w:rPr>
                <w:noProof/>
                <w:sz w:val="22"/>
              </w:rPr>
              <w:t>/</w:t>
            </w:r>
          </w:p>
        </w:tc>
      </w:tr>
    </w:tbl>
    <w:p w:rsidR="006A41E2" w:rsidRPr="00275BA0" w:rsidRDefault="00BB3C0E" w:rsidP="009E5C5D">
      <w:pPr>
        <w:rPr>
          <w:noProof/>
          <w:sz w:val="22"/>
        </w:rPr>
      </w:pPr>
      <w:r w:rsidRPr="00275BA0">
        <w:rPr>
          <w:noProof/>
          <w:sz w:val="22"/>
        </w:rPr>
        <w:t xml:space="preserve">Potrdite, da skupni kumulativni upravičeni stroški operacij, izbranih za podporo za opremo, prevozna sredstva ali izgradnjo za varnost pomembnih zmogljivosti v skladu s členom 13(7) Uredbe (EU) 2021/1149, do konca obračunskega leta ne presegajo 35 % skupnih sredstev, dodeljenih programu, ali pojasnite razloge za to. Če obstaja tveganje, da bo prag do konca programskega obdobja presežen, opišite predvidene ukrepe za zmanjšanje tveganja ali ustrezno utemeljene razloge za preseganje praga. </w:t>
      </w:r>
    </w:p>
    <w:tbl>
      <w:tblPr>
        <w:tblStyle w:val="Tabelamrea"/>
        <w:tblW w:w="0" w:type="auto"/>
        <w:tblLook w:val="04A0" w:firstRow="1" w:lastRow="0" w:firstColumn="1" w:lastColumn="0" w:noHBand="0" w:noVBand="1"/>
        <w:tblCaption w:val="Prazna vrstica tabele."/>
        <w:tblDescription w:val="Prazna vrstica tabele."/>
      </w:tblPr>
      <w:tblGrid>
        <w:gridCol w:w="9063"/>
      </w:tblGrid>
      <w:tr w:rsidR="006A41E2" w:rsidRPr="00275BA0" w:rsidTr="009F694C">
        <w:trPr>
          <w:tblHeader/>
        </w:trPr>
        <w:tc>
          <w:tcPr>
            <w:tcW w:w="9289" w:type="dxa"/>
          </w:tcPr>
          <w:p w:rsidR="006A41E2" w:rsidRPr="00275BA0" w:rsidRDefault="00475780" w:rsidP="00352119">
            <w:pPr>
              <w:pStyle w:val="Personnequisigne"/>
              <w:rPr>
                <w:noProof/>
              </w:rPr>
            </w:pPr>
            <w:r w:rsidRPr="00275BA0">
              <w:rPr>
                <w:noProof/>
                <w:sz w:val="22"/>
              </w:rPr>
              <w:t>/</w:t>
            </w:r>
          </w:p>
        </w:tc>
      </w:tr>
    </w:tbl>
    <w:p w:rsidR="006A41E2" w:rsidRPr="00275BA0" w:rsidRDefault="00C30ACF" w:rsidP="00C30ACF">
      <w:pPr>
        <w:pStyle w:val="ManualHeading2"/>
        <w:rPr>
          <w:noProof/>
        </w:rPr>
      </w:pPr>
      <w:r w:rsidRPr="00275BA0">
        <w:t>1.7.</w:t>
      </w:r>
      <w:r w:rsidRPr="00275BA0">
        <w:tab/>
      </w:r>
      <w:r w:rsidR="006A41E2" w:rsidRPr="00275BA0">
        <w:rPr>
          <w:noProof/>
        </w:rPr>
        <w:t>Samo v letu 2024: nadaljevanje projektov – člen 34(4), točka (e), Uredbe (EU) 2021/1149</w:t>
      </w:r>
    </w:p>
    <w:p w:rsidR="006A41E2" w:rsidRPr="00275BA0" w:rsidRDefault="0060652B" w:rsidP="006A41E2">
      <w:pPr>
        <w:rPr>
          <w:noProof/>
          <w:sz w:val="22"/>
        </w:rPr>
      </w:pPr>
      <w:r w:rsidRPr="00275BA0">
        <w:rPr>
          <w:noProof/>
          <w:sz w:val="22"/>
        </w:rPr>
        <w:t>Poročajte o vseh projektih, ki so se nadaljevali po 1. januarju 2021 ter so bili izbrani in začeti na podlagi Uredbe (EU) št. 513/2014 Evropskega parlamenta in Sveta</w:t>
      </w:r>
      <w:r w:rsidRPr="00275BA0">
        <w:rPr>
          <w:rStyle w:val="Sprotnaopomba-sklic"/>
          <w:noProof/>
          <w:sz w:val="22"/>
        </w:rPr>
        <w:footnoteReference w:id="16"/>
      </w:r>
      <w:r w:rsidRPr="00275BA0">
        <w:rPr>
          <w:noProof/>
          <w:sz w:val="22"/>
        </w:rPr>
        <w:t>, v skladu z Uredbo (EU) št. 514/2014 Evropskega parlamenta in Sveta</w:t>
      </w:r>
      <w:r w:rsidRPr="00275BA0">
        <w:rPr>
          <w:rStyle w:val="Sprotnaopomba-sklic"/>
          <w:noProof/>
          <w:sz w:val="22"/>
        </w:rPr>
        <w:footnoteReference w:id="17"/>
      </w:r>
      <w:r w:rsidRPr="00275BA0">
        <w:rPr>
          <w:noProof/>
          <w:sz w:val="22"/>
        </w:rPr>
        <w:t>.</w:t>
      </w:r>
    </w:p>
    <w:tbl>
      <w:tblPr>
        <w:tblStyle w:val="Tabelamrea"/>
        <w:tblW w:w="0" w:type="auto"/>
        <w:tblLook w:val="04A0" w:firstRow="1" w:lastRow="0" w:firstColumn="1" w:lastColumn="0" w:noHBand="0" w:noVBand="1"/>
        <w:tblCaption w:val="Prazna vrstica tabele."/>
        <w:tblDescription w:val="Prazna vrstica tabele."/>
      </w:tblPr>
      <w:tblGrid>
        <w:gridCol w:w="9063"/>
      </w:tblGrid>
      <w:tr w:rsidR="006A41E2" w:rsidRPr="00275BA0" w:rsidTr="009F694C">
        <w:trPr>
          <w:tblHeader/>
        </w:trPr>
        <w:tc>
          <w:tcPr>
            <w:tcW w:w="9289" w:type="dxa"/>
          </w:tcPr>
          <w:p w:rsidR="006A41E2" w:rsidRPr="00275BA0" w:rsidRDefault="00475780" w:rsidP="009E5C5D">
            <w:pPr>
              <w:pStyle w:val="Personnequisigne"/>
              <w:rPr>
                <w:noProof/>
              </w:rPr>
            </w:pPr>
            <w:r w:rsidRPr="00275BA0">
              <w:rPr>
                <w:noProof/>
                <w:sz w:val="22"/>
              </w:rPr>
              <w:t>/</w:t>
            </w:r>
          </w:p>
        </w:tc>
      </w:tr>
    </w:tbl>
    <w:p w:rsidR="006A41E2" w:rsidRPr="00275BA0" w:rsidRDefault="00C30ACF" w:rsidP="00C30ACF">
      <w:pPr>
        <w:pStyle w:val="ManualHeading1"/>
        <w:rPr>
          <w:noProof/>
        </w:rPr>
      </w:pPr>
      <w:r w:rsidRPr="00275BA0">
        <w:lastRenderedPageBreak/>
        <w:t>2.</w:t>
      </w:r>
      <w:r w:rsidRPr="00275BA0">
        <w:tab/>
      </w:r>
      <w:r w:rsidR="006A41E2" w:rsidRPr="00275BA0">
        <w:rPr>
          <w:noProof/>
        </w:rPr>
        <w:t xml:space="preserve">Dopolnjevanje </w:t>
      </w:r>
    </w:p>
    <w:p w:rsidR="006A41E2" w:rsidRPr="00275BA0" w:rsidRDefault="00C30ACF" w:rsidP="00C30ACF">
      <w:pPr>
        <w:pStyle w:val="ManualHeading2"/>
        <w:rPr>
          <w:noProof/>
        </w:rPr>
      </w:pPr>
      <w:r w:rsidRPr="00275BA0">
        <w:t>2.1.</w:t>
      </w:r>
      <w:r w:rsidRPr="00275BA0">
        <w:tab/>
      </w:r>
      <w:r w:rsidR="006A41E2" w:rsidRPr="00275BA0">
        <w:rPr>
          <w:noProof/>
        </w:rPr>
        <w:t>Dopolnjevanje z drugimi skladi Unije – člen 30(2), točka (c), Uredbe (EU) 2021/1149</w:t>
      </w:r>
    </w:p>
    <w:p w:rsidR="004630E2" w:rsidRPr="00275BA0" w:rsidRDefault="0060652B" w:rsidP="006A41E2">
      <w:pPr>
        <w:rPr>
          <w:noProof/>
          <w:sz w:val="22"/>
        </w:rPr>
      </w:pPr>
      <w:r w:rsidRPr="00275BA0">
        <w:rPr>
          <w:noProof/>
          <w:sz w:val="22"/>
        </w:rPr>
        <w:t>Opišite dopolnjevanje in, če je ustrezno, sinergije med ukrepi, ki jih podpira Sklad, in podporo iz drugih skladov Unije na področju varnosti, kot so:</w:t>
      </w:r>
    </w:p>
    <w:p w:rsidR="004630E2" w:rsidRPr="00275BA0" w:rsidRDefault="006A41E2" w:rsidP="00912E10">
      <w:pPr>
        <w:pStyle w:val="Tiret0"/>
        <w:numPr>
          <w:ilvl w:val="0"/>
          <w:numId w:val="9"/>
        </w:numPr>
        <w:rPr>
          <w:noProof/>
          <w:sz w:val="22"/>
        </w:rPr>
      </w:pPr>
      <w:r w:rsidRPr="00275BA0">
        <w:rPr>
          <w:noProof/>
          <w:sz w:val="22"/>
        </w:rPr>
        <w:t>Sklad za azil, migracije in vključevanje ter Sklad za integrirano upravljanje meja, vključno z Instrumentom za finančno podporo za upravljanje meja in vizumsko politiko ter instrumentom za finančno podporo za opremo za carinske kontrole</w:t>
      </w:r>
      <w:r w:rsidR="00E9035B" w:rsidRPr="00275BA0">
        <w:rPr>
          <w:noProof/>
          <w:sz w:val="22"/>
        </w:rPr>
        <w:t>,</w:t>
      </w:r>
    </w:p>
    <w:p w:rsidR="004630E2" w:rsidRPr="00275BA0" w:rsidRDefault="006A41E2" w:rsidP="00912E10">
      <w:pPr>
        <w:pStyle w:val="Tiret0"/>
        <w:numPr>
          <w:ilvl w:val="0"/>
          <w:numId w:val="9"/>
        </w:numPr>
        <w:rPr>
          <w:noProof/>
          <w:sz w:val="22"/>
        </w:rPr>
      </w:pPr>
      <w:r w:rsidRPr="00275BA0">
        <w:rPr>
          <w:noProof/>
          <w:sz w:val="22"/>
        </w:rPr>
        <w:t>kohezijski skladi, zlasti Evropski sklad za regionalni razvoj (ESRR)</w:t>
      </w:r>
      <w:r w:rsidR="00E9035B" w:rsidRPr="00275BA0">
        <w:rPr>
          <w:noProof/>
          <w:sz w:val="22"/>
        </w:rPr>
        <w:t>,</w:t>
      </w:r>
    </w:p>
    <w:p w:rsidR="004630E2" w:rsidRPr="00275BA0" w:rsidRDefault="006A41E2" w:rsidP="00912E10">
      <w:pPr>
        <w:pStyle w:val="Tiret0"/>
        <w:numPr>
          <w:ilvl w:val="0"/>
          <w:numId w:val="9"/>
        </w:numPr>
        <w:rPr>
          <w:noProof/>
          <w:sz w:val="22"/>
        </w:rPr>
      </w:pPr>
      <w:r w:rsidRPr="00275BA0">
        <w:rPr>
          <w:noProof/>
          <w:sz w:val="22"/>
        </w:rPr>
        <w:t>del programa Obzorje Evropa, ki se nanaša na raziskave na področju varnosti</w:t>
      </w:r>
      <w:r w:rsidR="00E9035B" w:rsidRPr="00275BA0">
        <w:rPr>
          <w:noProof/>
          <w:sz w:val="22"/>
        </w:rPr>
        <w:t>,</w:t>
      </w:r>
    </w:p>
    <w:p w:rsidR="004630E2" w:rsidRPr="00275BA0" w:rsidRDefault="006A41E2" w:rsidP="00912E10">
      <w:pPr>
        <w:pStyle w:val="Tiret0"/>
        <w:numPr>
          <w:ilvl w:val="0"/>
          <w:numId w:val="9"/>
        </w:numPr>
        <w:rPr>
          <w:noProof/>
          <w:sz w:val="22"/>
        </w:rPr>
      </w:pPr>
      <w:r w:rsidRPr="00275BA0">
        <w:rPr>
          <w:noProof/>
          <w:sz w:val="22"/>
        </w:rPr>
        <w:t>program Državljani, enakost, pravice in vrednote ter program za pravosodje</w:t>
      </w:r>
      <w:r w:rsidR="00E9035B" w:rsidRPr="00275BA0">
        <w:rPr>
          <w:noProof/>
          <w:sz w:val="22"/>
        </w:rPr>
        <w:t>,</w:t>
      </w:r>
    </w:p>
    <w:p w:rsidR="004630E2" w:rsidRPr="00275BA0" w:rsidRDefault="006A41E2" w:rsidP="00912E10">
      <w:pPr>
        <w:pStyle w:val="Tiret0"/>
        <w:numPr>
          <w:ilvl w:val="0"/>
          <w:numId w:val="9"/>
        </w:numPr>
        <w:rPr>
          <w:noProof/>
          <w:sz w:val="22"/>
        </w:rPr>
      </w:pPr>
      <w:r w:rsidRPr="00275BA0">
        <w:rPr>
          <w:noProof/>
          <w:sz w:val="22"/>
        </w:rPr>
        <w:t>program Digitalna Evropa</w:t>
      </w:r>
      <w:r w:rsidR="00E9035B" w:rsidRPr="00275BA0">
        <w:rPr>
          <w:noProof/>
          <w:sz w:val="22"/>
        </w:rPr>
        <w:t>,</w:t>
      </w:r>
    </w:p>
    <w:p w:rsidR="004630E2" w:rsidRPr="00275BA0" w:rsidRDefault="006A41E2" w:rsidP="00912E10">
      <w:pPr>
        <w:pStyle w:val="Tiret0"/>
        <w:numPr>
          <w:ilvl w:val="0"/>
          <w:numId w:val="9"/>
        </w:numPr>
        <w:rPr>
          <w:noProof/>
          <w:sz w:val="22"/>
        </w:rPr>
      </w:pPr>
      <w:r w:rsidRPr="00275BA0">
        <w:rPr>
          <w:noProof/>
          <w:sz w:val="22"/>
        </w:rPr>
        <w:t>program InvestEU</w:t>
      </w:r>
      <w:r w:rsidR="00E9035B" w:rsidRPr="00275BA0">
        <w:rPr>
          <w:noProof/>
          <w:sz w:val="22"/>
        </w:rPr>
        <w:t>,</w:t>
      </w:r>
    </w:p>
    <w:p w:rsidR="004630E2" w:rsidRPr="00275BA0" w:rsidRDefault="006A41E2" w:rsidP="00912E10">
      <w:pPr>
        <w:pStyle w:val="Tiret0"/>
        <w:numPr>
          <w:ilvl w:val="0"/>
          <w:numId w:val="9"/>
        </w:numPr>
        <w:rPr>
          <w:noProof/>
          <w:sz w:val="22"/>
        </w:rPr>
      </w:pPr>
      <w:r w:rsidRPr="00275BA0">
        <w:rPr>
          <w:noProof/>
          <w:sz w:val="22"/>
        </w:rPr>
        <w:t>Instrument za tehnično podporo</w:t>
      </w:r>
      <w:r w:rsidR="00E9035B" w:rsidRPr="00275BA0">
        <w:rPr>
          <w:noProof/>
          <w:sz w:val="22"/>
        </w:rPr>
        <w:t>,</w:t>
      </w:r>
    </w:p>
    <w:p w:rsidR="004630E2" w:rsidRPr="00275BA0" w:rsidRDefault="006A41E2" w:rsidP="00912E10">
      <w:pPr>
        <w:pStyle w:val="Tiret0"/>
        <w:numPr>
          <w:ilvl w:val="0"/>
          <w:numId w:val="9"/>
        </w:numPr>
        <w:rPr>
          <w:noProof/>
          <w:sz w:val="22"/>
        </w:rPr>
      </w:pPr>
      <w:r w:rsidRPr="00275BA0">
        <w:rPr>
          <w:noProof/>
          <w:sz w:val="22"/>
        </w:rPr>
        <w:t>rezerva rescEU</w:t>
      </w:r>
      <w:r w:rsidR="00E9035B" w:rsidRPr="00275BA0">
        <w:rPr>
          <w:noProof/>
          <w:sz w:val="22"/>
        </w:rPr>
        <w:t>,</w:t>
      </w:r>
    </w:p>
    <w:p w:rsidR="004630E2" w:rsidRPr="00275BA0" w:rsidRDefault="004630E2" w:rsidP="00912E10">
      <w:pPr>
        <w:pStyle w:val="Tiret0"/>
        <w:numPr>
          <w:ilvl w:val="0"/>
          <w:numId w:val="9"/>
        </w:numPr>
        <w:rPr>
          <w:noProof/>
          <w:sz w:val="22"/>
        </w:rPr>
      </w:pPr>
      <w:r w:rsidRPr="00275BA0">
        <w:rPr>
          <w:noProof/>
          <w:sz w:val="22"/>
        </w:rPr>
        <w:t>Instrument za sosedstvo ter razvojno in mednarodno sodelovanje (NDICI) – Globalna Evropa in</w:t>
      </w:r>
    </w:p>
    <w:p w:rsidR="004630E2" w:rsidRPr="00275BA0" w:rsidRDefault="004630E2" w:rsidP="00912E10">
      <w:pPr>
        <w:pStyle w:val="Tiret0"/>
        <w:numPr>
          <w:ilvl w:val="0"/>
          <w:numId w:val="9"/>
        </w:numPr>
        <w:rPr>
          <w:noProof/>
          <w:sz w:val="22"/>
        </w:rPr>
      </w:pPr>
      <w:r w:rsidRPr="00275BA0">
        <w:rPr>
          <w:noProof/>
          <w:sz w:val="22"/>
        </w:rPr>
        <w:t xml:space="preserve">instrument za predpristopno pomoč (IPA). </w:t>
      </w:r>
    </w:p>
    <w:p w:rsidR="006A41E2" w:rsidRPr="00275BA0" w:rsidRDefault="0060652B" w:rsidP="006A41E2">
      <w:pPr>
        <w:rPr>
          <w:noProof/>
          <w:sz w:val="22"/>
        </w:rPr>
      </w:pPr>
      <w:r w:rsidRPr="00275BA0">
        <w:rPr>
          <w:noProof/>
          <w:sz w:val="22"/>
        </w:rPr>
        <w:t>Posebno pozornost namenite:</w:t>
      </w:r>
    </w:p>
    <w:p w:rsidR="006A41E2" w:rsidRPr="00275BA0" w:rsidRDefault="007261C3" w:rsidP="00912E10">
      <w:pPr>
        <w:pStyle w:val="Tiret0"/>
        <w:numPr>
          <w:ilvl w:val="0"/>
          <w:numId w:val="12"/>
        </w:numPr>
        <w:rPr>
          <w:noProof/>
          <w:sz w:val="22"/>
        </w:rPr>
      </w:pPr>
      <w:r w:rsidRPr="00275BA0">
        <w:rPr>
          <w:noProof/>
          <w:sz w:val="22"/>
        </w:rPr>
        <w:t>dopolnjevanju z instrumenti Unije za zunanje financiranje za ukrepe, ki se izvajajo v tretjih državah ali v zvezi z njimi, s poudarkom na vidikih, ki so skladni z načeli in splošnimi cilji zunanje politike Unije, ter</w:t>
      </w:r>
    </w:p>
    <w:p w:rsidR="006A41E2" w:rsidRPr="00275BA0" w:rsidRDefault="006A41E2" w:rsidP="00912E10">
      <w:pPr>
        <w:pStyle w:val="Tiret0"/>
        <w:numPr>
          <w:ilvl w:val="0"/>
          <w:numId w:val="12"/>
        </w:numPr>
        <w:rPr>
          <w:noProof/>
          <w:sz w:val="22"/>
        </w:rPr>
      </w:pPr>
      <w:r w:rsidRPr="00275BA0">
        <w:rPr>
          <w:noProof/>
          <w:sz w:val="22"/>
        </w:rPr>
        <w:t>uporabi omogočitvenih mehanizmov, kot so organizacijske in postopkovne ureditve, ki pomagajo doseči dopolnjevanje in, če je ustrezno, sinergije, ter morebitnim ukrepom, sprejetim za njihovo izboljšanje med obračunskim letom.</w:t>
      </w:r>
    </w:p>
    <w:p w:rsidR="00397A63" w:rsidRPr="00275BA0" w:rsidRDefault="00397A63" w:rsidP="00397A63">
      <w:pPr>
        <w:rPr>
          <w:noProof/>
          <w:sz w:val="22"/>
        </w:rPr>
      </w:pPr>
      <w:r w:rsidRPr="00275BA0">
        <w:rPr>
          <w:noProof/>
          <w:sz w:val="22"/>
        </w:rPr>
        <w:t>Če je ustrezno, opišite tudi:</w:t>
      </w:r>
    </w:p>
    <w:p w:rsidR="00397A63" w:rsidRPr="00275BA0" w:rsidRDefault="00397A63" w:rsidP="00397A63">
      <w:pPr>
        <w:pStyle w:val="Tiret0"/>
        <w:numPr>
          <w:ilvl w:val="0"/>
          <w:numId w:val="12"/>
        </w:numPr>
        <w:rPr>
          <w:noProof/>
          <w:sz w:val="22"/>
        </w:rPr>
      </w:pPr>
      <w:r w:rsidRPr="00275BA0">
        <w:rPr>
          <w:noProof/>
          <w:sz w:val="22"/>
        </w:rPr>
        <w:t>dopolnjevanje dejavnosti, ki se izvajajo z vidika krepitve medagencijskega sodelovanja</w:t>
      </w:r>
      <w:r w:rsidRPr="00275BA0">
        <w:rPr>
          <w:rStyle w:val="Sprotnaopomba-sklic"/>
          <w:noProof/>
          <w:sz w:val="22"/>
        </w:rPr>
        <w:footnoteReference w:id="18"/>
      </w:r>
      <w:r w:rsidR="00E9035B" w:rsidRPr="00275BA0">
        <w:rPr>
          <w:noProof/>
        </w:rPr>
        <w:t>,</w:t>
      </w:r>
    </w:p>
    <w:p w:rsidR="00397A63" w:rsidRPr="00275BA0" w:rsidRDefault="00397A63" w:rsidP="00397A63">
      <w:pPr>
        <w:pStyle w:val="Tiret0"/>
        <w:numPr>
          <w:ilvl w:val="0"/>
          <w:numId w:val="12"/>
        </w:numPr>
        <w:rPr>
          <w:noProof/>
          <w:sz w:val="22"/>
        </w:rPr>
      </w:pPr>
      <w:r w:rsidRPr="00275BA0">
        <w:rPr>
          <w:noProof/>
          <w:sz w:val="22"/>
        </w:rPr>
        <w:t>sinergije v zvezi z varnostjo infrastrukture in javnih prostorov, kibernetsko varnostjo, zaščito žrtev in preprečevanjem radikalizacije.</w:t>
      </w:r>
    </w:p>
    <w:tbl>
      <w:tblPr>
        <w:tblStyle w:val="Tabelamrea"/>
        <w:tblW w:w="0" w:type="auto"/>
        <w:tblLook w:val="04A0" w:firstRow="1" w:lastRow="0" w:firstColumn="1" w:lastColumn="0" w:noHBand="0" w:noVBand="1"/>
        <w:tblCaption w:val="Poudarjeno besedilo, stran 5"/>
        <w:tblDescription w:val="Slovenija je v obračunskem obdobju poročanja šele pričela z izvajanjem aktivnosti v zvezi z ukrepi programa SNV, zato ne moremo poročati o morebitnih dopolnjevanjih in sinergijah, doseženih med obračunskim letom."/>
      </w:tblPr>
      <w:tblGrid>
        <w:gridCol w:w="9063"/>
      </w:tblGrid>
      <w:tr w:rsidR="006A41E2" w:rsidRPr="00275BA0" w:rsidTr="009F694C">
        <w:trPr>
          <w:tblHeader/>
        </w:trPr>
        <w:tc>
          <w:tcPr>
            <w:tcW w:w="9289" w:type="dxa"/>
          </w:tcPr>
          <w:p w:rsidR="006A41E2" w:rsidRPr="00275BA0" w:rsidRDefault="00C73DA1" w:rsidP="00336B99">
            <w:pPr>
              <w:pStyle w:val="Personnequisigne"/>
              <w:jc w:val="both"/>
              <w:rPr>
                <w:noProof/>
              </w:rPr>
            </w:pPr>
            <w:r w:rsidRPr="00275BA0">
              <w:rPr>
                <w:i w:val="0"/>
                <w:noProof/>
                <w:sz w:val="22"/>
              </w:rPr>
              <w:t xml:space="preserve">Slovenija </w:t>
            </w:r>
            <w:r w:rsidR="00336B99">
              <w:rPr>
                <w:i w:val="0"/>
                <w:noProof/>
                <w:sz w:val="22"/>
              </w:rPr>
              <w:t xml:space="preserve">je </w:t>
            </w:r>
            <w:r w:rsidRPr="00275BA0">
              <w:rPr>
                <w:i w:val="0"/>
                <w:noProof/>
                <w:sz w:val="22"/>
              </w:rPr>
              <w:t>v obračunskem obdobju poročanja še</w:t>
            </w:r>
            <w:r w:rsidR="00336B99">
              <w:rPr>
                <w:i w:val="0"/>
                <w:noProof/>
                <w:sz w:val="22"/>
              </w:rPr>
              <w:t xml:space="preserve">le </w:t>
            </w:r>
            <w:r w:rsidRPr="00275BA0">
              <w:rPr>
                <w:i w:val="0"/>
                <w:noProof/>
                <w:sz w:val="22"/>
              </w:rPr>
              <w:t>pričela z izvajanjem aktivnosti v zvezi z ukrepi programa SNV, zato ne moremo poročati o morebitnih dopolnjevanjih in sinergijah, doseženih med obračunskim letom.</w:t>
            </w:r>
          </w:p>
        </w:tc>
      </w:tr>
    </w:tbl>
    <w:p w:rsidR="008671BE" w:rsidRPr="00275BA0" w:rsidRDefault="00C30ACF" w:rsidP="00C30ACF">
      <w:pPr>
        <w:pStyle w:val="ManualHeading2"/>
        <w:rPr>
          <w:noProof/>
        </w:rPr>
      </w:pPr>
      <w:r w:rsidRPr="00275BA0">
        <w:t>2.2.</w:t>
      </w:r>
      <w:r w:rsidRPr="00275BA0">
        <w:tab/>
      </w:r>
      <w:r w:rsidR="008671BE" w:rsidRPr="00275BA0">
        <w:rPr>
          <w:noProof/>
        </w:rPr>
        <w:t xml:space="preserve">Večnamenska oprema in sistemi IKT – člen 5(4) Uredbe (EU) 2021/1149 </w:t>
      </w:r>
    </w:p>
    <w:p w:rsidR="008671BE" w:rsidRPr="00275BA0" w:rsidRDefault="00621FCD" w:rsidP="008671BE">
      <w:pPr>
        <w:rPr>
          <w:noProof/>
          <w:sz w:val="22"/>
        </w:rPr>
      </w:pPr>
      <w:r w:rsidRPr="00275BA0">
        <w:rPr>
          <w:noProof/>
          <w:sz w:val="22"/>
        </w:rPr>
        <w:t xml:space="preserve">Na kratko opišite ustrezne operacije, ki vključujejo opremo in sisteme IKT, nabavljene v okviru programa in delno uporabljene na dopolnilnem področju iz Uredbe (EU) 2021/1148 ter za doseganje ciljev Instrumenta za finančno podporo za upravljanje meja in vizumsko politiko. Navedite kraje, kjer so bili večnamenska oprema in sistemi IKT uporabljeni. </w:t>
      </w:r>
    </w:p>
    <w:p w:rsidR="008671BE" w:rsidRPr="00275BA0" w:rsidRDefault="00DF1E54" w:rsidP="008671BE">
      <w:pPr>
        <w:rPr>
          <w:noProof/>
          <w:sz w:val="22"/>
        </w:rPr>
      </w:pPr>
      <w:r w:rsidRPr="00275BA0">
        <w:rPr>
          <w:noProof/>
          <w:sz w:val="22"/>
        </w:rPr>
        <w:t xml:space="preserve">Za opremo navedite tudi informacije o obdobju njene uporabe na dopolnilnih področjih Instrumenta za finančno podporo za upravljanje meja in vizumsko politiko. </w:t>
      </w:r>
    </w:p>
    <w:tbl>
      <w:tblPr>
        <w:tblStyle w:val="Tabelamrea"/>
        <w:tblW w:w="0" w:type="auto"/>
        <w:tblLook w:val="04A0" w:firstRow="1" w:lastRow="0" w:firstColumn="1" w:lastColumn="0" w:noHBand="0" w:noVBand="1"/>
        <w:tblCaption w:val="Poudarjeno besedilo, stran 5 do 6"/>
        <w:tblDescription w:val="Slovenija je v obračunskem obdobju poročanja šele pričela z izvajanjem aktivnosti v zvezi z ukrepi programa SNV, zato ne moremo poročati o večnamenski opremi in sistemih IKT, ki bi bili nabavljeni s podporo programa SNV med obračunskim letom in uporabljeni za doseganje ciljev Instrumenta za finančno podporo za upravljanje meja in vizumsko politiko."/>
      </w:tblPr>
      <w:tblGrid>
        <w:gridCol w:w="9063"/>
      </w:tblGrid>
      <w:tr w:rsidR="008671BE" w:rsidRPr="00275BA0" w:rsidTr="009F694C">
        <w:trPr>
          <w:tblHeader/>
        </w:trPr>
        <w:tc>
          <w:tcPr>
            <w:tcW w:w="9289" w:type="dxa"/>
          </w:tcPr>
          <w:p w:rsidR="008671BE" w:rsidRPr="00275BA0" w:rsidRDefault="003252F1" w:rsidP="00336B99">
            <w:pPr>
              <w:pStyle w:val="Personnequisigne"/>
              <w:jc w:val="both"/>
              <w:rPr>
                <w:i w:val="0"/>
                <w:noProof/>
                <w:sz w:val="22"/>
              </w:rPr>
            </w:pPr>
            <w:r w:rsidRPr="00275BA0">
              <w:rPr>
                <w:i w:val="0"/>
                <w:noProof/>
                <w:sz w:val="22"/>
              </w:rPr>
              <w:t xml:space="preserve">Slovenija </w:t>
            </w:r>
            <w:r w:rsidR="00336B99">
              <w:rPr>
                <w:i w:val="0"/>
                <w:noProof/>
                <w:sz w:val="22"/>
              </w:rPr>
              <w:t xml:space="preserve">je </w:t>
            </w:r>
            <w:r w:rsidRPr="00275BA0">
              <w:rPr>
                <w:i w:val="0"/>
                <w:noProof/>
                <w:sz w:val="22"/>
              </w:rPr>
              <w:t>v obračunskem obdobju poročanja še</w:t>
            </w:r>
            <w:r w:rsidR="00336B99">
              <w:rPr>
                <w:i w:val="0"/>
                <w:noProof/>
                <w:sz w:val="22"/>
              </w:rPr>
              <w:t>le</w:t>
            </w:r>
            <w:r w:rsidRPr="00275BA0">
              <w:rPr>
                <w:i w:val="0"/>
                <w:noProof/>
                <w:sz w:val="22"/>
              </w:rPr>
              <w:t xml:space="preserve"> pričela z izvajanjem aktivnosti v zvezi z ukrepi programa SNV, zato ne moremo poročati o večnamenski opremi in sistemih IKT, ki bi bili nabavljeni </w:t>
            </w:r>
            <w:r w:rsidRPr="00275BA0">
              <w:rPr>
                <w:i w:val="0"/>
                <w:noProof/>
                <w:sz w:val="22"/>
              </w:rPr>
              <w:lastRenderedPageBreak/>
              <w:t>s podporo programa SNV med obračunskim letom in uporabljeni za doseganje ciljev Instrumenta za finančno podporo za upravljanje meja in vizumsko politiko.</w:t>
            </w:r>
          </w:p>
        </w:tc>
      </w:tr>
    </w:tbl>
    <w:p w:rsidR="006A41E2" w:rsidRPr="00275BA0" w:rsidRDefault="00BC294D" w:rsidP="00BC294D">
      <w:pPr>
        <w:rPr>
          <w:noProof/>
          <w:sz w:val="22"/>
        </w:rPr>
      </w:pPr>
      <w:r w:rsidRPr="00275BA0">
        <w:rPr>
          <w:noProof/>
          <w:sz w:val="22"/>
        </w:rPr>
        <w:lastRenderedPageBreak/>
        <w:t>Za informacijski sistem Unije, ki se financira na podlagi Uredbe (EU) 2021/1149 in služi tudi ciljem Uredbe (EU) 2021/1148 (večnamenski) ali dejavnostim, ki se zahtevajo v pravnem okviru EU za interoperabilnost</w:t>
      </w:r>
      <w:r w:rsidRPr="00275BA0">
        <w:rPr>
          <w:rStyle w:val="Sprotnaopomba-sklic"/>
          <w:noProof/>
          <w:sz w:val="22"/>
        </w:rPr>
        <w:footnoteReference w:id="19"/>
      </w:r>
      <w:r w:rsidRPr="00275BA0">
        <w:rPr>
          <w:noProof/>
          <w:sz w:val="22"/>
        </w:rPr>
        <w:t xml:space="preserve">, izpolnite spodnjo preglednico. </w:t>
      </w:r>
    </w:p>
    <w:tbl>
      <w:tblPr>
        <w:tblStyle w:val="Tabelamrea"/>
        <w:tblW w:w="9289" w:type="dxa"/>
        <w:tblLayout w:type="fixed"/>
        <w:tblCellMar>
          <w:left w:w="28" w:type="dxa"/>
          <w:right w:w="28" w:type="dxa"/>
        </w:tblCellMar>
        <w:tblLook w:val="04A0" w:firstRow="1" w:lastRow="0" w:firstColumn="1" w:lastColumn="0" w:noHBand="0" w:noVBand="1"/>
        <w:tblCaption w:val="Preglednica, stran 6"/>
        <w:tblDescription w:val="Primer tabele, v katero se vpišejo podatki: cilji, ime operacije, upravičenec operacije, cilj operacije, obdobje izvajanja, stopnja sofinanciranja, upravičeni stroški in izdatki."/>
      </w:tblPr>
      <w:tblGrid>
        <w:gridCol w:w="879"/>
        <w:gridCol w:w="1072"/>
        <w:gridCol w:w="1338"/>
        <w:gridCol w:w="1275"/>
        <w:gridCol w:w="1134"/>
        <w:gridCol w:w="1214"/>
        <w:gridCol w:w="1134"/>
        <w:gridCol w:w="1243"/>
      </w:tblGrid>
      <w:tr w:rsidR="006A41E2" w:rsidRPr="00275BA0" w:rsidTr="009F694C">
        <w:trPr>
          <w:trHeight w:val="688"/>
          <w:tblHeader/>
        </w:trPr>
        <w:tc>
          <w:tcPr>
            <w:tcW w:w="879" w:type="dxa"/>
            <w:vAlign w:val="center"/>
          </w:tcPr>
          <w:p w:rsidR="006A41E2" w:rsidRPr="00275BA0" w:rsidRDefault="006A41E2" w:rsidP="00E45665">
            <w:pPr>
              <w:pStyle w:val="Institutionquisigne"/>
              <w:spacing w:before="0"/>
              <w:jc w:val="center"/>
              <w:rPr>
                <w:i w:val="0"/>
                <w:noProof/>
                <w:sz w:val="20"/>
              </w:rPr>
            </w:pPr>
            <w:r w:rsidRPr="00275BA0">
              <w:rPr>
                <w:i w:val="0"/>
                <w:noProof/>
                <w:sz w:val="20"/>
              </w:rPr>
              <w:t>Specifični cilj</w:t>
            </w:r>
          </w:p>
        </w:tc>
        <w:tc>
          <w:tcPr>
            <w:tcW w:w="1072" w:type="dxa"/>
            <w:vAlign w:val="center"/>
          </w:tcPr>
          <w:p w:rsidR="006A41E2" w:rsidRPr="00275BA0" w:rsidRDefault="006A41E2" w:rsidP="00E45665">
            <w:pPr>
              <w:pStyle w:val="Institutionquisigne"/>
              <w:spacing w:before="0"/>
              <w:jc w:val="center"/>
              <w:rPr>
                <w:i w:val="0"/>
                <w:noProof/>
                <w:sz w:val="20"/>
              </w:rPr>
            </w:pPr>
            <w:r w:rsidRPr="00275BA0">
              <w:rPr>
                <w:i w:val="0"/>
                <w:noProof/>
                <w:sz w:val="20"/>
              </w:rPr>
              <w:t>Ime operacije</w:t>
            </w:r>
          </w:p>
        </w:tc>
        <w:tc>
          <w:tcPr>
            <w:tcW w:w="1338" w:type="dxa"/>
            <w:vAlign w:val="center"/>
          </w:tcPr>
          <w:p w:rsidR="006A41E2" w:rsidRPr="00275BA0" w:rsidRDefault="006A41E2" w:rsidP="00E45665">
            <w:pPr>
              <w:pStyle w:val="Institutionquisigne"/>
              <w:spacing w:before="0"/>
              <w:jc w:val="center"/>
              <w:rPr>
                <w:i w:val="0"/>
                <w:noProof/>
                <w:sz w:val="20"/>
              </w:rPr>
            </w:pPr>
            <w:r w:rsidRPr="00275BA0">
              <w:rPr>
                <w:i w:val="0"/>
                <w:noProof/>
                <w:sz w:val="20"/>
              </w:rPr>
              <w:t>Upravičenec operacije</w:t>
            </w:r>
          </w:p>
        </w:tc>
        <w:tc>
          <w:tcPr>
            <w:tcW w:w="1275" w:type="dxa"/>
            <w:vAlign w:val="center"/>
          </w:tcPr>
          <w:p w:rsidR="006A41E2" w:rsidRPr="00275BA0" w:rsidRDefault="006A41E2" w:rsidP="006A41E2">
            <w:pPr>
              <w:pStyle w:val="Institutionquisigne"/>
              <w:spacing w:before="0"/>
              <w:jc w:val="center"/>
              <w:rPr>
                <w:i w:val="0"/>
                <w:noProof/>
                <w:sz w:val="20"/>
              </w:rPr>
            </w:pPr>
            <w:r w:rsidRPr="00275BA0">
              <w:rPr>
                <w:i w:val="0"/>
                <w:noProof/>
                <w:sz w:val="20"/>
              </w:rPr>
              <w:t>Cilj operacije</w:t>
            </w:r>
          </w:p>
        </w:tc>
        <w:tc>
          <w:tcPr>
            <w:tcW w:w="1134" w:type="dxa"/>
            <w:vAlign w:val="center"/>
          </w:tcPr>
          <w:p w:rsidR="006A41E2" w:rsidRPr="00275BA0" w:rsidRDefault="006A41E2" w:rsidP="00E45665">
            <w:pPr>
              <w:pStyle w:val="Institutionquisigne"/>
              <w:spacing w:before="0"/>
              <w:jc w:val="center"/>
              <w:rPr>
                <w:i w:val="0"/>
                <w:noProof/>
                <w:sz w:val="20"/>
              </w:rPr>
            </w:pPr>
            <w:r w:rsidRPr="00275BA0">
              <w:rPr>
                <w:i w:val="0"/>
                <w:noProof/>
                <w:sz w:val="20"/>
              </w:rPr>
              <w:t>Obdobje izvajanja</w:t>
            </w:r>
          </w:p>
        </w:tc>
        <w:tc>
          <w:tcPr>
            <w:tcW w:w="1214" w:type="dxa"/>
            <w:vAlign w:val="center"/>
          </w:tcPr>
          <w:p w:rsidR="006A41E2" w:rsidRPr="00275BA0" w:rsidRDefault="006A41E2" w:rsidP="00E45665">
            <w:pPr>
              <w:pStyle w:val="Institutionquisigne"/>
              <w:spacing w:before="0"/>
              <w:jc w:val="center"/>
              <w:rPr>
                <w:i w:val="0"/>
                <w:noProof/>
                <w:sz w:val="20"/>
              </w:rPr>
            </w:pPr>
            <w:r w:rsidRPr="00275BA0">
              <w:rPr>
                <w:i w:val="0"/>
                <w:noProof/>
                <w:sz w:val="20"/>
              </w:rPr>
              <w:t>Stopnja sofinanciranja</w:t>
            </w:r>
          </w:p>
        </w:tc>
        <w:tc>
          <w:tcPr>
            <w:tcW w:w="1134" w:type="dxa"/>
            <w:vAlign w:val="center"/>
          </w:tcPr>
          <w:p w:rsidR="006A41E2" w:rsidRPr="00275BA0" w:rsidRDefault="006A41E2" w:rsidP="00E45665">
            <w:pPr>
              <w:pStyle w:val="Institutionquisigne"/>
              <w:spacing w:before="0"/>
              <w:jc w:val="center"/>
              <w:rPr>
                <w:i w:val="0"/>
                <w:noProof/>
                <w:sz w:val="20"/>
              </w:rPr>
            </w:pPr>
            <w:r w:rsidRPr="00275BA0">
              <w:rPr>
                <w:i w:val="0"/>
                <w:noProof/>
                <w:sz w:val="20"/>
              </w:rPr>
              <w:t>Upravičeni stroški</w:t>
            </w:r>
            <w:r w:rsidRPr="00275BA0">
              <w:rPr>
                <w:rStyle w:val="Sprotnaopomba-sklic"/>
                <w:i w:val="0"/>
                <w:noProof/>
                <w:sz w:val="20"/>
              </w:rPr>
              <w:footnoteReference w:id="20"/>
            </w:r>
          </w:p>
        </w:tc>
        <w:tc>
          <w:tcPr>
            <w:tcW w:w="1243" w:type="dxa"/>
            <w:vAlign w:val="center"/>
          </w:tcPr>
          <w:p w:rsidR="006A41E2" w:rsidRPr="00275BA0" w:rsidRDefault="006A41E2" w:rsidP="00E45665">
            <w:pPr>
              <w:pStyle w:val="Institutionquisigne"/>
              <w:spacing w:before="0"/>
              <w:jc w:val="center"/>
              <w:rPr>
                <w:i w:val="0"/>
                <w:noProof/>
                <w:sz w:val="20"/>
              </w:rPr>
            </w:pPr>
            <w:r w:rsidRPr="00275BA0">
              <w:rPr>
                <w:i w:val="0"/>
                <w:noProof/>
                <w:sz w:val="20"/>
              </w:rPr>
              <w:t>Upravičeni izdatki</w:t>
            </w:r>
            <w:r w:rsidRPr="00275BA0">
              <w:rPr>
                <w:rStyle w:val="Sprotnaopomba-sklic"/>
                <w:i w:val="0"/>
                <w:noProof/>
                <w:sz w:val="20"/>
                <w:szCs w:val="20"/>
              </w:rPr>
              <w:footnoteReference w:id="21"/>
            </w:r>
          </w:p>
        </w:tc>
      </w:tr>
      <w:tr w:rsidR="006A41E2" w:rsidRPr="00275BA0" w:rsidTr="00AC4263">
        <w:trPr>
          <w:trHeight w:val="255"/>
        </w:trPr>
        <w:tc>
          <w:tcPr>
            <w:tcW w:w="879" w:type="dxa"/>
            <w:vAlign w:val="center"/>
          </w:tcPr>
          <w:p w:rsidR="006A41E2" w:rsidRPr="00275BA0" w:rsidRDefault="00184CCF" w:rsidP="004217A7">
            <w:pPr>
              <w:pStyle w:val="Institutionquisigne"/>
              <w:spacing w:before="0"/>
              <w:jc w:val="center"/>
              <w:rPr>
                <w:i w:val="0"/>
                <w:noProof/>
                <w:sz w:val="22"/>
              </w:rPr>
            </w:pPr>
            <w:r w:rsidRPr="00275BA0">
              <w:rPr>
                <w:i w:val="0"/>
                <w:noProof/>
                <w:sz w:val="22"/>
              </w:rPr>
              <w:t>/</w:t>
            </w:r>
          </w:p>
        </w:tc>
        <w:tc>
          <w:tcPr>
            <w:tcW w:w="1072" w:type="dxa"/>
            <w:vAlign w:val="center"/>
          </w:tcPr>
          <w:p w:rsidR="006A41E2" w:rsidRPr="00275BA0" w:rsidRDefault="00184CCF" w:rsidP="00E45665">
            <w:pPr>
              <w:pStyle w:val="Institutionquisigne"/>
              <w:spacing w:before="0"/>
              <w:jc w:val="center"/>
              <w:rPr>
                <w:noProof/>
              </w:rPr>
            </w:pPr>
            <w:r w:rsidRPr="00275BA0">
              <w:rPr>
                <w:noProof/>
              </w:rPr>
              <w:t>/</w:t>
            </w:r>
          </w:p>
        </w:tc>
        <w:tc>
          <w:tcPr>
            <w:tcW w:w="1338" w:type="dxa"/>
          </w:tcPr>
          <w:p w:rsidR="006A41E2" w:rsidRPr="00275BA0" w:rsidRDefault="00184CCF" w:rsidP="00E45665">
            <w:pPr>
              <w:pStyle w:val="Institutionquisigne"/>
              <w:spacing w:before="0"/>
              <w:jc w:val="center"/>
              <w:rPr>
                <w:noProof/>
              </w:rPr>
            </w:pPr>
            <w:r w:rsidRPr="00275BA0">
              <w:rPr>
                <w:noProof/>
              </w:rPr>
              <w:t>/</w:t>
            </w:r>
          </w:p>
        </w:tc>
        <w:tc>
          <w:tcPr>
            <w:tcW w:w="1275" w:type="dxa"/>
            <w:vAlign w:val="center"/>
          </w:tcPr>
          <w:p w:rsidR="006A41E2" w:rsidRPr="00275BA0" w:rsidRDefault="00184CCF" w:rsidP="00E45665">
            <w:pPr>
              <w:pStyle w:val="Institutionquisigne"/>
              <w:spacing w:before="0"/>
              <w:jc w:val="center"/>
              <w:rPr>
                <w:noProof/>
              </w:rPr>
            </w:pPr>
            <w:r w:rsidRPr="00275BA0">
              <w:rPr>
                <w:noProof/>
              </w:rPr>
              <w:t>/</w:t>
            </w:r>
          </w:p>
        </w:tc>
        <w:tc>
          <w:tcPr>
            <w:tcW w:w="1134" w:type="dxa"/>
            <w:vAlign w:val="center"/>
          </w:tcPr>
          <w:p w:rsidR="006A41E2" w:rsidRPr="00275BA0" w:rsidRDefault="00184CCF" w:rsidP="00E45665">
            <w:pPr>
              <w:pStyle w:val="Institutionquisigne"/>
              <w:spacing w:before="0"/>
              <w:jc w:val="center"/>
              <w:rPr>
                <w:noProof/>
              </w:rPr>
            </w:pPr>
            <w:r w:rsidRPr="00275BA0">
              <w:rPr>
                <w:noProof/>
              </w:rPr>
              <w:t>/</w:t>
            </w:r>
          </w:p>
        </w:tc>
        <w:tc>
          <w:tcPr>
            <w:tcW w:w="1214" w:type="dxa"/>
          </w:tcPr>
          <w:p w:rsidR="006A41E2" w:rsidRPr="00275BA0" w:rsidRDefault="00184CCF" w:rsidP="00E45665">
            <w:pPr>
              <w:pStyle w:val="Institutionquisigne"/>
              <w:spacing w:before="0"/>
              <w:jc w:val="center"/>
              <w:rPr>
                <w:noProof/>
              </w:rPr>
            </w:pPr>
            <w:r w:rsidRPr="00275BA0">
              <w:rPr>
                <w:noProof/>
              </w:rPr>
              <w:t>/</w:t>
            </w:r>
          </w:p>
        </w:tc>
        <w:tc>
          <w:tcPr>
            <w:tcW w:w="1134" w:type="dxa"/>
          </w:tcPr>
          <w:p w:rsidR="006A41E2" w:rsidRPr="00275BA0" w:rsidRDefault="00184CCF" w:rsidP="00E45665">
            <w:pPr>
              <w:pStyle w:val="Institutionquisigne"/>
              <w:spacing w:before="0"/>
              <w:jc w:val="center"/>
              <w:rPr>
                <w:noProof/>
              </w:rPr>
            </w:pPr>
            <w:r w:rsidRPr="00275BA0">
              <w:rPr>
                <w:noProof/>
              </w:rPr>
              <w:t>/</w:t>
            </w:r>
          </w:p>
        </w:tc>
        <w:tc>
          <w:tcPr>
            <w:tcW w:w="1243" w:type="dxa"/>
          </w:tcPr>
          <w:p w:rsidR="006A41E2" w:rsidRPr="00275BA0" w:rsidRDefault="00184CCF" w:rsidP="00E45665">
            <w:pPr>
              <w:pStyle w:val="Institutionquisigne"/>
              <w:spacing w:before="0"/>
              <w:jc w:val="center"/>
              <w:rPr>
                <w:noProof/>
              </w:rPr>
            </w:pPr>
            <w:r w:rsidRPr="00275BA0">
              <w:rPr>
                <w:noProof/>
              </w:rPr>
              <w:t>/</w:t>
            </w:r>
          </w:p>
        </w:tc>
      </w:tr>
    </w:tbl>
    <w:p w:rsidR="006A41E2" w:rsidRPr="00275BA0" w:rsidRDefault="00C30ACF" w:rsidP="00C30ACF">
      <w:pPr>
        <w:pStyle w:val="ManualHeading1"/>
        <w:rPr>
          <w:noProof/>
        </w:rPr>
      </w:pPr>
      <w:r w:rsidRPr="00275BA0">
        <w:t>3.</w:t>
      </w:r>
      <w:r w:rsidRPr="00275BA0">
        <w:tab/>
      </w:r>
      <w:r w:rsidR="006A41E2" w:rsidRPr="00275BA0">
        <w:rPr>
          <w:noProof/>
        </w:rPr>
        <w:t>Izvajanje pravnega reda Unije – člen 30(2), točka (d), Uredbe (EU) 2021/1149</w:t>
      </w:r>
    </w:p>
    <w:p w:rsidR="006A41E2" w:rsidRPr="00275BA0" w:rsidRDefault="0060652B" w:rsidP="006A41E2">
      <w:pPr>
        <w:rPr>
          <w:noProof/>
          <w:sz w:val="22"/>
        </w:rPr>
      </w:pPr>
      <w:r w:rsidRPr="00275BA0">
        <w:rPr>
          <w:noProof/>
          <w:sz w:val="22"/>
        </w:rPr>
        <w:t>Opišite, kako je program med obračunskim letom prispeval k izvajanju ustreznega pravnega reda Unije (prava Unije) o varnosti in izmenjavi ustreznih informacij ter k vsem ustreznim akcijskim načrtom.</w:t>
      </w:r>
    </w:p>
    <w:tbl>
      <w:tblPr>
        <w:tblStyle w:val="Tabelamrea"/>
        <w:tblW w:w="0" w:type="auto"/>
        <w:tblLook w:val="04A0" w:firstRow="1" w:lastRow="0" w:firstColumn="1" w:lastColumn="0" w:noHBand="0" w:noVBand="1"/>
        <w:tblCaption w:val="Poudarjeno besedilo, stran 6"/>
        <w:tblDescription w:val="Slovenija je v obračunskem obdobju poročanja šele pričela z izvajanjem aktivnosti v zvezi z ukrepi programa SNV, zato ne moremo poročati o tem, kako je program med obračunskim letom prispeval k izvajanju ustreznega pravnega reda Unije (prava Unije), o varnosti in izmenjavi ustreznih informacij ter k ustreznim akcijskim načrtom."/>
      </w:tblPr>
      <w:tblGrid>
        <w:gridCol w:w="9063"/>
      </w:tblGrid>
      <w:tr w:rsidR="006A41E2" w:rsidRPr="00275BA0" w:rsidTr="009F694C">
        <w:trPr>
          <w:tblHeader/>
        </w:trPr>
        <w:tc>
          <w:tcPr>
            <w:tcW w:w="9289" w:type="dxa"/>
          </w:tcPr>
          <w:p w:rsidR="006A41E2" w:rsidRPr="00275BA0" w:rsidRDefault="006E60F4" w:rsidP="00797E15">
            <w:pPr>
              <w:rPr>
                <w:noProof/>
                <w:sz w:val="22"/>
              </w:rPr>
            </w:pPr>
            <w:r w:rsidRPr="00275BA0">
              <w:rPr>
                <w:noProof/>
                <w:sz w:val="22"/>
              </w:rPr>
              <w:t xml:space="preserve">Slovenija </w:t>
            </w:r>
            <w:r w:rsidR="00797E15">
              <w:rPr>
                <w:noProof/>
                <w:sz w:val="22"/>
              </w:rPr>
              <w:t xml:space="preserve">je </w:t>
            </w:r>
            <w:r w:rsidRPr="00275BA0">
              <w:rPr>
                <w:noProof/>
                <w:sz w:val="22"/>
              </w:rPr>
              <w:t>v obračunskem obdobju poročanja še</w:t>
            </w:r>
            <w:r w:rsidR="00797E15">
              <w:rPr>
                <w:noProof/>
                <w:sz w:val="22"/>
              </w:rPr>
              <w:t xml:space="preserve">le </w:t>
            </w:r>
            <w:r w:rsidRPr="00275BA0">
              <w:rPr>
                <w:noProof/>
                <w:sz w:val="22"/>
              </w:rPr>
              <w:t xml:space="preserve">pričela z izvajanjem aktivnosti v zvezi z ukrepi programa SNV, zato ne moremo poročati o </w:t>
            </w:r>
            <w:r w:rsidR="008E488A" w:rsidRPr="00275BA0">
              <w:rPr>
                <w:noProof/>
                <w:sz w:val="22"/>
              </w:rPr>
              <w:t>tem</w:t>
            </w:r>
            <w:r w:rsidR="00DC1E6A" w:rsidRPr="00275BA0">
              <w:rPr>
                <w:noProof/>
                <w:sz w:val="22"/>
              </w:rPr>
              <w:t>,</w:t>
            </w:r>
            <w:r w:rsidR="008E488A" w:rsidRPr="00275BA0">
              <w:rPr>
                <w:noProof/>
                <w:sz w:val="22"/>
              </w:rPr>
              <w:t xml:space="preserve"> </w:t>
            </w:r>
            <w:r w:rsidRPr="00275BA0">
              <w:rPr>
                <w:noProof/>
                <w:sz w:val="22"/>
              </w:rPr>
              <w:t>kako je program med obračunskim letom prispeval k izvajanju ustreznega pravnega reda Unije (prava Unije), o varnosti in izmenjavi ustreznih informacij ter k ustreznim akcijskim načrtom.</w:t>
            </w:r>
          </w:p>
        </w:tc>
      </w:tr>
    </w:tbl>
    <w:p w:rsidR="006A41E2" w:rsidRPr="00275BA0" w:rsidRDefault="00C30ACF" w:rsidP="00C30ACF">
      <w:pPr>
        <w:pStyle w:val="ManualHeading1"/>
        <w:rPr>
          <w:noProof/>
        </w:rPr>
      </w:pPr>
      <w:r w:rsidRPr="00275BA0">
        <w:t>4.</w:t>
      </w:r>
      <w:r w:rsidRPr="00275BA0">
        <w:tab/>
      </w:r>
      <w:r w:rsidR="006A41E2" w:rsidRPr="00275BA0">
        <w:rPr>
          <w:noProof/>
        </w:rPr>
        <w:t>Komuniciranje in prepoznavnost – člen 30(2), točka (e), Uredbe (EU) 2021/1149</w:t>
      </w:r>
    </w:p>
    <w:p w:rsidR="006A41E2" w:rsidRPr="00275BA0" w:rsidRDefault="001B037F" w:rsidP="006A41E2">
      <w:pPr>
        <w:rPr>
          <w:noProof/>
          <w:sz w:val="22"/>
        </w:rPr>
      </w:pPr>
      <w:r w:rsidRPr="00275BA0">
        <w:rPr>
          <w:noProof/>
          <w:sz w:val="22"/>
        </w:rPr>
        <w:t>Opišite, kako so se med obračunskim letom izvajali ukrepi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
        <w:tblW w:w="0" w:type="auto"/>
        <w:tblLook w:val="04A0" w:firstRow="1" w:lastRow="0" w:firstColumn="1" w:lastColumn="0" w:noHBand="0" w:noVBand="1"/>
        <w:tblCaption w:val="Poudarjeno besedilo, stran 6"/>
        <w:tblDescription w:val="Slovenija je v obračunskem obdobju poročanja šele pričela z izvajanjem aktivnosti v zvezi z ukrepi programa SNV, zato ne moremo poročati o napredku v zvezi s cilji, določenimi v komunikacijski strategiji ter doseganju vrednosti kazalnikov. Vsi upravičenci so se v prijavi operacije zavezali k upoštevanju vseh zavez, ki jih določa Uredba 2021/1060/EU ter bodo v tem poročali OU z zahtevki za povračilo."/>
      </w:tblPr>
      <w:tblGrid>
        <w:gridCol w:w="9063"/>
      </w:tblGrid>
      <w:tr w:rsidR="006A41E2" w:rsidRPr="00275BA0" w:rsidTr="009F694C">
        <w:trPr>
          <w:tblHeader/>
        </w:trPr>
        <w:tc>
          <w:tcPr>
            <w:tcW w:w="9289" w:type="dxa"/>
          </w:tcPr>
          <w:p w:rsidR="006A41E2" w:rsidRPr="00773B90" w:rsidRDefault="00C63931" w:rsidP="00797E15">
            <w:pPr>
              <w:pStyle w:val="Personnequisigne"/>
              <w:jc w:val="both"/>
              <w:rPr>
                <w:noProof/>
              </w:rPr>
            </w:pPr>
            <w:r w:rsidRPr="00773B90">
              <w:rPr>
                <w:i w:val="0"/>
                <w:noProof/>
                <w:sz w:val="22"/>
              </w:rPr>
              <w:t xml:space="preserve">Slovenija </w:t>
            </w:r>
            <w:r w:rsidR="00797E15" w:rsidRPr="00773B90">
              <w:rPr>
                <w:i w:val="0"/>
                <w:noProof/>
                <w:sz w:val="22"/>
              </w:rPr>
              <w:t xml:space="preserve">je </w:t>
            </w:r>
            <w:r w:rsidRPr="00773B90">
              <w:rPr>
                <w:i w:val="0"/>
                <w:noProof/>
                <w:sz w:val="22"/>
              </w:rPr>
              <w:t>v obračunskem obdobju poročanja še</w:t>
            </w:r>
            <w:r w:rsidR="00797E15" w:rsidRPr="00773B90">
              <w:rPr>
                <w:i w:val="0"/>
                <w:noProof/>
                <w:sz w:val="22"/>
              </w:rPr>
              <w:t xml:space="preserve">le </w:t>
            </w:r>
            <w:r w:rsidRPr="00773B90">
              <w:rPr>
                <w:i w:val="0"/>
                <w:noProof/>
                <w:sz w:val="22"/>
              </w:rPr>
              <w:t>pričela z izvajanjem aktivnosti v zvezi z ukrepi programa SNV, zato ne moremo poročati o napredku v zvezi s cilji, določenimi v komunikacijski strategiji ter doseganju vrednosti kazalnikov.</w:t>
            </w:r>
            <w:r w:rsidR="003D38C3" w:rsidRPr="00773B90">
              <w:rPr>
                <w:i w:val="0"/>
                <w:noProof/>
                <w:sz w:val="22"/>
              </w:rPr>
              <w:t xml:space="preserve"> Vsi upravičenci so se v prijavi operacije zavezali k upoštevanju vseh zavez, ki jih določa Uredba 2021/1060/EU ter bodo v tem poročali OU z zahtevki za povračilo.</w:t>
            </w:r>
          </w:p>
        </w:tc>
      </w:tr>
    </w:tbl>
    <w:p w:rsidR="006A41E2" w:rsidRPr="00275BA0" w:rsidRDefault="001B037F" w:rsidP="006A41E2">
      <w:pPr>
        <w:rPr>
          <w:noProof/>
          <w:sz w:val="22"/>
        </w:rPr>
      </w:pPr>
      <w:r w:rsidRPr="00275BA0">
        <w:rPr>
          <w:noProof/>
          <w:sz w:val="22"/>
        </w:rPr>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Caption w:val="Poudarjeno besedilo, stran 6"/>
        <w:tblDescription w:val="OU je v obdobju poročanja zagotovil, da so vsebine, ki jih je po Uredbi 2021/1060/EU treba objaviti, objavljene in redno posodabljane na enotnem spletnem portalu (www.evropskasredstva.si), ki ga je vzpostavilo ministrstvo, pristojno za kohezijo in regionalni razvoj in vključuje tudi vsebine v zvezi s Skladom za notranjo varnost. "/>
      </w:tblPr>
      <w:tblGrid>
        <w:gridCol w:w="9063"/>
      </w:tblGrid>
      <w:tr w:rsidR="006A41E2" w:rsidRPr="00275BA0" w:rsidTr="009F694C">
        <w:trPr>
          <w:tblHeader/>
        </w:trPr>
        <w:tc>
          <w:tcPr>
            <w:tcW w:w="9289" w:type="dxa"/>
          </w:tcPr>
          <w:p w:rsidR="00797E15" w:rsidRPr="001A685B" w:rsidRDefault="00797E15" w:rsidP="00797E15">
            <w:pPr>
              <w:pStyle w:val="Personnequisigne"/>
              <w:jc w:val="both"/>
              <w:rPr>
                <w:i w:val="0"/>
                <w:noProof/>
                <w:sz w:val="22"/>
              </w:rPr>
            </w:pPr>
            <w:r>
              <w:rPr>
                <w:i w:val="0"/>
                <w:noProof/>
                <w:sz w:val="22"/>
              </w:rPr>
              <w:t xml:space="preserve">OU je v obdobju poročanja zagotovil, da so </w:t>
            </w:r>
            <w:r w:rsidRPr="001A685B">
              <w:rPr>
                <w:i w:val="0"/>
                <w:noProof/>
                <w:sz w:val="22"/>
              </w:rPr>
              <w:t xml:space="preserve">vsebine, ki jih je po Uredbi 2021/1060/EU treba objaviti, objavljene in redno posodabljane na enotnem spletnem portalu (www.evropskasredstva.si), ki ga je vzpostavilo ministrstvo, pristojno za kohezijo in regionalni razvoj in </w:t>
            </w:r>
            <w:r>
              <w:rPr>
                <w:i w:val="0"/>
                <w:noProof/>
                <w:sz w:val="22"/>
              </w:rPr>
              <w:t xml:space="preserve">vključuje tudi vsebine v zvezi s </w:t>
            </w:r>
            <w:r w:rsidRPr="00275BA0">
              <w:rPr>
                <w:i w:val="0"/>
                <w:noProof/>
                <w:sz w:val="22"/>
              </w:rPr>
              <w:t>Sklad</w:t>
            </w:r>
            <w:r>
              <w:rPr>
                <w:i w:val="0"/>
                <w:noProof/>
                <w:sz w:val="22"/>
              </w:rPr>
              <w:t>om</w:t>
            </w:r>
            <w:r w:rsidRPr="00275BA0">
              <w:rPr>
                <w:i w:val="0"/>
                <w:noProof/>
                <w:sz w:val="22"/>
              </w:rPr>
              <w:t xml:space="preserve"> za notranjo varnost</w:t>
            </w:r>
            <w:r>
              <w:rPr>
                <w:i w:val="0"/>
                <w:noProof/>
                <w:sz w:val="22"/>
              </w:rPr>
              <w:t xml:space="preserve">. </w:t>
            </w:r>
          </w:p>
          <w:p w:rsidR="00797E15" w:rsidRPr="001A685B" w:rsidRDefault="00797E15" w:rsidP="00797E15">
            <w:pPr>
              <w:pStyle w:val="Personnequisigne"/>
              <w:jc w:val="both"/>
              <w:rPr>
                <w:i w:val="0"/>
                <w:noProof/>
                <w:sz w:val="22"/>
              </w:rPr>
            </w:pPr>
          </w:p>
          <w:p w:rsidR="006A41E2" w:rsidRPr="00797E15" w:rsidRDefault="00797E15" w:rsidP="00C63931">
            <w:pPr>
              <w:pStyle w:val="Personnequisigne"/>
              <w:jc w:val="both"/>
              <w:rPr>
                <w:i w:val="0"/>
                <w:noProof/>
                <w:sz w:val="22"/>
              </w:rPr>
            </w:pPr>
            <w:r w:rsidRPr="001A685B">
              <w:rPr>
                <w:i w:val="0"/>
                <w:noProof/>
                <w:sz w:val="22"/>
              </w:rPr>
              <w:lastRenderedPageBreak/>
              <w:t>Enotni spletni portal bo vključeval obveznosti iz točke (b) 46. člena ter iz prvega odstavka 49. člena Uredbe 2021/1060/EU.</w:t>
            </w:r>
            <w:r>
              <w:rPr>
                <w:i w:val="0"/>
                <w:noProof/>
                <w:sz w:val="22"/>
              </w:rPr>
              <w:t xml:space="preserve"> </w:t>
            </w:r>
          </w:p>
        </w:tc>
      </w:tr>
    </w:tbl>
    <w:p w:rsidR="006A41E2" w:rsidRPr="00275BA0" w:rsidRDefault="00C30ACF" w:rsidP="00C30ACF">
      <w:pPr>
        <w:pStyle w:val="ManualHeading1"/>
        <w:rPr>
          <w:bCs/>
          <w:noProof/>
        </w:rPr>
      </w:pPr>
      <w:r w:rsidRPr="00275BA0">
        <w:lastRenderedPageBreak/>
        <w:t>5.</w:t>
      </w:r>
      <w:r w:rsidRPr="00275BA0">
        <w:tab/>
      </w:r>
      <w:r w:rsidR="006A41E2" w:rsidRPr="00275BA0">
        <w:rPr>
          <w:noProof/>
        </w:rPr>
        <w:t>Omogočitveni pogoji in horizontalna načela</w:t>
      </w:r>
    </w:p>
    <w:p w:rsidR="006A41E2" w:rsidRPr="00275BA0" w:rsidRDefault="00C30ACF" w:rsidP="00C30ACF">
      <w:pPr>
        <w:pStyle w:val="ManualHeading2"/>
        <w:rPr>
          <w:noProof/>
        </w:rPr>
      </w:pPr>
      <w:r w:rsidRPr="00275BA0">
        <w:t>5.1.</w:t>
      </w:r>
      <w:r w:rsidRPr="00275BA0">
        <w:tab/>
      </w:r>
      <w:r w:rsidR="006A41E2" w:rsidRPr="00275BA0">
        <w:rPr>
          <w:noProof/>
        </w:rPr>
        <w:t xml:space="preserve">Omogočitveni pogoji – člen 30(2), točka (f), Uredbe (EU) 2021/1149 </w:t>
      </w:r>
    </w:p>
    <w:p w:rsidR="006A41E2" w:rsidRPr="00275BA0" w:rsidRDefault="001B037F" w:rsidP="006A41E2">
      <w:pPr>
        <w:rPr>
          <w:noProof/>
          <w:sz w:val="22"/>
        </w:rPr>
      </w:pPr>
      <w:r w:rsidRPr="00275BA0">
        <w:rPr>
          <w:noProof/>
          <w:sz w:val="22"/>
        </w:rPr>
        <w:t>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w:t>
      </w:r>
    </w:p>
    <w:tbl>
      <w:tblPr>
        <w:tblStyle w:val="Tabelamrea"/>
        <w:tblW w:w="0" w:type="auto"/>
        <w:tblLook w:val="04A0" w:firstRow="1" w:lastRow="0" w:firstColumn="1" w:lastColumn="0" w:noHBand="0" w:noVBand="1"/>
        <w:tblCaption w:val="Poudarjeno besedilo, stran 7"/>
        <w:tblDescription w:val="Slovenija v obračunskem obdobju poročanja še ni pričela z izvajanjem aktivnosti v zvezi z ukrepi programa SNV, zato ne moremo poročati o tem, kako so veljavni omogočitveni pogoji iz Priloge III k Uredbi 2021/1060/EU izpolnjeni in kako so se uporabljali.&#10;Kljub temu smo v luči učinkovite implementacije horizontalnih omogočitvenih pogojev »Dejanska uporaba in izvajanje Listine o temeljnih pravicah« ter »Izvajanje in uporaba Konvencije združenih narodov o pravicah invalidov v skladu s Sklepom Sveta 2010/48/ES« in njihovi uporabi tekom celotnega programskega obdobja, v tem obračunskem obdobju izvajali dve vrsti aktivnosti, ki so bile usmerjene zlasti v izpolnjevanje in uporabo omogočitvenih pogojev v nadaljnjih fazah izvajanja programov sklada, in sicer:&#10;- pripravili smo pravno in vsebinsko osnovo, katere temeljni namen je zagotoviti, da se bodo v programskem obdobju 2021-2027 programi, ki jih podpira sklad, izvajali skladno z določili Listine EU o temeljnih pravicah (v nadaljnjem besedilu: Listina) in Konvencije ZN o pravicah invalidov (v nadaljnjem besedilu: Konvencija), s tem namenom smo: v besedilu uredbe , ki na nacionalni ravni določa udeležence evropske politike na področju notranjih zadev in njihove naloge, načrtovanje evropske politike notranjih zadev, način izbora operacij in njihovo potrjevanje ter izvajanje operacij, podrobneje opredelili horizontalne omogočitvene pogoje (člen 7) ter v določilu, ki se nanaša na načelo partnerstva izrecno navedli, da se ta uresničuje tudi z vključitvijo civilne družbe s področja varstva človekovih pravic in temeljnih svoboščin, pravic invalidov, enakosti spolov in nediskriminacije v odboru za spremljanje (člen 6); spoštovanje določil Listine ter spoštovanje načela nediskriminacije smo kot pogoj za izvajanje operacij umestili v sprejeto Metodologijo in merila za izbor operacij (poglavje 3 – Ugotavljanje upravičenosti); slednje smo vključili tudi v generalni osnutek besedila odločitve o podpori oz. o financiranju operacij (točka IV – Izvajanje operacij); v postopkovnik odbora za spremljanje smo med naloge odbora vključili pristojnost, da odbor predlaga ukrepe in izdaja priporočila v zvezi z izpolnjevanjem omogočitvenih pogojev in njihovo uporabo v celotnem programskem obdobju ter dolžnost organa upravljanja, da odboru enkrat letno poroča o morebitnih kršitvah in neskladjih operacij z Listino ali/in Konvencijo (člen 6);&#10;- skladno z Metodologijo in merili za izbor operacij smo pri presoji upravičenosti posameznih prijav operacij posebno pozornost posvečali dejstvu ali se operacije vsebinsko dotikajo področij oziroma ali projektne prijave vsebujejo elemente, ki bi potencialno lahko vodili v kršitev določil Listine, ki bi potencialno lahko vodile v kršitev določil Listine in/ali Konvencije.  Pri tem dodajamo, da tovrstnih elementov v obravnavanih projektnih prijavah nismo zaznali.&#10;"/>
      </w:tblPr>
      <w:tblGrid>
        <w:gridCol w:w="9063"/>
      </w:tblGrid>
      <w:tr w:rsidR="006A41E2" w:rsidRPr="00275BA0" w:rsidTr="009F694C">
        <w:trPr>
          <w:tblHeader/>
        </w:trPr>
        <w:tc>
          <w:tcPr>
            <w:tcW w:w="9289" w:type="dxa"/>
          </w:tcPr>
          <w:p w:rsidR="006A41E2" w:rsidRPr="001A4BD7" w:rsidRDefault="0011011B" w:rsidP="0011011B">
            <w:pPr>
              <w:pStyle w:val="Personnequisigne"/>
              <w:jc w:val="both"/>
              <w:rPr>
                <w:i w:val="0"/>
                <w:noProof/>
                <w:sz w:val="22"/>
              </w:rPr>
            </w:pPr>
            <w:r w:rsidRPr="001A4BD7">
              <w:rPr>
                <w:i w:val="0"/>
                <w:noProof/>
                <w:sz w:val="22"/>
              </w:rPr>
              <w:t>Slovenija v obračunskem obdobju poročanja še ni pričela z izvajanjem aktivnosti v zvezi z ukrepi programa SNV, zato ne moremo poročati o tem</w:t>
            </w:r>
            <w:r w:rsidR="00DC1E6A" w:rsidRPr="001A4BD7">
              <w:rPr>
                <w:i w:val="0"/>
                <w:noProof/>
                <w:sz w:val="22"/>
              </w:rPr>
              <w:t>,</w:t>
            </w:r>
            <w:r w:rsidRPr="001A4BD7">
              <w:rPr>
                <w:i w:val="0"/>
                <w:noProof/>
                <w:sz w:val="22"/>
              </w:rPr>
              <w:t xml:space="preserve"> kako so veljavni omogočitveni pogoji iz Priloge III k Uredbi 2021/1060/EU izpolnjeni in kako so se uporabljali.</w:t>
            </w:r>
          </w:p>
          <w:p w:rsidR="007D1ECB" w:rsidRPr="001A4BD7" w:rsidRDefault="007D1ECB" w:rsidP="007D1ECB">
            <w:pPr>
              <w:tabs>
                <w:tab w:val="left" w:pos="2920"/>
              </w:tabs>
              <w:autoSpaceDE w:val="0"/>
              <w:autoSpaceDN w:val="0"/>
              <w:adjustRightInd w:val="0"/>
              <w:spacing w:after="0"/>
              <w:rPr>
                <w:rFonts w:cs="Arial"/>
                <w:color w:val="000000"/>
                <w:sz w:val="22"/>
              </w:rPr>
            </w:pPr>
            <w:r w:rsidRPr="001A4BD7">
              <w:rPr>
                <w:rFonts w:cs="Arial"/>
                <w:color w:val="000000"/>
                <w:sz w:val="22"/>
              </w:rPr>
              <w:t xml:space="preserve">Kljub temu smo v luči učinkovite implementacije horizontalnih </w:t>
            </w:r>
            <w:proofErr w:type="spellStart"/>
            <w:r w:rsidRPr="001A4BD7">
              <w:rPr>
                <w:rFonts w:cs="Arial"/>
                <w:color w:val="000000"/>
                <w:sz w:val="22"/>
              </w:rPr>
              <w:t>omogočitvenih</w:t>
            </w:r>
            <w:proofErr w:type="spellEnd"/>
            <w:r w:rsidRPr="001A4BD7">
              <w:rPr>
                <w:rFonts w:cs="Arial"/>
                <w:color w:val="000000"/>
                <w:sz w:val="22"/>
              </w:rPr>
              <w:t xml:space="preserve"> pogojev </w:t>
            </w:r>
            <w:r w:rsidRPr="001A4BD7">
              <w:rPr>
                <w:rFonts w:cs="Arial"/>
                <w:sz w:val="22"/>
              </w:rPr>
              <w:t>»Dejanska uporaba in izvajanje Listine o temeljnih pravicah« ter »Izvajanje in uporaba Konvencije združenih narodov o pravicah invalidov v skladu s Sklepom Sveta 2010/48/ES«</w:t>
            </w:r>
            <w:r w:rsidRPr="001A4BD7">
              <w:rPr>
                <w:rFonts w:cs="Arial"/>
                <w:color w:val="000000"/>
                <w:sz w:val="22"/>
              </w:rPr>
              <w:t xml:space="preserve"> in njihovi uporabi tekom celotnega programskega obdobja, v tem obračunskem obdobju izvajali dve vrsti aktivnosti, ki so bile usmerjene zlasti v izpolnjevanje in uporabo </w:t>
            </w:r>
            <w:proofErr w:type="spellStart"/>
            <w:r w:rsidRPr="001A4BD7">
              <w:rPr>
                <w:rFonts w:cs="Arial"/>
                <w:color w:val="000000"/>
                <w:sz w:val="22"/>
              </w:rPr>
              <w:t>omogočitvenih</w:t>
            </w:r>
            <w:proofErr w:type="spellEnd"/>
            <w:r w:rsidRPr="001A4BD7">
              <w:rPr>
                <w:rFonts w:cs="Arial"/>
                <w:color w:val="000000"/>
                <w:sz w:val="22"/>
              </w:rPr>
              <w:t xml:space="preserve"> pogojev v nadaljnjih fazah izvajanja programov sklada, in sicer:</w:t>
            </w:r>
          </w:p>
          <w:p w:rsidR="007D1ECB" w:rsidRPr="001A4BD7" w:rsidRDefault="007D1ECB" w:rsidP="007D1ECB">
            <w:pPr>
              <w:pStyle w:val="Odstavekseznama"/>
              <w:numPr>
                <w:ilvl w:val="0"/>
                <w:numId w:val="30"/>
              </w:numPr>
              <w:spacing w:before="0" w:after="160" w:line="259" w:lineRule="auto"/>
              <w:rPr>
                <w:sz w:val="22"/>
              </w:rPr>
            </w:pPr>
            <w:r w:rsidRPr="001A4BD7">
              <w:rPr>
                <w:color w:val="000000"/>
                <w:sz w:val="22"/>
              </w:rPr>
              <w:t>pripravili smo pravno in vsebinsko osnovo, katere temeljni namen je zagotoviti, da se bodo v programskem obdobju 2021-2027 programi, ki jih podpira sklad, izvajali skladno z določili Listine EU o temeljnih pravicah (v nadaljnjem besedilu: Listina) in Konvencije ZN o pravicah invalidov (v nadaljnjem besedilu: Konvencija), s tem namenom smo: v besedilu uredbe</w:t>
            </w:r>
            <w:r w:rsidRPr="001A4BD7">
              <w:rPr>
                <w:rStyle w:val="Sprotnaopomba-sklic"/>
                <w:color w:val="000000"/>
                <w:sz w:val="22"/>
              </w:rPr>
              <w:footnoteReference w:id="22"/>
            </w:r>
            <w:r w:rsidRPr="001A4BD7">
              <w:rPr>
                <w:color w:val="000000"/>
                <w:sz w:val="22"/>
              </w:rPr>
              <w:t xml:space="preserve">, ki </w:t>
            </w:r>
            <w:r w:rsidRPr="001A4BD7">
              <w:rPr>
                <w:rFonts w:cstheme="minorHAnsi"/>
                <w:noProof/>
                <w:sz w:val="22"/>
              </w:rPr>
              <w:t>na nacionalni ravni določa udeležence evropske politike na področju notranjih zadev in njihove naloge, načrtovanje evropske politike notranjih zadev, način izbora operacij in njihovo potrjevanje ter izvajanje operacij</w:t>
            </w:r>
            <w:r w:rsidRPr="001A4BD7">
              <w:rPr>
                <w:sz w:val="22"/>
              </w:rPr>
              <w:t xml:space="preserve">, podrobneje opredelili horizontalne </w:t>
            </w:r>
            <w:proofErr w:type="spellStart"/>
            <w:r w:rsidRPr="001A4BD7">
              <w:rPr>
                <w:sz w:val="22"/>
              </w:rPr>
              <w:t>omogočitvene</w:t>
            </w:r>
            <w:proofErr w:type="spellEnd"/>
            <w:r w:rsidRPr="001A4BD7">
              <w:rPr>
                <w:sz w:val="22"/>
              </w:rPr>
              <w:t xml:space="preserve"> pogoje (člen 7) ter v določilu, ki se nanaša na načelo partnerstva izrecno navedli, da se ta uresničuje tudi z vključitvijo </w:t>
            </w:r>
            <w:r w:rsidRPr="001A4BD7">
              <w:rPr>
                <w:rFonts w:cs="Arial"/>
                <w:color w:val="000000"/>
                <w:sz w:val="22"/>
                <w:shd w:val="clear" w:color="auto" w:fill="FFFFFF"/>
              </w:rPr>
              <w:t>civilne družbe s področja varstva človekovih pravic in temeljnih svoboščin, pravic invalidov, enakosti spolov in nediskriminacije v odboru za spremljanje (člen 6)</w:t>
            </w:r>
            <w:r w:rsidRPr="001A4BD7">
              <w:rPr>
                <w:sz w:val="22"/>
              </w:rPr>
              <w:t xml:space="preserve">; spoštovanje določil Listine ter spoštovanje načela nediskriminacije smo kot pogoj za izvajanje operacij umestili v sprejeto Metodologijo in merila za izbor operacij (poglavje 3 – Ugotavljanje upravičenosti); slednje smo vključili tudi v generalni osnutek besedila odločitve o podpori oz. o financiranju operacij (točka IV – Izvajanje operacij); v postopkovnik odbora za spremljanje smo med naloge odbora vključili pristojnost, da odbor predlaga ukrepe in izdaja priporočila v zvezi z izpolnjevanjem </w:t>
            </w:r>
            <w:proofErr w:type="spellStart"/>
            <w:r w:rsidRPr="001A4BD7">
              <w:rPr>
                <w:sz w:val="22"/>
              </w:rPr>
              <w:t>omogočitvenih</w:t>
            </w:r>
            <w:proofErr w:type="spellEnd"/>
            <w:r w:rsidRPr="001A4BD7">
              <w:rPr>
                <w:sz w:val="22"/>
              </w:rPr>
              <w:t xml:space="preserve"> pogojev in njihovo uporabo v celotnem programskem obdobju ter dolžnost organa upravljanja, da odboru enkrat letno poroča o morebitnih kršitvah in neskladjih operacij z Listino ali/in Konvencijo (člen 6);</w:t>
            </w:r>
          </w:p>
          <w:p w:rsidR="007D1ECB" w:rsidRPr="001A4BD7" w:rsidRDefault="007D1ECB" w:rsidP="007D1ECB">
            <w:pPr>
              <w:pStyle w:val="Odstavekseznama"/>
              <w:numPr>
                <w:ilvl w:val="0"/>
                <w:numId w:val="30"/>
              </w:numPr>
              <w:spacing w:before="0" w:after="160" w:line="259" w:lineRule="auto"/>
              <w:rPr>
                <w:sz w:val="22"/>
              </w:rPr>
            </w:pPr>
            <w:r w:rsidRPr="001A4BD7">
              <w:rPr>
                <w:sz w:val="22"/>
              </w:rPr>
              <w:t xml:space="preserve">skladno z Metodologijo in merili za izbor operacij smo pri presoji upravičenosti posameznih prijav operacij posebno </w:t>
            </w:r>
            <w:r w:rsidRPr="001A4BD7">
              <w:rPr>
                <w:rFonts w:cs="Arial"/>
                <w:color w:val="000000"/>
                <w:sz w:val="22"/>
              </w:rPr>
              <w:t>pozornost posvečali dejstvu ali se operacije vsebinsko dotikajo področij oziroma ali projektne prijave vsebujejo elemente, ki bi potencialno lahko vodili v kršitev določil Listine, ki bi potencialno lahko vodile v kršitev določil Listine in/ali Konvencije.  Pri tem dodajamo, da tovrstnih elementov v obravnavanih projektnih prijavah nismo zaznali.</w:t>
            </w:r>
          </w:p>
        </w:tc>
      </w:tr>
    </w:tbl>
    <w:p w:rsidR="006A41E2" w:rsidRPr="00275BA0" w:rsidRDefault="00C30ACF" w:rsidP="00C30ACF">
      <w:pPr>
        <w:pStyle w:val="ManualHeading2"/>
        <w:rPr>
          <w:noProof/>
        </w:rPr>
      </w:pPr>
      <w:r w:rsidRPr="00275BA0">
        <w:lastRenderedPageBreak/>
        <w:t>5.2.</w:t>
      </w:r>
      <w:r w:rsidRPr="00275BA0">
        <w:tab/>
      </w:r>
      <w:r w:rsidR="0001528B" w:rsidRPr="00275BA0">
        <w:rPr>
          <w:noProof/>
        </w:rPr>
        <w:t>Skladnost s horizontalnimi načeli – člen 9 Uredbe (EU) 2021/1060</w:t>
      </w:r>
    </w:p>
    <w:p w:rsidR="006A41E2" w:rsidRPr="00275BA0" w:rsidRDefault="001B037F" w:rsidP="006A41E2">
      <w:pPr>
        <w:rPr>
          <w:noProof/>
          <w:sz w:val="22"/>
        </w:rPr>
      </w:pPr>
      <w:r w:rsidRPr="00275BA0">
        <w:rPr>
          <w:noProof/>
          <w:sz w:val="22"/>
        </w:rPr>
        <w:t>Opišite, kako ste med obračunskim letom zagotovili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Caption w:val="Poudarjeno besedilo, stran 8"/>
        <w:tblDescription w:val="Slovenija je v obračunskem obdobju poročanja šele pričela z izvajanjem aktivnosti v zvezi z ukrepi programa SNV, zato ne moremo poročati o tem, kako se je zagotovila skladnost s horizontalnimi načeli iz Uredbe 2021/1060/EU.&#10;Kljub temu smo v luči učinkovite implementacije relevantnih horizontalnih načel in njihovi uporabi tekom celotnega programskega obdobja, v tem obračunskem obdobju izvajali dve vrsti aktivnosti, ki so bile usmerjene zlasti v njihovo spoštovanje in implementacijo v nadaljnjih fazah izvajanja programov sklada, in sicer:&#10;- pripravili smo pravno in vsebinsko osnovo, katere temeljni namen je zagotoviti, da se bodo v programskem obdobju 2021-2027 programi, ki jih podpira sklad, izvajali skladno z določili Listine EU o temeljnih pravicah (v nadaljnjem besedilu: Listina), temeljnimi človekovimi pravicami, da bodo upravičenci pri izvajanju operacij spoštovali načelo enakosti spolov, nediskriminacije ter v izvajanje vključili vidik enakosti spolov. S tem namenom smo: v besedilu nacionalne uredbe, ki na nacionalni ravni določa udeležence evropske politike na področju notranjih zadev in njihove naloge, načrtovanje evropske politike notranjih zadev, način izbora operacij in njihovo potrjevanje ter izvajanje operacij , podrobneje opredelili horizontalne omogočitvene pogoje, ki vključujejo tudi skladnost z Listino (člen 7) ter v določilu, ki se ureja načelo partnerstva izrecno navedli, da se ta uresničuje tudi z vključitvijo civilne družbe s področja varstva človekovih pravic in temeljnih svoboščin, pravic invalidov, enakosti spolov in nediskriminacije v odboru za spremljanje (člen 6); v sprejeti Metodologiji in merilih za izbor operacij smo določili, da se morajo te izvajati ob polnem spoštovanju temeljnih pravic in človekovega dostojanstva, pri čemer morajo biti skladne z Listino in  Evropsko konvencijo o varstvu človekovih pravic in temeljnih svoboščin, pri čemer naj upravičenci posebno pozornost posvetijo skladnosti z načelom nediskriminacije (poglavje 3 – Ugotavljanje upravičenosti); slednje smo vključili tudi v generalni osnutek besedila odločitve o podpori oz. o financiranju operacij (točka IV – Izvajanje operacij); v poslovnik odbora za spremljanje smo vključili dolžnost organa upravljanja, da odboru enkrat letno poroča o morebitnih kršitvah temeljnih človekovih pravic ter izvedenimi popravljalnimi  (člen 6);&#10;- skladno z Metodologijo in merili za izbor operacij smo pri presoji upravičenosti posameznih prijav operacij posebno pozornost posvečali dejstvu ali se operacije vsebinsko dotikajo področij oziroma ali projektne prijave vsebujejo elemente, ki bi potencialno lahko vodili v kršitev določil Listine ali temeljnih človekovih pravic, načela enakosti spolov in načela nediskriminacije. Pri tem dodajamo, da tovrstnih elementov v obravnavanih projektnih prijavah nismo zaznali.&#10;"/>
      </w:tblPr>
      <w:tblGrid>
        <w:gridCol w:w="9063"/>
      </w:tblGrid>
      <w:tr w:rsidR="006A41E2" w:rsidRPr="00275BA0" w:rsidTr="009F694C">
        <w:trPr>
          <w:tblHeader/>
        </w:trPr>
        <w:tc>
          <w:tcPr>
            <w:tcW w:w="9289" w:type="dxa"/>
          </w:tcPr>
          <w:p w:rsidR="006A41E2" w:rsidRPr="001A4BD7" w:rsidRDefault="0011011B" w:rsidP="0011744D">
            <w:pPr>
              <w:pStyle w:val="Personnequisigne"/>
              <w:jc w:val="both"/>
              <w:rPr>
                <w:i w:val="0"/>
                <w:noProof/>
                <w:sz w:val="22"/>
              </w:rPr>
            </w:pPr>
            <w:r w:rsidRPr="001A4BD7">
              <w:rPr>
                <w:i w:val="0"/>
                <w:noProof/>
                <w:sz w:val="22"/>
              </w:rPr>
              <w:t xml:space="preserve">Slovenija </w:t>
            </w:r>
            <w:r w:rsidR="0011744D" w:rsidRPr="001A4BD7">
              <w:rPr>
                <w:i w:val="0"/>
                <w:noProof/>
                <w:sz w:val="22"/>
              </w:rPr>
              <w:t xml:space="preserve">je </w:t>
            </w:r>
            <w:r w:rsidRPr="001A4BD7">
              <w:rPr>
                <w:i w:val="0"/>
                <w:noProof/>
                <w:sz w:val="22"/>
              </w:rPr>
              <w:t>v obračunskem obdobju poročanja še</w:t>
            </w:r>
            <w:r w:rsidR="0011744D" w:rsidRPr="001A4BD7">
              <w:rPr>
                <w:i w:val="0"/>
                <w:noProof/>
                <w:sz w:val="22"/>
              </w:rPr>
              <w:t>le</w:t>
            </w:r>
            <w:r w:rsidRPr="001A4BD7">
              <w:rPr>
                <w:i w:val="0"/>
                <w:noProof/>
                <w:sz w:val="22"/>
              </w:rPr>
              <w:t xml:space="preserve"> pričela z izvajanjem aktivnosti v zvezi z ukrepi programa SNV, zato ne moremo poročati o tem</w:t>
            </w:r>
            <w:r w:rsidR="00DC1E6A" w:rsidRPr="001A4BD7">
              <w:rPr>
                <w:i w:val="0"/>
                <w:noProof/>
                <w:sz w:val="22"/>
              </w:rPr>
              <w:t>,</w:t>
            </w:r>
            <w:r w:rsidRPr="001A4BD7">
              <w:rPr>
                <w:i w:val="0"/>
                <w:noProof/>
                <w:sz w:val="22"/>
              </w:rPr>
              <w:t xml:space="preserve"> kako se je zagotovila skladnost s horizontalnimi načeli iz Uredbe 2021/1060/EU.</w:t>
            </w:r>
          </w:p>
          <w:p w:rsidR="007D1ECB" w:rsidRPr="001A4BD7" w:rsidRDefault="007D1ECB" w:rsidP="007D1ECB">
            <w:pPr>
              <w:tabs>
                <w:tab w:val="left" w:pos="2920"/>
              </w:tabs>
              <w:autoSpaceDE w:val="0"/>
              <w:autoSpaceDN w:val="0"/>
              <w:adjustRightInd w:val="0"/>
              <w:spacing w:after="0"/>
              <w:rPr>
                <w:rFonts w:cs="Arial"/>
                <w:color w:val="000000"/>
                <w:sz w:val="22"/>
              </w:rPr>
            </w:pPr>
            <w:r w:rsidRPr="001A4BD7">
              <w:rPr>
                <w:rFonts w:cs="Arial"/>
                <w:color w:val="000000"/>
                <w:sz w:val="22"/>
              </w:rPr>
              <w:t>Kljub temu smo v luči učinkovite implementacije relevantnih horizontalnih načel in njihovi uporabi tekom celotnega programskega obdobja, v tem obračunskem obdobju izvajali dve vrsti aktivnosti, ki so bile usmerjene zlasti v njihovo spoštovanje in implementacijo v nadaljnjih fazah izvajanja programov sklada, in sicer:</w:t>
            </w:r>
          </w:p>
          <w:p w:rsidR="002F2E39" w:rsidRPr="001A4BD7" w:rsidRDefault="007D1ECB" w:rsidP="002F2E39">
            <w:pPr>
              <w:pStyle w:val="Odstavekseznama"/>
              <w:numPr>
                <w:ilvl w:val="0"/>
                <w:numId w:val="30"/>
              </w:numPr>
              <w:spacing w:before="0" w:after="160" w:line="259" w:lineRule="auto"/>
              <w:rPr>
                <w:sz w:val="22"/>
              </w:rPr>
            </w:pPr>
            <w:r w:rsidRPr="001A4BD7">
              <w:rPr>
                <w:color w:val="000000"/>
                <w:sz w:val="22"/>
              </w:rPr>
              <w:t xml:space="preserve">pripravili smo pravno in vsebinsko osnovo, katere temeljni namen je zagotoviti, da se bodo v programskem obdobju 2021-2027 programi, ki jih podpira sklad, izvajali skladno z določili Listine EU o temeljnih pravicah (v nadaljnjem besedilu: Listina), temeljnimi človekovimi pravicami, da bodo upravičenci pri izvajanju operacij spoštovali načelo enakosti spolov, nediskriminacije ter v izvajanje vključili vidik enakosti spolov. S tem namenom smo: v besedilu nacionalne uredbe, ki </w:t>
            </w:r>
            <w:r w:rsidRPr="001A4BD7">
              <w:rPr>
                <w:rFonts w:cstheme="minorHAnsi"/>
                <w:noProof/>
                <w:sz w:val="22"/>
              </w:rPr>
              <w:t>na nacionalni ravni določa udeležence evropske politike na področju notranjih zadev in njihove naloge, načrtovanje evropske politike notranjih zadev, način izbora operacij in njihovo potrjevanje ter izvajanje operacij</w:t>
            </w:r>
            <w:r w:rsidRPr="001A4BD7">
              <w:rPr>
                <w:rStyle w:val="Sprotnaopomba-sklic"/>
                <w:rFonts w:cstheme="minorHAnsi"/>
                <w:noProof/>
                <w:sz w:val="22"/>
              </w:rPr>
              <w:footnoteReference w:id="23"/>
            </w:r>
            <w:r w:rsidRPr="001A4BD7">
              <w:rPr>
                <w:sz w:val="22"/>
              </w:rPr>
              <w:t xml:space="preserve">, podrobneje opredelili horizontalne </w:t>
            </w:r>
            <w:proofErr w:type="spellStart"/>
            <w:r w:rsidRPr="001A4BD7">
              <w:rPr>
                <w:sz w:val="22"/>
              </w:rPr>
              <w:t>omogočitvene</w:t>
            </w:r>
            <w:proofErr w:type="spellEnd"/>
            <w:r w:rsidRPr="001A4BD7">
              <w:rPr>
                <w:sz w:val="22"/>
              </w:rPr>
              <w:t xml:space="preserve"> pogoje, ki vključujejo tudi skladnost z Listino (člen 7) ter v določilu, ki se ureja načelo partnerstva izrecno navedli, da se ta uresničuje tudi z vključitvijo </w:t>
            </w:r>
            <w:r w:rsidRPr="001A4BD7">
              <w:rPr>
                <w:rFonts w:cs="Arial"/>
                <w:color w:val="000000"/>
                <w:sz w:val="22"/>
                <w:shd w:val="clear" w:color="auto" w:fill="FFFFFF"/>
              </w:rPr>
              <w:t>civilne družbe s področja varstva človekovih pravic in temeljnih svoboščin, pravic invalidov, enakosti spolov in nediskriminacije v odboru za spremljanje (člen 6)</w:t>
            </w:r>
            <w:r w:rsidRPr="001A4BD7">
              <w:rPr>
                <w:sz w:val="22"/>
              </w:rPr>
              <w:t>; v sprejeti Metodologiji in merilih za izbor operacij smo določili, da se morajo te izvajati ob polnem spoštovanju temeljnih pravic in človekovega dostojanstva, pri čemer morajo biti skladne z Listino in  Evropsko konvencijo o varstvu človekovih pravic in temeljnih svoboščin, pri čemer naj upravičenci posebno pozornost posvetijo skladnosti z načelom nediskriminacije (poglavje 3 – Ugotavljanje upravičenosti); slednje smo vključili tudi v generalni osnutek besedila odločitve o podpori oz. o financiranju operacij (točka IV – Izvajanje operacij); v poslovnik odbora za spremljanje smo vključili dolžnost organa upravljanja, da odboru enkrat letno poroča o morebitnih kršitvah temeljnih človekovih pravic ter izvedenimi popravljalnimi  (člen 6</w:t>
            </w:r>
            <w:r w:rsidR="007C3551" w:rsidRPr="001A4BD7">
              <w:rPr>
                <w:sz w:val="22"/>
              </w:rPr>
              <w:t>);</w:t>
            </w:r>
          </w:p>
          <w:p w:rsidR="007D1ECB" w:rsidRPr="001A4BD7" w:rsidRDefault="007D1ECB" w:rsidP="002F2E39">
            <w:pPr>
              <w:pStyle w:val="Odstavekseznama"/>
              <w:numPr>
                <w:ilvl w:val="0"/>
                <w:numId w:val="30"/>
              </w:numPr>
              <w:spacing w:before="0" w:after="160" w:line="259" w:lineRule="auto"/>
              <w:rPr>
                <w:sz w:val="22"/>
              </w:rPr>
            </w:pPr>
            <w:r w:rsidRPr="001A4BD7">
              <w:rPr>
                <w:sz w:val="22"/>
              </w:rPr>
              <w:t xml:space="preserve">skladno z Metodologijo in merili za izbor operacij smo pri presoji upravičenosti posameznih prijav operacij posebno </w:t>
            </w:r>
            <w:r w:rsidRPr="001A4BD7">
              <w:rPr>
                <w:rFonts w:cs="Arial"/>
                <w:color w:val="000000"/>
                <w:sz w:val="22"/>
              </w:rPr>
              <w:t>pozornost posvečali dejstvu ali se operacije vsebinsko dotikajo področij oziroma ali projektne prijave vsebujejo elemente, ki bi potencialno lahko vodili v kršitev določil Listine ali temeljnih človekovih pravic, načela enakosti spolov in načela nediskriminacije. Pri tem dodajamo, da tovrstnih elementov v obravnavanih projektnih prijavah nismo zaznali.</w:t>
            </w:r>
          </w:p>
        </w:tc>
      </w:tr>
    </w:tbl>
    <w:p w:rsidR="006A41E2" w:rsidRPr="00275BA0" w:rsidRDefault="00C30ACF" w:rsidP="00C30ACF">
      <w:pPr>
        <w:pStyle w:val="ManualHeading1"/>
        <w:rPr>
          <w:noProof/>
        </w:rPr>
      </w:pPr>
      <w:r w:rsidRPr="00275BA0">
        <w:t>6.</w:t>
      </w:r>
      <w:r w:rsidRPr="00275BA0">
        <w:tab/>
      </w:r>
      <w:r w:rsidR="006A41E2" w:rsidRPr="00275BA0">
        <w:rPr>
          <w:noProof/>
        </w:rPr>
        <w:t>Projekti v tretjih državah ali v zvezi z njimi – člen 30(2), točka (g), Uredbe (EU) 2021/1149</w:t>
      </w:r>
    </w:p>
    <w:p w:rsidR="006A41E2" w:rsidRPr="00275BA0" w:rsidRDefault="001B037F" w:rsidP="006A41E2">
      <w:pPr>
        <w:rPr>
          <w:noProof/>
          <w:sz w:val="22"/>
        </w:rPr>
      </w:pPr>
      <w:r w:rsidRPr="00275BA0">
        <w:rPr>
          <w:noProof/>
          <w:sz w:val="22"/>
        </w:rPr>
        <w:t xml:space="preserve">Opišite vse ukrepe, ki se med obračunskim letom izvajajo v tretjih državah ali v zvezi z njimi, in kako ti ukrepi ustvarjajo dodano vrednost Unije pri doseganju ciljev, ki jih je določil Sklad. Navedite imena zadevnih tretjih držav. Če je ustrezno, navedite posvetovanja s Komisijo, ki so potekala pred odobritvijo projekta (člen 13(11) Uredbe (EU) 2021/1149). </w:t>
      </w:r>
    </w:p>
    <w:tbl>
      <w:tblPr>
        <w:tblStyle w:val="Tabelamrea"/>
        <w:tblW w:w="0" w:type="auto"/>
        <w:tblLook w:val="04A0" w:firstRow="1" w:lastRow="0" w:firstColumn="1" w:lastColumn="0" w:noHBand="0" w:noVBand="1"/>
        <w:tblCaption w:val="Podarjeno besedilo, stran 9"/>
        <w:tblDescription w:val="Slovenija v tem obračunskem obdobju ni izvajala ukrepov ali operacij v tretjih državah ali v zvezi z njimi."/>
      </w:tblPr>
      <w:tblGrid>
        <w:gridCol w:w="9063"/>
      </w:tblGrid>
      <w:tr w:rsidR="006A41E2" w:rsidRPr="00275BA0" w:rsidTr="009F694C">
        <w:trPr>
          <w:tblHeader/>
        </w:trPr>
        <w:tc>
          <w:tcPr>
            <w:tcW w:w="9289" w:type="dxa"/>
          </w:tcPr>
          <w:p w:rsidR="006A41E2" w:rsidRPr="00275BA0" w:rsidRDefault="00F64323" w:rsidP="00F64323">
            <w:pPr>
              <w:pStyle w:val="Personnequisigne"/>
              <w:jc w:val="both"/>
              <w:rPr>
                <w:noProof/>
              </w:rPr>
            </w:pPr>
            <w:r w:rsidRPr="00275BA0">
              <w:rPr>
                <w:i w:val="0"/>
                <w:noProof/>
                <w:sz w:val="22"/>
              </w:rPr>
              <w:lastRenderedPageBreak/>
              <w:t>Slovenija v tem obračunskem obdobju ni izvajala ukrepov ali operacij v tretjih državah ali v zvezi z njimi.</w:t>
            </w:r>
          </w:p>
        </w:tc>
      </w:tr>
    </w:tbl>
    <w:p w:rsidR="006A41E2" w:rsidRPr="00275BA0" w:rsidRDefault="00C30ACF" w:rsidP="00C30ACF">
      <w:pPr>
        <w:pStyle w:val="ManualHeading1"/>
        <w:rPr>
          <w:noProof/>
        </w:rPr>
      </w:pPr>
      <w:r w:rsidRPr="00275BA0">
        <w:t>7.</w:t>
      </w:r>
      <w:r w:rsidRPr="00275BA0">
        <w:tab/>
      </w:r>
      <w:r w:rsidR="006A41E2" w:rsidRPr="00275BA0">
        <w:rPr>
          <w:noProof/>
        </w:rPr>
        <w:t>Povzetek – člen 30(2) Uredbe (EU) 2021/1149</w:t>
      </w:r>
    </w:p>
    <w:p w:rsidR="006A41E2" w:rsidRPr="00275BA0" w:rsidRDefault="00093D5B" w:rsidP="006A41E2">
      <w:pPr>
        <w:rPr>
          <w:noProof/>
          <w:sz w:val="22"/>
        </w:rPr>
      </w:pPr>
      <w:r w:rsidRPr="00275BA0">
        <w:rPr>
          <w:noProof/>
          <w:sz w:val="22"/>
        </w:rPr>
        <w:t xml:space="preserve">Predložite povzetek oddelkov 1 do 6, ki bo preveden in javno dostopen. </w:t>
      </w:r>
    </w:p>
    <w:p w:rsidR="006A41E2" w:rsidRPr="00275BA0" w:rsidRDefault="006A41E2" w:rsidP="006A41E2">
      <w:pPr>
        <w:rPr>
          <w:noProof/>
          <w:sz w:val="22"/>
        </w:rPr>
      </w:pPr>
      <w:r w:rsidRPr="00275BA0">
        <w:rPr>
          <w:noProof/>
          <w:sz w:val="22"/>
        </w:rPr>
        <w:t xml:space="preserve">Povzetek mora zajemati vsaj vse točke iz člena 30(2) in bi moral biti po možnosti strukturiran po teh točkah. </w:t>
      </w:r>
    </w:p>
    <w:p w:rsidR="006A41E2" w:rsidRPr="00275BA0" w:rsidRDefault="006A41E2" w:rsidP="008A19C4">
      <w:pPr>
        <w:rPr>
          <w:noProof/>
          <w:sz w:val="22"/>
        </w:rPr>
      </w:pPr>
      <w:r w:rsidRPr="00275BA0">
        <w:rPr>
          <w:noProof/>
          <w:sz w:val="22"/>
        </w:rPr>
        <w:t xml:space="preserve">Spodbuja se uporaba alinej, krepkega besedila ali informativnih razdelkov, da lahko zainteresirani deležniki zlahka prepoznajo glavne dosežke programa in glavna vprašanja, ki vplivajo na njegovo smotrnost. </w:t>
      </w:r>
    </w:p>
    <w:tbl>
      <w:tblPr>
        <w:tblStyle w:val="Tabelamrea"/>
        <w:tblW w:w="0" w:type="auto"/>
        <w:tblLook w:val="04A0" w:firstRow="1" w:lastRow="0" w:firstColumn="1" w:lastColumn="0" w:noHBand="0" w:noVBand="1"/>
        <w:tblCaption w:val="Podarjeno besedilo, stran 9"/>
        <w:tblDescription w:val="Program SNV je bil potrjen šele 24. novembra 2022, zato je Slovenija v obračunskem obdobju poročanja, tj. od 1.7.2022 do 30.6.2023, šele pričela z izvajanjem aktivnosti v zvezi s programom SNV in ne moremo poročati o napredku pri izvajanju načrtovanih aktivnosti znotraj posameznih specifičnih ciljev.&#10;&#10;V tem obdobju je OU vzpostavil informacijski sistem MIGRA III, preko katerega poteka izmenjava informacij med OU in upravičenci, t.j. oddaja prijav operacij, poročanje o izvajanju operacij (z zahtevki za povračilo) ter vzpostavil sistem upravljanja in nadzora, kar je omogočilo oddajo prvih prijav operacij. &#10;&#10;V tem obdobju je OU z odločitvijo o podpori potrdil začetek izvajanja 13 operacij iz programa SNV (neposredna dodelitev). V obdobju poročanja OU, s strani upravičencev, še ni prejel zahtevkov za povračilo.&#10;"/>
      </w:tblPr>
      <w:tblGrid>
        <w:gridCol w:w="9063"/>
      </w:tblGrid>
      <w:tr w:rsidR="006A41E2" w:rsidRPr="002E3DC3" w:rsidTr="009F694C">
        <w:trPr>
          <w:tblHeader/>
        </w:trPr>
        <w:tc>
          <w:tcPr>
            <w:tcW w:w="9289" w:type="dxa"/>
          </w:tcPr>
          <w:p w:rsidR="0011744D" w:rsidRPr="00FD3C01" w:rsidRDefault="0011744D" w:rsidP="0011744D">
            <w:pPr>
              <w:pStyle w:val="Personnequisigne"/>
              <w:jc w:val="both"/>
              <w:rPr>
                <w:i w:val="0"/>
                <w:noProof/>
                <w:sz w:val="22"/>
              </w:rPr>
            </w:pPr>
            <w:r w:rsidRPr="00FD3C01">
              <w:rPr>
                <w:i w:val="0"/>
                <w:noProof/>
                <w:sz w:val="22"/>
              </w:rPr>
              <w:t xml:space="preserve">Program </w:t>
            </w:r>
            <w:r>
              <w:rPr>
                <w:i w:val="0"/>
                <w:noProof/>
                <w:sz w:val="22"/>
              </w:rPr>
              <w:t>SNV</w:t>
            </w:r>
            <w:r w:rsidRPr="00FD3C01">
              <w:rPr>
                <w:i w:val="0"/>
                <w:noProof/>
                <w:sz w:val="22"/>
              </w:rPr>
              <w:t xml:space="preserve"> je bil potrjen šele 24. novembra 2022, zato je Slovenija v obračunskem obdobju poročanja, tj. od 1.7.2022 do 30.6.2023, šele pričela z izvajanjem aktivnosti v zvezi s programom SNV in ne moremo poročati o napredku pri izvajanju načrtovanih aktivnosti znotraj posameznih specifičnih ciljev.</w:t>
            </w:r>
          </w:p>
          <w:p w:rsidR="0011744D" w:rsidRPr="00FD3C01" w:rsidRDefault="0011744D" w:rsidP="0011744D">
            <w:pPr>
              <w:pStyle w:val="Personnequisigne"/>
              <w:jc w:val="both"/>
              <w:rPr>
                <w:i w:val="0"/>
                <w:noProof/>
                <w:sz w:val="22"/>
              </w:rPr>
            </w:pPr>
            <w:bookmarkStart w:id="0" w:name="_GoBack"/>
            <w:bookmarkEnd w:id="0"/>
          </w:p>
          <w:p w:rsidR="0011744D" w:rsidRPr="00FD3C01" w:rsidRDefault="0011744D" w:rsidP="0011744D">
            <w:pPr>
              <w:pStyle w:val="Personnequisigne"/>
              <w:jc w:val="both"/>
              <w:rPr>
                <w:i w:val="0"/>
                <w:noProof/>
                <w:sz w:val="22"/>
              </w:rPr>
            </w:pPr>
            <w:r w:rsidRPr="00FD3C01">
              <w:rPr>
                <w:i w:val="0"/>
                <w:noProof/>
                <w:sz w:val="22"/>
              </w:rPr>
              <w:t>V tem obdobju je OU vzpostavil informacijski sistem MIGRA III</w:t>
            </w:r>
            <w:r w:rsidR="001A4BD7">
              <w:rPr>
                <w:i w:val="0"/>
                <w:noProof/>
                <w:sz w:val="22"/>
              </w:rPr>
              <w:t>,</w:t>
            </w:r>
            <w:r w:rsidRPr="00FD3C01">
              <w:rPr>
                <w:i w:val="0"/>
                <w:noProof/>
                <w:sz w:val="22"/>
              </w:rPr>
              <w:t xml:space="preserve"> preko katerega poteka izmenjava informacij med OU in upravič</w:t>
            </w:r>
            <w:r w:rsidR="006D1A9C">
              <w:rPr>
                <w:i w:val="0"/>
                <w:noProof/>
                <w:sz w:val="22"/>
              </w:rPr>
              <w:t>enci, t.j. oddaja prijav operaci</w:t>
            </w:r>
            <w:r w:rsidRPr="00FD3C01">
              <w:rPr>
                <w:i w:val="0"/>
                <w:noProof/>
                <w:sz w:val="22"/>
              </w:rPr>
              <w:t xml:space="preserve">j, poročanje o izvajanju operacij (z zahtevki za povračilo) ter vzpostavil sistem upravljanja in nadzora, kar je omogočilo oddajo prvih prijav operacij. </w:t>
            </w:r>
          </w:p>
          <w:p w:rsidR="0011744D" w:rsidRPr="00FD3C01" w:rsidRDefault="0011744D" w:rsidP="0011744D">
            <w:pPr>
              <w:pStyle w:val="Personnequisigne"/>
              <w:jc w:val="both"/>
              <w:rPr>
                <w:i w:val="0"/>
                <w:noProof/>
                <w:sz w:val="22"/>
              </w:rPr>
            </w:pPr>
          </w:p>
          <w:p w:rsidR="006A41E2" w:rsidRPr="002E3DC3" w:rsidRDefault="0011744D" w:rsidP="0011744D">
            <w:pPr>
              <w:pStyle w:val="Personnequisigne"/>
              <w:jc w:val="both"/>
              <w:rPr>
                <w:bCs/>
                <w:noProof/>
              </w:rPr>
            </w:pPr>
            <w:r w:rsidRPr="00FD3C01">
              <w:rPr>
                <w:i w:val="0"/>
                <w:noProof/>
                <w:sz w:val="22"/>
              </w:rPr>
              <w:t xml:space="preserve">V tem obdobju je OU z odločitvijo o podpori potrdil začetek izvajanja 13 operacij iz programa SNV (neposredna dodelitev). </w:t>
            </w:r>
            <w:r w:rsidRPr="00FD3C01">
              <w:rPr>
                <w:i w:val="0"/>
                <w:sz w:val="22"/>
              </w:rPr>
              <w:t>V obdobju poročanja OU, s strani upravičencev, še ni prejel zahtevkov za povračilo.</w:t>
            </w:r>
          </w:p>
        </w:tc>
      </w:tr>
    </w:tbl>
    <w:p w:rsidR="006A41E2" w:rsidRDefault="006A41E2" w:rsidP="006A41E2">
      <w:pPr>
        <w:rPr>
          <w:noProof/>
        </w:rPr>
      </w:pPr>
    </w:p>
    <w:p w:rsidR="006A2A02" w:rsidRDefault="006A2A02" w:rsidP="006A41E2">
      <w:pPr>
        <w:rPr>
          <w:noProof/>
        </w:rPr>
      </w:pPr>
    </w:p>
    <w:p w:rsidR="006A2A02" w:rsidRDefault="006A2A02" w:rsidP="006A41E2">
      <w:pPr>
        <w:rPr>
          <w:noProof/>
        </w:rPr>
      </w:pPr>
    </w:p>
    <w:p w:rsidR="006A2A02" w:rsidRDefault="006A2A02" w:rsidP="006A41E2">
      <w:pPr>
        <w:rPr>
          <w:noProof/>
        </w:rPr>
      </w:pPr>
    </w:p>
    <w:p w:rsidR="006A2A02" w:rsidRDefault="006A2A02" w:rsidP="006A2A02">
      <w:pPr>
        <w:rPr>
          <w:noProof/>
        </w:rPr>
      </w:pPr>
    </w:p>
    <w:p w:rsidR="006A2A02" w:rsidRPr="00721B02" w:rsidRDefault="006A2A02" w:rsidP="006A2A02">
      <w:pPr>
        <w:rPr>
          <w:noProof/>
          <w:sz w:val="22"/>
        </w:rPr>
      </w:pPr>
    </w:p>
    <w:p w:rsidR="006A2A02" w:rsidRPr="00721B02" w:rsidRDefault="006A2A02" w:rsidP="006A2A02">
      <w:pPr>
        <w:rPr>
          <w:noProof/>
          <w:sz w:val="22"/>
        </w:rPr>
      </w:pPr>
      <w:r w:rsidRPr="00721B02">
        <w:rPr>
          <w:noProof/>
          <w:sz w:val="22"/>
        </w:rPr>
        <w:t>Številka:</w:t>
      </w:r>
      <w:r w:rsidR="0015390B">
        <w:rPr>
          <w:noProof/>
          <w:sz w:val="22"/>
        </w:rPr>
        <w:t xml:space="preserve"> 007-7/2023/3</w:t>
      </w:r>
      <w:r w:rsidRPr="00721B02">
        <w:rPr>
          <w:noProof/>
          <w:sz w:val="22"/>
        </w:rPr>
        <w:tab/>
      </w:r>
      <w:r w:rsidRPr="00721B02">
        <w:rPr>
          <w:noProof/>
          <w:sz w:val="22"/>
        </w:rPr>
        <w:tab/>
      </w:r>
      <w:r w:rsidRPr="00721B02">
        <w:rPr>
          <w:noProof/>
          <w:sz w:val="22"/>
        </w:rPr>
        <w:tab/>
      </w:r>
      <w:r w:rsidRPr="00721B02">
        <w:rPr>
          <w:noProof/>
          <w:sz w:val="22"/>
        </w:rPr>
        <w:tab/>
      </w:r>
      <w:r>
        <w:rPr>
          <w:noProof/>
          <w:sz w:val="22"/>
        </w:rPr>
        <w:tab/>
      </w:r>
      <w:r>
        <w:rPr>
          <w:noProof/>
          <w:sz w:val="22"/>
        </w:rPr>
        <w:tab/>
        <w:t xml:space="preserve">                </w:t>
      </w:r>
      <w:r w:rsidRPr="00721B02">
        <w:rPr>
          <w:noProof/>
          <w:sz w:val="22"/>
        </w:rPr>
        <w:t>Tina Heferle</w:t>
      </w:r>
    </w:p>
    <w:p w:rsidR="006A2A02" w:rsidRDefault="0015390B" w:rsidP="006A2A02">
      <w:pPr>
        <w:rPr>
          <w:noProof/>
          <w:sz w:val="22"/>
        </w:rPr>
      </w:pPr>
      <w:r>
        <w:rPr>
          <w:noProof/>
          <w:sz w:val="22"/>
        </w:rPr>
        <w:t>Datum: 20</w:t>
      </w:r>
      <w:r w:rsidR="006A2A02" w:rsidRPr="00721B02">
        <w:rPr>
          <w:noProof/>
          <w:sz w:val="22"/>
        </w:rPr>
        <w:t>. 2. 2024</w:t>
      </w:r>
      <w:r w:rsidR="006A2A02">
        <w:rPr>
          <w:noProof/>
          <w:sz w:val="22"/>
        </w:rPr>
        <w:tab/>
      </w:r>
      <w:r w:rsidR="006A2A02">
        <w:rPr>
          <w:noProof/>
          <w:sz w:val="22"/>
        </w:rPr>
        <w:tab/>
      </w:r>
      <w:r w:rsidR="006A2A02">
        <w:rPr>
          <w:noProof/>
          <w:sz w:val="22"/>
        </w:rPr>
        <w:tab/>
      </w:r>
      <w:r w:rsidR="006A2A02">
        <w:rPr>
          <w:noProof/>
          <w:sz w:val="22"/>
        </w:rPr>
        <w:tab/>
      </w:r>
      <w:r w:rsidR="006A2A02">
        <w:rPr>
          <w:noProof/>
          <w:sz w:val="22"/>
        </w:rPr>
        <w:tab/>
      </w:r>
      <w:r w:rsidR="006A2A02">
        <w:rPr>
          <w:noProof/>
          <w:sz w:val="22"/>
        </w:rPr>
        <w:tab/>
      </w:r>
      <w:r w:rsidR="006A2A02">
        <w:rPr>
          <w:noProof/>
          <w:sz w:val="22"/>
        </w:rPr>
        <w:tab/>
        <w:t>državna sekretarka</w:t>
      </w:r>
    </w:p>
    <w:p w:rsidR="006A2A02" w:rsidRDefault="006A2A02" w:rsidP="006A2A02">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predsednica odbora za spremljanje</w:t>
      </w:r>
    </w:p>
    <w:p w:rsidR="006A2A02" w:rsidRPr="00721B02" w:rsidRDefault="006A2A02" w:rsidP="006A2A02">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 xml:space="preserve">                      upravljavka programov</w:t>
      </w:r>
    </w:p>
    <w:p w:rsidR="006A2A02" w:rsidRPr="002E3DC3" w:rsidRDefault="006A2A02" w:rsidP="006A41E2">
      <w:pPr>
        <w:rPr>
          <w:noProof/>
        </w:rPr>
      </w:pPr>
    </w:p>
    <w:sectPr w:rsidR="006A2A02" w:rsidRPr="002E3DC3" w:rsidSect="00FF51AC">
      <w:footerReference w:type="default" r:id="rId12"/>
      <w:footerReference w:type="first" r:id="rId13"/>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769" w:rsidRDefault="00101769" w:rsidP="00555224">
      <w:pPr>
        <w:spacing w:before="0" w:after="0"/>
      </w:pPr>
      <w:r>
        <w:separator/>
      </w:r>
    </w:p>
  </w:endnote>
  <w:endnote w:type="continuationSeparator" w:id="0">
    <w:p w:rsidR="00101769" w:rsidRDefault="00101769" w:rsidP="00555224">
      <w:pPr>
        <w:spacing w:before="0" w:after="0"/>
      </w:pPr>
      <w:r>
        <w:continuationSeparator/>
      </w:r>
    </w:p>
  </w:endnote>
  <w:endnote w:type="continuationNotice" w:id="1">
    <w:p w:rsidR="00101769" w:rsidRDefault="001017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1AC" w:rsidRPr="00FF51AC" w:rsidRDefault="00FF51AC" w:rsidP="00FF51AC">
    <w:pPr>
      <w:pStyle w:val="Noga"/>
      <w:rPr>
        <w:rFonts w:ascii="Arial" w:hAnsi="Arial" w:cs="Arial"/>
        <w:b/>
        <w:sz w:val="48"/>
      </w:rPr>
    </w:pPr>
    <w:r w:rsidRPr="00FF51AC">
      <w:rPr>
        <w:rFonts w:ascii="Arial" w:hAnsi="Arial" w:cs="Arial"/>
        <w:b/>
        <w:sz w:val="48"/>
      </w:rPr>
      <w:t>SL</w:t>
    </w:r>
    <w:r w:rsidRPr="00FF51AC">
      <w:rPr>
        <w:rFonts w:ascii="Arial" w:hAnsi="Arial" w:cs="Arial"/>
        <w:b/>
        <w:sz w:val="48"/>
      </w:rPr>
      <w:tab/>
    </w:r>
    <w:r>
      <w:fldChar w:fldCharType="begin"/>
    </w:r>
    <w:r>
      <w:instrText xml:space="preserve"> PAGE  \* MERGEFORMAT </w:instrText>
    </w:r>
    <w:r>
      <w:fldChar w:fldCharType="separate"/>
    </w:r>
    <w:r w:rsidR="009F694C">
      <w:rPr>
        <w:noProof/>
      </w:rPr>
      <w:t>8</w:t>
    </w:r>
    <w:r>
      <w:fldChar w:fldCharType="end"/>
    </w:r>
    <w:r>
      <w:tab/>
    </w:r>
    <w:r w:rsidRPr="00FF51AC">
      <w:tab/>
    </w:r>
    <w:r w:rsidRPr="00FF51AC">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1AC" w:rsidRPr="00FF51AC" w:rsidRDefault="00FF51AC" w:rsidP="00FF51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769" w:rsidRDefault="00101769" w:rsidP="00555224">
      <w:pPr>
        <w:spacing w:before="0" w:after="0"/>
      </w:pPr>
      <w:r>
        <w:separator/>
      </w:r>
    </w:p>
  </w:footnote>
  <w:footnote w:type="continuationSeparator" w:id="0">
    <w:p w:rsidR="00101769" w:rsidRDefault="00101769" w:rsidP="00555224">
      <w:pPr>
        <w:spacing w:before="0" w:after="0"/>
      </w:pPr>
      <w:r>
        <w:continuationSeparator/>
      </w:r>
    </w:p>
  </w:footnote>
  <w:footnote w:type="continuationNotice" w:id="1">
    <w:p w:rsidR="00101769" w:rsidRDefault="00101769">
      <w:pPr>
        <w:spacing w:before="0" w:after="0"/>
      </w:pPr>
    </w:p>
  </w:footnote>
  <w:footnote w:id="2">
    <w:p w:rsidR="00586750" w:rsidRPr="006A41E2" w:rsidRDefault="00586750">
      <w:pPr>
        <w:pStyle w:val="Sprotnaopomba-besedilo"/>
        <w:rPr>
          <w:sz w:val="18"/>
        </w:rPr>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rsidR="00586750" w:rsidRPr="006A41E2" w:rsidRDefault="00586750">
      <w:pPr>
        <w:pStyle w:val="Sprotnaopomba-besedilo"/>
        <w:rPr>
          <w:sz w:val="18"/>
        </w:rPr>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rsidR="00586750" w:rsidRPr="006A41E2" w:rsidRDefault="00586750">
      <w:pPr>
        <w:pStyle w:val="Sprotnaopomba-besedilo"/>
        <w:rPr>
          <w:sz w:val="18"/>
        </w:rPr>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rsidR="00586750" w:rsidRPr="006A41E2" w:rsidRDefault="00586750">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rsidR="00586750" w:rsidRPr="006A41E2" w:rsidRDefault="00586750">
      <w:pPr>
        <w:pStyle w:val="Sprotnaopomba-besedilo"/>
      </w:pPr>
      <w:r>
        <w:rPr>
          <w:rStyle w:val="Sprotnaopomba-sklic"/>
        </w:rPr>
        <w:footnoteRef/>
      </w:r>
      <w:r>
        <w:tab/>
      </w:r>
      <w:r>
        <w:rPr>
          <w:sz w:val="18"/>
        </w:rPr>
        <w:t>Na primer težave v zvezi s področjem uporabe ukrepa (npr. merila za upravičenost), majhno zanimanje upravičencev ali udeležencev, kakršno koli odstopanje pri izvajanju ukrepa itd.</w:t>
      </w:r>
    </w:p>
  </w:footnote>
  <w:footnote w:id="7">
    <w:p w:rsidR="00BC54D3" w:rsidRPr="00BC54D3" w:rsidRDefault="00BC54D3">
      <w:pPr>
        <w:pStyle w:val="Sprotnaopomba-besedilo"/>
        <w:rPr>
          <w:sz w:val="18"/>
          <w:szCs w:val="18"/>
        </w:rPr>
      </w:pPr>
      <w:r>
        <w:rPr>
          <w:rStyle w:val="Sprotnaopomba-sklic"/>
        </w:rPr>
        <w:footnoteRef/>
      </w:r>
      <w:r>
        <w:tab/>
      </w:r>
      <w:r>
        <w:rPr>
          <w:sz w:val="18"/>
        </w:rPr>
        <w:t>Če je to ustrezno za ta namen, navedite priporočila iz mehanizmov za nadzor kakovosti in ocenjevanje, kot so: (i) schengenski ocenjevalni in spremljevalni mehanizem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 ali (ii) drugi mehanizmi za nadzor kakovosti in ocenjevanje, kot je ustrezno.</w:t>
      </w:r>
    </w:p>
  </w:footnote>
  <w:footnote w:id="8">
    <w:p w:rsidR="00586750" w:rsidRPr="006A41E2" w:rsidRDefault="00586750">
      <w:pPr>
        <w:pStyle w:val="Sprotnaopomba-besedilo"/>
        <w:rPr>
          <w:sz w:val="18"/>
        </w:rPr>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w:t>
      </w:r>
      <w:proofErr w:type="spellStart"/>
      <w:r>
        <w:rPr>
          <w:sz w:val="18"/>
        </w:rPr>
        <w:t>Ares</w:t>
      </w:r>
      <w:proofErr w:type="spellEnd"/>
      <w:r>
        <w:rPr>
          <w:sz w:val="18"/>
        </w:rPr>
        <w:t xml:space="preserve"> (2022)1060102).</w:t>
      </w:r>
    </w:p>
  </w:footnote>
  <w:footnote w:id="9">
    <w:p w:rsidR="00586750" w:rsidRPr="007027D4" w:rsidRDefault="00586750" w:rsidP="00EA1A2F">
      <w:pPr>
        <w:pStyle w:val="Sprotnaopomba-besedilo"/>
      </w:pPr>
      <w:r>
        <w:rPr>
          <w:rStyle w:val="Sprotnaopomba-sklic"/>
        </w:rPr>
        <w:footnoteRef/>
      </w:r>
      <w:r>
        <w:tab/>
      </w:r>
      <w:r>
        <w:rPr>
          <w:sz w:val="18"/>
        </w:rPr>
        <w:t xml:space="preserve">Dodana vrednost Unije je opredeljena kot ustvarjanje rezultatov, ki presegajo tisto, kar bi države članice dosegle same. </w:t>
      </w:r>
    </w:p>
  </w:footnote>
  <w:footnote w:id="10">
    <w:p w:rsidR="00586750" w:rsidRPr="007027D4" w:rsidRDefault="00586750" w:rsidP="00EA1A2F">
      <w:pPr>
        <w:pStyle w:val="Sprotnaopomba-besedilo"/>
        <w:rPr>
          <w:sz w:val="18"/>
        </w:rPr>
      </w:pPr>
      <w:r>
        <w:rPr>
          <w:rStyle w:val="Sprotnaopomba-sklic"/>
        </w:rPr>
        <w:footnoteRef/>
      </w:r>
      <w:r>
        <w:tab/>
      </w:r>
      <w:r>
        <w:rPr>
          <w:sz w:val="18"/>
        </w:rPr>
        <w:t>Na primer v zvezi z dejavnostmi javnega naročanja ali drugimi sprejetimi pripravljalnimi ukrepi.</w:t>
      </w:r>
    </w:p>
  </w:footnote>
  <w:footnote w:id="11">
    <w:p w:rsidR="00586750" w:rsidRPr="007027D4" w:rsidRDefault="00586750" w:rsidP="00EA1A2F">
      <w:pPr>
        <w:pStyle w:val="Sprotnaopomba-besedilo"/>
      </w:pPr>
      <w:r>
        <w:rPr>
          <w:rStyle w:val="Sprotnaopomba-sklic"/>
        </w:rPr>
        <w:footnoteRef/>
      </w:r>
      <w:r>
        <w:tab/>
      </w:r>
      <w:r>
        <w:rPr>
          <w:sz w:val="18"/>
        </w:rPr>
        <w:t>Na primer v smislu dosežkov, učinkov, rezultatov itd.</w:t>
      </w:r>
    </w:p>
  </w:footnote>
  <w:footnote w:id="12">
    <w:p w:rsidR="00586750" w:rsidRPr="006A41E2" w:rsidRDefault="00586750">
      <w:pPr>
        <w:pStyle w:val="Sprotnaopomba-besedilo"/>
      </w:pPr>
      <w:r>
        <w:rPr>
          <w:rStyle w:val="Sprotnaopomba-sklic"/>
        </w:rPr>
        <w:footnoteRef/>
      </w:r>
      <w:r>
        <w:tab/>
      </w:r>
      <w:r>
        <w:rPr>
          <w:sz w:val="18"/>
        </w:rPr>
        <w:t>Kot je navedeno v obvestilu Komisije z dne 14. februarja 2022 (</w:t>
      </w:r>
      <w:proofErr w:type="spellStart"/>
      <w:r>
        <w:rPr>
          <w:sz w:val="18"/>
        </w:rPr>
        <w:t>Ares</w:t>
      </w:r>
      <w:proofErr w:type="spellEnd"/>
      <w:r>
        <w:rPr>
          <w:sz w:val="18"/>
        </w:rPr>
        <w:t xml:space="preserve"> (2022)1060102).</w:t>
      </w:r>
    </w:p>
  </w:footnote>
  <w:footnote w:id="13">
    <w:p w:rsidR="00586750" w:rsidRPr="006A41E2" w:rsidRDefault="00586750">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14">
    <w:p w:rsidR="00586750" w:rsidRPr="006A41E2" w:rsidRDefault="00586750">
      <w:pPr>
        <w:pStyle w:val="Sprotnaopomba-besedilo"/>
        <w:rPr>
          <w:sz w:val="18"/>
        </w:rPr>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15">
    <w:p w:rsidR="00586750" w:rsidRPr="006A41E2" w:rsidRDefault="00586750">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rsidR="00586750" w:rsidRPr="002229DC" w:rsidRDefault="00586750">
      <w:pPr>
        <w:pStyle w:val="Sprotnaopomba-besedilo"/>
      </w:pPr>
      <w:r>
        <w:rPr>
          <w:rStyle w:val="Sprotnaopomba-sklic"/>
        </w:rPr>
        <w:footnoteRef/>
      </w:r>
      <w:r>
        <w:tab/>
      </w:r>
      <w:r>
        <w:rPr>
          <w:color w:val="333333"/>
          <w:sz w:val="18"/>
          <w:shd w:val="clear" w:color="auto" w:fill="FFFFFF"/>
        </w:rPr>
        <w:t xml:space="preserve">Uredba (EU) št. 513/2014 Evropskega parlamenta in Sveta z dne 16. aprila 2014 o vzpostavitvi instrumenta za finančno podporo na področju policijskega sodelovanja, preprečevanja kriminala in boja proti njemu ter obvladovanja kriz v okviru Sklada za notranjo varnost in o razveljavitvi Sklepa Sveta 2007/125/PNZ (UL L 150, </w:t>
      </w:r>
      <w:r>
        <w:rPr>
          <w:sz w:val="18"/>
        </w:rPr>
        <w:t>20.5.2014, str. 93).</w:t>
      </w:r>
    </w:p>
  </w:footnote>
  <w:footnote w:id="17">
    <w:p w:rsidR="00586750" w:rsidRPr="00717D45" w:rsidRDefault="00586750" w:rsidP="0059250C">
      <w:pPr>
        <w:pStyle w:val="Sprotnaopomba-besedilo"/>
        <w:rPr>
          <w:sz w:val="18"/>
          <w:szCs w:val="18"/>
        </w:rPr>
      </w:pPr>
      <w:r>
        <w:rPr>
          <w:rStyle w:val="Sprotnaopomba-sklic"/>
        </w:rPr>
        <w:footnoteRef/>
      </w:r>
      <w:r>
        <w:tab/>
      </w:r>
      <w:r>
        <w:rPr>
          <w:color w:val="333333"/>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p w:rsidR="00586750" w:rsidRPr="00DC1E6A" w:rsidRDefault="00586750">
      <w:pPr>
        <w:pStyle w:val="Sprotnaopomba-besedilo"/>
      </w:pPr>
    </w:p>
  </w:footnote>
  <w:footnote w:id="18">
    <w:p w:rsidR="00397A63" w:rsidRPr="007027D4" w:rsidRDefault="00397A63" w:rsidP="00397A63">
      <w:pPr>
        <w:pStyle w:val="Sprotnaopomba-besedilo"/>
      </w:pPr>
      <w:r>
        <w:rPr>
          <w:rStyle w:val="Sprotnaopomba-sklic"/>
        </w:rPr>
        <w:footnoteRef/>
      </w:r>
      <w:r>
        <w:tab/>
      </w:r>
      <w:r>
        <w:rPr>
          <w:sz w:val="18"/>
        </w:rPr>
        <w:t>Kot je sodelovanje na ravni Unije med državami članicami ter med državami članicami in ustreznimi organi, uradi in agencijami Unije ter sodelovanje na nacionalni ravni med pristojnimi organi v vsaki državi članici.</w:t>
      </w:r>
    </w:p>
  </w:footnote>
  <w:footnote w:id="19">
    <w:p w:rsidR="001B7FE6" w:rsidRPr="00DF7BF3" w:rsidRDefault="00FC3F33" w:rsidP="001B7FE6">
      <w:pPr>
        <w:pStyle w:val="Sprotnaopomba-besedilo"/>
        <w:rPr>
          <w:sz w:val="18"/>
        </w:rPr>
      </w:pPr>
      <w:r>
        <w:rPr>
          <w:rStyle w:val="Sprotnaopomba-sklic"/>
        </w:rPr>
        <w:footnoteRef/>
      </w:r>
      <w:r>
        <w:tab/>
      </w:r>
      <w:r>
        <w:rPr>
          <w:sz w:val="18"/>
        </w:rPr>
        <w:t xml:space="preserve">Uredba (EU) 2019/817 Evropskega parlamenta in Sveta z dne 20. maja 2019 o vzpostavitvi okvira za </w:t>
      </w:r>
      <w:proofErr w:type="spellStart"/>
      <w:r>
        <w:rPr>
          <w:sz w:val="18"/>
        </w:rPr>
        <w:t>interoperabilnost</w:t>
      </w:r>
      <w:proofErr w:type="spellEnd"/>
      <w:r>
        <w:rPr>
          <w:sz w:val="18"/>
        </w:rPr>
        <w:t xml:space="preserve"> informacijskih sistemov EU na področju meja in vizumov ter spremembi uredb (ES) št. 767/2008, (EU) 2016/399, (EU) 2017/2226, (EU) 2018/1240, (EU) 2018/1726 in (EU) 2018/1861 Evropskega parlamenta in Sveta ter Odločbe Sveta 2004/512/ES in Sklepa Sveta 2008/633/PNZ (</w:t>
      </w:r>
      <w:hyperlink r:id="rId1" w:history="1">
        <w:r>
          <w:rPr>
            <w:sz w:val="18"/>
          </w:rPr>
          <w:t>UL L 135, 22.5.2019, str. 27</w:t>
        </w:r>
      </w:hyperlink>
      <w:r>
        <w:rPr>
          <w:sz w:val="18"/>
        </w:rPr>
        <w:t>).</w:t>
      </w:r>
    </w:p>
    <w:p w:rsidR="00FC3F33" w:rsidRPr="001B7FE6" w:rsidRDefault="001B7FE6" w:rsidP="001B7FE6">
      <w:pPr>
        <w:pStyle w:val="Sprotnaopomba-besedilo"/>
        <w:ind w:firstLine="0"/>
      </w:pPr>
      <w:r>
        <w:rPr>
          <w:sz w:val="18"/>
        </w:rPr>
        <w:t xml:space="preserve">Uredba (EU) 2019/818 Evropskega parlamenta in Sveta z dne 20. maja 2019 o vzpostavitvi okvira za </w:t>
      </w:r>
      <w:proofErr w:type="spellStart"/>
      <w:r>
        <w:rPr>
          <w:sz w:val="18"/>
        </w:rPr>
        <w:t>interoperabilnost</w:t>
      </w:r>
      <w:proofErr w:type="spellEnd"/>
      <w:r>
        <w:rPr>
          <w:sz w:val="18"/>
        </w:rPr>
        <w:t xml:space="preserve"> informacijskih sistemov EU na področju policijskega in pravosodnega sodelovanja, azila ter migracij in spremembi uredb (EU) 2018/1726, (EU) 2018/1862 ter (EU) 2019/816 (</w:t>
      </w:r>
      <w:hyperlink r:id="rId2" w:history="1">
        <w:r>
          <w:rPr>
            <w:sz w:val="18"/>
          </w:rPr>
          <w:t>UL L 135, 22.5.2019, str. 85</w:t>
        </w:r>
      </w:hyperlink>
      <w:r>
        <w:rPr>
          <w:sz w:val="18"/>
        </w:rPr>
        <w:t>).</w:t>
      </w:r>
    </w:p>
  </w:footnote>
  <w:footnote w:id="20">
    <w:p w:rsidR="00586750" w:rsidRPr="006A41E2" w:rsidRDefault="00586750" w:rsidP="006A41E2">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21">
    <w:p w:rsidR="00586750" w:rsidRPr="006A41E2" w:rsidRDefault="00586750" w:rsidP="006A41E2">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22">
    <w:p w:rsidR="00022517" w:rsidRDefault="007D1ECB" w:rsidP="007D1ECB">
      <w:pPr>
        <w:pStyle w:val="Sprotnaopomba-besedilo"/>
        <w:rPr>
          <w:sz w:val="18"/>
          <w:szCs w:val="18"/>
        </w:rPr>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w:t>
      </w:r>
    </w:p>
    <w:p w:rsidR="007D1ECB" w:rsidRDefault="007D1ECB" w:rsidP="007D1ECB">
      <w:pPr>
        <w:pStyle w:val="Sprotnaopomba-besedilo"/>
      </w:pPr>
      <w:r w:rsidRPr="007A2DDE">
        <w:rPr>
          <w:sz w:val="18"/>
          <w:szCs w:val="18"/>
        </w:rPr>
        <w:t>integriranega upravljanja meja v</w:t>
      </w:r>
      <w:r>
        <w:rPr>
          <w:sz w:val="18"/>
          <w:szCs w:val="18"/>
        </w:rPr>
        <w:t xml:space="preserve"> programskem obdobju 2021–2027.</w:t>
      </w:r>
      <w:r w:rsidRPr="007A2DDE">
        <w:rPr>
          <w:color w:val="000000"/>
          <w:sz w:val="18"/>
          <w:szCs w:val="18"/>
        </w:rPr>
        <w:t xml:space="preserve"> </w:t>
      </w:r>
    </w:p>
  </w:footnote>
  <w:footnote w:id="23">
    <w:p w:rsidR="007D1ECB" w:rsidRDefault="007D1ECB" w:rsidP="007D1ECB">
      <w:pPr>
        <w:pStyle w:val="Sprotnaopomba-besedilo"/>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integriranega upravljanja meja </w:t>
      </w:r>
      <w:r>
        <w:rPr>
          <w:sz w:val="18"/>
          <w:szCs w:val="18"/>
        </w:rPr>
        <w:t>v programskem obdobju 2021–2027.</w:t>
      </w:r>
      <w:r w:rsidRPr="007A2DDE">
        <w:rPr>
          <w:sz w:val="18"/>
          <w:szCs w:val="18"/>
        </w:rPr>
        <w:t xml:space="preserve"> </w:t>
      </w:r>
      <w:r w:rsidRPr="007A2DDE">
        <w:rPr>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A10BFC"/>
    <w:multiLevelType w:val="hybridMultilevel"/>
    <w:tmpl w:val="4B8E0964"/>
    <w:lvl w:ilvl="0" w:tplc="8ADC8EE4">
      <w:start w:val="15"/>
      <w:numFmt w:val="bullet"/>
      <w:lvlText w:val="-"/>
      <w:lvlJc w:val="left"/>
      <w:pPr>
        <w:ind w:left="720" w:hanging="360"/>
      </w:pPr>
      <w:rPr>
        <w:rFonts w:ascii="Times New Roman" w:eastAsiaTheme="minorHAns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FB97DF2"/>
    <w:multiLevelType w:val="hybridMultilevel"/>
    <w:tmpl w:val="65C826AE"/>
    <w:lvl w:ilvl="0" w:tplc="5A20FDB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00F7DEC"/>
    <w:multiLevelType w:val="hybridMultilevel"/>
    <w:tmpl w:val="65C826AE"/>
    <w:lvl w:ilvl="0" w:tplc="5A20FDB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num>
  <w:num w:numId="12">
    <w:abstractNumId w:val="22"/>
    <w:lvlOverride w:ilvl="0">
      <w:startOverride w:val="1"/>
    </w:lvlOverride>
  </w:num>
  <w:num w:numId="13">
    <w:abstractNumId w:val="22"/>
  </w:num>
  <w:num w:numId="14">
    <w:abstractNumId w:val="15"/>
  </w:num>
  <w:num w:numId="15">
    <w:abstractNumId w:val="24"/>
  </w:num>
  <w:num w:numId="16">
    <w:abstractNumId w:val="12"/>
  </w:num>
  <w:num w:numId="17">
    <w:abstractNumId w:val="16"/>
  </w:num>
  <w:num w:numId="18">
    <w:abstractNumId w:val="17"/>
  </w:num>
  <w:num w:numId="19">
    <w:abstractNumId w:val="9"/>
  </w:num>
  <w:num w:numId="20">
    <w:abstractNumId w:val="23"/>
  </w:num>
  <w:num w:numId="21">
    <w:abstractNumId w:val="8"/>
  </w:num>
  <w:num w:numId="22">
    <w:abstractNumId w:val="18"/>
  </w:num>
  <w:num w:numId="23">
    <w:abstractNumId w:val="20"/>
  </w:num>
  <w:num w:numId="24">
    <w:abstractNumId w:val="21"/>
  </w:num>
  <w:num w:numId="25">
    <w:abstractNumId w:val="11"/>
  </w:num>
  <w:num w:numId="26">
    <w:abstractNumId w:val="19"/>
  </w:num>
  <w:num w:numId="27">
    <w:abstractNumId w:val="25"/>
  </w:num>
  <w:num w:numId="28">
    <w:abstractNumId w:val="14"/>
  </w:num>
  <w:num w:numId="29">
    <w:abstractNumId w:val="13"/>
  </w:num>
  <w:num w:numId="3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proofState w:spelling="clean" w:grammar="clean"/>
  <w:attachedTemplate r:id="rId1"/>
  <w:defaultTabStop w:val="720"/>
  <w:hyphenationZone w:val="425"/>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3-01-17 08:32: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4E7F4CB9-02D7-408F-9D94-BF029F1A7B59"/>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Sklada za notranjo varnost za programsko obdobje 2021\u8211?2027 v skladu z Uredbo (EU) 2021/1149"/>
    <w:docVar w:name="LW_OBJETACTEPRINCIPAL.CP" w:val="o določitvi predloge za letna poročila o smotrnosti Sklada za notranjo varnost za programsko obdobje 2021–2027 v skladu z Uredbo (EU) 2021/1149"/>
    <w:docVar w:name="LW_PART_NBR" w:val="1"/>
    <w:docVar w:name="LW_PART_NBR_TOTAL" w:val="1"/>
    <w:docVar w:name="LW_REF.INST.NEW" w:val="C"/>
    <w:docVar w:name="LW_REF.INST.NEW_ADOPTED" w:val="final"/>
    <w:docVar w:name="LW_REF.INST.NEW_TEXT" w:val="(2023) 5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133CF"/>
    <w:rsid w:val="00014F7C"/>
    <w:rsid w:val="0001528B"/>
    <w:rsid w:val="00022517"/>
    <w:rsid w:val="00040782"/>
    <w:rsid w:val="00046462"/>
    <w:rsid w:val="0005122B"/>
    <w:rsid w:val="00053829"/>
    <w:rsid w:val="0006040C"/>
    <w:rsid w:val="00070021"/>
    <w:rsid w:val="00075EDB"/>
    <w:rsid w:val="00081CCF"/>
    <w:rsid w:val="00083808"/>
    <w:rsid w:val="00085A16"/>
    <w:rsid w:val="00085D54"/>
    <w:rsid w:val="000903CC"/>
    <w:rsid w:val="00093D5B"/>
    <w:rsid w:val="000A0779"/>
    <w:rsid w:val="000A1C8F"/>
    <w:rsid w:val="000C122F"/>
    <w:rsid w:val="000C4CC6"/>
    <w:rsid w:val="000D1693"/>
    <w:rsid w:val="000D3230"/>
    <w:rsid w:val="000D44D0"/>
    <w:rsid w:val="000D5E2F"/>
    <w:rsid w:val="000E45B7"/>
    <w:rsid w:val="000F1C58"/>
    <w:rsid w:val="00101769"/>
    <w:rsid w:val="00104E34"/>
    <w:rsid w:val="0011011B"/>
    <w:rsid w:val="00111D07"/>
    <w:rsid w:val="0011744D"/>
    <w:rsid w:val="00121042"/>
    <w:rsid w:val="00122018"/>
    <w:rsid w:val="00141E24"/>
    <w:rsid w:val="00152894"/>
    <w:rsid w:val="00153209"/>
    <w:rsid w:val="0015390B"/>
    <w:rsid w:val="0015448D"/>
    <w:rsid w:val="00154541"/>
    <w:rsid w:val="0016130D"/>
    <w:rsid w:val="00161A30"/>
    <w:rsid w:val="001668BA"/>
    <w:rsid w:val="0017755A"/>
    <w:rsid w:val="00181A3F"/>
    <w:rsid w:val="0018473B"/>
    <w:rsid w:val="00184CCF"/>
    <w:rsid w:val="0019152D"/>
    <w:rsid w:val="001A1F71"/>
    <w:rsid w:val="001A292A"/>
    <w:rsid w:val="001A4BD7"/>
    <w:rsid w:val="001B037F"/>
    <w:rsid w:val="001B7FE6"/>
    <w:rsid w:val="001C0807"/>
    <w:rsid w:val="001C4994"/>
    <w:rsid w:val="001D175D"/>
    <w:rsid w:val="001D2E88"/>
    <w:rsid w:val="001E0672"/>
    <w:rsid w:val="001E1588"/>
    <w:rsid w:val="001E3E4B"/>
    <w:rsid w:val="001E63B6"/>
    <w:rsid w:val="001F71DC"/>
    <w:rsid w:val="001F7F00"/>
    <w:rsid w:val="00200C0C"/>
    <w:rsid w:val="00202C38"/>
    <w:rsid w:val="00213BC9"/>
    <w:rsid w:val="00216D79"/>
    <w:rsid w:val="002229DC"/>
    <w:rsid w:val="00227FE7"/>
    <w:rsid w:val="00231338"/>
    <w:rsid w:val="00244632"/>
    <w:rsid w:val="00244A46"/>
    <w:rsid w:val="00246967"/>
    <w:rsid w:val="00251735"/>
    <w:rsid w:val="00254824"/>
    <w:rsid w:val="00260785"/>
    <w:rsid w:val="00267706"/>
    <w:rsid w:val="00275BA0"/>
    <w:rsid w:val="00277AF0"/>
    <w:rsid w:val="00284373"/>
    <w:rsid w:val="00284D38"/>
    <w:rsid w:val="00296314"/>
    <w:rsid w:val="002A48C2"/>
    <w:rsid w:val="002A4FD7"/>
    <w:rsid w:val="002A6B7D"/>
    <w:rsid w:val="002C4A46"/>
    <w:rsid w:val="002C4C72"/>
    <w:rsid w:val="002C60F2"/>
    <w:rsid w:val="002E13C5"/>
    <w:rsid w:val="002E2230"/>
    <w:rsid w:val="002E355D"/>
    <w:rsid w:val="002E3DC3"/>
    <w:rsid w:val="002F1935"/>
    <w:rsid w:val="002F2E39"/>
    <w:rsid w:val="002F5106"/>
    <w:rsid w:val="002F6FFF"/>
    <w:rsid w:val="003003B7"/>
    <w:rsid w:val="003021FB"/>
    <w:rsid w:val="00305958"/>
    <w:rsid w:val="00310023"/>
    <w:rsid w:val="0032373D"/>
    <w:rsid w:val="00323AA1"/>
    <w:rsid w:val="003252F1"/>
    <w:rsid w:val="00327883"/>
    <w:rsid w:val="00332A4B"/>
    <w:rsid w:val="0033686D"/>
    <w:rsid w:val="00336B99"/>
    <w:rsid w:val="00347EE8"/>
    <w:rsid w:val="003500C4"/>
    <w:rsid w:val="0035085A"/>
    <w:rsid w:val="00351C18"/>
    <w:rsid w:val="00352119"/>
    <w:rsid w:val="0035484F"/>
    <w:rsid w:val="003651F7"/>
    <w:rsid w:val="0037290B"/>
    <w:rsid w:val="003821DC"/>
    <w:rsid w:val="003923CA"/>
    <w:rsid w:val="003945F3"/>
    <w:rsid w:val="00397A63"/>
    <w:rsid w:val="003A30A1"/>
    <w:rsid w:val="003A6A89"/>
    <w:rsid w:val="003B217D"/>
    <w:rsid w:val="003B616F"/>
    <w:rsid w:val="003D38C3"/>
    <w:rsid w:val="003E338B"/>
    <w:rsid w:val="003E36B0"/>
    <w:rsid w:val="003E4922"/>
    <w:rsid w:val="003E49B2"/>
    <w:rsid w:val="003E7D66"/>
    <w:rsid w:val="003E7F9C"/>
    <w:rsid w:val="003F695F"/>
    <w:rsid w:val="00405D43"/>
    <w:rsid w:val="00410DEC"/>
    <w:rsid w:val="004119DA"/>
    <w:rsid w:val="0041224B"/>
    <w:rsid w:val="004217A7"/>
    <w:rsid w:val="00425B0B"/>
    <w:rsid w:val="00431B4C"/>
    <w:rsid w:val="00434335"/>
    <w:rsid w:val="00437336"/>
    <w:rsid w:val="0044327D"/>
    <w:rsid w:val="00446442"/>
    <w:rsid w:val="0045095F"/>
    <w:rsid w:val="004630E2"/>
    <w:rsid w:val="004708BF"/>
    <w:rsid w:val="00475780"/>
    <w:rsid w:val="00475B8F"/>
    <w:rsid w:val="00481574"/>
    <w:rsid w:val="00490445"/>
    <w:rsid w:val="0049785B"/>
    <w:rsid w:val="004A30F9"/>
    <w:rsid w:val="004B3C06"/>
    <w:rsid w:val="004B6B88"/>
    <w:rsid w:val="004E137F"/>
    <w:rsid w:val="004F00F8"/>
    <w:rsid w:val="004F1E95"/>
    <w:rsid w:val="004F5C72"/>
    <w:rsid w:val="004F5E71"/>
    <w:rsid w:val="005000D5"/>
    <w:rsid w:val="005056A0"/>
    <w:rsid w:val="00515026"/>
    <w:rsid w:val="005202F1"/>
    <w:rsid w:val="00520A2F"/>
    <w:rsid w:val="00532177"/>
    <w:rsid w:val="00535AC2"/>
    <w:rsid w:val="005365AB"/>
    <w:rsid w:val="00544E72"/>
    <w:rsid w:val="00545857"/>
    <w:rsid w:val="00552A8B"/>
    <w:rsid w:val="00554DAE"/>
    <w:rsid w:val="00555224"/>
    <w:rsid w:val="00555916"/>
    <w:rsid w:val="00561E3E"/>
    <w:rsid w:val="0056447F"/>
    <w:rsid w:val="00571255"/>
    <w:rsid w:val="005712C1"/>
    <w:rsid w:val="00582244"/>
    <w:rsid w:val="005856EF"/>
    <w:rsid w:val="00586750"/>
    <w:rsid w:val="00591AB0"/>
    <w:rsid w:val="0059250C"/>
    <w:rsid w:val="00594CD3"/>
    <w:rsid w:val="005A2396"/>
    <w:rsid w:val="005A77D9"/>
    <w:rsid w:val="005B5ADD"/>
    <w:rsid w:val="005B69E9"/>
    <w:rsid w:val="005C47C3"/>
    <w:rsid w:val="005F7766"/>
    <w:rsid w:val="0060652B"/>
    <w:rsid w:val="006112B4"/>
    <w:rsid w:val="00616C0E"/>
    <w:rsid w:val="00620009"/>
    <w:rsid w:val="006219CA"/>
    <w:rsid w:val="00621FCD"/>
    <w:rsid w:val="00636FE6"/>
    <w:rsid w:val="00652D07"/>
    <w:rsid w:val="006567CB"/>
    <w:rsid w:val="00656EC7"/>
    <w:rsid w:val="006639D8"/>
    <w:rsid w:val="0066681E"/>
    <w:rsid w:val="0067025E"/>
    <w:rsid w:val="00683DBB"/>
    <w:rsid w:val="006968E5"/>
    <w:rsid w:val="006A2A02"/>
    <w:rsid w:val="006A41E2"/>
    <w:rsid w:val="006A4B05"/>
    <w:rsid w:val="006B5B67"/>
    <w:rsid w:val="006C0D1D"/>
    <w:rsid w:val="006C5C3B"/>
    <w:rsid w:val="006D05D8"/>
    <w:rsid w:val="006D1A9C"/>
    <w:rsid w:val="006D7F5F"/>
    <w:rsid w:val="006E268C"/>
    <w:rsid w:val="006E2BC6"/>
    <w:rsid w:val="006E60F4"/>
    <w:rsid w:val="006F1357"/>
    <w:rsid w:val="006F1E13"/>
    <w:rsid w:val="006F3C12"/>
    <w:rsid w:val="006F5ACE"/>
    <w:rsid w:val="006F64DA"/>
    <w:rsid w:val="007027D4"/>
    <w:rsid w:val="00714C40"/>
    <w:rsid w:val="0071685A"/>
    <w:rsid w:val="0072518C"/>
    <w:rsid w:val="007261C3"/>
    <w:rsid w:val="00727C29"/>
    <w:rsid w:val="00734F22"/>
    <w:rsid w:val="0074216E"/>
    <w:rsid w:val="007478DA"/>
    <w:rsid w:val="00747C96"/>
    <w:rsid w:val="00753C85"/>
    <w:rsid w:val="00761619"/>
    <w:rsid w:val="00766BB4"/>
    <w:rsid w:val="00767C9E"/>
    <w:rsid w:val="00773B90"/>
    <w:rsid w:val="0077621B"/>
    <w:rsid w:val="0078415E"/>
    <w:rsid w:val="007850C9"/>
    <w:rsid w:val="00790F74"/>
    <w:rsid w:val="007979CC"/>
    <w:rsid w:val="00797E15"/>
    <w:rsid w:val="007A1C6C"/>
    <w:rsid w:val="007A386C"/>
    <w:rsid w:val="007A5907"/>
    <w:rsid w:val="007A7C14"/>
    <w:rsid w:val="007C3551"/>
    <w:rsid w:val="007C7AAC"/>
    <w:rsid w:val="007D0D22"/>
    <w:rsid w:val="007D11F7"/>
    <w:rsid w:val="007D1ECB"/>
    <w:rsid w:val="007E59B4"/>
    <w:rsid w:val="007F17A7"/>
    <w:rsid w:val="007F1A68"/>
    <w:rsid w:val="007F25CB"/>
    <w:rsid w:val="007F6345"/>
    <w:rsid w:val="008008F2"/>
    <w:rsid w:val="008023CE"/>
    <w:rsid w:val="00804283"/>
    <w:rsid w:val="008116E1"/>
    <w:rsid w:val="00824438"/>
    <w:rsid w:val="00825120"/>
    <w:rsid w:val="00830E61"/>
    <w:rsid w:val="00831111"/>
    <w:rsid w:val="00832BD0"/>
    <w:rsid w:val="00832C25"/>
    <w:rsid w:val="00832F50"/>
    <w:rsid w:val="00836645"/>
    <w:rsid w:val="00857C22"/>
    <w:rsid w:val="00860CF3"/>
    <w:rsid w:val="008671BE"/>
    <w:rsid w:val="00870992"/>
    <w:rsid w:val="0087148B"/>
    <w:rsid w:val="0087657F"/>
    <w:rsid w:val="008908D4"/>
    <w:rsid w:val="00892376"/>
    <w:rsid w:val="00893A65"/>
    <w:rsid w:val="00894A2F"/>
    <w:rsid w:val="008A02D6"/>
    <w:rsid w:val="008A19C4"/>
    <w:rsid w:val="008B1A84"/>
    <w:rsid w:val="008C3D9E"/>
    <w:rsid w:val="008D1226"/>
    <w:rsid w:val="008D327B"/>
    <w:rsid w:val="008D3763"/>
    <w:rsid w:val="008D3A5B"/>
    <w:rsid w:val="008E1CAB"/>
    <w:rsid w:val="008E488A"/>
    <w:rsid w:val="008F15E7"/>
    <w:rsid w:val="008F1DB4"/>
    <w:rsid w:val="008F4E6A"/>
    <w:rsid w:val="008F5483"/>
    <w:rsid w:val="00900D70"/>
    <w:rsid w:val="00912E10"/>
    <w:rsid w:val="00914B22"/>
    <w:rsid w:val="00915D9B"/>
    <w:rsid w:val="009170CA"/>
    <w:rsid w:val="00930399"/>
    <w:rsid w:val="00930AD9"/>
    <w:rsid w:val="009326C6"/>
    <w:rsid w:val="00933FC4"/>
    <w:rsid w:val="009362A9"/>
    <w:rsid w:val="00940E4A"/>
    <w:rsid w:val="009462A4"/>
    <w:rsid w:val="00947F13"/>
    <w:rsid w:val="00953A24"/>
    <w:rsid w:val="00957881"/>
    <w:rsid w:val="009668A9"/>
    <w:rsid w:val="00967035"/>
    <w:rsid w:val="00971D40"/>
    <w:rsid w:val="00983339"/>
    <w:rsid w:val="009A48FE"/>
    <w:rsid w:val="009B36A7"/>
    <w:rsid w:val="009D3A7D"/>
    <w:rsid w:val="009D7228"/>
    <w:rsid w:val="009E5C5D"/>
    <w:rsid w:val="009E75AB"/>
    <w:rsid w:val="009F694C"/>
    <w:rsid w:val="009F716C"/>
    <w:rsid w:val="00A002B3"/>
    <w:rsid w:val="00A02CE9"/>
    <w:rsid w:val="00A0708A"/>
    <w:rsid w:val="00A21690"/>
    <w:rsid w:val="00A24854"/>
    <w:rsid w:val="00A3213A"/>
    <w:rsid w:val="00A53DE8"/>
    <w:rsid w:val="00A61670"/>
    <w:rsid w:val="00A70B62"/>
    <w:rsid w:val="00A7322A"/>
    <w:rsid w:val="00A75AA3"/>
    <w:rsid w:val="00A827C2"/>
    <w:rsid w:val="00A847E6"/>
    <w:rsid w:val="00A9650D"/>
    <w:rsid w:val="00A97818"/>
    <w:rsid w:val="00AA29DB"/>
    <w:rsid w:val="00AA72E3"/>
    <w:rsid w:val="00AB0131"/>
    <w:rsid w:val="00AB4FA4"/>
    <w:rsid w:val="00AC4263"/>
    <w:rsid w:val="00AD33CE"/>
    <w:rsid w:val="00AD502C"/>
    <w:rsid w:val="00AD7CB5"/>
    <w:rsid w:val="00AE5793"/>
    <w:rsid w:val="00AE5AA2"/>
    <w:rsid w:val="00AF2D41"/>
    <w:rsid w:val="00B00D91"/>
    <w:rsid w:val="00B03A44"/>
    <w:rsid w:val="00B043A6"/>
    <w:rsid w:val="00B07595"/>
    <w:rsid w:val="00B103F8"/>
    <w:rsid w:val="00B22BCD"/>
    <w:rsid w:val="00B2365F"/>
    <w:rsid w:val="00B34672"/>
    <w:rsid w:val="00B34721"/>
    <w:rsid w:val="00B36705"/>
    <w:rsid w:val="00B54804"/>
    <w:rsid w:val="00B5488D"/>
    <w:rsid w:val="00B54958"/>
    <w:rsid w:val="00B62194"/>
    <w:rsid w:val="00B6561F"/>
    <w:rsid w:val="00B67D57"/>
    <w:rsid w:val="00B71583"/>
    <w:rsid w:val="00B72B08"/>
    <w:rsid w:val="00B75806"/>
    <w:rsid w:val="00B80600"/>
    <w:rsid w:val="00B83642"/>
    <w:rsid w:val="00B8569E"/>
    <w:rsid w:val="00B86258"/>
    <w:rsid w:val="00BA6E76"/>
    <w:rsid w:val="00BA71EA"/>
    <w:rsid w:val="00BB3C0E"/>
    <w:rsid w:val="00BB61EF"/>
    <w:rsid w:val="00BB7005"/>
    <w:rsid w:val="00BC294D"/>
    <w:rsid w:val="00BC3884"/>
    <w:rsid w:val="00BC54D3"/>
    <w:rsid w:val="00BD5A8A"/>
    <w:rsid w:val="00BE0854"/>
    <w:rsid w:val="00BE662A"/>
    <w:rsid w:val="00BF0850"/>
    <w:rsid w:val="00C12AA5"/>
    <w:rsid w:val="00C150E0"/>
    <w:rsid w:val="00C20A50"/>
    <w:rsid w:val="00C21D44"/>
    <w:rsid w:val="00C267A3"/>
    <w:rsid w:val="00C30ACF"/>
    <w:rsid w:val="00C338CD"/>
    <w:rsid w:val="00C35C26"/>
    <w:rsid w:val="00C40797"/>
    <w:rsid w:val="00C43B9B"/>
    <w:rsid w:val="00C45A19"/>
    <w:rsid w:val="00C51C64"/>
    <w:rsid w:val="00C56E81"/>
    <w:rsid w:val="00C62604"/>
    <w:rsid w:val="00C629AE"/>
    <w:rsid w:val="00C63931"/>
    <w:rsid w:val="00C64777"/>
    <w:rsid w:val="00C66DD5"/>
    <w:rsid w:val="00C71B80"/>
    <w:rsid w:val="00C73DA1"/>
    <w:rsid w:val="00C8307A"/>
    <w:rsid w:val="00C86961"/>
    <w:rsid w:val="00CA1861"/>
    <w:rsid w:val="00CA4A64"/>
    <w:rsid w:val="00CB0B3D"/>
    <w:rsid w:val="00CB565B"/>
    <w:rsid w:val="00CC3B2E"/>
    <w:rsid w:val="00CC4063"/>
    <w:rsid w:val="00CD3D87"/>
    <w:rsid w:val="00CD6054"/>
    <w:rsid w:val="00CD7EDB"/>
    <w:rsid w:val="00CE6AF8"/>
    <w:rsid w:val="00CF524F"/>
    <w:rsid w:val="00CF73D2"/>
    <w:rsid w:val="00CF742E"/>
    <w:rsid w:val="00D0691F"/>
    <w:rsid w:val="00D07095"/>
    <w:rsid w:val="00D138D3"/>
    <w:rsid w:val="00D21661"/>
    <w:rsid w:val="00D23A6D"/>
    <w:rsid w:val="00D24F61"/>
    <w:rsid w:val="00D2663D"/>
    <w:rsid w:val="00D27059"/>
    <w:rsid w:val="00D6116E"/>
    <w:rsid w:val="00D61B53"/>
    <w:rsid w:val="00D6590A"/>
    <w:rsid w:val="00D70BC5"/>
    <w:rsid w:val="00D763B7"/>
    <w:rsid w:val="00D821C7"/>
    <w:rsid w:val="00D8312A"/>
    <w:rsid w:val="00D90245"/>
    <w:rsid w:val="00D92717"/>
    <w:rsid w:val="00D95A83"/>
    <w:rsid w:val="00D96527"/>
    <w:rsid w:val="00DA44BA"/>
    <w:rsid w:val="00DA70A3"/>
    <w:rsid w:val="00DC1E6A"/>
    <w:rsid w:val="00DC3C8A"/>
    <w:rsid w:val="00DC49C4"/>
    <w:rsid w:val="00DD025D"/>
    <w:rsid w:val="00DD1128"/>
    <w:rsid w:val="00DD3108"/>
    <w:rsid w:val="00DE6181"/>
    <w:rsid w:val="00DF1E54"/>
    <w:rsid w:val="00DF49E1"/>
    <w:rsid w:val="00DF68E6"/>
    <w:rsid w:val="00DF77FD"/>
    <w:rsid w:val="00E20371"/>
    <w:rsid w:val="00E23C83"/>
    <w:rsid w:val="00E304F0"/>
    <w:rsid w:val="00E3390F"/>
    <w:rsid w:val="00E3683F"/>
    <w:rsid w:val="00E43934"/>
    <w:rsid w:val="00E45665"/>
    <w:rsid w:val="00E457CC"/>
    <w:rsid w:val="00E47AD1"/>
    <w:rsid w:val="00E51586"/>
    <w:rsid w:val="00E55D50"/>
    <w:rsid w:val="00E76930"/>
    <w:rsid w:val="00E80570"/>
    <w:rsid w:val="00E9035B"/>
    <w:rsid w:val="00E9229D"/>
    <w:rsid w:val="00E9573D"/>
    <w:rsid w:val="00E9783C"/>
    <w:rsid w:val="00EA1A2F"/>
    <w:rsid w:val="00EA2959"/>
    <w:rsid w:val="00EA7986"/>
    <w:rsid w:val="00EB15FB"/>
    <w:rsid w:val="00EB4DBF"/>
    <w:rsid w:val="00ED10B8"/>
    <w:rsid w:val="00ED111D"/>
    <w:rsid w:val="00ED3594"/>
    <w:rsid w:val="00ED3E23"/>
    <w:rsid w:val="00EE5052"/>
    <w:rsid w:val="00F00176"/>
    <w:rsid w:val="00F01869"/>
    <w:rsid w:val="00F20874"/>
    <w:rsid w:val="00F272A3"/>
    <w:rsid w:val="00F30684"/>
    <w:rsid w:val="00F3358C"/>
    <w:rsid w:val="00F42C44"/>
    <w:rsid w:val="00F46BD5"/>
    <w:rsid w:val="00F47EA7"/>
    <w:rsid w:val="00F56532"/>
    <w:rsid w:val="00F611C1"/>
    <w:rsid w:val="00F64323"/>
    <w:rsid w:val="00F67137"/>
    <w:rsid w:val="00F72229"/>
    <w:rsid w:val="00F7790E"/>
    <w:rsid w:val="00F84738"/>
    <w:rsid w:val="00F954F9"/>
    <w:rsid w:val="00FA20C5"/>
    <w:rsid w:val="00FA3952"/>
    <w:rsid w:val="00FA5A5C"/>
    <w:rsid w:val="00FC1EE3"/>
    <w:rsid w:val="00FC3F33"/>
    <w:rsid w:val="00FD3C01"/>
    <w:rsid w:val="00FF0E7F"/>
    <w:rsid w:val="00FF51AC"/>
    <w:rsid w:val="00FF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813A8A0-E19E-488F-A944-549927D6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20"/>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20"/>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20"/>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20"/>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20"/>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20"/>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20"/>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1"/>
      </w:numPr>
      <w:contextualSpacing/>
    </w:pPr>
  </w:style>
  <w:style w:type="paragraph" w:styleId="Oznaenseznam2">
    <w:name w:val="List Bullet 2"/>
    <w:basedOn w:val="Navaden"/>
    <w:uiPriority w:val="99"/>
    <w:semiHidden/>
    <w:unhideWhenUsed/>
    <w:rsid w:val="00244A46"/>
    <w:pPr>
      <w:numPr>
        <w:numId w:val="2"/>
      </w:numPr>
      <w:contextualSpacing/>
    </w:pPr>
  </w:style>
  <w:style w:type="paragraph" w:styleId="Oznaenseznam3">
    <w:name w:val="List Bullet 3"/>
    <w:basedOn w:val="Navaden"/>
    <w:uiPriority w:val="99"/>
    <w:semiHidden/>
    <w:unhideWhenUsed/>
    <w:rsid w:val="00244A46"/>
    <w:pPr>
      <w:numPr>
        <w:numId w:val="3"/>
      </w:numPr>
      <w:contextualSpacing/>
    </w:pPr>
  </w:style>
  <w:style w:type="paragraph" w:styleId="Oznaenseznam4">
    <w:name w:val="List Bullet 4"/>
    <w:basedOn w:val="Navaden"/>
    <w:uiPriority w:val="99"/>
    <w:semiHidden/>
    <w:unhideWhenUsed/>
    <w:rsid w:val="00244A46"/>
    <w:pPr>
      <w:numPr>
        <w:numId w:val="4"/>
      </w:numPr>
      <w:contextualSpacing/>
    </w:pPr>
  </w:style>
  <w:style w:type="paragraph" w:styleId="Otevilenseznam">
    <w:name w:val="List Number"/>
    <w:basedOn w:val="Navaden"/>
    <w:uiPriority w:val="99"/>
    <w:semiHidden/>
    <w:unhideWhenUsed/>
    <w:rsid w:val="00244A46"/>
    <w:pPr>
      <w:numPr>
        <w:numId w:val="5"/>
      </w:numPr>
      <w:contextualSpacing/>
    </w:pPr>
  </w:style>
  <w:style w:type="paragraph" w:styleId="Otevilenseznam2">
    <w:name w:val="List Number 2"/>
    <w:basedOn w:val="Navaden"/>
    <w:uiPriority w:val="99"/>
    <w:semiHidden/>
    <w:unhideWhenUsed/>
    <w:rsid w:val="00244A46"/>
    <w:pPr>
      <w:numPr>
        <w:numId w:val="6"/>
      </w:numPr>
      <w:contextualSpacing/>
    </w:pPr>
  </w:style>
  <w:style w:type="paragraph" w:styleId="Otevilenseznam3">
    <w:name w:val="List Number 3"/>
    <w:basedOn w:val="Navaden"/>
    <w:uiPriority w:val="99"/>
    <w:semiHidden/>
    <w:unhideWhenUsed/>
    <w:rsid w:val="00244A46"/>
    <w:pPr>
      <w:numPr>
        <w:numId w:val="7"/>
      </w:numPr>
      <w:contextualSpacing/>
    </w:pPr>
  </w:style>
  <w:style w:type="paragraph" w:styleId="Otevilenseznam4">
    <w:name w:val="List Number 4"/>
    <w:basedOn w:val="Navaden"/>
    <w:uiPriority w:val="99"/>
    <w:semiHidden/>
    <w:unhideWhenUsed/>
    <w:rsid w:val="00244A46"/>
    <w:pPr>
      <w:numPr>
        <w:numId w:val="8"/>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FF51AC"/>
    <w:pPr>
      <w:tabs>
        <w:tab w:val="center" w:pos="4535"/>
        <w:tab w:val="right" w:pos="9071"/>
      </w:tabs>
      <w:spacing w:before="0"/>
    </w:pPr>
  </w:style>
  <w:style w:type="character" w:customStyle="1" w:styleId="GlavaZnak">
    <w:name w:val="Glava Znak"/>
    <w:basedOn w:val="Privzetapisavaodstavka"/>
    <w:link w:val="Glava"/>
    <w:uiPriority w:val="99"/>
    <w:rsid w:val="00FF51AC"/>
    <w:rPr>
      <w:rFonts w:ascii="Times New Roman" w:hAnsi="Times New Roman" w:cs="Times New Roman"/>
      <w:sz w:val="24"/>
      <w:lang w:val="sl-SI"/>
    </w:rPr>
  </w:style>
  <w:style w:type="paragraph" w:styleId="Noga">
    <w:name w:val="footer"/>
    <w:basedOn w:val="Navaden"/>
    <w:link w:val="NogaZnak"/>
    <w:uiPriority w:val="99"/>
    <w:unhideWhenUsed/>
    <w:rsid w:val="00FF51AC"/>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FF51AC"/>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lang w:val="sl-SI"/>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lang w:val="sl-SI"/>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lang w:val="sl-SI"/>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lang w:val="sl-SI"/>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lang w:val="sl-SI"/>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lang w:val="sl-SI"/>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lang w:val="sl-SI"/>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FF51AC"/>
    <w:pPr>
      <w:tabs>
        <w:tab w:val="center" w:pos="7285"/>
        <w:tab w:val="right" w:pos="14003"/>
      </w:tabs>
      <w:spacing w:before="0"/>
    </w:pPr>
  </w:style>
  <w:style w:type="paragraph" w:customStyle="1" w:styleId="FooterLandscape">
    <w:name w:val="FooterLandscape"/>
    <w:basedOn w:val="Navaden"/>
    <w:rsid w:val="00FF51AC"/>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FF51A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FF51AC"/>
    <w:pPr>
      <w:spacing w:before="0"/>
      <w:jc w:val="right"/>
    </w:pPr>
    <w:rPr>
      <w:sz w:val="28"/>
    </w:rPr>
  </w:style>
  <w:style w:type="paragraph" w:customStyle="1" w:styleId="FooterSensitivity">
    <w:name w:val="Footer Sensitivity"/>
    <w:basedOn w:val="Navaden"/>
    <w:rsid w:val="00FF51A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19"/>
      </w:numPr>
    </w:pPr>
  </w:style>
  <w:style w:type="paragraph" w:customStyle="1" w:styleId="NumPar2">
    <w:name w:val="NumPar 2"/>
    <w:basedOn w:val="Navaden"/>
    <w:next w:val="Text1"/>
    <w:pPr>
      <w:numPr>
        <w:ilvl w:val="1"/>
        <w:numId w:val="19"/>
      </w:numPr>
    </w:pPr>
  </w:style>
  <w:style w:type="paragraph" w:customStyle="1" w:styleId="NumPar3">
    <w:name w:val="NumPar 3"/>
    <w:basedOn w:val="Navaden"/>
    <w:next w:val="Text1"/>
    <w:pPr>
      <w:numPr>
        <w:ilvl w:val="2"/>
        <w:numId w:val="19"/>
      </w:numPr>
    </w:pPr>
  </w:style>
  <w:style w:type="paragraph" w:customStyle="1" w:styleId="NumPar4">
    <w:name w:val="NumPar 4"/>
    <w:basedOn w:val="Navaden"/>
    <w:next w:val="Text1"/>
    <w:pPr>
      <w:numPr>
        <w:ilvl w:val="3"/>
        <w:numId w:val="19"/>
      </w:numPr>
    </w:pPr>
  </w:style>
  <w:style w:type="paragraph" w:customStyle="1" w:styleId="NumPar5">
    <w:name w:val="NumPar 5"/>
    <w:basedOn w:val="Navaden"/>
    <w:next w:val="Text2"/>
    <w:pPr>
      <w:numPr>
        <w:ilvl w:val="4"/>
        <w:numId w:val="19"/>
      </w:numPr>
    </w:pPr>
  </w:style>
  <w:style w:type="paragraph" w:customStyle="1" w:styleId="NumPar6">
    <w:name w:val="NumPar 6"/>
    <w:basedOn w:val="Navaden"/>
    <w:next w:val="Text2"/>
    <w:pPr>
      <w:numPr>
        <w:ilvl w:val="5"/>
        <w:numId w:val="19"/>
      </w:numPr>
    </w:pPr>
  </w:style>
  <w:style w:type="paragraph" w:customStyle="1" w:styleId="NumPar7">
    <w:name w:val="NumPar 7"/>
    <w:basedOn w:val="Navaden"/>
    <w:next w:val="Text2"/>
    <w:pPr>
      <w:numPr>
        <w:ilvl w:val="6"/>
        <w:numId w:val="19"/>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sid w:val="00F954F9"/>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21"/>
      </w:numPr>
    </w:pPr>
  </w:style>
  <w:style w:type="paragraph" w:customStyle="1" w:styleId="Point1number">
    <w:name w:val="Point 1 (number)"/>
    <w:basedOn w:val="Navaden"/>
    <w:pPr>
      <w:numPr>
        <w:ilvl w:val="2"/>
        <w:numId w:val="21"/>
      </w:numPr>
    </w:pPr>
  </w:style>
  <w:style w:type="paragraph" w:customStyle="1" w:styleId="Point2number">
    <w:name w:val="Point 2 (number)"/>
    <w:basedOn w:val="Navaden"/>
    <w:pPr>
      <w:numPr>
        <w:ilvl w:val="4"/>
        <w:numId w:val="21"/>
      </w:numPr>
    </w:pPr>
  </w:style>
  <w:style w:type="paragraph" w:customStyle="1" w:styleId="Point3number">
    <w:name w:val="Point 3 (number)"/>
    <w:basedOn w:val="Navaden"/>
    <w:pPr>
      <w:numPr>
        <w:ilvl w:val="6"/>
        <w:numId w:val="21"/>
      </w:numPr>
    </w:pPr>
  </w:style>
  <w:style w:type="paragraph" w:customStyle="1" w:styleId="Point0letter">
    <w:name w:val="Point 0 (letter)"/>
    <w:basedOn w:val="Navaden"/>
    <w:pPr>
      <w:numPr>
        <w:ilvl w:val="1"/>
        <w:numId w:val="21"/>
      </w:numPr>
    </w:pPr>
  </w:style>
  <w:style w:type="paragraph" w:customStyle="1" w:styleId="Point1letter">
    <w:name w:val="Point 1 (letter)"/>
    <w:basedOn w:val="Navaden"/>
    <w:pPr>
      <w:numPr>
        <w:ilvl w:val="3"/>
        <w:numId w:val="21"/>
      </w:numPr>
    </w:pPr>
  </w:style>
  <w:style w:type="paragraph" w:customStyle="1" w:styleId="Point2letter">
    <w:name w:val="Point 2 (letter)"/>
    <w:basedOn w:val="Navaden"/>
    <w:pPr>
      <w:numPr>
        <w:ilvl w:val="5"/>
        <w:numId w:val="21"/>
      </w:numPr>
    </w:pPr>
  </w:style>
  <w:style w:type="paragraph" w:customStyle="1" w:styleId="Point3letter">
    <w:name w:val="Point 3 (letter)"/>
    <w:basedOn w:val="Navaden"/>
    <w:pPr>
      <w:numPr>
        <w:ilvl w:val="7"/>
        <w:numId w:val="21"/>
      </w:numPr>
    </w:pPr>
  </w:style>
  <w:style w:type="paragraph" w:customStyle="1" w:styleId="Point4letter">
    <w:name w:val="Point 4 (letter)"/>
    <w:basedOn w:val="Navaden"/>
    <w:pPr>
      <w:numPr>
        <w:ilvl w:val="8"/>
        <w:numId w:val="21"/>
      </w:numPr>
    </w:pPr>
  </w:style>
  <w:style w:type="paragraph" w:customStyle="1" w:styleId="Bullet0">
    <w:name w:val="Bullet 0"/>
    <w:basedOn w:val="Navaden"/>
    <w:pPr>
      <w:numPr>
        <w:numId w:val="22"/>
      </w:numPr>
    </w:pPr>
  </w:style>
  <w:style w:type="paragraph" w:customStyle="1" w:styleId="Bullet1">
    <w:name w:val="Bullet 1"/>
    <w:basedOn w:val="Navaden"/>
    <w:pPr>
      <w:numPr>
        <w:numId w:val="23"/>
      </w:numPr>
    </w:pPr>
  </w:style>
  <w:style w:type="paragraph" w:customStyle="1" w:styleId="Bullet2">
    <w:name w:val="Bullet 2"/>
    <w:basedOn w:val="Navaden"/>
    <w:pPr>
      <w:numPr>
        <w:numId w:val="24"/>
      </w:numPr>
    </w:pPr>
  </w:style>
  <w:style w:type="paragraph" w:customStyle="1" w:styleId="Bullet3">
    <w:name w:val="Bullet 3"/>
    <w:basedOn w:val="Navaden"/>
    <w:pPr>
      <w:numPr>
        <w:numId w:val="25"/>
      </w:numPr>
    </w:pPr>
  </w:style>
  <w:style w:type="paragraph" w:customStyle="1" w:styleId="Bullet4">
    <w:name w:val="Bullet 4"/>
    <w:basedOn w:val="Navaden"/>
    <w:pPr>
      <w:numPr>
        <w:numId w:val="26"/>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27"/>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900289679">
      <w:bodyDiv w:val="1"/>
      <w:marLeft w:val="0"/>
      <w:marRight w:val="0"/>
      <w:marTop w:val="0"/>
      <w:marBottom w:val="0"/>
      <w:divBdr>
        <w:top w:val="none" w:sz="0" w:space="0" w:color="auto"/>
        <w:left w:val="none" w:sz="0" w:space="0" w:color="auto"/>
        <w:bottom w:val="none" w:sz="0" w:space="0" w:color="auto"/>
        <w:right w:val="none" w:sz="0" w:space="0" w:color="auto"/>
      </w:divBdr>
      <w:divsChild>
        <w:div w:id="1646204200">
          <w:marLeft w:val="0"/>
          <w:marRight w:val="0"/>
          <w:marTop w:val="0"/>
          <w:marBottom w:val="0"/>
          <w:divBdr>
            <w:top w:val="none" w:sz="0" w:space="0" w:color="auto"/>
            <w:left w:val="none" w:sz="0" w:space="0" w:color="auto"/>
            <w:bottom w:val="none" w:sz="0" w:space="0" w:color="auto"/>
            <w:right w:val="none" w:sz="0" w:space="0" w:color="auto"/>
          </w:divBdr>
        </w:div>
        <w:div w:id="615450739">
          <w:marLeft w:val="0"/>
          <w:marRight w:val="0"/>
          <w:marTop w:val="0"/>
          <w:marBottom w:val="0"/>
          <w:divBdr>
            <w:top w:val="none" w:sz="0" w:space="0" w:color="auto"/>
            <w:left w:val="none" w:sz="0" w:space="0" w:color="auto"/>
            <w:bottom w:val="none" w:sz="0" w:space="0" w:color="auto"/>
            <w:right w:val="none" w:sz="0" w:space="0" w:color="auto"/>
          </w:divBdr>
        </w:div>
        <w:div w:id="964501591">
          <w:marLeft w:val="0"/>
          <w:marRight w:val="0"/>
          <w:marTop w:val="0"/>
          <w:marBottom w:val="0"/>
          <w:divBdr>
            <w:top w:val="none" w:sz="0" w:space="0" w:color="auto"/>
            <w:left w:val="none" w:sz="0" w:space="0" w:color="auto"/>
            <w:bottom w:val="none" w:sz="0" w:space="0" w:color="auto"/>
            <w:right w:val="none" w:sz="0" w:space="0" w:color="auto"/>
          </w:divBdr>
        </w:div>
      </w:divsChild>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AUTO/?uri=OJ:L:2019:135:TOC" TargetMode="External"/><Relationship Id="rId1" Type="http://schemas.openxmlformats.org/officeDocument/2006/relationships/hyperlink" Target="https://eur-lex.europa.eu/legal-content/SL/AUTO/?uri=OJ:L:2019:135: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46FEB-191F-4390-B79A-1CCCD66FB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3.xml><?xml version="1.0" encoding="utf-8"?>
<ds:datastoreItem xmlns:ds="http://schemas.openxmlformats.org/officeDocument/2006/customXml" ds:itemID="{75356D46-FC06-4E2C-B7DB-6E99CB91049A}">
  <ds:schemaRefs>
    <ds:schemaRef ds:uri="http://schemas.microsoft.com/office/2006/documentManagement/types"/>
    <ds:schemaRef ds:uri="http://purl.org/dc/terms/"/>
    <ds:schemaRef ds:uri="http://schemas.openxmlformats.org/package/2006/metadata/core-properties"/>
    <ds:schemaRef ds:uri="ac131f03-315b-4cd8-8e3a-6189969fd4f0"/>
    <ds:schemaRef ds:uri="http://purl.org/dc/dcmitype/"/>
    <ds:schemaRef ds:uri="http://schemas.microsoft.com/office/infopath/2007/PartnerControls"/>
    <ds:schemaRef ds:uri="http://purl.org/dc/elements/1.1/"/>
    <ds:schemaRef ds:uri="http://schemas.microsoft.com/office/2006/metadata/properties"/>
    <ds:schemaRef ds:uri="5843c966-cb45-4885-93fc-2ce78a94204b"/>
    <ds:schemaRef ds:uri="http://www.w3.org/XML/1998/namespace"/>
  </ds:schemaRefs>
</ds:datastoreItem>
</file>

<file path=customXml/itemProps4.xml><?xml version="1.0" encoding="utf-8"?>
<ds:datastoreItem xmlns:ds="http://schemas.openxmlformats.org/officeDocument/2006/customXml" ds:itemID="{90CD6813-F7EC-4D6F-83C8-3B24B01A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20</TotalTime>
  <Pages>10</Pages>
  <Words>3459</Words>
  <Characters>19720</Characters>
  <Application>Microsoft Office Word</Application>
  <DocSecurity>0</DocSecurity>
  <Lines>164</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Grgasović</dc:creator>
  <cp:keywords/>
  <dc:description/>
  <cp:lastModifiedBy>metelko</cp:lastModifiedBy>
  <cp:revision>4</cp:revision>
  <cp:lastPrinted>2022-11-21T13:10:00Z</cp:lastPrinted>
  <dcterms:created xsi:type="dcterms:W3CDTF">2024-03-01T15:23:00Z</dcterms:created>
  <dcterms:modified xsi:type="dcterms:W3CDTF">2024-03-11T11:18:00Z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