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073" w:rsidRDefault="00206073" w:rsidP="00206073">
      <w:pPr>
        <w:pStyle w:val="Annexetitre"/>
        <w:rPr>
          <w:noProof/>
          <w:sz w:val="28"/>
          <w:szCs w:val="28"/>
          <w:u w:val="none"/>
        </w:rPr>
      </w:pPr>
      <w:r>
        <w:rPr>
          <w:noProof/>
          <w:lang w:eastAsia="sl-SI"/>
        </w:rPr>
        <w:drawing>
          <wp:anchor distT="0" distB="0" distL="114300" distR="114300" simplePos="0" relativeHeight="251659264" behindDoc="1" locked="0" layoutInCell="1" allowOverlap="1" wp14:anchorId="06422D92" wp14:editId="33DAF16A">
            <wp:simplePos x="0" y="0"/>
            <wp:positionH relativeFrom="margin">
              <wp:align>left</wp:align>
            </wp:positionH>
            <wp:positionV relativeFrom="margin">
              <wp:align>top</wp:align>
            </wp:positionV>
            <wp:extent cx="5928995" cy="489585"/>
            <wp:effectExtent l="0" t="0" r="0" b="5715"/>
            <wp:wrapNone/>
            <wp:docPr id="1" name="Slika 1" descr="MNZ + logoEU S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NZ + logoEU SEU barvni 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28995"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6073" w:rsidRDefault="00206073" w:rsidP="00206073">
      <w:pPr>
        <w:pStyle w:val="Annexetitre"/>
        <w:rPr>
          <w:noProof/>
          <w:sz w:val="28"/>
          <w:szCs w:val="28"/>
          <w:u w:val="none"/>
        </w:rPr>
      </w:pPr>
    </w:p>
    <w:p w:rsidR="00493477" w:rsidRDefault="00493477" w:rsidP="00206073">
      <w:pPr>
        <w:pStyle w:val="Annexetitre"/>
        <w:rPr>
          <w:b w:val="0"/>
          <w:i/>
          <w:noProof/>
          <w:sz w:val="28"/>
          <w:szCs w:val="28"/>
          <w:u w:val="none"/>
        </w:rPr>
      </w:pPr>
    </w:p>
    <w:p w:rsidR="00206073" w:rsidRDefault="00206073" w:rsidP="00206073">
      <w:pPr>
        <w:pStyle w:val="Annexetitre"/>
        <w:rPr>
          <w:noProof/>
          <w:sz w:val="28"/>
          <w:szCs w:val="28"/>
          <w:u w:val="none"/>
        </w:rPr>
      </w:pPr>
    </w:p>
    <w:p w:rsidR="0007448F" w:rsidRPr="0007448F" w:rsidRDefault="0007448F" w:rsidP="0007448F">
      <w:bookmarkStart w:id="0" w:name="_GoBack"/>
      <w:bookmarkEnd w:id="0"/>
    </w:p>
    <w:p w:rsidR="00206073" w:rsidRDefault="00206073" w:rsidP="00206073">
      <w:pPr>
        <w:pStyle w:val="Annexetitre"/>
        <w:rPr>
          <w:noProof/>
          <w:sz w:val="28"/>
          <w:szCs w:val="28"/>
          <w:u w:val="none"/>
        </w:rPr>
      </w:pPr>
      <w:r w:rsidRPr="006A2A02">
        <w:rPr>
          <w:noProof/>
          <w:sz w:val="28"/>
          <w:szCs w:val="28"/>
          <w:u w:val="none"/>
        </w:rPr>
        <w:t xml:space="preserve">LETNO POROČILO O SMOTRNOSTI </w:t>
      </w:r>
    </w:p>
    <w:p w:rsidR="00206073" w:rsidRDefault="00206073" w:rsidP="00206073">
      <w:pPr>
        <w:pStyle w:val="Annexetitre"/>
        <w:rPr>
          <w:noProof/>
          <w:sz w:val="28"/>
          <w:szCs w:val="28"/>
          <w:u w:val="none"/>
        </w:rPr>
      </w:pPr>
      <w:r w:rsidRPr="006A2A02">
        <w:rPr>
          <w:noProof/>
          <w:sz w:val="28"/>
          <w:szCs w:val="28"/>
          <w:u w:val="none"/>
        </w:rPr>
        <w:t xml:space="preserve">SKLADA ZA NOTRANJO VARNOST </w:t>
      </w:r>
    </w:p>
    <w:p w:rsidR="00206073" w:rsidRDefault="00206073" w:rsidP="00206073">
      <w:pPr>
        <w:pStyle w:val="Annexetitre"/>
        <w:rPr>
          <w:noProof/>
          <w:sz w:val="28"/>
          <w:szCs w:val="28"/>
          <w:u w:val="none"/>
        </w:rPr>
      </w:pPr>
      <w:r w:rsidRPr="006A2A02">
        <w:rPr>
          <w:noProof/>
          <w:sz w:val="28"/>
          <w:szCs w:val="28"/>
          <w:u w:val="none"/>
        </w:rPr>
        <w:t>IZ ČLENA 30 UREDBE (EU) 2021/1149</w:t>
      </w:r>
    </w:p>
    <w:p w:rsidR="00206073" w:rsidRPr="00206073" w:rsidRDefault="00206073" w:rsidP="00206073"/>
    <w:p w:rsidR="006A41E2" w:rsidRPr="003A1616" w:rsidRDefault="006A41E2" w:rsidP="006A41E2">
      <w:pPr>
        <w:pStyle w:val="ManualHeading1"/>
        <w:rPr>
          <w:noProof/>
        </w:rPr>
      </w:pPr>
      <w:r w:rsidRPr="003A1616">
        <w:rPr>
          <w:noProof/>
        </w:rPr>
        <w:t>OPREDELITEV</w:t>
      </w:r>
    </w:p>
    <w:tbl>
      <w:tblPr>
        <w:tblStyle w:val="Tabelamrea"/>
        <w:tblW w:w="9289" w:type="dxa"/>
        <w:tblLook w:val="04A0" w:firstRow="1" w:lastRow="0" w:firstColumn="1" w:lastColumn="0" w:noHBand="0" w:noVBand="1"/>
      </w:tblPr>
      <w:tblGrid>
        <w:gridCol w:w="4644"/>
        <w:gridCol w:w="4645"/>
      </w:tblGrid>
      <w:tr w:rsidR="00832BD0" w:rsidRPr="003A1616" w:rsidTr="00832BD0">
        <w:tc>
          <w:tcPr>
            <w:tcW w:w="4644" w:type="dxa"/>
          </w:tcPr>
          <w:p w:rsidR="00832BD0" w:rsidRPr="003A1616" w:rsidRDefault="00832BD0" w:rsidP="00832BD0">
            <w:pPr>
              <w:pStyle w:val="Personnequisigne"/>
              <w:rPr>
                <w:noProof/>
              </w:rPr>
            </w:pPr>
            <w:r w:rsidRPr="003A1616">
              <w:rPr>
                <w:noProof/>
              </w:rPr>
              <w:t>CCI</w:t>
            </w:r>
          </w:p>
        </w:tc>
        <w:tc>
          <w:tcPr>
            <w:tcW w:w="4645" w:type="dxa"/>
          </w:tcPr>
          <w:p w:rsidR="00832BD0" w:rsidRPr="003A1616" w:rsidRDefault="00832BD0" w:rsidP="00832BD0">
            <w:pPr>
              <w:pStyle w:val="Personnequisigne"/>
              <w:rPr>
                <w:noProof/>
              </w:rPr>
            </w:pPr>
            <w:r w:rsidRPr="003A1616">
              <w:rPr>
                <w:noProof/>
              </w:rPr>
              <w:t>2021SI65ISPR001</w:t>
            </w:r>
          </w:p>
        </w:tc>
      </w:tr>
      <w:tr w:rsidR="00832BD0" w:rsidRPr="003A1616" w:rsidTr="00832BD0">
        <w:tc>
          <w:tcPr>
            <w:tcW w:w="4644" w:type="dxa"/>
          </w:tcPr>
          <w:p w:rsidR="00832BD0" w:rsidRPr="003A1616" w:rsidRDefault="00832BD0" w:rsidP="00832BD0">
            <w:pPr>
              <w:pStyle w:val="Personnequisigne"/>
              <w:rPr>
                <w:noProof/>
              </w:rPr>
            </w:pPr>
            <w:r w:rsidRPr="003A1616">
              <w:rPr>
                <w:noProof/>
              </w:rPr>
              <w:t>Naslov</w:t>
            </w:r>
          </w:p>
        </w:tc>
        <w:tc>
          <w:tcPr>
            <w:tcW w:w="4645" w:type="dxa"/>
          </w:tcPr>
          <w:p w:rsidR="00832BD0" w:rsidRPr="003A1616" w:rsidRDefault="00832BD0" w:rsidP="00832BD0">
            <w:pPr>
              <w:pStyle w:val="Personnequisigne"/>
              <w:rPr>
                <w:noProof/>
              </w:rPr>
            </w:pPr>
            <w:r w:rsidRPr="003A1616">
              <w:rPr>
                <w:noProof/>
              </w:rPr>
              <w:t>Programme Slovenia-ISF</w:t>
            </w:r>
          </w:p>
        </w:tc>
      </w:tr>
      <w:tr w:rsidR="00832BD0" w:rsidRPr="003A1616" w:rsidTr="00832BD0">
        <w:tc>
          <w:tcPr>
            <w:tcW w:w="4644" w:type="dxa"/>
          </w:tcPr>
          <w:p w:rsidR="00832BD0" w:rsidRPr="003A1616" w:rsidRDefault="00832BD0" w:rsidP="00832BD0">
            <w:pPr>
              <w:pStyle w:val="Personnequisigne"/>
              <w:rPr>
                <w:noProof/>
              </w:rPr>
            </w:pPr>
            <w:r w:rsidRPr="003A1616">
              <w:rPr>
                <w:noProof/>
              </w:rPr>
              <w:t>Različica</w:t>
            </w:r>
          </w:p>
        </w:tc>
        <w:tc>
          <w:tcPr>
            <w:tcW w:w="4645" w:type="dxa"/>
          </w:tcPr>
          <w:p w:rsidR="00832BD0" w:rsidRPr="003A1616" w:rsidRDefault="00EC39F5" w:rsidP="00832BD0">
            <w:pPr>
              <w:pStyle w:val="Personnequisigne"/>
              <w:rPr>
                <w:noProof/>
              </w:rPr>
            </w:pPr>
            <w:r w:rsidRPr="003A1616">
              <w:rPr>
                <w:noProof/>
              </w:rPr>
              <w:t>2</w:t>
            </w:r>
            <w:r w:rsidR="00832BD0" w:rsidRPr="003A1616">
              <w:rPr>
                <w:noProof/>
              </w:rPr>
              <w:t>.0</w:t>
            </w:r>
          </w:p>
        </w:tc>
      </w:tr>
      <w:tr w:rsidR="00832BD0" w:rsidRPr="003A1616" w:rsidTr="00832BD0">
        <w:tc>
          <w:tcPr>
            <w:tcW w:w="4644" w:type="dxa"/>
          </w:tcPr>
          <w:p w:rsidR="00832BD0" w:rsidRPr="003A1616" w:rsidRDefault="00832BD0" w:rsidP="00832BD0">
            <w:pPr>
              <w:pStyle w:val="Personnequisigne"/>
              <w:rPr>
                <w:noProof/>
              </w:rPr>
            </w:pPr>
            <w:r w:rsidRPr="003A1616">
              <w:rPr>
                <w:noProof/>
              </w:rPr>
              <w:t>Obračunsko leto</w:t>
            </w:r>
          </w:p>
        </w:tc>
        <w:tc>
          <w:tcPr>
            <w:tcW w:w="4645" w:type="dxa"/>
          </w:tcPr>
          <w:p w:rsidR="00832BD0" w:rsidRPr="003A1616" w:rsidRDefault="00FD3C01" w:rsidP="00832BD0">
            <w:pPr>
              <w:pStyle w:val="Personnequisigne"/>
              <w:rPr>
                <w:noProof/>
              </w:rPr>
            </w:pPr>
            <w:r w:rsidRPr="00316A65">
              <w:rPr>
                <w:i w:val="0"/>
                <w:noProof/>
                <w:sz w:val="22"/>
              </w:rPr>
              <w:t>1.7.2022-30.6.2023</w:t>
            </w:r>
          </w:p>
        </w:tc>
      </w:tr>
      <w:tr w:rsidR="00832BD0" w:rsidRPr="003A1616" w:rsidTr="00832BD0">
        <w:tc>
          <w:tcPr>
            <w:tcW w:w="4644" w:type="dxa"/>
          </w:tcPr>
          <w:p w:rsidR="00832BD0" w:rsidRPr="003A1616" w:rsidRDefault="00832BD0" w:rsidP="00832BD0">
            <w:pPr>
              <w:pStyle w:val="Personnequisigne"/>
              <w:rPr>
                <w:noProof/>
              </w:rPr>
            </w:pPr>
            <w:r w:rsidRPr="003A1616">
              <w:rPr>
                <w:noProof/>
              </w:rPr>
              <w:t>Datum potrditve poročila s strani odbora za spremljanje</w:t>
            </w:r>
          </w:p>
        </w:tc>
        <w:tc>
          <w:tcPr>
            <w:tcW w:w="4645" w:type="dxa"/>
          </w:tcPr>
          <w:p w:rsidR="00832BD0" w:rsidRPr="003A1616" w:rsidRDefault="007D2F07" w:rsidP="00832BD0">
            <w:pPr>
              <w:pStyle w:val="Personnequisigne"/>
              <w:rPr>
                <w:noProof/>
              </w:rPr>
            </w:pPr>
            <w:r>
              <w:rPr>
                <w:noProof/>
              </w:rPr>
              <w:t>22. 8. 2024</w:t>
            </w:r>
          </w:p>
        </w:tc>
      </w:tr>
    </w:tbl>
    <w:p w:rsidR="006A41E2" w:rsidRPr="003A1616" w:rsidRDefault="00C30ACF" w:rsidP="00C30ACF">
      <w:pPr>
        <w:pStyle w:val="ManualHeading1"/>
        <w:rPr>
          <w:noProof/>
        </w:rPr>
      </w:pPr>
      <w:r w:rsidRPr="003A1616">
        <w:t>1.</w:t>
      </w:r>
      <w:r w:rsidRPr="003A1616">
        <w:tab/>
      </w:r>
      <w:r w:rsidR="006A41E2" w:rsidRPr="003A1616">
        <w:rPr>
          <w:noProof/>
        </w:rPr>
        <w:t>Smotrnost</w:t>
      </w:r>
    </w:p>
    <w:p w:rsidR="006A41E2" w:rsidRPr="003A1616" w:rsidRDefault="00C30ACF" w:rsidP="00C30ACF">
      <w:pPr>
        <w:pStyle w:val="ManualHeading2"/>
        <w:rPr>
          <w:noProof/>
        </w:rPr>
      </w:pPr>
      <w:r w:rsidRPr="003A1616">
        <w:t>1.1.</w:t>
      </w:r>
      <w:r w:rsidRPr="003A1616">
        <w:tab/>
      </w:r>
      <w:r w:rsidR="006A41E2" w:rsidRPr="003A1616">
        <w:rPr>
          <w:noProof/>
        </w:rPr>
        <w:t>Napredek pri izvajanju – člen 30(2), točka (a), Uredbe (EU) 2021/1149</w:t>
      </w:r>
    </w:p>
    <w:p w:rsidR="006A41E2" w:rsidRPr="003A1616" w:rsidRDefault="006A41E2" w:rsidP="006A41E2">
      <w:pPr>
        <w:rPr>
          <w:noProof/>
          <w:sz w:val="22"/>
        </w:rPr>
      </w:pPr>
      <w:r w:rsidRPr="003A1616">
        <w:rPr>
          <w:noProof/>
          <w:sz w:val="22"/>
        </w:rPr>
        <w:t>Za vsak specifični cilj poročajte o napredku pri izvajanju programa ter doseganju mejnikov in ciljev iz programa, pri čemer upoštevajte najnovejše podatke za obračunsko leto, kot zahteva člen 42 Uredbe (EU) 2021/1060. To se nanaša na kumulativne podatke, predložene do 31. julija v letu pred letom predložitve poročila.</w:t>
      </w:r>
    </w:p>
    <w:p w:rsidR="006A41E2" w:rsidRPr="003A1616" w:rsidRDefault="006A41E2" w:rsidP="006A41E2">
      <w:pPr>
        <w:rPr>
          <w:noProof/>
          <w:sz w:val="22"/>
        </w:rPr>
      </w:pPr>
      <w:r w:rsidRPr="003A1616">
        <w:rPr>
          <w:noProof/>
          <w:sz w:val="22"/>
        </w:rPr>
        <w:t xml:space="preserve">V okviru vsakega specifičnega cilja bi morale biti informacije o napredku po možnosti strukturirane po izvedbenih ukrepih, okvirnih ukrepih in želenih rezultatih, opredeljenih v programu. </w:t>
      </w:r>
    </w:p>
    <w:p w:rsidR="006A41E2" w:rsidRPr="003A1616" w:rsidRDefault="001F7F00" w:rsidP="006A41E2">
      <w:pPr>
        <w:rPr>
          <w:noProof/>
          <w:sz w:val="22"/>
        </w:rPr>
      </w:pPr>
      <w:r w:rsidRPr="003A1616">
        <w:rPr>
          <w:noProof/>
          <w:sz w:val="22"/>
        </w:rPr>
        <w:t xml:space="preserve">Opišite tudi vse sprejete ukrepe in zadevne dejavnosti v zvezi z izvajanjem partnerstva v skladu s členom 8(2) Uredbe (EU) 2021/1060. </w:t>
      </w:r>
    </w:p>
    <w:tbl>
      <w:tblPr>
        <w:tblStyle w:val="Tabelamrea"/>
        <w:tblW w:w="0" w:type="auto"/>
        <w:tblLook w:val="04A0" w:firstRow="1" w:lastRow="0" w:firstColumn="1" w:lastColumn="0" w:noHBand="0" w:noVBand="1"/>
      </w:tblPr>
      <w:tblGrid>
        <w:gridCol w:w="9063"/>
      </w:tblGrid>
      <w:tr w:rsidR="006A41E2" w:rsidRPr="003A1616" w:rsidTr="00E45665">
        <w:tc>
          <w:tcPr>
            <w:tcW w:w="9289" w:type="dxa"/>
          </w:tcPr>
          <w:p w:rsidR="006A41E2" w:rsidRPr="00DB7184" w:rsidRDefault="002F6FFF" w:rsidP="00DC1E6A">
            <w:pPr>
              <w:pStyle w:val="Personnequisigne"/>
              <w:jc w:val="both"/>
              <w:rPr>
                <w:i w:val="0"/>
                <w:noProof/>
                <w:sz w:val="22"/>
              </w:rPr>
            </w:pPr>
            <w:r w:rsidRPr="00DB7184">
              <w:rPr>
                <w:i w:val="0"/>
                <w:noProof/>
                <w:sz w:val="22"/>
              </w:rPr>
              <w:t>Program Sklada za notranjo varnost (program SNV) je bil potrjen šele 24.</w:t>
            </w:r>
            <w:r w:rsidR="00DC1E6A" w:rsidRPr="00DB7184">
              <w:rPr>
                <w:i w:val="0"/>
                <w:noProof/>
                <w:sz w:val="22"/>
              </w:rPr>
              <w:t> </w:t>
            </w:r>
            <w:r w:rsidRPr="00DB7184">
              <w:rPr>
                <w:i w:val="0"/>
                <w:noProof/>
                <w:sz w:val="22"/>
              </w:rPr>
              <w:t xml:space="preserve">novembra 2022, zato </w:t>
            </w:r>
            <w:r w:rsidR="00FD3C01" w:rsidRPr="00DB7184">
              <w:rPr>
                <w:i w:val="0"/>
                <w:noProof/>
                <w:sz w:val="22"/>
              </w:rPr>
              <w:t xml:space="preserve">je </w:t>
            </w:r>
            <w:r w:rsidRPr="00DB7184">
              <w:rPr>
                <w:i w:val="0"/>
                <w:noProof/>
                <w:sz w:val="22"/>
              </w:rPr>
              <w:t xml:space="preserve">Slovenija v obračunskem obdobju poročanja, tj. od </w:t>
            </w:r>
            <w:r w:rsidR="00FD3C01" w:rsidRPr="00DB7184">
              <w:rPr>
                <w:i w:val="0"/>
                <w:noProof/>
                <w:sz w:val="22"/>
              </w:rPr>
              <w:t>1.</w:t>
            </w:r>
            <w:r w:rsidR="00AA4553" w:rsidRPr="00DB7184">
              <w:rPr>
                <w:i w:val="0"/>
                <w:noProof/>
                <w:sz w:val="22"/>
              </w:rPr>
              <w:t> </w:t>
            </w:r>
            <w:r w:rsidR="00FD3C01" w:rsidRPr="00DB7184">
              <w:rPr>
                <w:i w:val="0"/>
                <w:noProof/>
                <w:sz w:val="22"/>
              </w:rPr>
              <w:t>7.</w:t>
            </w:r>
            <w:r w:rsidR="00AA4553" w:rsidRPr="00DB7184">
              <w:rPr>
                <w:i w:val="0"/>
                <w:noProof/>
                <w:sz w:val="22"/>
              </w:rPr>
              <w:t> </w:t>
            </w:r>
            <w:r w:rsidR="00FD3C01" w:rsidRPr="00DB7184">
              <w:rPr>
                <w:i w:val="0"/>
                <w:noProof/>
                <w:sz w:val="22"/>
              </w:rPr>
              <w:t>2022 do 30.</w:t>
            </w:r>
            <w:r w:rsidR="00AA4553" w:rsidRPr="00DB7184">
              <w:rPr>
                <w:i w:val="0"/>
                <w:noProof/>
                <w:sz w:val="22"/>
              </w:rPr>
              <w:t> </w:t>
            </w:r>
            <w:r w:rsidR="00FD3C01" w:rsidRPr="00DB7184">
              <w:rPr>
                <w:i w:val="0"/>
                <w:noProof/>
                <w:sz w:val="22"/>
              </w:rPr>
              <w:t>6.</w:t>
            </w:r>
            <w:r w:rsidR="00AA4553" w:rsidRPr="00DB7184">
              <w:rPr>
                <w:i w:val="0"/>
                <w:noProof/>
                <w:sz w:val="22"/>
              </w:rPr>
              <w:t> </w:t>
            </w:r>
            <w:r w:rsidR="00FD3C01" w:rsidRPr="00DB7184">
              <w:rPr>
                <w:i w:val="0"/>
                <w:noProof/>
                <w:sz w:val="22"/>
              </w:rPr>
              <w:t>2023</w:t>
            </w:r>
            <w:r w:rsidRPr="00DB7184">
              <w:rPr>
                <w:i w:val="0"/>
                <w:noProof/>
                <w:sz w:val="22"/>
              </w:rPr>
              <w:t>, še</w:t>
            </w:r>
            <w:r w:rsidR="00FD3C01" w:rsidRPr="00DB7184">
              <w:rPr>
                <w:i w:val="0"/>
                <w:noProof/>
                <w:sz w:val="22"/>
              </w:rPr>
              <w:t>le</w:t>
            </w:r>
            <w:r w:rsidRPr="00DB7184">
              <w:rPr>
                <w:i w:val="0"/>
                <w:noProof/>
                <w:sz w:val="22"/>
              </w:rPr>
              <w:t xml:space="preserve"> pričela z izvajanjem akt</w:t>
            </w:r>
            <w:r w:rsidR="00614B4A" w:rsidRPr="00DB7184">
              <w:rPr>
                <w:i w:val="0"/>
                <w:noProof/>
                <w:sz w:val="22"/>
              </w:rPr>
              <w:t>ivnosti v zvezi s programom SNV.</w:t>
            </w:r>
          </w:p>
          <w:p w:rsidR="00614B4A" w:rsidRPr="00DB7184" w:rsidRDefault="00614B4A" w:rsidP="00614B4A">
            <w:pPr>
              <w:pStyle w:val="Personnequisigne"/>
              <w:jc w:val="both"/>
              <w:rPr>
                <w:i w:val="0"/>
                <w:sz w:val="22"/>
              </w:rPr>
            </w:pPr>
          </w:p>
          <w:p w:rsidR="00657866" w:rsidRPr="00DB7184" w:rsidRDefault="00614B4A" w:rsidP="00657866">
            <w:pPr>
              <w:pStyle w:val="Personnequisigne"/>
              <w:jc w:val="both"/>
              <w:rPr>
                <w:i w:val="0"/>
                <w:noProof/>
                <w:sz w:val="22"/>
              </w:rPr>
            </w:pPr>
            <w:r w:rsidRPr="00DB7184">
              <w:rPr>
                <w:i w:val="0"/>
                <w:sz w:val="22"/>
              </w:rPr>
              <w:t>V tem obdobju je organ upravljanja (OU) pripravil Akcijski načrt za program SNV (Akcijski načrt SNV), ki predstavlja razdelitev/dodelitev vseh finančnih sredstev upravičenem. Določa tudi način dodelitve (javni razpis ali neposredna dodelitev).</w:t>
            </w:r>
            <w:r w:rsidRPr="00DB7184">
              <w:rPr>
                <w:i w:val="0"/>
                <w:noProof/>
                <w:sz w:val="22"/>
              </w:rPr>
              <w:t xml:space="preserve"> Glede na akcijski načrt SNV se bo izvajalo predvidoma </w:t>
            </w:r>
            <w:r w:rsidR="003D7A01" w:rsidRPr="00DB7184">
              <w:rPr>
                <w:i w:val="0"/>
                <w:noProof/>
                <w:sz w:val="22"/>
              </w:rPr>
              <w:t>35</w:t>
            </w:r>
            <w:r w:rsidRPr="00DB7184">
              <w:rPr>
                <w:i w:val="0"/>
                <w:noProof/>
                <w:sz w:val="22"/>
              </w:rPr>
              <w:t xml:space="preserve"> operacij (od tega </w:t>
            </w:r>
            <w:r w:rsidR="003D7A01" w:rsidRPr="00DB7184">
              <w:rPr>
                <w:i w:val="0"/>
                <w:noProof/>
                <w:sz w:val="22"/>
              </w:rPr>
              <w:t>34</w:t>
            </w:r>
            <w:r w:rsidRPr="00DB7184">
              <w:rPr>
                <w:i w:val="0"/>
                <w:noProof/>
                <w:sz w:val="22"/>
              </w:rPr>
              <w:t xml:space="preserve"> neposredne dodelitve in 1 javni razpis</w:t>
            </w:r>
            <w:r w:rsidR="00BE2CFE" w:rsidRPr="00DB7184">
              <w:rPr>
                <w:i w:val="0"/>
                <w:noProof/>
                <w:sz w:val="22"/>
              </w:rPr>
              <w:t xml:space="preserve"> </w:t>
            </w:r>
            <w:r w:rsidR="003D7A01" w:rsidRPr="00DB7184">
              <w:rPr>
                <w:i w:val="0"/>
                <w:noProof/>
                <w:sz w:val="22"/>
              </w:rPr>
              <w:t>-</w:t>
            </w:r>
            <w:r w:rsidR="003D7A01" w:rsidRPr="00DB7184">
              <w:t xml:space="preserve"> </w:t>
            </w:r>
            <w:r w:rsidR="003D7A01" w:rsidRPr="00DB7184">
              <w:rPr>
                <w:i w:val="0"/>
                <w:noProof/>
                <w:sz w:val="22"/>
              </w:rPr>
              <w:t>Nadaljevanje zaščite žrtev trgovine z ljudmi ter programa njihove reintegracije</w:t>
            </w:r>
            <w:r w:rsidRPr="00DB7184">
              <w:rPr>
                <w:i w:val="0"/>
                <w:noProof/>
                <w:sz w:val="22"/>
              </w:rPr>
              <w:t>).</w:t>
            </w:r>
            <w:r w:rsidR="00D64115" w:rsidRPr="00DB7184">
              <w:rPr>
                <w:i w:val="0"/>
                <w:noProof/>
                <w:sz w:val="22"/>
              </w:rPr>
              <w:t xml:space="preserve"> OU je potrdil začetek izvajanja 13 operacij neposredne dodelitve, ostale so ali v pripravi s strani upravičenca ali v fazi pregleda pri OU. </w:t>
            </w:r>
            <w:r w:rsidR="00657866" w:rsidRPr="00DB7184">
              <w:rPr>
                <w:i w:val="0"/>
                <w:noProof/>
                <w:sz w:val="22"/>
              </w:rPr>
              <w:t>Začeli so se tudi postopki za pripravo razpisne dokumentacije za javn</w:t>
            </w:r>
            <w:r w:rsidR="002A6CBE" w:rsidRPr="00DB7184">
              <w:rPr>
                <w:i w:val="0"/>
                <w:noProof/>
                <w:sz w:val="22"/>
              </w:rPr>
              <w:t>i</w:t>
            </w:r>
            <w:r w:rsidR="00657866" w:rsidRPr="00DB7184">
              <w:rPr>
                <w:i w:val="0"/>
                <w:noProof/>
                <w:sz w:val="22"/>
              </w:rPr>
              <w:t xml:space="preserve"> razpis.</w:t>
            </w:r>
          </w:p>
          <w:p w:rsidR="00614B4A" w:rsidRPr="00DB7184" w:rsidRDefault="00614B4A" w:rsidP="00614B4A">
            <w:pPr>
              <w:pStyle w:val="Personnequisigne"/>
              <w:jc w:val="both"/>
              <w:rPr>
                <w:i w:val="0"/>
                <w:sz w:val="22"/>
              </w:rPr>
            </w:pPr>
          </w:p>
          <w:p w:rsidR="00614B4A" w:rsidRPr="00DB7184" w:rsidRDefault="00614B4A" w:rsidP="00614B4A">
            <w:pPr>
              <w:pStyle w:val="Brezrazmikov"/>
              <w:jc w:val="both"/>
              <w:rPr>
                <w:rFonts w:ascii="Times New Roman" w:hAnsi="Times New Roman" w:cs="Times New Roman"/>
              </w:rPr>
            </w:pPr>
            <w:r w:rsidRPr="00DB7184">
              <w:rPr>
                <w:rFonts w:ascii="Times New Roman" w:hAnsi="Times New Roman" w:cs="Times New Roman"/>
                <w:shd w:val="clear" w:color="auto" w:fill="FFFFFF"/>
              </w:rPr>
              <w:t>V okviru Specifičnega cilja 1 smo odobrili sredstva naslednjim operacijam</w:t>
            </w:r>
            <w:r w:rsidR="00A662BA" w:rsidRPr="00DB7184">
              <w:rPr>
                <w:rFonts w:ascii="Times New Roman" w:hAnsi="Times New Roman" w:cs="Times New Roman"/>
                <w:shd w:val="clear" w:color="auto" w:fill="FFFFFF"/>
              </w:rPr>
              <w:t xml:space="preserve"> (po izvedbenih ukrepih)</w:t>
            </w:r>
            <w:r w:rsidRPr="00DB7184">
              <w:rPr>
                <w:rFonts w:ascii="Times New Roman" w:hAnsi="Times New Roman" w:cs="Times New Roman"/>
                <w:shd w:val="clear" w:color="auto" w:fill="FFFFFF"/>
              </w:rPr>
              <w:t xml:space="preserve">: </w:t>
            </w:r>
            <w:r w:rsidRPr="00DB7184">
              <w:rPr>
                <w:rFonts w:ascii="Times New Roman" w:hAnsi="Times New Roman" w:cs="Times New Roman"/>
              </w:rPr>
              <w:t>Vzdrževanje in nadaljnji razvoj SI sistema PNR</w:t>
            </w:r>
            <w:r w:rsidR="00A662BA" w:rsidRPr="00DB7184">
              <w:rPr>
                <w:rFonts w:ascii="Times New Roman" w:hAnsi="Times New Roman" w:cs="Times New Roman"/>
              </w:rPr>
              <w:t xml:space="preserve"> (1a)</w:t>
            </w:r>
            <w:r w:rsidRPr="00DB7184">
              <w:rPr>
                <w:rFonts w:ascii="Times New Roman" w:hAnsi="Times New Roman" w:cs="Times New Roman"/>
              </w:rPr>
              <w:t>; Povečanje nacionalnih zmogljivosti za zbiranje, analizo in izmenjavo podatkov DNK</w:t>
            </w:r>
            <w:r w:rsidR="00A662BA" w:rsidRPr="00DB7184">
              <w:rPr>
                <w:rFonts w:ascii="Times New Roman" w:hAnsi="Times New Roman" w:cs="Times New Roman"/>
              </w:rPr>
              <w:t xml:space="preserve"> (1a)</w:t>
            </w:r>
            <w:r w:rsidRPr="00DB7184">
              <w:rPr>
                <w:rFonts w:ascii="Times New Roman" w:hAnsi="Times New Roman" w:cs="Times New Roman"/>
              </w:rPr>
              <w:t xml:space="preserve">; Krepitev zmogljivosti za identifikacijo tarčnih </w:t>
            </w:r>
            <w:proofErr w:type="spellStart"/>
            <w:r w:rsidRPr="00DB7184">
              <w:rPr>
                <w:rFonts w:ascii="Times New Roman" w:hAnsi="Times New Roman" w:cs="Times New Roman"/>
              </w:rPr>
              <w:t>analitov</w:t>
            </w:r>
            <w:proofErr w:type="spellEnd"/>
            <w:r w:rsidR="00A662BA" w:rsidRPr="00DB7184">
              <w:rPr>
                <w:rFonts w:ascii="Times New Roman" w:hAnsi="Times New Roman" w:cs="Times New Roman"/>
              </w:rPr>
              <w:t xml:space="preserve"> (1d)</w:t>
            </w:r>
            <w:r w:rsidRPr="00DB7184">
              <w:rPr>
                <w:rFonts w:ascii="Times New Roman" w:hAnsi="Times New Roman" w:cs="Times New Roman"/>
              </w:rPr>
              <w:t>; Okrepitev mednarodnega sodelovanja proti spolnemu izkoriščanju mladoletnih oseb</w:t>
            </w:r>
            <w:r w:rsidR="00A662BA" w:rsidRPr="00DB7184">
              <w:rPr>
                <w:rFonts w:ascii="Times New Roman" w:hAnsi="Times New Roman" w:cs="Times New Roman"/>
              </w:rPr>
              <w:t xml:space="preserve"> (1a)</w:t>
            </w:r>
            <w:r w:rsidRPr="00DB7184">
              <w:rPr>
                <w:rFonts w:ascii="Times New Roman" w:hAnsi="Times New Roman" w:cs="Times New Roman"/>
              </w:rPr>
              <w:t>.</w:t>
            </w:r>
          </w:p>
          <w:p w:rsidR="00614B4A" w:rsidRPr="00DB7184" w:rsidRDefault="00614B4A" w:rsidP="00614B4A">
            <w:pPr>
              <w:rPr>
                <w:sz w:val="22"/>
              </w:rPr>
            </w:pPr>
            <w:r w:rsidRPr="00DB7184">
              <w:rPr>
                <w:sz w:val="22"/>
                <w:shd w:val="clear" w:color="auto" w:fill="FFFFFF"/>
              </w:rPr>
              <w:lastRenderedPageBreak/>
              <w:t>V okviru Specifičnega cilja 2 smo odobrili</w:t>
            </w:r>
            <w:r w:rsidR="00A662BA" w:rsidRPr="00DB7184">
              <w:rPr>
                <w:sz w:val="22"/>
                <w:shd w:val="clear" w:color="auto" w:fill="FFFFFF"/>
              </w:rPr>
              <w:t xml:space="preserve"> sredstva naslednjim operacijam </w:t>
            </w:r>
            <w:r w:rsidR="00A662BA" w:rsidRPr="00DB7184">
              <w:rPr>
                <w:shd w:val="clear" w:color="auto" w:fill="FFFFFF"/>
              </w:rPr>
              <w:t xml:space="preserve">(po izvedbenih ukrepih): </w:t>
            </w:r>
            <w:r w:rsidRPr="00DB7184">
              <w:rPr>
                <w:sz w:val="22"/>
                <w:shd w:val="clear" w:color="auto" w:fill="FFFFFF"/>
              </w:rPr>
              <w:t xml:space="preserve"> </w:t>
            </w:r>
            <w:r w:rsidRPr="00DB7184">
              <w:rPr>
                <w:sz w:val="22"/>
              </w:rPr>
              <w:t>Učinkovito izvajanje prikritih preiskovalnih ukrepov</w:t>
            </w:r>
            <w:r w:rsidR="00A662BA" w:rsidRPr="00DB7184">
              <w:rPr>
                <w:sz w:val="22"/>
              </w:rPr>
              <w:t xml:space="preserve"> (2a)</w:t>
            </w:r>
            <w:r w:rsidRPr="00DB7184">
              <w:rPr>
                <w:sz w:val="22"/>
              </w:rPr>
              <w:t>, Sodelovanje v različnih evropskih mrežah</w:t>
            </w:r>
            <w:r w:rsidR="00A662BA" w:rsidRPr="00DB7184">
              <w:rPr>
                <w:sz w:val="22"/>
              </w:rPr>
              <w:t xml:space="preserve"> (2b)</w:t>
            </w:r>
            <w:r w:rsidRPr="00DB7184">
              <w:rPr>
                <w:sz w:val="22"/>
              </w:rPr>
              <w:t xml:space="preserve"> in Okrepitev kapacitet in izboljšanje usposobljenosti specializiranih služb</w:t>
            </w:r>
            <w:r w:rsidR="00A662BA" w:rsidRPr="00DB7184">
              <w:rPr>
                <w:sz w:val="22"/>
              </w:rPr>
              <w:t xml:space="preserve"> (2c)</w:t>
            </w:r>
            <w:r w:rsidRPr="00DB7184">
              <w:rPr>
                <w:sz w:val="22"/>
              </w:rPr>
              <w:t>.</w:t>
            </w:r>
          </w:p>
          <w:p w:rsidR="00614B4A" w:rsidRPr="00DB7184" w:rsidRDefault="00614B4A" w:rsidP="00D64115">
            <w:pPr>
              <w:rPr>
                <w:sz w:val="22"/>
              </w:rPr>
            </w:pPr>
            <w:r w:rsidRPr="00DB7184">
              <w:rPr>
                <w:sz w:val="22"/>
                <w:shd w:val="clear" w:color="auto" w:fill="FFFFFF"/>
              </w:rPr>
              <w:t>V okviru Specifičnega cilja 3 smo odobrili</w:t>
            </w:r>
            <w:r w:rsidR="00DB7184" w:rsidRPr="00DB7184">
              <w:rPr>
                <w:sz w:val="22"/>
                <w:shd w:val="clear" w:color="auto" w:fill="FFFFFF"/>
              </w:rPr>
              <w:t xml:space="preserve"> sredstva naslednjim operacijam </w:t>
            </w:r>
            <w:r w:rsidR="00DB7184" w:rsidRPr="00DB7184">
              <w:rPr>
                <w:shd w:val="clear" w:color="auto" w:fill="FFFFFF"/>
              </w:rPr>
              <w:t xml:space="preserve">(po izvedbenih ukrepih): </w:t>
            </w:r>
            <w:r w:rsidR="00DB7184" w:rsidRPr="00DB7184">
              <w:rPr>
                <w:sz w:val="22"/>
                <w:shd w:val="clear" w:color="auto" w:fill="FFFFFF"/>
              </w:rPr>
              <w:t xml:space="preserve"> </w:t>
            </w:r>
            <w:r w:rsidRPr="00DB7184">
              <w:rPr>
                <w:sz w:val="22"/>
              </w:rPr>
              <w:t xml:space="preserve"> Izboljšanje kapacitet za preiskovanje gospodarske kriminalitete</w:t>
            </w:r>
            <w:r w:rsidR="00DB7184" w:rsidRPr="00DB7184">
              <w:rPr>
                <w:sz w:val="22"/>
              </w:rPr>
              <w:t xml:space="preserve"> (3a)</w:t>
            </w:r>
            <w:r w:rsidRPr="00DB7184">
              <w:rPr>
                <w:sz w:val="22"/>
              </w:rPr>
              <w:t xml:space="preserve">, Vzpostavitev nacionalnih kapacitet na področju </w:t>
            </w:r>
            <w:proofErr w:type="spellStart"/>
            <w:r w:rsidRPr="00DB7184">
              <w:rPr>
                <w:sz w:val="22"/>
              </w:rPr>
              <w:t>okoljske</w:t>
            </w:r>
            <w:proofErr w:type="spellEnd"/>
            <w:r w:rsidRPr="00DB7184">
              <w:rPr>
                <w:sz w:val="22"/>
              </w:rPr>
              <w:t xml:space="preserve"> kriminalitete</w:t>
            </w:r>
            <w:r w:rsidR="00DB7184" w:rsidRPr="00DB7184">
              <w:rPr>
                <w:sz w:val="22"/>
              </w:rPr>
              <w:t xml:space="preserve"> (3a)</w:t>
            </w:r>
            <w:r w:rsidRPr="00DB7184">
              <w:rPr>
                <w:sz w:val="22"/>
              </w:rPr>
              <w:t>, Učinkovita zaščita prič in žvižgačev</w:t>
            </w:r>
            <w:r w:rsidR="00DB7184" w:rsidRPr="00DB7184">
              <w:rPr>
                <w:sz w:val="22"/>
              </w:rPr>
              <w:t xml:space="preserve"> (3c)</w:t>
            </w:r>
            <w:r w:rsidRPr="00DB7184">
              <w:rPr>
                <w:sz w:val="22"/>
              </w:rPr>
              <w:t>, Usposabljanja za krepitev boja proti hudim in organiziranim oblikam kriminala in terorizma</w:t>
            </w:r>
            <w:r w:rsidR="00DB7184" w:rsidRPr="00DB7184">
              <w:rPr>
                <w:sz w:val="22"/>
              </w:rPr>
              <w:t xml:space="preserve"> (3b)</w:t>
            </w:r>
            <w:r w:rsidRPr="00DB7184">
              <w:rPr>
                <w:sz w:val="22"/>
              </w:rPr>
              <w:t>, Okrepitev ter nadgradnja sistemov za strateško odločanje</w:t>
            </w:r>
            <w:r w:rsidR="00DB7184" w:rsidRPr="00DB7184">
              <w:rPr>
                <w:sz w:val="22"/>
              </w:rPr>
              <w:t xml:space="preserve"> (3d)</w:t>
            </w:r>
            <w:r w:rsidRPr="00DB7184">
              <w:rPr>
                <w:sz w:val="22"/>
              </w:rPr>
              <w:t xml:space="preserve"> in Izboljšanje kapacitet na področju kibernetske kriminalitete in digitalne </w:t>
            </w:r>
            <w:proofErr w:type="spellStart"/>
            <w:r w:rsidRPr="00DB7184">
              <w:rPr>
                <w:sz w:val="22"/>
              </w:rPr>
              <w:t>forenzike</w:t>
            </w:r>
            <w:proofErr w:type="spellEnd"/>
            <w:r w:rsidR="00DB7184" w:rsidRPr="00DB7184">
              <w:rPr>
                <w:sz w:val="22"/>
              </w:rPr>
              <w:t xml:space="preserve"> (3a)</w:t>
            </w:r>
            <w:r w:rsidRPr="00DB7184">
              <w:rPr>
                <w:sz w:val="22"/>
              </w:rPr>
              <w:t>.</w:t>
            </w:r>
          </w:p>
          <w:p w:rsidR="005E7CEA" w:rsidRPr="00DB7184" w:rsidRDefault="005E7CEA" w:rsidP="005E7CEA">
            <w:pPr>
              <w:pStyle w:val="Personnequisigne"/>
              <w:jc w:val="both"/>
              <w:rPr>
                <w:i w:val="0"/>
                <w:sz w:val="22"/>
              </w:rPr>
            </w:pPr>
            <w:r w:rsidRPr="00DB7184">
              <w:rPr>
                <w:i w:val="0"/>
                <w:sz w:val="22"/>
              </w:rPr>
              <w:t>Zaradi poznejše potrditve programa SNV in posledično</w:t>
            </w:r>
            <w:r w:rsidR="00614B4A" w:rsidRPr="00DB7184">
              <w:rPr>
                <w:i w:val="0"/>
                <w:sz w:val="22"/>
              </w:rPr>
              <w:t xml:space="preserve"> zač</w:t>
            </w:r>
            <w:r w:rsidRPr="00DB7184">
              <w:rPr>
                <w:i w:val="0"/>
                <w:sz w:val="22"/>
              </w:rPr>
              <w:t xml:space="preserve">etka izvajanja operacij </w:t>
            </w:r>
            <w:r w:rsidR="00614B4A" w:rsidRPr="00DB7184">
              <w:rPr>
                <w:i w:val="0"/>
                <w:sz w:val="22"/>
              </w:rPr>
              <w:t>pričakujemo</w:t>
            </w:r>
            <w:r w:rsidRPr="00DB7184">
              <w:rPr>
                <w:i w:val="0"/>
                <w:sz w:val="22"/>
              </w:rPr>
              <w:t xml:space="preserve">, da bodo v večini primerov zastavljeni cilji (2029) doseženi v nižjem obsegu. Razlog je, da so se nekatere aktivnosti izvedbe z uporabo drugih virov financiranja ali pa se so se v tem času spremenile potrebe upravičenca. OU je v fazi usklajevanja </w:t>
            </w:r>
            <w:proofErr w:type="spellStart"/>
            <w:r w:rsidRPr="00DB7184">
              <w:rPr>
                <w:i w:val="0"/>
                <w:sz w:val="22"/>
              </w:rPr>
              <w:t>spremenjega</w:t>
            </w:r>
            <w:proofErr w:type="spellEnd"/>
            <w:r w:rsidRPr="00DB7184">
              <w:rPr>
                <w:i w:val="0"/>
                <w:sz w:val="22"/>
              </w:rPr>
              <w:t xml:space="preserve"> programa SNV, kjer bodo razvidne prej omenjene vsebine kot tudi spremembe programa zaradi prenosa 5% iz programa </w:t>
            </w:r>
            <w:r w:rsidR="0089207F" w:rsidRPr="00DB7184">
              <w:rPr>
                <w:i w:val="0"/>
                <w:sz w:val="22"/>
              </w:rPr>
              <w:t>IUMV</w:t>
            </w:r>
            <w:r w:rsidRPr="00DB7184">
              <w:rPr>
                <w:i w:val="0"/>
                <w:sz w:val="22"/>
              </w:rPr>
              <w:t>. Menimo, da bo po potrditvi programa doseganje zastavljenih ciljev bolj realno.</w:t>
            </w:r>
          </w:p>
          <w:p w:rsidR="005E7CEA" w:rsidRPr="00DB7184" w:rsidRDefault="005E7CEA" w:rsidP="00D64115">
            <w:pPr>
              <w:pStyle w:val="Personnequisigne"/>
              <w:jc w:val="both"/>
              <w:rPr>
                <w:i w:val="0"/>
                <w:sz w:val="22"/>
              </w:rPr>
            </w:pPr>
          </w:p>
          <w:p w:rsidR="00614B4A" w:rsidRPr="00DB7184" w:rsidRDefault="00614B4A" w:rsidP="00D64115">
            <w:pPr>
              <w:pStyle w:val="Personnequisigne"/>
              <w:jc w:val="both"/>
              <w:rPr>
                <w:i w:val="0"/>
                <w:sz w:val="22"/>
              </w:rPr>
            </w:pPr>
            <w:r w:rsidRPr="00DB7184">
              <w:rPr>
                <w:i w:val="0"/>
                <w:sz w:val="22"/>
              </w:rPr>
              <w:t xml:space="preserve">Razlog </w:t>
            </w:r>
            <w:r w:rsidR="009B07C6" w:rsidRPr="00DB7184">
              <w:rPr>
                <w:i w:val="0"/>
                <w:sz w:val="22"/>
              </w:rPr>
              <w:t xml:space="preserve">za zamudo </w:t>
            </w:r>
            <w:r w:rsidRPr="00DB7184">
              <w:rPr>
                <w:i w:val="0"/>
                <w:sz w:val="22"/>
              </w:rPr>
              <w:t xml:space="preserve">je </w:t>
            </w:r>
            <w:r w:rsidR="009B07C6" w:rsidRPr="00DB7184">
              <w:rPr>
                <w:i w:val="0"/>
                <w:sz w:val="22"/>
              </w:rPr>
              <w:t>tudi</w:t>
            </w:r>
            <w:r w:rsidR="00AA4553" w:rsidRPr="00DB7184">
              <w:rPr>
                <w:i w:val="0"/>
                <w:sz w:val="22"/>
              </w:rPr>
              <w:t>,</w:t>
            </w:r>
            <w:r w:rsidR="009B07C6" w:rsidRPr="00DB7184">
              <w:rPr>
                <w:i w:val="0"/>
                <w:sz w:val="22"/>
              </w:rPr>
              <w:t xml:space="preserve"> </w:t>
            </w:r>
            <w:r w:rsidRPr="00DB7184">
              <w:rPr>
                <w:i w:val="0"/>
                <w:sz w:val="22"/>
              </w:rPr>
              <w:t>da so upravičeni šele konec 2023 in v začetku 2024 pričeli z izvedbo nekaterih postopkov za izpeljavo javnih naročil (dobava blaga in storitve) in/ali s pripravo dokumentacije za pozive za javne razpis</w:t>
            </w:r>
            <w:r w:rsidR="00AA4553" w:rsidRPr="00DB7184">
              <w:rPr>
                <w:i w:val="0"/>
                <w:sz w:val="22"/>
              </w:rPr>
              <w:t>e</w:t>
            </w:r>
            <w:r w:rsidRPr="00DB7184">
              <w:rPr>
                <w:i w:val="0"/>
                <w:sz w:val="22"/>
              </w:rPr>
              <w:t xml:space="preserve">, zato bodo pogodbe za izvajanje podpisane šele konec 2024 ali v začetku 2025. </w:t>
            </w:r>
            <w:r w:rsidR="009B07C6" w:rsidRPr="00DB7184">
              <w:rPr>
                <w:i w:val="0"/>
                <w:sz w:val="22"/>
              </w:rPr>
              <w:t xml:space="preserve">Tretji </w:t>
            </w:r>
            <w:r w:rsidRPr="00DB7184">
              <w:rPr>
                <w:i w:val="0"/>
                <w:sz w:val="22"/>
              </w:rPr>
              <w:t xml:space="preserve">razlog pa je tudi prioritetna poraba preostalih/neporabljenih sredstev v okviru programa </w:t>
            </w:r>
            <w:r w:rsidR="00AA4553" w:rsidRPr="00DB7184">
              <w:rPr>
                <w:i w:val="0"/>
                <w:sz w:val="22"/>
              </w:rPr>
              <w:t>ISF-P</w:t>
            </w:r>
            <w:r w:rsidRPr="00DB7184">
              <w:rPr>
                <w:i w:val="0"/>
                <w:sz w:val="22"/>
              </w:rPr>
              <w:t xml:space="preserve"> 14-20, ki so se koristila v nekaterih primerih do konca 2023.</w:t>
            </w:r>
          </w:p>
          <w:p w:rsidR="00D64115" w:rsidRPr="00DB7184" w:rsidRDefault="00D64115" w:rsidP="00D64115">
            <w:pPr>
              <w:pStyle w:val="Personnequisigne"/>
              <w:jc w:val="both"/>
              <w:rPr>
                <w:i w:val="0"/>
                <w:sz w:val="22"/>
              </w:rPr>
            </w:pPr>
          </w:p>
          <w:p w:rsidR="00FD3C01" w:rsidRPr="00DB7184" w:rsidRDefault="00D64115" w:rsidP="00906ED6">
            <w:pPr>
              <w:pStyle w:val="Personnequisigne"/>
              <w:jc w:val="both"/>
              <w:rPr>
                <w:i w:val="0"/>
                <w:sz w:val="22"/>
              </w:rPr>
            </w:pPr>
            <w:r w:rsidRPr="00DB7184">
              <w:rPr>
                <w:i w:val="0"/>
                <w:sz w:val="22"/>
              </w:rPr>
              <w:t>OU je vzpostavil informacijski sistem MIGRA III</w:t>
            </w:r>
            <w:r w:rsidR="00AA4553" w:rsidRPr="00DB7184">
              <w:rPr>
                <w:i w:val="0"/>
                <w:sz w:val="22"/>
              </w:rPr>
              <w:t>,</w:t>
            </w:r>
            <w:r w:rsidRPr="00DB7184">
              <w:rPr>
                <w:i w:val="0"/>
                <w:sz w:val="22"/>
              </w:rPr>
              <w:t xml:space="preserve"> preko katerega poteka izmenjava informacij med OU in upravičenci, </w:t>
            </w:r>
            <w:proofErr w:type="spellStart"/>
            <w:r w:rsidRPr="00DB7184">
              <w:rPr>
                <w:i w:val="0"/>
                <w:sz w:val="22"/>
              </w:rPr>
              <w:t>t.j</w:t>
            </w:r>
            <w:proofErr w:type="spellEnd"/>
            <w:r w:rsidRPr="00DB7184">
              <w:rPr>
                <w:i w:val="0"/>
                <w:sz w:val="22"/>
              </w:rPr>
              <w:t xml:space="preserve">. oddaja prijav operacij, poročanje o izvajanju operacij (zahtevki za povračilo) ter vzpostavil sistem upravljanja in nadzora, kar je omogočilo oddajo prvih prijav operacij. Kljub temu, da se je začelo izvajanje 13 operacij iz programa SNV (neposredna dodelitev), v obdobju poročanja, s strani upravičencev, še niso bili posredovani zahtevki za povračilo, kjer upravičenci poročajo finančne in vsebinske podatke o izvajanju posamezne operacije. </w:t>
            </w:r>
          </w:p>
        </w:tc>
      </w:tr>
    </w:tbl>
    <w:p w:rsidR="006A41E2" w:rsidRPr="003A1616" w:rsidRDefault="00C30ACF" w:rsidP="00C30ACF">
      <w:pPr>
        <w:pStyle w:val="ManualHeading2"/>
        <w:rPr>
          <w:noProof/>
        </w:rPr>
      </w:pPr>
      <w:r w:rsidRPr="003A1616">
        <w:lastRenderedPageBreak/>
        <w:t>1.2.</w:t>
      </w:r>
      <w:r w:rsidRPr="003A1616">
        <w:tab/>
      </w:r>
      <w:r w:rsidR="006A41E2" w:rsidRPr="003A1616">
        <w:rPr>
          <w:noProof/>
        </w:rPr>
        <w:t>Vprašanja, ki vplivajo na smotrnost – člen 30(2), točka (b), Uredbe (EU) 2021/1149</w:t>
      </w:r>
    </w:p>
    <w:p w:rsidR="006A41E2" w:rsidRPr="003A1616" w:rsidRDefault="006A41E2" w:rsidP="006A41E2">
      <w:pPr>
        <w:rPr>
          <w:noProof/>
          <w:sz w:val="22"/>
        </w:rPr>
      </w:pPr>
      <w:r w:rsidRPr="003A1616">
        <w:rPr>
          <w:noProof/>
          <w:sz w:val="22"/>
        </w:rPr>
        <w:t xml:space="preserve">Za vsak specifični cilj opišite morebitna vprašanja, ki vplivajo na smotrnost programa med obračunskim letom, in morebitne ukrepe, sprejete za njihovo obravnavo. </w:t>
      </w:r>
    </w:p>
    <w:p w:rsidR="006A41E2" w:rsidRPr="003A1616" w:rsidRDefault="006A41E2" w:rsidP="006A41E2">
      <w:pPr>
        <w:rPr>
          <w:noProof/>
          <w:sz w:val="22"/>
        </w:rPr>
      </w:pPr>
      <w:r w:rsidRPr="003A1616">
        <w:rPr>
          <w:noProof/>
          <w:sz w:val="22"/>
        </w:rPr>
        <w:t>Kadar koli je to mogoče in ustrezno, razlikujte med vprašanji, povezanimi z:</w:t>
      </w:r>
    </w:p>
    <w:p w:rsidR="006A41E2" w:rsidRPr="003A1616" w:rsidRDefault="006A41E2" w:rsidP="00912E10">
      <w:pPr>
        <w:pStyle w:val="Tiret0"/>
        <w:numPr>
          <w:ilvl w:val="0"/>
          <w:numId w:val="11"/>
        </w:numPr>
        <w:rPr>
          <w:noProof/>
          <w:sz w:val="22"/>
        </w:rPr>
      </w:pPr>
      <w:r w:rsidRPr="003A1616">
        <w:rPr>
          <w:noProof/>
          <w:sz w:val="22"/>
        </w:rPr>
        <w:t>nezadostnim poročanjem o dosežkih</w:t>
      </w:r>
      <w:r w:rsidRPr="003A1616">
        <w:rPr>
          <w:rStyle w:val="Sprotnaopomba-sklic"/>
          <w:noProof/>
          <w:sz w:val="22"/>
        </w:rPr>
        <w:footnoteReference w:id="2"/>
      </w:r>
      <w:r w:rsidR="00E9035B" w:rsidRPr="003A1616">
        <w:rPr>
          <w:noProof/>
        </w:rPr>
        <w:t>,</w:t>
      </w:r>
      <w:r w:rsidRPr="003A1616">
        <w:rPr>
          <w:noProof/>
          <w:sz w:val="22"/>
        </w:rPr>
        <w:t xml:space="preserve"> </w:t>
      </w:r>
    </w:p>
    <w:p w:rsidR="006A41E2" w:rsidRPr="003A1616" w:rsidRDefault="006A41E2" w:rsidP="00912E10">
      <w:pPr>
        <w:pStyle w:val="Tiret0"/>
        <w:numPr>
          <w:ilvl w:val="0"/>
          <w:numId w:val="11"/>
        </w:numPr>
        <w:rPr>
          <w:noProof/>
          <w:sz w:val="22"/>
        </w:rPr>
      </w:pPr>
      <w:r w:rsidRPr="003A1616">
        <w:rPr>
          <w:noProof/>
          <w:sz w:val="22"/>
        </w:rPr>
        <w:t>določanjem ciljev</w:t>
      </w:r>
      <w:r w:rsidRPr="003A1616">
        <w:rPr>
          <w:rStyle w:val="Sprotnaopomba-sklic"/>
          <w:noProof/>
          <w:sz w:val="22"/>
        </w:rPr>
        <w:footnoteReference w:id="3"/>
      </w:r>
      <w:r w:rsidR="00E9035B" w:rsidRPr="003A1616">
        <w:rPr>
          <w:noProof/>
        </w:rPr>
        <w:t>,</w:t>
      </w:r>
      <w:r w:rsidRPr="003A1616">
        <w:rPr>
          <w:noProof/>
          <w:sz w:val="22"/>
        </w:rPr>
        <w:t xml:space="preserve"> </w:t>
      </w:r>
    </w:p>
    <w:p w:rsidR="006A41E2" w:rsidRPr="003A1616" w:rsidRDefault="006A41E2" w:rsidP="00912E10">
      <w:pPr>
        <w:pStyle w:val="Tiret0"/>
        <w:numPr>
          <w:ilvl w:val="0"/>
          <w:numId w:val="11"/>
        </w:numPr>
        <w:rPr>
          <w:noProof/>
          <w:sz w:val="22"/>
        </w:rPr>
      </w:pPr>
      <w:r w:rsidRPr="003A1616">
        <w:rPr>
          <w:noProof/>
          <w:sz w:val="22"/>
        </w:rPr>
        <w:t>postopkovnimi zamudami in upravnimi zmogljivostmi</w:t>
      </w:r>
      <w:r w:rsidRPr="003A1616">
        <w:rPr>
          <w:rStyle w:val="Sprotnaopomba-sklic"/>
          <w:noProof/>
          <w:sz w:val="22"/>
        </w:rPr>
        <w:footnoteReference w:id="4"/>
      </w:r>
      <w:r w:rsidR="00E9035B" w:rsidRPr="003A1616">
        <w:rPr>
          <w:noProof/>
        </w:rPr>
        <w:t>,</w:t>
      </w:r>
      <w:r w:rsidRPr="003A1616">
        <w:rPr>
          <w:noProof/>
          <w:sz w:val="22"/>
        </w:rPr>
        <w:t xml:space="preserve"> </w:t>
      </w:r>
    </w:p>
    <w:p w:rsidR="006A41E2" w:rsidRPr="003A1616" w:rsidRDefault="006A41E2" w:rsidP="00912E10">
      <w:pPr>
        <w:pStyle w:val="Tiret0"/>
        <w:numPr>
          <w:ilvl w:val="0"/>
          <w:numId w:val="11"/>
        </w:numPr>
        <w:rPr>
          <w:noProof/>
          <w:sz w:val="22"/>
        </w:rPr>
      </w:pPr>
      <w:r w:rsidRPr="003A1616">
        <w:rPr>
          <w:noProof/>
          <w:sz w:val="22"/>
        </w:rPr>
        <w:t>kontekstualnimi spremembami</w:t>
      </w:r>
      <w:r w:rsidRPr="003A1616">
        <w:rPr>
          <w:rStyle w:val="Sprotnaopomba-sklic"/>
          <w:noProof/>
          <w:sz w:val="22"/>
        </w:rPr>
        <w:footnoteReference w:id="5"/>
      </w:r>
      <w:r w:rsidR="00E9035B" w:rsidRPr="003A1616">
        <w:rPr>
          <w:noProof/>
        </w:rPr>
        <w:t>,</w:t>
      </w:r>
    </w:p>
    <w:p w:rsidR="006A41E2" w:rsidRPr="003A1616" w:rsidRDefault="006A41E2" w:rsidP="00912E10">
      <w:pPr>
        <w:pStyle w:val="Tiret0"/>
        <w:numPr>
          <w:ilvl w:val="0"/>
          <w:numId w:val="11"/>
        </w:numPr>
        <w:rPr>
          <w:noProof/>
          <w:sz w:val="22"/>
        </w:rPr>
      </w:pPr>
      <w:r w:rsidRPr="003A1616">
        <w:rPr>
          <w:noProof/>
          <w:sz w:val="22"/>
        </w:rPr>
        <w:lastRenderedPageBreak/>
        <w:t>zasnovo in/ali izvajanjem operacij</w:t>
      </w:r>
      <w:r w:rsidRPr="003A1616">
        <w:rPr>
          <w:rStyle w:val="Sprotnaopomba-sklic"/>
          <w:noProof/>
          <w:sz w:val="22"/>
        </w:rPr>
        <w:footnoteReference w:id="6"/>
      </w:r>
      <w:r w:rsidRPr="003A1616">
        <w:rPr>
          <w:noProof/>
          <w:sz w:val="22"/>
        </w:rPr>
        <w:t xml:space="preserve"> ter</w:t>
      </w:r>
    </w:p>
    <w:p w:rsidR="006A41E2" w:rsidRPr="003A1616" w:rsidRDefault="006A41E2" w:rsidP="00912E10">
      <w:pPr>
        <w:pStyle w:val="Tiret0"/>
        <w:numPr>
          <w:ilvl w:val="0"/>
          <w:numId w:val="11"/>
        </w:numPr>
        <w:rPr>
          <w:noProof/>
          <w:sz w:val="22"/>
        </w:rPr>
      </w:pPr>
      <w:r w:rsidRPr="003A1616">
        <w:rPr>
          <w:noProof/>
          <w:sz w:val="22"/>
        </w:rPr>
        <w:t xml:space="preserve">katero koli drugo zadevo. </w:t>
      </w:r>
    </w:p>
    <w:p w:rsidR="000E45B7" w:rsidRPr="003A1616" w:rsidRDefault="000E45B7" w:rsidP="006D7F5F">
      <w:pPr>
        <w:rPr>
          <w:i/>
          <w:noProof/>
          <w:sz w:val="22"/>
        </w:rPr>
      </w:pPr>
      <w:r w:rsidRPr="003A1616">
        <w:rPr>
          <w:noProof/>
          <w:sz w:val="22"/>
        </w:rPr>
        <w:t>Opišite kakršne koli spremembe strategije ali nacionalnih ciljev ali kakršne koli dejavnike, ki bi lahko privedli do sprememb v prihodnosti, ter prilagoditve, ki so jih navedene spremembe povzročile v ciljih, ocenjenih v skladu z metodologijo za vzpostavitev okvira smotrnosti.</w:t>
      </w:r>
    </w:p>
    <w:p w:rsidR="006A41E2" w:rsidRPr="003A1616" w:rsidRDefault="0060652B" w:rsidP="006A41E2">
      <w:pPr>
        <w:rPr>
          <w:noProof/>
          <w:sz w:val="22"/>
        </w:rPr>
      </w:pPr>
      <w:r w:rsidRPr="003A1616">
        <w:rPr>
          <w:noProof/>
          <w:sz w:val="22"/>
        </w:rPr>
        <w:t>Vključite informacije o vseh obrazloženih mnenjih Komisije v zvezi s postopki za ugotavljanje kršitev na podlagi člena 258 Pogodbe o delovanju Evropske unije (PDEU), ki so povezana z izvajanjem Sklada.</w:t>
      </w:r>
    </w:p>
    <w:tbl>
      <w:tblPr>
        <w:tblStyle w:val="Tabelamrea"/>
        <w:tblW w:w="0" w:type="auto"/>
        <w:tblLook w:val="04A0" w:firstRow="1" w:lastRow="0" w:firstColumn="1" w:lastColumn="0" w:noHBand="0" w:noVBand="1"/>
      </w:tblPr>
      <w:tblGrid>
        <w:gridCol w:w="9063"/>
      </w:tblGrid>
      <w:tr w:rsidR="006A41E2" w:rsidRPr="003A1616" w:rsidTr="00E45665">
        <w:tc>
          <w:tcPr>
            <w:tcW w:w="9289" w:type="dxa"/>
          </w:tcPr>
          <w:p w:rsidR="009B07C6" w:rsidRPr="0002060E" w:rsidRDefault="009B07C6" w:rsidP="009B07C6">
            <w:pPr>
              <w:pStyle w:val="Personnequisigne"/>
              <w:jc w:val="both"/>
              <w:rPr>
                <w:i w:val="0"/>
                <w:sz w:val="22"/>
              </w:rPr>
            </w:pPr>
            <w:r w:rsidRPr="0002060E">
              <w:rPr>
                <w:i w:val="0"/>
                <w:sz w:val="22"/>
              </w:rPr>
              <w:t>Zaradi prioritetne porab</w:t>
            </w:r>
            <w:r w:rsidR="00AA4553" w:rsidRPr="0002060E">
              <w:rPr>
                <w:i w:val="0"/>
                <w:sz w:val="22"/>
              </w:rPr>
              <w:t>e</w:t>
            </w:r>
            <w:r w:rsidRPr="0002060E">
              <w:rPr>
                <w:i w:val="0"/>
                <w:sz w:val="22"/>
              </w:rPr>
              <w:t xml:space="preserve"> preostalih/neporabljenih sredstev </w:t>
            </w:r>
            <w:r w:rsidR="007B2434" w:rsidRPr="0002060E">
              <w:rPr>
                <w:i w:val="0"/>
                <w:sz w:val="22"/>
              </w:rPr>
              <w:t>v okviru programa ISF-P</w:t>
            </w:r>
            <w:r w:rsidRPr="0002060E">
              <w:rPr>
                <w:i w:val="0"/>
                <w:sz w:val="22"/>
              </w:rPr>
              <w:t xml:space="preserve"> 14-20, poznejše potrditve programa SNV, posledično poznejšega začetka izvajanja operacij, izvedbe aktivnosti načrtovanih iz programa SNV z uporabo drugih virov financiranja ali spremenjenih potreb upravičenca</w:t>
            </w:r>
            <w:r w:rsidR="00AA4553" w:rsidRPr="0002060E">
              <w:rPr>
                <w:i w:val="0"/>
                <w:sz w:val="22"/>
              </w:rPr>
              <w:t>,</w:t>
            </w:r>
            <w:r w:rsidRPr="0002060E">
              <w:rPr>
                <w:i w:val="0"/>
                <w:sz w:val="22"/>
              </w:rPr>
              <w:t xml:space="preserve"> se je OU odločil za pripravo </w:t>
            </w:r>
            <w:proofErr w:type="spellStart"/>
            <w:r w:rsidRPr="0002060E">
              <w:rPr>
                <w:i w:val="0"/>
                <w:sz w:val="22"/>
              </w:rPr>
              <w:t>spremenjega</w:t>
            </w:r>
            <w:proofErr w:type="spellEnd"/>
            <w:r w:rsidRPr="0002060E">
              <w:rPr>
                <w:i w:val="0"/>
                <w:sz w:val="22"/>
              </w:rPr>
              <w:t xml:space="preserve"> programa SNV, kjer bodo razvidne prej omenjene vsebine</w:t>
            </w:r>
            <w:r w:rsidR="00AA4553" w:rsidRPr="0002060E">
              <w:rPr>
                <w:i w:val="0"/>
                <w:sz w:val="22"/>
              </w:rPr>
              <w:t>,</w:t>
            </w:r>
            <w:r w:rsidRPr="0002060E">
              <w:rPr>
                <w:i w:val="0"/>
                <w:sz w:val="22"/>
              </w:rPr>
              <w:t xml:space="preserve"> kot tudi spremembe programa zaradi prenosa 5% iz programa SNV. Menimo, da bo po potrditvi programa doseganje zastavljenih ciljev bolj realno. </w:t>
            </w:r>
          </w:p>
          <w:p w:rsidR="00E02DDD" w:rsidRPr="0002060E" w:rsidRDefault="00E02DDD" w:rsidP="00E02DDD">
            <w:pPr>
              <w:rPr>
                <w:sz w:val="22"/>
              </w:rPr>
            </w:pPr>
            <w:r w:rsidRPr="0002060E">
              <w:rPr>
                <w:sz w:val="22"/>
              </w:rPr>
              <w:t xml:space="preserve">Vrednosti nekaterih kazalnikov, ki so vezane </w:t>
            </w:r>
            <w:r w:rsidR="00B914C2" w:rsidRPr="0002060E">
              <w:rPr>
                <w:sz w:val="22"/>
              </w:rPr>
              <w:t>na izločene aktivnosti in nove dodane</w:t>
            </w:r>
            <w:r w:rsidRPr="0002060E">
              <w:rPr>
                <w:sz w:val="22"/>
              </w:rPr>
              <w:t>,</w:t>
            </w:r>
            <w:r w:rsidR="00B914C2" w:rsidRPr="0002060E">
              <w:rPr>
                <w:sz w:val="22"/>
              </w:rPr>
              <w:t xml:space="preserve"> bodo razvidne zlasti pri vrednosti kazalnikov O.1.4, O.3.1, O.3.2, O.3.3 in O.3.4.</w:t>
            </w:r>
            <w:r w:rsidRPr="0002060E">
              <w:rPr>
                <w:sz w:val="22"/>
              </w:rPr>
              <w:t xml:space="preserve"> </w:t>
            </w:r>
          </w:p>
          <w:p w:rsidR="008116E1" w:rsidRPr="0002060E" w:rsidRDefault="008116E1" w:rsidP="00E47AD1">
            <w:pPr>
              <w:pStyle w:val="Personnequisigne"/>
              <w:jc w:val="both"/>
              <w:rPr>
                <w:i w:val="0"/>
                <w:noProof/>
                <w:sz w:val="22"/>
              </w:rPr>
            </w:pPr>
            <w:r w:rsidRPr="0002060E">
              <w:rPr>
                <w:i w:val="0"/>
                <w:sz w:val="22"/>
              </w:rPr>
              <w:t xml:space="preserve">OU ne razpolaga z informacijami </w:t>
            </w:r>
            <w:r w:rsidRPr="0002060E">
              <w:rPr>
                <w:i w:val="0"/>
                <w:noProof/>
                <w:sz w:val="22"/>
              </w:rPr>
              <w:t xml:space="preserve">v zvezi s postopki za ugotavljanje kršitev na podlagi 258. člena Pogodbe o delovanju Evropske unije (PDEU), v povezavi z izvajanjem programa </w:t>
            </w:r>
            <w:r w:rsidR="00E47AD1" w:rsidRPr="0002060E">
              <w:rPr>
                <w:i w:val="0"/>
                <w:noProof/>
                <w:sz w:val="22"/>
              </w:rPr>
              <w:t>SNV</w:t>
            </w:r>
            <w:r w:rsidRPr="0002060E">
              <w:rPr>
                <w:i w:val="0"/>
                <w:noProof/>
                <w:sz w:val="22"/>
              </w:rPr>
              <w:t>.</w:t>
            </w:r>
          </w:p>
        </w:tc>
      </w:tr>
    </w:tbl>
    <w:p w:rsidR="006A41E2" w:rsidRPr="003A1616" w:rsidRDefault="00C30ACF" w:rsidP="00C30ACF">
      <w:pPr>
        <w:pStyle w:val="ManualHeading2"/>
        <w:rPr>
          <w:noProof/>
        </w:rPr>
      </w:pPr>
      <w:r w:rsidRPr="003A1616">
        <w:t>1.3.</w:t>
      </w:r>
      <w:r w:rsidRPr="003A1616">
        <w:tab/>
      </w:r>
      <w:r w:rsidR="006A41E2" w:rsidRPr="003A1616">
        <w:rPr>
          <w:noProof/>
        </w:rPr>
        <w:t>Posebni blažilni ukrepi</w:t>
      </w:r>
    </w:p>
    <w:p w:rsidR="006A41E2" w:rsidRPr="003A1616" w:rsidRDefault="006A41E2" w:rsidP="006A41E2">
      <w:pPr>
        <w:rPr>
          <w:noProof/>
          <w:sz w:val="22"/>
        </w:rPr>
      </w:pPr>
      <w:r w:rsidRPr="003A1616">
        <w:rPr>
          <w:b/>
          <w:noProof/>
          <w:sz w:val="22"/>
        </w:rPr>
        <w:t>Če je ustrezno</w:t>
      </w:r>
      <w:r w:rsidRPr="003A1616">
        <w:rPr>
          <w:noProof/>
          <w:sz w:val="22"/>
        </w:rPr>
        <w:t xml:space="preserve">, na kratko opišite, kako so dejavnosti programa prispevale k ublažitvi učinkov vseh relevantnih in nenadnih kontekstualnih sprememb, ki so povzročile nepredvidene varnostne grožnje. Kadar koli je mogoče, navedite obseg sredstev, prerazporejenih v ta namen, ter s tem povezane dosežene učinke in rezultate. </w:t>
      </w:r>
    </w:p>
    <w:p w:rsidR="006A41E2" w:rsidRPr="003A1616" w:rsidRDefault="000E45B7" w:rsidP="006A41E2">
      <w:pPr>
        <w:rPr>
          <w:noProof/>
          <w:sz w:val="22"/>
        </w:rPr>
      </w:pPr>
      <w:r w:rsidRPr="003A1616">
        <w:rPr>
          <w:noProof/>
          <w:sz w:val="22"/>
        </w:rPr>
        <w:t>Posebno pozornost namenite dejavnostim, ki se izvajajo za ublažitev nepredvidenih varnostnih groženj in katerih dosežki morda ne bodo v celoti zajeti s skupnimi kazalniki učinka in rezultatov.</w:t>
      </w:r>
    </w:p>
    <w:tbl>
      <w:tblPr>
        <w:tblStyle w:val="Tabelamrea"/>
        <w:tblW w:w="0" w:type="auto"/>
        <w:tblLook w:val="04A0" w:firstRow="1" w:lastRow="0" w:firstColumn="1" w:lastColumn="0" w:noHBand="0" w:noVBand="1"/>
      </w:tblPr>
      <w:tblGrid>
        <w:gridCol w:w="9063"/>
      </w:tblGrid>
      <w:tr w:rsidR="006A41E2" w:rsidRPr="003A1616" w:rsidTr="00E45665">
        <w:tc>
          <w:tcPr>
            <w:tcW w:w="9289" w:type="dxa"/>
          </w:tcPr>
          <w:p w:rsidR="006A41E2" w:rsidRPr="0002060E" w:rsidRDefault="007A5907" w:rsidP="00614B4A">
            <w:pPr>
              <w:pStyle w:val="Personnequisigne"/>
              <w:jc w:val="both"/>
              <w:rPr>
                <w:i w:val="0"/>
                <w:noProof/>
                <w:sz w:val="22"/>
              </w:rPr>
            </w:pPr>
            <w:r w:rsidRPr="0002060E">
              <w:rPr>
                <w:i w:val="0"/>
                <w:noProof/>
                <w:sz w:val="22"/>
              </w:rPr>
              <w:t xml:space="preserve">Slovenija </w:t>
            </w:r>
            <w:r w:rsidR="008116E1" w:rsidRPr="0002060E">
              <w:rPr>
                <w:i w:val="0"/>
                <w:noProof/>
                <w:sz w:val="22"/>
              </w:rPr>
              <w:t xml:space="preserve">je </w:t>
            </w:r>
            <w:r w:rsidRPr="0002060E">
              <w:rPr>
                <w:i w:val="0"/>
                <w:noProof/>
                <w:sz w:val="22"/>
              </w:rPr>
              <w:t>v obračunskem obdobju poročanja še</w:t>
            </w:r>
            <w:r w:rsidR="008116E1" w:rsidRPr="0002060E">
              <w:rPr>
                <w:i w:val="0"/>
                <w:noProof/>
                <w:sz w:val="22"/>
              </w:rPr>
              <w:t>le pričela z izvajanjem aktivnosti</w:t>
            </w:r>
            <w:r w:rsidR="00614B4A" w:rsidRPr="0002060E">
              <w:rPr>
                <w:i w:val="0"/>
                <w:noProof/>
                <w:sz w:val="22"/>
              </w:rPr>
              <w:t xml:space="preserve"> v zvezi s programom SNV. Trenutne </w:t>
            </w:r>
            <w:r w:rsidRPr="0002060E">
              <w:rPr>
                <w:i w:val="0"/>
                <w:noProof/>
                <w:sz w:val="22"/>
              </w:rPr>
              <w:t xml:space="preserve">aktivnosti programa </w:t>
            </w:r>
            <w:r w:rsidR="00614B4A" w:rsidRPr="0002060E">
              <w:rPr>
                <w:i w:val="0"/>
                <w:noProof/>
                <w:sz w:val="22"/>
              </w:rPr>
              <w:t xml:space="preserve">niso </w:t>
            </w:r>
            <w:r w:rsidRPr="0002060E">
              <w:rPr>
                <w:i w:val="0"/>
                <w:noProof/>
                <w:sz w:val="22"/>
              </w:rPr>
              <w:t>prispevale k ublažitvi učinkov vseh relevantnih in nenadnih kontekstualnih sprememb, ki bi povzročile nepredvidene varnostne grožnje.</w:t>
            </w:r>
            <w:r w:rsidR="00431B4C" w:rsidRPr="0002060E">
              <w:rPr>
                <w:i w:val="0"/>
                <w:noProof/>
                <w:sz w:val="22"/>
              </w:rPr>
              <w:t xml:space="preserve"> V ta namen niso bila prerazporejena sredstva.  </w:t>
            </w:r>
          </w:p>
        </w:tc>
      </w:tr>
    </w:tbl>
    <w:p w:rsidR="006A41E2" w:rsidRPr="003A1616" w:rsidRDefault="00C30ACF" w:rsidP="00C30ACF">
      <w:pPr>
        <w:pStyle w:val="ManualHeading2"/>
        <w:rPr>
          <w:noProof/>
        </w:rPr>
      </w:pPr>
      <w:r w:rsidRPr="003A1616">
        <w:t>1.4.</w:t>
      </w:r>
      <w:r w:rsidRPr="003A1616">
        <w:tab/>
      </w:r>
      <w:r w:rsidR="006A41E2" w:rsidRPr="003A1616">
        <w:rPr>
          <w:noProof/>
        </w:rPr>
        <w:t>Operativna podpora – člen 16(3) Uredbe (EU) 2021/1149</w:t>
      </w:r>
    </w:p>
    <w:p w:rsidR="006A41E2" w:rsidRPr="003A1616" w:rsidRDefault="00C62604" w:rsidP="006A41E2">
      <w:pPr>
        <w:rPr>
          <w:noProof/>
          <w:sz w:val="22"/>
        </w:rPr>
      </w:pPr>
      <w:r w:rsidRPr="003A1616">
        <w:rPr>
          <w:noProof/>
          <w:sz w:val="22"/>
        </w:rPr>
        <w:t>Če je bila med obračunskim letom uporabljena operativna podpora, opišite, kako je prispevala k doseganju ciljev Sklada</w:t>
      </w:r>
      <w:r w:rsidRPr="003A1616">
        <w:rPr>
          <w:rStyle w:val="Sprotnaopomba-sklic"/>
          <w:noProof/>
          <w:sz w:val="22"/>
        </w:rPr>
        <w:footnoteReference w:id="7"/>
      </w:r>
      <w:r w:rsidRPr="003A1616">
        <w:rPr>
          <w:noProof/>
        </w:rPr>
        <w:t>.</w:t>
      </w:r>
      <w:r w:rsidRPr="003A1616">
        <w:rPr>
          <w:noProof/>
          <w:sz w:val="22"/>
        </w:rPr>
        <w:t xml:space="preserve"> </w:t>
      </w:r>
    </w:p>
    <w:p w:rsidR="006A41E2" w:rsidRPr="003A1616" w:rsidRDefault="003A30A1" w:rsidP="006A41E2">
      <w:pPr>
        <w:rPr>
          <w:noProof/>
          <w:sz w:val="22"/>
        </w:rPr>
      </w:pPr>
      <w:r w:rsidRPr="003A1616">
        <w:rPr>
          <w:noProof/>
          <w:sz w:val="22"/>
        </w:rPr>
        <w:t>Če skupni kumulativni upravičeni stroški operativne podpore za operacije, izbrane za podporo, ob koncu obračunskega leta presegajo 20 % skupnih sredstev, dodeljenih programu, pojasnite razloge za to. Če obstaja tveganje, da bo prag do konca programskega obdobja presežen, opišite predvidene ukrepe za zmanjšanje tveganja.</w:t>
      </w:r>
    </w:p>
    <w:tbl>
      <w:tblPr>
        <w:tblStyle w:val="Tabelamrea"/>
        <w:tblW w:w="0" w:type="auto"/>
        <w:tblLook w:val="04A0" w:firstRow="1" w:lastRow="0" w:firstColumn="1" w:lastColumn="0" w:noHBand="0" w:noVBand="1"/>
      </w:tblPr>
      <w:tblGrid>
        <w:gridCol w:w="9063"/>
      </w:tblGrid>
      <w:tr w:rsidR="006A41E2" w:rsidRPr="003A1616" w:rsidTr="00E45665">
        <w:tc>
          <w:tcPr>
            <w:tcW w:w="9289" w:type="dxa"/>
          </w:tcPr>
          <w:p w:rsidR="006A41E2" w:rsidRPr="003A1616" w:rsidRDefault="007A5907" w:rsidP="00431B4C">
            <w:pPr>
              <w:pStyle w:val="Personnequisigne"/>
              <w:jc w:val="both"/>
              <w:rPr>
                <w:i w:val="0"/>
                <w:noProof/>
                <w:sz w:val="22"/>
              </w:rPr>
            </w:pPr>
            <w:r w:rsidRPr="003A1616">
              <w:rPr>
                <w:i w:val="0"/>
                <w:noProof/>
                <w:sz w:val="22"/>
              </w:rPr>
              <w:t xml:space="preserve">Slovenija v obračunskem obdobju poročanja ni izvajala nobenih aktivnosti </w:t>
            </w:r>
            <w:r w:rsidR="00431B4C" w:rsidRPr="003A1616">
              <w:rPr>
                <w:i w:val="0"/>
                <w:noProof/>
                <w:sz w:val="22"/>
              </w:rPr>
              <w:t>operativne podpore v zvezi s programom SNV.</w:t>
            </w:r>
          </w:p>
        </w:tc>
      </w:tr>
    </w:tbl>
    <w:p w:rsidR="006A41E2" w:rsidRPr="003A1616" w:rsidRDefault="00C30ACF" w:rsidP="00C30ACF">
      <w:pPr>
        <w:pStyle w:val="ManualHeading2"/>
        <w:rPr>
          <w:noProof/>
        </w:rPr>
      </w:pPr>
      <w:r w:rsidRPr="003A1616">
        <w:lastRenderedPageBreak/>
        <w:t>1.5.</w:t>
      </w:r>
      <w:r w:rsidRPr="003A1616">
        <w:tab/>
      </w:r>
      <w:r w:rsidR="006A41E2" w:rsidRPr="003A1616">
        <w:rPr>
          <w:noProof/>
        </w:rPr>
        <w:t>Posebni ukrepi</w:t>
      </w:r>
      <w:r w:rsidR="006A41E2" w:rsidRPr="003A1616">
        <w:rPr>
          <w:rStyle w:val="Sprotnaopomba-sklic"/>
          <w:noProof/>
        </w:rPr>
        <w:footnoteReference w:id="8"/>
      </w:r>
      <w:r w:rsidR="006A41E2" w:rsidRPr="003A1616">
        <w:rPr>
          <w:noProof/>
        </w:rPr>
        <w:t xml:space="preserve"> </w:t>
      </w:r>
    </w:p>
    <w:p w:rsidR="00EA1A2F" w:rsidRPr="003A1616" w:rsidRDefault="00EA1A2F" w:rsidP="00EA1A2F">
      <w:pPr>
        <w:rPr>
          <w:noProof/>
          <w:sz w:val="22"/>
        </w:rPr>
      </w:pPr>
      <w:r w:rsidRPr="003A1616">
        <w:rPr>
          <w:noProof/>
          <w:sz w:val="22"/>
        </w:rPr>
        <w:t>Opišite glavne dosežke vseh posebnih ukrepov, izvedenih med obračunskim letom, ter kako so ti ukrepi prispevali k doseganju ciljev programa in ustvarjanju dodane vrednosti Unije</w:t>
      </w:r>
      <w:r w:rsidRPr="003A1616">
        <w:rPr>
          <w:rStyle w:val="Sprotnaopomba-sklic"/>
          <w:noProof/>
        </w:rPr>
        <w:footnoteReference w:id="9"/>
      </w:r>
      <w:r w:rsidRPr="003A1616">
        <w:rPr>
          <w:noProof/>
          <w:sz w:val="22"/>
        </w:rPr>
        <w:t xml:space="preserve">. </w:t>
      </w:r>
    </w:p>
    <w:p w:rsidR="006A41E2" w:rsidRPr="003A1616" w:rsidRDefault="00EA1A2F" w:rsidP="00EA1A2F">
      <w:pPr>
        <w:rPr>
          <w:noProof/>
          <w:sz w:val="22"/>
        </w:rPr>
      </w:pPr>
      <w:r w:rsidRPr="003A1616">
        <w:rPr>
          <w:noProof/>
          <w:sz w:val="22"/>
        </w:rPr>
        <w:t>Opišite, kako so posamezni ukrepi napredovali, tako postopkovno</w:t>
      </w:r>
      <w:r w:rsidRPr="003A1616">
        <w:rPr>
          <w:rStyle w:val="Sprotnaopomba-sklic"/>
          <w:noProof/>
        </w:rPr>
        <w:footnoteReference w:id="10"/>
      </w:r>
      <w:r w:rsidRPr="003A1616">
        <w:rPr>
          <w:noProof/>
          <w:sz w:val="22"/>
        </w:rPr>
        <w:t xml:space="preserve"> kot operativno</w:t>
      </w:r>
      <w:r w:rsidRPr="003A1616">
        <w:rPr>
          <w:rStyle w:val="Sprotnaopomba-sklic"/>
          <w:noProof/>
        </w:rPr>
        <w:footnoteReference w:id="11"/>
      </w:r>
      <w:r w:rsidRPr="003A1616">
        <w:rPr>
          <w:noProof/>
          <w:sz w:val="22"/>
        </w:rPr>
        <w:t>, in izpostavite morebitna vprašanja, ki vplivajo na njihovo uspešnost, zlasti morebitno tveganje premajhne porabe.</w:t>
      </w:r>
    </w:p>
    <w:p w:rsidR="006A41E2" w:rsidRPr="003A1616" w:rsidRDefault="006A41E2" w:rsidP="006A41E2">
      <w:pPr>
        <w:rPr>
          <w:noProof/>
          <w:sz w:val="22"/>
        </w:rPr>
      </w:pPr>
      <w:r w:rsidRPr="003A1616">
        <w:rPr>
          <w:noProof/>
          <w:sz w:val="22"/>
        </w:rPr>
        <w:t>Če je ustrezno, te informacije razčlenite na raven projektov. Če se pričakuje kakršno koli odstopanje od prvotnega načrtovanja, pojasnite razloge za to, opišite morebitne sprejete blažilne ukrepe in predložite spremenjeni časovni razpored.</w:t>
      </w:r>
    </w:p>
    <w:tbl>
      <w:tblPr>
        <w:tblStyle w:val="Tabelamrea"/>
        <w:tblW w:w="0" w:type="auto"/>
        <w:tblLook w:val="04A0" w:firstRow="1" w:lastRow="0" w:firstColumn="1" w:lastColumn="0" w:noHBand="0" w:noVBand="1"/>
      </w:tblPr>
      <w:tblGrid>
        <w:gridCol w:w="9063"/>
      </w:tblGrid>
      <w:tr w:rsidR="006A41E2" w:rsidRPr="003A1616" w:rsidTr="00E45665">
        <w:tc>
          <w:tcPr>
            <w:tcW w:w="9289" w:type="dxa"/>
          </w:tcPr>
          <w:p w:rsidR="00227FE7" w:rsidRPr="003A1616" w:rsidRDefault="007A5907" w:rsidP="00227FE7">
            <w:pPr>
              <w:pStyle w:val="Personnequisigne"/>
              <w:jc w:val="both"/>
              <w:rPr>
                <w:i w:val="0"/>
                <w:noProof/>
                <w:sz w:val="22"/>
              </w:rPr>
            </w:pPr>
            <w:r w:rsidRPr="003A1616">
              <w:rPr>
                <w:i w:val="0"/>
                <w:noProof/>
                <w:sz w:val="22"/>
              </w:rPr>
              <w:t xml:space="preserve">Slovenija </w:t>
            </w:r>
            <w:r w:rsidR="00DC49C4" w:rsidRPr="003A1616">
              <w:rPr>
                <w:i w:val="0"/>
                <w:noProof/>
                <w:sz w:val="22"/>
              </w:rPr>
              <w:t xml:space="preserve">je </w:t>
            </w:r>
            <w:r w:rsidRPr="003A1616">
              <w:rPr>
                <w:i w:val="0"/>
                <w:noProof/>
                <w:sz w:val="22"/>
              </w:rPr>
              <w:t xml:space="preserve">v obračunskem obdobju poročanja </w:t>
            </w:r>
            <w:r w:rsidR="00B36705" w:rsidRPr="003A1616">
              <w:rPr>
                <w:i w:val="0"/>
                <w:noProof/>
                <w:sz w:val="22"/>
              </w:rPr>
              <w:t>sodelovala v evropski operativni</w:t>
            </w:r>
            <w:r w:rsidR="00DC49C4" w:rsidRPr="003A1616">
              <w:rPr>
                <w:i w:val="0"/>
                <w:noProof/>
                <w:sz w:val="22"/>
              </w:rPr>
              <w:t xml:space="preserve"> </w:t>
            </w:r>
            <w:r w:rsidR="00B36705" w:rsidRPr="003A1616">
              <w:rPr>
                <w:i w:val="0"/>
                <w:noProof/>
                <w:sz w:val="22"/>
              </w:rPr>
              <w:t>skupini</w:t>
            </w:r>
            <w:r w:rsidR="00DC49C4" w:rsidRPr="003A1616">
              <w:rPr>
                <w:i w:val="0"/>
                <w:noProof/>
                <w:sz w:val="22"/>
              </w:rPr>
              <w:t xml:space="preserve"> (EOT) v španski regiji Costa del Sol za odkrivanje in preiskovanje organiziranih kriminalnih združb in storilcev kaznivih - tarč visoke vrednosti (HVT), ki ogrožajo varnost in blaginjo EU</w:t>
            </w:r>
            <w:r w:rsidR="00227FE7" w:rsidRPr="003A1616">
              <w:rPr>
                <w:i w:val="0"/>
                <w:noProof/>
                <w:sz w:val="22"/>
              </w:rPr>
              <w:t>, v sklopu operacije odobrene na podlagi poziva</w:t>
            </w:r>
            <w:r w:rsidR="00227FE7" w:rsidRPr="003A1616">
              <w:t xml:space="preserve"> ISF/2022/SA/2.2.1 - poseben ukrep  -  EMPACT.</w:t>
            </w:r>
            <w:r w:rsidR="0045095F" w:rsidRPr="003A1616">
              <w:t xml:space="preserve"> </w:t>
            </w:r>
            <w:r w:rsidR="0045095F" w:rsidRPr="003A1616">
              <w:rPr>
                <w:i w:val="0"/>
                <w:noProof/>
                <w:sz w:val="22"/>
              </w:rPr>
              <w:t>G</w:t>
            </w:r>
            <w:r w:rsidR="00E51586" w:rsidRPr="003A1616">
              <w:rPr>
                <w:i w:val="0"/>
                <w:noProof/>
                <w:sz w:val="22"/>
              </w:rPr>
              <w:t>re za uspešno sodel</w:t>
            </w:r>
            <w:r w:rsidR="0045095F" w:rsidRPr="003A1616">
              <w:rPr>
                <w:i w:val="0"/>
                <w:noProof/>
                <w:sz w:val="22"/>
              </w:rPr>
              <w:t>ovanje, saj je d</w:t>
            </w:r>
            <w:r w:rsidR="00B36705" w:rsidRPr="003A1616">
              <w:rPr>
                <w:i w:val="0"/>
                <w:noProof/>
                <w:sz w:val="22"/>
              </w:rPr>
              <w:t>osežen</w:t>
            </w:r>
            <w:r w:rsidR="0045095F" w:rsidRPr="003A1616">
              <w:rPr>
                <w:i w:val="0"/>
                <w:noProof/>
                <w:sz w:val="22"/>
              </w:rPr>
              <w:t xml:space="preserve">a </w:t>
            </w:r>
            <w:r w:rsidR="00B36705" w:rsidRPr="003A1616">
              <w:rPr>
                <w:i w:val="0"/>
                <w:noProof/>
                <w:sz w:val="22"/>
              </w:rPr>
              <w:t>krepitev čezmejnega sodelovanja med pristojnimi organi za boj proti hudim in organiziranim oblikam kriminalitete, kar prispeva</w:t>
            </w:r>
            <w:r w:rsidR="00DC49C4" w:rsidRPr="003A1616">
              <w:rPr>
                <w:i w:val="0"/>
                <w:noProof/>
                <w:sz w:val="22"/>
              </w:rPr>
              <w:t xml:space="preserve"> k doseganju ciljev programa SNV in ustvarjanju dodane vrednosti Unije.</w:t>
            </w:r>
            <w:r w:rsidR="003021FB" w:rsidRPr="003A1616">
              <w:rPr>
                <w:i w:val="0"/>
                <w:noProof/>
                <w:sz w:val="22"/>
              </w:rPr>
              <w:t xml:space="preserve"> V obdobju poročanja upravičenec za navedno operacijo, še ni zahteval povračila stroškov.</w:t>
            </w:r>
          </w:p>
          <w:p w:rsidR="00227FE7" w:rsidRPr="003A1616" w:rsidRDefault="00227FE7" w:rsidP="00227FE7">
            <w:pPr>
              <w:pStyle w:val="Personnequisigne"/>
              <w:jc w:val="both"/>
              <w:rPr>
                <w:i w:val="0"/>
                <w:noProof/>
                <w:sz w:val="22"/>
              </w:rPr>
            </w:pPr>
          </w:p>
          <w:p w:rsidR="006A41E2" w:rsidRPr="003A1616" w:rsidRDefault="00E51586" w:rsidP="00E51586">
            <w:pPr>
              <w:pStyle w:val="Personnequisigne"/>
              <w:jc w:val="both"/>
              <w:rPr>
                <w:sz w:val="22"/>
              </w:rPr>
            </w:pPr>
            <w:r w:rsidRPr="003A1616">
              <w:rPr>
                <w:sz w:val="22"/>
              </w:rPr>
              <w:t>V okviru projekta</w:t>
            </w:r>
            <w:r w:rsidR="0045095F" w:rsidRPr="003A1616">
              <w:rPr>
                <w:sz w:val="22"/>
              </w:rPr>
              <w:t xml:space="preserve"> je Slovenija</w:t>
            </w:r>
            <w:r w:rsidR="00227FE7" w:rsidRPr="003A1616">
              <w:rPr>
                <w:sz w:val="22"/>
              </w:rPr>
              <w:t xml:space="preserve"> kot sodelujoča država upravičena </w:t>
            </w:r>
            <w:r w:rsidR="00336B99" w:rsidRPr="003A1616">
              <w:rPr>
                <w:sz w:val="22"/>
              </w:rPr>
              <w:t xml:space="preserve">do 60.0000 EUR za 12 mesecev </w:t>
            </w:r>
            <w:r w:rsidR="00227FE7" w:rsidRPr="003A1616">
              <w:rPr>
                <w:sz w:val="22"/>
              </w:rPr>
              <w:t>za kritje</w:t>
            </w:r>
            <w:r w:rsidR="00336B99" w:rsidRPr="003A1616">
              <w:rPr>
                <w:sz w:val="22"/>
              </w:rPr>
              <w:t xml:space="preserve"> stroškov napotene osebe</w:t>
            </w:r>
            <w:r w:rsidR="00227FE7" w:rsidRPr="003A1616">
              <w:rPr>
                <w:sz w:val="22"/>
              </w:rPr>
              <w:t xml:space="preserve"> v EOT v </w:t>
            </w:r>
            <w:proofErr w:type="spellStart"/>
            <w:r w:rsidR="00227FE7" w:rsidRPr="003A1616">
              <w:rPr>
                <w:sz w:val="22"/>
              </w:rPr>
              <w:t>Marbello</w:t>
            </w:r>
            <w:proofErr w:type="spellEnd"/>
            <w:r w:rsidR="00227FE7" w:rsidRPr="003A1616">
              <w:rPr>
                <w:sz w:val="22"/>
              </w:rPr>
              <w:t xml:space="preserve"> – Španijo, kot je to določeno v dokumentu pristojnosti in nalog ter pravil delovanja skupine EOT</w:t>
            </w:r>
            <w:r w:rsidR="00336B99" w:rsidRPr="003A1616">
              <w:rPr>
                <w:sz w:val="22"/>
              </w:rPr>
              <w:t xml:space="preserve"> (TOR)</w:t>
            </w:r>
            <w:r w:rsidRPr="003A1616">
              <w:rPr>
                <w:sz w:val="22"/>
              </w:rPr>
              <w:t>,</w:t>
            </w:r>
            <w:r w:rsidR="00E47AD1" w:rsidRPr="003A1616">
              <w:rPr>
                <w:sz w:val="22"/>
              </w:rPr>
              <w:t xml:space="preserve"> </w:t>
            </w:r>
            <w:r w:rsidRPr="003A1616">
              <w:rPr>
                <w:sz w:val="22"/>
              </w:rPr>
              <w:t>a</w:t>
            </w:r>
            <w:r w:rsidR="00336B99" w:rsidRPr="003A1616">
              <w:rPr>
                <w:sz w:val="22"/>
              </w:rPr>
              <w:t xml:space="preserve"> ugotavljamo, da sredstva </w:t>
            </w:r>
            <w:r w:rsidRPr="003A1616">
              <w:rPr>
                <w:sz w:val="22"/>
              </w:rPr>
              <w:t xml:space="preserve">ne bodo </w:t>
            </w:r>
            <w:r w:rsidR="00336B99" w:rsidRPr="003A1616">
              <w:rPr>
                <w:sz w:val="22"/>
              </w:rPr>
              <w:t>v celoti porabljena.</w:t>
            </w:r>
            <w:r w:rsidR="00227FE7" w:rsidRPr="003A1616">
              <w:rPr>
                <w:sz w:val="22"/>
              </w:rPr>
              <w:t xml:space="preserve"> </w:t>
            </w:r>
            <w:r w:rsidR="0045095F" w:rsidRPr="003A1616">
              <w:rPr>
                <w:sz w:val="22"/>
              </w:rPr>
              <w:t xml:space="preserve">Ker so sredstva za posebni ukrep dodeljena neposredno Sloveniji, mora le-ta pri izvajanju operacije upoštevati nacionalno zakonodajo in </w:t>
            </w:r>
            <w:r w:rsidR="00227FE7" w:rsidRPr="003A1616">
              <w:rPr>
                <w:sz w:val="22"/>
              </w:rPr>
              <w:t xml:space="preserve">»Nacionalna pravila upravičenosti za črpanje sredstev programa Sklada za azil, migracije in vključevanje, programa Sklada za notranjo varnost ter programa Instrumenta za finančno podporo za upravljanje meja in vizumsko politiko v okviru Sklada za </w:t>
            </w:r>
            <w:proofErr w:type="spellStart"/>
            <w:r w:rsidR="00227FE7" w:rsidRPr="003A1616">
              <w:rPr>
                <w:sz w:val="22"/>
              </w:rPr>
              <w:t>intgrirano</w:t>
            </w:r>
            <w:proofErr w:type="spellEnd"/>
            <w:r w:rsidR="00227FE7" w:rsidRPr="003A1616">
              <w:rPr>
                <w:sz w:val="22"/>
              </w:rPr>
              <w:t xml:space="preserve"> upravljanje meja v programskem obdobju 2021-2027«.</w:t>
            </w:r>
            <w:r w:rsidR="00336B99" w:rsidRPr="003A1616">
              <w:rPr>
                <w:sz w:val="22"/>
              </w:rPr>
              <w:t xml:space="preserve"> </w:t>
            </w:r>
            <w:r w:rsidR="0045095F" w:rsidRPr="003A1616">
              <w:rPr>
                <w:sz w:val="22"/>
              </w:rPr>
              <w:t>Skladno s tem gre u</w:t>
            </w:r>
            <w:r w:rsidR="00BA71EA" w:rsidRPr="003A1616">
              <w:rPr>
                <w:sz w:val="22"/>
              </w:rPr>
              <w:t xml:space="preserve">gotoviti, da </w:t>
            </w:r>
            <w:r w:rsidR="00227FE7" w:rsidRPr="003A1616">
              <w:rPr>
                <w:sz w:val="22"/>
              </w:rPr>
              <w:t xml:space="preserve">nacionalni predpisi ne dajejo podlage za </w:t>
            </w:r>
            <w:r w:rsidRPr="003A1616">
              <w:rPr>
                <w:sz w:val="22"/>
              </w:rPr>
              <w:t>načrtovana</w:t>
            </w:r>
            <w:r w:rsidR="00227FE7" w:rsidRPr="003A1616">
              <w:rPr>
                <w:sz w:val="22"/>
              </w:rPr>
              <w:t xml:space="preserve"> izplačila stroškov v obliki pavšalnega povračila</w:t>
            </w:r>
            <w:r w:rsidR="00336B99" w:rsidRPr="003A1616">
              <w:rPr>
                <w:sz w:val="22"/>
              </w:rPr>
              <w:t xml:space="preserve"> (5</w:t>
            </w:r>
            <w:r w:rsidR="00E47AD1" w:rsidRPr="003A1616">
              <w:rPr>
                <w:sz w:val="22"/>
              </w:rPr>
              <w:t>.</w:t>
            </w:r>
            <w:r w:rsidR="00336B99" w:rsidRPr="003A1616">
              <w:rPr>
                <w:sz w:val="22"/>
              </w:rPr>
              <w:t xml:space="preserve">000 </w:t>
            </w:r>
            <w:r w:rsidRPr="003A1616">
              <w:rPr>
                <w:sz w:val="22"/>
              </w:rPr>
              <w:t>EUR</w:t>
            </w:r>
            <w:r w:rsidR="00336B99" w:rsidRPr="003A1616">
              <w:rPr>
                <w:sz w:val="22"/>
              </w:rPr>
              <w:t xml:space="preserve"> na mesec)</w:t>
            </w:r>
            <w:r w:rsidR="00227FE7" w:rsidRPr="003A1616">
              <w:rPr>
                <w:sz w:val="22"/>
              </w:rPr>
              <w:t>, ampak se dejanski stroški povrnejo zgo</w:t>
            </w:r>
            <w:r w:rsidRPr="003A1616">
              <w:rPr>
                <w:sz w:val="22"/>
              </w:rPr>
              <w:t xml:space="preserve">lj na podlagi ustreznih dokazil. </w:t>
            </w:r>
            <w:r w:rsidR="00BA71EA" w:rsidRPr="003A1616">
              <w:rPr>
                <w:sz w:val="22"/>
              </w:rPr>
              <w:t>To pomeni, da lahko pričakujemo, k</w:t>
            </w:r>
            <w:r w:rsidR="00336B99" w:rsidRPr="003A1616">
              <w:rPr>
                <w:sz w:val="22"/>
              </w:rPr>
              <w:t>ljub uspešno izvedeni operaciji in</w:t>
            </w:r>
            <w:r w:rsidR="00E47AD1" w:rsidRPr="003A1616">
              <w:rPr>
                <w:sz w:val="22"/>
              </w:rPr>
              <w:t xml:space="preserve"> doseženim ciljem</w:t>
            </w:r>
            <w:r w:rsidR="00BA71EA" w:rsidRPr="003A1616">
              <w:rPr>
                <w:sz w:val="22"/>
              </w:rPr>
              <w:t xml:space="preserve">, nižje </w:t>
            </w:r>
            <w:r w:rsidR="00336B99" w:rsidRPr="003A1616">
              <w:rPr>
                <w:sz w:val="22"/>
              </w:rPr>
              <w:t>povračilo stroškov.</w:t>
            </w:r>
          </w:p>
        </w:tc>
      </w:tr>
    </w:tbl>
    <w:p w:rsidR="006A41E2" w:rsidRPr="003A1616" w:rsidRDefault="00544E72" w:rsidP="00930AD9">
      <w:pPr>
        <w:rPr>
          <w:noProof/>
          <w:sz w:val="22"/>
        </w:rPr>
      </w:pPr>
      <w:r w:rsidRPr="003A1616">
        <w:rPr>
          <w:noProof/>
          <w:sz w:val="22"/>
        </w:rPr>
        <w:t>V spodnjo preglednico vpišite podrobnosti o vseh posebnih nacionalnih ukrepih, ki se izvajajo v okviru programa. Poročanje o posebnih nadnacionalnih ukrepih bi moralo biti skladno z izbrano možnostjo poročanja</w:t>
      </w:r>
      <w:r w:rsidRPr="003A1616">
        <w:rPr>
          <w:rStyle w:val="Sprotnaopomba-sklic"/>
          <w:noProof/>
          <w:sz w:val="22"/>
        </w:rPr>
        <w:footnoteReference w:id="12"/>
      </w:r>
      <w:r w:rsidRPr="003A1616">
        <w:rPr>
          <w:noProof/>
          <w:sz w:val="22"/>
        </w:rPr>
        <w:t xml:space="preserve">. </w:t>
      </w:r>
    </w:p>
    <w:tbl>
      <w:tblPr>
        <w:tblStyle w:val="Tabelamrea"/>
        <w:tblW w:w="9242" w:type="dxa"/>
        <w:tblLayout w:type="fixed"/>
        <w:tblCellMar>
          <w:left w:w="28" w:type="dxa"/>
          <w:right w:w="28" w:type="dxa"/>
        </w:tblCellMar>
        <w:tblLook w:val="04A0" w:firstRow="1" w:lastRow="0" w:firstColumn="1" w:lastColumn="0" w:noHBand="0" w:noVBand="1"/>
      </w:tblPr>
      <w:tblGrid>
        <w:gridCol w:w="879"/>
        <w:gridCol w:w="992"/>
        <w:gridCol w:w="1134"/>
        <w:gridCol w:w="992"/>
        <w:gridCol w:w="993"/>
        <w:gridCol w:w="1134"/>
        <w:gridCol w:w="1505"/>
        <w:gridCol w:w="1613"/>
      </w:tblGrid>
      <w:tr w:rsidR="006A41E2" w:rsidRPr="003A1616" w:rsidTr="00213BC9">
        <w:trPr>
          <w:trHeight w:val="431"/>
        </w:trPr>
        <w:tc>
          <w:tcPr>
            <w:tcW w:w="879" w:type="dxa"/>
            <w:vMerge w:val="restart"/>
            <w:vAlign w:val="center"/>
          </w:tcPr>
          <w:p w:rsidR="006A41E2" w:rsidRPr="003A1616" w:rsidRDefault="006A41E2" w:rsidP="00E45665">
            <w:pPr>
              <w:pStyle w:val="Institutionquisigne"/>
              <w:spacing w:before="0"/>
              <w:jc w:val="center"/>
              <w:rPr>
                <w:i w:val="0"/>
                <w:noProof/>
                <w:sz w:val="20"/>
              </w:rPr>
            </w:pPr>
            <w:r w:rsidRPr="003A1616">
              <w:rPr>
                <w:i w:val="0"/>
                <w:noProof/>
                <w:sz w:val="20"/>
              </w:rPr>
              <w:lastRenderedPageBreak/>
              <w:t>Specifični cilj</w:t>
            </w:r>
          </w:p>
        </w:tc>
        <w:tc>
          <w:tcPr>
            <w:tcW w:w="992" w:type="dxa"/>
            <w:vMerge w:val="restart"/>
            <w:vAlign w:val="center"/>
          </w:tcPr>
          <w:p w:rsidR="006A41E2" w:rsidRPr="003A1616" w:rsidRDefault="006A41E2" w:rsidP="00E45665">
            <w:pPr>
              <w:pStyle w:val="Institutionquisigne"/>
              <w:spacing w:before="0"/>
              <w:jc w:val="center"/>
              <w:rPr>
                <w:i w:val="0"/>
                <w:noProof/>
                <w:sz w:val="20"/>
              </w:rPr>
            </w:pPr>
            <w:r w:rsidRPr="003A1616">
              <w:rPr>
                <w:i w:val="0"/>
                <w:noProof/>
                <w:sz w:val="20"/>
              </w:rPr>
              <w:t>Ime / referenčna številka ukrepa</w:t>
            </w:r>
          </w:p>
        </w:tc>
        <w:tc>
          <w:tcPr>
            <w:tcW w:w="1134" w:type="dxa"/>
            <w:vMerge w:val="restart"/>
            <w:vAlign w:val="center"/>
          </w:tcPr>
          <w:p w:rsidR="006A41E2" w:rsidRPr="003A1616" w:rsidRDefault="006A41E2" w:rsidP="00E45665">
            <w:pPr>
              <w:pStyle w:val="Institutionquisigne"/>
              <w:spacing w:before="0"/>
              <w:jc w:val="center"/>
              <w:rPr>
                <w:i w:val="0"/>
                <w:noProof/>
                <w:sz w:val="20"/>
              </w:rPr>
            </w:pPr>
            <w:r w:rsidRPr="003A1616">
              <w:rPr>
                <w:i w:val="0"/>
                <w:noProof/>
                <w:sz w:val="20"/>
              </w:rPr>
              <w:t>Upravičenec</w:t>
            </w:r>
          </w:p>
        </w:tc>
        <w:tc>
          <w:tcPr>
            <w:tcW w:w="992" w:type="dxa"/>
            <w:vMerge w:val="restart"/>
            <w:vAlign w:val="center"/>
          </w:tcPr>
          <w:p w:rsidR="006A41E2" w:rsidRPr="003A1616" w:rsidRDefault="006A41E2" w:rsidP="00E45665">
            <w:pPr>
              <w:pStyle w:val="Institutionquisigne"/>
              <w:spacing w:before="0"/>
              <w:jc w:val="center"/>
              <w:rPr>
                <w:i w:val="0"/>
                <w:noProof/>
                <w:sz w:val="20"/>
              </w:rPr>
            </w:pPr>
            <w:r w:rsidRPr="003A1616">
              <w:rPr>
                <w:i w:val="0"/>
                <w:noProof/>
                <w:sz w:val="20"/>
              </w:rPr>
              <w:t>Obdobje izvajanja</w:t>
            </w:r>
          </w:p>
        </w:tc>
        <w:tc>
          <w:tcPr>
            <w:tcW w:w="993" w:type="dxa"/>
            <w:vMerge w:val="restart"/>
            <w:vAlign w:val="center"/>
          </w:tcPr>
          <w:p w:rsidR="006A41E2" w:rsidRPr="003A1616" w:rsidRDefault="006A41E2" w:rsidP="006A41E2">
            <w:pPr>
              <w:pStyle w:val="Institutionquisigne"/>
              <w:spacing w:before="0"/>
              <w:jc w:val="center"/>
              <w:rPr>
                <w:i w:val="0"/>
                <w:noProof/>
                <w:sz w:val="20"/>
              </w:rPr>
            </w:pPr>
            <w:r w:rsidRPr="003A1616">
              <w:rPr>
                <w:i w:val="0"/>
                <w:noProof/>
                <w:sz w:val="20"/>
              </w:rPr>
              <w:t>Upravičeni stroški</w:t>
            </w:r>
            <w:r w:rsidRPr="003A1616">
              <w:rPr>
                <w:rStyle w:val="Sprotnaopomba-sklic"/>
                <w:i w:val="0"/>
                <w:noProof/>
                <w:sz w:val="20"/>
              </w:rPr>
              <w:footnoteReference w:id="13"/>
            </w:r>
          </w:p>
        </w:tc>
        <w:tc>
          <w:tcPr>
            <w:tcW w:w="1134" w:type="dxa"/>
            <w:vMerge w:val="restart"/>
            <w:vAlign w:val="center"/>
          </w:tcPr>
          <w:p w:rsidR="006A41E2" w:rsidRPr="003A1616" w:rsidRDefault="006A41E2" w:rsidP="006A41E2">
            <w:pPr>
              <w:pStyle w:val="Institutionquisigne"/>
              <w:spacing w:before="0"/>
              <w:jc w:val="center"/>
              <w:rPr>
                <w:i w:val="0"/>
                <w:noProof/>
                <w:sz w:val="20"/>
              </w:rPr>
            </w:pPr>
            <w:r w:rsidRPr="003A1616">
              <w:rPr>
                <w:i w:val="0"/>
                <w:noProof/>
                <w:sz w:val="20"/>
              </w:rPr>
              <w:t>Upravičeni izdatki</w:t>
            </w:r>
            <w:r w:rsidRPr="003A1616">
              <w:rPr>
                <w:rStyle w:val="Sprotnaopomba-sklic"/>
                <w:i w:val="0"/>
                <w:noProof/>
                <w:sz w:val="20"/>
                <w:szCs w:val="20"/>
              </w:rPr>
              <w:footnoteReference w:id="14"/>
            </w:r>
          </w:p>
        </w:tc>
        <w:tc>
          <w:tcPr>
            <w:tcW w:w="3118" w:type="dxa"/>
            <w:gridSpan w:val="2"/>
            <w:vAlign w:val="center"/>
          </w:tcPr>
          <w:p w:rsidR="006A41E2" w:rsidRPr="003A1616" w:rsidRDefault="006A41E2" w:rsidP="006A41E2">
            <w:pPr>
              <w:pStyle w:val="Institutionquisigne"/>
              <w:spacing w:before="0"/>
              <w:jc w:val="center"/>
              <w:rPr>
                <w:i w:val="0"/>
                <w:noProof/>
                <w:sz w:val="20"/>
              </w:rPr>
            </w:pPr>
            <w:r w:rsidRPr="003A1616">
              <w:rPr>
                <w:i w:val="0"/>
                <w:noProof/>
                <w:sz w:val="20"/>
              </w:rPr>
              <w:t>Napredek pri ustreznih skupnih kazalnikih in/ali kazalnikih za posamezne programe</w:t>
            </w:r>
            <w:r w:rsidRPr="003A1616">
              <w:rPr>
                <w:rStyle w:val="Sprotnaopomba-sklic"/>
                <w:i w:val="0"/>
                <w:noProof/>
                <w:sz w:val="20"/>
              </w:rPr>
              <w:footnoteReference w:id="15"/>
            </w:r>
          </w:p>
        </w:tc>
      </w:tr>
      <w:tr w:rsidR="006A41E2" w:rsidRPr="003A1616" w:rsidTr="00213BC9">
        <w:tc>
          <w:tcPr>
            <w:tcW w:w="879" w:type="dxa"/>
            <w:vMerge/>
            <w:vAlign w:val="center"/>
          </w:tcPr>
          <w:p w:rsidR="006A41E2" w:rsidRPr="003A1616" w:rsidRDefault="006A41E2" w:rsidP="00E45665">
            <w:pPr>
              <w:pStyle w:val="Institutionquisigne"/>
              <w:spacing w:before="0"/>
              <w:jc w:val="center"/>
              <w:rPr>
                <w:i w:val="0"/>
                <w:noProof/>
                <w:sz w:val="22"/>
              </w:rPr>
            </w:pPr>
          </w:p>
        </w:tc>
        <w:tc>
          <w:tcPr>
            <w:tcW w:w="992" w:type="dxa"/>
            <w:vMerge/>
            <w:vAlign w:val="center"/>
          </w:tcPr>
          <w:p w:rsidR="006A41E2" w:rsidRPr="003A1616" w:rsidRDefault="006A41E2" w:rsidP="00E45665">
            <w:pPr>
              <w:pStyle w:val="Institutionquisigne"/>
              <w:spacing w:before="0"/>
              <w:jc w:val="center"/>
              <w:rPr>
                <w:noProof/>
              </w:rPr>
            </w:pPr>
          </w:p>
        </w:tc>
        <w:tc>
          <w:tcPr>
            <w:tcW w:w="1134" w:type="dxa"/>
            <w:vMerge/>
            <w:vAlign w:val="center"/>
          </w:tcPr>
          <w:p w:rsidR="006A41E2" w:rsidRPr="003A1616" w:rsidRDefault="006A41E2" w:rsidP="00E45665">
            <w:pPr>
              <w:pStyle w:val="Institutionquisigne"/>
              <w:spacing w:before="0"/>
              <w:jc w:val="center"/>
              <w:rPr>
                <w:noProof/>
              </w:rPr>
            </w:pPr>
          </w:p>
        </w:tc>
        <w:tc>
          <w:tcPr>
            <w:tcW w:w="992" w:type="dxa"/>
            <w:vMerge/>
            <w:vAlign w:val="center"/>
          </w:tcPr>
          <w:p w:rsidR="006A41E2" w:rsidRPr="003A1616" w:rsidRDefault="006A41E2" w:rsidP="00E45665">
            <w:pPr>
              <w:pStyle w:val="Institutionquisigne"/>
              <w:spacing w:before="0"/>
              <w:jc w:val="center"/>
              <w:rPr>
                <w:noProof/>
              </w:rPr>
            </w:pPr>
          </w:p>
        </w:tc>
        <w:tc>
          <w:tcPr>
            <w:tcW w:w="993" w:type="dxa"/>
            <w:vMerge/>
            <w:vAlign w:val="center"/>
          </w:tcPr>
          <w:p w:rsidR="006A41E2" w:rsidRPr="003A1616" w:rsidRDefault="006A41E2" w:rsidP="00E45665">
            <w:pPr>
              <w:pStyle w:val="Institutionquisigne"/>
              <w:spacing w:before="0"/>
              <w:jc w:val="center"/>
              <w:rPr>
                <w:noProof/>
              </w:rPr>
            </w:pPr>
          </w:p>
        </w:tc>
        <w:tc>
          <w:tcPr>
            <w:tcW w:w="1134" w:type="dxa"/>
            <w:vMerge/>
            <w:vAlign w:val="center"/>
          </w:tcPr>
          <w:p w:rsidR="006A41E2" w:rsidRPr="003A1616" w:rsidRDefault="006A41E2" w:rsidP="00E45665">
            <w:pPr>
              <w:pStyle w:val="Institutionquisigne"/>
              <w:spacing w:before="0"/>
              <w:jc w:val="center"/>
              <w:rPr>
                <w:noProof/>
              </w:rPr>
            </w:pPr>
          </w:p>
        </w:tc>
        <w:tc>
          <w:tcPr>
            <w:tcW w:w="1505" w:type="dxa"/>
            <w:vAlign w:val="center"/>
          </w:tcPr>
          <w:p w:rsidR="006A41E2" w:rsidRPr="003A1616" w:rsidRDefault="006A41E2" w:rsidP="00E45665">
            <w:pPr>
              <w:pStyle w:val="Institutionquisigne"/>
              <w:spacing w:before="0"/>
              <w:jc w:val="center"/>
              <w:rPr>
                <w:i w:val="0"/>
                <w:noProof/>
                <w:sz w:val="20"/>
              </w:rPr>
            </w:pPr>
            <w:r w:rsidRPr="003A1616">
              <w:rPr>
                <w:i w:val="0"/>
                <w:noProof/>
                <w:sz w:val="20"/>
              </w:rPr>
              <w:t>kazalniki učinka</w:t>
            </w:r>
          </w:p>
        </w:tc>
        <w:tc>
          <w:tcPr>
            <w:tcW w:w="1613" w:type="dxa"/>
            <w:vAlign w:val="center"/>
          </w:tcPr>
          <w:p w:rsidR="006A41E2" w:rsidRPr="003A1616" w:rsidRDefault="006A41E2" w:rsidP="00E45665">
            <w:pPr>
              <w:pStyle w:val="Institutionquisigne"/>
              <w:spacing w:before="0"/>
              <w:jc w:val="center"/>
              <w:rPr>
                <w:i w:val="0"/>
                <w:noProof/>
                <w:sz w:val="20"/>
              </w:rPr>
            </w:pPr>
            <w:r w:rsidRPr="003A1616">
              <w:rPr>
                <w:i w:val="0"/>
                <w:noProof/>
                <w:sz w:val="20"/>
              </w:rPr>
              <w:t>kazalniki rezultatov</w:t>
            </w:r>
          </w:p>
        </w:tc>
      </w:tr>
      <w:tr w:rsidR="006A41E2" w:rsidRPr="003A1616" w:rsidTr="00213BC9">
        <w:tc>
          <w:tcPr>
            <w:tcW w:w="879" w:type="dxa"/>
            <w:vAlign w:val="center"/>
          </w:tcPr>
          <w:p w:rsidR="006A41E2" w:rsidRPr="0002060E" w:rsidRDefault="00C922CB" w:rsidP="00E45665">
            <w:pPr>
              <w:pStyle w:val="Institutionquisigne"/>
              <w:spacing w:before="0"/>
              <w:jc w:val="center"/>
              <w:rPr>
                <w:i w:val="0"/>
                <w:noProof/>
                <w:sz w:val="20"/>
                <w:szCs w:val="20"/>
              </w:rPr>
            </w:pPr>
            <w:r w:rsidRPr="0002060E">
              <w:rPr>
                <w:i w:val="0"/>
                <w:noProof/>
                <w:sz w:val="20"/>
                <w:szCs w:val="20"/>
              </w:rPr>
              <w:t>SO2</w:t>
            </w:r>
          </w:p>
        </w:tc>
        <w:tc>
          <w:tcPr>
            <w:tcW w:w="992" w:type="dxa"/>
            <w:vAlign w:val="center"/>
          </w:tcPr>
          <w:p w:rsidR="006A41E2" w:rsidRPr="0002060E" w:rsidRDefault="00C922CB" w:rsidP="00E45665">
            <w:pPr>
              <w:pStyle w:val="Institutionquisigne"/>
              <w:spacing w:before="0"/>
              <w:jc w:val="center"/>
              <w:rPr>
                <w:i w:val="0"/>
                <w:noProof/>
                <w:sz w:val="20"/>
                <w:szCs w:val="20"/>
              </w:rPr>
            </w:pPr>
            <w:r w:rsidRPr="0002060E">
              <w:rPr>
                <w:i w:val="0"/>
                <w:noProof/>
                <w:sz w:val="20"/>
                <w:szCs w:val="20"/>
              </w:rPr>
              <w:t>ISF/2022/SA/2.2.1/012</w:t>
            </w:r>
          </w:p>
        </w:tc>
        <w:tc>
          <w:tcPr>
            <w:tcW w:w="1134" w:type="dxa"/>
          </w:tcPr>
          <w:p w:rsidR="006A41E2" w:rsidRPr="0002060E" w:rsidRDefault="00C922CB" w:rsidP="00E45665">
            <w:pPr>
              <w:pStyle w:val="Institutionquisigne"/>
              <w:spacing w:before="0"/>
              <w:jc w:val="center"/>
              <w:rPr>
                <w:i w:val="0"/>
                <w:noProof/>
                <w:sz w:val="20"/>
                <w:szCs w:val="20"/>
              </w:rPr>
            </w:pPr>
            <w:r w:rsidRPr="0002060E">
              <w:rPr>
                <w:i w:val="0"/>
                <w:noProof/>
                <w:sz w:val="20"/>
                <w:szCs w:val="20"/>
              </w:rPr>
              <w:t>Policija - Generalna policijska uprava - Uprava kriminalistične policije</w:t>
            </w:r>
          </w:p>
        </w:tc>
        <w:tc>
          <w:tcPr>
            <w:tcW w:w="992" w:type="dxa"/>
          </w:tcPr>
          <w:p w:rsidR="006A41E2" w:rsidRPr="0002060E" w:rsidRDefault="00C922CB" w:rsidP="00E45665">
            <w:pPr>
              <w:pStyle w:val="Institutionquisigne"/>
              <w:spacing w:before="0"/>
              <w:jc w:val="center"/>
              <w:rPr>
                <w:i w:val="0"/>
                <w:noProof/>
                <w:sz w:val="20"/>
                <w:szCs w:val="20"/>
              </w:rPr>
            </w:pPr>
            <w:r w:rsidRPr="0002060E">
              <w:rPr>
                <w:i w:val="0"/>
                <w:noProof/>
                <w:sz w:val="20"/>
                <w:szCs w:val="20"/>
              </w:rPr>
              <w:t>01/01/2023-</w:t>
            </w:r>
          </w:p>
          <w:p w:rsidR="00C922CB" w:rsidRPr="0002060E" w:rsidRDefault="00C922CB" w:rsidP="00C922CB">
            <w:pPr>
              <w:pStyle w:val="Personnequisigne"/>
              <w:rPr>
                <w:i w:val="0"/>
                <w:sz w:val="20"/>
                <w:szCs w:val="20"/>
              </w:rPr>
            </w:pPr>
            <w:r w:rsidRPr="0002060E">
              <w:rPr>
                <w:i w:val="0"/>
                <w:sz w:val="20"/>
                <w:szCs w:val="20"/>
              </w:rPr>
              <w:t>31/12/2024</w:t>
            </w:r>
          </w:p>
        </w:tc>
        <w:tc>
          <w:tcPr>
            <w:tcW w:w="993" w:type="dxa"/>
          </w:tcPr>
          <w:p w:rsidR="006A41E2" w:rsidRPr="0002060E" w:rsidRDefault="00C922CB" w:rsidP="00E45665">
            <w:pPr>
              <w:pStyle w:val="Institutionquisigne"/>
              <w:spacing w:before="0"/>
              <w:jc w:val="center"/>
              <w:rPr>
                <w:i w:val="0"/>
                <w:noProof/>
                <w:sz w:val="20"/>
                <w:szCs w:val="20"/>
              </w:rPr>
            </w:pPr>
            <w:r w:rsidRPr="0002060E">
              <w:rPr>
                <w:i w:val="0"/>
                <w:noProof/>
                <w:sz w:val="20"/>
                <w:szCs w:val="20"/>
              </w:rPr>
              <w:t>0,00</w:t>
            </w:r>
          </w:p>
        </w:tc>
        <w:tc>
          <w:tcPr>
            <w:tcW w:w="1134" w:type="dxa"/>
          </w:tcPr>
          <w:p w:rsidR="006A41E2" w:rsidRPr="0002060E" w:rsidRDefault="00C922CB" w:rsidP="00E45665">
            <w:pPr>
              <w:pStyle w:val="Institutionquisigne"/>
              <w:spacing w:before="0"/>
              <w:jc w:val="center"/>
              <w:rPr>
                <w:i w:val="0"/>
                <w:noProof/>
                <w:sz w:val="20"/>
                <w:szCs w:val="20"/>
              </w:rPr>
            </w:pPr>
            <w:r w:rsidRPr="0002060E">
              <w:rPr>
                <w:i w:val="0"/>
                <w:noProof/>
                <w:sz w:val="20"/>
                <w:szCs w:val="20"/>
              </w:rPr>
              <w:t>0,00</w:t>
            </w:r>
          </w:p>
        </w:tc>
        <w:tc>
          <w:tcPr>
            <w:tcW w:w="1505" w:type="dxa"/>
          </w:tcPr>
          <w:p w:rsidR="006A41E2" w:rsidRPr="0002060E" w:rsidRDefault="0006040C" w:rsidP="00E45665">
            <w:pPr>
              <w:pStyle w:val="Institutionquisigne"/>
              <w:spacing w:before="0"/>
              <w:jc w:val="center"/>
              <w:rPr>
                <w:i w:val="0"/>
                <w:noProof/>
                <w:sz w:val="20"/>
                <w:szCs w:val="20"/>
              </w:rPr>
            </w:pPr>
            <w:r w:rsidRPr="0002060E">
              <w:rPr>
                <w:i w:val="0"/>
                <w:noProof/>
                <w:sz w:val="20"/>
                <w:szCs w:val="20"/>
              </w:rPr>
              <w:t>/</w:t>
            </w:r>
          </w:p>
        </w:tc>
        <w:tc>
          <w:tcPr>
            <w:tcW w:w="1613" w:type="dxa"/>
          </w:tcPr>
          <w:p w:rsidR="006A41E2" w:rsidRPr="0002060E" w:rsidRDefault="0006040C" w:rsidP="00E45665">
            <w:pPr>
              <w:pStyle w:val="Institutionquisigne"/>
              <w:spacing w:before="0"/>
              <w:jc w:val="center"/>
              <w:rPr>
                <w:i w:val="0"/>
                <w:noProof/>
                <w:sz w:val="20"/>
                <w:szCs w:val="20"/>
              </w:rPr>
            </w:pPr>
            <w:r w:rsidRPr="0002060E">
              <w:rPr>
                <w:i w:val="0"/>
                <w:noProof/>
                <w:sz w:val="20"/>
                <w:szCs w:val="20"/>
              </w:rPr>
              <w:t>/</w:t>
            </w:r>
          </w:p>
        </w:tc>
      </w:tr>
    </w:tbl>
    <w:p w:rsidR="006A41E2" w:rsidRPr="003A1616" w:rsidRDefault="00C30ACF" w:rsidP="00C30ACF">
      <w:pPr>
        <w:pStyle w:val="ManualHeading2"/>
        <w:rPr>
          <w:noProof/>
        </w:rPr>
      </w:pPr>
      <w:r w:rsidRPr="003A1616">
        <w:t>1.6.</w:t>
      </w:r>
      <w:r w:rsidRPr="003A1616">
        <w:tab/>
      </w:r>
      <w:r w:rsidR="0001528B" w:rsidRPr="003A1616">
        <w:rPr>
          <w:noProof/>
        </w:rPr>
        <w:t>Skladnost s členom 13(7) Uredbe (EU) 2021/1149</w:t>
      </w:r>
    </w:p>
    <w:p w:rsidR="00E76930" w:rsidRPr="003A1616" w:rsidRDefault="00352119" w:rsidP="006A41E2">
      <w:pPr>
        <w:rPr>
          <w:noProof/>
          <w:sz w:val="22"/>
        </w:rPr>
      </w:pPr>
      <w:r w:rsidRPr="003A1616">
        <w:rPr>
          <w:noProof/>
          <w:sz w:val="22"/>
        </w:rPr>
        <w:t xml:space="preserve">Sporočite skupni kumulativni znesek nastalih in plačanih izdatkov za opremo, prevozna sredstva ali izgradnjo za varnost pomembnih zmogljivosti v skladu s členom 13(7) Uredbe (EU) 2021/1149 glede na podatke, ki se elektronsko shranjujejo v skladu s poljem 142 Priloge XVII k Uredbi (EU) 2021/1060. </w:t>
      </w:r>
    </w:p>
    <w:tbl>
      <w:tblPr>
        <w:tblStyle w:val="Tabelamrea"/>
        <w:tblW w:w="0" w:type="auto"/>
        <w:tblLook w:val="04A0" w:firstRow="1" w:lastRow="0" w:firstColumn="1" w:lastColumn="0" w:noHBand="0" w:noVBand="1"/>
      </w:tblPr>
      <w:tblGrid>
        <w:gridCol w:w="9063"/>
      </w:tblGrid>
      <w:tr w:rsidR="00352119" w:rsidRPr="003A1616" w:rsidTr="00586750">
        <w:tc>
          <w:tcPr>
            <w:tcW w:w="9289" w:type="dxa"/>
          </w:tcPr>
          <w:p w:rsidR="00A71D38" w:rsidRPr="0002060E" w:rsidRDefault="00A71D38" w:rsidP="00A71D38">
            <w:pPr>
              <w:pStyle w:val="Personnequisigne"/>
              <w:jc w:val="both"/>
              <w:rPr>
                <w:i w:val="0"/>
                <w:sz w:val="22"/>
              </w:rPr>
            </w:pPr>
            <w:r w:rsidRPr="0002060E">
              <w:rPr>
                <w:i w:val="0"/>
                <w:sz w:val="22"/>
              </w:rPr>
              <w:t>V obdobju poročanja je OU z odločitvijo o podpori potrdil začetek izvajanja 13 operacij iz programa SNV (neposredna dodelitev), vendar v obdobju poročanja, s strani upravičencev, še ni prejel zahtevkov za povračilo, kjer upravičenci poročajo finančne in vsebinske podatke o izvajanju posamezne operacije</w:t>
            </w:r>
            <w:r w:rsidR="00AA4553" w:rsidRPr="0002060E">
              <w:rPr>
                <w:i w:val="0"/>
                <w:sz w:val="22"/>
              </w:rPr>
              <w:t>,</w:t>
            </w:r>
            <w:r w:rsidRPr="0002060E">
              <w:rPr>
                <w:i w:val="0"/>
                <w:sz w:val="22"/>
              </w:rPr>
              <w:t xml:space="preserve"> na podlagi katerih bi lahko poročal o izdatkih za opremo, prevozna sredstva ali izgradnjo za varnost pomembnih zmogljivosti.</w:t>
            </w:r>
          </w:p>
          <w:p w:rsidR="00352119" w:rsidRPr="0002060E" w:rsidRDefault="00352119" w:rsidP="00352119">
            <w:pPr>
              <w:pStyle w:val="Personnequisigne"/>
              <w:rPr>
                <w:noProof/>
                <w:sz w:val="22"/>
              </w:rPr>
            </w:pPr>
          </w:p>
        </w:tc>
      </w:tr>
    </w:tbl>
    <w:p w:rsidR="006A41E2" w:rsidRPr="003A1616" w:rsidRDefault="00BB3C0E" w:rsidP="009E5C5D">
      <w:pPr>
        <w:rPr>
          <w:noProof/>
          <w:sz w:val="22"/>
        </w:rPr>
      </w:pPr>
      <w:r w:rsidRPr="003A1616">
        <w:rPr>
          <w:noProof/>
          <w:sz w:val="22"/>
        </w:rPr>
        <w:t xml:space="preserve">Potrdite, da skupni kumulativni upravičeni stroški operacij, izbranih za podporo za opremo, prevozna sredstva ali izgradnjo za varnost pomembnih zmogljivosti v skladu s členom 13(7) Uredbe (EU) 2021/1149, do konca obračunskega leta ne presegajo 35 % skupnih sredstev, dodeljenih programu, ali pojasnite razloge za to. Če obstaja tveganje, da bo prag do konca programskega obdobja presežen, opišite predvidene ukrepe za zmanjšanje tveganja ali ustrezno utemeljene razloge za preseganje praga. </w:t>
      </w:r>
    </w:p>
    <w:tbl>
      <w:tblPr>
        <w:tblStyle w:val="Tabelamrea"/>
        <w:tblW w:w="0" w:type="auto"/>
        <w:tblLook w:val="04A0" w:firstRow="1" w:lastRow="0" w:firstColumn="1" w:lastColumn="0" w:noHBand="0" w:noVBand="1"/>
      </w:tblPr>
      <w:tblGrid>
        <w:gridCol w:w="9063"/>
      </w:tblGrid>
      <w:tr w:rsidR="0002060E" w:rsidRPr="0002060E" w:rsidTr="00BA53A9">
        <w:trPr>
          <w:trHeight w:val="262"/>
        </w:trPr>
        <w:tc>
          <w:tcPr>
            <w:tcW w:w="9289" w:type="dxa"/>
          </w:tcPr>
          <w:p w:rsidR="006A41E2" w:rsidRPr="0002060E" w:rsidRDefault="00AB2D96" w:rsidP="00BE2CFE">
            <w:pPr>
              <w:pStyle w:val="Personnequisigne"/>
              <w:jc w:val="both"/>
              <w:rPr>
                <w:i w:val="0"/>
                <w:noProof/>
              </w:rPr>
            </w:pPr>
            <w:r w:rsidRPr="0002060E">
              <w:rPr>
                <w:i w:val="0"/>
                <w:noProof/>
                <w:sz w:val="22"/>
              </w:rPr>
              <w:t xml:space="preserve">V informacijske sistemu MIGRA </w:t>
            </w:r>
            <w:r w:rsidR="00AA4553" w:rsidRPr="0002060E">
              <w:rPr>
                <w:i w:val="0"/>
                <w:noProof/>
                <w:sz w:val="22"/>
              </w:rPr>
              <w:t>III</w:t>
            </w:r>
            <w:r w:rsidRPr="0002060E">
              <w:rPr>
                <w:i w:val="0"/>
                <w:noProof/>
                <w:sz w:val="22"/>
              </w:rPr>
              <w:t xml:space="preserve"> se za program SNV z oddajo vsakega zahtevka za povračilo beleži stanje opreme, prevoznih sredstev</w:t>
            </w:r>
            <w:r w:rsidR="00BE2CFE" w:rsidRPr="0002060E">
              <w:rPr>
                <w:i w:val="0"/>
                <w:noProof/>
                <w:sz w:val="22"/>
              </w:rPr>
              <w:t xml:space="preserve"> ali sredstev za izgradnjo</w:t>
            </w:r>
            <w:r w:rsidRPr="0002060E">
              <w:rPr>
                <w:i w:val="0"/>
                <w:noProof/>
                <w:sz w:val="22"/>
              </w:rPr>
              <w:t xml:space="preserve"> za varnost pomembnih zmogljivosti</w:t>
            </w:r>
            <w:r w:rsidR="00BE2CFE" w:rsidRPr="0002060E">
              <w:rPr>
                <w:i w:val="0"/>
                <w:noProof/>
                <w:sz w:val="22"/>
              </w:rPr>
              <w:t>, zato bi bila</w:t>
            </w:r>
            <w:r w:rsidRPr="0002060E">
              <w:rPr>
                <w:i w:val="0"/>
                <w:noProof/>
                <w:sz w:val="22"/>
              </w:rPr>
              <w:t xml:space="preserve"> morebitna informacija o preseganju 35 % </w:t>
            </w:r>
            <w:r w:rsidR="00BE2CFE" w:rsidRPr="0002060E">
              <w:rPr>
                <w:i w:val="0"/>
                <w:noProof/>
                <w:sz w:val="22"/>
              </w:rPr>
              <w:t xml:space="preserve">praga </w:t>
            </w:r>
            <w:r w:rsidRPr="0002060E">
              <w:rPr>
                <w:i w:val="0"/>
                <w:noProof/>
                <w:sz w:val="22"/>
              </w:rPr>
              <w:t>takoj dostopna.</w:t>
            </w:r>
          </w:p>
        </w:tc>
      </w:tr>
    </w:tbl>
    <w:p w:rsidR="006A41E2" w:rsidRPr="0002060E" w:rsidRDefault="00C30ACF" w:rsidP="00C30ACF">
      <w:pPr>
        <w:pStyle w:val="ManualHeading2"/>
        <w:rPr>
          <w:noProof/>
        </w:rPr>
      </w:pPr>
      <w:r w:rsidRPr="0002060E">
        <w:t>1.7.</w:t>
      </w:r>
      <w:r w:rsidRPr="0002060E">
        <w:tab/>
      </w:r>
      <w:r w:rsidR="006A41E2" w:rsidRPr="0002060E">
        <w:rPr>
          <w:noProof/>
        </w:rPr>
        <w:t>Samo v letu 2024: nadaljevanje projektov – člen 34(4), točka (e), Uredbe (EU) 2021/1149</w:t>
      </w:r>
    </w:p>
    <w:p w:rsidR="006A41E2" w:rsidRPr="0002060E" w:rsidRDefault="0060652B" w:rsidP="006A41E2">
      <w:pPr>
        <w:rPr>
          <w:noProof/>
          <w:sz w:val="22"/>
        </w:rPr>
      </w:pPr>
      <w:r w:rsidRPr="0002060E">
        <w:rPr>
          <w:noProof/>
          <w:sz w:val="22"/>
        </w:rPr>
        <w:t>Poročajte o vseh projektih, ki so se nadaljevali po 1. januarju 2021 ter so bili izbrani in začeti na podlagi Uredbe (EU) št. 513/2014 Evropskega parlamenta in Sveta</w:t>
      </w:r>
      <w:r w:rsidRPr="0002060E">
        <w:rPr>
          <w:rStyle w:val="Sprotnaopomba-sklic"/>
          <w:noProof/>
          <w:sz w:val="22"/>
        </w:rPr>
        <w:footnoteReference w:id="16"/>
      </w:r>
      <w:r w:rsidRPr="0002060E">
        <w:rPr>
          <w:noProof/>
          <w:sz w:val="22"/>
        </w:rPr>
        <w:t>, v skladu z Uredbo (EU) št. 514/2014 Evropskega parlamenta in Sveta</w:t>
      </w:r>
      <w:r w:rsidRPr="0002060E">
        <w:rPr>
          <w:rStyle w:val="Sprotnaopomba-sklic"/>
          <w:noProof/>
          <w:sz w:val="22"/>
        </w:rPr>
        <w:footnoteReference w:id="17"/>
      </w:r>
      <w:r w:rsidRPr="0002060E">
        <w:rPr>
          <w:noProof/>
          <w:sz w:val="22"/>
        </w:rPr>
        <w:t>.</w:t>
      </w:r>
    </w:p>
    <w:tbl>
      <w:tblPr>
        <w:tblStyle w:val="Tabelamrea"/>
        <w:tblW w:w="0" w:type="auto"/>
        <w:tblLook w:val="04A0" w:firstRow="1" w:lastRow="0" w:firstColumn="1" w:lastColumn="0" w:noHBand="0" w:noVBand="1"/>
      </w:tblPr>
      <w:tblGrid>
        <w:gridCol w:w="9063"/>
      </w:tblGrid>
      <w:tr w:rsidR="0002060E" w:rsidRPr="0002060E" w:rsidTr="00E45665">
        <w:tc>
          <w:tcPr>
            <w:tcW w:w="9289" w:type="dxa"/>
          </w:tcPr>
          <w:p w:rsidR="006A41E2" w:rsidRPr="0002060E" w:rsidRDefault="00EC39F5" w:rsidP="009E5C5D">
            <w:pPr>
              <w:pStyle w:val="Personnequisigne"/>
              <w:rPr>
                <w:noProof/>
              </w:rPr>
            </w:pPr>
            <w:r w:rsidRPr="0002060E">
              <w:rPr>
                <w:i w:val="0"/>
                <w:noProof/>
                <w:sz w:val="22"/>
              </w:rPr>
              <w:t xml:space="preserve">Slovenija v obračunskem obdobju v skladu z </w:t>
            </w:r>
            <w:r w:rsidR="006C3120" w:rsidRPr="0002060E">
              <w:rPr>
                <w:i w:val="0"/>
                <w:noProof/>
                <w:sz w:val="22"/>
              </w:rPr>
              <w:t>34(4) točko (e) Uredbe 2021/1149</w:t>
            </w:r>
            <w:r w:rsidRPr="0002060E">
              <w:rPr>
                <w:i w:val="0"/>
                <w:noProof/>
                <w:sz w:val="22"/>
              </w:rPr>
              <w:t>/EU ni nadaljevala s projekti iz preteklega programskega obdobja.</w:t>
            </w:r>
          </w:p>
        </w:tc>
      </w:tr>
    </w:tbl>
    <w:p w:rsidR="006A41E2" w:rsidRPr="003A1616" w:rsidRDefault="00C30ACF" w:rsidP="00C30ACF">
      <w:pPr>
        <w:pStyle w:val="ManualHeading1"/>
        <w:rPr>
          <w:noProof/>
        </w:rPr>
      </w:pPr>
      <w:r w:rsidRPr="0002060E">
        <w:lastRenderedPageBreak/>
        <w:t>2.</w:t>
      </w:r>
      <w:r w:rsidRPr="003A1616">
        <w:tab/>
      </w:r>
      <w:r w:rsidR="006A41E2" w:rsidRPr="003A1616">
        <w:rPr>
          <w:noProof/>
        </w:rPr>
        <w:t xml:space="preserve">Dopolnjevanje </w:t>
      </w:r>
    </w:p>
    <w:p w:rsidR="006A41E2" w:rsidRPr="003A1616" w:rsidRDefault="00C30ACF" w:rsidP="00C30ACF">
      <w:pPr>
        <w:pStyle w:val="ManualHeading2"/>
        <w:rPr>
          <w:noProof/>
        </w:rPr>
      </w:pPr>
      <w:r w:rsidRPr="003A1616">
        <w:t>2.1.</w:t>
      </w:r>
      <w:r w:rsidRPr="003A1616">
        <w:tab/>
      </w:r>
      <w:r w:rsidR="006A41E2" w:rsidRPr="003A1616">
        <w:rPr>
          <w:noProof/>
        </w:rPr>
        <w:t>Dopolnjevanje z drugimi skladi Unije – člen 30(2), točka (c), Uredbe (EU) 2021/1149</w:t>
      </w:r>
    </w:p>
    <w:p w:rsidR="004630E2" w:rsidRPr="003A1616" w:rsidRDefault="0060652B" w:rsidP="006A41E2">
      <w:pPr>
        <w:rPr>
          <w:noProof/>
          <w:sz w:val="22"/>
        </w:rPr>
      </w:pPr>
      <w:r w:rsidRPr="003A1616">
        <w:rPr>
          <w:noProof/>
          <w:sz w:val="22"/>
        </w:rPr>
        <w:t>Opišite dopolnjevanje in, če je ustrezno, sinergije med ukrepi, ki jih podpira Sklad, in podporo iz drugih skladov Unije na področju varnosti, kot so:</w:t>
      </w:r>
    </w:p>
    <w:p w:rsidR="004630E2" w:rsidRPr="003A1616" w:rsidRDefault="006A41E2" w:rsidP="00912E10">
      <w:pPr>
        <w:pStyle w:val="Tiret0"/>
        <w:numPr>
          <w:ilvl w:val="0"/>
          <w:numId w:val="9"/>
        </w:numPr>
        <w:rPr>
          <w:noProof/>
          <w:sz w:val="22"/>
        </w:rPr>
      </w:pPr>
      <w:r w:rsidRPr="003A1616">
        <w:rPr>
          <w:noProof/>
          <w:sz w:val="22"/>
        </w:rPr>
        <w:t>Sklad za azil, migracije in vključevanje ter Sklad za integrirano upravljanje meja, vključno z Instrumentom za finančno podporo za upravljanje meja in vizumsko politiko ter instrumentom za finančno podporo za opremo za carinske kontrole</w:t>
      </w:r>
      <w:r w:rsidR="00E9035B" w:rsidRPr="003A1616">
        <w:rPr>
          <w:noProof/>
          <w:sz w:val="22"/>
        </w:rPr>
        <w:t>,</w:t>
      </w:r>
    </w:p>
    <w:p w:rsidR="004630E2" w:rsidRPr="003A1616" w:rsidRDefault="006A41E2" w:rsidP="00912E10">
      <w:pPr>
        <w:pStyle w:val="Tiret0"/>
        <w:numPr>
          <w:ilvl w:val="0"/>
          <w:numId w:val="9"/>
        </w:numPr>
        <w:rPr>
          <w:noProof/>
          <w:sz w:val="22"/>
        </w:rPr>
      </w:pPr>
      <w:r w:rsidRPr="003A1616">
        <w:rPr>
          <w:noProof/>
          <w:sz w:val="22"/>
        </w:rPr>
        <w:t>kohezijski skladi, zlasti Evropski sklad za regionalni razvoj (ESRR)</w:t>
      </w:r>
      <w:r w:rsidR="00E9035B" w:rsidRPr="003A1616">
        <w:rPr>
          <w:noProof/>
          <w:sz w:val="22"/>
        </w:rPr>
        <w:t>,</w:t>
      </w:r>
    </w:p>
    <w:p w:rsidR="004630E2" w:rsidRPr="003A1616" w:rsidRDefault="006A41E2" w:rsidP="00912E10">
      <w:pPr>
        <w:pStyle w:val="Tiret0"/>
        <w:numPr>
          <w:ilvl w:val="0"/>
          <w:numId w:val="9"/>
        </w:numPr>
        <w:rPr>
          <w:noProof/>
          <w:sz w:val="22"/>
        </w:rPr>
      </w:pPr>
      <w:r w:rsidRPr="003A1616">
        <w:rPr>
          <w:noProof/>
          <w:sz w:val="22"/>
        </w:rPr>
        <w:t>del programa Obzorje Evropa, ki se nanaša na raziskave na področju varnosti</w:t>
      </w:r>
      <w:r w:rsidR="00E9035B" w:rsidRPr="003A1616">
        <w:rPr>
          <w:noProof/>
          <w:sz w:val="22"/>
        </w:rPr>
        <w:t>,</w:t>
      </w:r>
    </w:p>
    <w:p w:rsidR="004630E2" w:rsidRPr="003A1616" w:rsidRDefault="006A41E2" w:rsidP="00912E10">
      <w:pPr>
        <w:pStyle w:val="Tiret0"/>
        <w:numPr>
          <w:ilvl w:val="0"/>
          <w:numId w:val="9"/>
        </w:numPr>
        <w:rPr>
          <w:noProof/>
          <w:sz w:val="22"/>
        </w:rPr>
      </w:pPr>
      <w:r w:rsidRPr="003A1616">
        <w:rPr>
          <w:noProof/>
          <w:sz w:val="22"/>
        </w:rPr>
        <w:t>program Državljani, enakost, pravice in vrednote ter program za pravosodje</w:t>
      </w:r>
      <w:r w:rsidR="00E9035B" w:rsidRPr="003A1616">
        <w:rPr>
          <w:noProof/>
          <w:sz w:val="22"/>
        </w:rPr>
        <w:t>,</w:t>
      </w:r>
    </w:p>
    <w:p w:rsidR="004630E2" w:rsidRPr="003A1616" w:rsidRDefault="006A41E2" w:rsidP="00912E10">
      <w:pPr>
        <w:pStyle w:val="Tiret0"/>
        <w:numPr>
          <w:ilvl w:val="0"/>
          <w:numId w:val="9"/>
        </w:numPr>
        <w:rPr>
          <w:noProof/>
          <w:sz w:val="22"/>
        </w:rPr>
      </w:pPr>
      <w:r w:rsidRPr="003A1616">
        <w:rPr>
          <w:noProof/>
          <w:sz w:val="22"/>
        </w:rPr>
        <w:t>program Digitalna Evropa</w:t>
      </w:r>
      <w:r w:rsidR="00E9035B" w:rsidRPr="003A1616">
        <w:rPr>
          <w:noProof/>
          <w:sz w:val="22"/>
        </w:rPr>
        <w:t>,</w:t>
      </w:r>
    </w:p>
    <w:p w:rsidR="004630E2" w:rsidRPr="003A1616" w:rsidRDefault="006A41E2" w:rsidP="00912E10">
      <w:pPr>
        <w:pStyle w:val="Tiret0"/>
        <w:numPr>
          <w:ilvl w:val="0"/>
          <w:numId w:val="9"/>
        </w:numPr>
        <w:rPr>
          <w:noProof/>
          <w:sz w:val="22"/>
        </w:rPr>
      </w:pPr>
      <w:r w:rsidRPr="003A1616">
        <w:rPr>
          <w:noProof/>
          <w:sz w:val="22"/>
        </w:rPr>
        <w:t>program InvestEU</w:t>
      </w:r>
      <w:r w:rsidR="00E9035B" w:rsidRPr="003A1616">
        <w:rPr>
          <w:noProof/>
          <w:sz w:val="22"/>
        </w:rPr>
        <w:t>,</w:t>
      </w:r>
    </w:p>
    <w:p w:rsidR="004630E2" w:rsidRPr="003A1616" w:rsidRDefault="006A41E2" w:rsidP="00912E10">
      <w:pPr>
        <w:pStyle w:val="Tiret0"/>
        <w:numPr>
          <w:ilvl w:val="0"/>
          <w:numId w:val="9"/>
        </w:numPr>
        <w:rPr>
          <w:noProof/>
          <w:sz w:val="22"/>
        </w:rPr>
      </w:pPr>
      <w:r w:rsidRPr="003A1616">
        <w:rPr>
          <w:noProof/>
          <w:sz w:val="22"/>
        </w:rPr>
        <w:t>Instrument za tehnično podporo</w:t>
      </w:r>
      <w:r w:rsidR="00E9035B" w:rsidRPr="003A1616">
        <w:rPr>
          <w:noProof/>
          <w:sz w:val="22"/>
        </w:rPr>
        <w:t>,</w:t>
      </w:r>
    </w:p>
    <w:p w:rsidR="004630E2" w:rsidRPr="003A1616" w:rsidRDefault="006A41E2" w:rsidP="00912E10">
      <w:pPr>
        <w:pStyle w:val="Tiret0"/>
        <w:numPr>
          <w:ilvl w:val="0"/>
          <w:numId w:val="9"/>
        </w:numPr>
        <w:rPr>
          <w:noProof/>
          <w:sz w:val="22"/>
        </w:rPr>
      </w:pPr>
      <w:r w:rsidRPr="003A1616">
        <w:rPr>
          <w:noProof/>
          <w:sz w:val="22"/>
        </w:rPr>
        <w:t>rezerva rescEU</w:t>
      </w:r>
      <w:r w:rsidR="00E9035B" w:rsidRPr="003A1616">
        <w:rPr>
          <w:noProof/>
          <w:sz w:val="22"/>
        </w:rPr>
        <w:t>,</w:t>
      </w:r>
    </w:p>
    <w:p w:rsidR="004630E2" w:rsidRPr="003A1616" w:rsidRDefault="004630E2" w:rsidP="00912E10">
      <w:pPr>
        <w:pStyle w:val="Tiret0"/>
        <w:numPr>
          <w:ilvl w:val="0"/>
          <w:numId w:val="9"/>
        </w:numPr>
        <w:rPr>
          <w:noProof/>
          <w:sz w:val="22"/>
        </w:rPr>
      </w:pPr>
      <w:r w:rsidRPr="003A1616">
        <w:rPr>
          <w:noProof/>
          <w:sz w:val="22"/>
        </w:rPr>
        <w:t>Instrument za sosedstvo ter razvojno in mednarodno sodelovanje (NDICI) – Globalna Evropa in</w:t>
      </w:r>
    </w:p>
    <w:p w:rsidR="004630E2" w:rsidRPr="003A1616" w:rsidRDefault="004630E2" w:rsidP="00912E10">
      <w:pPr>
        <w:pStyle w:val="Tiret0"/>
        <w:numPr>
          <w:ilvl w:val="0"/>
          <w:numId w:val="9"/>
        </w:numPr>
        <w:rPr>
          <w:noProof/>
          <w:sz w:val="22"/>
        </w:rPr>
      </w:pPr>
      <w:r w:rsidRPr="003A1616">
        <w:rPr>
          <w:noProof/>
          <w:sz w:val="22"/>
        </w:rPr>
        <w:t xml:space="preserve">instrument za predpristopno pomoč (IPA). </w:t>
      </w:r>
    </w:p>
    <w:p w:rsidR="006A41E2" w:rsidRPr="003A1616" w:rsidRDefault="0060652B" w:rsidP="006A41E2">
      <w:pPr>
        <w:rPr>
          <w:noProof/>
          <w:sz w:val="22"/>
        </w:rPr>
      </w:pPr>
      <w:r w:rsidRPr="003A1616">
        <w:rPr>
          <w:noProof/>
          <w:sz w:val="22"/>
        </w:rPr>
        <w:t>Posebno pozornost namenite:</w:t>
      </w:r>
    </w:p>
    <w:p w:rsidR="006A41E2" w:rsidRPr="003A1616" w:rsidRDefault="007261C3" w:rsidP="00912E10">
      <w:pPr>
        <w:pStyle w:val="Tiret0"/>
        <w:numPr>
          <w:ilvl w:val="0"/>
          <w:numId w:val="12"/>
        </w:numPr>
        <w:rPr>
          <w:noProof/>
          <w:sz w:val="22"/>
        </w:rPr>
      </w:pPr>
      <w:r w:rsidRPr="003A1616">
        <w:rPr>
          <w:noProof/>
          <w:sz w:val="22"/>
        </w:rPr>
        <w:t>dopolnjevanju z instrumenti Unije za zunanje financiranje za ukrepe, ki se izvajajo v tretjih državah ali v zvezi z njimi, s poudarkom na vidikih, ki so skladni z načeli in splošnimi cilji zunanje politike Unije, ter</w:t>
      </w:r>
    </w:p>
    <w:p w:rsidR="006A41E2" w:rsidRPr="003A1616" w:rsidRDefault="006A41E2" w:rsidP="00912E10">
      <w:pPr>
        <w:pStyle w:val="Tiret0"/>
        <w:numPr>
          <w:ilvl w:val="0"/>
          <w:numId w:val="12"/>
        </w:numPr>
        <w:rPr>
          <w:noProof/>
          <w:sz w:val="22"/>
        </w:rPr>
      </w:pPr>
      <w:r w:rsidRPr="003A1616">
        <w:rPr>
          <w:noProof/>
          <w:sz w:val="22"/>
        </w:rPr>
        <w:t>uporabi omogočitvenih mehanizmov, kot so organizacijske in postopkovne ureditve, ki pomagajo doseči dopolnjevanje in, če je ustrezno, sinergije, ter morebitnim ukrepom, sprejetim za njihovo izboljšanje med obračunskim letom.</w:t>
      </w:r>
    </w:p>
    <w:p w:rsidR="00397A63" w:rsidRPr="003A1616" w:rsidRDefault="00397A63" w:rsidP="00397A63">
      <w:pPr>
        <w:rPr>
          <w:noProof/>
          <w:sz w:val="22"/>
        </w:rPr>
      </w:pPr>
      <w:r w:rsidRPr="003A1616">
        <w:rPr>
          <w:noProof/>
          <w:sz w:val="22"/>
        </w:rPr>
        <w:t>Če je ustrezno, opišite tudi:</w:t>
      </w:r>
    </w:p>
    <w:p w:rsidR="00397A63" w:rsidRPr="003A1616" w:rsidRDefault="00397A63" w:rsidP="00397A63">
      <w:pPr>
        <w:pStyle w:val="Tiret0"/>
        <w:numPr>
          <w:ilvl w:val="0"/>
          <w:numId w:val="12"/>
        </w:numPr>
        <w:rPr>
          <w:noProof/>
          <w:sz w:val="22"/>
        </w:rPr>
      </w:pPr>
      <w:r w:rsidRPr="003A1616">
        <w:rPr>
          <w:noProof/>
          <w:sz w:val="22"/>
        </w:rPr>
        <w:t>dopolnjevanje dejavnosti, ki se izvajajo z vidika krepitve medagencijskega sodelovanja</w:t>
      </w:r>
      <w:r w:rsidRPr="003A1616">
        <w:rPr>
          <w:rStyle w:val="Sprotnaopomba-sklic"/>
          <w:noProof/>
          <w:sz w:val="22"/>
        </w:rPr>
        <w:footnoteReference w:id="18"/>
      </w:r>
      <w:r w:rsidR="00E9035B" w:rsidRPr="003A1616">
        <w:rPr>
          <w:noProof/>
        </w:rPr>
        <w:t>,</w:t>
      </w:r>
    </w:p>
    <w:p w:rsidR="00397A63" w:rsidRPr="003A1616" w:rsidRDefault="00397A63" w:rsidP="00397A63">
      <w:pPr>
        <w:pStyle w:val="Tiret0"/>
        <w:numPr>
          <w:ilvl w:val="0"/>
          <w:numId w:val="12"/>
        </w:numPr>
        <w:rPr>
          <w:noProof/>
          <w:sz w:val="22"/>
        </w:rPr>
      </w:pPr>
      <w:r w:rsidRPr="003A1616">
        <w:rPr>
          <w:noProof/>
          <w:sz w:val="22"/>
        </w:rPr>
        <w:t>sinergije v zvezi z varnostjo infrastrukture in javnih prostorov, kibernetsko varnostjo, zaščito žrtev in preprečevanjem radikalizacije.</w:t>
      </w:r>
    </w:p>
    <w:tbl>
      <w:tblPr>
        <w:tblStyle w:val="Tabelamrea"/>
        <w:tblW w:w="0" w:type="auto"/>
        <w:tblLook w:val="04A0" w:firstRow="1" w:lastRow="0" w:firstColumn="1" w:lastColumn="0" w:noHBand="0" w:noVBand="1"/>
      </w:tblPr>
      <w:tblGrid>
        <w:gridCol w:w="9063"/>
      </w:tblGrid>
      <w:tr w:rsidR="006A41E2" w:rsidRPr="003A1616" w:rsidTr="00E45665">
        <w:tc>
          <w:tcPr>
            <w:tcW w:w="9289" w:type="dxa"/>
          </w:tcPr>
          <w:p w:rsidR="00A71D38" w:rsidRPr="0002060E" w:rsidRDefault="00A71D38" w:rsidP="00A71D38">
            <w:pPr>
              <w:pStyle w:val="Personnequisigne"/>
              <w:jc w:val="both"/>
              <w:rPr>
                <w:i w:val="0"/>
                <w:noProof/>
                <w:sz w:val="22"/>
              </w:rPr>
            </w:pPr>
            <w:r w:rsidRPr="0002060E">
              <w:rPr>
                <w:i w:val="0"/>
                <w:noProof/>
                <w:sz w:val="22"/>
              </w:rPr>
              <w:t xml:space="preserve">Slovenija je v obračunskem obdobju poročanja pričela z izvajanjem aktivnosti v zvezi z ukrepi programa SNV, zato še ne moremo poročati o doseženih dopolnjevanjih in sinergijah med obračunskim letom. </w:t>
            </w:r>
          </w:p>
          <w:p w:rsidR="00A71D38" w:rsidRPr="0002060E" w:rsidRDefault="00A71D38" w:rsidP="00A71D38">
            <w:pPr>
              <w:pStyle w:val="Personnequisigne"/>
              <w:jc w:val="both"/>
              <w:rPr>
                <w:i w:val="0"/>
                <w:noProof/>
                <w:sz w:val="22"/>
              </w:rPr>
            </w:pPr>
          </w:p>
          <w:p w:rsidR="00A71D38" w:rsidRPr="0002060E" w:rsidRDefault="00A71D38" w:rsidP="00A71D38">
            <w:pPr>
              <w:pStyle w:val="Personnequisigne"/>
              <w:jc w:val="both"/>
              <w:rPr>
                <w:i w:val="0"/>
                <w:noProof/>
                <w:sz w:val="22"/>
              </w:rPr>
            </w:pPr>
            <w:r w:rsidRPr="0002060E">
              <w:rPr>
                <w:i w:val="0"/>
                <w:noProof/>
                <w:sz w:val="22"/>
              </w:rPr>
              <w:t xml:space="preserve">OU je za preverjanje predvidel določene aktivnosti. V </w:t>
            </w:r>
            <w:r w:rsidRPr="0002060E">
              <w:rPr>
                <w:b/>
                <w:i w:val="0"/>
                <w:noProof/>
                <w:sz w:val="22"/>
              </w:rPr>
              <w:t>fazi izbora</w:t>
            </w:r>
            <w:r w:rsidRPr="0002060E">
              <w:rPr>
                <w:i w:val="0"/>
                <w:noProof/>
                <w:sz w:val="22"/>
              </w:rPr>
              <w:t xml:space="preserve"> operacije OU preverja morebitno komplementarnost in v povezavi s tem morebitno dvojno financiranje.</w:t>
            </w:r>
          </w:p>
          <w:p w:rsidR="00A71D38" w:rsidRPr="0002060E" w:rsidRDefault="00A71D38" w:rsidP="00A71D38">
            <w:pPr>
              <w:pStyle w:val="Personnequisigne"/>
              <w:numPr>
                <w:ilvl w:val="0"/>
                <w:numId w:val="33"/>
              </w:numPr>
              <w:jc w:val="both"/>
              <w:rPr>
                <w:i w:val="0"/>
                <w:noProof/>
                <w:sz w:val="22"/>
              </w:rPr>
            </w:pPr>
            <w:r w:rsidRPr="0002060E">
              <w:rPr>
                <w:i w:val="0"/>
                <w:noProof/>
                <w:sz w:val="22"/>
              </w:rPr>
              <w:t>V navodilih za pripravo prijave operacije je OU opozoril na pomen komplementarnosti, tako da je na obrazcu za oddajo prijave operacije pripravil posebno polje</w:t>
            </w:r>
            <w:r w:rsidR="00AA4553" w:rsidRPr="0002060E">
              <w:rPr>
                <w:i w:val="0"/>
                <w:noProof/>
                <w:sz w:val="22"/>
              </w:rPr>
              <w:t>,</w:t>
            </w:r>
            <w:r w:rsidRPr="0002060E">
              <w:rPr>
                <w:i w:val="0"/>
                <w:noProof/>
                <w:sz w:val="22"/>
              </w:rPr>
              <w:t xml:space="preserve"> v katero mora upravičenec navesti morebitno komplementarnost z drugimi viri financiranja. Na pomembnost teh informacij so bili upravičenci opozorjeni tudi na usposabljanjih. OU bo to v pomoč pri iskanju morebitnih komplementarnosti posameznih operacij. </w:t>
            </w:r>
          </w:p>
          <w:p w:rsidR="00A71D38" w:rsidRPr="0002060E" w:rsidRDefault="00A71D38" w:rsidP="00A71D38">
            <w:pPr>
              <w:pStyle w:val="Personnequisigne"/>
              <w:numPr>
                <w:ilvl w:val="0"/>
                <w:numId w:val="33"/>
              </w:numPr>
              <w:jc w:val="both"/>
              <w:rPr>
                <w:i w:val="0"/>
                <w:noProof/>
                <w:sz w:val="22"/>
              </w:rPr>
            </w:pPr>
            <w:r w:rsidRPr="0002060E">
              <w:rPr>
                <w:i w:val="0"/>
                <w:noProof/>
                <w:sz w:val="22"/>
              </w:rPr>
              <w:t xml:space="preserve">V odločitvi o podpori je navedeno, da mora upravičenec zagotoviti, da za stroške, ki so predmet financiranja iz te odločitve o podpori, ni prejel oz. ne bo prejel drugih sredstev iz </w:t>
            </w:r>
            <w:r w:rsidRPr="0002060E">
              <w:rPr>
                <w:i w:val="0"/>
                <w:noProof/>
                <w:sz w:val="22"/>
              </w:rPr>
              <w:lastRenderedPageBreak/>
              <w:t>državnega proračuna, proračuna lokalnih skupnosti, proračuna Evropske unije ali drugih javnih virov financiranja.</w:t>
            </w:r>
          </w:p>
          <w:p w:rsidR="00A71D38" w:rsidRPr="0002060E" w:rsidRDefault="00A71D38" w:rsidP="00A71D38">
            <w:pPr>
              <w:pStyle w:val="Personnequisigne"/>
              <w:jc w:val="both"/>
              <w:rPr>
                <w:i w:val="0"/>
                <w:noProof/>
                <w:sz w:val="22"/>
              </w:rPr>
            </w:pPr>
          </w:p>
          <w:p w:rsidR="00A71D38" w:rsidRPr="0002060E" w:rsidRDefault="00A71D38" w:rsidP="00A71D38">
            <w:pPr>
              <w:pStyle w:val="Personnequisigne"/>
              <w:jc w:val="both"/>
              <w:rPr>
                <w:i w:val="0"/>
                <w:noProof/>
                <w:sz w:val="22"/>
              </w:rPr>
            </w:pPr>
            <w:r w:rsidRPr="0002060E">
              <w:rPr>
                <w:i w:val="0"/>
                <w:noProof/>
                <w:sz w:val="22"/>
              </w:rPr>
              <w:t xml:space="preserve">V </w:t>
            </w:r>
            <w:r w:rsidRPr="0002060E">
              <w:rPr>
                <w:b/>
                <w:i w:val="0"/>
                <w:noProof/>
                <w:sz w:val="22"/>
              </w:rPr>
              <w:t>fazi izvajanja operacije (upravljalnih preverjanj)</w:t>
            </w:r>
            <w:r w:rsidRPr="0002060E">
              <w:rPr>
                <w:i w:val="0"/>
                <w:noProof/>
                <w:sz w:val="22"/>
              </w:rPr>
              <w:t xml:space="preserve"> bo temu namenjen večji pomen, zlasti v sklopu preverjanja dvojnega financiranja. Pri izvedbi administrativne kontrole mora OU preveriti, da ne gre za dvojno financiranje izdatkov zlasti iz drugih programov, pozivov ali razpisov EU </w:t>
            </w:r>
            <w:r w:rsidRPr="0002060E">
              <w:rPr>
                <w:i w:val="0"/>
                <w:sz w:val="22"/>
              </w:rPr>
              <w:t>na podlagi:</w:t>
            </w:r>
          </w:p>
          <w:p w:rsidR="00A71D38" w:rsidRPr="0002060E" w:rsidRDefault="00A71D38" w:rsidP="00A71D38">
            <w:pPr>
              <w:pStyle w:val="Personnequisigne"/>
              <w:numPr>
                <w:ilvl w:val="0"/>
                <w:numId w:val="33"/>
              </w:numPr>
              <w:jc w:val="both"/>
              <w:rPr>
                <w:i w:val="0"/>
                <w:noProof/>
                <w:sz w:val="22"/>
              </w:rPr>
            </w:pPr>
            <w:r w:rsidRPr="0002060E">
              <w:rPr>
                <w:i w:val="0"/>
                <w:noProof/>
                <w:sz w:val="22"/>
              </w:rPr>
              <w:t>ustrezno ločenega knjigovodstva upravičenca za spremljanje izvajanja operacije (ločeno stroškovno mesto);</w:t>
            </w:r>
          </w:p>
          <w:p w:rsidR="00A71D38" w:rsidRPr="0002060E" w:rsidRDefault="00A71D38" w:rsidP="00A71D38">
            <w:pPr>
              <w:pStyle w:val="Personnequisigne"/>
              <w:numPr>
                <w:ilvl w:val="0"/>
                <w:numId w:val="33"/>
              </w:numPr>
              <w:jc w:val="both"/>
              <w:rPr>
                <w:i w:val="0"/>
                <w:noProof/>
                <w:sz w:val="22"/>
              </w:rPr>
            </w:pPr>
            <w:r w:rsidRPr="0002060E">
              <w:rPr>
                <w:i w:val="0"/>
                <w:noProof/>
                <w:sz w:val="22"/>
              </w:rPr>
              <w:t>podatkov v nacionalnem informacijskem programu Erar, s katerimi se preveri, ali je upravičenec že prejemnik drugih javnih sredstev (v primeru, da možnost nastanka dvojnega financiranja obstaja, se pri tistih institucijah, ki financirajo podobne tipe operacij</w:t>
            </w:r>
            <w:r w:rsidR="00AA4553" w:rsidRPr="0002060E">
              <w:rPr>
                <w:i w:val="0"/>
                <w:noProof/>
                <w:sz w:val="22"/>
              </w:rPr>
              <w:t>,</w:t>
            </w:r>
            <w:r w:rsidRPr="0002060E">
              <w:rPr>
                <w:i w:val="0"/>
                <w:noProof/>
                <w:sz w:val="22"/>
              </w:rPr>
              <w:t xml:space="preserve"> le-to podrobneje navzkrižno preveri);</w:t>
            </w:r>
          </w:p>
          <w:p w:rsidR="00A71D38" w:rsidRPr="0002060E" w:rsidRDefault="00A71D38" w:rsidP="00A71D38">
            <w:pPr>
              <w:pStyle w:val="Personnequisigne"/>
              <w:numPr>
                <w:ilvl w:val="0"/>
                <w:numId w:val="33"/>
              </w:numPr>
              <w:jc w:val="both"/>
              <w:rPr>
                <w:i w:val="0"/>
                <w:noProof/>
                <w:sz w:val="22"/>
              </w:rPr>
            </w:pPr>
            <w:r w:rsidRPr="0002060E">
              <w:rPr>
                <w:i w:val="0"/>
                <w:noProof/>
                <w:sz w:val="22"/>
              </w:rPr>
              <w:t>razpoložljivih orodij za podatkovno rudarjenje</w:t>
            </w:r>
            <w:r w:rsidR="00AA4553" w:rsidRPr="0002060E">
              <w:rPr>
                <w:i w:val="0"/>
                <w:noProof/>
                <w:sz w:val="22"/>
              </w:rPr>
              <w:t>,</w:t>
            </w:r>
            <w:r w:rsidRPr="0002060E">
              <w:rPr>
                <w:i w:val="0"/>
                <w:noProof/>
                <w:sz w:val="22"/>
              </w:rPr>
              <w:t xml:space="preserve"> kot npr. GVIN, Ebonitete ipd.</w:t>
            </w:r>
          </w:p>
          <w:p w:rsidR="00EC39F5" w:rsidRPr="0002060E" w:rsidRDefault="00A71D38" w:rsidP="00A71D38">
            <w:pPr>
              <w:spacing w:line="276" w:lineRule="auto"/>
              <w:rPr>
                <w:sz w:val="22"/>
              </w:rPr>
            </w:pPr>
            <w:r w:rsidRPr="0002060E">
              <w:rPr>
                <w:noProof/>
                <w:sz w:val="22"/>
              </w:rPr>
              <w:t xml:space="preserve">OU bo vzpostavil sistem izmenjave podatkov na temo kompemenatrnosti tudi z drugimi organi upravljanja ter sistem poročanja o komplementarnosti na ravni poročanja upravičencev. </w:t>
            </w:r>
          </w:p>
        </w:tc>
      </w:tr>
    </w:tbl>
    <w:p w:rsidR="008671BE" w:rsidRPr="003A1616" w:rsidRDefault="00C30ACF" w:rsidP="00C30ACF">
      <w:pPr>
        <w:pStyle w:val="ManualHeading2"/>
        <w:rPr>
          <w:noProof/>
        </w:rPr>
      </w:pPr>
      <w:r w:rsidRPr="003A1616">
        <w:lastRenderedPageBreak/>
        <w:t>2.2.</w:t>
      </w:r>
      <w:r w:rsidRPr="003A1616">
        <w:tab/>
      </w:r>
      <w:r w:rsidR="008671BE" w:rsidRPr="003A1616">
        <w:rPr>
          <w:noProof/>
        </w:rPr>
        <w:t xml:space="preserve">Večnamenska oprema in sistemi IKT – člen 5(4) Uredbe (EU) 2021/1149 </w:t>
      </w:r>
    </w:p>
    <w:p w:rsidR="008671BE" w:rsidRPr="003A1616" w:rsidRDefault="00621FCD" w:rsidP="008671BE">
      <w:pPr>
        <w:rPr>
          <w:noProof/>
          <w:sz w:val="22"/>
        </w:rPr>
      </w:pPr>
      <w:r w:rsidRPr="003A1616">
        <w:rPr>
          <w:noProof/>
          <w:sz w:val="22"/>
        </w:rPr>
        <w:t xml:space="preserve">Na kratko opišite ustrezne operacije, ki vključujejo opremo in sisteme IKT, nabavljene v okviru programa in delno uporabljene na dopolnilnem področju iz Uredbe (EU) 2021/1148 ter za doseganje ciljev Instrumenta za finančno podporo za upravljanje meja in vizumsko politiko. Navedite kraje, kjer so bili večnamenska oprema in sistemi IKT uporabljeni. </w:t>
      </w:r>
    </w:p>
    <w:p w:rsidR="008671BE" w:rsidRPr="003A1616" w:rsidRDefault="00DF1E54" w:rsidP="008671BE">
      <w:pPr>
        <w:rPr>
          <w:noProof/>
          <w:sz w:val="22"/>
        </w:rPr>
      </w:pPr>
      <w:r w:rsidRPr="003A1616">
        <w:rPr>
          <w:noProof/>
          <w:sz w:val="22"/>
        </w:rPr>
        <w:t xml:space="preserve">Za opremo navedite tudi informacije o obdobju njene uporabe na dopolnilnih področjih Instrumenta za finančno podporo za upravljanje meja in vizumsko politiko. </w:t>
      </w:r>
    </w:p>
    <w:tbl>
      <w:tblPr>
        <w:tblStyle w:val="Tabelamrea"/>
        <w:tblW w:w="0" w:type="auto"/>
        <w:tblLook w:val="04A0" w:firstRow="1" w:lastRow="0" w:firstColumn="1" w:lastColumn="0" w:noHBand="0" w:noVBand="1"/>
      </w:tblPr>
      <w:tblGrid>
        <w:gridCol w:w="9063"/>
      </w:tblGrid>
      <w:tr w:rsidR="008671BE" w:rsidRPr="003A1616" w:rsidTr="0059250C">
        <w:tc>
          <w:tcPr>
            <w:tcW w:w="9289" w:type="dxa"/>
          </w:tcPr>
          <w:p w:rsidR="008671BE" w:rsidRPr="003A1616" w:rsidRDefault="003252F1" w:rsidP="00336B99">
            <w:pPr>
              <w:pStyle w:val="Personnequisigne"/>
              <w:jc w:val="both"/>
              <w:rPr>
                <w:i w:val="0"/>
                <w:noProof/>
                <w:sz w:val="22"/>
              </w:rPr>
            </w:pPr>
            <w:r w:rsidRPr="003A1616">
              <w:rPr>
                <w:i w:val="0"/>
                <w:noProof/>
                <w:sz w:val="22"/>
              </w:rPr>
              <w:t xml:space="preserve">Slovenija </w:t>
            </w:r>
            <w:r w:rsidR="00336B99" w:rsidRPr="003A1616">
              <w:rPr>
                <w:i w:val="0"/>
                <w:noProof/>
                <w:sz w:val="22"/>
              </w:rPr>
              <w:t xml:space="preserve">je </w:t>
            </w:r>
            <w:r w:rsidRPr="003A1616">
              <w:rPr>
                <w:i w:val="0"/>
                <w:noProof/>
                <w:sz w:val="22"/>
              </w:rPr>
              <w:t>v obračunskem obdobju poročanja še</w:t>
            </w:r>
            <w:r w:rsidR="00336B99" w:rsidRPr="003A1616">
              <w:rPr>
                <w:i w:val="0"/>
                <w:noProof/>
                <w:sz w:val="22"/>
              </w:rPr>
              <w:t>le</w:t>
            </w:r>
            <w:r w:rsidRPr="003A1616">
              <w:rPr>
                <w:i w:val="0"/>
                <w:noProof/>
                <w:sz w:val="22"/>
              </w:rPr>
              <w:t xml:space="preserve"> pričela z izvajanjem aktivnosti v zvezi z ukrepi programa SNV, zato ne moremo poročati o večnamenski opremi in sistemih IKT, ki bi bili nabavljeni s podporo programa SNV med obračunskim letom in uporabljeni za doseganje ciljev Instrumenta za finančno podporo za upravljanje meja in vizumsko politiko.</w:t>
            </w:r>
          </w:p>
        </w:tc>
      </w:tr>
    </w:tbl>
    <w:p w:rsidR="006A41E2" w:rsidRPr="003A1616" w:rsidRDefault="00BC294D" w:rsidP="00BC294D">
      <w:pPr>
        <w:rPr>
          <w:noProof/>
          <w:sz w:val="22"/>
        </w:rPr>
      </w:pPr>
      <w:r w:rsidRPr="003A1616">
        <w:rPr>
          <w:noProof/>
          <w:sz w:val="22"/>
        </w:rPr>
        <w:t>Za informacijski sistem Unije, ki se financira na podlagi Uredbe (EU) 2021/1149 in služi tudi ciljem Uredbe (EU) 2021/1148 (večnamenski) ali dejavnostim, ki se zahtevajo v pravnem okviru EU za interoperabilnost</w:t>
      </w:r>
      <w:r w:rsidRPr="003A1616">
        <w:rPr>
          <w:rStyle w:val="Sprotnaopomba-sklic"/>
          <w:noProof/>
          <w:sz w:val="22"/>
        </w:rPr>
        <w:footnoteReference w:id="19"/>
      </w:r>
      <w:r w:rsidRPr="003A1616">
        <w:rPr>
          <w:noProof/>
          <w:sz w:val="22"/>
        </w:rPr>
        <w:t xml:space="preserve">, izpolnite spodnjo preglednico. </w:t>
      </w:r>
    </w:p>
    <w:tbl>
      <w:tblPr>
        <w:tblStyle w:val="Tabelamrea"/>
        <w:tblW w:w="9289" w:type="dxa"/>
        <w:tblLayout w:type="fixed"/>
        <w:tblCellMar>
          <w:left w:w="28" w:type="dxa"/>
          <w:right w:w="28" w:type="dxa"/>
        </w:tblCellMar>
        <w:tblLook w:val="04A0" w:firstRow="1" w:lastRow="0" w:firstColumn="1" w:lastColumn="0" w:noHBand="0" w:noVBand="1"/>
      </w:tblPr>
      <w:tblGrid>
        <w:gridCol w:w="879"/>
        <w:gridCol w:w="1072"/>
        <w:gridCol w:w="1338"/>
        <w:gridCol w:w="1275"/>
        <w:gridCol w:w="1134"/>
        <w:gridCol w:w="1214"/>
        <w:gridCol w:w="1134"/>
        <w:gridCol w:w="1243"/>
      </w:tblGrid>
      <w:tr w:rsidR="006A41E2" w:rsidRPr="003A1616" w:rsidTr="00AC4263">
        <w:trPr>
          <w:trHeight w:val="688"/>
        </w:trPr>
        <w:tc>
          <w:tcPr>
            <w:tcW w:w="879" w:type="dxa"/>
            <w:vAlign w:val="center"/>
          </w:tcPr>
          <w:p w:rsidR="006A41E2" w:rsidRPr="003A1616" w:rsidRDefault="006A41E2" w:rsidP="00E45665">
            <w:pPr>
              <w:pStyle w:val="Institutionquisigne"/>
              <w:spacing w:before="0"/>
              <w:jc w:val="center"/>
              <w:rPr>
                <w:i w:val="0"/>
                <w:noProof/>
                <w:sz w:val="20"/>
              </w:rPr>
            </w:pPr>
            <w:r w:rsidRPr="003A1616">
              <w:rPr>
                <w:i w:val="0"/>
                <w:noProof/>
                <w:sz w:val="20"/>
              </w:rPr>
              <w:t>Specifični cilj</w:t>
            </w:r>
          </w:p>
        </w:tc>
        <w:tc>
          <w:tcPr>
            <w:tcW w:w="1072" w:type="dxa"/>
            <w:vAlign w:val="center"/>
          </w:tcPr>
          <w:p w:rsidR="006A41E2" w:rsidRPr="003A1616" w:rsidRDefault="006A41E2" w:rsidP="00E45665">
            <w:pPr>
              <w:pStyle w:val="Institutionquisigne"/>
              <w:spacing w:before="0"/>
              <w:jc w:val="center"/>
              <w:rPr>
                <w:i w:val="0"/>
                <w:noProof/>
                <w:sz w:val="20"/>
              </w:rPr>
            </w:pPr>
            <w:r w:rsidRPr="003A1616">
              <w:rPr>
                <w:i w:val="0"/>
                <w:noProof/>
                <w:sz w:val="20"/>
              </w:rPr>
              <w:t>Ime operacije</w:t>
            </w:r>
          </w:p>
        </w:tc>
        <w:tc>
          <w:tcPr>
            <w:tcW w:w="1338" w:type="dxa"/>
            <w:vAlign w:val="center"/>
          </w:tcPr>
          <w:p w:rsidR="006A41E2" w:rsidRPr="003A1616" w:rsidRDefault="006A41E2" w:rsidP="00E45665">
            <w:pPr>
              <w:pStyle w:val="Institutionquisigne"/>
              <w:spacing w:before="0"/>
              <w:jc w:val="center"/>
              <w:rPr>
                <w:i w:val="0"/>
                <w:noProof/>
                <w:sz w:val="20"/>
              </w:rPr>
            </w:pPr>
            <w:r w:rsidRPr="003A1616">
              <w:rPr>
                <w:i w:val="0"/>
                <w:noProof/>
                <w:sz w:val="20"/>
              </w:rPr>
              <w:t>Upravičenec operacije</w:t>
            </w:r>
          </w:p>
        </w:tc>
        <w:tc>
          <w:tcPr>
            <w:tcW w:w="1275" w:type="dxa"/>
            <w:vAlign w:val="center"/>
          </w:tcPr>
          <w:p w:rsidR="006A41E2" w:rsidRPr="003A1616" w:rsidRDefault="006A41E2" w:rsidP="006A41E2">
            <w:pPr>
              <w:pStyle w:val="Institutionquisigne"/>
              <w:spacing w:before="0"/>
              <w:jc w:val="center"/>
              <w:rPr>
                <w:i w:val="0"/>
                <w:noProof/>
                <w:sz w:val="20"/>
              </w:rPr>
            </w:pPr>
            <w:r w:rsidRPr="003A1616">
              <w:rPr>
                <w:i w:val="0"/>
                <w:noProof/>
                <w:sz w:val="20"/>
              </w:rPr>
              <w:t>Cilj operacije</w:t>
            </w:r>
          </w:p>
        </w:tc>
        <w:tc>
          <w:tcPr>
            <w:tcW w:w="1134" w:type="dxa"/>
            <w:vAlign w:val="center"/>
          </w:tcPr>
          <w:p w:rsidR="006A41E2" w:rsidRPr="003A1616" w:rsidRDefault="006A41E2" w:rsidP="00E45665">
            <w:pPr>
              <w:pStyle w:val="Institutionquisigne"/>
              <w:spacing w:before="0"/>
              <w:jc w:val="center"/>
              <w:rPr>
                <w:i w:val="0"/>
                <w:noProof/>
                <w:sz w:val="20"/>
              </w:rPr>
            </w:pPr>
            <w:r w:rsidRPr="003A1616">
              <w:rPr>
                <w:i w:val="0"/>
                <w:noProof/>
                <w:sz w:val="20"/>
              </w:rPr>
              <w:t>Obdobje izvajanja</w:t>
            </w:r>
          </w:p>
        </w:tc>
        <w:tc>
          <w:tcPr>
            <w:tcW w:w="1214" w:type="dxa"/>
            <w:vAlign w:val="center"/>
          </w:tcPr>
          <w:p w:rsidR="006A41E2" w:rsidRPr="003A1616" w:rsidRDefault="006A41E2" w:rsidP="00E45665">
            <w:pPr>
              <w:pStyle w:val="Institutionquisigne"/>
              <w:spacing w:before="0"/>
              <w:jc w:val="center"/>
              <w:rPr>
                <w:i w:val="0"/>
                <w:noProof/>
                <w:sz w:val="20"/>
              </w:rPr>
            </w:pPr>
            <w:r w:rsidRPr="003A1616">
              <w:rPr>
                <w:i w:val="0"/>
                <w:noProof/>
                <w:sz w:val="20"/>
              </w:rPr>
              <w:t>Stopnja sofinanciranja</w:t>
            </w:r>
          </w:p>
        </w:tc>
        <w:tc>
          <w:tcPr>
            <w:tcW w:w="1134" w:type="dxa"/>
            <w:vAlign w:val="center"/>
          </w:tcPr>
          <w:p w:rsidR="006A41E2" w:rsidRPr="003A1616" w:rsidRDefault="006A41E2" w:rsidP="00E45665">
            <w:pPr>
              <w:pStyle w:val="Institutionquisigne"/>
              <w:spacing w:before="0"/>
              <w:jc w:val="center"/>
              <w:rPr>
                <w:i w:val="0"/>
                <w:noProof/>
                <w:sz w:val="20"/>
              </w:rPr>
            </w:pPr>
            <w:r w:rsidRPr="003A1616">
              <w:rPr>
                <w:i w:val="0"/>
                <w:noProof/>
                <w:sz w:val="20"/>
              </w:rPr>
              <w:t>Upravičeni stroški</w:t>
            </w:r>
            <w:r w:rsidRPr="003A1616">
              <w:rPr>
                <w:rStyle w:val="Sprotnaopomba-sklic"/>
                <w:i w:val="0"/>
                <w:noProof/>
                <w:sz w:val="20"/>
              </w:rPr>
              <w:footnoteReference w:id="20"/>
            </w:r>
          </w:p>
        </w:tc>
        <w:tc>
          <w:tcPr>
            <w:tcW w:w="1243" w:type="dxa"/>
            <w:vAlign w:val="center"/>
          </w:tcPr>
          <w:p w:rsidR="006A41E2" w:rsidRPr="003A1616" w:rsidRDefault="006A41E2" w:rsidP="00E45665">
            <w:pPr>
              <w:pStyle w:val="Institutionquisigne"/>
              <w:spacing w:before="0"/>
              <w:jc w:val="center"/>
              <w:rPr>
                <w:i w:val="0"/>
                <w:noProof/>
                <w:sz w:val="20"/>
              </w:rPr>
            </w:pPr>
            <w:r w:rsidRPr="003A1616">
              <w:rPr>
                <w:i w:val="0"/>
                <w:noProof/>
                <w:sz w:val="20"/>
              </w:rPr>
              <w:t>Upravičeni izdatki</w:t>
            </w:r>
            <w:r w:rsidRPr="003A1616">
              <w:rPr>
                <w:rStyle w:val="Sprotnaopomba-sklic"/>
                <w:i w:val="0"/>
                <w:noProof/>
                <w:sz w:val="20"/>
                <w:szCs w:val="20"/>
              </w:rPr>
              <w:footnoteReference w:id="21"/>
            </w:r>
          </w:p>
        </w:tc>
      </w:tr>
      <w:tr w:rsidR="006A41E2" w:rsidRPr="003A1616" w:rsidTr="00AC4263">
        <w:trPr>
          <w:trHeight w:val="255"/>
        </w:trPr>
        <w:tc>
          <w:tcPr>
            <w:tcW w:w="879" w:type="dxa"/>
            <w:vAlign w:val="center"/>
          </w:tcPr>
          <w:p w:rsidR="006A41E2" w:rsidRPr="003A1616" w:rsidRDefault="00184CCF" w:rsidP="004217A7">
            <w:pPr>
              <w:pStyle w:val="Institutionquisigne"/>
              <w:spacing w:before="0"/>
              <w:jc w:val="center"/>
              <w:rPr>
                <w:i w:val="0"/>
                <w:noProof/>
                <w:sz w:val="22"/>
              </w:rPr>
            </w:pPr>
            <w:r w:rsidRPr="003A1616">
              <w:rPr>
                <w:i w:val="0"/>
                <w:noProof/>
                <w:sz w:val="22"/>
              </w:rPr>
              <w:t>/</w:t>
            </w:r>
          </w:p>
        </w:tc>
        <w:tc>
          <w:tcPr>
            <w:tcW w:w="1072" w:type="dxa"/>
            <w:vAlign w:val="center"/>
          </w:tcPr>
          <w:p w:rsidR="006A41E2" w:rsidRPr="003A1616" w:rsidRDefault="00184CCF" w:rsidP="00E45665">
            <w:pPr>
              <w:pStyle w:val="Institutionquisigne"/>
              <w:spacing w:before="0"/>
              <w:jc w:val="center"/>
              <w:rPr>
                <w:noProof/>
              </w:rPr>
            </w:pPr>
            <w:r w:rsidRPr="003A1616">
              <w:rPr>
                <w:noProof/>
              </w:rPr>
              <w:t>/</w:t>
            </w:r>
          </w:p>
        </w:tc>
        <w:tc>
          <w:tcPr>
            <w:tcW w:w="1338" w:type="dxa"/>
          </w:tcPr>
          <w:p w:rsidR="006A41E2" w:rsidRPr="003A1616" w:rsidRDefault="00184CCF" w:rsidP="00E45665">
            <w:pPr>
              <w:pStyle w:val="Institutionquisigne"/>
              <w:spacing w:before="0"/>
              <w:jc w:val="center"/>
              <w:rPr>
                <w:noProof/>
              </w:rPr>
            </w:pPr>
            <w:r w:rsidRPr="003A1616">
              <w:rPr>
                <w:noProof/>
              </w:rPr>
              <w:t>/</w:t>
            </w:r>
          </w:p>
        </w:tc>
        <w:tc>
          <w:tcPr>
            <w:tcW w:w="1275" w:type="dxa"/>
            <w:vAlign w:val="center"/>
          </w:tcPr>
          <w:p w:rsidR="006A41E2" w:rsidRPr="003A1616" w:rsidRDefault="00184CCF" w:rsidP="00E45665">
            <w:pPr>
              <w:pStyle w:val="Institutionquisigne"/>
              <w:spacing w:before="0"/>
              <w:jc w:val="center"/>
              <w:rPr>
                <w:noProof/>
              </w:rPr>
            </w:pPr>
            <w:r w:rsidRPr="003A1616">
              <w:rPr>
                <w:noProof/>
              </w:rPr>
              <w:t>/</w:t>
            </w:r>
          </w:p>
        </w:tc>
        <w:tc>
          <w:tcPr>
            <w:tcW w:w="1134" w:type="dxa"/>
            <w:vAlign w:val="center"/>
          </w:tcPr>
          <w:p w:rsidR="006A41E2" w:rsidRPr="003A1616" w:rsidRDefault="00184CCF" w:rsidP="00E45665">
            <w:pPr>
              <w:pStyle w:val="Institutionquisigne"/>
              <w:spacing w:before="0"/>
              <w:jc w:val="center"/>
              <w:rPr>
                <w:noProof/>
              </w:rPr>
            </w:pPr>
            <w:r w:rsidRPr="003A1616">
              <w:rPr>
                <w:noProof/>
              </w:rPr>
              <w:t>/</w:t>
            </w:r>
          </w:p>
        </w:tc>
        <w:tc>
          <w:tcPr>
            <w:tcW w:w="1214" w:type="dxa"/>
          </w:tcPr>
          <w:p w:rsidR="006A41E2" w:rsidRPr="003A1616" w:rsidRDefault="00184CCF" w:rsidP="00E45665">
            <w:pPr>
              <w:pStyle w:val="Institutionquisigne"/>
              <w:spacing w:before="0"/>
              <w:jc w:val="center"/>
              <w:rPr>
                <w:noProof/>
              </w:rPr>
            </w:pPr>
            <w:r w:rsidRPr="003A1616">
              <w:rPr>
                <w:noProof/>
              </w:rPr>
              <w:t>/</w:t>
            </w:r>
          </w:p>
        </w:tc>
        <w:tc>
          <w:tcPr>
            <w:tcW w:w="1134" w:type="dxa"/>
          </w:tcPr>
          <w:p w:rsidR="006A41E2" w:rsidRPr="003A1616" w:rsidRDefault="00184CCF" w:rsidP="00E45665">
            <w:pPr>
              <w:pStyle w:val="Institutionquisigne"/>
              <w:spacing w:before="0"/>
              <w:jc w:val="center"/>
              <w:rPr>
                <w:noProof/>
              </w:rPr>
            </w:pPr>
            <w:r w:rsidRPr="003A1616">
              <w:rPr>
                <w:noProof/>
              </w:rPr>
              <w:t>/</w:t>
            </w:r>
          </w:p>
        </w:tc>
        <w:tc>
          <w:tcPr>
            <w:tcW w:w="1243" w:type="dxa"/>
          </w:tcPr>
          <w:p w:rsidR="006A41E2" w:rsidRPr="003A1616" w:rsidRDefault="00184CCF" w:rsidP="00E45665">
            <w:pPr>
              <w:pStyle w:val="Institutionquisigne"/>
              <w:spacing w:before="0"/>
              <w:jc w:val="center"/>
              <w:rPr>
                <w:noProof/>
              </w:rPr>
            </w:pPr>
            <w:r w:rsidRPr="003A1616">
              <w:rPr>
                <w:noProof/>
              </w:rPr>
              <w:t>/</w:t>
            </w:r>
          </w:p>
        </w:tc>
      </w:tr>
    </w:tbl>
    <w:p w:rsidR="006A41E2" w:rsidRPr="003A1616" w:rsidRDefault="00C30ACF" w:rsidP="00C30ACF">
      <w:pPr>
        <w:pStyle w:val="ManualHeading1"/>
        <w:rPr>
          <w:noProof/>
        </w:rPr>
      </w:pPr>
      <w:r w:rsidRPr="003A1616">
        <w:t>3.</w:t>
      </w:r>
      <w:r w:rsidRPr="003A1616">
        <w:tab/>
      </w:r>
      <w:r w:rsidR="006A41E2" w:rsidRPr="003A1616">
        <w:rPr>
          <w:noProof/>
        </w:rPr>
        <w:t>Izvajanje pravnega reda Unije – člen 30(2), točka (d), Uredbe (EU) 2021/1149</w:t>
      </w:r>
    </w:p>
    <w:p w:rsidR="006A41E2" w:rsidRPr="003A1616" w:rsidRDefault="0060652B" w:rsidP="006A41E2">
      <w:pPr>
        <w:rPr>
          <w:noProof/>
          <w:sz w:val="22"/>
        </w:rPr>
      </w:pPr>
      <w:r w:rsidRPr="003A1616">
        <w:rPr>
          <w:noProof/>
          <w:sz w:val="22"/>
        </w:rPr>
        <w:t>Opišite, kako je program med obračunskim letom prispeval k izvajanju ustreznega pravnega reda Unije (prava Unije) o varnosti in izmenjavi ustreznih informacij ter k vsem ustreznim akcijskim načrtom.</w:t>
      </w:r>
    </w:p>
    <w:tbl>
      <w:tblPr>
        <w:tblStyle w:val="Tabelamrea"/>
        <w:tblW w:w="0" w:type="auto"/>
        <w:tblLook w:val="04A0" w:firstRow="1" w:lastRow="0" w:firstColumn="1" w:lastColumn="0" w:noHBand="0" w:noVBand="1"/>
      </w:tblPr>
      <w:tblGrid>
        <w:gridCol w:w="9063"/>
      </w:tblGrid>
      <w:tr w:rsidR="00826097" w:rsidRPr="003A1616" w:rsidTr="00E45665">
        <w:tc>
          <w:tcPr>
            <w:tcW w:w="9289" w:type="dxa"/>
          </w:tcPr>
          <w:p w:rsidR="00114770" w:rsidRPr="0002060E" w:rsidRDefault="00114770" w:rsidP="00114770">
            <w:pPr>
              <w:rPr>
                <w:noProof/>
                <w:sz w:val="22"/>
              </w:rPr>
            </w:pPr>
            <w:r w:rsidRPr="0002060E">
              <w:rPr>
                <w:noProof/>
                <w:sz w:val="22"/>
              </w:rPr>
              <w:lastRenderedPageBreak/>
              <w:t>Vse operacije v izvajanju dosledno sledijo določilom Pogodbe o delovanju EU, Listine EU o temeljnih pravicah, Konvencije o statusu beguncev s Protokolom iz leta 1967 in Konvencije o varstvu posameznikov glede na avtomatsko obdelavo osebnih podatkov.</w:t>
            </w:r>
          </w:p>
          <w:p w:rsidR="00114770" w:rsidRPr="0002060E" w:rsidRDefault="00114770" w:rsidP="00114770">
            <w:pPr>
              <w:rPr>
                <w:noProof/>
                <w:sz w:val="22"/>
              </w:rPr>
            </w:pPr>
            <w:r w:rsidRPr="0002060E">
              <w:rPr>
                <w:noProof/>
                <w:sz w:val="22"/>
              </w:rPr>
              <w:t xml:space="preserve">V okviru </w:t>
            </w:r>
            <w:r w:rsidRPr="0002060E">
              <w:rPr>
                <w:b/>
                <w:noProof/>
                <w:sz w:val="22"/>
              </w:rPr>
              <w:t>Specifičnega cilja 1</w:t>
            </w:r>
            <w:r w:rsidRPr="0002060E">
              <w:rPr>
                <w:noProof/>
                <w:sz w:val="22"/>
              </w:rPr>
              <w:t xml:space="preserve"> smo odobrili sredstva naslednjim operacijam: Vzdrževanje in nadaljnji razvoj SI sistema PNR; Povečanje nacionalnih zmogljivosti za zbiranje, analizo in izmenjavo podatkov DNK; Krepitev zmogljivosti za identifikacijo tarčnih analitov; Okrepitev mednarodnega sodelovanja proti spolnemu izkoriščanju mladoletnih oseb.</w:t>
            </w:r>
          </w:p>
          <w:p w:rsidR="00114770" w:rsidRPr="0002060E" w:rsidRDefault="00114770" w:rsidP="00114770">
            <w:pPr>
              <w:rPr>
                <w:noProof/>
                <w:sz w:val="22"/>
              </w:rPr>
            </w:pPr>
          </w:p>
          <w:p w:rsidR="00114770" w:rsidRPr="0002060E" w:rsidRDefault="00114770" w:rsidP="00114770">
            <w:pPr>
              <w:rPr>
                <w:noProof/>
                <w:sz w:val="22"/>
              </w:rPr>
            </w:pPr>
            <w:r w:rsidRPr="0002060E">
              <w:rPr>
                <w:noProof/>
                <w:sz w:val="22"/>
              </w:rPr>
              <w:t xml:space="preserve">Operacije implementirajo določbe nacionalnega prava: Zakona o nalogah in pooblastilih policije (Uradni list RS, št. 15/13), Kazenskega zakonika (Uradni list RS, št. 50/12 in nadaljnje spremembe), Zakona o kazenskem postopku (Uradni list RS št. 176/21 in nadaljnje spremembe) in podrejenih aktov; ter določbe pravnega reda EU: Prümska pogodba, Uredbe 182/2011/EU, Uredba 2016/679/EU, Uredba 2016/399/EU, Direktive 2016/681/EU, Direktive 2004/82/ES, Direktive 2011/93/EU, Okvirni sklep Sveta 2006/960/PNZ, Akcijski načrt in Strategija EU na področju drog za obdobje 2021–2025, Strategija EU za boj proti organiziranemu kriminalu za obdobje 2021–2025, Strategija EU za učinkovitejši boj proti spolni zlorabi otrok in Strategija EU za varnostno unijo.           </w:t>
            </w:r>
          </w:p>
          <w:p w:rsidR="00114770" w:rsidRPr="0002060E" w:rsidRDefault="00114770" w:rsidP="00114770">
            <w:pPr>
              <w:rPr>
                <w:noProof/>
                <w:sz w:val="22"/>
              </w:rPr>
            </w:pPr>
          </w:p>
          <w:p w:rsidR="00114770" w:rsidRPr="0002060E" w:rsidRDefault="00114770" w:rsidP="00114770">
            <w:pPr>
              <w:rPr>
                <w:noProof/>
                <w:sz w:val="22"/>
              </w:rPr>
            </w:pPr>
            <w:r w:rsidRPr="0002060E">
              <w:rPr>
                <w:noProof/>
                <w:sz w:val="22"/>
              </w:rPr>
              <w:t xml:space="preserve">V okviru </w:t>
            </w:r>
            <w:r w:rsidRPr="0002060E">
              <w:rPr>
                <w:b/>
                <w:noProof/>
                <w:sz w:val="22"/>
              </w:rPr>
              <w:t>Specifičnega cilja 2</w:t>
            </w:r>
            <w:r w:rsidRPr="0002060E">
              <w:rPr>
                <w:noProof/>
                <w:sz w:val="22"/>
              </w:rPr>
              <w:t xml:space="preserve"> smo odobrili sredstva naslednjim operacijam: Učinkovito izvajanje prikritih preiskovalnih ukrepov, Sodelovanje v različnih evropskih mrežah in Okrepitev kapacitet in izboljšanje usposobljenosti specializiranih služb.</w:t>
            </w:r>
          </w:p>
          <w:p w:rsidR="00114770" w:rsidRPr="0002060E" w:rsidRDefault="00114770" w:rsidP="00114770">
            <w:pPr>
              <w:rPr>
                <w:noProof/>
                <w:sz w:val="22"/>
              </w:rPr>
            </w:pPr>
            <w:r w:rsidRPr="0002060E">
              <w:rPr>
                <w:noProof/>
                <w:sz w:val="22"/>
              </w:rPr>
              <w:t xml:space="preserve">Operacije implementirajo določbe nacionalnega prava: Zakona o nalogah in pooblastilih policije (Uradni list RS, št. 15/13), Kazenskega zakonika (Uradni list RS, št. 50/12 in nadaljnje spremembe), Zakona o kazenskem postopku (Uradni list RS št. 176/21 in nadaljnje spremembe) in podrejenih aktov; ter določbe pravnega reda EU: Sklepi Sveta o okrepitvi finančnih preiskav za boj proti hudim kaznivim dejanjem in organiziranemu kriminalu 8927/20, Okvirni sklep Sveta 2008/978/PNZ, Strategija EU za boj proti organiziranemu kriminalu za obdobje 2021–2025 in Strategija EU za varnostno unijo.           </w:t>
            </w:r>
          </w:p>
          <w:p w:rsidR="00114770" w:rsidRPr="0002060E" w:rsidRDefault="00114770" w:rsidP="00114770">
            <w:pPr>
              <w:rPr>
                <w:noProof/>
                <w:sz w:val="22"/>
              </w:rPr>
            </w:pPr>
          </w:p>
          <w:p w:rsidR="00114770" w:rsidRPr="0002060E" w:rsidRDefault="00114770" w:rsidP="00114770">
            <w:pPr>
              <w:rPr>
                <w:noProof/>
                <w:sz w:val="22"/>
              </w:rPr>
            </w:pPr>
            <w:r w:rsidRPr="0002060E">
              <w:rPr>
                <w:noProof/>
                <w:sz w:val="22"/>
              </w:rPr>
              <w:t xml:space="preserve">V okviru </w:t>
            </w:r>
            <w:r w:rsidRPr="0002060E">
              <w:rPr>
                <w:b/>
                <w:noProof/>
                <w:sz w:val="22"/>
              </w:rPr>
              <w:t>Specifičnega cilja 3</w:t>
            </w:r>
            <w:r w:rsidRPr="0002060E">
              <w:rPr>
                <w:noProof/>
                <w:sz w:val="22"/>
              </w:rPr>
              <w:t xml:space="preserve"> smo odobrili sredstva naslednjim operacijam: Izboljšanje kapacitet za preiskovanje gospodarske kriminalitete, Vzpostavitev nacionalnih kapacitet na področju okoljske kriminalitete, Učinkovita zaščita prič in žvižgačev, Usposabljanja za krepitev boja proti hudim in organiziranim oblikam kriminala in terorizma, Okrepitev ter nadgradnja sistemov za strateško odločanje in Izboljšanje kapacitet na področju kibernetske kriminalitete in digitalne forenzike.</w:t>
            </w:r>
          </w:p>
          <w:p w:rsidR="006A41E2" w:rsidRPr="0002060E" w:rsidRDefault="00114770" w:rsidP="00114770">
            <w:pPr>
              <w:rPr>
                <w:noProof/>
                <w:sz w:val="22"/>
              </w:rPr>
            </w:pPr>
            <w:r w:rsidRPr="0002060E">
              <w:rPr>
                <w:noProof/>
                <w:sz w:val="22"/>
              </w:rPr>
              <w:t xml:space="preserve">Operacije implementirajo določbe nacionalnega prava: Zakona o nalogah in pooblastilih policije (Uradni list RS, št. 15/13), Kazenskega zakonika (Uradni list RS, št. 50/12 in nadaljnje spremembe), Zakona o kazenskem postopku (Uradni list RS št. 176/21 in nadaljnje spremembe), Zakon o zaščiti prič (Uradni list RS, št. 81/06 in nadaljnje spremembe) in podrejenih aktov; ter določbe pravnega reda EU: Direktiva 2024/1203/EU, Direktiva 2013/40/EU, Okvirni sklep Sveta 2008/978/PNZ, Strategija EU za boj proti organiziranemu kriminalu za obdobje 2021–2025 in Strategija EU za varnostno unijo.           </w:t>
            </w:r>
          </w:p>
        </w:tc>
      </w:tr>
    </w:tbl>
    <w:p w:rsidR="006A41E2" w:rsidRPr="003A1616" w:rsidRDefault="00C30ACF" w:rsidP="00C30ACF">
      <w:pPr>
        <w:pStyle w:val="ManualHeading1"/>
        <w:rPr>
          <w:noProof/>
        </w:rPr>
      </w:pPr>
      <w:r w:rsidRPr="003A1616">
        <w:t>4.</w:t>
      </w:r>
      <w:r w:rsidRPr="003A1616">
        <w:tab/>
      </w:r>
      <w:r w:rsidR="006A41E2" w:rsidRPr="003A1616">
        <w:rPr>
          <w:noProof/>
        </w:rPr>
        <w:t>Komuniciranje in prepoznavnost – člen 30(2), točka (e), Uredbe (EU) 2021/1149</w:t>
      </w:r>
    </w:p>
    <w:p w:rsidR="006A41E2" w:rsidRPr="003A1616" w:rsidRDefault="001B037F" w:rsidP="006A41E2">
      <w:pPr>
        <w:rPr>
          <w:noProof/>
          <w:sz w:val="22"/>
        </w:rPr>
      </w:pPr>
      <w:r w:rsidRPr="003A1616">
        <w:rPr>
          <w:noProof/>
          <w:sz w:val="22"/>
        </w:rPr>
        <w:t>Opišite, kako so se med obračunskim letom izvajali ukrepi v zvezi s komuniciranjem in prepoznavnostjo. Navedite zlasti napredek, dosežen v zvezi s cilji, določenimi v komunikacijski strategiji, kot se meri z ustreznimi kazalniki in njihovimi ciljnimi vrednostmi. Če je ustrezno, opišite morebitne dobre prakse pri doseganju ciljnih skupin in/ali razširjanju in izkoriščanju rezultatov projektov.</w:t>
      </w:r>
    </w:p>
    <w:tbl>
      <w:tblPr>
        <w:tblStyle w:val="Tabelamrea"/>
        <w:tblW w:w="18126" w:type="dxa"/>
        <w:tblLook w:val="04A0" w:firstRow="1" w:lastRow="0" w:firstColumn="1" w:lastColumn="0" w:noHBand="0" w:noVBand="1"/>
      </w:tblPr>
      <w:tblGrid>
        <w:gridCol w:w="9063"/>
        <w:gridCol w:w="9063"/>
      </w:tblGrid>
      <w:tr w:rsidR="00114770" w:rsidRPr="003A1616" w:rsidTr="00114770">
        <w:tc>
          <w:tcPr>
            <w:tcW w:w="9063" w:type="dxa"/>
          </w:tcPr>
          <w:p w:rsidR="00114770" w:rsidRPr="0002060E" w:rsidRDefault="00114770" w:rsidP="00114770">
            <w:pPr>
              <w:pStyle w:val="Personnequisigne"/>
              <w:jc w:val="both"/>
              <w:rPr>
                <w:i w:val="0"/>
                <w:noProof/>
                <w:sz w:val="22"/>
              </w:rPr>
            </w:pPr>
            <w:r w:rsidRPr="0002060E">
              <w:rPr>
                <w:i w:val="0"/>
                <w:noProof/>
                <w:sz w:val="22"/>
              </w:rPr>
              <w:lastRenderedPageBreak/>
              <w:t>Slovenija je v obračunskem obdobju poročanja šele pričela z izvajanjem aktivnosti v zvezi z ukrepi programa SNV, a kljub tem</w:t>
            </w:r>
            <w:r w:rsidR="004C4869" w:rsidRPr="0002060E">
              <w:rPr>
                <w:i w:val="0"/>
                <w:noProof/>
                <w:sz w:val="22"/>
              </w:rPr>
              <w:t>u</w:t>
            </w:r>
            <w:r w:rsidRPr="0002060E">
              <w:rPr>
                <w:i w:val="0"/>
                <w:noProof/>
                <w:sz w:val="22"/>
              </w:rPr>
              <w:t xml:space="preserve"> lahko poročamo o določenem napredku v zvezi s cilji, določenimi v komunikacijski strategiji, o doseganju vrednosti kazalnikov pa v tem začetnem obdobju še ne moremo poročati. </w:t>
            </w:r>
            <w:r w:rsidRPr="0002060E">
              <w:rPr>
                <w:i w:val="0"/>
              </w:rPr>
              <w:t>Na področju</w:t>
            </w:r>
            <w:r w:rsidRPr="0002060E">
              <w:rPr>
                <w:i w:val="0"/>
                <w:sz w:val="22"/>
              </w:rPr>
              <w:t xml:space="preserve"> prepoznavnosti, preglednosti in komuniciranja so potekale spodaj navedene aktivnosti.</w:t>
            </w:r>
          </w:p>
          <w:p w:rsidR="00114770" w:rsidRPr="0002060E" w:rsidRDefault="00114770" w:rsidP="00114770">
            <w:pPr>
              <w:autoSpaceDE w:val="0"/>
              <w:autoSpaceDN w:val="0"/>
              <w:adjustRightInd w:val="0"/>
              <w:spacing w:after="0"/>
              <w:rPr>
                <w:sz w:val="22"/>
              </w:rPr>
            </w:pPr>
            <w:r w:rsidRPr="0002060E">
              <w:rPr>
                <w:sz w:val="22"/>
              </w:rPr>
              <w:t xml:space="preserve">Splošne aktivnosti: </w:t>
            </w:r>
          </w:p>
          <w:p w:rsidR="00114770" w:rsidRPr="0002060E" w:rsidRDefault="00114770" w:rsidP="00114770">
            <w:pPr>
              <w:pStyle w:val="Odstavekseznama"/>
              <w:numPr>
                <w:ilvl w:val="0"/>
                <w:numId w:val="31"/>
              </w:numPr>
              <w:tabs>
                <w:tab w:val="left" w:pos="4252"/>
              </w:tabs>
              <w:autoSpaceDE w:val="0"/>
              <w:autoSpaceDN w:val="0"/>
              <w:adjustRightInd w:val="0"/>
              <w:spacing w:before="0" w:after="0"/>
              <w:rPr>
                <w:sz w:val="22"/>
              </w:rPr>
            </w:pPr>
            <w:r w:rsidRPr="0002060E">
              <w:rPr>
                <w:sz w:val="22"/>
              </w:rPr>
              <w:t>Priprava in sprejetje Uredbe o izvajanju uredb (EU) in (</w:t>
            </w:r>
            <w:proofErr w:type="spellStart"/>
            <w:r w:rsidRPr="0002060E">
              <w:rPr>
                <w:sz w:val="22"/>
              </w:rPr>
              <w:t>Euratom</w:t>
            </w:r>
            <w:proofErr w:type="spellEnd"/>
            <w:r w:rsidRPr="0002060E">
              <w:rPr>
                <w:sz w:val="22"/>
              </w:rPr>
              <w:t>) na področju azila, migracij in vključevanja, notranje varnosti in evropskega integriranega upravljanja meja v programskem obdobju 2021-2027 (Ur.l.RS, št. 14/2023 z dne 3.2.2023), ki v poglavju VI opredeli izvajanje prepoznavnosti, preglednosti in komuniciranja;</w:t>
            </w:r>
          </w:p>
          <w:p w:rsidR="00114770" w:rsidRPr="0002060E" w:rsidRDefault="00114770" w:rsidP="00114770">
            <w:pPr>
              <w:pStyle w:val="Odstavekseznama"/>
              <w:numPr>
                <w:ilvl w:val="0"/>
                <w:numId w:val="31"/>
              </w:numPr>
              <w:tabs>
                <w:tab w:val="left" w:pos="4252"/>
              </w:tabs>
              <w:autoSpaceDE w:val="0"/>
              <w:autoSpaceDN w:val="0"/>
              <w:adjustRightInd w:val="0"/>
              <w:spacing w:before="0" w:after="0"/>
              <w:rPr>
                <w:sz w:val="22"/>
              </w:rPr>
            </w:pPr>
            <w:r w:rsidRPr="0002060E">
              <w:rPr>
                <w:sz w:val="22"/>
              </w:rPr>
              <w:t>Priprava Navodil organa upravljanja na področju zagotavljanja prepoznavnosti, preglednosti in komuniciranja evropske politike na področju notranjih zadev v programskem obdobju 2021–2027 (dokument potrjen decembra 2023).</w:t>
            </w:r>
          </w:p>
          <w:p w:rsidR="00114770" w:rsidRPr="0002060E" w:rsidRDefault="00114770" w:rsidP="00114770">
            <w:pPr>
              <w:pStyle w:val="Odstavekseznama"/>
              <w:numPr>
                <w:ilvl w:val="0"/>
                <w:numId w:val="31"/>
              </w:numPr>
              <w:tabs>
                <w:tab w:val="left" w:pos="4252"/>
              </w:tabs>
              <w:autoSpaceDE w:val="0"/>
              <w:autoSpaceDN w:val="0"/>
              <w:adjustRightInd w:val="0"/>
              <w:spacing w:after="0"/>
              <w:rPr>
                <w:sz w:val="22"/>
              </w:rPr>
            </w:pPr>
            <w:r w:rsidRPr="0002060E">
              <w:rPr>
                <w:sz w:val="22"/>
              </w:rPr>
              <w:t>Priprava Komunikacijske strategije za sklade notranje varnosti za obdobje 2021-2027.</w:t>
            </w:r>
          </w:p>
          <w:p w:rsidR="00114770" w:rsidRPr="0002060E" w:rsidRDefault="00114770" w:rsidP="00114770">
            <w:pPr>
              <w:pStyle w:val="Personnequisigne"/>
              <w:numPr>
                <w:ilvl w:val="0"/>
                <w:numId w:val="31"/>
              </w:numPr>
              <w:jc w:val="both"/>
              <w:rPr>
                <w:i w:val="0"/>
                <w:noProof/>
                <w:sz w:val="22"/>
              </w:rPr>
            </w:pPr>
            <w:r w:rsidRPr="0002060E">
              <w:rPr>
                <w:i w:val="0"/>
                <w:noProof/>
                <w:sz w:val="22"/>
              </w:rPr>
              <w:t xml:space="preserve">Vsi upravičenci so se v prijavi operacije zavezali k upoštevanju vseh zavez, ki jih določa Uredba 2021/1060/EU, o katerih bodo poročali OU v zahtevkih za povračilo. </w:t>
            </w:r>
          </w:p>
          <w:p w:rsidR="00114770" w:rsidRPr="0002060E" w:rsidRDefault="00114770" w:rsidP="00114770">
            <w:pPr>
              <w:pStyle w:val="Odstavekseznama"/>
              <w:numPr>
                <w:ilvl w:val="0"/>
                <w:numId w:val="31"/>
              </w:numPr>
              <w:tabs>
                <w:tab w:val="left" w:pos="4252"/>
              </w:tabs>
              <w:autoSpaceDE w:val="0"/>
              <w:autoSpaceDN w:val="0"/>
              <w:adjustRightInd w:val="0"/>
              <w:spacing w:before="0" w:after="0"/>
              <w:rPr>
                <w:sz w:val="22"/>
              </w:rPr>
            </w:pPr>
            <w:r w:rsidRPr="0002060E">
              <w:rPr>
                <w:sz w:val="22"/>
              </w:rPr>
              <w:t xml:space="preserve">Zagotovilo, da odločitve o podpori za financiranje operacije vključujejo dikcijo, da se EU podeli brezplačna, </w:t>
            </w:r>
            <w:proofErr w:type="spellStart"/>
            <w:r w:rsidRPr="0002060E">
              <w:rPr>
                <w:sz w:val="22"/>
              </w:rPr>
              <w:t>neizključna</w:t>
            </w:r>
            <w:proofErr w:type="spellEnd"/>
            <w:r w:rsidRPr="0002060E">
              <w:rPr>
                <w:sz w:val="22"/>
              </w:rPr>
              <w:t xml:space="preserve"> in nepreklicna licenca za rabo komunikacijskega gradiva ter morebitne pripadajoče predhodno obstoječe pravice.</w:t>
            </w:r>
          </w:p>
          <w:p w:rsidR="00114770" w:rsidRPr="0002060E" w:rsidRDefault="00114770" w:rsidP="00114770">
            <w:pPr>
              <w:pStyle w:val="Odstavekseznama"/>
              <w:numPr>
                <w:ilvl w:val="0"/>
                <w:numId w:val="31"/>
              </w:numPr>
              <w:tabs>
                <w:tab w:val="left" w:pos="4252"/>
              </w:tabs>
              <w:autoSpaceDE w:val="0"/>
              <w:autoSpaceDN w:val="0"/>
              <w:adjustRightInd w:val="0"/>
              <w:spacing w:before="0" w:after="0"/>
              <w:rPr>
                <w:sz w:val="22"/>
              </w:rPr>
            </w:pPr>
            <w:r w:rsidRPr="0002060E">
              <w:rPr>
                <w:sz w:val="22"/>
              </w:rPr>
              <w:t xml:space="preserve">Imenovanje </w:t>
            </w:r>
            <w:proofErr w:type="spellStart"/>
            <w:r w:rsidRPr="0002060E">
              <w:rPr>
                <w:sz w:val="22"/>
              </w:rPr>
              <w:t>komunikatork</w:t>
            </w:r>
            <w:proofErr w:type="spellEnd"/>
            <w:r w:rsidRPr="0002060E">
              <w:rPr>
                <w:sz w:val="22"/>
              </w:rPr>
              <w:t xml:space="preserve"> za AMIF, SNV in IUMV program, ki sta pristojni za, sodelovanje z nacionalnim koordinatorjem za komuniciranje skladov EU in Evropsko komisijo v skladu z 48. členom Uredbe 2021/1060/EU.</w:t>
            </w:r>
          </w:p>
          <w:p w:rsidR="002C3726" w:rsidRPr="0002060E" w:rsidRDefault="00114770" w:rsidP="00114770">
            <w:pPr>
              <w:pStyle w:val="Odstavekseznama"/>
              <w:numPr>
                <w:ilvl w:val="0"/>
                <w:numId w:val="31"/>
              </w:numPr>
              <w:tabs>
                <w:tab w:val="left" w:pos="4252"/>
              </w:tabs>
              <w:autoSpaceDE w:val="0"/>
              <w:autoSpaceDN w:val="0"/>
              <w:adjustRightInd w:val="0"/>
              <w:spacing w:before="0" w:after="0"/>
              <w:rPr>
                <w:sz w:val="22"/>
              </w:rPr>
            </w:pPr>
            <w:r w:rsidRPr="0002060E">
              <w:rPr>
                <w:sz w:val="22"/>
              </w:rPr>
              <w:t>Nudenje podpore upravičencem za pravilno izvajanje aktivnosti na področju prepoznavnosti, preglednosti in komuniciranja.</w:t>
            </w:r>
          </w:p>
          <w:p w:rsidR="002C3726" w:rsidRPr="0002060E" w:rsidRDefault="002C3726" w:rsidP="002C3726">
            <w:pPr>
              <w:tabs>
                <w:tab w:val="left" w:pos="4252"/>
              </w:tabs>
              <w:autoSpaceDE w:val="0"/>
              <w:autoSpaceDN w:val="0"/>
              <w:adjustRightInd w:val="0"/>
              <w:spacing w:before="0" w:after="0"/>
              <w:rPr>
                <w:sz w:val="22"/>
              </w:rPr>
            </w:pPr>
          </w:p>
          <w:p w:rsidR="002C3726" w:rsidRPr="0002060E" w:rsidRDefault="002C3726" w:rsidP="002C3726">
            <w:pPr>
              <w:tabs>
                <w:tab w:val="left" w:pos="4252"/>
              </w:tabs>
              <w:autoSpaceDE w:val="0"/>
              <w:autoSpaceDN w:val="0"/>
              <w:adjustRightInd w:val="0"/>
              <w:spacing w:before="0" w:after="0"/>
              <w:rPr>
                <w:sz w:val="22"/>
              </w:rPr>
            </w:pPr>
          </w:p>
          <w:p w:rsidR="002C3726" w:rsidRPr="0002060E" w:rsidRDefault="002C3726" w:rsidP="002C3726">
            <w:pPr>
              <w:tabs>
                <w:tab w:val="left" w:pos="4252"/>
              </w:tabs>
              <w:autoSpaceDE w:val="0"/>
              <w:autoSpaceDN w:val="0"/>
              <w:adjustRightInd w:val="0"/>
              <w:spacing w:before="0" w:after="0"/>
              <w:rPr>
                <w:sz w:val="22"/>
              </w:rPr>
            </w:pPr>
          </w:p>
          <w:p w:rsidR="002C3726" w:rsidRPr="0002060E" w:rsidRDefault="002C3726" w:rsidP="00114770">
            <w:pPr>
              <w:autoSpaceDE w:val="0"/>
              <w:autoSpaceDN w:val="0"/>
              <w:adjustRightInd w:val="0"/>
              <w:spacing w:before="0" w:after="0"/>
              <w:rPr>
                <w:sz w:val="22"/>
              </w:rPr>
            </w:pPr>
          </w:p>
          <w:p w:rsidR="00114770" w:rsidRPr="0002060E" w:rsidRDefault="00114770" w:rsidP="00114770">
            <w:pPr>
              <w:autoSpaceDE w:val="0"/>
              <w:autoSpaceDN w:val="0"/>
              <w:adjustRightInd w:val="0"/>
              <w:spacing w:before="0" w:after="0"/>
              <w:rPr>
                <w:sz w:val="22"/>
              </w:rPr>
            </w:pPr>
            <w:r w:rsidRPr="0002060E">
              <w:rPr>
                <w:sz w:val="22"/>
              </w:rPr>
              <w:t>Odbor za spremljanje:</w:t>
            </w:r>
          </w:p>
          <w:p w:rsidR="00114770" w:rsidRPr="0002060E" w:rsidRDefault="00114770" w:rsidP="00114770">
            <w:pPr>
              <w:numPr>
                <w:ilvl w:val="0"/>
                <w:numId w:val="31"/>
              </w:numPr>
              <w:tabs>
                <w:tab w:val="left" w:pos="4252"/>
              </w:tabs>
              <w:spacing w:before="0" w:after="0" w:line="260" w:lineRule="exact"/>
              <w:rPr>
                <w:sz w:val="22"/>
              </w:rPr>
            </w:pPr>
            <w:r w:rsidRPr="0002060E">
              <w:rPr>
                <w:sz w:val="22"/>
              </w:rPr>
              <w:t>Seznanitev Odbora za spremljanje o izvajanju strategije komuniciranja evropske politike na področju notranjih zadev v Republiki Sloveniji za programsko obdobje 2021-2027 ter ukrepov prepoznavnosti, preglednosti in komuniciranja.</w:t>
            </w:r>
          </w:p>
          <w:p w:rsidR="00114770" w:rsidRPr="0002060E" w:rsidRDefault="00114770" w:rsidP="00114770">
            <w:pPr>
              <w:autoSpaceDE w:val="0"/>
              <w:autoSpaceDN w:val="0"/>
              <w:adjustRightInd w:val="0"/>
              <w:spacing w:before="0" w:after="0"/>
              <w:ind w:left="360"/>
              <w:rPr>
                <w:sz w:val="22"/>
              </w:rPr>
            </w:pPr>
          </w:p>
          <w:p w:rsidR="00114770" w:rsidRPr="0002060E" w:rsidRDefault="00114770" w:rsidP="00114770">
            <w:pPr>
              <w:autoSpaceDE w:val="0"/>
              <w:autoSpaceDN w:val="0"/>
              <w:adjustRightInd w:val="0"/>
              <w:spacing w:before="0" w:after="0"/>
              <w:rPr>
                <w:sz w:val="22"/>
              </w:rPr>
            </w:pPr>
            <w:r w:rsidRPr="0002060E">
              <w:rPr>
                <w:sz w:val="22"/>
              </w:rPr>
              <w:t>Spletna stran:</w:t>
            </w:r>
          </w:p>
          <w:p w:rsidR="00114770" w:rsidRPr="0002060E" w:rsidRDefault="00114770" w:rsidP="00114770">
            <w:pPr>
              <w:pStyle w:val="Personnequisigne"/>
              <w:numPr>
                <w:ilvl w:val="0"/>
                <w:numId w:val="31"/>
              </w:numPr>
              <w:jc w:val="both"/>
              <w:rPr>
                <w:i w:val="0"/>
                <w:noProof/>
                <w:sz w:val="22"/>
              </w:rPr>
            </w:pPr>
            <w:r w:rsidRPr="0002060E">
              <w:rPr>
                <w:i w:val="0"/>
                <w:noProof/>
                <w:sz w:val="22"/>
              </w:rPr>
              <w:t>OU je v obdobju poročanja zagotovil, da so vsebine, ki jih je po Uredbi 2021/1060/EU potrebno objaviti, objavljene in redno posodabljane na enotnem spletnem portalu (www.evropskasredstva.si), ki ga je vzpostavilo Ministrstvo za kohezijo in regionalni razvoj (MKRR) in vključuje tudi vsebine v zvezi s Skladom za notranjo varnost. Enotni spletni portal bo vključeval obveznosti iz točke (b) 46. člena ter iz prvega odstavka 49. člena Uredbe 2021/1060/EU.</w:t>
            </w:r>
          </w:p>
          <w:p w:rsidR="00114770" w:rsidRPr="0002060E" w:rsidRDefault="00114770" w:rsidP="00114770">
            <w:pPr>
              <w:autoSpaceDE w:val="0"/>
              <w:autoSpaceDN w:val="0"/>
              <w:adjustRightInd w:val="0"/>
              <w:spacing w:before="0" w:after="0"/>
              <w:rPr>
                <w:sz w:val="22"/>
              </w:rPr>
            </w:pPr>
          </w:p>
          <w:p w:rsidR="00114770" w:rsidRPr="0002060E" w:rsidRDefault="00114770" w:rsidP="00114770">
            <w:pPr>
              <w:autoSpaceDE w:val="0"/>
              <w:autoSpaceDN w:val="0"/>
              <w:adjustRightInd w:val="0"/>
              <w:spacing w:before="0" w:after="0"/>
              <w:rPr>
                <w:sz w:val="22"/>
              </w:rPr>
            </w:pPr>
            <w:r w:rsidRPr="0002060E">
              <w:rPr>
                <w:sz w:val="22"/>
              </w:rPr>
              <w:t xml:space="preserve">Dogodki: </w:t>
            </w:r>
          </w:p>
          <w:p w:rsidR="00114770" w:rsidRPr="0002060E" w:rsidRDefault="00114770" w:rsidP="00114770">
            <w:pPr>
              <w:pStyle w:val="Odstavekseznama"/>
              <w:numPr>
                <w:ilvl w:val="0"/>
                <w:numId w:val="31"/>
              </w:numPr>
              <w:tabs>
                <w:tab w:val="left" w:pos="4252"/>
              </w:tabs>
              <w:autoSpaceDE w:val="0"/>
              <w:autoSpaceDN w:val="0"/>
              <w:adjustRightInd w:val="0"/>
              <w:spacing w:before="0" w:after="0"/>
              <w:rPr>
                <w:sz w:val="22"/>
              </w:rPr>
            </w:pPr>
            <w:r w:rsidRPr="0002060E">
              <w:rPr>
                <w:sz w:val="22"/>
              </w:rPr>
              <w:t xml:space="preserve">V oktobru 2022 je bil izveden skupni letni dogodek INFORM-SI »Regionalni dnevi na Ptuju« (13. in 14. 10. 2022), kjer je OU predstavil sklade EU s področja notranjih zadev z uporabo vprašalnika, nagradne igre, </w:t>
            </w:r>
            <w:proofErr w:type="spellStart"/>
            <w:r w:rsidRPr="0002060E">
              <w:rPr>
                <w:sz w:val="22"/>
              </w:rPr>
              <w:t>infografike</w:t>
            </w:r>
            <w:proofErr w:type="spellEnd"/>
            <w:r w:rsidRPr="0002060E">
              <w:rPr>
                <w:sz w:val="22"/>
              </w:rPr>
              <w:t xml:space="preserve"> za program AMIF, SNV in IUMV, prikaz fotografij na ekranu za prisotno javnost.</w:t>
            </w:r>
          </w:p>
          <w:p w:rsidR="00114770" w:rsidRPr="0002060E" w:rsidRDefault="00114770" w:rsidP="00114770">
            <w:pPr>
              <w:pStyle w:val="Odstavekseznama"/>
              <w:numPr>
                <w:ilvl w:val="0"/>
                <w:numId w:val="31"/>
              </w:numPr>
              <w:tabs>
                <w:tab w:val="left" w:pos="4252"/>
              </w:tabs>
              <w:autoSpaceDE w:val="0"/>
              <w:autoSpaceDN w:val="0"/>
              <w:adjustRightInd w:val="0"/>
              <w:spacing w:before="0" w:after="0"/>
              <w:rPr>
                <w:sz w:val="22"/>
              </w:rPr>
            </w:pPr>
            <w:r w:rsidRPr="0002060E">
              <w:rPr>
                <w:sz w:val="22"/>
              </w:rPr>
              <w:t>V maju 2023 je bil izveden skupni osrednji interaktivni dogodek ob Dnevu Evrope, 9.</w:t>
            </w:r>
            <w:r w:rsidR="004C4869" w:rsidRPr="0002060E">
              <w:rPr>
                <w:sz w:val="22"/>
              </w:rPr>
              <w:t> </w:t>
            </w:r>
            <w:r w:rsidRPr="0002060E">
              <w:rPr>
                <w:sz w:val="22"/>
              </w:rPr>
              <w:t>5.</w:t>
            </w:r>
            <w:r w:rsidR="004C4869" w:rsidRPr="0002060E">
              <w:rPr>
                <w:sz w:val="22"/>
              </w:rPr>
              <w:t> </w:t>
            </w:r>
            <w:r w:rsidRPr="0002060E">
              <w:rPr>
                <w:sz w:val="22"/>
              </w:rPr>
              <w:t xml:space="preserve">2023 na Kongresnem trgu v Ljubljani, kjer sta uvodni nagovor imela predsednica države ga. Pirc Musar in evropski komisar g. Lenarčič. OU je sodeloval na zaključnem dogodku Potujoča pisarna evropskih sredstev ob dnevu Evrope, kjer je OU predstavil vsebino </w:t>
            </w:r>
            <w:r w:rsidR="00BA53A9" w:rsidRPr="0002060E">
              <w:rPr>
                <w:sz w:val="22"/>
              </w:rPr>
              <w:t>Sklada za notranjo</w:t>
            </w:r>
            <w:r w:rsidRPr="0002060E">
              <w:rPr>
                <w:sz w:val="22"/>
              </w:rPr>
              <w:t xml:space="preserve"> </w:t>
            </w:r>
            <w:r w:rsidR="00BA53A9" w:rsidRPr="0002060E">
              <w:rPr>
                <w:sz w:val="22"/>
              </w:rPr>
              <w:t>varnost</w:t>
            </w:r>
            <w:r w:rsidRPr="0002060E">
              <w:rPr>
                <w:sz w:val="22"/>
              </w:rPr>
              <w:t xml:space="preserve"> (animacija otrok z odvzemom prstnih odtisov z magnetnim prahom na recikliran papir, obisk policijskih psov ob spremstvu uniformiranega vodnika službenih psov ter konjenice Policije; obisk policijske maskote - medveda Leona). V okviru promocijskih </w:t>
            </w:r>
            <w:r w:rsidRPr="0002060E">
              <w:rPr>
                <w:sz w:val="22"/>
              </w:rPr>
              <w:lastRenderedPageBreak/>
              <w:t>aktivnosti je bila izpeljana nagradna igra, anketa, promocijski material, plakati, mozaik zastave EU, kjer so vabljeni gostje položili kamenje.</w:t>
            </w:r>
          </w:p>
          <w:p w:rsidR="00114770" w:rsidRPr="0002060E" w:rsidRDefault="00114770" w:rsidP="00114770">
            <w:pPr>
              <w:pStyle w:val="Odstavekseznama"/>
              <w:numPr>
                <w:ilvl w:val="0"/>
                <w:numId w:val="31"/>
              </w:numPr>
              <w:tabs>
                <w:tab w:val="left" w:pos="4252"/>
              </w:tabs>
              <w:autoSpaceDE w:val="0"/>
              <w:autoSpaceDN w:val="0"/>
              <w:adjustRightInd w:val="0"/>
              <w:spacing w:before="0" w:after="0"/>
              <w:rPr>
                <w:sz w:val="22"/>
              </w:rPr>
            </w:pPr>
            <w:r w:rsidRPr="0002060E">
              <w:rPr>
                <w:sz w:val="22"/>
              </w:rPr>
              <w:t>V maju 2023 je bil izpeljan tudi »Slavnostni dogodek ob sprejetju programa AMIF, programa SNV in programa IUMV za programsko obdobje 2021-2027«  dne  31.</w:t>
            </w:r>
            <w:r w:rsidR="004C4869" w:rsidRPr="0002060E">
              <w:rPr>
                <w:sz w:val="22"/>
              </w:rPr>
              <w:t> </w:t>
            </w:r>
            <w:r w:rsidRPr="0002060E">
              <w:rPr>
                <w:sz w:val="22"/>
              </w:rPr>
              <w:t>5.</w:t>
            </w:r>
            <w:r w:rsidR="004C4869" w:rsidRPr="0002060E">
              <w:rPr>
                <w:sz w:val="22"/>
              </w:rPr>
              <w:t> </w:t>
            </w:r>
            <w:r w:rsidRPr="0002060E">
              <w:rPr>
                <w:sz w:val="22"/>
              </w:rPr>
              <w:t xml:space="preserve">2023 v Hiši EU. V okviru aktivnosti je bila pripravljena brošura - povzetek programa za splošno javnost ter pripravljena razstava izdelkov oseb iz Ukrajine nastanjenih v namestitvenih centrih v okviru programa »Rokavička Centra za socialno delo Primorsko-Notranjska«. </w:t>
            </w:r>
          </w:p>
          <w:p w:rsidR="00114770" w:rsidRPr="0002060E" w:rsidRDefault="00114770" w:rsidP="00114770">
            <w:pPr>
              <w:autoSpaceDE w:val="0"/>
              <w:autoSpaceDN w:val="0"/>
              <w:adjustRightInd w:val="0"/>
              <w:spacing w:before="0" w:after="0"/>
              <w:ind w:left="360"/>
              <w:rPr>
                <w:sz w:val="22"/>
              </w:rPr>
            </w:pPr>
          </w:p>
          <w:p w:rsidR="00114770" w:rsidRPr="0002060E" w:rsidRDefault="00114770" w:rsidP="00114770">
            <w:pPr>
              <w:autoSpaceDE w:val="0"/>
              <w:autoSpaceDN w:val="0"/>
              <w:adjustRightInd w:val="0"/>
              <w:spacing w:before="0" w:after="0"/>
              <w:rPr>
                <w:sz w:val="22"/>
              </w:rPr>
            </w:pPr>
            <w:r w:rsidRPr="0002060E">
              <w:rPr>
                <w:sz w:val="22"/>
              </w:rPr>
              <w:t>Socialna omrežja:</w:t>
            </w:r>
          </w:p>
          <w:p w:rsidR="00114770" w:rsidRPr="0002060E" w:rsidRDefault="00114770" w:rsidP="00114770">
            <w:pPr>
              <w:pStyle w:val="Odstavekseznama"/>
              <w:numPr>
                <w:ilvl w:val="0"/>
                <w:numId w:val="31"/>
              </w:numPr>
              <w:tabs>
                <w:tab w:val="left" w:pos="4252"/>
              </w:tabs>
              <w:autoSpaceDE w:val="0"/>
              <w:autoSpaceDN w:val="0"/>
              <w:adjustRightInd w:val="0"/>
              <w:spacing w:before="0" w:after="0"/>
              <w:rPr>
                <w:sz w:val="22"/>
              </w:rPr>
            </w:pPr>
            <w:r w:rsidRPr="0002060E">
              <w:rPr>
                <w:sz w:val="22"/>
              </w:rPr>
              <w:t>Aktivnostih za prepoznavnost AMIF, SNV in IUMV programa na Intranetu MNZ in družbenih omrežjih MNZ FB, Policija FB, objava v Vizija kohezija, št. 1/2023.</w:t>
            </w:r>
          </w:p>
          <w:p w:rsidR="00114770" w:rsidRPr="0002060E" w:rsidRDefault="00114770" w:rsidP="00114770">
            <w:pPr>
              <w:pStyle w:val="Odstavekseznama"/>
              <w:numPr>
                <w:ilvl w:val="0"/>
                <w:numId w:val="31"/>
              </w:numPr>
              <w:tabs>
                <w:tab w:val="left" w:pos="4252"/>
              </w:tabs>
              <w:autoSpaceDE w:val="0"/>
              <w:autoSpaceDN w:val="0"/>
              <w:adjustRightInd w:val="0"/>
              <w:spacing w:before="0" w:after="0"/>
              <w:rPr>
                <w:sz w:val="22"/>
              </w:rPr>
            </w:pPr>
            <w:r w:rsidRPr="0002060E">
              <w:rPr>
                <w:sz w:val="22"/>
              </w:rPr>
              <w:t>Upostavitev in uporaba ključnikov #AMIF, #SNV, #ISF, #BMVI, #IUMV, #</w:t>
            </w:r>
            <w:proofErr w:type="spellStart"/>
            <w:r w:rsidRPr="0002060E">
              <w:rPr>
                <w:sz w:val="22"/>
              </w:rPr>
              <w:t>evropskasredstva</w:t>
            </w:r>
            <w:proofErr w:type="spellEnd"/>
            <w:r w:rsidRPr="0002060E">
              <w:rPr>
                <w:sz w:val="22"/>
              </w:rPr>
              <w:t xml:space="preserve"> in @</w:t>
            </w:r>
            <w:proofErr w:type="spellStart"/>
            <w:r w:rsidRPr="0002060E">
              <w:rPr>
                <w:sz w:val="22"/>
              </w:rPr>
              <w:t>evropskasredstva</w:t>
            </w:r>
            <w:proofErr w:type="spellEnd"/>
            <w:r w:rsidRPr="0002060E">
              <w:rPr>
                <w:sz w:val="22"/>
              </w:rPr>
              <w:t>.</w:t>
            </w:r>
          </w:p>
          <w:p w:rsidR="00114770" w:rsidRPr="0002060E" w:rsidRDefault="00114770" w:rsidP="00114770">
            <w:pPr>
              <w:autoSpaceDE w:val="0"/>
              <w:autoSpaceDN w:val="0"/>
              <w:adjustRightInd w:val="0"/>
              <w:spacing w:before="0" w:after="0"/>
              <w:rPr>
                <w:sz w:val="22"/>
              </w:rPr>
            </w:pPr>
          </w:p>
        </w:tc>
        <w:tc>
          <w:tcPr>
            <w:tcW w:w="9063" w:type="dxa"/>
          </w:tcPr>
          <w:p w:rsidR="00114770" w:rsidRPr="003A1616" w:rsidRDefault="00114770" w:rsidP="00114770">
            <w:pPr>
              <w:autoSpaceDE w:val="0"/>
              <w:autoSpaceDN w:val="0"/>
              <w:adjustRightInd w:val="0"/>
              <w:spacing w:before="0" w:after="0"/>
              <w:rPr>
                <w:sz w:val="22"/>
              </w:rPr>
            </w:pPr>
          </w:p>
        </w:tc>
      </w:tr>
    </w:tbl>
    <w:p w:rsidR="006A41E2" w:rsidRPr="003A1616" w:rsidRDefault="001B037F" w:rsidP="006A41E2">
      <w:pPr>
        <w:rPr>
          <w:noProof/>
          <w:sz w:val="22"/>
        </w:rPr>
      </w:pPr>
      <w:r w:rsidRPr="003A1616">
        <w:rPr>
          <w:noProof/>
          <w:sz w:val="22"/>
        </w:rPr>
        <w:t>Navedite povezavo do spletnega portala iz člena 46, točka (b), Uredbe (EU) 2021/1060 in, če se razlikuje od spletnega portala, do spletne strani iz člena 49(1) navedene uredbe.</w:t>
      </w:r>
    </w:p>
    <w:tbl>
      <w:tblPr>
        <w:tblStyle w:val="Tabelamrea"/>
        <w:tblW w:w="0" w:type="auto"/>
        <w:tblLook w:val="04A0" w:firstRow="1" w:lastRow="0" w:firstColumn="1" w:lastColumn="0" w:noHBand="0" w:noVBand="1"/>
      </w:tblPr>
      <w:tblGrid>
        <w:gridCol w:w="9063"/>
      </w:tblGrid>
      <w:tr w:rsidR="006A41E2" w:rsidRPr="003A1616" w:rsidTr="00E45665">
        <w:tc>
          <w:tcPr>
            <w:tcW w:w="9289" w:type="dxa"/>
          </w:tcPr>
          <w:p w:rsidR="006A41E2" w:rsidRPr="0002060E" w:rsidRDefault="00114770" w:rsidP="00C63931">
            <w:pPr>
              <w:pStyle w:val="Personnequisigne"/>
              <w:jc w:val="both"/>
              <w:rPr>
                <w:i w:val="0"/>
                <w:noProof/>
                <w:sz w:val="22"/>
              </w:rPr>
            </w:pPr>
            <w:r w:rsidRPr="0002060E">
              <w:rPr>
                <w:i w:val="0"/>
                <w:noProof/>
                <w:sz w:val="22"/>
              </w:rPr>
              <w:t>https://evropskasredstva.si</w:t>
            </w:r>
          </w:p>
        </w:tc>
      </w:tr>
    </w:tbl>
    <w:p w:rsidR="006A41E2" w:rsidRPr="003A1616" w:rsidRDefault="00C30ACF" w:rsidP="00C30ACF">
      <w:pPr>
        <w:pStyle w:val="ManualHeading1"/>
        <w:rPr>
          <w:bCs/>
          <w:noProof/>
        </w:rPr>
      </w:pPr>
      <w:r w:rsidRPr="003A1616">
        <w:t>5.</w:t>
      </w:r>
      <w:r w:rsidRPr="003A1616">
        <w:tab/>
      </w:r>
      <w:r w:rsidR="006A41E2" w:rsidRPr="003A1616">
        <w:rPr>
          <w:noProof/>
        </w:rPr>
        <w:t>Omogočitveni pogoji in horizontalna načela</w:t>
      </w:r>
    </w:p>
    <w:p w:rsidR="006A41E2" w:rsidRPr="003A1616" w:rsidRDefault="00C30ACF" w:rsidP="00C30ACF">
      <w:pPr>
        <w:pStyle w:val="ManualHeading2"/>
        <w:rPr>
          <w:noProof/>
        </w:rPr>
      </w:pPr>
      <w:r w:rsidRPr="003A1616">
        <w:t>5.1.</w:t>
      </w:r>
      <w:r w:rsidRPr="003A1616">
        <w:tab/>
      </w:r>
      <w:r w:rsidR="006A41E2" w:rsidRPr="003A1616">
        <w:rPr>
          <w:noProof/>
        </w:rPr>
        <w:t xml:space="preserve">Omogočitveni pogoji – člen 30(2), točka (f), Uredbe (EU) 2021/1149 </w:t>
      </w:r>
    </w:p>
    <w:p w:rsidR="006A41E2" w:rsidRPr="003A1616" w:rsidRDefault="001B037F" w:rsidP="006A41E2">
      <w:pPr>
        <w:rPr>
          <w:noProof/>
          <w:sz w:val="22"/>
        </w:rPr>
      </w:pPr>
      <w:r w:rsidRPr="003A1616">
        <w:rPr>
          <w:noProof/>
          <w:sz w:val="22"/>
        </w:rPr>
        <w:t>Opišite, kako je bilo zagotovljeno, da so bili veljavni omogočitveni pogoji iz Priloge III k Uredbi (EU) 2021/1060 izpolnjeni in so se uporabljali v celotnem obračunskem letu, zlasti kar zadeva skladnost z Listino Evropske unije o temeljnih pravicah. Če je ustrezno, opišite kakršno koli spremembo, ki je vplivala na način, kako so bili omogočitveni pogoji izpolnjeni, kot je določeno v členu 15(6) Uredbe (EU) 2021/1060.</w:t>
      </w:r>
    </w:p>
    <w:tbl>
      <w:tblPr>
        <w:tblStyle w:val="Tabelamrea"/>
        <w:tblW w:w="0" w:type="auto"/>
        <w:tblLook w:val="04A0" w:firstRow="1" w:lastRow="0" w:firstColumn="1" w:lastColumn="0" w:noHBand="0" w:noVBand="1"/>
      </w:tblPr>
      <w:tblGrid>
        <w:gridCol w:w="9063"/>
      </w:tblGrid>
      <w:tr w:rsidR="006A41E2" w:rsidRPr="003A1616" w:rsidTr="00E45665">
        <w:tc>
          <w:tcPr>
            <w:tcW w:w="9289" w:type="dxa"/>
          </w:tcPr>
          <w:p w:rsidR="00114770" w:rsidRPr="0002060E" w:rsidRDefault="00114770" w:rsidP="00114770">
            <w:pPr>
              <w:pStyle w:val="Personnequisigne"/>
              <w:jc w:val="both"/>
              <w:rPr>
                <w:i w:val="0"/>
                <w:noProof/>
                <w:sz w:val="22"/>
              </w:rPr>
            </w:pPr>
            <w:r w:rsidRPr="0002060E">
              <w:rPr>
                <w:i w:val="0"/>
                <w:noProof/>
                <w:sz w:val="22"/>
              </w:rPr>
              <w:t>Slovenija je v obračunskem obdobju poročanja pričela z izvajanjem aktivnosti v zvezi z ukrepi programa SNV. V nadaljevanju sledi opis</w:t>
            </w:r>
            <w:r w:rsidR="004C4869" w:rsidRPr="0002060E">
              <w:rPr>
                <w:i w:val="0"/>
                <w:noProof/>
                <w:sz w:val="22"/>
              </w:rPr>
              <w:t>,</w:t>
            </w:r>
            <w:r w:rsidRPr="0002060E">
              <w:rPr>
                <w:i w:val="0"/>
                <w:noProof/>
                <w:sz w:val="22"/>
              </w:rPr>
              <w:t xml:space="preserve"> kako so veljavni omogočitveni pogoji iz Priloge III k Uredbi 2021/1060/EU izpolnjeni in kako so se uporabljali.</w:t>
            </w:r>
          </w:p>
          <w:p w:rsidR="007D1ECB" w:rsidRPr="0002060E" w:rsidRDefault="0002060E" w:rsidP="007D1ECB">
            <w:pPr>
              <w:tabs>
                <w:tab w:val="left" w:pos="2920"/>
              </w:tabs>
              <w:autoSpaceDE w:val="0"/>
              <w:autoSpaceDN w:val="0"/>
              <w:adjustRightInd w:val="0"/>
              <w:spacing w:after="0"/>
              <w:rPr>
                <w:rFonts w:cs="Arial"/>
                <w:sz w:val="22"/>
              </w:rPr>
            </w:pPr>
            <w:r w:rsidRPr="0002060E">
              <w:rPr>
                <w:rFonts w:cs="Arial"/>
                <w:sz w:val="22"/>
              </w:rPr>
              <w:t>V</w:t>
            </w:r>
            <w:r w:rsidR="007D1ECB" w:rsidRPr="0002060E">
              <w:rPr>
                <w:rFonts w:cs="Arial"/>
                <w:sz w:val="22"/>
              </w:rPr>
              <w:t xml:space="preserve"> luči učinkovite implementacije horizontalnih </w:t>
            </w:r>
            <w:proofErr w:type="spellStart"/>
            <w:r w:rsidR="007D1ECB" w:rsidRPr="0002060E">
              <w:rPr>
                <w:rFonts w:cs="Arial"/>
                <w:sz w:val="22"/>
              </w:rPr>
              <w:t>omogočitvenih</w:t>
            </w:r>
            <w:proofErr w:type="spellEnd"/>
            <w:r w:rsidR="007D1ECB" w:rsidRPr="0002060E">
              <w:rPr>
                <w:rFonts w:cs="Arial"/>
                <w:sz w:val="22"/>
              </w:rPr>
              <w:t xml:space="preserve"> pogojev »Dejanska uporaba in izvajanje Listine o temeljnih pravicah« ter »Izvajanje in uporaba Konvencije združenih narodov o pravicah invalidov v skladu s Sklepom Sveta 2010/48/ES« in njihovi uporabi tekom celotnega programskega obdobja, </w:t>
            </w:r>
            <w:r w:rsidRPr="0002060E">
              <w:rPr>
                <w:rFonts w:cs="Arial"/>
                <w:sz w:val="22"/>
              </w:rPr>
              <w:t xml:space="preserve">smo </w:t>
            </w:r>
            <w:r w:rsidR="007D1ECB" w:rsidRPr="0002060E">
              <w:rPr>
                <w:rFonts w:cs="Arial"/>
                <w:sz w:val="22"/>
              </w:rPr>
              <w:t xml:space="preserve">v tem obračunskem obdobju izvajali dve vrsti aktivnosti, ki so bile usmerjene zlasti v izpolnjevanje in uporabo </w:t>
            </w:r>
            <w:proofErr w:type="spellStart"/>
            <w:r w:rsidR="007D1ECB" w:rsidRPr="0002060E">
              <w:rPr>
                <w:rFonts w:cs="Arial"/>
                <w:sz w:val="22"/>
              </w:rPr>
              <w:t>omogočitvenih</w:t>
            </w:r>
            <w:proofErr w:type="spellEnd"/>
            <w:r w:rsidR="007D1ECB" w:rsidRPr="0002060E">
              <w:rPr>
                <w:rFonts w:cs="Arial"/>
                <w:sz w:val="22"/>
              </w:rPr>
              <w:t xml:space="preserve"> pogojev v nadaljnjih fazah izvajanja programov sklada, in sicer:</w:t>
            </w:r>
          </w:p>
          <w:p w:rsidR="007D1ECB" w:rsidRPr="0002060E" w:rsidRDefault="007D1ECB" w:rsidP="007D1ECB">
            <w:pPr>
              <w:pStyle w:val="Odstavekseznama"/>
              <w:numPr>
                <w:ilvl w:val="0"/>
                <w:numId w:val="30"/>
              </w:numPr>
              <w:spacing w:before="0" w:after="160" w:line="259" w:lineRule="auto"/>
              <w:rPr>
                <w:sz w:val="22"/>
              </w:rPr>
            </w:pPr>
            <w:r w:rsidRPr="0002060E">
              <w:rPr>
                <w:sz w:val="22"/>
              </w:rPr>
              <w:t>pripravili smo pravno in vsebinsko osnovo, katere temeljni namen je zagotoviti, da se bodo v programskem obdobju 2021-2027 programi, ki jih podpira sklad, izvajali skladno z določili Listine EU o temeljnih pravicah (v nadaljnjem besedilu: Listina) in Konvencije ZN o pravicah invalidov (v nadaljnjem besedilu: Konvencija), s tem namenom smo: v besedilu uredbe</w:t>
            </w:r>
            <w:r w:rsidRPr="0002060E">
              <w:rPr>
                <w:rStyle w:val="Sprotnaopomba-sklic"/>
                <w:sz w:val="22"/>
              </w:rPr>
              <w:footnoteReference w:id="22"/>
            </w:r>
            <w:r w:rsidRPr="0002060E">
              <w:rPr>
                <w:sz w:val="22"/>
              </w:rPr>
              <w:t xml:space="preserve">, ki </w:t>
            </w:r>
            <w:r w:rsidRPr="0002060E">
              <w:rPr>
                <w:rFonts w:cstheme="minorHAnsi"/>
                <w:noProof/>
                <w:sz w:val="22"/>
              </w:rPr>
              <w:t>na nacionalni ravni določa udeležence evropske politike na področju notranjih zadev in njihove naloge, načrtovanje evropske politike notranjih zadev, način izbora operacij in njihovo potrjevanje ter izvajanje operacij</w:t>
            </w:r>
            <w:r w:rsidRPr="0002060E">
              <w:rPr>
                <w:sz w:val="22"/>
              </w:rPr>
              <w:t xml:space="preserve">, podrobneje opredelili horizontalne </w:t>
            </w:r>
            <w:proofErr w:type="spellStart"/>
            <w:r w:rsidRPr="0002060E">
              <w:rPr>
                <w:sz w:val="22"/>
              </w:rPr>
              <w:t>omogočitvene</w:t>
            </w:r>
            <w:proofErr w:type="spellEnd"/>
            <w:r w:rsidRPr="0002060E">
              <w:rPr>
                <w:sz w:val="22"/>
              </w:rPr>
              <w:t xml:space="preserve"> pogoje (člen 7) ter v določilu, ki se nanaša na načelo partnerstva izrecno navedli, da se ta uresničuje tudi z vključitvijo </w:t>
            </w:r>
            <w:r w:rsidRPr="0002060E">
              <w:rPr>
                <w:rFonts w:cs="Arial"/>
                <w:sz w:val="22"/>
                <w:shd w:val="clear" w:color="auto" w:fill="FFFFFF"/>
              </w:rPr>
              <w:t>civilne družbe s področja varstva človekovih pravic in temeljnih svoboščin, pravic invalidov, enakosti spolov in nediskriminacije v odboru za spremljanje (člen 6)</w:t>
            </w:r>
            <w:r w:rsidRPr="0002060E">
              <w:rPr>
                <w:sz w:val="22"/>
              </w:rPr>
              <w:t xml:space="preserve">; spoštovanje določil Listine ter spoštovanje načela nediskriminacije smo kot pogoj za izvajanje operacij umestili v sprejeto Metodologijo in merila za izbor operacij (poglavje 3 – Ugotavljanje upravičenosti); slednje smo vključili tudi v generalni osnutek besedila odločitve o podpori oz. o financiranju operacij (točka IV – Izvajanje operacij); v </w:t>
            </w:r>
            <w:r w:rsidRPr="0002060E">
              <w:rPr>
                <w:sz w:val="22"/>
              </w:rPr>
              <w:lastRenderedPageBreak/>
              <w:t xml:space="preserve">postopkovnik odbora za spremljanje smo med naloge odbora vključili pristojnost, da odbor predlaga ukrepe in izdaja priporočila v zvezi z izpolnjevanjem </w:t>
            </w:r>
            <w:proofErr w:type="spellStart"/>
            <w:r w:rsidRPr="0002060E">
              <w:rPr>
                <w:sz w:val="22"/>
              </w:rPr>
              <w:t>omogočitvenih</w:t>
            </w:r>
            <w:proofErr w:type="spellEnd"/>
            <w:r w:rsidRPr="0002060E">
              <w:rPr>
                <w:sz w:val="22"/>
              </w:rPr>
              <w:t xml:space="preserve"> pogojev in njihovo uporabo v celotnem programskem obdobju ter dolžnost organa upravljanja, da odboru enkrat letno poroča o morebitnih kršitvah in neskladjih operacij z Listino ali/in Konvencijo (člen 6);</w:t>
            </w:r>
          </w:p>
          <w:p w:rsidR="007D1ECB" w:rsidRPr="0002060E" w:rsidRDefault="007D1ECB" w:rsidP="007D1ECB">
            <w:pPr>
              <w:pStyle w:val="Odstavekseznama"/>
              <w:numPr>
                <w:ilvl w:val="0"/>
                <w:numId w:val="30"/>
              </w:numPr>
              <w:spacing w:before="0" w:after="160" w:line="259" w:lineRule="auto"/>
              <w:rPr>
                <w:sz w:val="22"/>
              </w:rPr>
            </w:pPr>
            <w:r w:rsidRPr="0002060E">
              <w:rPr>
                <w:sz w:val="22"/>
              </w:rPr>
              <w:t xml:space="preserve">skladno z Metodologijo in merili za izbor operacij smo pri presoji upravičenosti posameznih prijav operacij posebno </w:t>
            </w:r>
            <w:r w:rsidRPr="0002060E">
              <w:rPr>
                <w:rFonts w:cs="Arial"/>
                <w:sz w:val="22"/>
              </w:rPr>
              <w:t>pozornost posvečali dejstvu ali se operacije vsebinsko dotikajo področij oziroma ali projektne prijave vsebujejo elemente, ki bi potencialno lahko vodili v kršitev določil Listine, ki bi potencialno lahko vodile v kršitev določil Listine in/ali Konvencije.  Pri tem dodajamo, da tovrstnih elementov v obravnavanih projektnih prijavah nismo zaznali.</w:t>
            </w:r>
          </w:p>
        </w:tc>
      </w:tr>
    </w:tbl>
    <w:p w:rsidR="006A41E2" w:rsidRPr="003A1616" w:rsidRDefault="00C30ACF" w:rsidP="00C30ACF">
      <w:pPr>
        <w:pStyle w:val="ManualHeading2"/>
        <w:rPr>
          <w:noProof/>
        </w:rPr>
      </w:pPr>
      <w:r w:rsidRPr="003A1616">
        <w:lastRenderedPageBreak/>
        <w:t>5.2.</w:t>
      </w:r>
      <w:r w:rsidRPr="003A1616">
        <w:tab/>
      </w:r>
      <w:r w:rsidR="0001528B" w:rsidRPr="003A1616">
        <w:rPr>
          <w:noProof/>
        </w:rPr>
        <w:t>Skladnost s horizontalnimi načeli – člen 9 Uredbe (EU) 2021/1060</w:t>
      </w:r>
    </w:p>
    <w:p w:rsidR="006A41E2" w:rsidRPr="003A1616" w:rsidRDefault="001B037F" w:rsidP="006A41E2">
      <w:pPr>
        <w:rPr>
          <w:noProof/>
          <w:sz w:val="22"/>
        </w:rPr>
      </w:pPr>
      <w:r w:rsidRPr="003A1616">
        <w:rPr>
          <w:noProof/>
          <w:sz w:val="22"/>
        </w:rPr>
        <w:t>Opišite, kako ste med obračunskim letom zagotovili skladnost s horizontalnimi načeli iz uredbe o skupnih določbah, zlasti kar zadeva enakost spolov, spodbujanje vključevanja vidika spola ter preprečevanje diskriminacije na podlagi spola, rase ali narodnosti, vere ali prepričanja, invalidnosti, starosti ali spolne usmerjenosti.</w:t>
      </w:r>
    </w:p>
    <w:tbl>
      <w:tblPr>
        <w:tblStyle w:val="Tabelamrea"/>
        <w:tblW w:w="0" w:type="auto"/>
        <w:tblLook w:val="04A0" w:firstRow="1" w:lastRow="0" w:firstColumn="1" w:lastColumn="0" w:noHBand="0" w:noVBand="1"/>
      </w:tblPr>
      <w:tblGrid>
        <w:gridCol w:w="9063"/>
      </w:tblGrid>
      <w:tr w:rsidR="006A41E2" w:rsidRPr="003A1616" w:rsidTr="00E45665">
        <w:tc>
          <w:tcPr>
            <w:tcW w:w="9289" w:type="dxa"/>
          </w:tcPr>
          <w:p w:rsidR="00114770" w:rsidRPr="0002060E" w:rsidRDefault="00114770" w:rsidP="00114770">
            <w:pPr>
              <w:tabs>
                <w:tab w:val="left" w:pos="2920"/>
              </w:tabs>
              <w:autoSpaceDE w:val="0"/>
              <w:autoSpaceDN w:val="0"/>
              <w:adjustRightInd w:val="0"/>
              <w:spacing w:after="0"/>
              <w:rPr>
                <w:noProof/>
                <w:sz w:val="22"/>
              </w:rPr>
            </w:pPr>
            <w:r w:rsidRPr="0002060E">
              <w:rPr>
                <w:noProof/>
                <w:sz w:val="22"/>
              </w:rPr>
              <w:t>Slovenija je v obračunskem obdobju poročanja pričela z izvajanjem aktivnosti v zvezi z ukrepi programa SNV. V nadaljevanju sledi opis</w:t>
            </w:r>
            <w:r w:rsidR="004C4869" w:rsidRPr="0002060E">
              <w:rPr>
                <w:noProof/>
                <w:sz w:val="22"/>
              </w:rPr>
              <w:t>,</w:t>
            </w:r>
            <w:r w:rsidRPr="0002060E">
              <w:rPr>
                <w:noProof/>
                <w:sz w:val="22"/>
              </w:rPr>
              <w:t xml:space="preserve"> kako se je zagotovila skladnost s horizontalnimi načeli iz Uredbe 2021/1060/EU. </w:t>
            </w:r>
          </w:p>
          <w:p w:rsidR="007D1ECB" w:rsidRPr="0002060E" w:rsidRDefault="0002060E" w:rsidP="007D1ECB">
            <w:pPr>
              <w:tabs>
                <w:tab w:val="left" w:pos="2920"/>
              </w:tabs>
              <w:autoSpaceDE w:val="0"/>
              <w:autoSpaceDN w:val="0"/>
              <w:adjustRightInd w:val="0"/>
              <w:spacing w:after="0"/>
              <w:rPr>
                <w:rFonts w:cs="Arial"/>
                <w:sz w:val="22"/>
              </w:rPr>
            </w:pPr>
            <w:r>
              <w:rPr>
                <w:rFonts w:cs="Arial"/>
                <w:sz w:val="22"/>
              </w:rPr>
              <w:t>V</w:t>
            </w:r>
            <w:r w:rsidR="007D1ECB" w:rsidRPr="0002060E">
              <w:rPr>
                <w:rFonts w:cs="Arial"/>
                <w:sz w:val="22"/>
              </w:rPr>
              <w:t xml:space="preserve"> luči učinkovite implementacije relevantnih horizontalnih načel in njihovi uporabi tekom celotnega programskega obdobja, </w:t>
            </w:r>
            <w:r>
              <w:rPr>
                <w:rFonts w:cs="Arial"/>
                <w:sz w:val="22"/>
              </w:rPr>
              <w:t xml:space="preserve">smo </w:t>
            </w:r>
            <w:r w:rsidR="007D1ECB" w:rsidRPr="0002060E">
              <w:rPr>
                <w:rFonts w:cs="Arial"/>
                <w:sz w:val="22"/>
              </w:rPr>
              <w:t>v tem obračunskem obdobju izvajali dve vrsti aktivnosti, ki so bile usmerjene zlasti v njihovo spoštovanje in implementacijo v nadaljnjih fazah izvajanja programov sklada, in sicer:</w:t>
            </w:r>
          </w:p>
          <w:p w:rsidR="002F2E39" w:rsidRPr="0002060E" w:rsidRDefault="007D1ECB" w:rsidP="002F2E39">
            <w:pPr>
              <w:pStyle w:val="Odstavekseznama"/>
              <w:numPr>
                <w:ilvl w:val="0"/>
                <w:numId w:val="30"/>
              </w:numPr>
              <w:spacing w:before="0" w:after="160" w:line="259" w:lineRule="auto"/>
              <w:rPr>
                <w:sz w:val="22"/>
              </w:rPr>
            </w:pPr>
            <w:r w:rsidRPr="0002060E">
              <w:rPr>
                <w:sz w:val="22"/>
              </w:rPr>
              <w:t xml:space="preserve">pripravili smo pravno in vsebinsko osnovo, katere temeljni namen je zagotoviti, da se bodo v programskem obdobju 2021-2027 programi, ki jih podpira sklad, izvajali skladno z določili Listine EU o temeljnih pravicah (v nadaljnjem besedilu: Listina), temeljnimi človekovimi pravicami, da bodo upravičenci pri izvajanju operacij spoštovali načelo enakosti spolov, nediskriminacije ter v izvajanje vključili vidik enakosti spolov. S tem namenom smo: v besedilu nacionalne uredbe, ki </w:t>
            </w:r>
            <w:r w:rsidRPr="0002060E">
              <w:rPr>
                <w:rFonts w:cstheme="minorHAnsi"/>
                <w:noProof/>
                <w:sz w:val="22"/>
              </w:rPr>
              <w:t>na nacionalni ravni določa udeležence evropske politike na področju notranjih zadev in njihove naloge, načrtovanje evropske politike notranjih zadev, način izbora operacij in njihovo potrjevanje ter izvajanje operacij</w:t>
            </w:r>
            <w:r w:rsidRPr="0002060E">
              <w:rPr>
                <w:rStyle w:val="Sprotnaopomba-sklic"/>
                <w:rFonts w:cstheme="minorHAnsi"/>
                <w:noProof/>
                <w:sz w:val="22"/>
              </w:rPr>
              <w:footnoteReference w:id="23"/>
            </w:r>
            <w:r w:rsidRPr="0002060E">
              <w:rPr>
                <w:sz w:val="22"/>
              </w:rPr>
              <w:t xml:space="preserve">, podrobneje opredelili horizontalne </w:t>
            </w:r>
            <w:proofErr w:type="spellStart"/>
            <w:r w:rsidRPr="0002060E">
              <w:rPr>
                <w:sz w:val="22"/>
              </w:rPr>
              <w:t>omogočitvene</w:t>
            </w:r>
            <w:proofErr w:type="spellEnd"/>
            <w:r w:rsidRPr="0002060E">
              <w:rPr>
                <w:sz w:val="22"/>
              </w:rPr>
              <w:t xml:space="preserve"> pogoje, ki vključujejo tudi skladnost z Listino (člen 7) ter v določilu, ki se ureja načelo partnerstva izrecno navedli, da se ta uresničuje tudi z vključitvijo </w:t>
            </w:r>
            <w:r w:rsidRPr="0002060E">
              <w:rPr>
                <w:rFonts w:cs="Arial"/>
                <w:sz w:val="22"/>
                <w:shd w:val="clear" w:color="auto" w:fill="FFFFFF"/>
              </w:rPr>
              <w:t>civilne družbe s področja varstva človekovih pravic in temeljnih svoboščin, pravic invalidov, enakosti spolov in nediskriminacije v odboru za spremljanje (člen 6)</w:t>
            </w:r>
            <w:r w:rsidRPr="0002060E">
              <w:rPr>
                <w:sz w:val="22"/>
              </w:rPr>
              <w:t>; v sprejeti Metodologiji in merilih za izbor operacij smo določili, da se morajo te izvajati ob polnem spoštovanju temeljnih pravic in človekovega dostojanstva, pri čemer morajo biti skladne z Listino in  Evropsko konvencijo o varstvu človekovih pravic in temeljnih svoboščin, pri čemer naj upravičenci posebno pozornost posvetijo skladnosti z načelom nediskriminacije (poglavje 3 – Ugotavljanje upravičenosti); slednje smo vključili tudi v generalni osnutek besedila odločitve o podpori oz. o financiranju operacij (točka IV – Izvajanje operacij); v poslovnik odbora za spremljanje smo vključili dolžnost organa upravljanja, da odboru enkrat letno poroča o morebitnih kršitvah temeljnih človekovih pravic ter izvedenimi popravljalnimi  (člen 6</w:t>
            </w:r>
            <w:r w:rsidR="007C3551" w:rsidRPr="0002060E">
              <w:rPr>
                <w:sz w:val="22"/>
              </w:rPr>
              <w:t>);</w:t>
            </w:r>
          </w:p>
          <w:p w:rsidR="007D1ECB" w:rsidRPr="0002060E" w:rsidRDefault="007D1ECB" w:rsidP="002F2E39">
            <w:pPr>
              <w:pStyle w:val="Odstavekseznama"/>
              <w:numPr>
                <w:ilvl w:val="0"/>
                <w:numId w:val="30"/>
              </w:numPr>
              <w:spacing w:before="0" w:after="160" w:line="259" w:lineRule="auto"/>
              <w:rPr>
                <w:sz w:val="22"/>
              </w:rPr>
            </w:pPr>
            <w:r w:rsidRPr="0002060E">
              <w:rPr>
                <w:sz w:val="22"/>
              </w:rPr>
              <w:t xml:space="preserve">skladno z Metodologijo in merili za izbor operacij smo pri presoji upravičenosti posameznih prijav operacij posebno </w:t>
            </w:r>
            <w:r w:rsidRPr="0002060E">
              <w:rPr>
                <w:rFonts w:cs="Arial"/>
                <w:sz w:val="22"/>
              </w:rPr>
              <w:t xml:space="preserve">pozornost posvečali dejstvu ali se operacije vsebinsko dotikajo </w:t>
            </w:r>
            <w:r w:rsidRPr="0002060E">
              <w:rPr>
                <w:rFonts w:cs="Arial"/>
                <w:sz w:val="22"/>
              </w:rPr>
              <w:lastRenderedPageBreak/>
              <w:t>področij oziroma ali projektne prijave vsebujejo elemente, ki bi potencialno lahko vodili v kršitev določil Listine ali temeljnih človekovih pravic, načela enakosti spolov in načela nediskriminacije. Pri tem dodajamo, da tovrstnih elementov v obravnavanih projektnih prijavah nismo zaznali.</w:t>
            </w:r>
          </w:p>
        </w:tc>
      </w:tr>
    </w:tbl>
    <w:p w:rsidR="006A41E2" w:rsidRPr="003A1616" w:rsidRDefault="00C30ACF" w:rsidP="00C30ACF">
      <w:pPr>
        <w:pStyle w:val="ManualHeading1"/>
        <w:rPr>
          <w:noProof/>
        </w:rPr>
      </w:pPr>
      <w:r w:rsidRPr="003A1616">
        <w:lastRenderedPageBreak/>
        <w:t>6.</w:t>
      </w:r>
      <w:r w:rsidRPr="003A1616">
        <w:tab/>
      </w:r>
      <w:r w:rsidR="006A41E2" w:rsidRPr="003A1616">
        <w:rPr>
          <w:noProof/>
        </w:rPr>
        <w:t>Projekti v tretjih državah ali v zvezi z njimi – člen 30(2), točka (g), Uredbe (EU) 2021/1149</w:t>
      </w:r>
    </w:p>
    <w:p w:rsidR="006A41E2" w:rsidRPr="003A1616" w:rsidRDefault="001B037F" w:rsidP="006A41E2">
      <w:pPr>
        <w:rPr>
          <w:noProof/>
          <w:sz w:val="22"/>
        </w:rPr>
      </w:pPr>
      <w:r w:rsidRPr="003A1616">
        <w:rPr>
          <w:noProof/>
          <w:sz w:val="22"/>
        </w:rPr>
        <w:t xml:space="preserve">Opišite vse ukrepe, ki se med obračunskim letom izvajajo v tretjih državah ali v zvezi z njimi, in kako ti ukrepi ustvarjajo dodano vrednost Unije pri doseganju ciljev, ki jih je določil Sklad. Navedite imena zadevnih tretjih držav. Če je ustrezno, navedite posvetovanja s Komisijo, ki so potekala pred odobritvijo projekta (člen 13(11) Uredbe (EU) 2021/1149). </w:t>
      </w:r>
    </w:p>
    <w:tbl>
      <w:tblPr>
        <w:tblStyle w:val="Tabelamrea"/>
        <w:tblW w:w="0" w:type="auto"/>
        <w:tblLook w:val="04A0" w:firstRow="1" w:lastRow="0" w:firstColumn="1" w:lastColumn="0" w:noHBand="0" w:noVBand="1"/>
      </w:tblPr>
      <w:tblGrid>
        <w:gridCol w:w="9063"/>
      </w:tblGrid>
      <w:tr w:rsidR="006A41E2" w:rsidRPr="003A1616" w:rsidTr="00E45665">
        <w:tc>
          <w:tcPr>
            <w:tcW w:w="9289" w:type="dxa"/>
          </w:tcPr>
          <w:p w:rsidR="006A41E2" w:rsidRPr="003A1616" w:rsidRDefault="00F64323" w:rsidP="00F64323">
            <w:pPr>
              <w:pStyle w:val="Personnequisigne"/>
              <w:jc w:val="both"/>
              <w:rPr>
                <w:noProof/>
              </w:rPr>
            </w:pPr>
            <w:r w:rsidRPr="003A1616">
              <w:rPr>
                <w:i w:val="0"/>
                <w:noProof/>
                <w:sz w:val="22"/>
              </w:rPr>
              <w:t>Slovenija v tem obračunskem obdobju ni izvajala ukrepov ali operacij v tretjih državah ali v zvezi z njimi.</w:t>
            </w:r>
          </w:p>
        </w:tc>
      </w:tr>
    </w:tbl>
    <w:p w:rsidR="006A41E2" w:rsidRPr="003A1616" w:rsidRDefault="00C30ACF" w:rsidP="00C30ACF">
      <w:pPr>
        <w:pStyle w:val="ManualHeading1"/>
        <w:rPr>
          <w:noProof/>
        </w:rPr>
      </w:pPr>
      <w:r w:rsidRPr="003A1616">
        <w:t>7.</w:t>
      </w:r>
      <w:r w:rsidRPr="003A1616">
        <w:tab/>
      </w:r>
      <w:r w:rsidR="006A41E2" w:rsidRPr="003A1616">
        <w:rPr>
          <w:noProof/>
        </w:rPr>
        <w:t>Povzetek – člen 30(2) Uredbe (EU) 2021/1149</w:t>
      </w:r>
    </w:p>
    <w:p w:rsidR="006A41E2" w:rsidRPr="003A1616" w:rsidRDefault="00093D5B" w:rsidP="006A41E2">
      <w:pPr>
        <w:rPr>
          <w:noProof/>
          <w:sz w:val="22"/>
        </w:rPr>
      </w:pPr>
      <w:r w:rsidRPr="003A1616">
        <w:rPr>
          <w:noProof/>
          <w:sz w:val="22"/>
        </w:rPr>
        <w:t xml:space="preserve">Predložite povzetek oddelkov 1 do 6, ki bo preveden in javno dostopen. </w:t>
      </w:r>
    </w:p>
    <w:p w:rsidR="006A41E2" w:rsidRPr="003A1616" w:rsidRDefault="006A41E2" w:rsidP="006A41E2">
      <w:pPr>
        <w:rPr>
          <w:noProof/>
          <w:sz w:val="22"/>
        </w:rPr>
      </w:pPr>
      <w:r w:rsidRPr="003A1616">
        <w:rPr>
          <w:noProof/>
          <w:sz w:val="22"/>
        </w:rPr>
        <w:t xml:space="preserve">Povzetek mora zajemati vsaj vse točke iz člena 30(2) in bi moral biti po možnosti strukturiran po teh točkah. </w:t>
      </w:r>
    </w:p>
    <w:p w:rsidR="006A41E2" w:rsidRPr="003A1616" w:rsidRDefault="006A41E2" w:rsidP="008A19C4">
      <w:pPr>
        <w:rPr>
          <w:noProof/>
          <w:sz w:val="22"/>
        </w:rPr>
      </w:pPr>
      <w:r w:rsidRPr="003A1616">
        <w:rPr>
          <w:noProof/>
          <w:sz w:val="22"/>
        </w:rPr>
        <w:t xml:space="preserve">Spodbuja se uporaba alinej, krepkega besedila ali informativnih razdelkov, da lahko zainteresirani deležniki zlahka prepoznajo glavne dosežke programa in glavna vprašanja, ki vplivajo na njegovo smotrnost. </w:t>
      </w:r>
    </w:p>
    <w:tbl>
      <w:tblPr>
        <w:tblStyle w:val="Tabelamrea"/>
        <w:tblW w:w="0" w:type="auto"/>
        <w:tblLook w:val="04A0" w:firstRow="1" w:lastRow="0" w:firstColumn="1" w:lastColumn="0" w:noHBand="0" w:noVBand="1"/>
      </w:tblPr>
      <w:tblGrid>
        <w:gridCol w:w="9063"/>
      </w:tblGrid>
      <w:tr w:rsidR="009057F2" w:rsidRPr="009057F2" w:rsidTr="00E45665">
        <w:tc>
          <w:tcPr>
            <w:tcW w:w="9289" w:type="dxa"/>
          </w:tcPr>
          <w:p w:rsidR="009057F2" w:rsidRPr="0002060E" w:rsidRDefault="009057F2" w:rsidP="009057F2">
            <w:pPr>
              <w:pStyle w:val="Personnequisigne"/>
              <w:jc w:val="both"/>
              <w:rPr>
                <w:i w:val="0"/>
                <w:sz w:val="22"/>
              </w:rPr>
            </w:pPr>
            <w:r w:rsidRPr="0002060E">
              <w:rPr>
                <w:b/>
                <w:i w:val="0"/>
                <w:sz w:val="22"/>
              </w:rPr>
              <w:t>1. Smotrnost</w:t>
            </w:r>
            <w:r w:rsidRPr="0002060E">
              <w:rPr>
                <w:i w:val="0"/>
                <w:sz w:val="22"/>
              </w:rPr>
              <w:t xml:space="preserve">: </w:t>
            </w:r>
            <w:r w:rsidRPr="0002060E">
              <w:rPr>
                <w:i w:val="0"/>
                <w:noProof/>
                <w:sz w:val="22"/>
              </w:rPr>
              <w:t>Program Sklada za notranjo varnost (program SNV) je bil potrjen šele 24. novembra 2022, zato je Slovenija v obračunskem obdobju poročanja, tj. od 1.</w:t>
            </w:r>
            <w:r w:rsidR="009D2D15" w:rsidRPr="0002060E">
              <w:rPr>
                <w:i w:val="0"/>
                <w:noProof/>
                <w:sz w:val="22"/>
              </w:rPr>
              <w:t> </w:t>
            </w:r>
            <w:r w:rsidRPr="0002060E">
              <w:rPr>
                <w:i w:val="0"/>
                <w:noProof/>
                <w:sz w:val="22"/>
              </w:rPr>
              <w:t>7.</w:t>
            </w:r>
            <w:r w:rsidR="009D2D15" w:rsidRPr="0002060E">
              <w:rPr>
                <w:i w:val="0"/>
                <w:noProof/>
                <w:sz w:val="22"/>
              </w:rPr>
              <w:t> </w:t>
            </w:r>
            <w:r w:rsidRPr="0002060E">
              <w:rPr>
                <w:i w:val="0"/>
                <w:noProof/>
                <w:sz w:val="22"/>
              </w:rPr>
              <w:t>2022 do 30.</w:t>
            </w:r>
            <w:r w:rsidR="009D2D15" w:rsidRPr="0002060E">
              <w:rPr>
                <w:i w:val="0"/>
                <w:noProof/>
                <w:sz w:val="22"/>
              </w:rPr>
              <w:t> </w:t>
            </w:r>
            <w:r w:rsidRPr="0002060E">
              <w:rPr>
                <w:i w:val="0"/>
                <w:noProof/>
                <w:sz w:val="22"/>
              </w:rPr>
              <w:t>6.</w:t>
            </w:r>
            <w:r w:rsidR="009D2D15" w:rsidRPr="0002060E">
              <w:rPr>
                <w:i w:val="0"/>
                <w:noProof/>
                <w:sz w:val="22"/>
              </w:rPr>
              <w:t> </w:t>
            </w:r>
            <w:r w:rsidRPr="0002060E">
              <w:rPr>
                <w:i w:val="0"/>
                <w:noProof/>
                <w:sz w:val="22"/>
              </w:rPr>
              <w:t>2023, šele pričela z izvajanjem aktivnosti v zvezi s programom SNV.</w:t>
            </w:r>
          </w:p>
          <w:p w:rsidR="009057F2" w:rsidRPr="0002060E" w:rsidRDefault="009057F2" w:rsidP="009057F2">
            <w:pPr>
              <w:pStyle w:val="Personnequisigne"/>
              <w:jc w:val="both"/>
              <w:rPr>
                <w:i w:val="0"/>
                <w:sz w:val="22"/>
              </w:rPr>
            </w:pPr>
          </w:p>
          <w:p w:rsidR="009057F2" w:rsidRPr="0002060E" w:rsidRDefault="009057F2" w:rsidP="009057F2">
            <w:pPr>
              <w:pStyle w:val="Personnequisigne"/>
              <w:jc w:val="both"/>
              <w:rPr>
                <w:i w:val="0"/>
                <w:noProof/>
                <w:sz w:val="22"/>
              </w:rPr>
            </w:pPr>
            <w:r w:rsidRPr="0002060E">
              <w:rPr>
                <w:i w:val="0"/>
                <w:sz w:val="22"/>
              </w:rPr>
              <w:t>V tem obdobju je organ upravljanja (OU) pripravil Akcijski načrt za program SNV (Akcijski načrt SNV), ki predstavlja razdelitev/dodelitev vseh finančnih sredstev upravičenem. Določa tudi način dodelitve (javni razpis ali neposredna dodelitev).</w:t>
            </w:r>
            <w:r w:rsidRPr="0002060E">
              <w:rPr>
                <w:i w:val="0"/>
                <w:noProof/>
                <w:sz w:val="22"/>
              </w:rPr>
              <w:t xml:space="preserve"> Glede na akcijski načrt SNV se bo izvajalo predvidoma 35 operacij (od tega 34 neposredne dodelitve in 1 javni razpis -</w:t>
            </w:r>
            <w:r w:rsidRPr="0002060E">
              <w:t xml:space="preserve"> </w:t>
            </w:r>
            <w:r w:rsidRPr="0002060E">
              <w:rPr>
                <w:i w:val="0"/>
                <w:noProof/>
                <w:sz w:val="22"/>
              </w:rPr>
              <w:t>Nadaljevanje zaščite žrtev trgovine z ljudmi ter programa njihove reintegracije). OU je potrdil začetek izvajanja 13 operacij neposredne dodelitve, ostale so ali v pripravi s strani upravičenca ali v fazi pregleda pri OU. Začeli so se tudi postopki za pripravo razpisne dokumentacije za javn</w:t>
            </w:r>
            <w:r w:rsidR="009D2D15" w:rsidRPr="0002060E">
              <w:rPr>
                <w:i w:val="0"/>
                <w:noProof/>
                <w:sz w:val="22"/>
              </w:rPr>
              <w:t>i</w:t>
            </w:r>
            <w:r w:rsidRPr="0002060E">
              <w:rPr>
                <w:i w:val="0"/>
                <w:noProof/>
                <w:sz w:val="22"/>
              </w:rPr>
              <w:t xml:space="preserve"> razpis.</w:t>
            </w:r>
          </w:p>
          <w:p w:rsidR="009057F2" w:rsidRPr="0002060E" w:rsidRDefault="009057F2" w:rsidP="009057F2">
            <w:pPr>
              <w:pStyle w:val="Personnequisigne"/>
              <w:jc w:val="both"/>
              <w:rPr>
                <w:i w:val="0"/>
                <w:sz w:val="22"/>
              </w:rPr>
            </w:pPr>
          </w:p>
          <w:p w:rsidR="009057F2" w:rsidRPr="0002060E" w:rsidRDefault="009057F2" w:rsidP="009057F2">
            <w:pPr>
              <w:pStyle w:val="Brezrazmikov"/>
              <w:jc w:val="both"/>
              <w:rPr>
                <w:rFonts w:ascii="Times New Roman" w:hAnsi="Times New Roman" w:cs="Times New Roman"/>
              </w:rPr>
            </w:pPr>
            <w:r w:rsidRPr="0002060E">
              <w:rPr>
                <w:rFonts w:ascii="Times New Roman" w:hAnsi="Times New Roman" w:cs="Times New Roman"/>
                <w:shd w:val="clear" w:color="auto" w:fill="FFFFFF"/>
              </w:rPr>
              <w:t xml:space="preserve">V okviru Specifičnega cilja 1 smo odobrili sredstva naslednjim operacijam: </w:t>
            </w:r>
            <w:r w:rsidRPr="0002060E">
              <w:rPr>
                <w:rFonts w:ascii="Times New Roman" w:hAnsi="Times New Roman" w:cs="Times New Roman"/>
              </w:rPr>
              <w:t xml:space="preserve">Vzdrževanje in nadaljnji razvoj SI sistema PNR; Povečanje nacionalnih zmogljivosti za zbiranje, analizo in izmenjavo podatkov DNK; Krepitev zmogljivosti za identifikacijo tarčnih </w:t>
            </w:r>
            <w:proofErr w:type="spellStart"/>
            <w:r w:rsidRPr="0002060E">
              <w:rPr>
                <w:rFonts w:ascii="Times New Roman" w:hAnsi="Times New Roman" w:cs="Times New Roman"/>
              </w:rPr>
              <w:t>analitov</w:t>
            </w:r>
            <w:proofErr w:type="spellEnd"/>
            <w:r w:rsidRPr="0002060E">
              <w:rPr>
                <w:rFonts w:ascii="Times New Roman" w:hAnsi="Times New Roman" w:cs="Times New Roman"/>
              </w:rPr>
              <w:t>; Okrepitev mednarodnega sodelovanja proti spolnemu izkoriščanju mladoletnih oseb.</w:t>
            </w:r>
          </w:p>
          <w:p w:rsidR="009057F2" w:rsidRPr="0002060E" w:rsidRDefault="009057F2" w:rsidP="009057F2">
            <w:pPr>
              <w:rPr>
                <w:sz w:val="22"/>
              </w:rPr>
            </w:pPr>
            <w:r w:rsidRPr="0002060E">
              <w:rPr>
                <w:sz w:val="22"/>
                <w:shd w:val="clear" w:color="auto" w:fill="FFFFFF"/>
              </w:rPr>
              <w:t xml:space="preserve">V okviru Specifičnega cilja 2 smo odobrili sredstva naslednjim operacijam: </w:t>
            </w:r>
            <w:r w:rsidRPr="0002060E">
              <w:rPr>
                <w:sz w:val="22"/>
              </w:rPr>
              <w:t>Učinkovito izvajanje prikritih preiskovalnih ukrepov, Sodelovanje v različnih evropskih mrežah in Okrepitev kapacitet in izboljšanje usposobljenosti specializiranih služb.</w:t>
            </w:r>
          </w:p>
          <w:p w:rsidR="009057F2" w:rsidRPr="0002060E" w:rsidRDefault="009057F2" w:rsidP="009057F2">
            <w:pPr>
              <w:rPr>
                <w:sz w:val="22"/>
              </w:rPr>
            </w:pPr>
            <w:r w:rsidRPr="0002060E">
              <w:rPr>
                <w:sz w:val="22"/>
                <w:shd w:val="clear" w:color="auto" w:fill="FFFFFF"/>
              </w:rPr>
              <w:t>V okviru Specifičnega cilja 3 smo odobrili sredstva naslednjim operacijam:</w:t>
            </w:r>
            <w:r w:rsidRPr="0002060E">
              <w:rPr>
                <w:sz w:val="22"/>
              </w:rPr>
              <w:t xml:space="preserve"> Izboljšanje kapacitet za preiskovanje gospodarske kriminalitete, Vzpostavitev nacionalnih kapacitet na področju </w:t>
            </w:r>
            <w:proofErr w:type="spellStart"/>
            <w:r w:rsidRPr="0002060E">
              <w:rPr>
                <w:sz w:val="22"/>
              </w:rPr>
              <w:t>okoljske</w:t>
            </w:r>
            <w:proofErr w:type="spellEnd"/>
            <w:r w:rsidRPr="0002060E">
              <w:rPr>
                <w:sz w:val="22"/>
              </w:rPr>
              <w:t xml:space="preserve"> kriminalitete, Učinkovita zaščita prič in žvižgačev, Usposabljanja za krepitev boja proti hudim in organiziranim oblikam kriminala in terorizma, Okrepitev ter nadgradnja sistemov za strateško odločanje in Izboljšanje kapacitet na področju kibernetske kriminalitete in digitalne </w:t>
            </w:r>
            <w:proofErr w:type="spellStart"/>
            <w:r w:rsidRPr="0002060E">
              <w:rPr>
                <w:sz w:val="22"/>
              </w:rPr>
              <w:t>forenzike</w:t>
            </w:r>
            <w:proofErr w:type="spellEnd"/>
            <w:r w:rsidRPr="0002060E">
              <w:rPr>
                <w:sz w:val="22"/>
              </w:rPr>
              <w:t>.</w:t>
            </w:r>
          </w:p>
          <w:p w:rsidR="009057F2" w:rsidRPr="0002060E" w:rsidRDefault="009057F2" w:rsidP="009057F2">
            <w:pPr>
              <w:pStyle w:val="Personnequisigne"/>
              <w:jc w:val="both"/>
              <w:rPr>
                <w:i w:val="0"/>
                <w:sz w:val="22"/>
              </w:rPr>
            </w:pPr>
          </w:p>
          <w:p w:rsidR="009057F2" w:rsidRPr="0002060E" w:rsidRDefault="009057F2" w:rsidP="009057F2">
            <w:pPr>
              <w:pStyle w:val="Personnequisigne"/>
              <w:jc w:val="both"/>
              <w:rPr>
                <w:i w:val="0"/>
                <w:sz w:val="22"/>
              </w:rPr>
            </w:pPr>
            <w:r w:rsidRPr="0002060E">
              <w:rPr>
                <w:i w:val="0"/>
                <w:sz w:val="22"/>
              </w:rPr>
              <w:t xml:space="preserve">Zaradi poznejše potrditve programa SNV in posledično začetka izvajanja operacij pričakujemo, da bodo v večini primerov zastavljeni cilji (2029) doseženi v nižjem obsegu. Razlog je, da so se nekatere aktivnosti izvedbe z uporabo drugih virov financiranja ali pa se so v tem času spremenile potrebe </w:t>
            </w:r>
            <w:r w:rsidRPr="0002060E">
              <w:rPr>
                <w:i w:val="0"/>
                <w:sz w:val="22"/>
              </w:rPr>
              <w:lastRenderedPageBreak/>
              <w:t>upravičenca. OU je v fazi usklajevanja spremenjenega programa SNV, kjer bodo razvidne prej omenjene vsebine</w:t>
            </w:r>
            <w:r w:rsidR="009D2D15" w:rsidRPr="0002060E">
              <w:rPr>
                <w:i w:val="0"/>
                <w:sz w:val="22"/>
              </w:rPr>
              <w:t>,</w:t>
            </w:r>
            <w:r w:rsidRPr="0002060E">
              <w:rPr>
                <w:i w:val="0"/>
                <w:sz w:val="22"/>
              </w:rPr>
              <w:t xml:space="preserve"> kot tudi spremembe programa zaradi prenosa 5% iz programa SNV. Menimo, da bo po potrditvi programa doseganje zastavljenih ciljev bolj realno. Razlog za zamudo je tudi</w:t>
            </w:r>
            <w:r w:rsidR="009D2D15" w:rsidRPr="0002060E">
              <w:rPr>
                <w:i w:val="0"/>
                <w:sz w:val="22"/>
              </w:rPr>
              <w:t>,</w:t>
            </w:r>
            <w:r w:rsidRPr="0002060E">
              <w:rPr>
                <w:i w:val="0"/>
                <w:sz w:val="22"/>
              </w:rPr>
              <w:t xml:space="preserve"> da so upravičen</w:t>
            </w:r>
            <w:r w:rsidR="009D2D15" w:rsidRPr="0002060E">
              <w:rPr>
                <w:i w:val="0"/>
                <w:sz w:val="22"/>
              </w:rPr>
              <w:t>c</w:t>
            </w:r>
            <w:r w:rsidRPr="0002060E">
              <w:rPr>
                <w:i w:val="0"/>
                <w:sz w:val="22"/>
              </w:rPr>
              <w:t>i šele konec 2023 in v začetku 2024 pričeli z izvedbo nekaterih postopkov za izpeljavo javnih naročil (dobava blaga in storitve) in/ali s pripravo dokumentacije za pozive za javne razpis</w:t>
            </w:r>
            <w:r w:rsidR="009D2D15" w:rsidRPr="0002060E">
              <w:rPr>
                <w:i w:val="0"/>
                <w:sz w:val="22"/>
              </w:rPr>
              <w:t>e</w:t>
            </w:r>
            <w:r w:rsidRPr="0002060E">
              <w:rPr>
                <w:i w:val="0"/>
                <w:sz w:val="22"/>
              </w:rPr>
              <w:t xml:space="preserve">, zato bodo pogodbe za izvajanje podpisane šele konec 2024 ali v začetku 2025. Tretji razlog pa je tudi prioritetna poraba preostalih/neporabljenih sredstev v okviru programa </w:t>
            </w:r>
            <w:r w:rsidR="009D2D15" w:rsidRPr="0002060E">
              <w:rPr>
                <w:i w:val="0"/>
                <w:sz w:val="22"/>
              </w:rPr>
              <w:t>ISF-P</w:t>
            </w:r>
            <w:r w:rsidRPr="0002060E">
              <w:rPr>
                <w:i w:val="0"/>
                <w:sz w:val="22"/>
              </w:rPr>
              <w:t xml:space="preserve"> 14-20, ki so se koristila v nekaterih primerih do konca 2023.</w:t>
            </w:r>
          </w:p>
          <w:p w:rsidR="009057F2" w:rsidRPr="0002060E" w:rsidRDefault="009057F2" w:rsidP="009057F2"/>
          <w:p w:rsidR="009057F2" w:rsidRPr="0002060E" w:rsidRDefault="009057F2" w:rsidP="009057F2">
            <w:r w:rsidRPr="0002060E">
              <w:rPr>
                <w:sz w:val="22"/>
              </w:rPr>
              <w:t>OU je vzpostavil informacijski sistem MIGRA III</w:t>
            </w:r>
            <w:r w:rsidR="009D2D15" w:rsidRPr="0002060E">
              <w:rPr>
                <w:sz w:val="22"/>
              </w:rPr>
              <w:t>,</w:t>
            </w:r>
            <w:r w:rsidRPr="0002060E">
              <w:rPr>
                <w:sz w:val="22"/>
              </w:rPr>
              <w:t xml:space="preserve"> preko katerega poteka izmenjava informacij med OU in upravičenci, </w:t>
            </w:r>
            <w:proofErr w:type="spellStart"/>
            <w:r w:rsidRPr="0002060E">
              <w:rPr>
                <w:sz w:val="22"/>
              </w:rPr>
              <w:t>t.j</w:t>
            </w:r>
            <w:proofErr w:type="spellEnd"/>
            <w:r w:rsidRPr="0002060E">
              <w:rPr>
                <w:sz w:val="22"/>
              </w:rPr>
              <w:t>. oddaja prijav operacij, poročanje o izvajanju operacij (zahtevki za povračilo) ter vzpostavil sistem upravljanja in nadzora, kar je omogočilo oddajo prvih prijav operacij. Kljub temu, da se je začelo izvajanje 13 operacij iz programa SNV (neposredna dodelitev), v obdobju poročanja, s strani upravičencev, še niso bili posredovani zahtevki za povračilo, kjer upravičenci poročajo finančne in vsebinske podatke o izvajanju posamezne operacije.</w:t>
            </w:r>
          </w:p>
          <w:p w:rsidR="009057F2" w:rsidRPr="0002060E" w:rsidRDefault="009057F2" w:rsidP="009057F2">
            <w:pPr>
              <w:pStyle w:val="Personnequisigne"/>
              <w:jc w:val="both"/>
              <w:rPr>
                <w:i w:val="0"/>
                <w:sz w:val="22"/>
              </w:rPr>
            </w:pPr>
          </w:p>
          <w:p w:rsidR="009057F2" w:rsidRPr="0002060E" w:rsidRDefault="009057F2" w:rsidP="009057F2">
            <w:pPr>
              <w:pStyle w:val="Personnequisigne"/>
              <w:jc w:val="both"/>
              <w:rPr>
                <w:i w:val="0"/>
                <w:sz w:val="22"/>
              </w:rPr>
            </w:pPr>
            <w:r w:rsidRPr="0002060E">
              <w:rPr>
                <w:i w:val="0"/>
                <w:sz w:val="22"/>
              </w:rPr>
              <w:t xml:space="preserve">Ostale operacije so ali v pripravi s strani upravičenca ali v fazi pregleda pri OU. Začeli so se tudi postopki za pripravo razpisne dokumentacije </w:t>
            </w:r>
            <w:r w:rsidR="009D2D15" w:rsidRPr="0002060E">
              <w:rPr>
                <w:i w:val="0"/>
                <w:sz w:val="22"/>
              </w:rPr>
              <w:t xml:space="preserve">za </w:t>
            </w:r>
            <w:r w:rsidRPr="0002060E">
              <w:rPr>
                <w:i w:val="0"/>
                <w:sz w:val="22"/>
              </w:rPr>
              <w:t>načrtovan</w:t>
            </w:r>
            <w:r w:rsidR="009D2D15" w:rsidRPr="0002060E">
              <w:rPr>
                <w:i w:val="0"/>
                <w:sz w:val="22"/>
              </w:rPr>
              <w:t>i</w:t>
            </w:r>
            <w:r w:rsidRPr="0002060E">
              <w:rPr>
                <w:i w:val="0"/>
                <w:sz w:val="22"/>
              </w:rPr>
              <w:t xml:space="preserve"> javni razpis. V obdobju poročanja OU s strani upravičencev še ni prejel zahtevkov za povračilo, kjer upravičenci poročajo finančne in vsebinske podatke o izvajanju posamezne operacije. </w:t>
            </w:r>
          </w:p>
          <w:p w:rsidR="009057F2" w:rsidRPr="0002060E" w:rsidRDefault="009057F2" w:rsidP="009057F2">
            <w:pPr>
              <w:pStyle w:val="Personnequisigne"/>
              <w:jc w:val="both"/>
              <w:rPr>
                <w:i w:val="0"/>
                <w:noProof/>
                <w:sz w:val="22"/>
              </w:rPr>
            </w:pPr>
          </w:p>
          <w:p w:rsidR="009057F2" w:rsidRPr="0002060E" w:rsidRDefault="009057F2" w:rsidP="009057F2">
            <w:pPr>
              <w:pStyle w:val="Personnequisigne"/>
              <w:jc w:val="both"/>
              <w:rPr>
                <w:i w:val="0"/>
                <w:noProof/>
                <w:sz w:val="22"/>
              </w:rPr>
            </w:pPr>
            <w:r w:rsidRPr="0002060E">
              <w:rPr>
                <w:i w:val="0"/>
                <w:noProof/>
                <w:sz w:val="22"/>
              </w:rPr>
              <w:t xml:space="preserve">Trenutne aktivnosti programa niso prispevale k ublažitvi učinkov vseh relevantnih in nenadnih kontekstualnih sprememb, ki bi povzročile nepredvidene varnostne grožnje. V ta namen niso bila prerazporejena sredstva.  </w:t>
            </w:r>
          </w:p>
          <w:p w:rsidR="009057F2" w:rsidRPr="0002060E" w:rsidRDefault="009057F2" w:rsidP="009057F2">
            <w:pPr>
              <w:pStyle w:val="Personnequisigne"/>
              <w:jc w:val="both"/>
              <w:rPr>
                <w:i w:val="0"/>
                <w:sz w:val="22"/>
              </w:rPr>
            </w:pPr>
            <w:r w:rsidRPr="0002060E">
              <w:rPr>
                <w:i w:val="0"/>
                <w:noProof/>
                <w:sz w:val="22"/>
              </w:rPr>
              <w:t>Slovenija sredstev operativne podpore še ni koristila, zato ne moremo poročati o uporabi operativne podpore ali podati opisa, kako je prispevala k doseganju ciljev programa SNV. V obračunskem obdobju poročanja je Slovenija</w:t>
            </w:r>
            <w:r w:rsidR="00FC7155" w:rsidRPr="0002060E">
              <w:rPr>
                <w:i w:val="0"/>
                <w:noProof/>
                <w:sz w:val="22"/>
              </w:rPr>
              <w:t xml:space="preserve"> </w:t>
            </w:r>
            <w:r w:rsidRPr="0002060E">
              <w:rPr>
                <w:i w:val="0"/>
                <w:noProof/>
                <w:sz w:val="22"/>
              </w:rPr>
              <w:t xml:space="preserve">v program SNV vključila posebni ukrep </w:t>
            </w:r>
            <w:r w:rsidRPr="0002060E">
              <w:rPr>
                <w:i w:val="0"/>
              </w:rPr>
              <w:t xml:space="preserve">- EMPACT. </w:t>
            </w:r>
            <w:r w:rsidRPr="0002060E">
              <w:rPr>
                <w:i w:val="0"/>
                <w:noProof/>
                <w:sz w:val="22"/>
              </w:rPr>
              <w:t xml:space="preserve">Gre za uspešno sodelovanje, saj je dosežena krepitev čezmejnega sodelovanja med pristojnimi organi za boj proti hudim in organiziranim oblikam kriminalitete, kar prispeva k doseganju ciljev programa SNV in ustvarjanju dodane vrednosti Unije. V obdobju poročanja upravičenec za navedno operacijo še ni zahteval povračila stroškov. Ni pa v skladu z 39(4) točko (e) Uredbe 2021/1149/EU nadaljevala s projekti iz preteklega programskega obdobja. </w:t>
            </w:r>
            <w:r w:rsidRPr="0002060E">
              <w:rPr>
                <w:i w:val="0"/>
                <w:sz w:val="22"/>
              </w:rPr>
              <w:t>V obdobju poročanja je OU z odločitvijo o podpori potrdil začetek izvajanja 13 operacij iz programa SNV (neposredna dodelitev), vendar v obdobju poročanja s strani upravičencev še ni prejel zahtevkov za povračilo, kjer upravičenci poročajo finančne in vsebinske podatke o izvajanju posamezne operacije na podlagi katerih bi lahko poročal o izdatkih za opremo, prevozna sredstva ali izgradnjo za varnost pomembnih zmogljivosti.</w:t>
            </w:r>
          </w:p>
          <w:p w:rsidR="009057F2" w:rsidRPr="0002060E" w:rsidRDefault="009057F2" w:rsidP="009057F2">
            <w:pPr>
              <w:pStyle w:val="Personnequisigne"/>
              <w:jc w:val="both"/>
              <w:rPr>
                <w:i w:val="0"/>
                <w:noProof/>
                <w:sz w:val="22"/>
              </w:rPr>
            </w:pPr>
          </w:p>
          <w:p w:rsidR="009057F2" w:rsidRPr="0002060E" w:rsidRDefault="009057F2" w:rsidP="009057F2">
            <w:pPr>
              <w:pStyle w:val="Personnequisigne"/>
              <w:jc w:val="both"/>
              <w:rPr>
                <w:i w:val="0"/>
                <w:noProof/>
                <w:sz w:val="22"/>
              </w:rPr>
            </w:pPr>
          </w:p>
          <w:p w:rsidR="009057F2" w:rsidRPr="0002060E" w:rsidRDefault="009057F2" w:rsidP="009057F2">
            <w:pPr>
              <w:pStyle w:val="Personnequisigne"/>
              <w:jc w:val="both"/>
              <w:rPr>
                <w:i w:val="0"/>
              </w:rPr>
            </w:pPr>
            <w:r w:rsidRPr="0002060E">
              <w:rPr>
                <w:b/>
                <w:i w:val="0"/>
                <w:noProof/>
                <w:sz w:val="22"/>
              </w:rPr>
              <w:t>2. Dopolnjevanja:</w:t>
            </w:r>
            <w:r w:rsidRPr="0002060E">
              <w:rPr>
                <w:i w:val="0"/>
                <w:noProof/>
                <w:sz w:val="22"/>
              </w:rPr>
              <w:t xml:space="preserve"> Slovenija je v obračunskem obdobju poročanja pričela z izvajanjem aktivnosti v zvezi z ukrepi programa SNV, zato še ne moremo poročati o doseženih dopolnjevanjih in sinergijah med obračunskim letom. OU je za preverjanje dopolnjevanja predvidel določene aktivnosti. V </w:t>
            </w:r>
            <w:r w:rsidRPr="0002060E">
              <w:rPr>
                <w:b/>
                <w:i w:val="0"/>
                <w:noProof/>
                <w:sz w:val="22"/>
              </w:rPr>
              <w:t>fazi izbora</w:t>
            </w:r>
            <w:r w:rsidRPr="0002060E">
              <w:rPr>
                <w:i w:val="0"/>
                <w:noProof/>
                <w:sz w:val="22"/>
              </w:rPr>
              <w:t xml:space="preserve"> operacije OU preverja morebitno dopolnjevanje. </w:t>
            </w:r>
            <w:r w:rsidR="00AD27EF" w:rsidRPr="00BE2272">
              <w:rPr>
                <w:i w:val="0"/>
                <w:noProof/>
                <w:sz w:val="22"/>
              </w:rPr>
              <w:t xml:space="preserve">V </w:t>
            </w:r>
            <w:r w:rsidR="00AD27EF" w:rsidRPr="00BE2272">
              <w:rPr>
                <w:b/>
                <w:i w:val="0"/>
                <w:noProof/>
                <w:sz w:val="22"/>
              </w:rPr>
              <w:t>fazi upravljalnih preverjanj</w:t>
            </w:r>
            <w:r w:rsidR="00AD27EF" w:rsidRPr="00BE2272">
              <w:rPr>
                <w:i w:val="0"/>
                <w:noProof/>
                <w:sz w:val="22"/>
              </w:rPr>
              <w:t xml:space="preserve"> bo temu namenjen večji pomen, zlasti v sklopu preverjanja dvojnega </w:t>
            </w:r>
            <w:r w:rsidR="00AD27EF" w:rsidRPr="00AD27EF">
              <w:rPr>
                <w:i w:val="0"/>
                <w:noProof/>
                <w:sz w:val="22"/>
              </w:rPr>
              <w:t>financiranja. Pri izvedbi administrativne kontrole mora OU preveriti možnost dopolnjevanja iz drugih programov, pozivov ali razpisov EU. OU bo vzpostavil sistem izmenjave podatkov na temo komplementarnosti tudi z drugimi</w:t>
            </w:r>
            <w:r w:rsidR="00AD27EF" w:rsidRPr="00BE2272">
              <w:rPr>
                <w:i w:val="0"/>
                <w:noProof/>
                <w:sz w:val="22"/>
              </w:rPr>
              <w:t xml:space="preserve"> organi upravljanja ter sistem poročanja o komplementarnosti na ravni poročanja upravičencev.</w:t>
            </w:r>
          </w:p>
          <w:p w:rsidR="009057F2" w:rsidRPr="0002060E" w:rsidRDefault="009057F2" w:rsidP="009057F2">
            <w:pPr>
              <w:pStyle w:val="Personnequisigne"/>
              <w:jc w:val="both"/>
              <w:rPr>
                <w:b/>
                <w:i w:val="0"/>
                <w:noProof/>
                <w:sz w:val="22"/>
              </w:rPr>
            </w:pPr>
          </w:p>
          <w:p w:rsidR="009057F2" w:rsidRDefault="009057F2" w:rsidP="009057F2">
            <w:pPr>
              <w:rPr>
                <w:noProof/>
                <w:sz w:val="22"/>
              </w:rPr>
            </w:pPr>
            <w:r w:rsidRPr="0002060E">
              <w:rPr>
                <w:noProof/>
                <w:sz w:val="22"/>
              </w:rPr>
              <w:t>Slovenija je v obračunskem obdobju poročanja šele pričela z izvajanjem aktivnosti v zvezi z ukrepi programa SNV, zato ne moremo poročati o večnamenski opremi in sistemih IKT, ki bi bili nabavljeni s podporo programa SNV med obračunskim letom in uporabljeni za doseganje ciljev Instrumenta za finančno podporo za upravljanje meja in vizumsko politiko.</w:t>
            </w:r>
          </w:p>
          <w:p w:rsidR="00C92729" w:rsidRPr="0002060E" w:rsidRDefault="00C92729" w:rsidP="009057F2"/>
          <w:p w:rsidR="009057F2" w:rsidRPr="00AD27EF" w:rsidRDefault="009057F2" w:rsidP="009057F2">
            <w:pPr>
              <w:rPr>
                <w:noProof/>
                <w:sz w:val="22"/>
              </w:rPr>
            </w:pPr>
            <w:r w:rsidRPr="0002060E">
              <w:rPr>
                <w:b/>
                <w:noProof/>
                <w:sz w:val="22"/>
              </w:rPr>
              <w:lastRenderedPageBreak/>
              <w:t>3. Izvajanje pravnega reda Unije</w:t>
            </w:r>
            <w:r w:rsidRPr="0002060E">
              <w:rPr>
                <w:noProof/>
                <w:sz w:val="22"/>
              </w:rPr>
              <w:t xml:space="preserve">: Vse operacije v izvajanju dosledno sledijo določilom Pogodbe o delovanju EU, Listine EU o temeljnih pravicah, Konvencije o statusu beguncev s Protokolom iz leta 1967 in Konvencije o varstvu </w:t>
            </w:r>
            <w:r w:rsidRPr="00AD27EF">
              <w:rPr>
                <w:noProof/>
                <w:sz w:val="22"/>
              </w:rPr>
              <w:t>posameznikov glede na avtomatsko obdelavo osebnih podatkov.</w:t>
            </w:r>
          </w:p>
          <w:p w:rsidR="009057F2" w:rsidRPr="00AD27EF" w:rsidRDefault="009057F2" w:rsidP="009057F2">
            <w:pPr>
              <w:rPr>
                <w:noProof/>
                <w:sz w:val="22"/>
              </w:rPr>
            </w:pPr>
            <w:r w:rsidRPr="00AD27EF">
              <w:rPr>
                <w:noProof/>
                <w:sz w:val="22"/>
              </w:rPr>
              <w:t xml:space="preserve">V okviru </w:t>
            </w:r>
            <w:r w:rsidRPr="00AD27EF">
              <w:rPr>
                <w:b/>
                <w:noProof/>
                <w:sz w:val="22"/>
              </w:rPr>
              <w:t>Specifičnega cilja 1</w:t>
            </w:r>
            <w:r w:rsidRPr="00AD27EF">
              <w:rPr>
                <w:noProof/>
                <w:sz w:val="22"/>
              </w:rPr>
              <w:t xml:space="preserve"> </w:t>
            </w:r>
            <w:r w:rsidR="00AD27EF" w:rsidRPr="00AD27EF">
              <w:rPr>
                <w:rFonts w:cs="Arial"/>
                <w:bCs/>
                <w:sz w:val="22"/>
              </w:rPr>
              <w:t>se izvaja pravni red Unije tako, da o</w:t>
            </w:r>
            <w:r w:rsidRPr="00AD27EF">
              <w:rPr>
                <w:noProof/>
                <w:sz w:val="22"/>
              </w:rPr>
              <w:t xml:space="preserve">peracije implementirajo določbe nacionalnega prava: Zakona o nalogah in pooblastilih policije (Uradni list RS, št. 15/13), Kazenskega zakonika (Uradni list RS, št. 50/12 in nadaljnje spremembe), Zakona o kazenskem postopku (Uradni list RS št. 176/21 in nadaljnje spremembe) in podrejenih aktov; ter določbe pravnega reda EU: Prümska pogodba, Uredbe 182/2011/EU, Uredba 2016/679/EU, Uredba 2016/399/EU, Direktive 2016/681/EU, Direktive 2004/82/ES, Direktive 2011/93/EU, Okvirni sklep Sveta 2006/960/PNZ, Akcijski načrt in Strategija EU na področju drog za obdobje 2021–2025, Strategija EU za boj proti organiziranemu kriminalu za obdobje 2021–2025, Strategija EU za učinkovitejši boj proti spolni zlorabi otrok in Strategija EU za varnostno unijo.           </w:t>
            </w:r>
          </w:p>
          <w:p w:rsidR="009057F2" w:rsidRPr="00AD27EF" w:rsidRDefault="009057F2" w:rsidP="009057F2">
            <w:pPr>
              <w:rPr>
                <w:noProof/>
                <w:sz w:val="22"/>
              </w:rPr>
            </w:pPr>
            <w:r w:rsidRPr="00AD27EF">
              <w:rPr>
                <w:noProof/>
                <w:sz w:val="22"/>
              </w:rPr>
              <w:t xml:space="preserve">V okviru </w:t>
            </w:r>
            <w:r w:rsidRPr="00AD27EF">
              <w:rPr>
                <w:b/>
                <w:noProof/>
                <w:sz w:val="22"/>
              </w:rPr>
              <w:t>Specifičnega cilja 2</w:t>
            </w:r>
            <w:r w:rsidRPr="00AD27EF">
              <w:rPr>
                <w:noProof/>
                <w:sz w:val="22"/>
              </w:rPr>
              <w:t xml:space="preserve"> </w:t>
            </w:r>
            <w:r w:rsidR="00AD27EF" w:rsidRPr="00AD27EF">
              <w:rPr>
                <w:rFonts w:cs="Arial"/>
                <w:bCs/>
                <w:sz w:val="22"/>
              </w:rPr>
              <w:t>se izvaja pravni red Unije tako, da o</w:t>
            </w:r>
            <w:r w:rsidRPr="00AD27EF">
              <w:rPr>
                <w:noProof/>
                <w:sz w:val="22"/>
              </w:rPr>
              <w:t xml:space="preserve">peracije implementirajo določbe nacionalnega prava: Zakona o nalogah in pooblastilih policije (Uradni list RS, št. 15/13), Kazenskega zakonika (Uradni list RS, št. 50/12 in nadaljnje spremembe), Zakona o kazenskem postopku (Uradni list RS št. 176/21 in nadaljnje spremembe) in podrejenih aktov; ter določbe pravnega reda EU: Sklepi Sveta o okrepitvi finančnih preiskav za boj proti hudim kaznivim dejanjem in organiziranemu kriminalu 8927/20, Okvirni sklep Sveta 2008/978/PNZ, Strategija EU za boj proti organiziranemu kriminalu za obdobje 2021–2025 in Strategija EU za varnostno unijo.           </w:t>
            </w:r>
          </w:p>
          <w:p w:rsidR="009057F2" w:rsidRPr="0002060E" w:rsidRDefault="009057F2" w:rsidP="00AD27EF">
            <w:pPr>
              <w:rPr>
                <w:rFonts w:cs="Arial"/>
                <w:i/>
                <w:sz w:val="22"/>
              </w:rPr>
            </w:pPr>
            <w:r w:rsidRPr="00AD27EF">
              <w:rPr>
                <w:noProof/>
                <w:sz w:val="22"/>
              </w:rPr>
              <w:t xml:space="preserve">V okviru </w:t>
            </w:r>
            <w:r w:rsidRPr="00AD27EF">
              <w:rPr>
                <w:b/>
                <w:noProof/>
                <w:sz w:val="22"/>
              </w:rPr>
              <w:t>Specifičnega cilja 3</w:t>
            </w:r>
            <w:r w:rsidRPr="00AD27EF">
              <w:rPr>
                <w:noProof/>
                <w:sz w:val="22"/>
              </w:rPr>
              <w:t xml:space="preserve"> </w:t>
            </w:r>
            <w:r w:rsidR="00AD27EF" w:rsidRPr="00AD27EF">
              <w:rPr>
                <w:rFonts w:cs="Arial"/>
                <w:bCs/>
                <w:sz w:val="22"/>
              </w:rPr>
              <w:t>se izvaja</w:t>
            </w:r>
            <w:r w:rsidR="00AD27EF" w:rsidRPr="00F405E6">
              <w:rPr>
                <w:rFonts w:cs="Arial"/>
                <w:bCs/>
                <w:sz w:val="22"/>
              </w:rPr>
              <w:t xml:space="preserve"> pravni red Unije tako,</w:t>
            </w:r>
            <w:r w:rsidR="00AD27EF">
              <w:rPr>
                <w:rFonts w:cs="Arial"/>
                <w:bCs/>
                <w:sz w:val="22"/>
              </w:rPr>
              <w:t xml:space="preserve"> da op</w:t>
            </w:r>
            <w:r w:rsidRPr="0002060E">
              <w:rPr>
                <w:noProof/>
                <w:sz w:val="22"/>
              </w:rPr>
              <w:t xml:space="preserve">eracije implementirajo določbe nacionalnega prava: Zakona o nalogah in pooblastilih policije (Uradni list RS, št. 15/13), Kazenskega zakonika (Uradni list RS, št. 50/12 in nadaljnje spremembe), Zakona o kazenskem postopku (Uradni list RS št. 176/21 in nadaljnje spremembe), Zakon o zaščiti prič (Uradni list RS, št. 81/06 in nadaljnje spremembe) in podrejenih aktov; ter določbe pravnega reda EU: Direktiva 2024/1203/EU, Direktiva 2013/40/EU, Okvirni sklep Sveta 2008/978/PNZ, Strategija EU za boj proti organiziranemu kriminalu za obdobje 2021–2025 in Strategija EU za varnostno unijo.           </w:t>
            </w:r>
          </w:p>
          <w:p w:rsidR="009057F2" w:rsidRPr="0002060E" w:rsidRDefault="009057F2" w:rsidP="009057F2">
            <w:pPr>
              <w:pStyle w:val="Personnequisigne"/>
              <w:jc w:val="both"/>
              <w:rPr>
                <w:b/>
                <w:i w:val="0"/>
                <w:noProof/>
                <w:sz w:val="22"/>
              </w:rPr>
            </w:pPr>
          </w:p>
          <w:p w:rsidR="009057F2" w:rsidRPr="0002060E" w:rsidRDefault="009057F2" w:rsidP="009057F2">
            <w:pPr>
              <w:pStyle w:val="Personnequisigne"/>
              <w:jc w:val="both"/>
              <w:rPr>
                <w:i w:val="0"/>
                <w:noProof/>
                <w:sz w:val="22"/>
              </w:rPr>
            </w:pPr>
            <w:r w:rsidRPr="0002060E">
              <w:rPr>
                <w:b/>
                <w:i w:val="0"/>
                <w:noProof/>
                <w:sz w:val="22"/>
              </w:rPr>
              <w:t>4. Komuniciranje in prepoznavnost</w:t>
            </w:r>
            <w:r w:rsidRPr="0002060E">
              <w:rPr>
                <w:i w:val="0"/>
                <w:noProof/>
                <w:sz w:val="22"/>
              </w:rPr>
              <w:t>: Slovenija je v obračunskem obdobju poročanja pričela z izvajanjem aktivnosti v zvezi z ukrepi programa SNV</w:t>
            </w:r>
            <w:r w:rsidR="00AD27EF">
              <w:rPr>
                <w:i w:val="0"/>
                <w:noProof/>
                <w:sz w:val="22"/>
              </w:rPr>
              <w:t>. O</w:t>
            </w:r>
            <w:r w:rsidRPr="0002060E">
              <w:rPr>
                <w:i w:val="0"/>
                <w:noProof/>
                <w:sz w:val="22"/>
              </w:rPr>
              <w:t xml:space="preserve"> doseganju vrednosti kazalnikov v tem začetnem obdobju še ne moremo poročati. </w:t>
            </w:r>
            <w:r w:rsidRPr="0002060E">
              <w:rPr>
                <w:i w:val="0"/>
              </w:rPr>
              <w:t>Na področju</w:t>
            </w:r>
            <w:r w:rsidRPr="0002060E">
              <w:rPr>
                <w:i w:val="0"/>
                <w:sz w:val="22"/>
              </w:rPr>
              <w:t xml:space="preserve"> prepoznavnosti, preglednosti in komuniciranja izpostavimo vidnejše aktivnosti.</w:t>
            </w:r>
          </w:p>
          <w:p w:rsidR="009057F2" w:rsidRPr="0002060E" w:rsidRDefault="009057F2" w:rsidP="009057F2">
            <w:pPr>
              <w:autoSpaceDE w:val="0"/>
              <w:autoSpaceDN w:val="0"/>
              <w:adjustRightInd w:val="0"/>
              <w:spacing w:after="0"/>
              <w:rPr>
                <w:sz w:val="22"/>
              </w:rPr>
            </w:pPr>
            <w:r w:rsidRPr="0002060E">
              <w:rPr>
                <w:sz w:val="22"/>
              </w:rPr>
              <w:t xml:space="preserve">Splošne aktivnosti: </w:t>
            </w:r>
          </w:p>
          <w:p w:rsidR="009057F2" w:rsidRPr="0002060E" w:rsidRDefault="009057F2" w:rsidP="009057F2">
            <w:pPr>
              <w:pStyle w:val="Odstavekseznama"/>
              <w:numPr>
                <w:ilvl w:val="0"/>
                <w:numId w:val="31"/>
              </w:numPr>
              <w:tabs>
                <w:tab w:val="left" w:pos="4252"/>
              </w:tabs>
              <w:autoSpaceDE w:val="0"/>
              <w:autoSpaceDN w:val="0"/>
              <w:adjustRightInd w:val="0"/>
              <w:spacing w:before="0" w:after="0"/>
              <w:rPr>
                <w:sz w:val="22"/>
              </w:rPr>
            </w:pPr>
            <w:r w:rsidRPr="0002060E">
              <w:rPr>
                <w:sz w:val="22"/>
              </w:rPr>
              <w:t>Priprava in sprejetje Uredbe o izvajanju uredb (EU) in (</w:t>
            </w:r>
            <w:proofErr w:type="spellStart"/>
            <w:r w:rsidRPr="0002060E">
              <w:rPr>
                <w:sz w:val="22"/>
              </w:rPr>
              <w:t>Euratom</w:t>
            </w:r>
            <w:proofErr w:type="spellEnd"/>
            <w:r w:rsidRPr="0002060E">
              <w:rPr>
                <w:sz w:val="22"/>
              </w:rPr>
              <w:t>) na področju azila, migracij in vključevanja, notranje varnosti in evropskega integriranega upravljanja meja v programskem obdobju 2021-2027 (Ur.l.RS, št. 14/2023 z dne 3.2.2023), ki v poglavju VI opredeli izvajanje prepoznavnosti, preglednosti in komuniciranja;</w:t>
            </w:r>
          </w:p>
          <w:p w:rsidR="009057F2" w:rsidRPr="0002060E" w:rsidRDefault="009057F2" w:rsidP="009057F2">
            <w:pPr>
              <w:pStyle w:val="Odstavekseznama"/>
              <w:numPr>
                <w:ilvl w:val="0"/>
                <w:numId w:val="31"/>
              </w:numPr>
              <w:tabs>
                <w:tab w:val="left" w:pos="4252"/>
              </w:tabs>
              <w:autoSpaceDE w:val="0"/>
              <w:autoSpaceDN w:val="0"/>
              <w:adjustRightInd w:val="0"/>
              <w:spacing w:before="0" w:after="0"/>
              <w:rPr>
                <w:sz w:val="22"/>
              </w:rPr>
            </w:pPr>
            <w:r w:rsidRPr="0002060E">
              <w:rPr>
                <w:sz w:val="22"/>
              </w:rPr>
              <w:t>Priprava Navodil organa upravljanja na področju zagotavljanja prepoznavnosti, preglednosti in komuniciranja evropske politike na področju notranjih zadev v programskem obdobju 2021–2027 (dokument potrjen decembra 2023).</w:t>
            </w:r>
          </w:p>
          <w:p w:rsidR="009057F2" w:rsidRPr="0002060E" w:rsidRDefault="009057F2" w:rsidP="009057F2">
            <w:pPr>
              <w:pStyle w:val="Odstavekseznama"/>
              <w:numPr>
                <w:ilvl w:val="0"/>
                <w:numId w:val="31"/>
              </w:numPr>
              <w:tabs>
                <w:tab w:val="left" w:pos="4252"/>
              </w:tabs>
              <w:autoSpaceDE w:val="0"/>
              <w:autoSpaceDN w:val="0"/>
              <w:adjustRightInd w:val="0"/>
              <w:spacing w:after="0"/>
              <w:rPr>
                <w:sz w:val="22"/>
              </w:rPr>
            </w:pPr>
            <w:r w:rsidRPr="0002060E">
              <w:rPr>
                <w:sz w:val="22"/>
              </w:rPr>
              <w:t>Priprava Komunikacijske strategije za sklade notranje varnosti za obdobje 2021-2027.</w:t>
            </w:r>
          </w:p>
          <w:p w:rsidR="009057F2" w:rsidRPr="0002060E" w:rsidRDefault="009057F2" w:rsidP="009057F2">
            <w:pPr>
              <w:autoSpaceDE w:val="0"/>
              <w:autoSpaceDN w:val="0"/>
              <w:adjustRightInd w:val="0"/>
              <w:spacing w:before="0" w:after="0"/>
              <w:rPr>
                <w:sz w:val="22"/>
              </w:rPr>
            </w:pPr>
          </w:p>
          <w:p w:rsidR="009057F2" w:rsidRPr="0002060E" w:rsidRDefault="009057F2" w:rsidP="009057F2">
            <w:pPr>
              <w:autoSpaceDE w:val="0"/>
              <w:autoSpaceDN w:val="0"/>
              <w:adjustRightInd w:val="0"/>
              <w:spacing w:before="0" w:after="0"/>
              <w:rPr>
                <w:sz w:val="22"/>
              </w:rPr>
            </w:pPr>
            <w:r w:rsidRPr="0002060E">
              <w:rPr>
                <w:sz w:val="22"/>
              </w:rPr>
              <w:t>Odbor za spremljanje:</w:t>
            </w:r>
          </w:p>
          <w:p w:rsidR="009057F2" w:rsidRPr="0002060E" w:rsidRDefault="009057F2" w:rsidP="009057F2">
            <w:pPr>
              <w:numPr>
                <w:ilvl w:val="0"/>
                <w:numId w:val="31"/>
              </w:numPr>
              <w:tabs>
                <w:tab w:val="left" w:pos="4252"/>
              </w:tabs>
              <w:spacing w:before="0" w:after="0" w:line="260" w:lineRule="exact"/>
              <w:contextualSpacing/>
              <w:rPr>
                <w:sz w:val="22"/>
              </w:rPr>
            </w:pPr>
            <w:r w:rsidRPr="0002060E">
              <w:rPr>
                <w:sz w:val="22"/>
              </w:rPr>
              <w:t>Seznanitev Odbora za spremljanje o izvajanju strategije komuniciranja evropske politike na področju notranjih zadev v Republiki Sloveniji za programsko obdobje 2021-2027 ter ukrepov prepoznavnosti, preglednosti in komuniciranja.</w:t>
            </w:r>
          </w:p>
          <w:p w:rsidR="009057F2" w:rsidRPr="0002060E" w:rsidRDefault="009057F2" w:rsidP="009057F2">
            <w:pPr>
              <w:autoSpaceDE w:val="0"/>
              <w:autoSpaceDN w:val="0"/>
              <w:adjustRightInd w:val="0"/>
              <w:spacing w:before="0" w:after="0"/>
              <w:ind w:left="360"/>
              <w:rPr>
                <w:sz w:val="22"/>
              </w:rPr>
            </w:pPr>
          </w:p>
          <w:p w:rsidR="009057F2" w:rsidRPr="0002060E" w:rsidRDefault="009057F2" w:rsidP="009057F2">
            <w:pPr>
              <w:autoSpaceDE w:val="0"/>
              <w:autoSpaceDN w:val="0"/>
              <w:adjustRightInd w:val="0"/>
              <w:spacing w:before="0" w:after="0"/>
              <w:rPr>
                <w:sz w:val="22"/>
              </w:rPr>
            </w:pPr>
            <w:r w:rsidRPr="0002060E">
              <w:rPr>
                <w:sz w:val="22"/>
              </w:rPr>
              <w:t>Spletna stran:</w:t>
            </w:r>
          </w:p>
          <w:p w:rsidR="009057F2" w:rsidRPr="0002060E" w:rsidRDefault="009057F2" w:rsidP="009057F2">
            <w:pPr>
              <w:pStyle w:val="Personnequisigne"/>
              <w:numPr>
                <w:ilvl w:val="0"/>
                <w:numId w:val="31"/>
              </w:numPr>
              <w:contextualSpacing/>
              <w:jc w:val="both"/>
              <w:rPr>
                <w:i w:val="0"/>
                <w:noProof/>
                <w:sz w:val="22"/>
              </w:rPr>
            </w:pPr>
            <w:r w:rsidRPr="0002060E">
              <w:rPr>
                <w:i w:val="0"/>
                <w:noProof/>
                <w:sz w:val="22"/>
              </w:rPr>
              <w:t>OU je v obdobju poročanja zagotovil, da so vsebine, ki jih je po Uredbi 2021/1060/EU potrebno objaviti, objavljene in redno posodabljane na enotnem spletnem portalu (www.evropskasredstva.si), ki ga je vzpostavilo Ministrstvo za kohezijo in regionalni razvoj (MKRR) in vključuje tudi vsebine v zvezi s Skladom za notranjo varnost. Enotni spletni portal bo vključeval obveznosti iz točke (b) 46. člena ter iz prvega odstavka 49. člena Uredbe 2021/1060/EU.</w:t>
            </w:r>
          </w:p>
          <w:p w:rsidR="009057F2" w:rsidRPr="0002060E" w:rsidRDefault="009057F2" w:rsidP="009057F2">
            <w:pPr>
              <w:autoSpaceDE w:val="0"/>
              <w:autoSpaceDN w:val="0"/>
              <w:adjustRightInd w:val="0"/>
              <w:spacing w:before="0" w:after="0"/>
              <w:rPr>
                <w:sz w:val="22"/>
              </w:rPr>
            </w:pPr>
          </w:p>
          <w:p w:rsidR="009057F2" w:rsidRPr="0002060E" w:rsidRDefault="009057F2" w:rsidP="009057F2">
            <w:pPr>
              <w:autoSpaceDE w:val="0"/>
              <w:autoSpaceDN w:val="0"/>
              <w:adjustRightInd w:val="0"/>
              <w:spacing w:before="0" w:after="0"/>
              <w:rPr>
                <w:sz w:val="22"/>
              </w:rPr>
            </w:pPr>
            <w:r w:rsidRPr="0002060E">
              <w:rPr>
                <w:sz w:val="22"/>
              </w:rPr>
              <w:t xml:space="preserve">Ključni dogodki: </w:t>
            </w:r>
          </w:p>
          <w:p w:rsidR="009057F2" w:rsidRPr="0002060E" w:rsidRDefault="009057F2" w:rsidP="009057F2">
            <w:pPr>
              <w:pStyle w:val="Odstavekseznama"/>
              <w:numPr>
                <w:ilvl w:val="0"/>
                <w:numId w:val="31"/>
              </w:numPr>
              <w:tabs>
                <w:tab w:val="left" w:pos="4252"/>
              </w:tabs>
              <w:autoSpaceDE w:val="0"/>
              <w:autoSpaceDN w:val="0"/>
              <w:adjustRightInd w:val="0"/>
              <w:spacing w:before="0" w:after="0"/>
              <w:rPr>
                <w:sz w:val="22"/>
              </w:rPr>
            </w:pPr>
            <w:r w:rsidRPr="0002060E">
              <w:rPr>
                <w:sz w:val="22"/>
              </w:rPr>
              <w:t>V maju 2023 je bil izveden skupni osrednji interaktivni dogodek ob Dnevu Evrope, 9.</w:t>
            </w:r>
            <w:r w:rsidR="00760C2D" w:rsidRPr="0002060E">
              <w:rPr>
                <w:sz w:val="22"/>
              </w:rPr>
              <w:t> </w:t>
            </w:r>
            <w:r w:rsidRPr="0002060E">
              <w:rPr>
                <w:sz w:val="22"/>
              </w:rPr>
              <w:t>5.</w:t>
            </w:r>
            <w:r w:rsidR="00760C2D" w:rsidRPr="0002060E">
              <w:rPr>
                <w:sz w:val="22"/>
              </w:rPr>
              <w:t> </w:t>
            </w:r>
            <w:r w:rsidRPr="0002060E">
              <w:rPr>
                <w:sz w:val="22"/>
              </w:rPr>
              <w:t xml:space="preserve">2023 na Kongresnem trgu v Ljubljani, kjer sta uvodni nagovor imela predsednica države ga. Pirc Musar in evropski komisar g. Lenarčič. Zaključni dogodek Potujoča pisarna evropskih sredstev ob dnevu Evrope, kjer je OU predstavil vsebino </w:t>
            </w:r>
            <w:r w:rsidR="00BA53A9" w:rsidRPr="0002060E">
              <w:rPr>
                <w:sz w:val="22"/>
              </w:rPr>
              <w:t xml:space="preserve">Sklada za notranjo varnost </w:t>
            </w:r>
            <w:r w:rsidRPr="0002060E">
              <w:rPr>
                <w:sz w:val="22"/>
              </w:rPr>
              <w:t xml:space="preserve"> (animacija otrok z odvzemom prstnih odtisov z magnetnim prahom na recikliran papir, obisk policijskih psov ob spremstvu uniformiranega vodnika službenih psov ter konjenice Policije; obisk policijske maskote - medveda Leona). V okviru promocijskih aktivnosti je bila izpeljana nagradna igra, anketa, promocijski material, plakati, mozaik zastave EU, kjer so vabljeni gostje položili kamenje.</w:t>
            </w:r>
          </w:p>
          <w:p w:rsidR="009057F2" w:rsidRPr="0002060E" w:rsidRDefault="009057F2" w:rsidP="009057F2">
            <w:pPr>
              <w:pStyle w:val="Odstavekseznama"/>
              <w:numPr>
                <w:ilvl w:val="0"/>
                <w:numId w:val="31"/>
              </w:numPr>
              <w:tabs>
                <w:tab w:val="left" w:pos="4252"/>
              </w:tabs>
              <w:autoSpaceDE w:val="0"/>
              <w:autoSpaceDN w:val="0"/>
              <w:adjustRightInd w:val="0"/>
              <w:spacing w:before="0" w:after="0"/>
              <w:rPr>
                <w:sz w:val="22"/>
              </w:rPr>
            </w:pPr>
            <w:r w:rsidRPr="0002060E">
              <w:rPr>
                <w:sz w:val="22"/>
              </w:rPr>
              <w:t>V maju 2023 je bil izpeljan tudi »Slavnostni dogodek ob sprejetju programa AMIF, programa SNV in programa IUMV za programsko obdobje 2021-2027«  dne  31.</w:t>
            </w:r>
            <w:r w:rsidR="00760C2D" w:rsidRPr="0002060E">
              <w:rPr>
                <w:sz w:val="22"/>
              </w:rPr>
              <w:t> </w:t>
            </w:r>
            <w:r w:rsidRPr="0002060E">
              <w:rPr>
                <w:sz w:val="22"/>
              </w:rPr>
              <w:t>5.</w:t>
            </w:r>
            <w:r w:rsidR="00760C2D" w:rsidRPr="0002060E">
              <w:rPr>
                <w:sz w:val="22"/>
              </w:rPr>
              <w:t> </w:t>
            </w:r>
            <w:r w:rsidRPr="0002060E">
              <w:rPr>
                <w:sz w:val="22"/>
              </w:rPr>
              <w:t xml:space="preserve">2023 v Hiši EU. V okviru aktivnosti je bila pripravljena brošura - povzetek programa za splošno javnost ter pripravljena razstava izdelkov oseb iz Ukrajine nastanjenih v namestitvenih centrih v okviru programa »Rokavička Centra za socialno delo Primorsko-Notranjska«. </w:t>
            </w:r>
          </w:p>
          <w:p w:rsidR="009057F2" w:rsidRPr="0002060E" w:rsidRDefault="009057F2" w:rsidP="009057F2">
            <w:pPr>
              <w:autoSpaceDE w:val="0"/>
              <w:autoSpaceDN w:val="0"/>
              <w:adjustRightInd w:val="0"/>
              <w:spacing w:before="0" w:after="0"/>
              <w:ind w:left="360"/>
              <w:rPr>
                <w:sz w:val="22"/>
              </w:rPr>
            </w:pPr>
          </w:p>
          <w:p w:rsidR="009057F2" w:rsidRPr="0002060E" w:rsidRDefault="009057F2" w:rsidP="009057F2">
            <w:pPr>
              <w:autoSpaceDE w:val="0"/>
              <w:autoSpaceDN w:val="0"/>
              <w:adjustRightInd w:val="0"/>
              <w:spacing w:before="0" w:after="0"/>
              <w:rPr>
                <w:sz w:val="22"/>
              </w:rPr>
            </w:pPr>
            <w:r w:rsidRPr="0002060E">
              <w:rPr>
                <w:sz w:val="22"/>
              </w:rPr>
              <w:t>Prisotnost na socialnih omrežjih:</w:t>
            </w:r>
          </w:p>
          <w:p w:rsidR="009057F2" w:rsidRPr="0002060E" w:rsidRDefault="009057F2" w:rsidP="009057F2">
            <w:pPr>
              <w:pStyle w:val="Odstavekseznama"/>
              <w:numPr>
                <w:ilvl w:val="0"/>
                <w:numId w:val="31"/>
              </w:numPr>
              <w:tabs>
                <w:tab w:val="left" w:pos="4252"/>
              </w:tabs>
              <w:autoSpaceDE w:val="0"/>
              <w:autoSpaceDN w:val="0"/>
              <w:adjustRightInd w:val="0"/>
              <w:spacing w:before="0" w:after="0"/>
              <w:rPr>
                <w:sz w:val="22"/>
              </w:rPr>
            </w:pPr>
            <w:r w:rsidRPr="0002060E">
              <w:rPr>
                <w:sz w:val="22"/>
              </w:rPr>
              <w:t>Aktivnostih za prepoznavnost AMIF, SNV in IUMV programa na Intranetu MNZ in družbenih omrežjih MNZ FB, Policija FB, objava v Vizija kohezija, št. 1/2023.</w:t>
            </w:r>
          </w:p>
          <w:p w:rsidR="009057F2" w:rsidRPr="0002060E" w:rsidRDefault="009057F2" w:rsidP="009057F2">
            <w:pPr>
              <w:pStyle w:val="Odstavekseznama"/>
              <w:numPr>
                <w:ilvl w:val="0"/>
                <w:numId w:val="31"/>
              </w:numPr>
              <w:tabs>
                <w:tab w:val="left" w:pos="4252"/>
              </w:tabs>
              <w:autoSpaceDE w:val="0"/>
              <w:autoSpaceDN w:val="0"/>
              <w:adjustRightInd w:val="0"/>
              <w:spacing w:before="0" w:after="0"/>
              <w:rPr>
                <w:sz w:val="22"/>
              </w:rPr>
            </w:pPr>
            <w:r w:rsidRPr="0002060E">
              <w:rPr>
                <w:sz w:val="22"/>
              </w:rPr>
              <w:t>Upostavitev in uporaba ključnikov #AMIF, #SNV, #ISF, #BMVI, #IUMV, #</w:t>
            </w:r>
            <w:proofErr w:type="spellStart"/>
            <w:r w:rsidRPr="0002060E">
              <w:rPr>
                <w:sz w:val="22"/>
              </w:rPr>
              <w:t>evropskasredstva</w:t>
            </w:r>
            <w:proofErr w:type="spellEnd"/>
            <w:r w:rsidRPr="0002060E">
              <w:rPr>
                <w:sz w:val="22"/>
              </w:rPr>
              <w:t xml:space="preserve"> in @</w:t>
            </w:r>
            <w:proofErr w:type="spellStart"/>
            <w:r w:rsidRPr="0002060E">
              <w:rPr>
                <w:sz w:val="22"/>
              </w:rPr>
              <w:t>evropskasredstva</w:t>
            </w:r>
            <w:proofErr w:type="spellEnd"/>
            <w:r w:rsidRPr="0002060E">
              <w:rPr>
                <w:sz w:val="22"/>
              </w:rPr>
              <w:t>.</w:t>
            </w:r>
          </w:p>
          <w:p w:rsidR="009057F2" w:rsidRPr="0002060E" w:rsidRDefault="009057F2" w:rsidP="009057F2">
            <w:pPr>
              <w:pStyle w:val="Personnequisigne"/>
              <w:jc w:val="both"/>
              <w:rPr>
                <w:b/>
                <w:i w:val="0"/>
                <w:noProof/>
                <w:sz w:val="22"/>
              </w:rPr>
            </w:pPr>
          </w:p>
          <w:p w:rsidR="009057F2" w:rsidRPr="0002060E" w:rsidRDefault="009057F2" w:rsidP="009057F2">
            <w:pPr>
              <w:pStyle w:val="Personnequisigne"/>
              <w:jc w:val="both"/>
              <w:rPr>
                <w:i w:val="0"/>
                <w:noProof/>
                <w:sz w:val="22"/>
              </w:rPr>
            </w:pPr>
            <w:r w:rsidRPr="0002060E">
              <w:rPr>
                <w:b/>
                <w:i w:val="0"/>
                <w:noProof/>
                <w:sz w:val="22"/>
              </w:rPr>
              <w:t>5. Omogočitveni pogoji</w:t>
            </w:r>
            <w:r w:rsidRPr="0002060E">
              <w:rPr>
                <w:i w:val="0"/>
                <w:noProof/>
                <w:sz w:val="22"/>
              </w:rPr>
              <w:t xml:space="preserve">: Slovenija je v obračunskem obdobju poročanja pričela z izvajanjem aktivnosti v zvezi z ukrepi programa SNV. </w:t>
            </w:r>
            <w:r w:rsidR="00AD27EF">
              <w:rPr>
                <w:i w:val="0"/>
                <w:noProof/>
                <w:sz w:val="22"/>
              </w:rPr>
              <w:t>V</w:t>
            </w:r>
            <w:r w:rsidRPr="0002060E">
              <w:rPr>
                <w:i w:val="0"/>
                <w:sz w:val="22"/>
              </w:rPr>
              <w:t xml:space="preserve"> luči učinkovite implementacije horizontalnih </w:t>
            </w:r>
            <w:proofErr w:type="spellStart"/>
            <w:r w:rsidRPr="0002060E">
              <w:rPr>
                <w:i w:val="0"/>
                <w:sz w:val="22"/>
              </w:rPr>
              <w:t>omogočitvenih</w:t>
            </w:r>
            <w:proofErr w:type="spellEnd"/>
            <w:r w:rsidRPr="0002060E">
              <w:rPr>
                <w:i w:val="0"/>
                <w:sz w:val="22"/>
              </w:rPr>
              <w:t xml:space="preserve"> pogojev »Dejanska uporaba in izvajanje Listine o temeljnih pravicah« ter »Izvajanje in uporaba Konvencije združenih narodov o pravicah invalidov v skladu s Sklepom Sveta 2010/48/ES« in njihovi uporabi tekom celotnega programskega obdobja,</w:t>
            </w:r>
            <w:r w:rsidR="00AD27EF">
              <w:rPr>
                <w:i w:val="0"/>
                <w:sz w:val="22"/>
              </w:rPr>
              <w:t xml:space="preserve"> smo</w:t>
            </w:r>
            <w:r w:rsidRPr="0002060E">
              <w:rPr>
                <w:i w:val="0"/>
                <w:sz w:val="22"/>
              </w:rPr>
              <w:t xml:space="preserve"> v tem obračunskem obdobju izvajali dve vrsti aktivnosti, ki so bile usmerjene zlasti v izpolnjevanje in uporabo </w:t>
            </w:r>
            <w:proofErr w:type="spellStart"/>
            <w:r w:rsidRPr="0002060E">
              <w:rPr>
                <w:i w:val="0"/>
                <w:sz w:val="22"/>
              </w:rPr>
              <w:t>omogočitvenih</w:t>
            </w:r>
            <w:proofErr w:type="spellEnd"/>
            <w:r w:rsidRPr="0002060E">
              <w:rPr>
                <w:i w:val="0"/>
                <w:sz w:val="22"/>
              </w:rPr>
              <w:t xml:space="preserve"> pogojev v nadaljnjih fa</w:t>
            </w:r>
            <w:r w:rsidRPr="0002060E">
              <w:rPr>
                <w:i w:val="0"/>
              </w:rPr>
              <w:t>zah izvajanja programov sklada.</w:t>
            </w:r>
            <w:r w:rsidRPr="0002060E">
              <w:rPr>
                <w:i w:val="0"/>
                <w:sz w:val="22"/>
              </w:rPr>
              <w:tab/>
            </w:r>
          </w:p>
          <w:p w:rsidR="009057F2" w:rsidRPr="0002060E" w:rsidRDefault="009057F2" w:rsidP="009057F2">
            <w:pPr>
              <w:rPr>
                <w:sz w:val="22"/>
              </w:rPr>
            </w:pPr>
            <w:r w:rsidRPr="0002060E">
              <w:rPr>
                <w:b/>
                <w:noProof/>
                <w:sz w:val="22"/>
              </w:rPr>
              <w:t>6. Projekti v tretjih državah</w:t>
            </w:r>
            <w:r w:rsidRPr="0002060E">
              <w:rPr>
                <w:noProof/>
                <w:sz w:val="22"/>
              </w:rPr>
              <w:t>: Slovenija v tem obračunskem obdobju ni izvajala ukrepov ali operacij v tretjih državah ali v zvezi z njimi.</w:t>
            </w:r>
          </w:p>
          <w:p w:rsidR="006A41E2" w:rsidRPr="0002060E" w:rsidRDefault="006A41E2" w:rsidP="0011744D">
            <w:pPr>
              <w:pStyle w:val="Personnequisigne"/>
              <w:jc w:val="both"/>
              <w:rPr>
                <w:bCs/>
                <w:noProof/>
              </w:rPr>
            </w:pPr>
          </w:p>
        </w:tc>
      </w:tr>
    </w:tbl>
    <w:p w:rsidR="006A41E2" w:rsidRDefault="006A41E2" w:rsidP="006A41E2">
      <w:pPr>
        <w:rPr>
          <w:noProof/>
        </w:rPr>
      </w:pPr>
    </w:p>
    <w:p w:rsidR="00206073" w:rsidRDefault="00206073" w:rsidP="006A41E2">
      <w:pPr>
        <w:rPr>
          <w:noProof/>
        </w:rPr>
      </w:pPr>
    </w:p>
    <w:p w:rsidR="00206073" w:rsidRDefault="00206073" w:rsidP="00206073">
      <w:pPr>
        <w:rPr>
          <w:noProof/>
        </w:rPr>
      </w:pPr>
    </w:p>
    <w:p w:rsidR="00206073" w:rsidRPr="00721B02" w:rsidRDefault="00206073" w:rsidP="00206073">
      <w:pPr>
        <w:rPr>
          <w:noProof/>
          <w:sz w:val="22"/>
        </w:rPr>
      </w:pPr>
    </w:p>
    <w:p w:rsidR="00206073" w:rsidRPr="00721B02" w:rsidRDefault="007D2F07" w:rsidP="00206073">
      <w:pPr>
        <w:rPr>
          <w:noProof/>
          <w:sz w:val="22"/>
        </w:rPr>
      </w:pPr>
      <w:r>
        <w:rPr>
          <w:noProof/>
          <w:sz w:val="22"/>
        </w:rPr>
        <w:t>Številka: 007-7/2023/4</w:t>
      </w:r>
      <w:r w:rsidR="00206073" w:rsidRPr="00721B02">
        <w:rPr>
          <w:noProof/>
          <w:sz w:val="22"/>
        </w:rPr>
        <w:tab/>
      </w:r>
      <w:r w:rsidR="00206073" w:rsidRPr="00721B02">
        <w:rPr>
          <w:noProof/>
          <w:sz w:val="22"/>
        </w:rPr>
        <w:tab/>
      </w:r>
      <w:r w:rsidR="00206073" w:rsidRPr="00721B02">
        <w:rPr>
          <w:noProof/>
          <w:sz w:val="22"/>
        </w:rPr>
        <w:tab/>
      </w:r>
      <w:r w:rsidR="00206073" w:rsidRPr="00721B02">
        <w:rPr>
          <w:noProof/>
          <w:sz w:val="22"/>
        </w:rPr>
        <w:tab/>
      </w:r>
      <w:r w:rsidR="00206073">
        <w:rPr>
          <w:noProof/>
          <w:sz w:val="22"/>
        </w:rPr>
        <w:tab/>
      </w:r>
      <w:r w:rsidR="00206073">
        <w:rPr>
          <w:noProof/>
          <w:sz w:val="22"/>
        </w:rPr>
        <w:tab/>
        <w:t xml:space="preserve">                </w:t>
      </w:r>
      <w:r w:rsidR="00206073" w:rsidRPr="00721B02">
        <w:rPr>
          <w:noProof/>
          <w:sz w:val="22"/>
        </w:rPr>
        <w:t>Tina Heferle</w:t>
      </w:r>
    </w:p>
    <w:p w:rsidR="00206073" w:rsidRDefault="007D2F07" w:rsidP="00206073">
      <w:pPr>
        <w:rPr>
          <w:noProof/>
          <w:sz w:val="22"/>
        </w:rPr>
      </w:pPr>
      <w:r>
        <w:rPr>
          <w:noProof/>
          <w:sz w:val="22"/>
        </w:rPr>
        <w:t>Datum: 22</w:t>
      </w:r>
      <w:r w:rsidR="00206073">
        <w:rPr>
          <w:noProof/>
          <w:sz w:val="22"/>
        </w:rPr>
        <w:t>. 8</w:t>
      </w:r>
      <w:r w:rsidR="00206073" w:rsidRPr="00721B02">
        <w:rPr>
          <w:noProof/>
          <w:sz w:val="22"/>
        </w:rPr>
        <w:t>. 2024</w:t>
      </w:r>
      <w:r w:rsidR="00206073">
        <w:rPr>
          <w:noProof/>
          <w:sz w:val="22"/>
        </w:rPr>
        <w:tab/>
      </w:r>
      <w:r w:rsidR="00206073">
        <w:rPr>
          <w:noProof/>
          <w:sz w:val="22"/>
        </w:rPr>
        <w:tab/>
      </w:r>
      <w:r w:rsidR="00206073">
        <w:rPr>
          <w:noProof/>
          <w:sz w:val="22"/>
        </w:rPr>
        <w:tab/>
      </w:r>
      <w:r w:rsidR="00206073">
        <w:rPr>
          <w:noProof/>
          <w:sz w:val="22"/>
        </w:rPr>
        <w:tab/>
      </w:r>
      <w:r w:rsidR="00206073">
        <w:rPr>
          <w:noProof/>
          <w:sz w:val="22"/>
        </w:rPr>
        <w:tab/>
      </w:r>
      <w:r w:rsidR="00206073">
        <w:rPr>
          <w:noProof/>
          <w:sz w:val="22"/>
        </w:rPr>
        <w:tab/>
      </w:r>
      <w:r w:rsidR="00206073">
        <w:rPr>
          <w:noProof/>
          <w:sz w:val="22"/>
        </w:rPr>
        <w:tab/>
        <w:t>državna sekretarka</w:t>
      </w:r>
    </w:p>
    <w:p w:rsidR="00206073" w:rsidRDefault="00206073" w:rsidP="00206073">
      <w:pPr>
        <w:rPr>
          <w:noProof/>
          <w:sz w:val="22"/>
        </w:rPr>
      </w:pP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t>predsednica odbora za spremljanje</w:t>
      </w:r>
    </w:p>
    <w:p w:rsidR="00206073" w:rsidRPr="00721B02" w:rsidRDefault="00206073" w:rsidP="00206073">
      <w:pPr>
        <w:rPr>
          <w:noProof/>
          <w:sz w:val="22"/>
        </w:rPr>
      </w:pP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t xml:space="preserve">                      upravljavka programov</w:t>
      </w:r>
    </w:p>
    <w:p w:rsidR="00206073" w:rsidRPr="002E3DC3" w:rsidRDefault="00206073" w:rsidP="006A41E2">
      <w:pPr>
        <w:rPr>
          <w:noProof/>
        </w:rPr>
      </w:pPr>
    </w:p>
    <w:sectPr w:rsidR="00206073" w:rsidRPr="002E3DC3" w:rsidSect="00FF51AC">
      <w:footerReference w:type="default" r:id="rId12"/>
      <w:footerReference w:type="first" r:id="rId13"/>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8F7" w:rsidRDefault="00BD58F7" w:rsidP="00555224">
      <w:pPr>
        <w:spacing w:before="0" w:after="0"/>
      </w:pPr>
      <w:r>
        <w:separator/>
      </w:r>
    </w:p>
  </w:endnote>
  <w:endnote w:type="continuationSeparator" w:id="0">
    <w:p w:rsidR="00BD58F7" w:rsidRDefault="00BD58F7" w:rsidP="00555224">
      <w:pPr>
        <w:spacing w:before="0" w:after="0"/>
      </w:pPr>
      <w:r>
        <w:continuationSeparator/>
      </w:r>
    </w:p>
  </w:endnote>
  <w:endnote w:type="continuationNotice" w:id="1">
    <w:p w:rsidR="00BD58F7" w:rsidRDefault="00BD58F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1AC" w:rsidRPr="00FF51AC" w:rsidRDefault="00FF51AC" w:rsidP="00FF51AC">
    <w:pPr>
      <w:pStyle w:val="Noga"/>
      <w:rPr>
        <w:rFonts w:ascii="Arial" w:hAnsi="Arial" w:cs="Arial"/>
        <w:b/>
        <w:sz w:val="48"/>
      </w:rPr>
    </w:pPr>
    <w:r w:rsidRPr="00FF51AC">
      <w:rPr>
        <w:rFonts w:ascii="Arial" w:hAnsi="Arial" w:cs="Arial"/>
        <w:b/>
        <w:sz w:val="48"/>
      </w:rPr>
      <w:t>SL</w:t>
    </w:r>
    <w:r w:rsidRPr="00FF51AC">
      <w:rPr>
        <w:rFonts w:ascii="Arial" w:hAnsi="Arial" w:cs="Arial"/>
        <w:b/>
        <w:sz w:val="48"/>
      </w:rPr>
      <w:tab/>
    </w:r>
    <w:r>
      <w:fldChar w:fldCharType="begin"/>
    </w:r>
    <w:r>
      <w:instrText xml:space="preserve"> PAGE  \* MERGEFORMAT </w:instrText>
    </w:r>
    <w:r>
      <w:fldChar w:fldCharType="separate"/>
    </w:r>
    <w:r w:rsidR="0007448F">
      <w:rPr>
        <w:noProof/>
      </w:rPr>
      <w:t>14</w:t>
    </w:r>
    <w:r>
      <w:fldChar w:fldCharType="end"/>
    </w:r>
    <w:r>
      <w:tab/>
    </w:r>
    <w:r w:rsidRPr="00FF51AC">
      <w:tab/>
    </w:r>
    <w:r w:rsidRPr="00FF51AC">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1AC" w:rsidRPr="00FF51AC" w:rsidRDefault="00FF51AC" w:rsidP="00FF51A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8F7" w:rsidRDefault="00BD58F7" w:rsidP="00555224">
      <w:pPr>
        <w:spacing w:before="0" w:after="0"/>
      </w:pPr>
      <w:r>
        <w:separator/>
      </w:r>
    </w:p>
  </w:footnote>
  <w:footnote w:type="continuationSeparator" w:id="0">
    <w:p w:rsidR="00BD58F7" w:rsidRDefault="00BD58F7" w:rsidP="00555224">
      <w:pPr>
        <w:spacing w:before="0" w:after="0"/>
      </w:pPr>
      <w:r>
        <w:continuationSeparator/>
      </w:r>
    </w:p>
  </w:footnote>
  <w:footnote w:type="continuationNotice" w:id="1">
    <w:p w:rsidR="00BD58F7" w:rsidRDefault="00BD58F7">
      <w:pPr>
        <w:spacing w:before="0" w:after="0"/>
      </w:pPr>
    </w:p>
  </w:footnote>
  <w:footnote w:id="2">
    <w:p w:rsidR="00586750" w:rsidRPr="006A41E2" w:rsidRDefault="00586750">
      <w:pPr>
        <w:pStyle w:val="Sprotnaopomba-besedilo"/>
        <w:rPr>
          <w:sz w:val="18"/>
        </w:rPr>
      </w:pPr>
      <w:r>
        <w:rPr>
          <w:rStyle w:val="Sprotnaopomba-sklic"/>
        </w:rPr>
        <w:footnoteRef/>
      </w:r>
      <w:r>
        <w:tab/>
      </w:r>
      <w:r>
        <w:rPr>
          <w:sz w:val="18"/>
        </w:rPr>
        <w:t>To se nanaša na stanje, v katerem obstaja vrzel med nominalno stopnjo doseganja ciljev, merjeno s kazalniki, in dejanskim napredkom pri izvajanju. Do nezadostnega poročanja o učinku in rezultatih bi lahko prišlo na primer zaradi težav v zvezi z razvojem sistema IT, tekočih operacij, za katere učinek in rezultati še niso sporočeni, težav v zvezi z zbiranjem podatkov, ki povzročajo počasno ali nepopolno poročanje, itd.</w:t>
      </w:r>
    </w:p>
  </w:footnote>
  <w:footnote w:id="3">
    <w:p w:rsidR="00586750" w:rsidRPr="006A41E2" w:rsidRDefault="00586750">
      <w:pPr>
        <w:pStyle w:val="Sprotnaopomba-besedilo"/>
        <w:rPr>
          <w:sz w:val="18"/>
        </w:rPr>
      </w:pPr>
      <w:r>
        <w:rPr>
          <w:rStyle w:val="Sprotnaopomba-sklic"/>
        </w:rPr>
        <w:footnoteRef/>
      </w:r>
      <w:r>
        <w:tab/>
      </w:r>
      <w:r>
        <w:rPr>
          <w:sz w:val="18"/>
        </w:rPr>
        <w:t>To se nanaša na stanje, v katerem nizka stopnja doseganja ciljev ni posledica počasnega napredka, temveč nepravilnega ali nerealističnega določanja ciljev. Vključuje lahko izkušnje, pridobljene v zvezi z določitvijo metodologije za določanje ciljev – kot so napačne ali nepopolne predpostavke ali težave z izbranimi referenčnimi vrednostmi – in vsemi načrtovanimi spremembami te metodologije.</w:t>
      </w:r>
    </w:p>
  </w:footnote>
  <w:footnote w:id="4">
    <w:p w:rsidR="00586750" w:rsidRPr="006A41E2" w:rsidRDefault="00586750">
      <w:pPr>
        <w:pStyle w:val="Sprotnaopomba-besedilo"/>
        <w:rPr>
          <w:sz w:val="18"/>
        </w:rPr>
      </w:pPr>
      <w:r>
        <w:rPr>
          <w:rStyle w:val="Sprotnaopomba-sklic"/>
        </w:rPr>
        <w:footnoteRef/>
      </w:r>
      <w:r>
        <w:tab/>
      </w:r>
      <w:r>
        <w:rPr>
          <w:sz w:val="18"/>
        </w:rPr>
        <w:t>Na primer vprašanja v zvezi z razpisnimi postopki, vprašanja v zvezi z revizijskimi postopki, vprašanja, povezana s pomanjkanjem sredstev na ravni organa upravljanja, nepredvidena zamuda pri sprejetju programa itd.</w:t>
      </w:r>
    </w:p>
  </w:footnote>
  <w:footnote w:id="5">
    <w:p w:rsidR="00586750" w:rsidRPr="006A41E2" w:rsidRDefault="00586750">
      <w:pPr>
        <w:pStyle w:val="Sprotnaopomba-besedilo"/>
      </w:pPr>
      <w:r>
        <w:rPr>
          <w:rStyle w:val="Sprotnaopomba-sklic"/>
        </w:rPr>
        <w:footnoteRef/>
      </w:r>
      <w:r>
        <w:tab/>
      </w:r>
      <w:r>
        <w:rPr>
          <w:sz w:val="18"/>
        </w:rPr>
        <w:t>To lahko na primer vključuje socialno-ekonomske ali politične dejavnike, spremembe regulativnega okvira itd.</w:t>
      </w:r>
    </w:p>
  </w:footnote>
  <w:footnote w:id="6">
    <w:p w:rsidR="00586750" w:rsidRPr="006A41E2" w:rsidRDefault="00586750">
      <w:pPr>
        <w:pStyle w:val="Sprotnaopomba-besedilo"/>
      </w:pPr>
      <w:r>
        <w:rPr>
          <w:rStyle w:val="Sprotnaopomba-sklic"/>
        </w:rPr>
        <w:footnoteRef/>
      </w:r>
      <w:r>
        <w:tab/>
      </w:r>
      <w:r>
        <w:rPr>
          <w:sz w:val="18"/>
        </w:rPr>
        <w:t>Na primer težave v zvezi s področjem uporabe ukrepa (npr. merila za upravičenost), majhno zanimanje upravičencev ali udeležencev, kakršno koli odstopanje pri izvajanju ukrepa itd.</w:t>
      </w:r>
    </w:p>
  </w:footnote>
  <w:footnote w:id="7">
    <w:p w:rsidR="00BC54D3" w:rsidRPr="00BC54D3" w:rsidRDefault="00BC54D3">
      <w:pPr>
        <w:pStyle w:val="Sprotnaopomba-besedilo"/>
        <w:rPr>
          <w:sz w:val="18"/>
          <w:szCs w:val="18"/>
        </w:rPr>
      </w:pPr>
      <w:r>
        <w:rPr>
          <w:rStyle w:val="Sprotnaopomba-sklic"/>
        </w:rPr>
        <w:footnoteRef/>
      </w:r>
      <w:r>
        <w:tab/>
      </w:r>
      <w:r>
        <w:rPr>
          <w:sz w:val="18"/>
        </w:rPr>
        <w:t>Če je to ustrezno za ta namen, navedite priporočila iz mehanizmov za nadzor kakovosti in ocenjevanje, kot so: (i) schengenski ocenjevalni in spremljevalni mehanizem v skladu z Uredbo Sveta (EU) št. 1053/2013 z dne 7. oktobra 2013 o vzpostavitvi ocenjevalnega in spremljevalnega mehanizma za preverjanje uporabe schengenskega pravnega reda in razveljavitvi Sklepa Izvršnega odbora z dne 16. septembra 1998 o ustanovitvi stalnega odbora o ocenjevanju in izvajanju Schengenskega sporazuma (UL L 295, 6.11.2013, str. 27) ter Uredbo Sveta (EU) 2022/922 z dne 9. junija 2022 o vzpostavitvi in delovanju ocenjevalnega in spremljevalnega mehanizma za preverjanje uporabe schengenskega pravnega reda in razveljavitvi Uredbe (EU) št. 1053/2013 (UL L 160, 15.6.2022, str. 1) ali (ii) drugi mehanizmi za nadzor kakovosti in ocenjevanje, kot je ustrezno.</w:t>
      </w:r>
    </w:p>
  </w:footnote>
  <w:footnote w:id="8">
    <w:p w:rsidR="00586750" w:rsidRPr="006A41E2" w:rsidRDefault="00586750">
      <w:pPr>
        <w:pStyle w:val="Sprotnaopomba-besedilo"/>
        <w:rPr>
          <w:sz w:val="18"/>
        </w:rPr>
      </w:pPr>
      <w:r>
        <w:rPr>
          <w:rStyle w:val="Sprotnaopomba-sklic"/>
        </w:rPr>
        <w:footnoteRef/>
      </w:r>
      <w:r>
        <w:tab/>
      </w:r>
      <w:r>
        <w:rPr>
          <w:sz w:val="18"/>
        </w:rPr>
        <w:t>V primeru posebnih ukrepov nadnacionalne narave se področje uporabe tega oddelka razlikuje glede na porazdelitev vlog in odgovornosti med vodilnimi državami članicami in drugimi sodelujočimi državami članicami ter glede na izbiro metode poročanja. To je opisano v obvestilu Komisije z dne 14. februarja 2022 – Nadnacionalni posebni ukrepi v okviru Sklada za azil, migracije in vključevanje, Instrumenta za finančno podporo za upravljanje meja in vizumsko politiko ter Sklada za notranjo varnost – ureditve med partnerji (</w:t>
      </w:r>
      <w:proofErr w:type="spellStart"/>
      <w:r>
        <w:rPr>
          <w:sz w:val="18"/>
        </w:rPr>
        <w:t>Ares</w:t>
      </w:r>
      <w:proofErr w:type="spellEnd"/>
      <w:r>
        <w:rPr>
          <w:sz w:val="18"/>
        </w:rPr>
        <w:t xml:space="preserve"> (2022)1060102).</w:t>
      </w:r>
    </w:p>
  </w:footnote>
  <w:footnote w:id="9">
    <w:p w:rsidR="00586750" w:rsidRPr="007027D4" w:rsidRDefault="00586750" w:rsidP="00EA1A2F">
      <w:pPr>
        <w:pStyle w:val="Sprotnaopomba-besedilo"/>
      </w:pPr>
      <w:r>
        <w:rPr>
          <w:rStyle w:val="Sprotnaopomba-sklic"/>
        </w:rPr>
        <w:footnoteRef/>
      </w:r>
      <w:r>
        <w:tab/>
      </w:r>
      <w:r>
        <w:rPr>
          <w:sz w:val="18"/>
        </w:rPr>
        <w:t xml:space="preserve">Dodana vrednost Unije je opredeljena kot ustvarjanje rezultatov, ki presegajo tisto, kar bi države članice dosegle same. </w:t>
      </w:r>
    </w:p>
  </w:footnote>
  <w:footnote w:id="10">
    <w:p w:rsidR="00586750" w:rsidRPr="007027D4" w:rsidRDefault="00586750" w:rsidP="00EA1A2F">
      <w:pPr>
        <w:pStyle w:val="Sprotnaopomba-besedilo"/>
        <w:rPr>
          <w:sz w:val="18"/>
        </w:rPr>
      </w:pPr>
      <w:r>
        <w:rPr>
          <w:rStyle w:val="Sprotnaopomba-sklic"/>
        </w:rPr>
        <w:footnoteRef/>
      </w:r>
      <w:r>
        <w:tab/>
      </w:r>
      <w:r>
        <w:rPr>
          <w:sz w:val="18"/>
        </w:rPr>
        <w:t>Na primer v zvezi z dejavnostmi javnega naročanja ali drugimi sprejetimi pripravljalnimi ukrepi.</w:t>
      </w:r>
    </w:p>
  </w:footnote>
  <w:footnote w:id="11">
    <w:p w:rsidR="00586750" w:rsidRPr="007027D4" w:rsidRDefault="00586750" w:rsidP="00EA1A2F">
      <w:pPr>
        <w:pStyle w:val="Sprotnaopomba-besedilo"/>
      </w:pPr>
      <w:r>
        <w:rPr>
          <w:rStyle w:val="Sprotnaopomba-sklic"/>
        </w:rPr>
        <w:footnoteRef/>
      </w:r>
      <w:r>
        <w:tab/>
      </w:r>
      <w:r>
        <w:rPr>
          <w:sz w:val="18"/>
        </w:rPr>
        <w:t>Na primer v smislu dosežkov, učinkov, rezultatov itd.</w:t>
      </w:r>
    </w:p>
  </w:footnote>
  <w:footnote w:id="12">
    <w:p w:rsidR="00586750" w:rsidRPr="006A41E2" w:rsidRDefault="00586750">
      <w:pPr>
        <w:pStyle w:val="Sprotnaopomba-besedilo"/>
      </w:pPr>
      <w:r>
        <w:rPr>
          <w:rStyle w:val="Sprotnaopomba-sklic"/>
        </w:rPr>
        <w:footnoteRef/>
      </w:r>
      <w:r>
        <w:tab/>
      </w:r>
      <w:r>
        <w:rPr>
          <w:sz w:val="18"/>
        </w:rPr>
        <w:t>Kot je navedeno v obvestilu Komisije z dne 14. februarja 2022 (</w:t>
      </w:r>
      <w:proofErr w:type="spellStart"/>
      <w:r>
        <w:rPr>
          <w:sz w:val="18"/>
        </w:rPr>
        <w:t>Ares</w:t>
      </w:r>
      <w:proofErr w:type="spellEnd"/>
      <w:r>
        <w:rPr>
          <w:sz w:val="18"/>
        </w:rPr>
        <w:t xml:space="preserve"> (2022)1060102).</w:t>
      </w:r>
    </w:p>
  </w:footnote>
  <w:footnote w:id="13">
    <w:p w:rsidR="00586750" w:rsidRPr="006A41E2" w:rsidRDefault="00586750">
      <w:pPr>
        <w:pStyle w:val="Sprotnaopomba-besedilo"/>
        <w:rPr>
          <w:sz w:val="18"/>
        </w:rPr>
      </w:pPr>
      <w:r>
        <w:rPr>
          <w:rStyle w:val="Sprotnaopomba-sklic"/>
        </w:rPr>
        <w:footnoteRef/>
      </w:r>
      <w:r>
        <w:tab/>
      </w:r>
      <w:r>
        <w:rPr>
          <w:sz w:val="18"/>
        </w:rPr>
        <w:t>Skupni upravičeni stroški izbranih operacij, kot so bili sporočeni Komisiji do 31. julija zadnjega obračunskega leta.</w:t>
      </w:r>
    </w:p>
  </w:footnote>
  <w:footnote w:id="14">
    <w:p w:rsidR="00586750" w:rsidRPr="006A41E2" w:rsidRDefault="00586750">
      <w:pPr>
        <w:pStyle w:val="Sprotnaopomba-besedilo"/>
        <w:rPr>
          <w:sz w:val="18"/>
        </w:rPr>
      </w:pPr>
      <w:r>
        <w:rPr>
          <w:rStyle w:val="Sprotnaopomba-sklic"/>
        </w:rPr>
        <w:footnoteRef/>
      </w:r>
      <w:r>
        <w:tab/>
      </w:r>
      <w:r>
        <w:rPr>
          <w:sz w:val="18"/>
        </w:rPr>
        <w:t>Skupni znesek upravičenih izdatkov, ki jih upravičenci prijavijo organu upravljanja, kot je bil sporočen Komisiji do 31. julija zadnjega obračunskega leta.</w:t>
      </w:r>
    </w:p>
  </w:footnote>
  <w:footnote w:id="15">
    <w:p w:rsidR="00586750" w:rsidRPr="006A41E2" w:rsidRDefault="00586750">
      <w:pPr>
        <w:pStyle w:val="Sprotnaopomba-besedilo"/>
      </w:pPr>
      <w:r>
        <w:rPr>
          <w:rStyle w:val="Sprotnaopomba-sklic"/>
        </w:rPr>
        <w:footnoteRef/>
      </w:r>
      <w:r>
        <w:tab/>
      </w:r>
      <w:r>
        <w:rPr>
          <w:sz w:val="18"/>
        </w:rPr>
        <w:t>Če posebni ukrepi pomenijo dodatek k prejšnjim operacijam in ni posebne ureditve spremljanja, o učinku in rezultatih poročajte sorazmerno.</w:t>
      </w:r>
    </w:p>
  </w:footnote>
  <w:footnote w:id="16">
    <w:p w:rsidR="00586750" w:rsidRPr="002229DC" w:rsidRDefault="00586750">
      <w:pPr>
        <w:pStyle w:val="Sprotnaopomba-besedilo"/>
      </w:pPr>
      <w:r>
        <w:rPr>
          <w:rStyle w:val="Sprotnaopomba-sklic"/>
        </w:rPr>
        <w:footnoteRef/>
      </w:r>
      <w:r>
        <w:tab/>
      </w:r>
      <w:r>
        <w:rPr>
          <w:color w:val="333333"/>
          <w:sz w:val="18"/>
          <w:shd w:val="clear" w:color="auto" w:fill="FFFFFF"/>
        </w:rPr>
        <w:t xml:space="preserve">Uredba (EU) št. 513/2014 Evropskega parlamenta in Sveta z dne 16. aprila 2014 o vzpostavitvi instrumenta za finančno podporo na področju policijskega sodelovanja, preprečevanja kriminala in boja proti njemu ter obvladovanja kriz v okviru Sklada za notranjo varnost in o razveljavitvi Sklepa Sveta 2007/125/PNZ (UL L 150, </w:t>
      </w:r>
      <w:r>
        <w:rPr>
          <w:sz w:val="18"/>
        </w:rPr>
        <w:t>20.5.2014, str. 93).</w:t>
      </w:r>
    </w:p>
  </w:footnote>
  <w:footnote w:id="17">
    <w:p w:rsidR="00586750" w:rsidRPr="00717D45" w:rsidRDefault="00586750" w:rsidP="0059250C">
      <w:pPr>
        <w:pStyle w:val="Sprotnaopomba-besedilo"/>
        <w:rPr>
          <w:sz w:val="18"/>
          <w:szCs w:val="18"/>
        </w:rPr>
      </w:pPr>
      <w:r>
        <w:rPr>
          <w:rStyle w:val="Sprotnaopomba-sklic"/>
        </w:rPr>
        <w:footnoteRef/>
      </w:r>
      <w:r>
        <w:tab/>
      </w:r>
      <w:r>
        <w:rPr>
          <w:color w:val="333333"/>
          <w:sz w:val="18"/>
          <w:shd w:val="clear" w:color="auto" w:fill="FFFFFF"/>
        </w:rPr>
        <w:t xml:space="preserve">Uredba (EU) št. 514/2014 Evropskega parlamenta in Sveta z dne 16. aprila 2014 o splošnih določbah o Skladu za migracije, azil in vključevanje ter o instrumentu za finančno podporo na področju policijskega sodelovanja, preprečevanja kriminala in boja proti njemu ter obvladovanja kriz (UL L 150, </w:t>
      </w:r>
      <w:r>
        <w:rPr>
          <w:sz w:val="18"/>
        </w:rPr>
        <w:t>20.5.2014, str. 112).</w:t>
      </w:r>
    </w:p>
    <w:p w:rsidR="00586750" w:rsidRPr="00DC1E6A" w:rsidRDefault="00586750">
      <w:pPr>
        <w:pStyle w:val="Sprotnaopomba-besedilo"/>
      </w:pPr>
    </w:p>
  </w:footnote>
  <w:footnote w:id="18">
    <w:p w:rsidR="00397A63" w:rsidRPr="007027D4" w:rsidRDefault="00397A63" w:rsidP="00397A63">
      <w:pPr>
        <w:pStyle w:val="Sprotnaopomba-besedilo"/>
      </w:pPr>
      <w:r>
        <w:rPr>
          <w:rStyle w:val="Sprotnaopomba-sklic"/>
        </w:rPr>
        <w:footnoteRef/>
      </w:r>
      <w:r>
        <w:tab/>
      </w:r>
      <w:r>
        <w:rPr>
          <w:sz w:val="18"/>
        </w:rPr>
        <w:t>Kot je sodelovanje na ravni Unije med državami članicami ter med državami članicami in ustreznimi organi, uradi in agencijami Unije ter sodelovanje na nacionalni ravni med pristojnimi organi v vsaki državi članici.</w:t>
      </w:r>
    </w:p>
  </w:footnote>
  <w:footnote w:id="19">
    <w:p w:rsidR="001B7FE6" w:rsidRPr="00DF7BF3" w:rsidRDefault="00FC3F33" w:rsidP="001B7FE6">
      <w:pPr>
        <w:pStyle w:val="Sprotnaopomba-besedilo"/>
        <w:rPr>
          <w:sz w:val="18"/>
        </w:rPr>
      </w:pPr>
      <w:r>
        <w:rPr>
          <w:rStyle w:val="Sprotnaopomba-sklic"/>
        </w:rPr>
        <w:footnoteRef/>
      </w:r>
      <w:r>
        <w:tab/>
      </w:r>
      <w:r>
        <w:rPr>
          <w:sz w:val="18"/>
        </w:rPr>
        <w:t xml:space="preserve">Uredba (EU) 2019/817 Evropskega parlamenta in Sveta z dne 20. maja 2019 o vzpostavitvi okvira za </w:t>
      </w:r>
      <w:proofErr w:type="spellStart"/>
      <w:r>
        <w:rPr>
          <w:sz w:val="18"/>
        </w:rPr>
        <w:t>interoperabilnost</w:t>
      </w:r>
      <w:proofErr w:type="spellEnd"/>
      <w:r>
        <w:rPr>
          <w:sz w:val="18"/>
        </w:rPr>
        <w:t xml:space="preserve"> informacijskih sistemov EU na področju meja in vizumov ter spremembi uredb (ES) št. 767/2008, (EU) 2016/399, (EU) 2017/2226, (EU) 2018/1240, (EU) 2018/1726 in (EU) 2018/1861 Evropskega parlamenta in Sveta ter Odločbe Sveta 2004/512/ES in Sklepa Sveta 2008/633/PNZ (</w:t>
      </w:r>
      <w:hyperlink r:id="rId1" w:history="1">
        <w:r>
          <w:rPr>
            <w:sz w:val="18"/>
          </w:rPr>
          <w:t>UL L 135, 22.5.2019, str. 27</w:t>
        </w:r>
      </w:hyperlink>
      <w:r>
        <w:rPr>
          <w:sz w:val="18"/>
        </w:rPr>
        <w:t>).</w:t>
      </w:r>
    </w:p>
    <w:p w:rsidR="00FC3F33" w:rsidRPr="001B7FE6" w:rsidRDefault="001B7FE6" w:rsidP="001B7FE6">
      <w:pPr>
        <w:pStyle w:val="Sprotnaopomba-besedilo"/>
        <w:ind w:firstLine="0"/>
      </w:pPr>
      <w:r>
        <w:rPr>
          <w:sz w:val="18"/>
        </w:rPr>
        <w:t xml:space="preserve">Uredba (EU) 2019/818 Evropskega parlamenta in Sveta z dne 20. maja 2019 o vzpostavitvi okvira za </w:t>
      </w:r>
      <w:proofErr w:type="spellStart"/>
      <w:r>
        <w:rPr>
          <w:sz w:val="18"/>
        </w:rPr>
        <w:t>interoperabilnost</w:t>
      </w:r>
      <w:proofErr w:type="spellEnd"/>
      <w:r>
        <w:rPr>
          <w:sz w:val="18"/>
        </w:rPr>
        <w:t xml:space="preserve"> informacijskih sistemov EU na področju policijskega in pravosodnega sodelovanja, azila ter migracij in spremembi uredb (EU) 2018/1726, (EU) 2018/1862 ter (EU) 2019/816 (</w:t>
      </w:r>
      <w:hyperlink r:id="rId2" w:history="1">
        <w:r>
          <w:rPr>
            <w:sz w:val="18"/>
          </w:rPr>
          <w:t>UL L 135, 22.5.2019, str. 85</w:t>
        </w:r>
      </w:hyperlink>
      <w:r>
        <w:rPr>
          <w:sz w:val="18"/>
        </w:rPr>
        <w:t>).</w:t>
      </w:r>
    </w:p>
  </w:footnote>
  <w:footnote w:id="20">
    <w:p w:rsidR="00586750" w:rsidRPr="006A41E2" w:rsidRDefault="00586750" w:rsidP="006A41E2">
      <w:pPr>
        <w:pStyle w:val="Sprotnaopomba-besedilo"/>
        <w:rPr>
          <w:sz w:val="18"/>
        </w:rPr>
      </w:pPr>
      <w:r>
        <w:rPr>
          <w:rStyle w:val="Sprotnaopomba-sklic"/>
        </w:rPr>
        <w:footnoteRef/>
      </w:r>
      <w:r>
        <w:tab/>
      </w:r>
      <w:r>
        <w:rPr>
          <w:sz w:val="18"/>
        </w:rPr>
        <w:t>Skupni upravičeni stroški izbranih operacij, kot so bili sporočeni Komisiji do 31. julija zadnjega obračunskega leta.</w:t>
      </w:r>
    </w:p>
  </w:footnote>
  <w:footnote w:id="21">
    <w:p w:rsidR="00586750" w:rsidRPr="006A41E2" w:rsidRDefault="00586750" w:rsidP="006A41E2">
      <w:pPr>
        <w:pStyle w:val="Sprotnaopomba-besedilo"/>
      </w:pPr>
      <w:r>
        <w:rPr>
          <w:rStyle w:val="Sprotnaopomba-sklic"/>
        </w:rPr>
        <w:footnoteRef/>
      </w:r>
      <w:r>
        <w:tab/>
      </w:r>
      <w:r>
        <w:rPr>
          <w:sz w:val="18"/>
        </w:rPr>
        <w:t>Skupni znesek upravičenih izdatkov, ki jih upravičenci prijavijo organu upravljanja, kot je bil sporočen Komisiji do 31. julija zadnjega obračunskega leta.</w:t>
      </w:r>
    </w:p>
  </w:footnote>
  <w:footnote w:id="22">
    <w:p w:rsidR="00022517" w:rsidRDefault="007D1ECB" w:rsidP="007D1ECB">
      <w:pPr>
        <w:pStyle w:val="Sprotnaopomba-besedilo"/>
        <w:rPr>
          <w:sz w:val="18"/>
          <w:szCs w:val="18"/>
        </w:rPr>
      </w:pPr>
      <w:r>
        <w:rPr>
          <w:rStyle w:val="Sprotnaopomba-sklic"/>
        </w:rPr>
        <w:footnoteRef/>
      </w:r>
      <w:r>
        <w:t xml:space="preserve"> </w:t>
      </w:r>
      <w:r w:rsidRPr="007A2DDE">
        <w:rPr>
          <w:rFonts w:cstheme="minorHAnsi"/>
          <w:noProof/>
          <w:sz w:val="18"/>
          <w:szCs w:val="18"/>
        </w:rPr>
        <w:t xml:space="preserve">tj. </w:t>
      </w:r>
      <w:r w:rsidRPr="007A2DDE">
        <w:rPr>
          <w:color w:val="000000"/>
          <w:sz w:val="18"/>
          <w:szCs w:val="18"/>
        </w:rPr>
        <w:t xml:space="preserve">Uredba o </w:t>
      </w:r>
      <w:r w:rsidRPr="007A2DDE">
        <w:rPr>
          <w:sz w:val="18"/>
          <w:szCs w:val="18"/>
        </w:rPr>
        <w:t>izvajanju uredb (EU) in (</w:t>
      </w:r>
      <w:proofErr w:type="spellStart"/>
      <w:r w:rsidRPr="007A2DDE">
        <w:rPr>
          <w:sz w:val="18"/>
          <w:szCs w:val="18"/>
        </w:rPr>
        <w:t>Euratom</w:t>
      </w:r>
      <w:proofErr w:type="spellEnd"/>
      <w:r w:rsidRPr="007A2DDE">
        <w:rPr>
          <w:sz w:val="18"/>
          <w:szCs w:val="18"/>
        </w:rPr>
        <w:t xml:space="preserve">) na področju azila, migracij in vključevanja, notranje varnosti ter evropskega </w:t>
      </w:r>
    </w:p>
    <w:p w:rsidR="007D1ECB" w:rsidRDefault="007D1ECB" w:rsidP="007D1ECB">
      <w:pPr>
        <w:pStyle w:val="Sprotnaopomba-besedilo"/>
      </w:pPr>
      <w:r w:rsidRPr="007A2DDE">
        <w:rPr>
          <w:sz w:val="18"/>
          <w:szCs w:val="18"/>
        </w:rPr>
        <w:t>integriranega upravljanja meja v</w:t>
      </w:r>
      <w:r>
        <w:rPr>
          <w:sz w:val="18"/>
          <w:szCs w:val="18"/>
        </w:rPr>
        <w:t xml:space="preserve"> programskem obdobju 2021–2027.</w:t>
      </w:r>
      <w:r w:rsidRPr="007A2DDE">
        <w:rPr>
          <w:color w:val="000000"/>
          <w:sz w:val="18"/>
          <w:szCs w:val="18"/>
        </w:rPr>
        <w:t xml:space="preserve"> </w:t>
      </w:r>
    </w:p>
  </w:footnote>
  <w:footnote w:id="23">
    <w:p w:rsidR="007D1ECB" w:rsidRDefault="007D1ECB" w:rsidP="007D1ECB">
      <w:pPr>
        <w:pStyle w:val="Sprotnaopomba-besedilo"/>
      </w:pPr>
      <w:r>
        <w:rPr>
          <w:rStyle w:val="Sprotnaopomba-sklic"/>
        </w:rPr>
        <w:footnoteRef/>
      </w:r>
      <w:r>
        <w:t xml:space="preserve"> </w:t>
      </w:r>
      <w:r w:rsidRPr="007A2DDE">
        <w:rPr>
          <w:rFonts w:cstheme="minorHAnsi"/>
          <w:noProof/>
          <w:sz w:val="18"/>
          <w:szCs w:val="18"/>
        </w:rPr>
        <w:t xml:space="preserve">tj. </w:t>
      </w:r>
      <w:r w:rsidRPr="007A2DDE">
        <w:rPr>
          <w:color w:val="000000"/>
          <w:sz w:val="18"/>
          <w:szCs w:val="18"/>
        </w:rPr>
        <w:t xml:space="preserve">Uredba o </w:t>
      </w:r>
      <w:r w:rsidRPr="007A2DDE">
        <w:rPr>
          <w:sz w:val="18"/>
          <w:szCs w:val="18"/>
        </w:rPr>
        <w:t>izvajanju uredb (EU) in (</w:t>
      </w:r>
      <w:proofErr w:type="spellStart"/>
      <w:r w:rsidRPr="007A2DDE">
        <w:rPr>
          <w:sz w:val="18"/>
          <w:szCs w:val="18"/>
        </w:rPr>
        <w:t>Euratom</w:t>
      </w:r>
      <w:proofErr w:type="spellEnd"/>
      <w:r w:rsidRPr="007A2DDE">
        <w:rPr>
          <w:sz w:val="18"/>
          <w:szCs w:val="18"/>
        </w:rPr>
        <w:t xml:space="preserve">) na področju azila, migracij in vključevanja, notranje varnosti ter evropskega integriranega upravljanja meja </w:t>
      </w:r>
      <w:r>
        <w:rPr>
          <w:sz w:val="18"/>
          <w:szCs w:val="18"/>
        </w:rPr>
        <w:t>v programskem obdobju 2021–2027.</w:t>
      </w:r>
      <w:r w:rsidRPr="007A2DDE">
        <w:rPr>
          <w:sz w:val="18"/>
          <w:szCs w:val="18"/>
        </w:rPr>
        <w:t xml:space="preserve"> </w:t>
      </w:r>
      <w:r w:rsidRPr="007A2DDE">
        <w:rPr>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9E2164A"/>
    <w:lvl w:ilvl="0">
      <w:start w:val="1"/>
      <w:numFmt w:val="decimal"/>
      <w:pStyle w:val="Otevilenseznam4"/>
      <w:lvlText w:val="%1."/>
      <w:lvlJc w:val="left"/>
      <w:pPr>
        <w:tabs>
          <w:tab w:val="num" w:pos="1209"/>
        </w:tabs>
        <w:ind w:left="1209" w:hanging="360"/>
      </w:pPr>
    </w:lvl>
  </w:abstractNum>
  <w:abstractNum w:abstractNumId="1" w15:restartNumberingAfterBreak="0">
    <w:nsid w:val="FFFFFF7E"/>
    <w:multiLevelType w:val="singleLevel"/>
    <w:tmpl w:val="E7F42C28"/>
    <w:lvl w:ilvl="0">
      <w:start w:val="1"/>
      <w:numFmt w:val="decimal"/>
      <w:pStyle w:val="Otevilenseznam3"/>
      <w:lvlText w:val="%1."/>
      <w:lvlJc w:val="left"/>
      <w:pPr>
        <w:tabs>
          <w:tab w:val="num" w:pos="926"/>
        </w:tabs>
        <w:ind w:left="926" w:hanging="360"/>
      </w:pPr>
    </w:lvl>
  </w:abstractNum>
  <w:abstractNum w:abstractNumId="2" w15:restartNumberingAfterBreak="0">
    <w:nsid w:val="FFFFFF7F"/>
    <w:multiLevelType w:val="singleLevel"/>
    <w:tmpl w:val="1C34734A"/>
    <w:lvl w:ilvl="0">
      <w:start w:val="1"/>
      <w:numFmt w:val="decimal"/>
      <w:pStyle w:val="Otevilenseznam2"/>
      <w:lvlText w:val="%1."/>
      <w:lvlJc w:val="left"/>
      <w:pPr>
        <w:tabs>
          <w:tab w:val="num" w:pos="643"/>
        </w:tabs>
        <w:ind w:left="643" w:hanging="360"/>
      </w:pPr>
    </w:lvl>
  </w:abstractNum>
  <w:abstractNum w:abstractNumId="3" w15:restartNumberingAfterBreak="0">
    <w:nsid w:val="FFFFFF81"/>
    <w:multiLevelType w:val="singleLevel"/>
    <w:tmpl w:val="E1F03B04"/>
    <w:lvl w:ilvl="0">
      <w:start w:val="1"/>
      <w:numFmt w:val="bullet"/>
      <w:pStyle w:val="Oznaenseznam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04411D4"/>
    <w:lvl w:ilvl="0">
      <w:start w:val="1"/>
      <w:numFmt w:val="bullet"/>
      <w:pStyle w:val="Oznaenseznam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17051A2"/>
    <w:lvl w:ilvl="0">
      <w:start w:val="1"/>
      <w:numFmt w:val="bullet"/>
      <w:pStyle w:val="Oznaenseznam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1B43B32"/>
    <w:lvl w:ilvl="0">
      <w:start w:val="1"/>
      <w:numFmt w:val="decimal"/>
      <w:pStyle w:val="Otevilenseznam"/>
      <w:lvlText w:val="%1."/>
      <w:lvlJc w:val="left"/>
      <w:pPr>
        <w:tabs>
          <w:tab w:val="num" w:pos="360"/>
        </w:tabs>
        <w:ind w:left="360" w:hanging="360"/>
      </w:pPr>
    </w:lvl>
  </w:abstractNum>
  <w:abstractNum w:abstractNumId="7" w15:restartNumberingAfterBreak="0">
    <w:nsid w:val="FFFFFF89"/>
    <w:multiLevelType w:val="singleLevel"/>
    <w:tmpl w:val="9F7CFE3E"/>
    <w:lvl w:ilvl="0">
      <w:start w:val="1"/>
      <w:numFmt w:val="bullet"/>
      <w:pStyle w:val="Oznaenseznam"/>
      <w:lvlText w:val=""/>
      <w:lvlJc w:val="left"/>
      <w:pPr>
        <w:tabs>
          <w:tab w:val="num" w:pos="360"/>
        </w:tabs>
        <w:ind w:left="360" w:hanging="360"/>
      </w:pPr>
      <w:rPr>
        <w:rFonts w:ascii="Symbol" w:hAnsi="Symbol" w:hint="default"/>
      </w:rPr>
    </w:lvl>
  </w:abstractNum>
  <w:abstractNum w:abstractNumId="8" w15:restartNumberingAfterBreak="0">
    <w:nsid w:val="0A0C1C4F"/>
    <w:multiLevelType w:val="hybridMultilevel"/>
    <w:tmpl w:val="355217B4"/>
    <w:lvl w:ilvl="0" w:tplc="C88E875C">
      <w:numFmt w:val="bullet"/>
      <w:lvlText w:val="-"/>
      <w:lvlJc w:val="left"/>
      <w:pPr>
        <w:ind w:left="720" w:hanging="360"/>
      </w:pPr>
      <w:rPr>
        <w:rFonts w:ascii="Arial" w:eastAsiaTheme="minorHAnsi" w:hAnsi="Arial"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A10BFC"/>
    <w:multiLevelType w:val="hybridMultilevel"/>
    <w:tmpl w:val="4B8E0964"/>
    <w:lvl w:ilvl="0" w:tplc="8ADC8EE4">
      <w:start w:val="15"/>
      <w:numFmt w:val="bullet"/>
      <w:lvlText w:val="-"/>
      <w:lvlJc w:val="left"/>
      <w:pPr>
        <w:ind w:left="720" w:hanging="360"/>
      </w:pPr>
      <w:rPr>
        <w:rFonts w:ascii="Times New Roman" w:eastAsiaTheme="minorHAnsi" w:hAnsi="Times New Roman" w:cs="Times New Roma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6F7111"/>
    <w:multiLevelType w:val="hybridMultilevel"/>
    <w:tmpl w:val="E72AB590"/>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FB97DF2"/>
    <w:multiLevelType w:val="hybridMultilevel"/>
    <w:tmpl w:val="65C826AE"/>
    <w:lvl w:ilvl="0" w:tplc="5A20FDB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00F7DEC"/>
    <w:multiLevelType w:val="hybridMultilevel"/>
    <w:tmpl w:val="65C826AE"/>
    <w:lvl w:ilvl="0" w:tplc="5A20FDB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52D50A78"/>
    <w:multiLevelType w:val="hybridMultilevel"/>
    <w:tmpl w:val="AEBC1660"/>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64A12FA4"/>
    <w:multiLevelType w:val="multilevel"/>
    <w:tmpl w:val="428ECF3E"/>
    <w:name w:val="Heading"/>
    <w:lvl w:ilvl="0">
      <w:start w:val="1"/>
      <w:numFmt w:val="decimal"/>
      <w:lvlRestart w:val="0"/>
      <w:pStyle w:val="Naslov1"/>
      <w:lvlText w:val="%1."/>
      <w:lvlJc w:val="left"/>
      <w:pPr>
        <w:tabs>
          <w:tab w:val="num" w:pos="850"/>
        </w:tabs>
        <w:ind w:left="850" w:hanging="850"/>
      </w:pPr>
    </w:lvl>
    <w:lvl w:ilvl="1">
      <w:start w:val="1"/>
      <w:numFmt w:val="decimal"/>
      <w:pStyle w:val="Naslov2"/>
      <w:lvlText w:val="%1.%2."/>
      <w:lvlJc w:val="left"/>
      <w:pPr>
        <w:tabs>
          <w:tab w:val="num" w:pos="850"/>
        </w:tabs>
        <w:ind w:left="850" w:hanging="850"/>
      </w:pPr>
    </w:lvl>
    <w:lvl w:ilvl="2">
      <w:start w:val="1"/>
      <w:numFmt w:val="decimal"/>
      <w:pStyle w:val="Naslov3"/>
      <w:lvlText w:val="%1.%2.%3."/>
      <w:lvlJc w:val="left"/>
      <w:pPr>
        <w:tabs>
          <w:tab w:val="num" w:pos="850"/>
        </w:tabs>
        <w:ind w:left="850" w:hanging="850"/>
      </w:pPr>
    </w:lvl>
    <w:lvl w:ilvl="3">
      <w:start w:val="1"/>
      <w:numFmt w:val="decimal"/>
      <w:pStyle w:val="Naslov4"/>
      <w:lvlText w:val="%1.%2.%3.%4."/>
      <w:lvlJc w:val="left"/>
      <w:pPr>
        <w:tabs>
          <w:tab w:val="num" w:pos="850"/>
        </w:tabs>
        <w:ind w:left="850" w:hanging="850"/>
      </w:pPr>
    </w:lvl>
    <w:lvl w:ilvl="4">
      <w:start w:val="1"/>
      <w:numFmt w:val="decimal"/>
      <w:pStyle w:val="Naslov5"/>
      <w:lvlText w:val="%1.%2.%3.%4.%5."/>
      <w:lvlJc w:val="left"/>
      <w:pPr>
        <w:tabs>
          <w:tab w:val="num" w:pos="1417"/>
        </w:tabs>
        <w:ind w:left="1417" w:hanging="1417"/>
      </w:pPr>
    </w:lvl>
    <w:lvl w:ilvl="5">
      <w:start w:val="1"/>
      <w:numFmt w:val="decimal"/>
      <w:pStyle w:val="Naslov6"/>
      <w:lvlText w:val="%1.%2.%3.%4.%5.%6."/>
      <w:lvlJc w:val="left"/>
      <w:pPr>
        <w:tabs>
          <w:tab w:val="num" w:pos="1417"/>
        </w:tabs>
        <w:ind w:left="1417" w:hanging="1417"/>
      </w:pPr>
    </w:lvl>
    <w:lvl w:ilvl="6">
      <w:start w:val="1"/>
      <w:numFmt w:val="decimal"/>
      <w:pStyle w:val="Naslov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5"/>
    <w:lvlOverride w:ilvl="0">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num>
  <w:num w:numId="12">
    <w:abstractNumId w:val="25"/>
    <w:lvlOverride w:ilvl="0">
      <w:startOverride w:val="1"/>
    </w:lvlOverride>
  </w:num>
  <w:num w:numId="13">
    <w:abstractNumId w:val="25"/>
  </w:num>
  <w:num w:numId="14">
    <w:abstractNumId w:val="17"/>
  </w:num>
  <w:num w:numId="15">
    <w:abstractNumId w:val="27"/>
  </w:num>
  <w:num w:numId="16">
    <w:abstractNumId w:val="14"/>
  </w:num>
  <w:num w:numId="17">
    <w:abstractNumId w:val="18"/>
  </w:num>
  <w:num w:numId="18">
    <w:abstractNumId w:val="19"/>
  </w:num>
  <w:num w:numId="19">
    <w:abstractNumId w:val="10"/>
  </w:num>
  <w:num w:numId="20">
    <w:abstractNumId w:val="26"/>
  </w:num>
  <w:num w:numId="21">
    <w:abstractNumId w:val="9"/>
  </w:num>
  <w:num w:numId="22">
    <w:abstractNumId w:val="20"/>
  </w:num>
  <w:num w:numId="23">
    <w:abstractNumId w:val="23"/>
  </w:num>
  <w:num w:numId="24">
    <w:abstractNumId w:val="24"/>
  </w:num>
  <w:num w:numId="25">
    <w:abstractNumId w:val="13"/>
  </w:num>
  <w:num w:numId="26">
    <w:abstractNumId w:val="22"/>
  </w:num>
  <w:num w:numId="27">
    <w:abstractNumId w:val="28"/>
  </w:num>
  <w:num w:numId="28">
    <w:abstractNumId w:val="16"/>
  </w:num>
  <w:num w:numId="29">
    <w:abstractNumId w:val="15"/>
  </w:num>
  <w:num w:numId="30">
    <w:abstractNumId w:val="11"/>
  </w:num>
  <w:num w:numId="31">
    <w:abstractNumId w:val="8"/>
  </w:num>
  <w:num w:numId="32">
    <w:abstractNumId w:val="21"/>
  </w:num>
  <w:num w:numId="33">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proofState w:spelling="clean" w:grammar="clean"/>
  <w:attachedTemplate r:id="rId1"/>
  <w:defaultTabStop w:val="720"/>
  <w:hyphenationZone w:val="425"/>
  <w:characterSpacingControl w:val="doNotCompress"/>
  <w:hdrShapeDefaults>
    <o:shapedefaults v:ext="edit" spidmax="1843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3-01-17 08:32:1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k"/>
    <w:docVar w:name="LW_ACCOMPAGNANT.CP" w:val="k"/>
    <w:docVar w:name="LW_ANNEX_NBR_FIRST" w:val="1"/>
    <w:docVar w:name="LW_ANNEX_NBR_LAST" w:val="1"/>
    <w:docVar w:name="LW_ANNEX_UNIQUE" w:val="1"/>
    <w:docVar w:name="LW_CORRIGENDUM" w:val="&lt;UNUSED&gt;"/>
    <w:docVar w:name="LW_COVERPAGE_EXISTS" w:val="True"/>
    <w:docVar w:name="LW_COVERPAGE_GUID" w:val="4E7F4CB9-02D7-408F-9D94-BF029F1A7B59"/>
    <w:docVar w:name="LW_COVERPAGE_TYPE" w:val="1"/>
    <w:docVar w:name="LW_CROSSREFERENCE" w:val="&lt;UNUSED&gt;"/>
    <w:docVar w:name="LW_DocType" w:val="ANNEX"/>
    <w:docVar w:name="LW_EMISSION" w:val="25.1.2023"/>
    <w:docVar w:name="LW_EMISSION_ISODATE" w:val="2023-01-25"/>
    <w:docVar w:name="LW_EMISSION_LOCATION" w:val="BRX"/>
    <w:docVar w:name="LW_EMISSION_PREFIX" w:val="Bruselj, "/>
    <w:docVar w:name="LW_EMISSION_SUFFIX" w:val=" "/>
    <w:docVar w:name="LW_ID_DOCSTRUCTURE" w:val="COM/ANNEX"/>
    <w:docVar w:name="LW_ID_DOCTYPE" w:val="SG-068"/>
    <w:docVar w:name="LW_LANGUE" w:val="SL"/>
    <w:docVar w:name="LW_LEVEL_OF_SENSITIVITY" w:val="Standard treatment"/>
    <w:docVar w:name="LW_NOM.INST" w:val="EVROPSKA KOMISIJA"/>
    <w:docVar w:name="LW_NOM.INST_JOINTDOC" w:val="&lt;EMPTY&gt;"/>
    <w:docVar w:name="LW_OBJETACTEPRINCIPAL" w:val="o dolo\u269?itvi predloge za letna poro\u269?ila o smotrnosti Sklada za notranjo varnost za programsko obdobje 2021\u8211?2027 v skladu z Uredbo (EU) 2021/1149"/>
    <w:docVar w:name="LW_OBJETACTEPRINCIPAL.CP" w:val="o določitvi predloge za letna poročila o smotrnosti Sklada za notranjo varnost za programsko obdobje 2021–2027 v skladu z Uredbo (EU) 2021/1149"/>
    <w:docVar w:name="LW_PART_NBR" w:val="1"/>
    <w:docVar w:name="LW_PART_NBR_TOTAL" w:val="1"/>
    <w:docVar w:name="LW_REF.INST.NEW" w:val="C"/>
    <w:docVar w:name="LW_REF.INST.NEW_ADOPTED" w:val="final"/>
    <w:docVar w:name="LW_REF.INST.NEW_TEXT" w:val="(2023) 55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LOGA"/>
    <w:docVar w:name="LW_TYPE.DOC.CP" w:val="PRILOGA"/>
    <w:docVar w:name="LW_TYPEACTEPRINCIPAL" w:val="Izvedbeni uredbi Komisije"/>
    <w:docVar w:name="LW_TYPEACTEPRINCIPAL.CP" w:val="Izvedbeni uredbi Komisije"/>
    <w:docVar w:name="LwApiVersions" w:val="LW4CoDe 1.23.2.0; LW 8.0, Build 20211117"/>
  </w:docVars>
  <w:rsids>
    <w:rsidRoot w:val="00555224"/>
    <w:rsid w:val="0000016F"/>
    <w:rsid w:val="000133CF"/>
    <w:rsid w:val="00014F7C"/>
    <w:rsid w:val="0001528B"/>
    <w:rsid w:val="0002060E"/>
    <w:rsid w:val="00022517"/>
    <w:rsid w:val="00040782"/>
    <w:rsid w:val="00046462"/>
    <w:rsid w:val="0005122B"/>
    <w:rsid w:val="00053829"/>
    <w:rsid w:val="0006040C"/>
    <w:rsid w:val="00070021"/>
    <w:rsid w:val="0007448F"/>
    <w:rsid w:val="00075EDB"/>
    <w:rsid w:val="00081CCF"/>
    <w:rsid w:val="00083808"/>
    <w:rsid w:val="00085A16"/>
    <w:rsid w:val="00085D54"/>
    <w:rsid w:val="000903CC"/>
    <w:rsid w:val="00093D5B"/>
    <w:rsid w:val="000A0779"/>
    <w:rsid w:val="000A1C8F"/>
    <w:rsid w:val="000C122F"/>
    <w:rsid w:val="000C4CC6"/>
    <w:rsid w:val="000D1693"/>
    <w:rsid w:val="000D3230"/>
    <w:rsid w:val="000D44D0"/>
    <w:rsid w:val="000D5E2F"/>
    <w:rsid w:val="000E45B7"/>
    <w:rsid w:val="000F1C58"/>
    <w:rsid w:val="00101769"/>
    <w:rsid w:val="00104E34"/>
    <w:rsid w:val="0011011B"/>
    <w:rsid w:val="00111D07"/>
    <w:rsid w:val="00114770"/>
    <w:rsid w:val="0011744D"/>
    <w:rsid w:val="00121042"/>
    <w:rsid w:val="00122018"/>
    <w:rsid w:val="00133AC2"/>
    <w:rsid w:val="00141E24"/>
    <w:rsid w:val="00152894"/>
    <w:rsid w:val="00153209"/>
    <w:rsid w:val="0015448D"/>
    <w:rsid w:val="00154541"/>
    <w:rsid w:val="0016130D"/>
    <w:rsid w:val="00161A30"/>
    <w:rsid w:val="001668BA"/>
    <w:rsid w:val="0017755A"/>
    <w:rsid w:val="00181A3F"/>
    <w:rsid w:val="0018473B"/>
    <w:rsid w:val="00184CCF"/>
    <w:rsid w:val="0019152D"/>
    <w:rsid w:val="001A1F71"/>
    <w:rsid w:val="001A292A"/>
    <w:rsid w:val="001A4BD7"/>
    <w:rsid w:val="001B037F"/>
    <w:rsid w:val="001B7FE6"/>
    <w:rsid w:val="001C0807"/>
    <w:rsid w:val="001C4994"/>
    <w:rsid w:val="001D175D"/>
    <w:rsid w:val="001D2E88"/>
    <w:rsid w:val="001E0672"/>
    <w:rsid w:val="001E1588"/>
    <w:rsid w:val="001E3E4B"/>
    <w:rsid w:val="001E63B6"/>
    <w:rsid w:val="001F71DC"/>
    <w:rsid w:val="001F7F00"/>
    <w:rsid w:val="00200C0C"/>
    <w:rsid w:val="00202C38"/>
    <w:rsid w:val="00206073"/>
    <w:rsid w:val="00213BC9"/>
    <w:rsid w:val="00216D79"/>
    <w:rsid w:val="002229DC"/>
    <w:rsid w:val="00227FE7"/>
    <w:rsid w:val="00231338"/>
    <w:rsid w:val="00244632"/>
    <w:rsid w:val="00244A46"/>
    <w:rsid w:val="00246967"/>
    <w:rsid w:val="00251735"/>
    <w:rsid w:val="00254824"/>
    <w:rsid w:val="00260785"/>
    <w:rsid w:val="00267706"/>
    <w:rsid w:val="00275BA0"/>
    <w:rsid w:val="00277AF0"/>
    <w:rsid w:val="00277F78"/>
    <w:rsid w:val="00284373"/>
    <w:rsid w:val="00284D38"/>
    <w:rsid w:val="00296314"/>
    <w:rsid w:val="002A48C2"/>
    <w:rsid w:val="002A4FD7"/>
    <w:rsid w:val="002A6B7D"/>
    <w:rsid w:val="002A6CBE"/>
    <w:rsid w:val="002C3726"/>
    <w:rsid w:val="002C4A46"/>
    <w:rsid w:val="002C4C72"/>
    <w:rsid w:val="002C60F2"/>
    <w:rsid w:val="002E13C5"/>
    <w:rsid w:val="002E2230"/>
    <w:rsid w:val="002E355D"/>
    <w:rsid w:val="002E3DC3"/>
    <w:rsid w:val="002F1935"/>
    <w:rsid w:val="002F2E39"/>
    <w:rsid w:val="002F5106"/>
    <w:rsid w:val="002F6FFF"/>
    <w:rsid w:val="003003B7"/>
    <w:rsid w:val="003021FB"/>
    <w:rsid w:val="00305958"/>
    <w:rsid w:val="00310023"/>
    <w:rsid w:val="00316A65"/>
    <w:rsid w:val="0032373D"/>
    <w:rsid w:val="00323AA1"/>
    <w:rsid w:val="003252F1"/>
    <w:rsid w:val="00327883"/>
    <w:rsid w:val="00332A4B"/>
    <w:rsid w:val="00336B99"/>
    <w:rsid w:val="003471A8"/>
    <w:rsid w:val="00347EE8"/>
    <w:rsid w:val="003500C4"/>
    <w:rsid w:val="0035085A"/>
    <w:rsid w:val="00351C18"/>
    <w:rsid w:val="00352119"/>
    <w:rsid w:val="0035484F"/>
    <w:rsid w:val="003651F7"/>
    <w:rsid w:val="0037290B"/>
    <w:rsid w:val="003821DC"/>
    <w:rsid w:val="003923CA"/>
    <w:rsid w:val="003945F3"/>
    <w:rsid w:val="00397A63"/>
    <w:rsid w:val="003A1616"/>
    <w:rsid w:val="003A30A1"/>
    <w:rsid w:val="003A6A89"/>
    <w:rsid w:val="003B217D"/>
    <w:rsid w:val="003B616F"/>
    <w:rsid w:val="003D38C3"/>
    <w:rsid w:val="003D7A01"/>
    <w:rsid w:val="003E338B"/>
    <w:rsid w:val="003E36B0"/>
    <w:rsid w:val="003E4922"/>
    <w:rsid w:val="003E49B2"/>
    <w:rsid w:val="003E7D66"/>
    <w:rsid w:val="003E7F9C"/>
    <w:rsid w:val="003F695F"/>
    <w:rsid w:val="00405D43"/>
    <w:rsid w:val="00410DEC"/>
    <w:rsid w:val="004119DA"/>
    <w:rsid w:val="0041224B"/>
    <w:rsid w:val="0041450D"/>
    <w:rsid w:val="004217A7"/>
    <w:rsid w:val="00425B0B"/>
    <w:rsid w:val="00431B4C"/>
    <w:rsid w:val="00434335"/>
    <w:rsid w:val="00437336"/>
    <w:rsid w:val="0044327D"/>
    <w:rsid w:val="00446133"/>
    <w:rsid w:val="00446442"/>
    <w:rsid w:val="0045095F"/>
    <w:rsid w:val="004630E2"/>
    <w:rsid w:val="004708BF"/>
    <w:rsid w:val="00475780"/>
    <w:rsid w:val="00475B8F"/>
    <w:rsid w:val="00481574"/>
    <w:rsid w:val="00490445"/>
    <w:rsid w:val="00493477"/>
    <w:rsid w:val="0049785B"/>
    <w:rsid w:val="004A30F9"/>
    <w:rsid w:val="004B3C06"/>
    <w:rsid w:val="004B6B88"/>
    <w:rsid w:val="004C4869"/>
    <w:rsid w:val="004E137F"/>
    <w:rsid w:val="004F00F8"/>
    <w:rsid w:val="004F1E95"/>
    <w:rsid w:val="004F5C72"/>
    <w:rsid w:val="004F5E71"/>
    <w:rsid w:val="005000D5"/>
    <w:rsid w:val="005056A0"/>
    <w:rsid w:val="00515026"/>
    <w:rsid w:val="005202F1"/>
    <w:rsid w:val="00520A2F"/>
    <w:rsid w:val="00532177"/>
    <w:rsid w:val="00535AC2"/>
    <w:rsid w:val="005365AB"/>
    <w:rsid w:val="00544E72"/>
    <w:rsid w:val="00545857"/>
    <w:rsid w:val="00552A8B"/>
    <w:rsid w:val="0055374C"/>
    <w:rsid w:val="00554DAE"/>
    <w:rsid w:val="00555224"/>
    <w:rsid w:val="00555916"/>
    <w:rsid w:val="00561E3E"/>
    <w:rsid w:val="0056447F"/>
    <w:rsid w:val="00570031"/>
    <w:rsid w:val="00571255"/>
    <w:rsid w:val="005712C1"/>
    <w:rsid w:val="00582244"/>
    <w:rsid w:val="005856EF"/>
    <w:rsid w:val="00586750"/>
    <w:rsid w:val="00591AB0"/>
    <w:rsid w:val="0059250C"/>
    <w:rsid w:val="00594CD3"/>
    <w:rsid w:val="005A2396"/>
    <w:rsid w:val="005A77D9"/>
    <w:rsid w:val="005B5ADD"/>
    <w:rsid w:val="005B69E9"/>
    <w:rsid w:val="005C47C3"/>
    <w:rsid w:val="005E7CEA"/>
    <w:rsid w:val="005F7766"/>
    <w:rsid w:val="0060652B"/>
    <w:rsid w:val="006112B4"/>
    <w:rsid w:val="00614B4A"/>
    <w:rsid w:val="00616C0E"/>
    <w:rsid w:val="00620009"/>
    <w:rsid w:val="006219CA"/>
    <w:rsid w:val="00621FCD"/>
    <w:rsid w:val="00636FE6"/>
    <w:rsid w:val="00652D07"/>
    <w:rsid w:val="006567CB"/>
    <w:rsid w:val="00656EC7"/>
    <w:rsid w:val="00657866"/>
    <w:rsid w:val="006639D8"/>
    <w:rsid w:val="0066681E"/>
    <w:rsid w:val="0067025E"/>
    <w:rsid w:val="00683DBB"/>
    <w:rsid w:val="006968E5"/>
    <w:rsid w:val="006A41E2"/>
    <w:rsid w:val="006A4B05"/>
    <w:rsid w:val="006B5B67"/>
    <w:rsid w:val="006C0D1D"/>
    <w:rsid w:val="006C2B41"/>
    <w:rsid w:val="006C3120"/>
    <w:rsid w:val="006C486F"/>
    <w:rsid w:val="006C5C3B"/>
    <w:rsid w:val="006D05D8"/>
    <w:rsid w:val="006D1A9C"/>
    <w:rsid w:val="006D7F5F"/>
    <w:rsid w:val="006E268C"/>
    <w:rsid w:val="006E2BC6"/>
    <w:rsid w:val="006E60F4"/>
    <w:rsid w:val="006F1357"/>
    <w:rsid w:val="006F1E13"/>
    <w:rsid w:val="006F3C12"/>
    <w:rsid w:val="006F5ACE"/>
    <w:rsid w:val="006F64DA"/>
    <w:rsid w:val="007027D4"/>
    <w:rsid w:val="00714C40"/>
    <w:rsid w:val="0071685A"/>
    <w:rsid w:val="0072518C"/>
    <w:rsid w:val="007261C3"/>
    <w:rsid w:val="00726902"/>
    <w:rsid w:val="00727C29"/>
    <w:rsid w:val="00733F84"/>
    <w:rsid w:val="00734F22"/>
    <w:rsid w:val="0074216E"/>
    <w:rsid w:val="00744C6A"/>
    <w:rsid w:val="007478DA"/>
    <w:rsid w:val="00747C96"/>
    <w:rsid w:val="00753C85"/>
    <w:rsid w:val="00760C2D"/>
    <w:rsid w:val="00761619"/>
    <w:rsid w:val="00766BB4"/>
    <w:rsid w:val="00767C9E"/>
    <w:rsid w:val="00773B90"/>
    <w:rsid w:val="0077621B"/>
    <w:rsid w:val="0078415E"/>
    <w:rsid w:val="007850C9"/>
    <w:rsid w:val="00790F74"/>
    <w:rsid w:val="007979CC"/>
    <w:rsid w:val="00797E15"/>
    <w:rsid w:val="007A1C6C"/>
    <w:rsid w:val="007A386C"/>
    <w:rsid w:val="007A5907"/>
    <w:rsid w:val="007A7C14"/>
    <w:rsid w:val="007B2434"/>
    <w:rsid w:val="007C3551"/>
    <w:rsid w:val="007C7AAC"/>
    <w:rsid w:val="007D0D22"/>
    <w:rsid w:val="007D11F7"/>
    <w:rsid w:val="007D1ECB"/>
    <w:rsid w:val="007D2F07"/>
    <w:rsid w:val="007E59B4"/>
    <w:rsid w:val="007F17A7"/>
    <w:rsid w:val="007F1A68"/>
    <w:rsid w:val="007F25CB"/>
    <w:rsid w:val="007F6345"/>
    <w:rsid w:val="008008F2"/>
    <w:rsid w:val="008023CE"/>
    <w:rsid w:val="00804283"/>
    <w:rsid w:val="008116E1"/>
    <w:rsid w:val="00824438"/>
    <w:rsid w:val="00825120"/>
    <w:rsid w:val="00826097"/>
    <w:rsid w:val="00830E61"/>
    <w:rsid w:val="00831111"/>
    <w:rsid w:val="00832BD0"/>
    <w:rsid w:val="00832C25"/>
    <w:rsid w:val="00832F50"/>
    <w:rsid w:val="00836645"/>
    <w:rsid w:val="00857C22"/>
    <w:rsid w:val="00860CF3"/>
    <w:rsid w:val="008671BE"/>
    <w:rsid w:val="00870992"/>
    <w:rsid w:val="0087148B"/>
    <w:rsid w:val="0087657F"/>
    <w:rsid w:val="008851CB"/>
    <w:rsid w:val="008908D4"/>
    <w:rsid w:val="0089207F"/>
    <w:rsid w:val="00892376"/>
    <w:rsid w:val="00893A65"/>
    <w:rsid w:val="00894A2F"/>
    <w:rsid w:val="008A02D6"/>
    <w:rsid w:val="008A19C4"/>
    <w:rsid w:val="008B1A84"/>
    <w:rsid w:val="008C3D9E"/>
    <w:rsid w:val="008D1226"/>
    <w:rsid w:val="008D327B"/>
    <w:rsid w:val="008D3763"/>
    <w:rsid w:val="008D3A5B"/>
    <w:rsid w:val="008E1CAB"/>
    <w:rsid w:val="008E488A"/>
    <w:rsid w:val="008F15E7"/>
    <w:rsid w:val="008F1DB4"/>
    <w:rsid w:val="008F4E6A"/>
    <w:rsid w:val="008F5483"/>
    <w:rsid w:val="00900D70"/>
    <w:rsid w:val="009057F2"/>
    <w:rsid w:val="00906ED6"/>
    <w:rsid w:val="00912C19"/>
    <w:rsid w:val="00912E10"/>
    <w:rsid w:val="00914B22"/>
    <w:rsid w:val="00915D9B"/>
    <w:rsid w:val="009170CA"/>
    <w:rsid w:val="00930399"/>
    <w:rsid w:val="00930AD9"/>
    <w:rsid w:val="009326C6"/>
    <w:rsid w:val="00933FC4"/>
    <w:rsid w:val="009362A9"/>
    <w:rsid w:val="00940E4A"/>
    <w:rsid w:val="009462A4"/>
    <w:rsid w:val="00947F13"/>
    <w:rsid w:val="00953A24"/>
    <w:rsid w:val="00957881"/>
    <w:rsid w:val="009668A9"/>
    <w:rsid w:val="00967035"/>
    <w:rsid w:val="00971D40"/>
    <w:rsid w:val="00983339"/>
    <w:rsid w:val="00987FE9"/>
    <w:rsid w:val="009A48FE"/>
    <w:rsid w:val="009B07C6"/>
    <w:rsid w:val="009B36A7"/>
    <w:rsid w:val="009D2D15"/>
    <w:rsid w:val="009D3A7D"/>
    <w:rsid w:val="009D7228"/>
    <w:rsid w:val="009E5C5D"/>
    <w:rsid w:val="009E75AB"/>
    <w:rsid w:val="009F716C"/>
    <w:rsid w:val="00A002B3"/>
    <w:rsid w:val="00A02CE9"/>
    <w:rsid w:val="00A03D87"/>
    <w:rsid w:val="00A0708A"/>
    <w:rsid w:val="00A21690"/>
    <w:rsid w:val="00A24854"/>
    <w:rsid w:val="00A3213A"/>
    <w:rsid w:val="00A53DE8"/>
    <w:rsid w:val="00A61670"/>
    <w:rsid w:val="00A662BA"/>
    <w:rsid w:val="00A70B62"/>
    <w:rsid w:val="00A71D38"/>
    <w:rsid w:val="00A7322A"/>
    <w:rsid w:val="00A75AA3"/>
    <w:rsid w:val="00A77554"/>
    <w:rsid w:val="00A827C2"/>
    <w:rsid w:val="00A847E6"/>
    <w:rsid w:val="00A9650D"/>
    <w:rsid w:val="00A97818"/>
    <w:rsid w:val="00AA29DB"/>
    <w:rsid w:val="00AA3516"/>
    <w:rsid w:val="00AA4553"/>
    <w:rsid w:val="00AA72E3"/>
    <w:rsid w:val="00AB0131"/>
    <w:rsid w:val="00AB2D96"/>
    <w:rsid w:val="00AB4FA4"/>
    <w:rsid w:val="00AC4263"/>
    <w:rsid w:val="00AD27EF"/>
    <w:rsid w:val="00AD33CE"/>
    <w:rsid w:val="00AD502C"/>
    <w:rsid w:val="00AD7CB5"/>
    <w:rsid w:val="00AE5793"/>
    <w:rsid w:val="00AE5AA2"/>
    <w:rsid w:val="00AF2D41"/>
    <w:rsid w:val="00B00D91"/>
    <w:rsid w:val="00B03A44"/>
    <w:rsid w:val="00B043A6"/>
    <w:rsid w:val="00B07595"/>
    <w:rsid w:val="00B103F8"/>
    <w:rsid w:val="00B22BCD"/>
    <w:rsid w:val="00B2365F"/>
    <w:rsid w:val="00B26528"/>
    <w:rsid w:val="00B34672"/>
    <w:rsid w:val="00B34721"/>
    <w:rsid w:val="00B36705"/>
    <w:rsid w:val="00B54804"/>
    <w:rsid w:val="00B5488D"/>
    <w:rsid w:val="00B54958"/>
    <w:rsid w:val="00B62194"/>
    <w:rsid w:val="00B6561F"/>
    <w:rsid w:val="00B67D57"/>
    <w:rsid w:val="00B71583"/>
    <w:rsid w:val="00B72B08"/>
    <w:rsid w:val="00B75806"/>
    <w:rsid w:val="00B80600"/>
    <w:rsid w:val="00B83642"/>
    <w:rsid w:val="00B8569E"/>
    <w:rsid w:val="00B86258"/>
    <w:rsid w:val="00B914C2"/>
    <w:rsid w:val="00BA53A9"/>
    <w:rsid w:val="00BA6E76"/>
    <w:rsid w:val="00BA71EA"/>
    <w:rsid w:val="00BB3C0E"/>
    <w:rsid w:val="00BB61EF"/>
    <w:rsid w:val="00BB7005"/>
    <w:rsid w:val="00BC294D"/>
    <w:rsid w:val="00BC3884"/>
    <w:rsid w:val="00BC54D3"/>
    <w:rsid w:val="00BD58F7"/>
    <w:rsid w:val="00BD5A8A"/>
    <w:rsid w:val="00BE0854"/>
    <w:rsid w:val="00BE2CFE"/>
    <w:rsid w:val="00BE662A"/>
    <w:rsid w:val="00BF0850"/>
    <w:rsid w:val="00BF4E2A"/>
    <w:rsid w:val="00C12AA5"/>
    <w:rsid w:val="00C150E0"/>
    <w:rsid w:val="00C20A50"/>
    <w:rsid w:val="00C21D44"/>
    <w:rsid w:val="00C267A3"/>
    <w:rsid w:val="00C30ACF"/>
    <w:rsid w:val="00C338CD"/>
    <w:rsid w:val="00C40797"/>
    <w:rsid w:val="00C43B9B"/>
    <w:rsid w:val="00C45A19"/>
    <w:rsid w:val="00C51C64"/>
    <w:rsid w:val="00C56E81"/>
    <w:rsid w:val="00C62604"/>
    <w:rsid w:val="00C629AE"/>
    <w:rsid w:val="00C63931"/>
    <w:rsid w:val="00C64777"/>
    <w:rsid w:val="00C66DD5"/>
    <w:rsid w:val="00C71B80"/>
    <w:rsid w:val="00C73DA1"/>
    <w:rsid w:val="00C8307A"/>
    <w:rsid w:val="00C86961"/>
    <w:rsid w:val="00C922CB"/>
    <w:rsid w:val="00C92729"/>
    <w:rsid w:val="00CA1861"/>
    <w:rsid w:val="00CA4A64"/>
    <w:rsid w:val="00CB0B3D"/>
    <w:rsid w:val="00CB565B"/>
    <w:rsid w:val="00CC3B2E"/>
    <w:rsid w:val="00CC4063"/>
    <w:rsid w:val="00CD3D87"/>
    <w:rsid w:val="00CD6054"/>
    <w:rsid w:val="00CD7EDB"/>
    <w:rsid w:val="00CE6AF8"/>
    <w:rsid w:val="00CF524F"/>
    <w:rsid w:val="00CF73D2"/>
    <w:rsid w:val="00CF742E"/>
    <w:rsid w:val="00D0691F"/>
    <w:rsid w:val="00D07095"/>
    <w:rsid w:val="00D138D3"/>
    <w:rsid w:val="00D167F5"/>
    <w:rsid w:val="00D21661"/>
    <w:rsid w:val="00D23A6D"/>
    <w:rsid w:val="00D24F61"/>
    <w:rsid w:val="00D2663D"/>
    <w:rsid w:val="00D27059"/>
    <w:rsid w:val="00D6116E"/>
    <w:rsid w:val="00D61B53"/>
    <w:rsid w:val="00D64115"/>
    <w:rsid w:val="00D64C0D"/>
    <w:rsid w:val="00D6590A"/>
    <w:rsid w:val="00D70BC5"/>
    <w:rsid w:val="00D763B7"/>
    <w:rsid w:val="00D821C7"/>
    <w:rsid w:val="00D8312A"/>
    <w:rsid w:val="00D90245"/>
    <w:rsid w:val="00D92717"/>
    <w:rsid w:val="00D95A83"/>
    <w:rsid w:val="00D96527"/>
    <w:rsid w:val="00DA44BA"/>
    <w:rsid w:val="00DA70A3"/>
    <w:rsid w:val="00DB7184"/>
    <w:rsid w:val="00DC1E6A"/>
    <w:rsid w:val="00DC3C8A"/>
    <w:rsid w:val="00DC49C4"/>
    <w:rsid w:val="00DD025D"/>
    <w:rsid w:val="00DD1128"/>
    <w:rsid w:val="00DD3108"/>
    <w:rsid w:val="00DE6181"/>
    <w:rsid w:val="00DF0808"/>
    <w:rsid w:val="00DF1E54"/>
    <w:rsid w:val="00DF49E1"/>
    <w:rsid w:val="00DF68E6"/>
    <w:rsid w:val="00DF77FD"/>
    <w:rsid w:val="00E02DDD"/>
    <w:rsid w:val="00E20371"/>
    <w:rsid w:val="00E23C83"/>
    <w:rsid w:val="00E304F0"/>
    <w:rsid w:val="00E3390F"/>
    <w:rsid w:val="00E3683F"/>
    <w:rsid w:val="00E43934"/>
    <w:rsid w:val="00E45665"/>
    <w:rsid w:val="00E457CC"/>
    <w:rsid w:val="00E47AD1"/>
    <w:rsid w:val="00E51586"/>
    <w:rsid w:val="00E55D50"/>
    <w:rsid w:val="00E76930"/>
    <w:rsid w:val="00E80570"/>
    <w:rsid w:val="00E9035B"/>
    <w:rsid w:val="00E9229D"/>
    <w:rsid w:val="00E9573D"/>
    <w:rsid w:val="00E9783C"/>
    <w:rsid w:val="00EA1A2F"/>
    <w:rsid w:val="00EA2959"/>
    <w:rsid w:val="00EA7986"/>
    <w:rsid w:val="00EB15FB"/>
    <w:rsid w:val="00EB3F01"/>
    <w:rsid w:val="00EB4DBF"/>
    <w:rsid w:val="00EC2F00"/>
    <w:rsid w:val="00EC39F5"/>
    <w:rsid w:val="00ED111D"/>
    <w:rsid w:val="00ED3594"/>
    <w:rsid w:val="00ED3E23"/>
    <w:rsid w:val="00EE5052"/>
    <w:rsid w:val="00F00176"/>
    <w:rsid w:val="00F01869"/>
    <w:rsid w:val="00F1439C"/>
    <w:rsid w:val="00F20874"/>
    <w:rsid w:val="00F272A3"/>
    <w:rsid w:val="00F30684"/>
    <w:rsid w:val="00F3358C"/>
    <w:rsid w:val="00F42C44"/>
    <w:rsid w:val="00F46BD5"/>
    <w:rsid w:val="00F47EA7"/>
    <w:rsid w:val="00F56532"/>
    <w:rsid w:val="00F611C1"/>
    <w:rsid w:val="00F64323"/>
    <w:rsid w:val="00F67137"/>
    <w:rsid w:val="00F72229"/>
    <w:rsid w:val="00F7790E"/>
    <w:rsid w:val="00F84738"/>
    <w:rsid w:val="00F954F9"/>
    <w:rsid w:val="00FA20C5"/>
    <w:rsid w:val="00FA3952"/>
    <w:rsid w:val="00FA5A5C"/>
    <w:rsid w:val="00FC1EE3"/>
    <w:rsid w:val="00FC3F33"/>
    <w:rsid w:val="00FC7155"/>
    <w:rsid w:val="00FD3C01"/>
    <w:rsid w:val="00FF0E7F"/>
    <w:rsid w:val="00FF51AC"/>
    <w:rsid w:val="00FF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4B6C06"/>
  <w15:docId w15:val="{C813A8A0-E19E-488F-A944-549927D6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before="120" w:after="120" w:line="240" w:lineRule="auto"/>
      <w:jc w:val="both"/>
    </w:pPr>
    <w:rPr>
      <w:rFonts w:ascii="Times New Roman" w:hAnsi="Times New Roman" w:cs="Times New Roman"/>
      <w:sz w:val="24"/>
      <w:lang w:val="sl-SI"/>
    </w:rPr>
  </w:style>
  <w:style w:type="paragraph" w:styleId="Naslov1">
    <w:name w:val="heading 1"/>
    <w:basedOn w:val="Navaden"/>
    <w:next w:val="Text1"/>
    <w:link w:val="Naslov1Znak"/>
    <w:uiPriority w:val="9"/>
    <w:qFormat/>
    <w:pPr>
      <w:keepNext/>
      <w:numPr>
        <w:numId w:val="20"/>
      </w:numPr>
      <w:spacing w:before="360"/>
      <w:outlineLvl w:val="0"/>
    </w:pPr>
    <w:rPr>
      <w:rFonts w:eastAsiaTheme="majorEastAsia"/>
      <w:b/>
      <w:bCs/>
      <w:smallCaps/>
      <w:szCs w:val="28"/>
    </w:rPr>
  </w:style>
  <w:style w:type="paragraph" w:styleId="Naslov2">
    <w:name w:val="heading 2"/>
    <w:basedOn w:val="Navaden"/>
    <w:next w:val="Text1"/>
    <w:link w:val="Naslov2Znak"/>
    <w:uiPriority w:val="9"/>
    <w:semiHidden/>
    <w:unhideWhenUsed/>
    <w:qFormat/>
    <w:pPr>
      <w:keepNext/>
      <w:numPr>
        <w:ilvl w:val="1"/>
        <w:numId w:val="20"/>
      </w:numPr>
      <w:outlineLvl w:val="1"/>
    </w:pPr>
    <w:rPr>
      <w:rFonts w:eastAsiaTheme="majorEastAsia"/>
      <w:b/>
      <w:bCs/>
      <w:szCs w:val="26"/>
    </w:rPr>
  </w:style>
  <w:style w:type="paragraph" w:styleId="Naslov3">
    <w:name w:val="heading 3"/>
    <w:basedOn w:val="Navaden"/>
    <w:next w:val="Text1"/>
    <w:link w:val="Naslov3Znak"/>
    <w:uiPriority w:val="9"/>
    <w:semiHidden/>
    <w:unhideWhenUsed/>
    <w:qFormat/>
    <w:pPr>
      <w:keepNext/>
      <w:numPr>
        <w:ilvl w:val="2"/>
        <w:numId w:val="20"/>
      </w:numPr>
      <w:outlineLvl w:val="2"/>
    </w:pPr>
    <w:rPr>
      <w:rFonts w:eastAsiaTheme="majorEastAsia"/>
      <w:bCs/>
      <w:i/>
    </w:rPr>
  </w:style>
  <w:style w:type="paragraph" w:styleId="Naslov4">
    <w:name w:val="heading 4"/>
    <w:basedOn w:val="Navaden"/>
    <w:next w:val="Text1"/>
    <w:link w:val="Naslov4Znak"/>
    <w:uiPriority w:val="9"/>
    <w:semiHidden/>
    <w:unhideWhenUsed/>
    <w:qFormat/>
    <w:pPr>
      <w:keepNext/>
      <w:numPr>
        <w:ilvl w:val="3"/>
        <w:numId w:val="20"/>
      </w:numPr>
      <w:outlineLvl w:val="3"/>
    </w:pPr>
    <w:rPr>
      <w:rFonts w:eastAsiaTheme="majorEastAsia"/>
      <w:bCs/>
      <w:iCs/>
    </w:rPr>
  </w:style>
  <w:style w:type="paragraph" w:styleId="Naslov5">
    <w:name w:val="heading 5"/>
    <w:basedOn w:val="Navaden"/>
    <w:next w:val="Text2"/>
    <w:link w:val="Naslov5Znak"/>
    <w:uiPriority w:val="9"/>
    <w:semiHidden/>
    <w:unhideWhenUsed/>
    <w:qFormat/>
    <w:pPr>
      <w:keepNext/>
      <w:numPr>
        <w:ilvl w:val="4"/>
        <w:numId w:val="20"/>
      </w:numPr>
      <w:outlineLvl w:val="4"/>
    </w:pPr>
    <w:rPr>
      <w:rFonts w:eastAsiaTheme="majorEastAsia"/>
    </w:rPr>
  </w:style>
  <w:style w:type="paragraph" w:styleId="Naslov6">
    <w:name w:val="heading 6"/>
    <w:basedOn w:val="Navaden"/>
    <w:next w:val="Text2"/>
    <w:link w:val="Naslov6Znak"/>
    <w:uiPriority w:val="9"/>
    <w:semiHidden/>
    <w:unhideWhenUsed/>
    <w:qFormat/>
    <w:pPr>
      <w:keepNext/>
      <w:numPr>
        <w:ilvl w:val="5"/>
        <w:numId w:val="20"/>
      </w:numPr>
      <w:outlineLvl w:val="5"/>
    </w:pPr>
    <w:rPr>
      <w:rFonts w:eastAsiaTheme="majorEastAsia"/>
      <w:iCs/>
    </w:rPr>
  </w:style>
  <w:style w:type="paragraph" w:styleId="Naslov7">
    <w:name w:val="heading 7"/>
    <w:basedOn w:val="Navaden"/>
    <w:next w:val="Text2"/>
    <w:link w:val="Naslov7Znak"/>
    <w:uiPriority w:val="9"/>
    <w:semiHidden/>
    <w:unhideWhenUsed/>
    <w:qFormat/>
    <w:pPr>
      <w:keepNext/>
      <w:numPr>
        <w:ilvl w:val="6"/>
        <w:numId w:val="20"/>
      </w:numPr>
      <w:outlineLvl w:val="6"/>
    </w:pPr>
    <w:rPr>
      <w:rFonts w:eastAsiaTheme="majorEastAsia"/>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87657F"/>
    <w:rPr>
      <w:sz w:val="16"/>
      <w:szCs w:val="16"/>
    </w:rPr>
  </w:style>
  <w:style w:type="paragraph" w:styleId="Pripombabesedilo">
    <w:name w:val="annotation text"/>
    <w:basedOn w:val="Navaden"/>
    <w:link w:val="PripombabesediloZnak"/>
    <w:uiPriority w:val="99"/>
    <w:unhideWhenUsed/>
    <w:rsid w:val="0087657F"/>
    <w:rPr>
      <w:sz w:val="20"/>
      <w:szCs w:val="20"/>
    </w:rPr>
  </w:style>
  <w:style w:type="character" w:customStyle="1" w:styleId="PripombabesediloZnak">
    <w:name w:val="Pripomba – besedilo Znak"/>
    <w:basedOn w:val="Privzetapisavaodstavka"/>
    <w:link w:val="Pripombabesedilo"/>
    <w:uiPriority w:val="99"/>
    <w:rsid w:val="0087657F"/>
    <w:rPr>
      <w:rFonts w:ascii="Times New Roman" w:hAnsi="Times New Roman" w:cs="Times New Roman"/>
      <w:sz w:val="20"/>
      <w:szCs w:val="20"/>
      <w:lang w:val="sl-SI"/>
    </w:rPr>
  </w:style>
  <w:style w:type="paragraph" w:styleId="Odstavekseznama">
    <w:name w:val="List Paragraph"/>
    <w:basedOn w:val="Navaden"/>
    <w:uiPriority w:val="34"/>
    <w:qFormat/>
    <w:rsid w:val="0087657F"/>
    <w:pPr>
      <w:ind w:left="720"/>
      <w:contextualSpacing/>
    </w:pPr>
  </w:style>
  <w:style w:type="table" w:styleId="Tabelamrea">
    <w:name w:val="Table Grid"/>
    <w:basedOn w:val="Navadnatabela"/>
    <w:uiPriority w:val="59"/>
    <w:rsid w:val="0087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87657F"/>
    <w:pPr>
      <w:spacing w:before="0" w:after="200"/>
    </w:pPr>
    <w:rPr>
      <w:i/>
      <w:iCs/>
      <w:color w:val="1F497D" w:themeColor="text2"/>
      <w:sz w:val="18"/>
      <w:szCs w:val="18"/>
    </w:rPr>
  </w:style>
  <w:style w:type="character" w:customStyle="1" w:styleId="Mention1">
    <w:name w:val="Mention1"/>
    <w:basedOn w:val="Privzetapisavaodstavka"/>
    <w:uiPriority w:val="99"/>
    <w:unhideWhenUsed/>
    <w:rsid w:val="0087657F"/>
    <w:rPr>
      <w:color w:val="2B579A"/>
      <w:shd w:val="clear" w:color="auto" w:fill="E6E6E6"/>
    </w:rPr>
  </w:style>
  <w:style w:type="table" w:styleId="Tabelasvetlamrea">
    <w:name w:val="Grid Table Light"/>
    <w:basedOn w:val="Navadnatabela"/>
    <w:uiPriority w:val="40"/>
    <w:rsid w:val="008765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edilooblaka">
    <w:name w:val="Balloon Text"/>
    <w:basedOn w:val="Navaden"/>
    <w:link w:val="BesedilooblakaZnak"/>
    <w:uiPriority w:val="99"/>
    <w:semiHidden/>
    <w:unhideWhenUsed/>
    <w:rsid w:val="0087657F"/>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7657F"/>
    <w:rPr>
      <w:rFonts w:ascii="Segoe UI" w:hAnsi="Segoe UI" w:cs="Segoe UI"/>
      <w:sz w:val="18"/>
      <w:szCs w:val="18"/>
      <w:lang w:val="sl-SI"/>
    </w:rPr>
  </w:style>
  <w:style w:type="paragraph" w:styleId="Kazaloslik">
    <w:name w:val="table of figures"/>
    <w:basedOn w:val="Navaden"/>
    <w:next w:val="Navaden"/>
    <w:uiPriority w:val="99"/>
    <w:semiHidden/>
    <w:unhideWhenUsed/>
    <w:rsid w:val="00244A46"/>
    <w:pPr>
      <w:spacing w:after="0"/>
    </w:pPr>
  </w:style>
  <w:style w:type="paragraph" w:styleId="Oznaenseznam">
    <w:name w:val="List Bullet"/>
    <w:basedOn w:val="Navaden"/>
    <w:uiPriority w:val="99"/>
    <w:semiHidden/>
    <w:unhideWhenUsed/>
    <w:rsid w:val="00244A46"/>
    <w:pPr>
      <w:numPr>
        <w:numId w:val="1"/>
      </w:numPr>
      <w:contextualSpacing/>
    </w:pPr>
  </w:style>
  <w:style w:type="paragraph" w:styleId="Oznaenseznam2">
    <w:name w:val="List Bullet 2"/>
    <w:basedOn w:val="Navaden"/>
    <w:uiPriority w:val="99"/>
    <w:semiHidden/>
    <w:unhideWhenUsed/>
    <w:rsid w:val="00244A46"/>
    <w:pPr>
      <w:numPr>
        <w:numId w:val="2"/>
      </w:numPr>
      <w:contextualSpacing/>
    </w:pPr>
  </w:style>
  <w:style w:type="paragraph" w:styleId="Oznaenseznam3">
    <w:name w:val="List Bullet 3"/>
    <w:basedOn w:val="Navaden"/>
    <w:uiPriority w:val="99"/>
    <w:semiHidden/>
    <w:unhideWhenUsed/>
    <w:rsid w:val="00244A46"/>
    <w:pPr>
      <w:numPr>
        <w:numId w:val="3"/>
      </w:numPr>
      <w:contextualSpacing/>
    </w:pPr>
  </w:style>
  <w:style w:type="paragraph" w:styleId="Oznaenseznam4">
    <w:name w:val="List Bullet 4"/>
    <w:basedOn w:val="Navaden"/>
    <w:uiPriority w:val="99"/>
    <w:semiHidden/>
    <w:unhideWhenUsed/>
    <w:rsid w:val="00244A46"/>
    <w:pPr>
      <w:numPr>
        <w:numId w:val="4"/>
      </w:numPr>
      <w:contextualSpacing/>
    </w:pPr>
  </w:style>
  <w:style w:type="paragraph" w:styleId="Otevilenseznam">
    <w:name w:val="List Number"/>
    <w:basedOn w:val="Navaden"/>
    <w:uiPriority w:val="99"/>
    <w:semiHidden/>
    <w:unhideWhenUsed/>
    <w:rsid w:val="00244A46"/>
    <w:pPr>
      <w:numPr>
        <w:numId w:val="5"/>
      </w:numPr>
      <w:contextualSpacing/>
    </w:pPr>
  </w:style>
  <w:style w:type="paragraph" w:styleId="Otevilenseznam2">
    <w:name w:val="List Number 2"/>
    <w:basedOn w:val="Navaden"/>
    <w:uiPriority w:val="99"/>
    <w:semiHidden/>
    <w:unhideWhenUsed/>
    <w:rsid w:val="00244A46"/>
    <w:pPr>
      <w:numPr>
        <w:numId w:val="6"/>
      </w:numPr>
      <w:contextualSpacing/>
    </w:pPr>
  </w:style>
  <w:style w:type="paragraph" w:styleId="Otevilenseznam3">
    <w:name w:val="List Number 3"/>
    <w:basedOn w:val="Navaden"/>
    <w:uiPriority w:val="99"/>
    <w:semiHidden/>
    <w:unhideWhenUsed/>
    <w:rsid w:val="00244A46"/>
    <w:pPr>
      <w:numPr>
        <w:numId w:val="7"/>
      </w:numPr>
      <w:contextualSpacing/>
    </w:pPr>
  </w:style>
  <w:style w:type="paragraph" w:styleId="Otevilenseznam4">
    <w:name w:val="List Number 4"/>
    <w:basedOn w:val="Navaden"/>
    <w:uiPriority w:val="99"/>
    <w:semiHidden/>
    <w:unhideWhenUsed/>
    <w:rsid w:val="00244A46"/>
    <w:pPr>
      <w:numPr>
        <w:numId w:val="8"/>
      </w:numPr>
      <w:contextualSpacing/>
    </w:pPr>
  </w:style>
  <w:style w:type="paragraph" w:styleId="Revizija">
    <w:name w:val="Revision"/>
    <w:hidden/>
    <w:uiPriority w:val="99"/>
    <w:semiHidden/>
    <w:rsid w:val="00C8307A"/>
    <w:pPr>
      <w:spacing w:after="0" w:line="240" w:lineRule="auto"/>
    </w:pPr>
    <w:rPr>
      <w:rFonts w:ascii="Times New Roman" w:hAnsi="Times New Roman" w:cs="Times New Roman"/>
      <w:sz w:val="24"/>
    </w:rPr>
  </w:style>
  <w:style w:type="paragraph" w:styleId="Zadevapripombe">
    <w:name w:val="annotation subject"/>
    <w:basedOn w:val="Pripombabesedilo"/>
    <w:next w:val="Pripombabesedilo"/>
    <w:link w:val="ZadevapripombeZnak"/>
    <w:uiPriority w:val="99"/>
    <w:semiHidden/>
    <w:unhideWhenUsed/>
    <w:rsid w:val="00AD502C"/>
    <w:rPr>
      <w:b/>
      <w:bCs/>
    </w:rPr>
  </w:style>
  <w:style w:type="character" w:customStyle="1" w:styleId="ZadevapripombeZnak">
    <w:name w:val="Zadeva pripombe Znak"/>
    <w:basedOn w:val="PripombabesediloZnak"/>
    <w:link w:val="Zadevapripombe"/>
    <w:uiPriority w:val="99"/>
    <w:semiHidden/>
    <w:rsid w:val="00AD502C"/>
    <w:rPr>
      <w:rFonts w:ascii="Times New Roman" w:hAnsi="Times New Roman" w:cs="Times New Roman"/>
      <w:b/>
      <w:bCs/>
      <w:sz w:val="20"/>
      <w:szCs w:val="20"/>
      <w:lang w:val="sl-SI"/>
    </w:rPr>
  </w:style>
  <w:style w:type="character" w:styleId="Hiperpovezava">
    <w:name w:val="Hyperlink"/>
    <w:basedOn w:val="Privzetapisavaodstavka"/>
    <w:uiPriority w:val="99"/>
    <w:unhideWhenUsed/>
    <w:rsid w:val="00AD502C"/>
    <w:rPr>
      <w:color w:val="0000FF" w:themeColor="hyperlink"/>
      <w:u w:val="single"/>
    </w:rPr>
  </w:style>
  <w:style w:type="table" w:styleId="Tabelasvetlamrea1">
    <w:name w:val="Grid Table 1 Light"/>
    <w:basedOn w:val="Navadnatabela"/>
    <w:uiPriority w:val="46"/>
    <w:rsid w:val="00AD50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vetelseznam1">
    <w:name w:val="List Table 1 Light"/>
    <w:basedOn w:val="Navadnatabela"/>
    <w:uiPriority w:val="46"/>
    <w:rsid w:val="00AD502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Navadnatabela1">
    <w:name w:val="Plain Table 1"/>
    <w:basedOn w:val="Navadnatabela"/>
    <w:uiPriority w:val="41"/>
    <w:rsid w:val="00AD50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uiPriority w:val="99"/>
    <w:semiHidden/>
    <w:unhideWhenUsed/>
    <w:rsid w:val="00141E24"/>
    <w:rPr>
      <w:color w:val="800080" w:themeColor="followedHyperlink"/>
      <w:u w:val="single"/>
    </w:rPr>
  </w:style>
  <w:style w:type="paragraph" w:styleId="Glava">
    <w:name w:val="header"/>
    <w:basedOn w:val="Navaden"/>
    <w:link w:val="GlavaZnak"/>
    <w:uiPriority w:val="99"/>
    <w:unhideWhenUsed/>
    <w:rsid w:val="00FF51AC"/>
    <w:pPr>
      <w:tabs>
        <w:tab w:val="center" w:pos="4535"/>
        <w:tab w:val="right" w:pos="9071"/>
      </w:tabs>
      <w:spacing w:before="0"/>
    </w:pPr>
  </w:style>
  <w:style w:type="character" w:customStyle="1" w:styleId="GlavaZnak">
    <w:name w:val="Glava Znak"/>
    <w:basedOn w:val="Privzetapisavaodstavka"/>
    <w:link w:val="Glava"/>
    <w:uiPriority w:val="99"/>
    <w:rsid w:val="00FF51AC"/>
    <w:rPr>
      <w:rFonts w:ascii="Times New Roman" w:hAnsi="Times New Roman" w:cs="Times New Roman"/>
      <w:sz w:val="24"/>
      <w:lang w:val="sl-SI"/>
    </w:rPr>
  </w:style>
  <w:style w:type="paragraph" w:styleId="Noga">
    <w:name w:val="footer"/>
    <w:basedOn w:val="Navaden"/>
    <w:link w:val="NogaZnak"/>
    <w:uiPriority w:val="99"/>
    <w:unhideWhenUsed/>
    <w:rsid w:val="00FF51AC"/>
    <w:pPr>
      <w:tabs>
        <w:tab w:val="center" w:pos="4535"/>
        <w:tab w:val="right" w:pos="9071"/>
        <w:tab w:val="right" w:pos="9921"/>
      </w:tabs>
      <w:spacing w:before="360" w:after="0"/>
      <w:ind w:left="-850" w:right="-850"/>
      <w:jc w:val="left"/>
    </w:pPr>
  </w:style>
  <w:style w:type="character" w:customStyle="1" w:styleId="NogaZnak">
    <w:name w:val="Noga Znak"/>
    <w:basedOn w:val="Privzetapisavaodstavka"/>
    <w:link w:val="Noga"/>
    <w:uiPriority w:val="99"/>
    <w:rsid w:val="00FF51AC"/>
    <w:rPr>
      <w:rFonts w:ascii="Times New Roman" w:hAnsi="Times New Roman" w:cs="Times New Roman"/>
      <w:sz w:val="24"/>
      <w:lang w:val="sl-SI"/>
    </w:rPr>
  </w:style>
  <w:style w:type="paragraph" w:styleId="Sprotnaopomba-besedilo">
    <w:name w:val="footnote text"/>
    <w:basedOn w:val="Navaden"/>
    <w:link w:val="Sprotnaopomba-besediloZnak"/>
    <w:uiPriority w:val="99"/>
    <w:semiHidden/>
    <w:unhideWhenUsed/>
    <w:pPr>
      <w:spacing w:before="0" w:after="0"/>
      <w:ind w:left="720" w:hanging="720"/>
    </w:pPr>
    <w:rPr>
      <w:sz w:val="20"/>
      <w:szCs w:val="20"/>
    </w:rPr>
  </w:style>
  <w:style w:type="character" w:customStyle="1" w:styleId="Sprotnaopomba-besediloZnak">
    <w:name w:val="Sprotna opomba - besedilo Znak"/>
    <w:basedOn w:val="Privzetapisavaodstavka"/>
    <w:link w:val="Sprotnaopomba-besedilo"/>
    <w:uiPriority w:val="99"/>
    <w:semiHidden/>
    <w:rPr>
      <w:rFonts w:ascii="Times New Roman" w:hAnsi="Times New Roman" w:cs="Times New Roman"/>
      <w:sz w:val="20"/>
      <w:szCs w:val="20"/>
      <w:shd w:val="clear" w:color="auto" w:fill="auto"/>
      <w:lang w:val="en-GB"/>
    </w:rPr>
  </w:style>
  <w:style w:type="character" w:customStyle="1" w:styleId="Naslov1Znak">
    <w:name w:val="Naslov 1 Znak"/>
    <w:basedOn w:val="Privzetapisavaodstavka"/>
    <w:link w:val="Naslov1"/>
    <w:uiPriority w:val="9"/>
    <w:rPr>
      <w:rFonts w:ascii="Times New Roman" w:eastAsiaTheme="majorEastAsia" w:hAnsi="Times New Roman" w:cs="Times New Roman"/>
      <w:b/>
      <w:bCs/>
      <w:smallCaps/>
      <w:sz w:val="24"/>
      <w:szCs w:val="28"/>
      <w:lang w:val="sl-SI"/>
    </w:rPr>
  </w:style>
  <w:style w:type="character" w:customStyle="1" w:styleId="Naslov2Znak">
    <w:name w:val="Naslov 2 Znak"/>
    <w:basedOn w:val="Privzetapisavaodstavka"/>
    <w:link w:val="Naslov2"/>
    <w:uiPriority w:val="9"/>
    <w:semiHidden/>
    <w:rPr>
      <w:rFonts w:ascii="Times New Roman" w:eastAsiaTheme="majorEastAsia" w:hAnsi="Times New Roman" w:cs="Times New Roman"/>
      <w:b/>
      <w:bCs/>
      <w:sz w:val="24"/>
      <w:szCs w:val="26"/>
      <w:lang w:val="sl-SI"/>
    </w:rPr>
  </w:style>
  <w:style w:type="character" w:customStyle="1" w:styleId="Naslov3Znak">
    <w:name w:val="Naslov 3 Znak"/>
    <w:basedOn w:val="Privzetapisavaodstavka"/>
    <w:link w:val="Naslov3"/>
    <w:uiPriority w:val="9"/>
    <w:semiHidden/>
    <w:rPr>
      <w:rFonts w:ascii="Times New Roman" w:eastAsiaTheme="majorEastAsia" w:hAnsi="Times New Roman" w:cs="Times New Roman"/>
      <w:bCs/>
      <w:i/>
      <w:sz w:val="24"/>
      <w:lang w:val="sl-SI"/>
    </w:rPr>
  </w:style>
  <w:style w:type="character" w:customStyle="1" w:styleId="Naslov4Znak">
    <w:name w:val="Naslov 4 Znak"/>
    <w:basedOn w:val="Privzetapisavaodstavka"/>
    <w:link w:val="Naslov4"/>
    <w:uiPriority w:val="9"/>
    <w:semiHidden/>
    <w:rPr>
      <w:rFonts w:ascii="Times New Roman" w:eastAsiaTheme="majorEastAsia" w:hAnsi="Times New Roman" w:cs="Times New Roman"/>
      <w:bCs/>
      <w:iCs/>
      <w:sz w:val="24"/>
      <w:lang w:val="sl-SI"/>
    </w:rPr>
  </w:style>
  <w:style w:type="character" w:customStyle="1" w:styleId="Naslov5Znak">
    <w:name w:val="Naslov 5 Znak"/>
    <w:basedOn w:val="Privzetapisavaodstavka"/>
    <w:link w:val="Naslov5"/>
    <w:uiPriority w:val="9"/>
    <w:semiHidden/>
    <w:rPr>
      <w:rFonts w:ascii="Times New Roman" w:eastAsiaTheme="majorEastAsia" w:hAnsi="Times New Roman" w:cs="Times New Roman"/>
      <w:sz w:val="24"/>
      <w:lang w:val="sl-SI"/>
    </w:rPr>
  </w:style>
  <w:style w:type="character" w:customStyle="1" w:styleId="Naslov6Znak">
    <w:name w:val="Naslov 6 Znak"/>
    <w:basedOn w:val="Privzetapisavaodstavka"/>
    <w:link w:val="Naslov6"/>
    <w:uiPriority w:val="9"/>
    <w:semiHidden/>
    <w:rPr>
      <w:rFonts w:ascii="Times New Roman" w:eastAsiaTheme="majorEastAsia" w:hAnsi="Times New Roman" w:cs="Times New Roman"/>
      <w:iCs/>
      <w:sz w:val="24"/>
      <w:lang w:val="sl-SI"/>
    </w:rPr>
  </w:style>
  <w:style w:type="character" w:customStyle="1" w:styleId="Naslov7Znak">
    <w:name w:val="Naslov 7 Znak"/>
    <w:basedOn w:val="Privzetapisavaodstavka"/>
    <w:link w:val="Naslov7"/>
    <w:uiPriority w:val="9"/>
    <w:semiHidden/>
    <w:rPr>
      <w:rFonts w:ascii="Times New Roman" w:eastAsiaTheme="majorEastAsia" w:hAnsi="Times New Roman" w:cs="Times New Roman"/>
      <w:iCs/>
      <w:sz w:val="24"/>
      <w:lang w:val="sl-SI"/>
    </w:rPr>
  </w:style>
  <w:style w:type="paragraph" w:styleId="NaslovTOC">
    <w:name w:val="TOC Heading"/>
    <w:basedOn w:val="Navaden"/>
    <w:next w:val="Navaden"/>
    <w:uiPriority w:val="39"/>
    <w:semiHidden/>
    <w:unhideWhenUsed/>
    <w:qFormat/>
    <w:pPr>
      <w:spacing w:after="240"/>
      <w:jc w:val="center"/>
    </w:pPr>
    <w:rPr>
      <w:b/>
      <w:sz w:val="28"/>
    </w:rPr>
  </w:style>
  <w:style w:type="paragraph" w:styleId="Kazalovsebine1">
    <w:name w:val="toc 1"/>
    <w:basedOn w:val="Navaden"/>
    <w:next w:val="Navaden"/>
    <w:uiPriority w:val="39"/>
    <w:semiHidden/>
    <w:unhideWhenUsed/>
    <w:pPr>
      <w:tabs>
        <w:tab w:val="right" w:leader="dot" w:pos="9071"/>
      </w:tabs>
      <w:spacing w:before="60"/>
      <w:ind w:left="850" w:hanging="850"/>
      <w:jc w:val="left"/>
    </w:pPr>
  </w:style>
  <w:style w:type="paragraph" w:styleId="Kazalovsebine2">
    <w:name w:val="toc 2"/>
    <w:basedOn w:val="Navaden"/>
    <w:next w:val="Navaden"/>
    <w:uiPriority w:val="39"/>
    <w:semiHidden/>
    <w:unhideWhenUsed/>
    <w:pPr>
      <w:tabs>
        <w:tab w:val="right" w:leader="dot" w:pos="9071"/>
      </w:tabs>
      <w:spacing w:before="60"/>
      <w:ind w:left="850" w:hanging="850"/>
      <w:jc w:val="left"/>
    </w:pPr>
  </w:style>
  <w:style w:type="paragraph" w:styleId="Kazalovsebine3">
    <w:name w:val="toc 3"/>
    <w:basedOn w:val="Navaden"/>
    <w:next w:val="Navaden"/>
    <w:uiPriority w:val="39"/>
    <w:semiHidden/>
    <w:unhideWhenUsed/>
    <w:pPr>
      <w:tabs>
        <w:tab w:val="right" w:leader="dot" w:pos="9071"/>
      </w:tabs>
      <w:spacing w:before="60"/>
      <w:ind w:left="850" w:hanging="850"/>
      <w:jc w:val="left"/>
    </w:pPr>
  </w:style>
  <w:style w:type="paragraph" w:styleId="Kazalovsebine4">
    <w:name w:val="toc 4"/>
    <w:basedOn w:val="Navaden"/>
    <w:next w:val="Navaden"/>
    <w:uiPriority w:val="39"/>
    <w:semiHidden/>
    <w:unhideWhenUsed/>
    <w:pPr>
      <w:tabs>
        <w:tab w:val="right" w:leader="dot" w:pos="9071"/>
      </w:tabs>
      <w:spacing w:before="60"/>
      <w:ind w:left="850" w:hanging="850"/>
      <w:jc w:val="left"/>
    </w:pPr>
  </w:style>
  <w:style w:type="paragraph" w:styleId="Kazalovsebine5">
    <w:name w:val="toc 5"/>
    <w:basedOn w:val="Navaden"/>
    <w:next w:val="Navaden"/>
    <w:uiPriority w:val="39"/>
    <w:semiHidden/>
    <w:unhideWhenUsed/>
    <w:pPr>
      <w:tabs>
        <w:tab w:val="right" w:leader="dot" w:pos="9071"/>
      </w:tabs>
      <w:spacing w:before="300"/>
      <w:jc w:val="left"/>
    </w:pPr>
  </w:style>
  <w:style w:type="paragraph" w:styleId="Kazalovsebine6">
    <w:name w:val="toc 6"/>
    <w:basedOn w:val="Navaden"/>
    <w:next w:val="Navaden"/>
    <w:uiPriority w:val="39"/>
    <w:semiHidden/>
    <w:unhideWhenUsed/>
    <w:pPr>
      <w:tabs>
        <w:tab w:val="right" w:leader="dot" w:pos="9071"/>
      </w:tabs>
      <w:spacing w:before="240"/>
      <w:jc w:val="left"/>
    </w:pPr>
  </w:style>
  <w:style w:type="paragraph" w:styleId="Kazalovsebine7">
    <w:name w:val="toc 7"/>
    <w:basedOn w:val="Navaden"/>
    <w:next w:val="Navaden"/>
    <w:uiPriority w:val="39"/>
    <w:semiHidden/>
    <w:unhideWhenUsed/>
    <w:pPr>
      <w:tabs>
        <w:tab w:val="right" w:leader="dot" w:pos="9071"/>
      </w:tabs>
      <w:spacing w:before="180"/>
      <w:jc w:val="left"/>
    </w:pPr>
  </w:style>
  <w:style w:type="paragraph" w:styleId="Kazalovsebine8">
    <w:name w:val="toc 8"/>
    <w:basedOn w:val="Navaden"/>
    <w:next w:val="Navaden"/>
    <w:uiPriority w:val="39"/>
    <w:semiHidden/>
    <w:unhideWhenUsed/>
    <w:pPr>
      <w:tabs>
        <w:tab w:val="right" w:leader="dot" w:pos="9071"/>
      </w:tabs>
      <w:jc w:val="left"/>
    </w:pPr>
  </w:style>
  <w:style w:type="paragraph" w:styleId="Kazalovsebine9">
    <w:name w:val="toc 9"/>
    <w:basedOn w:val="Navaden"/>
    <w:next w:val="Navaden"/>
    <w:uiPriority w:val="39"/>
    <w:semiHidden/>
    <w:unhideWhenUsed/>
    <w:pPr>
      <w:tabs>
        <w:tab w:val="right" w:leader="dot" w:pos="9071"/>
      </w:tabs>
      <w:ind w:left="1417" w:hanging="1417"/>
      <w:jc w:val="left"/>
    </w:pPr>
  </w:style>
  <w:style w:type="paragraph" w:customStyle="1" w:styleId="HeaderLandscape">
    <w:name w:val="HeaderLandscape"/>
    <w:basedOn w:val="Navaden"/>
    <w:rsid w:val="00FF51AC"/>
    <w:pPr>
      <w:tabs>
        <w:tab w:val="center" w:pos="7285"/>
        <w:tab w:val="right" w:pos="14003"/>
      </w:tabs>
      <w:spacing w:before="0"/>
    </w:pPr>
  </w:style>
  <w:style w:type="paragraph" w:customStyle="1" w:styleId="FooterLandscape">
    <w:name w:val="FooterLandscape"/>
    <w:basedOn w:val="Navaden"/>
    <w:rsid w:val="00FF51AC"/>
    <w:pPr>
      <w:tabs>
        <w:tab w:val="center" w:pos="7285"/>
        <w:tab w:val="center" w:pos="10913"/>
        <w:tab w:val="right" w:pos="15137"/>
      </w:tabs>
      <w:spacing w:before="360" w:after="0"/>
      <w:ind w:left="-567" w:right="-567"/>
      <w:jc w:val="left"/>
    </w:pPr>
  </w:style>
  <w:style w:type="character" w:styleId="Sprotnaopomba-sklic">
    <w:name w:val="footnote reference"/>
    <w:basedOn w:val="Privzetapisavaodstavka"/>
    <w:uiPriority w:val="99"/>
    <w:semiHidden/>
    <w:unhideWhenUsed/>
    <w:rPr>
      <w:shd w:val="clear" w:color="auto" w:fill="auto"/>
      <w:vertAlign w:val="superscript"/>
    </w:rPr>
  </w:style>
  <w:style w:type="paragraph" w:customStyle="1" w:styleId="HeaderSensitivity">
    <w:name w:val="Header Sensitivity"/>
    <w:basedOn w:val="Navaden"/>
    <w:rsid w:val="00FF51A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avaden"/>
    <w:rsid w:val="00FF51AC"/>
    <w:pPr>
      <w:spacing w:before="0"/>
      <w:jc w:val="right"/>
    </w:pPr>
    <w:rPr>
      <w:sz w:val="28"/>
    </w:rPr>
  </w:style>
  <w:style w:type="paragraph" w:customStyle="1" w:styleId="FooterSensitivity">
    <w:name w:val="Footer Sensitivity"/>
    <w:basedOn w:val="Navaden"/>
    <w:rsid w:val="00FF51A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avaden"/>
    <w:pPr>
      <w:ind w:left="850"/>
    </w:pPr>
  </w:style>
  <w:style w:type="paragraph" w:customStyle="1" w:styleId="Text2">
    <w:name w:val="Text 2"/>
    <w:basedOn w:val="Navaden"/>
    <w:pPr>
      <w:ind w:left="1417"/>
    </w:pPr>
  </w:style>
  <w:style w:type="paragraph" w:customStyle="1" w:styleId="Text3">
    <w:name w:val="Text 3"/>
    <w:basedOn w:val="Navaden"/>
    <w:pPr>
      <w:ind w:left="1984"/>
    </w:pPr>
  </w:style>
  <w:style w:type="paragraph" w:customStyle="1" w:styleId="Text4">
    <w:name w:val="Text 4"/>
    <w:basedOn w:val="Navaden"/>
    <w:pPr>
      <w:ind w:left="2551"/>
    </w:pPr>
  </w:style>
  <w:style w:type="paragraph" w:customStyle="1" w:styleId="Text5">
    <w:name w:val="Text 5"/>
    <w:basedOn w:val="Navaden"/>
    <w:pPr>
      <w:ind w:left="3118"/>
    </w:pPr>
  </w:style>
  <w:style w:type="paragraph" w:customStyle="1" w:styleId="Text6">
    <w:name w:val="Text 6"/>
    <w:basedOn w:val="Navaden"/>
    <w:pPr>
      <w:ind w:left="3685"/>
    </w:pPr>
  </w:style>
  <w:style w:type="paragraph" w:customStyle="1" w:styleId="NormalCentered">
    <w:name w:val="Normal Centered"/>
    <w:basedOn w:val="Navaden"/>
    <w:pPr>
      <w:jc w:val="center"/>
    </w:pPr>
  </w:style>
  <w:style w:type="paragraph" w:customStyle="1" w:styleId="NormalLeft">
    <w:name w:val="Normal Left"/>
    <w:basedOn w:val="Navaden"/>
    <w:pPr>
      <w:jc w:val="left"/>
    </w:pPr>
  </w:style>
  <w:style w:type="paragraph" w:customStyle="1" w:styleId="NormalRight">
    <w:name w:val="Normal Right"/>
    <w:basedOn w:val="Navaden"/>
    <w:pPr>
      <w:jc w:val="right"/>
    </w:pPr>
  </w:style>
  <w:style w:type="paragraph" w:customStyle="1" w:styleId="QuotedText">
    <w:name w:val="Quoted Text"/>
    <w:basedOn w:val="Navaden"/>
    <w:pPr>
      <w:ind w:left="1417"/>
    </w:pPr>
  </w:style>
  <w:style w:type="paragraph" w:customStyle="1" w:styleId="Point0">
    <w:name w:val="Point 0"/>
    <w:basedOn w:val="Navaden"/>
    <w:pPr>
      <w:ind w:left="850" w:hanging="850"/>
    </w:pPr>
  </w:style>
  <w:style w:type="paragraph" w:customStyle="1" w:styleId="Point1">
    <w:name w:val="Point 1"/>
    <w:basedOn w:val="Navaden"/>
    <w:pPr>
      <w:ind w:left="1417" w:hanging="567"/>
    </w:pPr>
  </w:style>
  <w:style w:type="paragraph" w:customStyle="1" w:styleId="Point2">
    <w:name w:val="Point 2"/>
    <w:basedOn w:val="Navaden"/>
    <w:pPr>
      <w:ind w:left="1984" w:hanging="567"/>
    </w:pPr>
  </w:style>
  <w:style w:type="paragraph" w:customStyle="1" w:styleId="Point3">
    <w:name w:val="Point 3"/>
    <w:basedOn w:val="Navaden"/>
    <w:pPr>
      <w:ind w:left="2551" w:hanging="567"/>
    </w:pPr>
  </w:style>
  <w:style w:type="paragraph" w:customStyle="1" w:styleId="Point4">
    <w:name w:val="Point 4"/>
    <w:basedOn w:val="Navaden"/>
    <w:pPr>
      <w:ind w:left="3118" w:hanging="567"/>
    </w:pPr>
  </w:style>
  <w:style w:type="paragraph" w:customStyle="1" w:styleId="Point5">
    <w:name w:val="Point 5"/>
    <w:basedOn w:val="Navaden"/>
    <w:pPr>
      <w:ind w:left="3685"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Tiret5">
    <w:name w:val="Tiret 5"/>
    <w:basedOn w:val="Point5"/>
    <w:pPr>
      <w:numPr>
        <w:numId w:val="18"/>
      </w:numPr>
    </w:pPr>
  </w:style>
  <w:style w:type="paragraph" w:customStyle="1" w:styleId="PointDouble0">
    <w:name w:val="PointDouble 0"/>
    <w:basedOn w:val="Navaden"/>
    <w:pPr>
      <w:tabs>
        <w:tab w:val="left" w:pos="850"/>
      </w:tabs>
      <w:ind w:left="1417" w:hanging="1417"/>
    </w:pPr>
  </w:style>
  <w:style w:type="paragraph" w:customStyle="1" w:styleId="PointDouble1">
    <w:name w:val="PointDouble 1"/>
    <w:basedOn w:val="Navaden"/>
    <w:pPr>
      <w:tabs>
        <w:tab w:val="left" w:pos="1417"/>
      </w:tabs>
      <w:ind w:left="1984" w:hanging="1134"/>
    </w:pPr>
  </w:style>
  <w:style w:type="paragraph" w:customStyle="1" w:styleId="PointDouble2">
    <w:name w:val="PointDouble 2"/>
    <w:basedOn w:val="Navaden"/>
    <w:pPr>
      <w:tabs>
        <w:tab w:val="left" w:pos="1984"/>
      </w:tabs>
      <w:ind w:left="2551" w:hanging="1134"/>
    </w:pPr>
  </w:style>
  <w:style w:type="paragraph" w:customStyle="1" w:styleId="PointDouble3">
    <w:name w:val="PointDouble 3"/>
    <w:basedOn w:val="Navaden"/>
    <w:pPr>
      <w:tabs>
        <w:tab w:val="left" w:pos="2551"/>
      </w:tabs>
      <w:ind w:left="3118" w:hanging="1134"/>
    </w:pPr>
  </w:style>
  <w:style w:type="paragraph" w:customStyle="1" w:styleId="PointDouble4">
    <w:name w:val="PointDouble 4"/>
    <w:basedOn w:val="Navaden"/>
    <w:pPr>
      <w:tabs>
        <w:tab w:val="left" w:pos="3118"/>
      </w:tabs>
      <w:ind w:left="3685" w:hanging="1134"/>
    </w:pPr>
  </w:style>
  <w:style w:type="paragraph" w:customStyle="1" w:styleId="PointTriple0">
    <w:name w:val="PointTriple 0"/>
    <w:basedOn w:val="Navaden"/>
    <w:pPr>
      <w:tabs>
        <w:tab w:val="left" w:pos="850"/>
        <w:tab w:val="left" w:pos="1417"/>
      </w:tabs>
      <w:ind w:left="1984" w:hanging="1984"/>
    </w:pPr>
  </w:style>
  <w:style w:type="paragraph" w:customStyle="1" w:styleId="PointTriple1">
    <w:name w:val="PointTriple 1"/>
    <w:basedOn w:val="Navaden"/>
    <w:pPr>
      <w:tabs>
        <w:tab w:val="left" w:pos="1417"/>
        <w:tab w:val="left" w:pos="1984"/>
      </w:tabs>
      <w:ind w:left="2551" w:hanging="1701"/>
    </w:pPr>
  </w:style>
  <w:style w:type="paragraph" w:customStyle="1" w:styleId="PointTriple2">
    <w:name w:val="PointTriple 2"/>
    <w:basedOn w:val="Navaden"/>
    <w:pPr>
      <w:tabs>
        <w:tab w:val="left" w:pos="1984"/>
        <w:tab w:val="left" w:pos="2551"/>
      </w:tabs>
      <w:ind w:left="3118" w:hanging="1701"/>
    </w:pPr>
  </w:style>
  <w:style w:type="paragraph" w:customStyle="1" w:styleId="PointTriple3">
    <w:name w:val="PointTriple 3"/>
    <w:basedOn w:val="Navaden"/>
    <w:pPr>
      <w:tabs>
        <w:tab w:val="left" w:pos="2551"/>
        <w:tab w:val="left" w:pos="3118"/>
      </w:tabs>
      <w:ind w:left="3685" w:hanging="1701"/>
    </w:pPr>
  </w:style>
  <w:style w:type="paragraph" w:customStyle="1" w:styleId="PointTriple4">
    <w:name w:val="PointTriple 4"/>
    <w:basedOn w:val="Navaden"/>
    <w:pPr>
      <w:tabs>
        <w:tab w:val="left" w:pos="3118"/>
        <w:tab w:val="left" w:pos="3685"/>
      </w:tabs>
      <w:ind w:left="4252" w:hanging="1701"/>
    </w:pPr>
  </w:style>
  <w:style w:type="paragraph" w:customStyle="1" w:styleId="NumPar1">
    <w:name w:val="NumPar 1"/>
    <w:basedOn w:val="Navaden"/>
    <w:next w:val="Text1"/>
    <w:pPr>
      <w:numPr>
        <w:numId w:val="19"/>
      </w:numPr>
    </w:pPr>
  </w:style>
  <w:style w:type="paragraph" w:customStyle="1" w:styleId="NumPar2">
    <w:name w:val="NumPar 2"/>
    <w:basedOn w:val="Navaden"/>
    <w:next w:val="Text1"/>
    <w:pPr>
      <w:numPr>
        <w:ilvl w:val="1"/>
        <w:numId w:val="19"/>
      </w:numPr>
    </w:pPr>
  </w:style>
  <w:style w:type="paragraph" w:customStyle="1" w:styleId="NumPar3">
    <w:name w:val="NumPar 3"/>
    <w:basedOn w:val="Navaden"/>
    <w:next w:val="Text1"/>
    <w:pPr>
      <w:numPr>
        <w:ilvl w:val="2"/>
        <w:numId w:val="19"/>
      </w:numPr>
    </w:pPr>
  </w:style>
  <w:style w:type="paragraph" w:customStyle="1" w:styleId="NumPar4">
    <w:name w:val="NumPar 4"/>
    <w:basedOn w:val="Navaden"/>
    <w:next w:val="Text1"/>
    <w:pPr>
      <w:numPr>
        <w:ilvl w:val="3"/>
        <w:numId w:val="19"/>
      </w:numPr>
    </w:pPr>
  </w:style>
  <w:style w:type="paragraph" w:customStyle="1" w:styleId="NumPar5">
    <w:name w:val="NumPar 5"/>
    <w:basedOn w:val="Navaden"/>
    <w:next w:val="Text2"/>
    <w:pPr>
      <w:numPr>
        <w:ilvl w:val="4"/>
        <w:numId w:val="19"/>
      </w:numPr>
    </w:pPr>
  </w:style>
  <w:style w:type="paragraph" w:customStyle="1" w:styleId="NumPar6">
    <w:name w:val="NumPar 6"/>
    <w:basedOn w:val="Navaden"/>
    <w:next w:val="Text2"/>
    <w:pPr>
      <w:numPr>
        <w:ilvl w:val="5"/>
        <w:numId w:val="19"/>
      </w:numPr>
    </w:pPr>
  </w:style>
  <w:style w:type="paragraph" w:customStyle="1" w:styleId="NumPar7">
    <w:name w:val="NumPar 7"/>
    <w:basedOn w:val="Navaden"/>
    <w:next w:val="Text2"/>
    <w:pPr>
      <w:numPr>
        <w:ilvl w:val="6"/>
        <w:numId w:val="19"/>
      </w:numPr>
    </w:pPr>
  </w:style>
  <w:style w:type="paragraph" w:customStyle="1" w:styleId="ManualNumPar1">
    <w:name w:val="Manual NumPar 1"/>
    <w:basedOn w:val="Navaden"/>
    <w:next w:val="Text1"/>
    <w:pPr>
      <w:ind w:left="850" w:hanging="850"/>
    </w:pPr>
  </w:style>
  <w:style w:type="paragraph" w:customStyle="1" w:styleId="ManualNumPar2">
    <w:name w:val="Manual NumPar 2"/>
    <w:basedOn w:val="Navaden"/>
    <w:next w:val="Text1"/>
    <w:pPr>
      <w:ind w:left="850" w:hanging="850"/>
    </w:pPr>
  </w:style>
  <w:style w:type="paragraph" w:customStyle="1" w:styleId="ManualNumPar3">
    <w:name w:val="Manual NumPar 3"/>
    <w:basedOn w:val="Navaden"/>
    <w:next w:val="Text1"/>
    <w:pPr>
      <w:ind w:left="850" w:hanging="850"/>
    </w:pPr>
  </w:style>
  <w:style w:type="paragraph" w:customStyle="1" w:styleId="ManualNumPar4">
    <w:name w:val="Manual NumPar 4"/>
    <w:basedOn w:val="Navaden"/>
    <w:next w:val="Text1"/>
    <w:pPr>
      <w:ind w:left="850" w:hanging="850"/>
    </w:pPr>
  </w:style>
  <w:style w:type="paragraph" w:customStyle="1" w:styleId="ManualNumPar5">
    <w:name w:val="Manual NumPar 5"/>
    <w:basedOn w:val="Navaden"/>
    <w:next w:val="Text2"/>
    <w:pPr>
      <w:ind w:left="1417" w:hanging="1417"/>
    </w:pPr>
  </w:style>
  <w:style w:type="paragraph" w:customStyle="1" w:styleId="ManualNumPar6">
    <w:name w:val="Manual NumPar 6"/>
    <w:basedOn w:val="Navaden"/>
    <w:next w:val="Text2"/>
    <w:pPr>
      <w:ind w:left="1417" w:hanging="1417"/>
    </w:pPr>
  </w:style>
  <w:style w:type="paragraph" w:customStyle="1" w:styleId="ManualNumPar7">
    <w:name w:val="Manual NumPar 7"/>
    <w:basedOn w:val="Navaden"/>
    <w:next w:val="Text2"/>
    <w:pPr>
      <w:ind w:left="1417" w:hanging="1417"/>
    </w:pPr>
  </w:style>
  <w:style w:type="paragraph" w:customStyle="1" w:styleId="QuotedNumPar">
    <w:name w:val="Quoted NumPar"/>
    <w:basedOn w:val="Navaden"/>
    <w:pPr>
      <w:ind w:left="1417" w:hanging="567"/>
    </w:pPr>
  </w:style>
  <w:style w:type="paragraph" w:customStyle="1" w:styleId="ManualHeading1">
    <w:name w:val="Manual Heading 1"/>
    <w:basedOn w:val="Navaden"/>
    <w:next w:val="Text1"/>
    <w:pPr>
      <w:keepNext/>
      <w:tabs>
        <w:tab w:val="left" w:pos="850"/>
      </w:tabs>
      <w:spacing w:before="360"/>
      <w:ind w:left="850" w:hanging="850"/>
      <w:outlineLvl w:val="0"/>
    </w:pPr>
    <w:rPr>
      <w:b/>
      <w:smallCaps/>
    </w:rPr>
  </w:style>
  <w:style w:type="paragraph" w:customStyle="1" w:styleId="ManualHeading2">
    <w:name w:val="Manual Heading 2"/>
    <w:basedOn w:val="Navaden"/>
    <w:next w:val="Text1"/>
    <w:pPr>
      <w:keepNext/>
      <w:tabs>
        <w:tab w:val="left" w:pos="850"/>
      </w:tabs>
      <w:ind w:left="850" w:hanging="850"/>
      <w:outlineLvl w:val="1"/>
    </w:pPr>
    <w:rPr>
      <w:b/>
    </w:rPr>
  </w:style>
  <w:style w:type="paragraph" w:customStyle="1" w:styleId="ManualHeading3">
    <w:name w:val="Manual Heading 3"/>
    <w:basedOn w:val="Navaden"/>
    <w:next w:val="Text1"/>
    <w:pPr>
      <w:keepNext/>
      <w:tabs>
        <w:tab w:val="left" w:pos="850"/>
      </w:tabs>
      <w:ind w:left="850" w:hanging="850"/>
      <w:outlineLvl w:val="2"/>
    </w:pPr>
    <w:rPr>
      <w:i/>
    </w:rPr>
  </w:style>
  <w:style w:type="paragraph" w:customStyle="1" w:styleId="ManualHeading4">
    <w:name w:val="Manual Heading 4"/>
    <w:basedOn w:val="Navaden"/>
    <w:next w:val="Text1"/>
    <w:pPr>
      <w:keepNext/>
      <w:tabs>
        <w:tab w:val="left" w:pos="850"/>
      </w:tabs>
      <w:ind w:left="850" w:hanging="850"/>
      <w:outlineLvl w:val="3"/>
    </w:pPr>
  </w:style>
  <w:style w:type="paragraph" w:customStyle="1" w:styleId="ManualHeading5">
    <w:name w:val="Manual Heading 5"/>
    <w:basedOn w:val="Navaden"/>
    <w:next w:val="Text2"/>
    <w:pPr>
      <w:keepNext/>
      <w:tabs>
        <w:tab w:val="left" w:pos="1417"/>
      </w:tabs>
      <w:ind w:left="1417" w:hanging="1417"/>
      <w:outlineLvl w:val="4"/>
    </w:pPr>
  </w:style>
  <w:style w:type="paragraph" w:customStyle="1" w:styleId="ManualHeading6">
    <w:name w:val="Manual Heading 6"/>
    <w:basedOn w:val="Navaden"/>
    <w:next w:val="Text2"/>
    <w:pPr>
      <w:keepNext/>
      <w:tabs>
        <w:tab w:val="left" w:pos="1417"/>
      </w:tabs>
      <w:ind w:left="1417" w:hanging="1417"/>
      <w:outlineLvl w:val="5"/>
    </w:pPr>
  </w:style>
  <w:style w:type="paragraph" w:customStyle="1" w:styleId="ManualHeading7">
    <w:name w:val="Manual Heading 7"/>
    <w:basedOn w:val="Navaden"/>
    <w:next w:val="Text2"/>
    <w:pPr>
      <w:keepNext/>
      <w:tabs>
        <w:tab w:val="left" w:pos="1417"/>
      </w:tabs>
      <w:ind w:left="1417" w:hanging="1417"/>
      <w:outlineLvl w:val="6"/>
    </w:pPr>
  </w:style>
  <w:style w:type="paragraph" w:customStyle="1" w:styleId="ChapterTitle">
    <w:name w:val="ChapterTitle"/>
    <w:basedOn w:val="Navaden"/>
    <w:next w:val="Navaden"/>
    <w:pPr>
      <w:keepNext/>
      <w:spacing w:after="360"/>
      <w:jc w:val="center"/>
    </w:pPr>
    <w:rPr>
      <w:b/>
      <w:sz w:val="32"/>
    </w:rPr>
  </w:style>
  <w:style w:type="paragraph" w:customStyle="1" w:styleId="PartTitle">
    <w:name w:val="PartTitle"/>
    <w:basedOn w:val="Navaden"/>
    <w:next w:val="ChapterTitle"/>
    <w:pPr>
      <w:keepNext/>
      <w:pageBreakBefore/>
      <w:spacing w:after="360"/>
      <w:jc w:val="center"/>
    </w:pPr>
    <w:rPr>
      <w:b/>
      <w:sz w:val="36"/>
    </w:rPr>
  </w:style>
  <w:style w:type="paragraph" w:customStyle="1" w:styleId="SectionTitle">
    <w:name w:val="SectionTitle"/>
    <w:basedOn w:val="Navaden"/>
    <w:next w:val="Naslov1"/>
    <w:pPr>
      <w:keepNext/>
      <w:spacing w:after="360"/>
      <w:jc w:val="center"/>
    </w:pPr>
    <w:rPr>
      <w:b/>
      <w:smallCaps/>
      <w:sz w:val="28"/>
    </w:rPr>
  </w:style>
  <w:style w:type="paragraph" w:customStyle="1" w:styleId="TableTitle">
    <w:name w:val="Table Title"/>
    <w:basedOn w:val="Navaden"/>
    <w:next w:val="Navaden"/>
    <w:pPr>
      <w:jc w:val="center"/>
    </w:pPr>
    <w:rPr>
      <w:b/>
    </w:rPr>
  </w:style>
  <w:style w:type="character" w:customStyle="1" w:styleId="Marker">
    <w:name w:val="Marker"/>
    <w:basedOn w:val="Privzetapisavaodstavka"/>
    <w:rsid w:val="00F954F9"/>
    <w:rPr>
      <w:color w:val="0000FF"/>
      <w:shd w:val="clear" w:color="auto" w:fill="auto"/>
    </w:rPr>
  </w:style>
  <w:style w:type="character" w:customStyle="1" w:styleId="Marker1">
    <w:name w:val="Marker1"/>
    <w:basedOn w:val="Privzetapisavaodstavka"/>
    <w:rPr>
      <w:color w:val="008000"/>
      <w:shd w:val="clear" w:color="auto" w:fill="auto"/>
    </w:rPr>
  </w:style>
  <w:style w:type="character" w:customStyle="1" w:styleId="Marker2">
    <w:name w:val="Marker2"/>
    <w:basedOn w:val="Privzetapisavaodstavka"/>
    <w:rPr>
      <w:color w:val="FF0000"/>
      <w:shd w:val="clear" w:color="auto" w:fill="auto"/>
    </w:rPr>
  </w:style>
  <w:style w:type="paragraph" w:customStyle="1" w:styleId="Point0number">
    <w:name w:val="Point 0 (number)"/>
    <w:basedOn w:val="Navaden"/>
    <w:pPr>
      <w:numPr>
        <w:numId w:val="21"/>
      </w:numPr>
    </w:pPr>
  </w:style>
  <w:style w:type="paragraph" w:customStyle="1" w:styleId="Point1number">
    <w:name w:val="Point 1 (number)"/>
    <w:basedOn w:val="Navaden"/>
    <w:pPr>
      <w:numPr>
        <w:ilvl w:val="2"/>
        <w:numId w:val="21"/>
      </w:numPr>
    </w:pPr>
  </w:style>
  <w:style w:type="paragraph" w:customStyle="1" w:styleId="Point2number">
    <w:name w:val="Point 2 (number)"/>
    <w:basedOn w:val="Navaden"/>
    <w:pPr>
      <w:numPr>
        <w:ilvl w:val="4"/>
        <w:numId w:val="21"/>
      </w:numPr>
    </w:pPr>
  </w:style>
  <w:style w:type="paragraph" w:customStyle="1" w:styleId="Point3number">
    <w:name w:val="Point 3 (number)"/>
    <w:basedOn w:val="Navaden"/>
    <w:pPr>
      <w:numPr>
        <w:ilvl w:val="6"/>
        <w:numId w:val="21"/>
      </w:numPr>
    </w:pPr>
  </w:style>
  <w:style w:type="paragraph" w:customStyle="1" w:styleId="Point0letter">
    <w:name w:val="Point 0 (letter)"/>
    <w:basedOn w:val="Navaden"/>
    <w:pPr>
      <w:numPr>
        <w:ilvl w:val="1"/>
        <w:numId w:val="21"/>
      </w:numPr>
    </w:pPr>
  </w:style>
  <w:style w:type="paragraph" w:customStyle="1" w:styleId="Point1letter">
    <w:name w:val="Point 1 (letter)"/>
    <w:basedOn w:val="Navaden"/>
    <w:pPr>
      <w:numPr>
        <w:ilvl w:val="3"/>
        <w:numId w:val="21"/>
      </w:numPr>
    </w:pPr>
  </w:style>
  <w:style w:type="paragraph" w:customStyle="1" w:styleId="Point2letter">
    <w:name w:val="Point 2 (letter)"/>
    <w:basedOn w:val="Navaden"/>
    <w:pPr>
      <w:numPr>
        <w:ilvl w:val="5"/>
        <w:numId w:val="21"/>
      </w:numPr>
    </w:pPr>
  </w:style>
  <w:style w:type="paragraph" w:customStyle="1" w:styleId="Point3letter">
    <w:name w:val="Point 3 (letter)"/>
    <w:basedOn w:val="Navaden"/>
    <w:pPr>
      <w:numPr>
        <w:ilvl w:val="7"/>
        <w:numId w:val="21"/>
      </w:numPr>
    </w:pPr>
  </w:style>
  <w:style w:type="paragraph" w:customStyle="1" w:styleId="Point4letter">
    <w:name w:val="Point 4 (letter)"/>
    <w:basedOn w:val="Navaden"/>
    <w:pPr>
      <w:numPr>
        <w:ilvl w:val="8"/>
        <w:numId w:val="21"/>
      </w:numPr>
    </w:pPr>
  </w:style>
  <w:style w:type="paragraph" w:customStyle="1" w:styleId="Bullet0">
    <w:name w:val="Bullet 0"/>
    <w:basedOn w:val="Navaden"/>
    <w:pPr>
      <w:numPr>
        <w:numId w:val="22"/>
      </w:numPr>
    </w:pPr>
  </w:style>
  <w:style w:type="paragraph" w:customStyle="1" w:styleId="Bullet1">
    <w:name w:val="Bullet 1"/>
    <w:basedOn w:val="Navaden"/>
    <w:pPr>
      <w:numPr>
        <w:numId w:val="23"/>
      </w:numPr>
    </w:pPr>
  </w:style>
  <w:style w:type="paragraph" w:customStyle="1" w:styleId="Bullet2">
    <w:name w:val="Bullet 2"/>
    <w:basedOn w:val="Navaden"/>
    <w:pPr>
      <w:numPr>
        <w:numId w:val="24"/>
      </w:numPr>
    </w:pPr>
  </w:style>
  <w:style w:type="paragraph" w:customStyle="1" w:styleId="Bullet3">
    <w:name w:val="Bullet 3"/>
    <w:basedOn w:val="Navaden"/>
    <w:pPr>
      <w:numPr>
        <w:numId w:val="25"/>
      </w:numPr>
    </w:pPr>
  </w:style>
  <w:style w:type="paragraph" w:customStyle="1" w:styleId="Bullet4">
    <w:name w:val="Bullet 4"/>
    <w:basedOn w:val="Navaden"/>
    <w:pPr>
      <w:numPr>
        <w:numId w:val="26"/>
      </w:numPr>
    </w:pPr>
  </w:style>
  <w:style w:type="paragraph" w:customStyle="1" w:styleId="Langue">
    <w:name w:val="Langue"/>
    <w:basedOn w:val="Navaden"/>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avaden"/>
    <w:next w:val="Emission"/>
    <w:pPr>
      <w:spacing w:before="0" w:after="0"/>
      <w:jc w:val="left"/>
    </w:pPr>
    <w:rPr>
      <w:rFonts w:ascii="Arial" w:hAnsi="Arial" w:cs="Arial"/>
    </w:rPr>
  </w:style>
  <w:style w:type="paragraph" w:customStyle="1" w:styleId="Emission">
    <w:name w:val="Emission"/>
    <w:basedOn w:val="Navaden"/>
    <w:next w:val="Rfrenceinstitutionnelle"/>
    <w:pPr>
      <w:spacing w:before="0" w:after="0"/>
      <w:ind w:left="5103"/>
      <w:jc w:val="left"/>
    </w:pPr>
  </w:style>
  <w:style w:type="paragraph" w:customStyle="1" w:styleId="Rfrenceinstitutionnelle">
    <w:name w:val="Référence institutionnelle"/>
    <w:basedOn w:val="Navaden"/>
    <w:next w:val="Confidentialit"/>
    <w:pPr>
      <w:spacing w:before="0" w:after="240"/>
      <w:ind w:left="5103"/>
      <w:jc w:val="left"/>
    </w:pPr>
  </w:style>
  <w:style w:type="paragraph" w:customStyle="1" w:styleId="Pagedecouverture">
    <w:name w:val="Page de couverture"/>
    <w:basedOn w:val="Navaden"/>
    <w:next w:val="Navaden"/>
    <w:pPr>
      <w:spacing w:before="0" w:after="0"/>
    </w:pPr>
  </w:style>
  <w:style w:type="paragraph" w:customStyle="1" w:styleId="Declassification">
    <w:name w:val="Declassification"/>
    <w:basedOn w:val="Navaden"/>
    <w:next w:val="Navaden"/>
    <w:pPr>
      <w:spacing w:before="0" w:after="0"/>
    </w:pPr>
  </w:style>
  <w:style w:type="paragraph" w:customStyle="1" w:styleId="Disclaimer">
    <w:name w:val="Disclaimer"/>
    <w:basedOn w:val="Navaden"/>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avaden"/>
    <w:pPr>
      <w:spacing w:before="0" w:after="0" w:line="276" w:lineRule="auto"/>
      <w:ind w:left="5103"/>
      <w:jc w:val="left"/>
    </w:pPr>
    <w:rPr>
      <w:sz w:val="28"/>
    </w:rPr>
  </w:style>
  <w:style w:type="paragraph" w:customStyle="1" w:styleId="DateMarking">
    <w:name w:val="DateMarking"/>
    <w:basedOn w:val="Navaden"/>
    <w:pPr>
      <w:spacing w:before="0" w:after="0" w:line="276" w:lineRule="auto"/>
      <w:ind w:left="5103"/>
      <w:jc w:val="left"/>
    </w:pPr>
    <w:rPr>
      <w:i/>
      <w:sz w:val="28"/>
    </w:rPr>
  </w:style>
  <w:style w:type="paragraph" w:customStyle="1" w:styleId="ReleasableTo">
    <w:name w:val="ReleasableTo"/>
    <w:basedOn w:val="Navaden"/>
    <w:pPr>
      <w:spacing w:before="0" w:after="0" w:line="276" w:lineRule="auto"/>
      <w:ind w:left="5103"/>
      <w:jc w:val="left"/>
    </w:pPr>
    <w:rPr>
      <w:i/>
      <w:sz w:val="28"/>
    </w:rPr>
  </w:style>
  <w:style w:type="paragraph" w:customStyle="1" w:styleId="Annexetitreexpos">
    <w:name w:val="Annexe titre (exposé)"/>
    <w:basedOn w:val="Navaden"/>
    <w:next w:val="Navaden"/>
    <w:pPr>
      <w:jc w:val="center"/>
    </w:pPr>
    <w:rPr>
      <w:b/>
      <w:u w:val="single"/>
    </w:rPr>
  </w:style>
  <w:style w:type="paragraph" w:customStyle="1" w:styleId="Annexetitre">
    <w:name w:val="Annexe titre"/>
    <w:basedOn w:val="Navaden"/>
    <w:next w:val="Navaden"/>
    <w:pPr>
      <w:jc w:val="center"/>
    </w:pPr>
    <w:rPr>
      <w:b/>
      <w:u w:val="single"/>
    </w:rPr>
  </w:style>
  <w:style w:type="paragraph" w:customStyle="1" w:styleId="Annexetitrefichefinancire">
    <w:name w:val="Annexe titre (fiche financière)"/>
    <w:basedOn w:val="Navaden"/>
    <w:next w:val="Navaden"/>
    <w:pPr>
      <w:jc w:val="center"/>
    </w:pPr>
    <w:rPr>
      <w:b/>
      <w:u w:val="single"/>
    </w:rPr>
  </w:style>
  <w:style w:type="paragraph" w:customStyle="1" w:styleId="Applicationdirecte">
    <w:name w:val="Application directe"/>
    <w:basedOn w:val="Navaden"/>
    <w:next w:val="Fait"/>
    <w:pPr>
      <w:spacing w:before="480"/>
    </w:pPr>
  </w:style>
  <w:style w:type="paragraph" w:customStyle="1" w:styleId="Avertissementtitre">
    <w:name w:val="Avertissement titre"/>
    <w:basedOn w:val="Navaden"/>
    <w:next w:val="Navaden"/>
    <w:pPr>
      <w:keepNext/>
      <w:spacing w:before="480"/>
    </w:pPr>
    <w:rPr>
      <w:u w:val="single"/>
    </w:rPr>
  </w:style>
  <w:style w:type="paragraph" w:customStyle="1" w:styleId="Confidence">
    <w:name w:val="Confidence"/>
    <w:basedOn w:val="Navaden"/>
    <w:next w:val="Navaden"/>
    <w:pPr>
      <w:spacing w:before="360"/>
      <w:jc w:val="center"/>
    </w:pPr>
  </w:style>
  <w:style w:type="paragraph" w:customStyle="1" w:styleId="Confidentialit">
    <w:name w:val="Confidentialité"/>
    <w:basedOn w:val="Navaden"/>
    <w:next w:val="TypedudocumentPagedecouverture"/>
    <w:pPr>
      <w:spacing w:before="240" w:after="240"/>
      <w:ind w:left="5103"/>
      <w:jc w:val="left"/>
    </w:pPr>
    <w:rPr>
      <w:i/>
      <w:sz w:val="32"/>
    </w:rPr>
  </w:style>
  <w:style w:type="paragraph" w:customStyle="1" w:styleId="Considrant">
    <w:name w:val="Considérant"/>
    <w:basedOn w:val="Navaden"/>
    <w:pPr>
      <w:numPr>
        <w:numId w:val="27"/>
      </w:numPr>
    </w:pPr>
  </w:style>
  <w:style w:type="paragraph" w:customStyle="1" w:styleId="Corrigendum">
    <w:name w:val="Corrigendum"/>
    <w:basedOn w:val="Navaden"/>
    <w:next w:val="Navaden"/>
    <w:pPr>
      <w:spacing w:before="0" w:after="240"/>
      <w:jc w:val="left"/>
    </w:pPr>
  </w:style>
  <w:style w:type="paragraph" w:customStyle="1" w:styleId="Datedadoption">
    <w:name w:val="Date d'adoption"/>
    <w:basedOn w:val="Navaden"/>
    <w:next w:val="IntrtEEE"/>
    <w:pPr>
      <w:spacing w:before="360" w:after="0"/>
      <w:jc w:val="center"/>
    </w:pPr>
    <w:rPr>
      <w:b/>
    </w:rPr>
  </w:style>
  <w:style w:type="paragraph" w:customStyle="1" w:styleId="Exposdesmotifstitre">
    <w:name w:val="Exposé des motifs titre"/>
    <w:basedOn w:val="Navaden"/>
    <w:next w:val="Navaden"/>
    <w:pPr>
      <w:jc w:val="center"/>
    </w:pPr>
    <w:rPr>
      <w:b/>
      <w:u w:val="single"/>
    </w:rPr>
  </w:style>
  <w:style w:type="paragraph" w:customStyle="1" w:styleId="Fait">
    <w:name w:val="Fait à"/>
    <w:basedOn w:val="Navaden"/>
    <w:next w:val="Institutionquisigne"/>
    <w:pPr>
      <w:keepNext/>
      <w:spacing w:after="0"/>
    </w:pPr>
  </w:style>
  <w:style w:type="paragraph" w:customStyle="1" w:styleId="Formuledadoption">
    <w:name w:val="Formule d'adoption"/>
    <w:basedOn w:val="Navaden"/>
    <w:next w:val="Titrearticle"/>
    <w:pPr>
      <w:keepNext/>
    </w:pPr>
  </w:style>
  <w:style w:type="paragraph" w:customStyle="1" w:styleId="Institutionquiagit">
    <w:name w:val="Institution qui agit"/>
    <w:basedOn w:val="Navaden"/>
    <w:next w:val="Navaden"/>
    <w:pPr>
      <w:keepNext/>
      <w:spacing w:before="600"/>
    </w:pPr>
  </w:style>
  <w:style w:type="paragraph" w:customStyle="1" w:styleId="Institutionquisigne">
    <w:name w:val="Institution qui signe"/>
    <w:basedOn w:val="Navaden"/>
    <w:next w:val="Personnequisigne"/>
    <w:pPr>
      <w:keepNext/>
      <w:tabs>
        <w:tab w:val="left" w:pos="4252"/>
      </w:tabs>
      <w:spacing w:before="720" w:after="0"/>
    </w:pPr>
    <w:rPr>
      <w:i/>
    </w:rPr>
  </w:style>
  <w:style w:type="paragraph" w:customStyle="1" w:styleId="ManualConsidrant">
    <w:name w:val="Manual Considérant"/>
    <w:basedOn w:val="Navaden"/>
    <w:pPr>
      <w:ind w:left="709" w:hanging="709"/>
    </w:pPr>
  </w:style>
  <w:style w:type="paragraph" w:customStyle="1" w:styleId="Personnequisigne">
    <w:name w:val="Personne qui signe"/>
    <w:basedOn w:val="Navaden"/>
    <w:next w:val="Institutionquisigne"/>
    <w:pPr>
      <w:tabs>
        <w:tab w:val="left" w:pos="4252"/>
      </w:tabs>
      <w:spacing w:before="0" w:after="0"/>
      <w:jc w:val="left"/>
    </w:pPr>
    <w:rPr>
      <w:i/>
    </w:rPr>
  </w:style>
  <w:style w:type="paragraph" w:customStyle="1" w:styleId="Rfrenceinterinstitutionnelle">
    <w:name w:val="Référence interinstitutionnelle"/>
    <w:basedOn w:val="Navaden"/>
    <w:next w:val="Statut"/>
    <w:pPr>
      <w:spacing w:before="0" w:after="0"/>
      <w:ind w:left="5103"/>
      <w:jc w:val="left"/>
    </w:pPr>
  </w:style>
  <w:style w:type="paragraph" w:customStyle="1" w:styleId="Rfrenceinterne">
    <w:name w:val="Référence interne"/>
    <w:basedOn w:val="Navaden"/>
    <w:next w:val="Rfrenceinterinstitutionnelle"/>
    <w:pPr>
      <w:spacing w:before="0" w:after="0"/>
      <w:ind w:left="5103"/>
      <w:jc w:val="left"/>
    </w:pPr>
  </w:style>
  <w:style w:type="paragraph" w:customStyle="1" w:styleId="Statut">
    <w:name w:val="Statut"/>
    <w:basedOn w:val="Navaden"/>
    <w:next w:val="Typedudocument"/>
    <w:pPr>
      <w:spacing w:before="0" w:after="240"/>
      <w:jc w:val="center"/>
    </w:pPr>
  </w:style>
  <w:style w:type="paragraph" w:customStyle="1" w:styleId="Titrearticle">
    <w:name w:val="Titre article"/>
    <w:basedOn w:val="Navaden"/>
    <w:next w:val="Navaden"/>
    <w:pPr>
      <w:keepNext/>
      <w:spacing w:before="360"/>
      <w:jc w:val="center"/>
    </w:pPr>
    <w:rPr>
      <w:i/>
    </w:rPr>
  </w:style>
  <w:style w:type="paragraph" w:customStyle="1" w:styleId="Typedudocument">
    <w:name w:val="Type du document"/>
    <w:basedOn w:val="Navaden"/>
    <w:next w:val="Accompagnant"/>
    <w:pPr>
      <w:spacing w:before="360" w:after="180"/>
      <w:jc w:val="center"/>
    </w:pPr>
    <w:rPr>
      <w:b/>
    </w:rPr>
  </w:style>
  <w:style w:type="character" w:customStyle="1" w:styleId="Added">
    <w:name w:val="Added"/>
    <w:basedOn w:val="Privzetapisavaodstavka"/>
    <w:rPr>
      <w:b/>
      <w:u w:val="single"/>
      <w:shd w:val="clear" w:color="auto" w:fill="auto"/>
    </w:rPr>
  </w:style>
  <w:style w:type="character" w:customStyle="1" w:styleId="Deleted">
    <w:name w:val="Deleted"/>
    <w:basedOn w:val="Privzetapisavaodstavka"/>
    <w:rPr>
      <w:strike/>
      <w:dstrike w:val="0"/>
      <w:shd w:val="clear" w:color="auto" w:fill="auto"/>
    </w:rPr>
  </w:style>
  <w:style w:type="paragraph" w:customStyle="1" w:styleId="Address">
    <w:name w:val="Address"/>
    <w:basedOn w:val="Navaden"/>
    <w:next w:val="Navaden"/>
    <w:pPr>
      <w:keepLines/>
      <w:spacing w:line="360" w:lineRule="auto"/>
      <w:ind w:left="3402"/>
      <w:jc w:val="left"/>
    </w:pPr>
  </w:style>
  <w:style w:type="paragraph" w:customStyle="1" w:styleId="Objetexterne">
    <w:name w:val="Objet externe"/>
    <w:basedOn w:val="Navaden"/>
    <w:next w:val="Navaden"/>
    <w:rPr>
      <w:i/>
      <w:caps/>
    </w:rPr>
  </w:style>
  <w:style w:type="paragraph" w:customStyle="1" w:styleId="Supertitre">
    <w:name w:val="Supertitre"/>
    <w:basedOn w:val="Navaden"/>
    <w:next w:val="Navaden"/>
    <w:pPr>
      <w:spacing w:before="0" w:after="600"/>
      <w:jc w:val="center"/>
    </w:pPr>
    <w:rPr>
      <w:b/>
    </w:rPr>
  </w:style>
  <w:style w:type="paragraph" w:customStyle="1" w:styleId="Languesfaisantfoi">
    <w:name w:val="Langues faisant foi"/>
    <w:basedOn w:val="Navaden"/>
    <w:next w:val="Navaden"/>
    <w:pPr>
      <w:spacing w:before="360" w:after="0"/>
      <w:jc w:val="center"/>
    </w:pPr>
  </w:style>
  <w:style w:type="paragraph" w:customStyle="1" w:styleId="Rfrencecroise">
    <w:name w:val="Référence croisée"/>
    <w:basedOn w:val="Navaden"/>
    <w:pPr>
      <w:spacing w:before="0" w:after="0"/>
      <w:jc w:val="center"/>
    </w:pPr>
  </w:style>
  <w:style w:type="paragraph" w:customStyle="1" w:styleId="Fichefinanciretitre">
    <w:name w:val="Fiche financière titre"/>
    <w:basedOn w:val="Navaden"/>
    <w:next w:val="Navaden"/>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avaden"/>
    <w:next w:val="Confidentialit"/>
    <w:pPr>
      <w:spacing w:before="0" w:after="240"/>
      <w:ind w:left="5103"/>
      <w:jc w:val="left"/>
    </w:pPr>
  </w:style>
  <w:style w:type="paragraph" w:customStyle="1" w:styleId="IntrtEEE">
    <w:name w:val="Intérêt EEE"/>
    <w:basedOn w:val="Languesfaisantfoi"/>
    <w:next w:val="Navaden"/>
    <w:pPr>
      <w:spacing w:after="240"/>
    </w:pPr>
  </w:style>
  <w:style w:type="paragraph" w:customStyle="1" w:styleId="Accompagnant">
    <w:name w:val="Accompagnant"/>
    <w:basedOn w:val="Navaden"/>
    <w:next w:val="Typeacteprincipal"/>
    <w:pPr>
      <w:spacing w:before="180" w:after="240"/>
      <w:jc w:val="center"/>
    </w:pPr>
    <w:rPr>
      <w:b/>
    </w:rPr>
  </w:style>
  <w:style w:type="paragraph" w:customStyle="1" w:styleId="Typeacteprincipal">
    <w:name w:val="Type acte principal"/>
    <w:basedOn w:val="Navaden"/>
    <w:next w:val="Objetacteprincipal"/>
    <w:pPr>
      <w:spacing w:before="0" w:after="240"/>
      <w:jc w:val="center"/>
    </w:pPr>
    <w:rPr>
      <w:b/>
    </w:rPr>
  </w:style>
  <w:style w:type="paragraph" w:customStyle="1" w:styleId="Objetacteprincipal">
    <w:name w:val="Objet acte principal"/>
    <w:basedOn w:val="Navade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avaden"/>
    <w:next w:val="Navaden"/>
    <w:pPr>
      <w:spacing w:before="360" w:after="0"/>
      <w:jc w:val="center"/>
    </w:pPr>
  </w:style>
  <w:style w:type="paragraph" w:styleId="Brezrazmikov">
    <w:name w:val="No Spacing"/>
    <w:uiPriority w:val="1"/>
    <w:qFormat/>
    <w:rsid w:val="00614B4A"/>
    <w:pPr>
      <w:spacing w:after="0" w:line="240" w:lineRule="auto"/>
    </w:pPr>
    <w:rPr>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365991">
      <w:bodyDiv w:val="1"/>
      <w:marLeft w:val="0"/>
      <w:marRight w:val="0"/>
      <w:marTop w:val="0"/>
      <w:marBottom w:val="0"/>
      <w:divBdr>
        <w:top w:val="none" w:sz="0" w:space="0" w:color="auto"/>
        <w:left w:val="none" w:sz="0" w:space="0" w:color="auto"/>
        <w:bottom w:val="none" w:sz="0" w:space="0" w:color="auto"/>
        <w:right w:val="none" w:sz="0" w:space="0" w:color="auto"/>
      </w:divBdr>
    </w:div>
    <w:div w:id="673260341">
      <w:bodyDiv w:val="1"/>
      <w:marLeft w:val="0"/>
      <w:marRight w:val="0"/>
      <w:marTop w:val="0"/>
      <w:marBottom w:val="0"/>
      <w:divBdr>
        <w:top w:val="none" w:sz="0" w:space="0" w:color="auto"/>
        <w:left w:val="none" w:sz="0" w:space="0" w:color="auto"/>
        <w:bottom w:val="none" w:sz="0" w:space="0" w:color="auto"/>
        <w:right w:val="none" w:sz="0" w:space="0" w:color="auto"/>
      </w:divBdr>
    </w:div>
    <w:div w:id="708142992">
      <w:bodyDiv w:val="1"/>
      <w:marLeft w:val="0"/>
      <w:marRight w:val="0"/>
      <w:marTop w:val="0"/>
      <w:marBottom w:val="0"/>
      <w:divBdr>
        <w:top w:val="none" w:sz="0" w:space="0" w:color="auto"/>
        <w:left w:val="none" w:sz="0" w:space="0" w:color="auto"/>
        <w:bottom w:val="none" w:sz="0" w:space="0" w:color="auto"/>
        <w:right w:val="none" w:sz="0" w:space="0" w:color="auto"/>
      </w:divBdr>
    </w:div>
    <w:div w:id="768279451">
      <w:bodyDiv w:val="1"/>
      <w:marLeft w:val="0"/>
      <w:marRight w:val="0"/>
      <w:marTop w:val="0"/>
      <w:marBottom w:val="0"/>
      <w:divBdr>
        <w:top w:val="none" w:sz="0" w:space="0" w:color="auto"/>
        <w:left w:val="none" w:sz="0" w:space="0" w:color="auto"/>
        <w:bottom w:val="none" w:sz="0" w:space="0" w:color="auto"/>
        <w:right w:val="none" w:sz="0" w:space="0" w:color="auto"/>
      </w:divBdr>
    </w:div>
    <w:div w:id="900289679">
      <w:bodyDiv w:val="1"/>
      <w:marLeft w:val="0"/>
      <w:marRight w:val="0"/>
      <w:marTop w:val="0"/>
      <w:marBottom w:val="0"/>
      <w:divBdr>
        <w:top w:val="none" w:sz="0" w:space="0" w:color="auto"/>
        <w:left w:val="none" w:sz="0" w:space="0" w:color="auto"/>
        <w:bottom w:val="none" w:sz="0" w:space="0" w:color="auto"/>
        <w:right w:val="none" w:sz="0" w:space="0" w:color="auto"/>
      </w:divBdr>
      <w:divsChild>
        <w:div w:id="1646204200">
          <w:marLeft w:val="0"/>
          <w:marRight w:val="0"/>
          <w:marTop w:val="0"/>
          <w:marBottom w:val="0"/>
          <w:divBdr>
            <w:top w:val="none" w:sz="0" w:space="0" w:color="auto"/>
            <w:left w:val="none" w:sz="0" w:space="0" w:color="auto"/>
            <w:bottom w:val="none" w:sz="0" w:space="0" w:color="auto"/>
            <w:right w:val="none" w:sz="0" w:space="0" w:color="auto"/>
          </w:divBdr>
        </w:div>
        <w:div w:id="615450739">
          <w:marLeft w:val="0"/>
          <w:marRight w:val="0"/>
          <w:marTop w:val="0"/>
          <w:marBottom w:val="0"/>
          <w:divBdr>
            <w:top w:val="none" w:sz="0" w:space="0" w:color="auto"/>
            <w:left w:val="none" w:sz="0" w:space="0" w:color="auto"/>
            <w:bottom w:val="none" w:sz="0" w:space="0" w:color="auto"/>
            <w:right w:val="none" w:sz="0" w:space="0" w:color="auto"/>
          </w:divBdr>
        </w:div>
        <w:div w:id="964501591">
          <w:marLeft w:val="0"/>
          <w:marRight w:val="0"/>
          <w:marTop w:val="0"/>
          <w:marBottom w:val="0"/>
          <w:divBdr>
            <w:top w:val="none" w:sz="0" w:space="0" w:color="auto"/>
            <w:left w:val="none" w:sz="0" w:space="0" w:color="auto"/>
            <w:bottom w:val="none" w:sz="0" w:space="0" w:color="auto"/>
            <w:right w:val="none" w:sz="0" w:space="0" w:color="auto"/>
          </w:divBdr>
        </w:div>
      </w:divsChild>
    </w:div>
    <w:div w:id="905648982">
      <w:bodyDiv w:val="1"/>
      <w:marLeft w:val="0"/>
      <w:marRight w:val="0"/>
      <w:marTop w:val="0"/>
      <w:marBottom w:val="0"/>
      <w:divBdr>
        <w:top w:val="none" w:sz="0" w:space="0" w:color="auto"/>
        <w:left w:val="none" w:sz="0" w:space="0" w:color="auto"/>
        <w:bottom w:val="none" w:sz="0" w:space="0" w:color="auto"/>
        <w:right w:val="none" w:sz="0" w:space="0" w:color="auto"/>
      </w:divBdr>
    </w:div>
    <w:div w:id="1318260885">
      <w:bodyDiv w:val="1"/>
      <w:marLeft w:val="0"/>
      <w:marRight w:val="0"/>
      <w:marTop w:val="0"/>
      <w:marBottom w:val="0"/>
      <w:divBdr>
        <w:top w:val="none" w:sz="0" w:space="0" w:color="auto"/>
        <w:left w:val="none" w:sz="0" w:space="0" w:color="auto"/>
        <w:bottom w:val="none" w:sz="0" w:space="0" w:color="auto"/>
        <w:right w:val="none" w:sz="0" w:space="0" w:color="auto"/>
      </w:divBdr>
    </w:div>
    <w:div w:id="1467966259">
      <w:bodyDiv w:val="1"/>
      <w:marLeft w:val="0"/>
      <w:marRight w:val="0"/>
      <w:marTop w:val="0"/>
      <w:marBottom w:val="0"/>
      <w:divBdr>
        <w:top w:val="none" w:sz="0" w:space="0" w:color="auto"/>
        <w:left w:val="none" w:sz="0" w:space="0" w:color="auto"/>
        <w:bottom w:val="none" w:sz="0" w:space="0" w:color="auto"/>
        <w:right w:val="none" w:sz="0" w:space="0" w:color="auto"/>
      </w:divBdr>
    </w:div>
    <w:div w:id="209770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AUTO/?uri=OJ:L:2019:135:TOC" TargetMode="External"/><Relationship Id="rId1" Type="http://schemas.openxmlformats.org/officeDocument/2006/relationships/hyperlink" Target="https://eur-lex.europa.eu/legal-content/SL/AUTO/?uri=OJ:L:2019:135: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7" ma:contentTypeDescription="Crée un document." ma:contentTypeScope="" ma:versionID="dc2f4626d67137780b08c2a7e9b000cb">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723a8bc546a816adb1c7177093903c4b"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0130C-A2DA-48C9-9464-810060B69084}">
  <ds:schemaRefs>
    <ds:schemaRef ds:uri="http://schemas.microsoft.com/sharepoint/v3/contenttype/forms"/>
  </ds:schemaRefs>
</ds:datastoreItem>
</file>

<file path=customXml/itemProps2.xml><?xml version="1.0" encoding="utf-8"?>
<ds:datastoreItem xmlns:ds="http://schemas.openxmlformats.org/officeDocument/2006/customXml" ds:itemID="{24F46FEB-191F-4390-B79A-1CCCD66FB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56D46-FC06-4E2C-B7DB-6E99CB91049A}">
  <ds:schemaRefs>
    <ds:schemaRef ds:uri="5843c966-cb45-4885-93fc-2ce78a94204b"/>
    <ds:schemaRef ds:uri="http://purl.org/dc/dcmitype/"/>
    <ds:schemaRef ds:uri="ac131f03-315b-4cd8-8e3a-6189969fd4f0"/>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7F545967-5AFA-44B6-BA1E-84D77AA6B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10</TotalTime>
  <Pages>15</Pages>
  <Words>7059</Words>
  <Characters>40241</Characters>
  <Application>Microsoft Office Word</Application>
  <DocSecurity>0</DocSecurity>
  <Lines>335</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Grgasović</dc:creator>
  <cp:keywords/>
  <dc:description/>
  <cp:lastModifiedBy>Mirjam Senčar </cp:lastModifiedBy>
  <cp:revision>8</cp:revision>
  <cp:lastPrinted>2022-11-21T13:10:00Z</cp:lastPrinted>
  <dcterms:created xsi:type="dcterms:W3CDTF">2024-08-12T09:39:00Z</dcterms:created>
  <dcterms:modified xsi:type="dcterms:W3CDTF">2024-08-22T10:39:00Z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ContentTypeId">
    <vt:lpwstr>0x010100199782AF6692CB4E8097BF428225D135</vt:lpwstr>
  </property>
  <property fmtid="{D5CDD505-2E9C-101B-9397-08002B2CF9AE}" pid="14" name="MSIP_Label_6bd9ddd1-4d20-43f6-abfa-fc3c07406f94_Enabled">
    <vt:lpwstr>true</vt:lpwstr>
  </property>
  <property fmtid="{D5CDD505-2E9C-101B-9397-08002B2CF9AE}" pid="15" name="MSIP_Label_6bd9ddd1-4d20-43f6-abfa-fc3c07406f94_SetDate">
    <vt:lpwstr>2022-08-23T10:50:18Z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d0a220a1-afb2-4b93-b3b6-3b67db7df70a</vt:lpwstr>
  </property>
  <property fmtid="{D5CDD505-2E9C-101B-9397-08002B2CF9AE}" pid="20" name="MSIP_Label_6bd9ddd1-4d20-43f6-abfa-fc3c07406f94_ContentBits">
    <vt:lpwstr>0</vt:lpwstr>
  </property>
  <property fmtid="{D5CDD505-2E9C-101B-9397-08002B2CF9AE}" pid="21" name="DQCStatus">
    <vt:lpwstr>Green (DQC version 03)</vt:lpwstr>
  </property>
</Properties>
</file>