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635" w:rsidRPr="00960381" w:rsidRDefault="00A85635" w:rsidP="00A85635">
      <w:pPr>
        <w:spacing w:after="0" w:line="276" w:lineRule="auto"/>
        <w:rPr>
          <w:rFonts w:eastAsia="Calibri" w:cstheme="minorHAnsi"/>
          <w:b/>
        </w:rPr>
      </w:pPr>
      <w:r w:rsidRPr="00960381">
        <w:rPr>
          <w:rFonts w:eastAsia="Calibri" w:cstheme="minorHAnsi"/>
          <w:b/>
        </w:rPr>
        <w:t>Priloga 2: Dodatno pojasnilo glede upoštevanja načela onesnaževalec plača</w:t>
      </w:r>
    </w:p>
    <w:p w:rsidR="00A85635" w:rsidRPr="00960381" w:rsidRDefault="00A85635" w:rsidP="00A85635">
      <w:pPr>
        <w:spacing w:after="0" w:line="276" w:lineRule="auto"/>
        <w:jc w:val="both"/>
        <w:rPr>
          <w:rFonts w:cstheme="minorHAnsi"/>
        </w:rPr>
      </w:pPr>
    </w:p>
    <w:p w:rsidR="00A85635" w:rsidRPr="00960381" w:rsidRDefault="00A85635" w:rsidP="00A85635">
      <w:pPr>
        <w:spacing w:after="0" w:line="276" w:lineRule="auto"/>
        <w:jc w:val="both"/>
        <w:rPr>
          <w:rFonts w:cstheme="minorHAnsi"/>
        </w:rPr>
      </w:pPr>
      <w:r w:rsidRPr="00960381">
        <w:rPr>
          <w:rFonts w:cstheme="minorHAnsi"/>
        </w:rPr>
        <w:t xml:space="preserve">Načelo “onesnaževalec plača” je opredeljeno v Direktivi 2004/35/ES Evropskega parlamenta in sveta z dne 21. aprila 2004 o </w:t>
      </w:r>
      <w:proofErr w:type="spellStart"/>
      <w:r w:rsidRPr="00960381">
        <w:rPr>
          <w:rFonts w:cstheme="minorHAnsi"/>
        </w:rPr>
        <w:t>okoljski</w:t>
      </w:r>
      <w:proofErr w:type="spellEnd"/>
      <w:r w:rsidRPr="00960381">
        <w:rPr>
          <w:rFonts w:cstheme="minorHAnsi"/>
        </w:rPr>
        <w:t xml:space="preserve"> odgovornosti v zvezi s preprečevanjem in sanacijo </w:t>
      </w:r>
      <w:proofErr w:type="spellStart"/>
      <w:r w:rsidRPr="00960381">
        <w:rPr>
          <w:rFonts w:cstheme="minorHAnsi"/>
        </w:rPr>
        <w:t>okoljske</w:t>
      </w:r>
      <w:proofErr w:type="spellEnd"/>
      <w:r w:rsidRPr="00960381">
        <w:rPr>
          <w:rFonts w:cstheme="minorHAnsi"/>
        </w:rPr>
        <w:t xml:space="preserve"> škode (v nadaljevanju: direktiva). Slednja določa, da mora povzročitelj </w:t>
      </w:r>
      <w:proofErr w:type="spellStart"/>
      <w:r w:rsidRPr="00960381">
        <w:rPr>
          <w:rFonts w:cstheme="minorHAnsi"/>
        </w:rPr>
        <w:t>okoljske</w:t>
      </w:r>
      <w:proofErr w:type="spellEnd"/>
      <w:r w:rsidRPr="00960381">
        <w:rPr>
          <w:rFonts w:cstheme="minorHAnsi"/>
        </w:rPr>
        <w:t xml:space="preserve"> škode (onesnaževalec) povrniti povzročeno </w:t>
      </w:r>
      <w:proofErr w:type="spellStart"/>
      <w:r w:rsidRPr="00960381">
        <w:rPr>
          <w:rFonts w:cstheme="minorHAnsi"/>
        </w:rPr>
        <w:t>okoljsko</w:t>
      </w:r>
      <w:proofErr w:type="spellEnd"/>
      <w:r w:rsidRPr="00960381">
        <w:rPr>
          <w:rFonts w:cstheme="minorHAnsi"/>
        </w:rPr>
        <w:t xml:space="preserve"> škodo. Prav tako pa določa, da se direktiva ne uporablja v primerih škode na okolju, ki je nastala pred 30. 4. 2007, ali je nastala zaradi dejavnosti, ki je potekala z dovoljenjem, izdanim v skladu z državnimi in evropskimi predpisi. </w:t>
      </w:r>
    </w:p>
    <w:p w:rsidR="00A85635" w:rsidRPr="00960381" w:rsidRDefault="00A85635" w:rsidP="00A85635">
      <w:pPr>
        <w:spacing w:after="0" w:line="276" w:lineRule="auto"/>
        <w:jc w:val="both"/>
        <w:rPr>
          <w:rFonts w:cstheme="minorHAnsi"/>
        </w:rPr>
      </w:pPr>
    </w:p>
    <w:p w:rsidR="00A85635" w:rsidRPr="00960381" w:rsidRDefault="00A85635" w:rsidP="00A85635">
      <w:pPr>
        <w:numPr>
          <w:ilvl w:val="0"/>
          <w:numId w:val="1"/>
        </w:numPr>
        <w:spacing w:before="120" w:after="0" w:line="276" w:lineRule="auto"/>
        <w:contextualSpacing/>
        <w:jc w:val="both"/>
        <w:rPr>
          <w:rFonts w:cstheme="minorHAnsi"/>
          <w:b/>
        </w:rPr>
      </w:pPr>
      <w:r w:rsidRPr="00960381">
        <w:rPr>
          <w:rFonts w:cstheme="minorHAnsi"/>
          <w:b/>
        </w:rPr>
        <w:t>Pričetek obremenilnih vplivov na okolje kot posledica izkopavanja in uporabe premoga</w:t>
      </w:r>
    </w:p>
    <w:p w:rsidR="00A85635" w:rsidRPr="00960381" w:rsidRDefault="00A85635" w:rsidP="00A85635">
      <w:pPr>
        <w:spacing w:after="0" w:line="276" w:lineRule="auto"/>
        <w:jc w:val="both"/>
        <w:rPr>
          <w:rFonts w:cstheme="minorHAnsi"/>
        </w:rPr>
      </w:pPr>
      <w:r w:rsidRPr="00960381">
        <w:rPr>
          <w:rFonts w:cstheme="minorHAnsi"/>
        </w:rPr>
        <w:t xml:space="preserve">Industrijsko se je pričelo v regiji pridobivati lignit konec 19. stoletja, leta 1905 pa je bila v bližini premogovnika zgrajena prva termoelektrarna. Pridobivanje premoga je doživelo razmah po drugi svetovni vojni. Neposredno vidne posledice delovanja premogovnika so se na okolju odrazile predvsem v ugrezninah, zaradi katerih so nastala tudi tri umetna jezera (Velenjsko, Škalsko in Družmirsko). Zaradi potrebe po vzdrževanju pregrade med Velenjskim in Družmirskim jezerom so se za utrjevanje terena uporabljali tudi elektrofiltrski pepel oziroma kompozitni materiali, ki vsebujejo elektrofiltrski pepel. Velenjsko jezero, skladno z Uredbo o stanju površinskih voda (Uradni list RS, št. 14/09, 98/10, 96/13, 24/16 in 44/22 – ZVO-2), že pred 30. 4. 2007 ni dosegalo dobrega ekološkega stanja zaradi posebnih onesnaževal. Glede na zgodovinsko delovanje premogovnika je glavnina negativnih vplivov na okolje  nastala pred 30. 4. 2007, vendar pa tako premogovništvo, kot tudi proizvodnja električne energije še vedno potekata. Zaradi navedenega se do natančnega obsega negativnih vplivov na okolje, ki so nastali po 30. 4. 2007, ni mogoče  opredeliti. Poleg tega država ugotavlja, da dejavnosti ni mogoče v celoti ali delno izvesti na stroške onesnaževalca v skladu z obstoječimi pravnimi obveznostmi, ki veljajo za onesnaževalca, na primer v skladu s pogoji iz okoljevarstvenega dovoljenja ali obveznostmi izvajalcev iz direktive o </w:t>
      </w:r>
      <w:proofErr w:type="spellStart"/>
      <w:r w:rsidRPr="00960381">
        <w:rPr>
          <w:rFonts w:cstheme="minorHAnsi"/>
        </w:rPr>
        <w:t>okoljski</w:t>
      </w:r>
      <w:proofErr w:type="spellEnd"/>
      <w:r w:rsidRPr="00960381">
        <w:rPr>
          <w:rFonts w:cstheme="minorHAnsi"/>
        </w:rPr>
        <w:t xml:space="preserve"> odgovornosti (2004/35/ES).</w:t>
      </w:r>
    </w:p>
    <w:p w:rsidR="00A85635" w:rsidRPr="00960381" w:rsidRDefault="00A85635" w:rsidP="00A85635">
      <w:pPr>
        <w:spacing w:after="0" w:line="276" w:lineRule="auto"/>
        <w:jc w:val="both"/>
        <w:rPr>
          <w:rFonts w:cstheme="minorHAnsi"/>
        </w:rPr>
      </w:pPr>
    </w:p>
    <w:p w:rsidR="00A85635" w:rsidRPr="00960381" w:rsidRDefault="00A85635" w:rsidP="00A85635">
      <w:pPr>
        <w:numPr>
          <w:ilvl w:val="0"/>
          <w:numId w:val="1"/>
        </w:numPr>
        <w:spacing w:before="120" w:after="0" w:line="276" w:lineRule="auto"/>
        <w:contextualSpacing/>
        <w:jc w:val="both"/>
        <w:rPr>
          <w:rFonts w:cstheme="minorHAnsi"/>
          <w:b/>
        </w:rPr>
      </w:pPr>
      <w:r w:rsidRPr="00960381">
        <w:rPr>
          <w:rFonts w:cstheme="minorHAnsi"/>
          <w:b/>
        </w:rPr>
        <w:t>Načelo »onesnaževalec plača« in energetski projekti na lokaciji TEŠ v ONPP SAŠA - razgradnja in sprememba namena na lokacijah blokov 1-3 TEŠ, blok 4 TEŠ, hladilni stolp bloka 4 TEŠ (v nadaljevanju bloki 1-4 TEŠ), potrebna za izvedbo naložb v dvig proizvodnih zmogljivosti iz OVE</w:t>
      </w:r>
    </w:p>
    <w:p w:rsidR="00A85635" w:rsidRPr="00960381" w:rsidRDefault="00A85635" w:rsidP="00A85635">
      <w:pPr>
        <w:spacing w:after="0" w:line="276" w:lineRule="auto"/>
        <w:jc w:val="both"/>
        <w:rPr>
          <w:rFonts w:cstheme="minorHAnsi"/>
        </w:rPr>
      </w:pPr>
      <w:r w:rsidRPr="00960381">
        <w:rPr>
          <w:rFonts w:cstheme="minorHAnsi"/>
        </w:rPr>
        <w:t xml:space="preserve">Evropska komisija v dokumentu SWD(2021) 275 </w:t>
      </w:r>
      <w:proofErr w:type="spellStart"/>
      <w:r w:rsidRPr="00960381">
        <w:rPr>
          <w:rFonts w:cstheme="minorHAnsi"/>
        </w:rPr>
        <w:t>final</w:t>
      </w:r>
      <w:proofErr w:type="spellEnd"/>
      <w:r w:rsidRPr="00960381">
        <w:rPr>
          <w:rFonts w:cstheme="minorHAnsi"/>
        </w:rPr>
        <w:t xml:space="preserve"> »</w:t>
      </w:r>
      <w:proofErr w:type="spellStart"/>
      <w:r w:rsidRPr="00960381">
        <w:rPr>
          <w:rFonts w:cstheme="minorHAnsi"/>
        </w:rPr>
        <w:t>Commission</w:t>
      </w:r>
      <w:proofErr w:type="spellEnd"/>
      <w:r w:rsidRPr="00960381">
        <w:rPr>
          <w:rFonts w:cstheme="minorHAnsi"/>
        </w:rPr>
        <w:t xml:space="preserve"> </w:t>
      </w:r>
      <w:proofErr w:type="spellStart"/>
      <w:r w:rsidRPr="00960381">
        <w:rPr>
          <w:rFonts w:cstheme="minorHAnsi"/>
        </w:rPr>
        <w:t>Staff</w:t>
      </w:r>
      <w:proofErr w:type="spellEnd"/>
      <w:r w:rsidRPr="00960381">
        <w:rPr>
          <w:rFonts w:cstheme="minorHAnsi"/>
        </w:rPr>
        <w:t xml:space="preserve"> </w:t>
      </w:r>
      <w:proofErr w:type="spellStart"/>
      <w:r w:rsidRPr="00960381">
        <w:rPr>
          <w:rFonts w:cstheme="minorHAnsi"/>
        </w:rPr>
        <w:t>Working</w:t>
      </w:r>
      <w:proofErr w:type="spellEnd"/>
      <w:r w:rsidRPr="00960381">
        <w:rPr>
          <w:rFonts w:cstheme="minorHAnsi"/>
        </w:rPr>
        <w:t xml:space="preserve"> </w:t>
      </w:r>
      <w:proofErr w:type="spellStart"/>
      <w:r w:rsidRPr="00960381">
        <w:rPr>
          <w:rFonts w:cstheme="minorHAnsi"/>
        </w:rPr>
        <w:t>Document</w:t>
      </w:r>
      <w:proofErr w:type="spellEnd"/>
      <w:r w:rsidRPr="00960381">
        <w:rPr>
          <w:rFonts w:cstheme="minorHAnsi"/>
        </w:rPr>
        <w:t xml:space="preserve"> on </w:t>
      </w:r>
      <w:proofErr w:type="spellStart"/>
      <w:r w:rsidRPr="00960381">
        <w:rPr>
          <w:rFonts w:cstheme="minorHAnsi"/>
        </w:rPr>
        <w:t>the</w:t>
      </w:r>
      <w:proofErr w:type="spellEnd"/>
      <w:r w:rsidRPr="00960381">
        <w:rPr>
          <w:rFonts w:cstheme="minorHAnsi"/>
        </w:rPr>
        <w:t xml:space="preserve"> </w:t>
      </w:r>
      <w:proofErr w:type="spellStart"/>
      <w:r w:rsidRPr="00960381">
        <w:rPr>
          <w:rFonts w:cstheme="minorHAnsi"/>
        </w:rPr>
        <w:t>territorial</w:t>
      </w:r>
      <w:proofErr w:type="spellEnd"/>
      <w:r w:rsidRPr="00960381">
        <w:rPr>
          <w:rFonts w:cstheme="minorHAnsi"/>
        </w:rPr>
        <w:t xml:space="preserve"> </w:t>
      </w:r>
      <w:proofErr w:type="spellStart"/>
      <w:r w:rsidRPr="00960381">
        <w:rPr>
          <w:rFonts w:cstheme="minorHAnsi"/>
        </w:rPr>
        <w:t>just</w:t>
      </w:r>
      <w:proofErr w:type="spellEnd"/>
      <w:r w:rsidRPr="00960381">
        <w:rPr>
          <w:rFonts w:cstheme="minorHAnsi"/>
        </w:rPr>
        <w:t xml:space="preserve"> </w:t>
      </w:r>
      <w:proofErr w:type="spellStart"/>
      <w:r w:rsidRPr="00960381">
        <w:rPr>
          <w:rFonts w:cstheme="minorHAnsi"/>
        </w:rPr>
        <w:t>transition</w:t>
      </w:r>
      <w:proofErr w:type="spellEnd"/>
      <w:r w:rsidRPr="00960381">
        <w:rPr>
          <w:rFonts w:cstheme="minorHAnsi"/>
        </w:rPr>
        <w:t xml:space="preserve"> </w:t>
      </w:r>
      <w:proofErr w:type="spellStart"/>
      <w:r w:rsidRPr="00960381">
        <w:rPr>
          <w:rFonts w:cstheme="minorHAnsi"/>
        </w:rPr>
        <w:t>plans</w:t>
      </w:r>
      <w:proofErr w:type="spellEnd"/>
      <w:r w:rsidRPr="00960381">
        <w:rPr>
          <w:rFonts w:cstheme="minorHAnsi"/>
        </w:rPr>
        <w:t xml:space="preserve">« države napotuje, da pri naslavljanju </w:t>
      </w:r>
      <w:proofErr w:type="spellStart"/>
      <w:r w:rsidRPr="00960381">
        <w:rPr>
          <w:rFonts w:cstheme="minorHAnsi"/>
        </w:rPr>
        <w:t>okoljskih</w:t>
      </w:r>
      <w:proofErr w:type="spellEnd"/>
      <w:r w:rsidRPr="00960381">
        <w:rPr>
          <w:rFonts w:cstheme="minorHAnsi"/>
        </w:rPr>
        <w:t xml:space="preserve"> učinkov, povezanih s prehodom, še posebej pri prenehanju izkopavanja, zaprtju rudnika ali prenehanju obratovanja elektrarn, ki imajo lahko za posledico določena zdravstvena tveganja, upoštevajo načelo »onesnaževalec plača«, skladno s členom 191 Pogodbe o delovanju Evropske unije (PDEU). </w:t>
      </w:r>
    </w:p>
    <w:p w:rsidR="00A85635" w:rsidRPr="00960381" w:rsidRDefault="00A85635" w:rsidP="00A85635">
      <w:pPr>
        <w:spacing w:after="0" w:line="276" w:lineRule="auto"/>
        <w:jc w:val="both"/>
        <w:rPr>
          <w:rFonts w:cstheme="minorHAnsi"/>
        </w:rPr>
      </w:pPr>
      <w:r w:rsidRPr="00960381">
        <w:rPr>
          <w:rFonts w:cstheme="minorHAnsi"/>
        </w:rPr>
        <w:t xml:space="preserve">Nadalje Komisija glede dejavnosti iz  člena 8(2)(i) Uredbe 2021/1056 o vzpostavitvi Sklada za pravični prehod, to so naložbe v obnovo in dekontaminacijo degradiranih območij, sanacijo tal za rabo ter po potrebi projekte za zeleno infrastrukturo in za spremembo namena, ob upoštevanju načela »onesnaževalec plača«, državam nalaga, da preverijo, če ni možno teh aktivnosti v celoti ali deloma izvesti na račun onesnaževalca na osnovi obstoječih pravnih obveznosti, ki veljajo za onesnaževalca, npr. na osnovi pogojev okoljevarstvenega dovoljenja ali na osnovi obveznosti, ki jih za upravljavce določa Direktiva 2004/35/ES o </w:t>
      </w:r>
      <w:proofErr w:type="spellStart"/>
      <w:r w:rsidRPr="00960381">
        <w:rPr>
          <w:rFonts w:cstheme="minorHAnsi"/>
        </w:rPr>
        <w:t>okoljski</w:t>
      </w:r>
      <w:proofErr w:type="spellEnd"/>
      <w:r w:rsidRPr="00960381">
        <w:rPr>
          <w:rFonts w:cstheme="minorHAnsi"/>
        </w:rPr>
        <w:t xml:space="preserve"> odgovornosti v zvezi s preprečevanjem in sanacijo škode. </w:t>
      </w:r>
    </w:p>
    <w:p w:rsidR="00A85635" w:rsidRPr="00960381" w:rsidRDefault="00A85635" w:rsidP="00A85635">
      <w:pPr>
        <w:spacing w:after="0" w:line="276" w:lineRule="auto"/>
        <w:jc w:val="both"/>
        <w:rPr>
          <w:rFonts w:cstheme="minorHAnsi"/>
        </w:rPr>
      </w:pPr>
    </w:p>
    <w:p w:rsidR="00A85635" w:rsidRPr="00960381" w:rsidRDefault="00A85635" w:rsidP="00A85635">
      <w:pPr>
        <w:numPr>
          <w:ilvl w:val="0"/>
          <w:numId w:val="1"/>
        </w:numPr>
        <w:spacing w:before="120" w:after="0" w:line="276" w:lineRule="auto"/>
        <w:contextualSpacing/>
        <w:jc w:val="both"/>
        <w:rPr>
          <w:rFonts w:cstheme="minorHAnsi"/>
          <w:b/>
        </w:rPr>
      </w:pPr>
      <w:r w:rsidRPr="00960381">
        <w:rPr>
          <w:rFonts w:cstheme="minorHAnsi"/>
          <w:b/>
        </w:rPr>
        <w:t>Načelo »onesnaževalec plača«, začetek obratovanja blokov 1-4 TEŠ in okoljevarstveno dovoljenje za bloke 1-4 TEŠ</w:t>
      </w:r>
    </w:p>
    <w:p w:rsidR="00A85635" w:rsidRPr="00960381" w:rsidRDefault="00A85635" w:rsidP="00A85635">
      <w:pPr>
        <w:spacing w:after="0" w:line="276" w:lineRule="auto"/>
        <w:jc w:val="both"/>
        <w:rPr>
          <w:rFonts w:cstheme="minorHAnsi"/>
        </w:rPr>
      </w:pPr>
      <w:r w:rsidRPr="00960381">
        <w:rPr>
          <w:rFonts w:cstheme="minorHAnsi"/>
        </w:rPr>
        <w:lastRenderedPageBreak/>
        <w:t xml:space="preserve">Načelo »onesnaževalec plača« je opredeljeno v členu 191(2) PDEU iz leta 2007, ki je bil z enako vsebino vključen že v Pogodbo o Evropski skupnosti kot člen 174. Slovenija je postala članica EU v letu 2004 in s tem prevzela tudi celoten takrat veljavni </w:t>
      </w:r>
      <w:proofErr w:type="spellStart"/>
      <w:r w:rsidRPr="00960381">
        <w:rPr>
          <w:rFonts w:cstheme="minorHAnsi"/>
        </w:rPr>
        <w:t>okoljski</w:t>
      </w:r>
      <w:proofErr w:type="spellEnd"/>
      <w:r w:rsidRPr="00960381">
        <w:rPr>
          <w:rFonts w:cstheme="minorHAnsi"/>
        </w:rPr>
        <w:t xml:space="preserve"> </w:t>
      </w:r>
      <w:proofErr w:type="spellStart"/>
      <w:r w:rsidRPr="00960381">
        <w:rPr>
          <w:rFonts w:cstheme="minorHAnsi"/>
        </w:rPr>
        <w:t>acquis</w:t>
      </w:r>
      <w:proofErr w:type="spellEnd"/>
      <w:r w:rsidRPr="00960381">
        <w:rPr>
          <w:rFonts w:cstheme="minorHAnsi"/>
        </w:rPr>
        <w:t>. Bloki 1-4 TEŠ, katerih lokacije so za dejavnosti spremembe namena vključene v predlog ONPP SAŠA, so z obratovanjem pričeli več desetletij pred tem, kot izhaja iz spodnje tabele:</w:t>
      </w:r>
    </w:p>
    <w:tbl>
      <w:tblPr>
        <w:tblStyle w:val="Tabelamrea"/>
        <w:tblW w:w="0" w:type="auto"/>
        <w:tblInd w:w="0" w:type="dxa"/>
        <w:tblLook w:val="04A0" w:firstRow="1" w:lastRow="0" w:firstColumn="1" w:lastColumn="0" w:noHBand="0" w:noVBand="1"/>
      </w:tblPr>
      <w:tblGrid>
        <w:gridCol w:w="3020"/>
        <w:gridCol w:w="3021"/>
        <w:gridCol w:w="3021"/>
      </w:tblGrid>
      <w:tr w:rsidR="00A85635" w:rsidRPr="00960381" w:rsidTr="002E29C3">
        <w:tc>
          <w:tcPr>
            <w:tcW w:w="3020" w:type="dxa"/>
          </w:tcPr>
          <w:p w:rsidR="00A85635" w:rsidRPr="00960381" w:rsidRDefault="00A85635" w:rsidP="002E29C3">
            <w:pPr>
              <w:spacing w:line="276" w:lineRule="auto"/>
              <w:jc w:val="both"/>
              <w:rPr>
                <w:rFonts w:cstheme="minorHAnsi"/>
              </w:rPr>
            </w:pPr>
            <w:r w:rsidRPr="00960381">
              <w:rPr>
                <w:rFonts w:cstheme="minorHAnsi"/>
              </w:rPr>
              <w:t>BLOK</w:t>
            </w:r>
          </w:p>
        </w:tc>
        <w:tc>
          <w:tcPr>
            <w:tcW w:w="3021" w:type="dxa"/>
          </w:tcPr>
          <w:p w:rsidR="00A85635" w:rsidRPr="00960381" w:rsidRDefault="00A85635" w:rsidP="002E29C3">
            <w:pPr>
              <w:spacing w:line="276" w:lineRule="auto"/>
              <w:jc w:val="both"/>
              <w:rPr>
                <w:rFonts w:cstheme="minorHAnsi"/>
              </w:rPr>
            </w:pPr>
            <w:r w:rsidRPr="00960381">
              <w:rPr>
                <w:rFonts w:cstheme="minorHAnsi"/>
              </w:rPr>
              <w:t>PRIČETEK OBRATOVANJA</w:t>
            </w:r>
          </w:p>
        </w:tc>
        <w:tc>
          <w:tcPr>
            <w:tcW w:w="3021" w:type="dxa"/>
          </w:tcPr>
          <w:p w:rsidR="00A85635" w:rsidRPr="00960381" w:rsidRDefault="00A85635" w:rsidP="002E29C3">
            <w:pPr>
              <w:spacing w:line="276" w:lineRule="auto"/>
              <w:jc w:val="both"/>
              <w:rPr>
                <w:rFonts w:cstheme="minorHAnsi"/>
              </w:rPr>
            </w:pPr>
            <w:r w:rsidRPr="00960381">
              <w:rPr>
                <w:rFonts w:cstheme="minorHAnsi"/>
              </w:rPr>
              <w:t>ZAKLJUČEK OBRATOVANJA</w:t>
            </w:r>
          </w:p>
        </w:tc>
      </w:tr>
      <w:tr w:rsidR="00A85635" w:rsidRPr="00960381" w:rsidTr="002E29C3">
        <w:tc>
          <w:tcPr>
            <w:tcW w:w="3020" w:type="dxa"/>
          </w:tcPr>
          <w:p w:rsidR="00A85635" w:rsidRPr="00960381" w:rsidRDefault="00A85635" w:rsidP="002E29C3">
            <w:pPr>
              <w:spacing w:line="276" w:lineRule="auto"/>
              <w:jc w:val="both"/>
              <w:rPr>
                <w:rFonts w:cstheme="minorHAnsi"/>
              </w:rPr>
            </w:pPr>
            <w:r w:rsidRPr="00960381">
              <w:rPr>
                <w:rFonts w:cstheme="minorHAnsi"/>
              </w:rPr>
              <w:t>1</w:t>
            </w:r>
          </w:p>
        </w:tc>
        <w:tc>
          <w:tcPr>
            <w:tcW w:w="3021" w:type="dxa"/>
          </w:tcPr>
          <w:p w:rsidR="00A85635" w:rsidRPr="00960381" w:rsidRDefault="00A85635" w:rsidP="002E29C3">
            <w:pPr>
              <w:spacing w:line="276" w:lineRule="auto"/>
              <w:jc w:val="both"/>
              <w:rPr>
                <w:rFonts w:cstheme="minorHAnsi"/>
              </w:rPr>
            </w:pPr>
            <w:r w:rsidRPr="00960381">
              <w:rPr>
                <w:rFonts w:cstheme="minorHAnsi"/>
              </w:rPr>
              <w:t>1956</w:t>
            </w:r>
          </w:p>
        </w:tc>
        <w:tc>
          <w:tcPr>
            <w:tcW w:w="3021" w:type="dxa"/>
          </w:tcPr>
          <w:p w:rsidR="00A85635" w:rsidRPr="00960381" w:rsidRDefault="00A85635" w:rsidP="002E29C3">
            <w:pPr>
              <w:spacing w:line="276" w:lineRule="auto"/>
              <w:jc w:val="both"/>
              <w:rPr>
                <w:rFonts w:cstheme="minorHAnsi"/>
              </w:rPr>
            </w:pPr>
            <w:r w:rsidRPr="00960381">
              <w:rPr>
                <w:rFonts w:cstheme="minorHAnsi"/>
              </w:rPr>
              <w:t>2010</w:t>
            </w:r>
          </w:p>
        </w:tc>
      </w:tr>
      <w:tr w:rsidR="00A85635" w:rsidRPr="00960381" w:rsidTr="002E29C3">
        <w:tc>
          <w:tcPr>
            <w:tcW w:w="3020" w:type="dxa"/>
          </w:tcPr>
          <w:p w:rsidR="00A85635" w:rsidRPr="00960381" w:rsidRDefault="00A85635" w:rsidP="002E29C3">
            <w:pPr>
              <w:spacing w:line="276" w:lineRule="auto"/>
              <w:jc w:val="both"/>
              <w:rPr>
                <w:rFonts w:cstheme="minorHAnsi"/>
              </w:rPr>
            </w:pPr>
            <w:r w:rsidRPr="00960381">
              <w:rPr>
                <w:rFonts w:cstheme="minorHAnsi"/>
              </w:rPr>
              <w:t>2</w:t>
            </w:r>
          </w:p>
        </w:tc>
        <w:tc>
          <w:tcPr>
            <w:tcW w:w="3021" w:type="dxa"/>
          </w:tcPr>
          <w:p w:rsidR="00A85635" w:rsidRPr="00960381" w:rsidRDefault="00A85635" w:rsidP="002E29C3">
            <w:pPr>
              <w:spacing w:line="276" w:lineRule="auto"/>
              <w:jc w:val="both"/>
              <w:rPr>
                <w:rFonts w:cstheme="minorHAnsi"/>
              </w:rPr>
            </w:pPr>
            <w:r w:rsidRPr="00960381">
              <w:rPr>
                <w:rFonts w:cstheme="minorHAnsi"/>
              </w:rPr>
              <w:t>1956</w:t>
            </w:r>
          </w:p>
        </w:tc>
        <w:tc>
          <w:tcPr>
            <w:tcW w:w="3021" w:type="dxa"/>
          </w:tcPr>
          <w:p w:rsidR="00A85635" w:rsidRPr="00960381" w:rsidRDefault="00A85635" w:rsidP="002E29C3">
            <w:pPr>
              <w:spacing w:line="276" w:lineRule="auto"/>
              <w:jc w:val="both"/>
              <w:rPr>
                <w:rFonts w:cstheme="minorHAnsi"/>
              </w:rPr>
            </w:pPr>
            <w:r w:rsidRPr="00960381">
              <w:rPr>
                <w:rFonts w:cstheme="minorHAnsi"/>
              </w:rPr>
              <w:t>2008</w:t>
            </w:r>
          </w:p>
        </w:tc>
      </w:tr>
      <w:tr w:rsidR="00A85635" w:rsidRPr="00960381" w:rsidTr="002E29C3">
        <w:tc>
          <w:tcPr>
            <w:tcW w:w="3020" w:type="dxa"/>
          </w:tcPr>
          <w:p w:rsidR="00A85635" w:rsidRPr="00960381" w:rsidRDefault="00A85635" w:rsidP="002E29C3">
            <w:pPr>
              <w:spacing w:line="276" w:lineRule="auto"/>
              <w:jc w:val="both"/>
              <w:rPr>
                <w:rFonts w:cstheme="minorHAnsi"/>
              </w:rPr>
            </w:pPr>
            <w:r w:rsidRPr="00960381">
              <w:rPr>
                <w:rFonts w:cstheme="minorHAnsi"/>
              </w:rPr>
              <w:t>3</w:t>
            </w:r>
          </w:p>
        </w:tc>
        <w:tc>
          <w:tcPr>
            <w:tcW w:w="3021" w:type="dxa"/>
          </w:tcPr>
          <w:p w:rsidR="00A85635" w:rsidRPr="00960381" w:rsidRDefault="00A85635" w:rsidP="002E29C3">
            <w:pPr>
              <w:spacing w:line="276" w:lineRule="auto"/>
              <w:jc w:val="both"/>
              <w:rPr>
                <w:rFonts w:cstheme="minorHAnsi"/>
              </w:rPr>
            </w:pPr>
            <w:r w:rsidRPr="00960381">
              <w:rPr>
                <w:rFonts w:cstheme="minorHAnsi"/>
              </w:rPr>
              <w:t>1960</w:t>
            </w:r>
          </w:p>
        </w:tc>
        <w:tc>
          <w:tcPr>
            <w:tcW w:w="3021" w:type="dxa"/>
          </w:tcPr>
          <w:p w:rsidR="00A85635" w:rsidRPr="00960381" w:rsidRDefault="00A85635" w:rsidP="002E29C3">
            <w:pPr>
              <w:spacing w:line="276" w:lineRule="auto"/>
              <w:jc w:val="both"/>
              <w:rPr>
                <w:rFonts w:cstheme="minorHAnsi"/>
              </w:rPr>
            </w:pPr>
            <w:r w:rsidRPr="00960381">
              <w:rPr>
                <w:rFonts w:cstheme="minorHAnsi"/>
              </w:rPr>
              <w:t>2014</w:t>
            </w:r>
          </w:p>
        </w:tc>
      </w:tr>
      <w:tr w:rsidR="00A85635" w:rsidRPr="00960381" w:rsidTr="002E29C3">
        <w:tc>
          <w:tcPr>
            <w:tcW w:w="3020" w:type="dxa"/>
          </w:tcPr>
          <w:p w:rsidR="00A85635" w:rsidRPr="00960381" w:rsidRDefault="00A85635" w:rsidP="002E29C3">
            <w:pPr>
              <w:spacing w:line="276" w:lineRule="auto"/>
              <w:jc w:val="both"/>
              <w:rPr>
                <w:rFonts w:cstheme="minorHAnsi"/>
              </w:rPr>
            </w:pPr>
            <w:r w:rsidRPr="00960381">
              <w:rPr>
                <w:rFonts w:cstheme="minorHAnsi"/>
              </w:rPr>
              <w:t>4</w:t>
            </w:r>
          </w:p>
        </w:tc>
        <w:tc>
          <w:tcPr>
            <w:tcW w:w="3021" w:type="dxa"/>
          </w:tcPr>
          <w:p w:rsidR="00A85635" w:rsidRPr="00960381" w:rsidRDefault="00A85635" w:rsidP="002E29C3">
            <w:pPr>
              <w:spacing w:line="276" w:lineRule="auto"/>
              <w:jc w:val="both"/>
              <w:rPr>
                <w:rFonts w:cstheme="minorHAnsi"/>
              </w:rPr>
            </w:pPr>
            <w:r w:rsidRPr="00960381">
              <w:rPr>
                <w:rFonts w:cstheme="minorHAnsi"/>
              </w:rPr>
              <w:t>1972</w:t>
            </w:r>
          </w:p>
        </w:tc>
        <w:tc>
          <w:tcPr>
            <w:tcW w:w="3021" w:type="dxa"/>
          </w:tcPr>
          <w:p w:rsidR="00A85635" w:rsidRPr="00960381" w:rsidRDefault="00A85635" w:rsidP="002E29C3">
            <w:pPr>
              <w:spacing w:line="276" w:lineRule="auto"/>
              <w:jc w:val="both"/>
              <w:rPr>
                <w:rFonts w:cstheme="minorHAnsi"/>
              </w:rPr>
            </w:pPr>
            <w:r w:rsidRPr="00960381">
              <w:rPr>
                <w:rFonts w:cstheme="minorHAnsi"/>
              </w:rPr>
              <w:t>2018</w:t>
            </w:r>
          </w:p>
        </w:tc>
      </w:tr>
    </w:tbl>
    <w:p w:rsidR="00A85635" w:rsidRPr="00960381" w:rsidRDefault="00A85635" w:rsidP="00A85635">
      <w:pPr>
        <w:spacing w:after="0" w:line="276" w:lineRule="auto"/>
        <w:jc w:val="both"/>
        <w:rPr>
          <w:rFonts w:cstheme="minorHAnsi"/>
        </w:rPr>
      </w:pPr>
    </w:p>
    <w:p w:rsidR="00A85635" w:rsidRPr="00960381" w:rsidRDefault="00A85635" w:rsidP="00A85635">
      <w:pPr>
        <w:spacing w:after="0" w:line="276" w:lineRule="auto"/>
        <w:jc w:val="both"/>
        <w:rPr>
          <w:rFonts w:cstheme="minorHAnsi"/>
        </w:rPr>
      </w:pPr>
      <w:r w:rsidRPr="00960381">
        <w:rPr>
          <w:rFonts w:cstheme="minorHAnsi"/>
        </w:rPr>
        <w:t xml:space="preserve">Načelo »onesnaževalec plača«, kot izhaja iz 191. člena PDEU, posledično v taki obliki ni bilo del veljavne nacionalne zakonodaje ob začetku obratovanja blokov 1-4 TEŠ. Zahteve iz okoljevarstvenega dovoljenja za bloke 1-4, ki se nanašajo na ukrepe po prenehanju obratovanja naprave, določajo, da mora upravljavec vse nevarne snovi in odpadke, ki se nahajajo v napravi ali so nastale zaradi delovanja naprave, odstraniti skladno s predpisi, ki urejajo področje ravnanja z nevarnimi snovmi in odpadki ter izvesti monitoring onesnaženosti tal in v primeru prekomerne onesnaženosti zemljine izvesti sanacijo zemljine skladno z veljavnimi predpisi. Navedeni ukrepi se že izvajajo in ne bodo del projektov razgradnje in spremembe namena v okviru ONPP SAŠA, saj se ti nanašajo prvenstveno na rušitev objektov za potrebo izvedbe naložb v dvig proizvodnih zmogljivosti iz OVE na tej lokaciji. Sredstva Sklada za pravični prehod se tako ne bodo uporabila za financiranje ukrepov, ki so zahtevani v okoljevarstvenem dovoljenju po prenehanju obratovanja naprave. Projektov za spremembo namena na lokacijah blokov 1-4 torej ni možno izvesti na račun onesnaževalca na osnovi pogojev okoljevarstvenih dovoljenj za bloke 1-4. Naprave so tekom svoje življenjske dobe delovale skladno s takrat veljavno zakonodajo in pogoji iz okoljevarstvenega dovoljenja, vse emisije ali vplivi na okolje so bili skladni z v naprej določenimi parametri iz okoljevarstvenega dovoljenja. </w:t>
      </w:r>
    </w:p>
    <w:p w:rsidR="00A85635" w:rsidRPr="00960381" w:rsidRDefault="00A85635" w:rsidP="00A85635">
      <w:pPr>
        <w:spacing w:after="0" w:line="276" w:lineRule="auto"/>
        <w:jc w:val="both"/>
        <w:rPr>
          <w:rFonts w:cstheme="minorHAnsi"/>
        </w:rPr>
      </w:pPr>
    </w:p>
    <w:p w:rsidR="00A85635" w:rsidRPr="00960381" w:rsidRDefault="00A85635" w:rsidP="00A85635">
      <w:pPr>
        <w:numPr>
          <w:ilvl w:val="0"/>
          <w:numId w:val="1"/>
        </w:numPr>
        <w:spacing w:before="120" w:after="0" w:line="276" w:lineRule="auto"/>
        <w:contextualSpacing/>
        <w:jc w:val="both"/>
        <w:rPr>
          <w:rFonts w:cstheme="minorHAnsi"/>
          <w:b/>
        </w:rPr>
      </w:pPr>
      <w:r w:rsidRPr="00960381">
        <w:rPr>
          <w:rFonts w:cstheme="minorHAnsi"/>
          <w:b/>
        </w:rPr>
        <w:t>Relevantnost Direktive 2004/35/ES za izvedbo projektov razgradnje in spremembe namena na lokacijah blokov 1-4 TEŠ</w:t>
      </w:r>
    </w:p>
    <w:p w:rsidR="00A85635" w:rsidRPr="00960381" w:rsidRDefault="00A85635" w:rsidP="00A85635">
      <w:pPr>
        <w:spacing w:after="0" w:line="276" w:lineRule="auto"/>
        <w:jc w:val="both"/>
        <w:rPr>
          <w:rFonts w:cstheme="minorHAnsi"/>
        </w:rPr>
      </w:pPr>
      <w:r w:rsidRPr="00960381">
        <w:rPr>
          <w:rFonts w:cstheme="minorHAnsi"/>
        </w:rPr>
        <w:t xml:space="preserve">Nadalje Komisija državam nalaga, da preverijo, ali bi se lahko dejavnosti iz člena 8(2)(i) Uredbe 2021/1056 izvedle na račun onesnaževalca na osnovi Direktive 2004/35/ES o </w:t>
      </w:r>
      <w:proofErr w:type="spellStart"/>
      <w:r w:rsidRPr="00960381">
        <w:rPr>
          <w:rFonts w:cstheme="minorHAnsi"/>
        </w:rPr>
        <w:t>okoljski</w:t>
      </w:r>
      <w:proofErr w:type="spellEnd"/>
      <w:r w:rsidRPr="00960381">
        <w:rPr>
          <w:rFonts w:cstheme="minorHAnsi"/>
        </w:rPr>
        <w:t xml:space="preserve"> odgovornosti v zvezi s preprečevanjem in sanacijo škode. Navedena direktiva v recitalu (30) navaja, da se določbe te direktive ne uporabljajo za škodo, povzročeno pred iztekom roka za prenos te direktive (tj. 30. april 2007). Konkretneje člen 17 zadevne direktive navaja, da se direktiva, med drugim, ne uporablja za škodo, ki jo je povzročila emisija, dogodek ali izredni dogodek, ki se je pripetil pred datumom iz člena 19(1)  - tj. 30. april 2007. </w:t>
      </w:r>
    </w:p>
    <w:p w:rsidR="00A85635" w:rsidRPr="00960381" w:rsidRDefault="00A85635" w:rsidP="00A85635">
      <w:pPr>
        <w:spacing w:after="0" w:line="276" w:lineRule="auto"/>
        <w:jc w:val="both"/>
        <w:rPr>
          <w:rFonts w:cstheme="minorHAnsi"/>
        </w:rPr>
      </w:pPr>
      <w:r w:rsidRPr="00960381">
        <w:rPr>
          <w:rFonts w:cstheme="minorHAnsi"/>
        </w:rPr>
        <w:t xml:space="preserve">Pri tem </w:t>
      </w:r>
      <w:proofErr w:type="spellStart"/>
      <w:r w:rsidRPr="00960381">
        <w:rPr>
          <w:rFonts w:cstheme="minorHAnsi"/>
        </w:rPr>
        <w:t>okoljska</w:t>
      </w:r>
      <w:proofErr w:type="spellEnd"/>
      <w:r w:rsidRPr="00960381">
        <w:rPr>
          <w:rFonts w:cstheme="minorHAnsi"/>
        </w:rPr>
        <w:t xml:space="preserve"> škoda skladno s to direktivo pomeni:</w:t>
      </w:r>
    </w:p>
    <w:p w:rsidR="00A85635" w:rsidRPr="00960381" w:rsidRDefault="00A85635" w:rsidP="00A85635">
      <w:pPr>
        <w:spacing w:after="0" w:line="276" w:lineRule="auto"/>
        <w:jc w:val="both"/>
        <w:rPr>
          <w:rFonts w:cstheme="minorHAnsi"/>
        </w:rPr>
      </w:pPr>
      <w:r w:rsidRPr="00960381">
        <w:rPr>
          <w:rFonts w:cstheme="minorHAnsi"/>
          <w:b/>
        </w:rPr>
        <w:t>(a)</w:t>
      </w:r>
      <w:r w:rsidRPr="00960381">
        <w:rPr>
          <w:rFonts w:cstheme="minorHAnsi"/>
        </w:rPr>
        <w:t xml:space="preserve"> Škodo, povzročeno zavarovanim vrstam in naravnim habitatom, in sicer kakršno koli škodo, ki ima večje škodljive vplive na doseganje ali vzdrževanje ugodnega stanja ohranjenosti takih habitatov ali vrst. </w:t>
      </w:r>
    </w:p>
    <w:p w:rsidR="00A85635" w:rsidRPr="00960381" w:rsidRDefault="00A85635" w:rsidP="00A85635">
      <w:pPr>
        <w:spacing w:after="0" w:line="276" w:lineRule="auto"/>
        <w:jc w:val="both"/>
        <w:rPr>
          <w:rFonts w:cstheme="minorHAnsi"/>
        </w:rPr>
      </w:pPr>
      <w:r w:rsidRPr="00960381">
        <w:rPr>
          <w:rFonts w:cstheme="minorHAnsi"/>
        </w:rPr>
        <w:t>Pri tem škoda, povzročena zavarovanim vrstam in naravnim habitatom, ne vključuje prej ugotovljenih škodljivih vplivov, nastalih zaradi izvajalčevega dejanja, ki so ga pristojni organi izrecno dovolili skladno z določbami člena 6(3) in (4) ali člena 16 Direktive 92/43/EGS ali člena 9 Direktive 79/409/EGS, ali pri habitatih in vrstah, ki niso zajeti v zakonodajo Skupnosti, skladno z enakovrednimi določbami nacionalne zakonodaje o ohranjanju narave.</w:t>
      </w:r>
    </w:p>
    <w:p w:rsidR="00A85635" w:rsidRPr="00960381" w:rsidRDefault="00A85635" w:rsidP="00A85635">
      <w:pPr>
        <w:spacing w:after="0" w:line="276" w:lineRule="auto"/>
        <w:jc w:val="both"/>
        <w:rPr>
          <w:rFonts w:cstheme="minorHAnsi"/>
        </w:rPr>
      </w:pPr>
      <w:r w:rsidRPr="00960381">
        <w:rPr>
          <w:rFonts w:cstheme="minorHAnsi"/>
          <w:b/>
        </w:rPr>
        <w:lastRenderedPageBreak/>
        <w:t>(b)</w:t>
      </w:r>
      <w:r w:rsidRPr="00960381">
        <w:rPr>
          <w:rFonts w:cstheme="minorHAnsi"/>
        </w:rPr>
        <w:t xml:space="preserve"> Škodo na vodah, ki je vsaka škoda z večjim škodljivim vplivom na ekološko, kemično in/ali količinsko stanje in/ali ekološki potencial voda, kakor je opredeljeno v Direktivi 2000/60/ES, razen škodljivih vplivov, kadar se uporabljajo določbe člena 4(7) navedene direktive.</w:t>
      </w:r>
    </w:p>
    <w:p w:rsidR="00A85635" w:rsidRPr="00960381" w:rsidRDefault="00A85635" w:rsidP="00A85635">
      <w:pPr>
        <w:spacing w:after="0" w:line="276" w:lineRule="auto"/>
        <w:jc w:val="both"/>
        <w:rPr>
          <w:rFonts w:cstheme="minorHAnsi"/>
        </w:rPr>
      </w:pPr>
      <w:r w:rsidRPr="00960381">
        <w:rPr>
          <w:rFonts w:cstheme="minorHAnsi"/>
          <w:b/>
        </w:rPr>
        <w:t>(c)</w:t>
      </w:r>
      <w:r w:rsidRPr="00960381">
        <w:rPr>
          <w:rFonts w:cstheme="minorHAnsi"/>
        </w:rPr>
        <w:t xml:space="preserve"> Škodo, povzročeno tlom, in sicer vsako onesnaženje tal, ki predstavlja znatno nevarnost škodljivih vplivov na zdravje ljudi zaradi neposrednega ali posrednega vnosa snovi, pripravkov, organizmov ali mikroorganizmov v tla ali pod tla.</w:t>
      </w:r>
    </w:p>
    <w:p w:rsidR="00A85635" w:rsidRPr="00960381" w:rsidRDefault="00A85635" w:rsidP="00A85635">
      <w:pPr>
        <w:spacing w:after="0" w:line="276" w:lineRule="auto"/>
        <w:jc w:val="both"/>
        <w:rPr>
          <w:rFonts w:cstheme="minorHAnsi"/>
        </w:rPr>
      </w:pPr>
      <w:r w:rsidRPr="00960381">
        <w:rPr>
          <w:rFonts w:cstheme="minorHAnsi"/>
        </w:rPr>
        <w:t xml:space="preserve">Projekti razgradnje in spremembe namena na lokacijah blokov 1-4, ki so vključeni v predlog ONPP, se nanašajo na rušitev naprav z namenom izvedbe naložb v dvig proizvodnih zmogljivosti iz OVE na tej lokaciji in v tem smislu ne gre za sanacijo škode v pomenu te direktive, ki bi se nanašala na emisijo, dogodek ali izredni dogodek. Tudi če bi se kot dogodek, ki je povzročil škodo, lahko razumela postavitev same naprave, pa je treba upoštevati dejstvo, da se je postavitev naprav izvedla pred 30. aprilom 2007. Tudi izvedba rušitve ne bo imela pomembnih vplivov na okolje (sklep ARSO z dne 19.6.2019 glede trajne zaustavitve bloka 4, ki vključuje tudi rušitev hladilnega stolpa B4), zato se tudi razgradnje ne more razumeti kot dogodek, ki bi povzročil škodo v pomenu Direktive 2004/35/ES. Projektov spremembe namena na lokacijah blokov 1-4 torej ni možno izvesti na račun onesnaževalca na osnovi obveznosti, ki jih za upravljavce določa Direktiva 2004/35/ES o </w:t>
      </w:r>
      <w:proofErr w:type="spellStart"/>
      <w:r w:rsidRPr="00960381">
        <w:rPr>
          <w:rFonts w:cstheme="minorHAnsi"/>
        </w:rPr>
        <w:t>okoljski</w:t>
      </w:r>
      <w:proofErr w:type="spellEnd"/>
      <w:r w:rsidRPr="00960381">
        <w:rPr>
          <w:rFonts w:cstheme="minorHAnsi"/>
        </w:rPr>
        <w:t xml:space="preserve"> odgovornosti v zvezi s preprečevanjem in sanacijo škode. Rušitve objektov z namenom izvedbe naložb v dvig proizvodnih zmogljivosti iz OVE na tej lokaciji zato tudi ni mogoče razumeti v kontekstu </w:t>
      </w:r>
      <w:proofErr w:type="spellStart"/>
      <w:r w:rsidRPr="00960381">
        <w:rPr>
          <w:rFonts w:cstheme="minorHAnsi"/>
        </w:rPr>
        <w:t>okoljske</w:t>
      </w:r>
      <w:proofErr w:type="spellEnd"/>
      <w:r w:rsidRPr="00960381">
        <w:rPr>
          <w:rFonts w:cstheme="minorHAnsi"/>
        </w:rPr>
        <w:t xml:space="preserve"> škode, ki jo mora plačati povzročitelj obremenitve, kot izhaja iz 191(2) člena PDEU, saj rušitev objektov z namenom izvedbe naložb v dvig proizvodnih zmogljivosti iz OVE na tej lokaciji ne odpravlja </w:t>
      </w:r>
      <w:proofErr w:type="spellStart"/>
      <w:r w:rsidRPr="00960381">
        <w:rPr>
          <w:rFonts w:cstheme="minorHAnsi"/>
        </w:rPr>
        <w:t>okoljske</w:t>
      </w:r>
      <w:proofErr w:type="spellEnd"/>
      <w:r w:rsidRPr="00960381">
        <w:rPr>
          <w:rFonts w:cstheme="minorHAnsi"/>
        </w:rPr>
        <w:t xml:space="preserve"> škode oz. ne pomeni sanacije </w:t>
      </w:r>
      <w:proofErr w:type="spellStart"/>
      <w:r w:rsidRPr="00960381">
        <w:rPr>
          <w:rFonts w:cstheme="minorHAnsi"/>
        </w:rPr>
        <w:t>okoljske</w:t>
      </w:r>
      <w:proofErr w:type="spellEnd"/>
      <w:r w:rsidRPr="00960381">
        <w:rPr>
          <w:rFonts w:cstheme="minorHAnsi"/>
        </w:rPr>
        <w:t xml:space="preserve"> škode na lokaciji.    </w:t>
      </w:r>
    </w:p>
    <w:p w:rsidR="00A85635" w:rsidRPr="00960381" w:rsidRDefault="00A85635" w:rsidP="00A85635">
      <w:pPr>
        <w:spacing w:after="0" w:line="276" w:lineRule="auto"/>
        <w:jc w:val="both"/>
        <w:rPr>
          <w:rFonts w:cstheme="minorHAnsi"/>
        </w:rPr>
      </w:pPr>
    </w:p>
    <w:p w:rsidR="00A85635" w:rsidRPr="00960381" w:rsidRDefault="00A85635" w:rsidP="00A85635">
      <w:pPr>
        <w:numPr>
          <w:ilvl w:val="0"/>
          <w:numId w:val="1"/>
        </w:numPr>
        <w:spacing w:before="120" w:after="0" w:line="276" w:lineRule="auto"/>
        <w:contextualSpacing/>
        <w:jc w:val="both"/>
        <w:rPr>
          <w:rFonts w:cstheme="minorHAnsi"/>
          <w:b/>
        </w:rPr>
      </w:pPr>
      <w:r w:rsidRPr="00960381">
        <w:rPr>
          <w:rFonts w:cstheme="minorHAnsi"/>
          <w:b/>
        </w:rPr>
        <w:t>Relevantnost določb Zakona o rudarstvu glede sprotne in končne sanacije za izvedbo projektov razgradnje in spremembe namena na lokacijah blokov 1-4 TEŠ</w:t>
      </w:r>
    </w:p>
    <w:p w:rsidR="00A85635" w:rsidRPr="00960381" w:rsidRDefault="00A85635" w:rsidP="00A85635">
      <w:pPr>
        <w:spacing w:after="0" w:line="276" w:lineRule="auto"/>
        <w:jc w:val="both"/>
        <w:rPr>
          <w:rFonts w:cstheme="minorHAnsi"/>
        </w:rPr>
      </w:pPr>
      <w:r w:rsidRPr="00960381">
        <w:rPr>
          <w:rFonts w:cstheme="minorHAnsi"/>
        </w:rPr>
        <w:t xml:space="preserve">Lokacije projektov razgradnje in spremembe namena blokov 1-4, ki so vključene v predlog ONPP SAŠA, se hkrati ne nahajajo na pridobivalnem prostoru Premogovnika Velenje (PV). PV je s koncesijsko pogodbo št. 354-14-73/01 skladno z 49. členom Zakona o rudarstvu (Uradni list RS, št. 14/14 – uradno prečiščeno besedilo, 61/17 – GZ in 54/22) zavezan k sprotni in dokončni sanaciji okolja in odprave posledic izvajanja rudarskih del v pridobivalnem prostoru. Skladno z Zakonom o rudarstvu (2. člen, odstavka 4.3.3. in 4.3.6.) sprotna sanacija pomeni vzporedno izvajanje izkoriščanja mineralne surovine v pridobivalnem prostoru in izvajanje sanacijskih rudarskih del na tistih delih pridobivalnega prostora, na katerih je izkoriščanje zaključeno in niso več potrebni za izvajanje koncesije, končna sanacija pa se izvede po končanem izkoriščanju mineralne surovine v pridobivalnem prostoru in sledi sprotni, fazni ali delni sanaciji, če te niso bile izvedene, pa kot samostojen postopek. Lokacije predlaganih projektov razgradnje in spremembe namena blokov 1-4 TEŠ se ne nahajajo znotraj pridobivalnega prostora PV, zato se za sanacijo teh lokacij ne morejo uporabljati določbe Zakona o rudarstvu – gre za ločeno energetsko lokacijo TEŠ izven pridobivalnega prostora PV. </w:t>
      </w:r>
    </w:p>
    <w:p w:rsidR="00A85635" w:rsidRPr="00960381" w:rsidRDefault="00A85635" w:rsidP="00A85635">
      <w:pPr>
        <w:spacing w:after="0" w:line="276" w:lineRule="auto"/>
        <w:jc w:val="both"/>
        <w:rPr>
          <w:rFonts w:cstheme="minorHAnsi"/>
        </w:rPr>
      </w:pPr>
    </w:p>
    <w:p w:rsidR="00A85635" w:rsidRDefault="00A85635" w:rsidP="00A85635"/>
    <w:p w:rsidR="00555208" w:rsidRDefault="00A85635">
      <w:bookmarkStart w:id="0" w:name="_GoBack"/>
      <w:bookmarkEnd w:id="0"/>
    </w:p>
    <w:sectPr w:rsidR="00555208" w:rsidSect="00EF3B10">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031672"/>
    <w:multiLevelType w:val="hybridMultilevel"/>
    <w:tmpl w:val="DAF0E5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635"/>
    <w:rsid w:val="001970AB"/>
    <w:rsid w:val="003B2FA7"/>
    <w:rsid w:val="00744541"/>
    <w:rsid w:val="00924221"/>
    <w:rsid w:val="009F465B"/>
    <w:rsid w:val="00A85635"/>
    <w:rsid w:val="00AB2AA0"/>
    <w:rsid w:val="00EF3B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0BC81-BFFF-4F11-A244-E23958C0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8563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A856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1577</Words>
  <Characters>8991</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SVRK</dc:creator>
  <cp:keywords/>
  <dc:description/>
  <cp:lastModifiedBy>SVRK</cp:lastModifiedBy>
  <cp:revision>1</cp:revision>
  <dcterms:created xsi:type="dcterms:W3CDTF">2022-10-26T08:28:00Z</dcterms:created>
  <dcterms:modified xsi:type="dcterms:W3CDTF">2022-10-26T08:28:00Z</dcterms:modified>
</cp:coreProperties>
</file>