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5E" w:rsidRPr="00D2104A" w:rsidRDefault="0001655E" w:rsidP="0001655E">
      <w:pPr>
        <w:spacing w:after="0" w:line="276" w:lineRule="auto"/>
        <w:ind w:left="142"/>
        <w:jc w:val="both"/>
        <w:rPr>
          <w:rFonts w:ascii="Calibri" w:eastAsia="Calibri" w:hAnsi="Calibri" w:cs="Calibri"/>
          <w:b/>
          <w:lang w:eastAsia="sl-SI"/>
        </w:rPr>
      </w:pPr>
      <w:r w:rsidRPr="00D2104A">
        <w:rPr>
          <w:rFonts w:ascii="Calibri" w:eastAsia="Calibri" w:hAnsi="Calibri" w:cs="Calibri"/>
          <w:b/>
          <w:lang w:eastAsia="sl-SI"/>
        </w:rPr>
        <w:t>Priloga 5:   2.4. Predvidene vrste operacij – Produktivne naložbe, ki niso naložbe MSP (člen 11(2)(h))</w:t>
      </w:r>
      <w:bookmarkStart w:id="0" w:name="_GoBack"/>
      <w:bookmarkEnd w:id="0"/>
    </w:p>
    <w:p w:rsidR="00555208" w:rsidRDefault="00783D2C"/>
    <w:p w:rsidR="00783D2C" w:rsidRPr="00783D2C" w:rsidRDefault="00783D2C" w:rsidP="00783D2C">
      <w:pPr>
        <w:spacing w:after="0" w:line="276" w:lineRule="auto"/>
        <w:ind w:left="360"/>
        <w:jc w:val="both"/>
        <w:rPr>
          <w:rFonts w:ascii="Calibri" w:hAnsi="Calibri" w:cs="Times New Roman"/>
        </w:rPr>
      </w:pPr>
      <w:r w:rsidRPr="00783D2C">
        <w:rPr>
          <w:rFonts w:cstheme="minorHAnsi"/>
        </w:rPr>
        <w:t xml:space="preserve">Analiza vrzeli (Priloga 1), ki je bila izdelana za regijo pokaže, da so velika podjetja izven sektorja energetike pomemben dejavnik gospodarskega razvoja regije. Ta podjetja so pomemben deležnik pri zagotavljanju pravičnega prehoda tako zaradi potenciala, ki ga imajo pri ohranjanju delovnih mest in pri razvoju potenciala za nove zaposlitve. </w:t>
      </w:r>
      <w:r w:rsidRPr="00783D2C">
        <w:rPr>
          <w:rFonts w:ascii="Calibri" w:hAnsi="Calibri" w:cs="Times New Roman"/>
        </w:rPr>
        <w:t xml:space="preserve">Imajo pa tudi pomembno vlogo pri razvoju in delovanju zagonskih in MSP, saj se z njimi povezujejo v različne ekosisteme. To </w:t>
      </w:r>
      <w:r w:rsidRPr="00783D2C">
        <w:rPr>
          <w:rFonts w:cstheme="minorHAnsi"/>
        </w:rPr>
        <w:t>vlogo</w:t>
      </w:r>
      <w:r w:rsidRPr="00783D2C">
        <w:rPr>
          <w:rFonts w:ascii="Calibri" w:hAnsi="Calibri" w:cs="Times New Roman"/>
        </w:rPr>
        <w:t xml:space="preserve"> bodo igrala in nadgradila tudi v prihodnje.</w:t>
      </w:r>
    </w:p>
    <w:p w:rsidR="00783D2C" w:rsidRPr="00783D2C" w:rsidRDefault="00783D2C" w:rsidP="00783D2C">
      <w:pPr>
        <w:spacing w:after="0" w:line="276" w:lineRule="auto"/>
        <w:ind w:left="360"/>
        <w:jc w:val="both"/>
        <w:rPr>
          <w:rFonts w:cstheme="minorHAnsi"/>
        </w:rPr>
      </w:pPr>
    </w:p>
    <w:p w:rsidR="00783D2C" w:rsidRPr="00783D2C" w:rsidRDefault="00783D2C" w:rsidP="00783D2C">
      <w:pPr>
        <w:spacing w:after="0" w:line="276" w:lineRule="auto"/>
        <w:ind w:left="357"/>
        <w:jc w:val="both"/>
        <w:rPr>
          <w:rFonts w:cstheme="minorHAnsi"/>
        </w:rPr>
      </w:pPr>
      <w:r w:rsidRPr="00783D2C">
        <w:rPr>
          <w:rFonts w:cstheme="minorHAnsi"/>
        </w:rPr>
        <w:t xml:space="preserve">Velika podjetja bodo tako lahko, v sodelovanju z raziskovalni organizacijami in drugimi relevantnimi deležniki iz regije, upravičena do sredstev za raziskovalno razvojne dejavnosti na področjih, ki bodo skladna s Slovensko strategijo pametne specializacije (S4/S5). To podporo bo mogoče kombinirati z ukrepi na </w:t>
      </w:r>
      <w:r w:rsidRPr="00783D2C">
        <w:rPr>
          <w:rFonts w:ascii="Calibri" w:hAnsi="Calibri" w:cs="Times New Roman"/>
        </w:rPr>
        <w:t>področju</w:t>
      </w:r>
      <w:r w:rsidRPr="00783D2C">
        <w:rPr>
          <w:rFonts w:cstheme="minorHAnsi"/>
        </w:rPr>
        <w:t xml:space="preserve"> izobraževanja in usposabljanja</w:t>
      </w:r>
      <w:r w:rsidRPr="00783D2C">
        <w:rPr>
          <w:rFonts w:ascii="Times New Roman" w:hAnsi="Times New Roman" w:cstheme="minorHAnsi"/>
          <w:sz w:val="24"/>
        </w:rPr>
        <w:t>.</w:t>
      </w:r>
      <w:r w:rsidRPr="00783D2C">
        <w:rPr>
          <w:rFonts w:cstheme="minorHAnsi"/>
        </w:rPr>
        <w:t xml:space="preserve"> V regiji se načrtuje ukrepe RRI, vključujoč raziskovalno infrastrukturo, v sodelovanju z obstoječimi raziskovalnimi organizacijami, npr. KI in IJS ter načrtovanim Laboratorijem za raziskave bio-rafinacije biomase. Prav tako bo vzpostavitev Centra prihodnosti nudila prostor za demonstracijo in vzpostavitev najboljših tehnologij. Na ta način bodo partnerji, ob podpori vrhunske raziskovalne infrastrukture, oblikovali in razvili skupne prebojne rešitve in tako prispevali k hitrejšemu uvajanju novih tehnologij v podjetja. Rešitve bodo zasledovale dvig produktivnosti in cilje dvojnega prehoda. Tako bo podpora med drugim namenjena naložbam s področij energetske in snovne učinkovitosti; večanja deleža rabe OVE; uvajanje materialov, storitev, poslovnih modelov, itd. ki so skladni z načeli krožnega gospodarstva; uvajanju pametnih in digitalnih rešitev v proizvodne procese; krmiljenju naprav in sistemov ter optimiziranih proizvodnih procesov vključno z digitalnimi dvojčki. </w:t>
      </w:r>
    </w:p>
    <w:p w:rsidR="00783D2C" w:rsidRPr="00783D2C" w:rsidRDefault="00783D2C" w:rsidP="00783D2C">
      <w:pPr>
        <w:spacing w:after="0" w:line="276" w:lineRule="auto"/>
        <w:ind w:left="357"/>
        <w:jc w:val="both"/>
        <w:rPr>
          <w:rFonts w:cstheme="minorHAnsi"/>
        </w:rPr>
      </w:pPr>
    </w:p>
    <w:p w:rsidR="00783D2C" w:rsidRPr="00783D2C" w:rsidRDefault="00783D2C" w:rsidP="00783D2C">
      <w:pPr>
        <w:spacing w:after="0" w:line="276" w:lineRule="auto"/>
        <w:rPr>
          <w:rFonts w:cstheme="minorHAnsi"/>
          <w:color w:val="000000"/>
          <w:shd w:val="clear" w:color="auto" w:fill="FFFFFF"/>
        </w:rPr>
      </w:pPr>
      <w:r w:rsidRPr="00783D2C">
        <w:rPr>
          <w:rFonts w:cstheme="minorHAnsi"/>
          <w:color w:val="000000"/>
          <w:shd w:val="clear" w:color="auto" w:fill="FFFFFF"/>
        </w:rPr>
        <w:br w:type="page"/>
      </w:r>
    </w:p>
    <w:p w:rsidR="00783D2C" w:rsidRPr="00783D2C" w:rsidRDefault="00783D2C" w:rsidP="00783D2C">
      <w:pPr>
        <w:spacing w:after="0" w:line="276" w:lineRule="auto"/>
        <w:jc w:val="both"/>
        <w:rPr>
          <w:rFonts w:cstheme="minorHAnsi"/>
          <w:color w:val="000000"/>
          <w:shd w:val="clear" w:color="auto" w:fill="FFFFFF"/>
        </w:rPr>
        <w:sectPr w:rsidR="00783D2C" w:rsidRPr="00783D2C" w:rsidSect="00295AF1">
          <w:pgSz w:w="11906" w:h="16838" w:code="9"/>
          <w:pgMar w:top="1417" w:right="1417" w:bottom="1134" w:left="1417" w:header="708" w:footer="708" w:gutter="0"/>
          <w:cols w:space="708"/>
          <w:docGrid w:linePitch="360"/>
        </w:sectPr>
      </w:pPr>
    </w:p>
    <w:p w:rsidR="00783D2C" w:rsidRPr="00783D2C" w:rsidRDefault="00783D2C" w:rsidP="00783D2C">
      <w:pPr>
        <w:spacing w:after="0" w:line="276" w:lineRule="auto"/>
        <w:jc w:val="both"/>
        <w:rPr>
          <w:rFonts w:cstheme="minorHAnsi"/>
          <w:color w:val="000000"/>
          <w:shd w:val="clear" w:color="auto" w:fill="FFFFFF"/>
        </w:rPr>
      </w:pPr>
    </w:p>
    <w:p w:rsidR="00783D2C" w:rsidRPr="00783D2C" w:rsidRDefault="00783D2C" w:rsidP="00783D2C">
      <w:pPr>
        <w:spacing w:after="0" w:line="276" w:lineRule="auto"/>
        <w:jc w:val="both"/>
        <w:rPr>
          <w:rFonts w:cstheme="minorHAnsi"/>
          <w:color w:val="000000"/>
          <w:shd w:val="clear" w:color="auto" w:fill="FFFFFF"/>
        </w:rPr>
      </w:pPr>
      <w:r w:rsidRPr="00783D2C">
        <w:rPr>
          <w:rFonts w:cstheme="minorHAnsi"/>
          <w:color w:val="000000"/>
          <w:shd w:val="clear" w:color="auto" w:fill="FFFFFF"/>
        </w:rPr>
        <w:t xml:space="preserve">Okvirni seznam operacij in podjetij, ki niso MSP  in je njihova podpora potrebna za ustvarjanje delovnih mest  </w:t>
      </w:r>
    </w:p>
    <w:p w:rsidR="00783D2C" w:rsidRPr="00783D2C" w:rsidRDefault="00783D2C" w:rsidP="00783D2C">
      <w:pPr>
        <w:spacing w:after="0" w:line="276" w:lineRule="auto"/>
        <w:rPr>
          <w:rFonts w:ascii="Times New Roman" w:hAnsi="Times New Roman" w:cstheme="minorHAnsi"/>
          <w:sz w:val="24"/>
        </w:rPr>
      </w:pPr>
    </w:p>
    <w:p w:rsidR="00783D2C" w:rsidRPr="00783D2C" w:rsidRDefault="00783D2C" w:rsidP="00783D2C">
      <w:pPr>
        <w:spacing w:after="0" w:line="276" w:lineRule="auto"/>
        <w:ind w:left="720"/>
        <w:contextualSpacing/>
        <w:rPr>
          <w:rFonts w:cstheme="minorHAnsi"/>
        </w:rPr>
      </w:pPr>
    </w:p>
    <w:tbl>
      <w:tblPr>
        <w:tblStyle w:val="Tabelamrea"/>
        <w:tblW w:w="15309" w:type="dxa"/>
        <w:tblInd w:w="-5" w:type="dxa"/>
        <w:tblLook w:val="04A0" w:firstRow="1" w:lastRow="0" w:firstColumn="1" w:lastColumn="0" w:noHBand="0" w:noVBand="1"/>
      </w:tblPr>
      <w:tblGrid>
        <w:gridCol w:w="2977"/>
        <w:gridCol w:w="2896"/>
        <w:gridCol w:w="4900"/>
        <w:gridCol w:w="1631"/>
        <w:gridCol w:w="1631"/>
        <w:gridCol w:w="1274"/>
      </w:tblGrid>
      <w:tr w:rsidR="00783D2C" w:rsidRPr="00783D2C" w:rsidTr="002E29C3">
        <w:tc>
          <w:tcPr>
            <w:tcW w:w="2977" w:type="dxa"/>
          </w:tcPr>
          <w:p w:rsidR="00783D2C" w:rsidRPr="00783D2C" w:rsidRDefault="00783D2C" w:rsidP="00783D2C">
            <w:pPr>
              <w:spacing w:line="276" w:lineRule="auto"/>
              <w:contextualSpacing/>
              <w:jc w:val="center"/>
              <w:rPr>
                <w:rFonts w:cstheme="minorHAnsi"/>
                <w:color w:val="000000"/>
                <w:sz w:val="20"/>
                <w:szCs w:val="20"/>
                <w:shd w:val="clear" w:color="auto" w:fill="FFFFFF"/>
              </w:rPr>
            </w:pPr>
            <w:r w:rsidRPr="00783D2C">
              <w:rPr>
                <w:rFonts w:cstheme="minorHAnsi"/>
                <w:color w:val="000000"/>
                <w:sz w:val="20"/>
                <w:szCs w:val="20"/>
                <w:shd w:val="clear" w:color="auto" w:fill="FFFFFF"/>
              </w:rPr>
              <w:t>Operacija</w:t>
            </w:r>
          </w:p>
        </w:tc>
        <w:tc>
          <w:tcPr>
            <w:tcW w:w="2896" w:type="dxa"/>
          </w:tcPr>
          <w:p w:rsidR="00783D2C" w:rsidRPr="00783D2C" w:rsidRDefault="00783D2C" w:rsidP="00783D2C">
            <w:pPr>
              <w:spacing w:line="276" w:lineRule="auto"/>
              <w:contextualSpacing/>
              <w:jc w:val="center"/>
              <w:rPr>
                <w:rFonts w:cstheme="minorHAnsi"/>
                <w:color w:val="000000"/>
                <w:sz w:val="20"/>
                <w:szCs w:val="20"/>
                <w:shd w:val="clear" w:color="auto" w:fill="FFFFFF"/>
              </w:rPr>
            </w:pPr>
            <w:r w:rsidRPr="00783D2C">
              <w:rPr>
                <w:rFonts w:cstheme="minorHAnsi"/>
                <w:color w:val="000000"/>
                <w:sz w:val="20"/>
                <w:szCs w:val="20"/>
                <w:shd w:val="clear" w:color="auto" w:fill="FFFFFF"/>
              </w:rPr>
              <w:t>Podjetje</w:t>
            </w:r>
          </w:p>
        </w:tc>
        <w:tc>
          <w:tcPr>
            <w:tcW w:w="4900" w:type="dxa"/>
          </w:tcPr>
          <w:p w:rsidR="00783D2C" w:rsidRPr="00783D2C" w:rsidRDefault="00783D2C" w:rsidP="00783D2C">
            <w:pPr>
              <w:spacing w:line="276" w:lineRule="auto"/>
              <w:contextualSpacing/>
              <w:jc w:val="center"/>
              <w:rPr>
                <w:rFonts w:cstheme="minorHAnsi"/>
                <w:color w:val="000000"/>
                <w:sz w:val="20"/>
                <w:szCs w:val="20"/>
                <w:shd w:val="clear" w:color="auto" w:fill="FFFFFF"/>
              </w:rPr>
            </w:pPr>
            <w:r w:rsidRPr="00783D2C">
              <w:rPr>
                <w:rFonts w:cstheme="minorHAnsi"/>
                <w:color w:val="000000"/>
                <w:sz w:val="20"/>
                <w:szCs w:val="20"/>
                <w:shd w:val="clear" w:color="auto" w:fill="FFFFFF"/>
              </w:rPr>
              <w:t>Opis projektov</w:t>
            </w:r>
          </w:p>
        </w:tc>
        <w:tc>
          <w:tcPr>
            <w:tcW w:w="1631" w:type="dxa"/>
          </w:tcPr>
          <w:p w:rsidR="00783D2C" w:rsidRPr="00783D2C" w:rsidRDefault="00783D2C" w:rsidP="00783D2C">
            <w:pPr>
              <w:spacing w:line="276" w:lineRule="auto"/>
              <w:contextualSpacing/>
              <w:jc w:val="center"/>
              <w:rPr>
                <w:rFonts w:cstheme="minorHAnsi"/>
                <w:color w:val="000000"/>
                <w:sz w:val="20"/>
                <w:szCs w:val="20"/>
                <w:shd w:val="clear" w:color="auto" w:fill="FFFFFF"/>
              </w:rPr>
            </w:pPr>
            <w:r w:rsidRPr="00783D2C">
              <w:rPr>
                <w:rFonts w:cstheme="minorHAnsi"/>
                <w:color w:val="000000"/>
                <w:sz w:val="20"/>
                <w:szCs w:val="20"/>
                <w:shd w:val="clear" w:color="auto" w:fill="FFFFFF"/>
              </w:rPr>
              <w:t>Vrednost operacije</w:t>
            </w:r>
          </w:p>
        </w:tc>
        <w:tc>
          <w:tcPr>
            <w:tcW w:w="1631" w:type="dxa"/>
          </w:tcPr>
          <w:p w:rsidR="00783D2C" w:rsidRPr="00783D2C" w:rsidRDefault="00783D2C" w:rsidP="00783D2C">
            <w:pPr>
              <w:spacing w:line="276" w:lineRule="auto"/>
              <w:contextualSpacing/>
              <w:jc w:val="center"/>
              <w:rPr>
                <w:rFonts w:cstheme="minorHAnsi"/>
                <w:color w:val="000000"/>
                <w:sz w:val="20"/>
                <w:szCs w:val="20"/>
                <w:shd w:val="clear" w:color="auto" w:fill="FFFFFF"/>
              </w:rPr>
            </w:pPr>
            <w:r w:rsidRPr="00783D2C">
              <w:rPr>
                <w:rFonts w:cstheme="minorHAnsi"/>
                <w:color w:val="000000"/>
                <w:sz w:val="20"/>
                <w:szCs w:val="20"/>
                <w:shd w:val="clear" w:color="auto" w:fill="FFFFFF"/>
              </w:rPr>
              <w:t>Predviden prispevek iz SPP (ocena podjetja v okviru projektnega predloga*)</w:t>
            </w:r>
          </w:p>
        </w:tc>
        <w:tc>
          <w:tcPr>
            <w:tcW w:w="1274" w:type="dxa"/>
          </w:tcPr>
          <w:p w:rsidR="00783D2C" w:rsidRPr="00783D2C" w:rsidRDefault="00783D2C" w:rsidP="00783D2C">
            <w:pPr>
              <w:spacing w:line="276" w:lineRule="auto"/>
              <w:contextualSpacing/>
              <w:jc w:val="center"/>
              <w:rPr>
                <w:rFonts w:cstheme="minorHAnsi"/>
                <w:color w:val="000000"/>
                <w:sz w:val="20"/>
                <w:szCs w:val="20"/>
                <w:shd w:val="clear" w:color="auto" w:fill="FFFFFF"/>
              </w:rPr>
            </w:pPr>
            <w:r w:rsidRPr="00783D2C">
              <w:rPr>
                <w:rFonts w:cstheme="minorHAnsi"/>
                <w:color w:val="000000"/>
                <w:sz w:val="20"/>
                <w:szCs w:val="20"/>
                <w:shd w:val="clear" w:color="auto" w:fill="FFFFFF"/>
              </w:rPr>
              <w:t>Predvideno št. ustvarjenih</w:t>
            </w:r>
          </w:p>
        </w:tc>
      </w:tr>
      <w:tr w:rsidR="00783D2C" w:rsidRPr="00783D2C" w:rsidTr="002E29C3">
        <w:tc>
          <w:tcPr>
            <w:tcW w:w="2977" w:type="dxa"/>
          </w:tcPr>
          <w:p w:rsidR="00783D2C" w:rsidRPr="00783D2C" w:rsidRDefault="00783D2C" w:rsidP="00783D2C">
            <w:pPr>
              <w:numPr>
                <w:ilvl w:val="0"/>
                <w:numId w:val="1"/>
              </w:numPr>
              <w:spacing w:before="120" w:line="276" w:lineRule="auto"/>
              <w:contextualSpacing/>
              <w:jc w:val="both"/>
              <w:rPr>
                <w:rFonts w:cstheme="minorHAnsi"/>
                <w:color w:val="000000"/>
                <w:sz w:val="20"/>
                <w:szCs w:val="20"/>
                <w:shd w:val="clear" w:color="auto" w:fill="FFFFFF"/>
              </w:rPr>
            </w:pPr>
            <w:r w:rsidRPr="00783D2C">
              <w:rPr>
                <w:rFonts w:cstheme="minorHAnsi"/>
                <w:color w:val="000000"/>
                <w:sz w:val="20"/>
                <w:szCs w:val="20"/>
                <w:shd w:val="clear" w:color="auto" w:fill="FFFFFF"/>
              </w:rPr>
              <w:t xml:space="preserve">Razvoj novih generacij gospodinjskih aparatov,  </w:t>
            </w:r>
          </w:p>
          <w:p w:rsidR="00783D2C" w:rsidRPr="00783D2C" w:rsidRDefault="00783D2C" w:rsidP="00783D2C">
            <w:pPr>
              <w:numPr>
                <w:ilvl w:val="0"/>
                <w:numId w:val="1"/>
              </w:numPr>
              <w:spacing w:before="120" w:line="276" w:lineRule="auto"/>
              <w:contextualSpacing/>
              <w:jc w:val="both"/>
              <w:rPr>
                <w:rFonts w:cstheme="minorHAnsi"/>
                <w:color w:val="000000"/>
                <w:sz w:val="20"/>
                <w:szCs w:val="20"/>
                <w:shd w:val="clear" w:color="auto" w:fill="FFFFFF"/>
              </w:rPr>
            </w:pPr>
            <w:r w:rsidRPr="00783D2C">
              <w:rPr>
                <w:rFonts w:cstheme="minorHAnsi"/>
                <w:color w:val="000000"/>
                <w:sz w:val="20"/>
                <w:szCs w:val="20"/>
                <w:shd w:val="clear" w:color="auto" w:fill="FFFFFF"/>
              </w:rPr>
              <w:t xml:space="preserve">povečanje proizvodnih zmogljivosti tovarn gospodinjskih aparatov </w:t>
            </w:r>
          </w:p>
          <w:p w:rsidR="00783D2C" w:rsidRPr="00783D2C" w:rsidRDefault="00783D2C" w:rsidP="00783D2C">
            <w:pPr>
              <w:numPr>
                <w:ilvl w:val="0"/>
                <w:numId w:val="1"/>
              </w:numPr>
              <w:spacing w:before="120" w:line="276" w:lineRule="auto"/>
              <w:contextualSpacing/>
              <w:jc w:val="both"/>
              <w:rPr>
                <w:rFonts w:cstheme="minorHAnsi"/>
                <w:color w:val="000000"/>
                <w:sz w:val="20"/>
                <w:szCs w:val="20"/>
                <w:shd w:val="clear" w:color="auto" w:fill="FFFFFF"/>
              </w:rPr>
            </w:pPr>
            <w:r w:rsidRPr="00783D2C">
              <w:rPr>
                <w:rFonts w:cstheme="minorHAnsi"/>
                <w:color w:val="000000"/>
                <w:sz w:val="20"/>
                <w:szCs w:val="20"/>
                <w:shd w:val="clear" w:color="auto" w:fill="FFFFFF"/>
              </w:rPr>
              <w:t>povečanje proizvodnih zmogljivosti tovarne televizorjev</w:t>
            </w:r>
          </w:p>
        </w:tc>
        <w:tc>
          <w:tcPr>
            <w:tcW w:w="2896" w:type="dxa"/>
          </w:tcPr>
          <w:p w:rsidR="00783D2C" w:rsidRPr="00783D2C" w:rsidRDefault="00783D2C" w:rsidP="00783D2C">
            <w:pPr>
              <w:spacing w:line="276" w:lineRule="auto"/>
              <w:contextualSpacing/>
              <w:rPr>
                <w:rFonts w:cstheme="minorHAnsi"/>
                <w:color w:val="000000"/>
                <w:sz w:val="20"/>
                <w:szCs w:val="20"/>
                <w:shd w:val="clear" w:color="auto" w:fill="FFFFFF"/>
              </w:rPr>
            </w:pPr>
            <w:r w:rsidRPr="00783D2C">
              <w:rPr>
                <w:rFonts w:cstheme="minorHAnsi"/>
                <w:color w:val="000000"/>
                <w:sz w:val="20"/>
                <w:szCs w:val="20"/>
                <w:shd w:val="clear" w:color="auto" w:fill="FFFFFF"/>
              </w:rPr>
              <w:t>Gorenje gospodinjski aparati d.o.o. Velenje</w:t>
            </w:r>
          </w:p>
        </w:tc>
        <w:tc>
          <w:tcPr>
            <w:tcW w:w="4900" w:type="dxa"/>
          </w:tcPr>
          <w:p w:rsidR="00783D2C" w:rsidRPr="00783D2C" w:rsidRDefault="00783D2C" w:rsidP="00783D2C">
            <w:pPr>
              <w:numPr>
                <w:ilvl w:val="0"/>
                <w:numId w:val="2"/>
              </w:numPr>
              <w:spacing w:before="120" w:line="276" w:lineRule="auto"/>
              <w:ind w:left="403"/>
              <w:contextualSpacing/>
              <w:jc w:val="both"/>
              <w:rPr>
                <w:rFonts w:cstheme="minorHAnsi"/>
                <w:color w:val="000000"/>
                <w:sz w:val="20"/>
                <w:szCs w:val="20"/>
                <w:shd w:val="clear" w:color="auto" w:fill="FFFFFF"/>
              </w:rPr>
            </w:pPr>
            <w:r w:rsidRPr="00783D2C">
              <w:rPr>
                <w:rFonts w:cstheme="minorHAnsi"/>
                <w:color w:val="000000"/>
                <w:sz w:val="20"/>
                <w:szCs w:val="20"/>
                <w:shd w:val="clear" w:color="auto" w:fill="FFFFFF"/>
              </w:rPr>
              <w:t>Razvoj novih generacij gospodinjskih aparatov (tudi z razvojem alternativnih tehnologij za gretje, sušenje, pomivanje, hlajenje ipd.), ki bodo bolj energijsko učinkoviti, manj hrupni, z manjšo porabo vode z uvajanjem senzorike povezanost naprav z uporabniki;</w:t>
            </w:r>
          </w:p>
          <w:p w:rsidR="00783D2C" w:rsidRPr="00783D2C" w:rsidRDefault="00783D2C" w:rsidP="00783D2C">
            <w:pPr>
              <w:numPr>
                <w:ilvl w:val="0"/>
                <w:numId w:val="2"/>
              </w:numPr>
              <w:spacing w:before="120" w:line="276" w:lineRule="auto"/>
              <w:ind w:left="403"/>
              <w:contextualSpacing/>
              <w:jc w:val="both"/>
              <w:rPr>
                <w:rFonts w:cstheme="minorHAnsi"/>
                <w:color w:val="000000"/>
                <w:sz w:val="20"/>
                <w:szCs w:val="20"/>
                <w:shd w:val="clear" w:color="auto" w:fill="FFFFFF"/>
              </w:rPr>
            </w:pPr>
            <w:r w:rsidRPr="00783D2C">
              <w:rPr>
                <w:rFonts w:cstheme="minorHAnsi"/>
                <w:color w:val="000000"/>
                <w:sz w:val="20"/>
                <w:szCs w:val="20"/>
                <w:shd w:val="clear" w:color="auto" w:fill="FFFFFF"/>
              </w:rPr>
              <w:t>Povečanje proizvodnih zmogljivosti (nove proizvodne linije) za nove gospodinjske aparate;</w:t>
            </w:r>
          </w:p>
          <w:p w:rsidR="00783D2C" w:rsidRPr="00783D2C" w:rsidRDefault="00783D2C" w:rsidP="00783D2C">
            <w:pPr>
              <w:numPr>
                <w:ilvl w:val="0"/>
                <w:numId w:val="2"/>
              </w:numPr>
              <w:spacing w:before="120" w:line="276" w:lineRule="auto"/>
              <w:ind w:left="403"/>
              <w:contextualSpacing/>
              <w:jc w:val="both"/>
              <w:rPr>
                <w:rFonts w:cstheme="minorHAnsi"/>
                <w:color w:val="000000"/>
                <w:sz w:val="20"/>
                <w:szCs w:val="20"/>
                <w:shd w:val="clear" w:color="auto" w:fill="FFFFFF"/>
              </w:rPr>
            </w:pPr>
            <w:r w:rsidRPr="00783D2C">
              <w:rPr>
                <w:rFonts w:cstheme="minorHAnsi"/>
                <w:color w:val="000000"/>
                <w:sz w:val="20"/>
                <w:szCs w:val="20"/>
                <w:shd w:val="clear" w:color="auto" w:fill="FFFFFF"/>
              </w:rPr>
              <w:t>Povečanje proizvodnih zmogljivosti tovarne televizorjev na obstoječi lokaciji PC Stara vas</w:t>
            </w:r>
          </w:p>
        </w:tc>
        <w:tc>
          <w:tcPr>
            <w:tcW w:w="1631" w:type="dxa"/>
          </w:tcPr>
          <w:p w:rsidR="00783D2C" w:rsidRPr="00783D2C" w:rsidRDefault="00783D2C" w:rsidP="00783D2C">
            <w:pPr>
              <w:spacing w:line="276" w:lineRule="auto"/>
              <w:contextualSpacing/>
              <w:jc w:val="center"/>
              <w:rPr>
                <w:rFonts w:cstheme="minorHAnsi"/>
                <w:color w:val="000000"/>
                <w:sz w:val="20"/>
                <w:szCs w:val="20"/>
                <w:shd w:val="clear" w:color="auto" w:fill="FFFFFF"/>
              </w:rPr>
            </w:pPr>
            <w:r w:rsidRPr="00783D2C">
              <w:rPr>
                <w:rFonts w:cstheme="minorHAnsi"/>
                <w:color w:val="000000"/>
                <w:sz w:val="20"/>
                <w:szCs w:val="20"/>
                <w:shd w:val="clear" w:color="auto" w:fill="FFFFFF"/>
              </w:rPr>
              <w:t>206 mio EUR,</w:t>
            </w:r>
          </w:p>
          <w:p w:rsidR="00783D2C" w:rsidRPr="00783D2C" w:rsidRDefault="00783D2C" w:rsidP="00783D2C">
            <w:pPr>
              <w:tabs>
                <w:tab w:val="left" w:pos="276"/>
              </w:tabs>
              <w:spacing w:line="276" w:lineRule="auto"/>
              <w:contextualSpacing/>
              <w:rPr>
                <w:rFonts w:cstheme="minorHAnsi"/>
                <w:color w:val="000000"/>
                <w:sz w:val="20"/>
                <w:szCs w:val="20"/>
                <w:shd w:val="clear" w:color="auto" w:fill="FFFFFF"/>
              </w:rPr>
            </w:pPr>
            <w:r w:rsidRPr="00783D2C">
              <w:rPr>
                <w:rFonts w:cstheme="minorHAnsi"/>
                <w:color w:val="000000"/>
                <w:sz w:val="20"/>
                <w:szCs w:val="20"/>
                <w:shd w:val="clear" w:color="auto" w:fill="FFFFFF"/>
              </w:rPr>
              <w:t>1.</w:t>
            </w:r>
            <w:r w:rsidRPr="00783D2C">
              <w:rPr>
                <w:rFonts w:cstheme="minorHAnsi"/>
                <w:color w:val="000000"/>
                <w:sz w:val="20"/>
                <w:szCs w:val="20"/>
                <w:shd w:val="clear" w:color="auto" w:fill="FFFFFF"/>
              </w:rPr>
              <w:tab/>
              <w:t>150 mio EUR</w:t>
            </w:r>
          </w:p>
          <w:p w:rsidR="00783D2C" w:rsidRPr="00783D2C" w:rsidRDefault="00783D2C" w:rsidP="00783D2C">
            <w:pPr>
              <w:tabs>
                <w:tab w:val="left" w:pos="276"/>
              </w:tabs>
              <w:spacing w:line="276" w:lineRule="auto"/>
              <w:contextualSpacing/>
              <w:rPr>
                <w:rFonts w:cstheme="minorHAnsi"/>
                <w:color w:val="000000"/>
                <w:sz w:val="20"/>
                <w:szCs w:val="20"/>
                <w:shd w:val="clear" w:color="auto" w:fill="FFFFFF"/>
              </w:rPr>
            </w:pPr>
            <w:r w:rsidRPr="00783D2C">
              <w:rPr>
                <w:rFonts w:cstheme="minorHAnsi"/>
                <w:color w:val="000000"/>
                <w:sz w:val="20"/>
                <w:szCs w:val="20"/>
                <w:shd w:val="clear" w:color="auto" w:fill="FFFFFF"/>
              </w:rPr>
              <w:t>2.</w:t>
            </w:r>
            <w:r w:rsidRPr="00783D2C">
              <w:rPr>
                <w:rFonts w:cstheme="minorHAnsi"/>
                <w:color w:val="000000"/>
                <w:sz w:val="20"/>
                <w:szCs w:val="20"/>
                <w:shd w:val="clear" w:color="auto" w:fill="FFFFFF"/>
              </w:rPr>
              <w:tab/>
              <w:t>50 mio EUR</w:t>
            </w:r>
          </w:p>
          <w:p w:rsidR="00783D2C" w:rsidRPr="00783D2C" w:rsidRDefault="00783D2C" w:rsidP="00783D2C">
            <w:pPr>
              <w:tabs>
                <w:tab w:val="left" w:pos="276"/>
              </w:tabs>
              <w:spacing w:line="276" w:lineRule="auto"/>
              <w:contextualSpacing/>
              <w:rPr>
                <w:rFonts w:cstheme="minorHAnsi"/>
                <w:color w:val="000000"/>
                <w:sz w:val="20"/>
                <w:szCs w:val="20"/>
                <w:shd w:val="clear" w:color="auto" w:fill="FFFFFF"/>
              </w:rPr>
            </w:pPr>
            <w:r w:rsidRPr="00783D2C">
              <w:rPr>
                <w:rFonts w:cstheme="minorHAnsi"/>
                <w:color w:val="000000"/>
                <w:sz w:val="20"/>
                <w:szCs w:val="20"/>
                <w:shd w:val="clear" w:color="auto" w:fill="FFFFFF"/>
              </w:rPr>
              <w:t>3.</w:t>
            </w:r>
            <w:r w:rsidRPr="00783D2C">
              <w:rPr>
                <w:rFonts w:cstheme="minorHAnsi"/>
                <w:color w:val="000000"/>
                <w:sz w:val="20"/>
                <w:szCs w:val="20"/>
                <w:shd w:val="clear" w:color="auto" w:fill="FFFFFF"/>
              </w:rPr>
              <w:tab/>
              <w:t>6 mio EUR</w:t>
            </w:r>
          </w:p>
        </w:tc>
        <w:tc>
          <w:tcPr>
            <w:tcW w:w="1631" w:type="dxa"/>
          </w:tcPr>
          <w:p w:rsidR="00783D2C" w:rsidRPr="00783D2C" w:rsidRDefault="00783D2C" w:rsidP="00783D2C">
            <w:pPr>
              <w:spacing w:line="276" w:lineRule="auto"/>
              <w:contextualSpacing/>
              <w:jc w:val="center"/>
              <w:rPr>
                <w:rFonts w:cstheme="minorHAnsi"/>
                <w:color w:val="000000"/>
                <w:sz w:val="20"/>
                <w:szCs w:val="20"/>
                <w:shd w:val="clear" w:color="auto" w:fill="FFFFFF"/>
              </w:rPr>
            </w:pPr>
            <w:r w:rsidRPr="00783D2C">
              <w:rPr>
                <w:rFonts w:cstheme="minorHAnsi"/>
                <w:color w:val="000000"/>
                <w:sz w:val="20"/>
                <w:szCs w:val="20"/>
                <w:shd w:val="clear" w:color="auto" w:fill="FFFFFF"/>
              </w:rPr>
              <w:t>18 mio EUR</w:t>
            </w:r>
          </w:p>
        </w:tc>
        <w:tc>
          <w:tcPr>
            <w:tcW w:w="1274" w:type="dxa"/>
          </w:tcPr>
          <w:p w:rsidR="00783D2C" w:rsidRPr="00783D2C" w:rsidRDefault="00783D2C" w:rsidP="00783D2C">
            <w:pPr>
              <w:spacing w:line="276" w:lineRule="auto"/>
              <w:contextualSpacing/>
              <w:jc w:val="center"/>
              <w:rPr>
                <w:rFonts w:cstheme="minorHAnsi"/>
                <w:color w:val="000000"/>
                <w:sz w:val="20"/>
                <w:szCs w:val="20"/>
                <w:shd w:val="clear" w:color="auto" w:fill="FFFFFF"/>
              </w:rPr>
            </w:pPr>
            <w:r w:rsidRPr="00783D2C">
              <w:rPr>
                <w:rFonts w:cstheme="minorHAnsi"/>
                <w:color w:val="000000"/>
                <w:sz w:val="20"/>
                <w:szCs w:val="20"/>
                <w:shd w:val="clear" w:color="auto" w:fill="FFFFFF"/>
              </w:rPr>
              <w:t>500</w:t>
            </w:r>
          </w:p>
          <w:p w:rsidR="00783D2C" w:rsidRPr="00783D2C" w:rsidRDefault="00783D2C" w:rsidP="00783D2C">
            <w:pPr>
              <w:numPr>
                <w:ilvl w:val="0"/>
                <w:numId w:val="6"/>
              </w:numPr>
              <w:spacing w:before="120" w:line="276" w:lineRule="auto"/>
              <w:contextualSpacing/>
              <w:jc w:val="both"/>
              <w:rPr>
                <w:rFonts w:cstheme="minorHAnsi"/>
                <w:color w:val="000000"/>
                <w:sz w:val="20"/>
                <w:szCs w:val="20"/>
                <w:shd w:val="clear" w:color="auto" w:fill="FFFFFF"/>
              </w:rPr>
            </w:pPr>
            <w:r w:rsidRPr="00783D2C">
              <w:rPr>
                <w:rFonts w:cstheme="minorHAnsi"/>
                <w:color w:val="000000"/>
                <w:sz w:val="20"/>
                <w:szCs w:val="20"/>
                <w:shd w:val="clear" w:color="auto" w:fill="FFFFFF"/>
              </w:rPr>
              <w:t>250 DM</w:t>
            </w:r>
          </w:p>
          <w:p w:rsidR="00783D2C" w:rsidRPr="00783D2C" w:rsidRDefault="00783D2C" w:rsidP="00783D2C">
            <w:pPr>
              <w:numPr>
                <w:ilvl w:val="0"/>
                <w:numId w:val="6"/>
              </w:numPr>
              <w:spacing w:before="120" w:line="276" w:lineRule="auto"/>
              <w:contextualSpacing/>
              <w:jc w:val="both"/>
              <w:rPr>
                <w:rFonts w:cstheme="minorHAnsi"/>
                <w:color w:val="000000"/>
                <w:sz w:val="20"/>
                <w:szCs w:val="20"/>
                <w:shd w:val="clear" w:color="auto" w:fill="FFFFFF"/>
              </w:rPr>
            </w:pPr>
            <w:r w:rsidRPr="00783D2C">
              <w:rPr>
                <w:rFonts w:cstheme="minorHAnsi"/>
                <w:color w:val="000000"/>
                <w:sz w:val="20"/>
                <w:szCs w:val="20"/>
                <w:shd w:val="clear" w:color="auto" w:fill="FFFFFF"/>
              </w:rPr>
              <w:t>200 DM</w:t>
            </w:r>
          </w:p>
          <w:p w:rsidR="00783D2C" w:rsidRPr="00783D2C" w:rsidRDefault="00783D2C" w:rsidP="00783D2C">
            <w:pPr>
              <w:numPr>
                <w:ilvl w:val="0"/>
                <w:numId w:val="6"/>
              </w:numPr>
              <w:spacing w:before="120" w:line="276" w:lineRule="auto"/>
              <w:contextualSpacing/>
              <w:jc w:val="both"/>
              <w:rPr>
                <w:rFonts w:cstheme="minorHAnsi"/>
                <w:color w:val="000000"/>
                <w:sz w:val="20"/>
                <w:szCs w:val="20"/>
                <w:shd w:val="clear" w:color="auto" w:fill="FFFFFF"/>
              </w:rPr>
            </w:pPr>
            <w:r w:rsidRPr="00783D2C">
              <w:rPr>
                <w:rFonts w:cstheme="minorHAnsi"/>
                <w:color w:val="000000"/>
                <w:sz w:val="20"/>
                <w:szCs w:val="20"/>
                <w:shd w:val="clear" w:color="auto" w:fill="FFFFFF"/>
              </w:rPr>
              <w:t>50 DM</w:t>
            </w:r>
          </w:p>
        </w:tc>
      </w:tr>
      <w:tr w:rsidR="00783D2C" w:rsidRPr="00783D2C" w:rsidTr="002E29C3">
        <w:tc>
          <w:tcPr>
            <w:tcW w:w="2977" w:type="dxa"/>
          </w:tcPr>
          <w:p w:rsidR="00783D2C" w:rsidRPr="00783D2C" w:rsidRDefault="00783D2C" w:rsidP="00783D2C">
            <w:pPr>
              <w:spacing w:line="276" w:lineRule="auto"/>
              <w:contextualSpacing/>
              <w:rPr>
                <w:rFonts w:cstheme="minorHAnsi"/>
                <w:sz w:val="20"/>
                <w:szCs w:val="20"/>
                <w:shd w:val="clear" w:color="auto" w:fill="FFFFFF"/>
              </w:rPr>
            </w:pPr>
            <w:r w:rsidRPr="00783D2C">
              <w:rPr>
                <w:rFonts w:cstheme="minorHAnsi"/>
                <w:sz w:val="20"/>
                <w:szCs w:val="20"/>
                <w:shd w:val="clear" w:color="auto" w:fill="FFFFFF"/>
              </w:rPr>
              <w:t>Krožno gospodarstvo SPV – predelava plastike in proizvodnja alternativnih goriv</w:t>
            </w:r>
          </w:p>
        </w:tc>
        <w:tc>
          <w:tcPr>
            <w:tcW w:w="2896" w:type="dxa"/>
          </w:tcPr>
          <w:p w:rsidR="00783D2C" w:rsidRPr="00783D2C" w:rsidRDefault="00783D2C" w:rsidP="00783D2C">
            <w:pPr>
              <w:spacing w:line="276" w:lineRule="auto"/>
              <w:rPr>
                <w:rFonts w:cstheme="minorHAnsi"/>
                <w:sz w:val="20"/>
                <w:szCs w:val="20"/>
                <w:shd w:val="clear" w:color="auto" w:fill="FFFFFF"/>
              </w:rPr>
            </w:pPr>
            <w:r w:rsidRPr="00783D2C">
              <w:rPr>
                <w:rFonts w:cstheme="minorHAnsi"/>
                <w:sz w:val="20"/>
                <w:szCs w:val="20"/>
                <w:shd w:val="clear" w:color="auto" w:fill="FFFFFF"/>
              </w:rPr>
              <w:t>Premogovnik Velenje, d.o.o.</w:t>
            </w:r>
          </w:p>
        </w:tc>
        <w:tc>
          <w:tcPr>
            <w:tcW w:w="4900" w:type="dxa"/>
          </w:tcPr>
          <w:p w:rsidR="00783D2C" w:rsidRPr="00783D2C" w:rsidRDefault="00783D2C" w:rsidP="00783D2C">
            <w:pPr>
              <w:spacing w:line="276" w:lineRule="auto"/>
              <w:contextualSpacing/>
              <w:jc w:val="both"/>
              <w:rPr>
                <w:rFonts w:cstheme="minorHAnsi"/>
                <w:sz w:val="20"/>
                <w:szCs w:val="20"/>
                <w:shd w:val="clear" w:color="auto" w:fill="FFFFFF"/>
              </w:rPr>
            </w:pPr>
            <w:r w:rsidRPr="00783D2C">
              <w:rPr>
                <w:rFonts w:cstheme="minorHAnsi"/>
                <w:sz w:val="20"/>
                <w:szCs w:val="20"/>
                <w:shd w:val="clear" w:color="auto" w:fill="FFFFFF"/>
              </w:rPr>
              <w:t>Projekt združuje primarno predelavo plastike in sekundarno proizvodnjo alternativnega goriva iz biomase, ki ustreza zahtevam priloge IX Direktive RED II (2001/2018/EU)</w:t>
            </w:r>
          </w:p>
        </w:tc>
        <w:tc>
          <w:tcPr>
            <w:tcW w:w="1631" w:type="dxa"/>
          </w:tcPr>
          <w:p w:rsidR="00783D2C" w:rsidRPr="00783D2C" w:rsidRDefault="00783D2C" w:rsidP="00783D2C">
            <w:pPr>
              <w:spacing w:line="276" w:lineRule="auto"/>
              <w:contextualSpacing/>
              <w:jc w:val="center"/>
              <w:rPr>
                <w:rFonts w:cstheme="minorHAnsi"/>
                <w:sz w:val="20"/>
                <w:szCs w:val="20"/>
                <w:shd w:val="clear" w:color="auto" w:fill="FFFFFF"/>
              </w:rPr>
            </w:pPr>
            <w:r w:rsidRPr="00783D2C">
              <w:rPr>
                <w:rFonts w:cstheme="minorHAnsi"/>
                <w:sz w:val="20"/>
                <w:szCs w:val="20"/>
                <w:shd w:val="clear" w:color="auto" w:fill="FFFFFF"/>
              </w:rPr>
              <w:t>22 mio EUR</w:t>
            </w:r>
          </w:p>
        </w:tc>
        <w:tc>
          <w:tcPr>
            <w:tcW w:w="1631" w:type="dxa"/>
          </w:tcPr>
          <w:p w:rsidR="00783D2C" w:rsidRPr="00783D2C" w:rsidRDefault="00783D2C" w:rsidP="00783D2C">
            <w:pPr>
              <w:spacing w:line="276" w:lineRule="auto"/>
              <w:contextualSpacing/>
              <w:jc w:val="center"/>
              <w:rPr>
                <w:rFonts w:cstheme="minorHAnsi"/>
                <w:sz w:val="20"/>
                <w:szCs w:val="20"/>
                <w:shd w:val="clear" w:color="auto" w:fill="FFFFFF"/>
              </w:rPr>
            </w:pPr>
            <w:r w:rsidRPr="00783D2C">
              <w:rPr>
                <w:rFonts w:cstheme="minorHAnsi"/>
                <w:sz w:val="20"/>
                <w:szCs w:val="20"/>
                <w:shd w:val="clear" w:color="auto" w:fill="FFFFFF"/>
              </w:rPr>
              <w:t>8,8 mio EUR</w:t>
            </w:r>
          </w:p>
        </w:tc>
        <w:tc>
          <w:tcPr>
            <w:tcW w:w="1274" w:type="dxa"/>
          </w:tcPr>
          <w:p w:rsidR="00783D2C" w:rsidRPr="00783D2C" w:rsidRDefault="00783D2C" w:rsidP="00783D2C">
            <w:pPr>
              <w:spacing w:line="276" w:lineRule="auto"/>
              <w:contextualSpacing/>
              <w:jc w:val="center"/>
              <w:rPr>
                <w:rFonts w:cstheme="minorHAnsi"/>
                <w:sz w:val="20"/>
                <w:szCs w:val="20"/>
                <w:shd w:val="clear" w:color="auto" w:fill="FFFFFF"/>
              </w:rPr>
            </w:pPr>
            <w:r w:rsidRPr="00783D2C">
              <w:rPr>
                <w:rFonts w:cstheme="minorHAnsi"/>
                <w:sz w:val="20"/>
                <w:szCs w:val="20"/>
                <w:shd w:val="clear" w:color="auto" w:fill="FFFFFF"/>
              </w:rPr>
              <w:t>163 DM</w:t>
            </w:r>
          </w:p>
        </w:tc>
      </w:tr>
    </w:tbl>
    <w:p w:rsidR="00783D2C" w:rsidRPr="00783D2C" w:rsidRDefault="00783D2C" w:rsidP="00783D2C">
      <w:pPr>
        <w:spacing w:after="0" w:line="276" w:lineRule="auto"/>
        <w:rPr>
          <w:rFonts w:cstheme="minorHAnsi"/>
          <w:color w:val="000000"/>
          <w:shd w:val="clear" w:color="auto" w:fill="FFFFFF"/>
        </w:rPr>
      </w:pPr>
      <w:r w:rsidRPr="00783D2C">
        <w:rPr>
          <w:rFonts w:cstheme="minorHAnsi"/>
          <w:color w:val="000000"/>
          <w:shd w:val="clear" w:color="auto" w:fill="FFFFFF"/>
        </w:rPr>
        <w:t>* V tabeli so navedene ocene podjetij glede sofinanciranja iz SPP. Odločitve glede sofinanciranja posameznih projektov bodo sprejete na podlagi izvedenega postopka javnega razpisa, v okviru katerega bodo med drugimi določeni in presojani upravičeni stroški naložbe, upoštevana pravila državnih pomoči in razpoložljiva sredstva.</w:t>
      </w:r>
    </w:p>
    <w:p w:rsidR="00783D2C" w:rsidRPr="00783D2C" w:rsidRDefault="00783D2C" w:rsidP="00783D2C">
      <w:pPr>
        <w:spacing w:after="0" w:line="276" w:lineRule="auto"/>
        <w:rPr>
          <w:rFonts w:ascii="Times New Roman" w:hAnsi="Times New Roman" w:cstheme="minorHAnsi"/>
          <w:sz w:val="24"/>
        </w:rPr>
      </w:pPr>
      <w:r w:rsidRPr="00783D2C">
        <w:rPr>
          <w:rFonts w:cstheme="minorHAnsi"/>
          <w:color w:val="000000"/>
          <w:shd w:val="clear" w:color="auto" w:fill="FFFFFF"/>
        </w:rPr>
        <w:t xml:space="preserve">Podprte bodo investicije , ki bodo skladne z načelom, da se ne škoduje bistveno in ne škoduje okoljskim ciljem Evropske unije (načelo DNSH), določenim v 17. členu Uredbe 2020/852/EU. Pri investiciji v širitev zmogljivosti gospodarske družbe ali v bistveno spremembo v celotnem proizvodnem procesu gospodarske družbe, se mora poraba energije pri proizvodnji obstoječega proizvoda zmanjšati vsaj za 10%. Pri investiciji v vzpostavitev nove gospodarske družbe ali v diverzifikacijo proizvodnje gospodarske družbe v nove proizvode, ki niso bili predhodno proizvedeni v gospodarski družbi, mora biti iz </w:t>
      </w:r>
      <w:r w:rsidRPr="00783D2C">
        <w:rPr>
          <w:rFonts w:cstheme="minorHAnsi"/>
          <w:color w:val="000000"/>
          <w:shd w:val="clear" w:color="auto" w:fill="FFFFFF"/>
        </w:rPr>
        <w:lastRenderedPageBreak/>
        <w:t>investicijske dokumentacije razviden nakup novih strojev in opreme, ki mora biti skladna z najvišjimi energetskimi standardi oziroma se nanaša na najboljšo razpoložljivo tehnologijo</w:t>
      </w:r>
    </w:p>
    <w:p w:rsidR="00783D2C" w:rsidRDefault="00783D2C"/>
    <w:sectPr w:rsidR="00783D2C" w:rsidSect="00783D2C">
      <w:pgSz w:w="16838" w:h="11906" w:orient="landscape"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6D8"/>
    <w:multiLevelType w:val="hybridMultilevel"/>
    <w:tmpl w:val="481836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81783A"/>
    <w:multiLevelType w:val="hybridMultilevel"/>
    <w:tmpl w:val="C744285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47E56524"/>
    <w:multiLevelType w:val="hybridMultilevel"/>
    <w:tmpl w:val="4FA4B3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D4933E0"/>
    <w:multiLevelType w:val="hybridMultilevel"/>
    <w:tmpl w:val="CBAE91B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644874B5"/>
    <w:multiLevelType w:val="hybridMultilevel"/>
    <w:tmpl w:val="481836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57B5014"/>
    <w:multiLevelType w:val="hybridMultilevel"/>
    <w:tmpl w:val="7150775A"/>
    <w:lvl w:ilvl="0" w:tplc="349EF4AA">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E8C0D1C"/>
    <w:multiLevelType w:val="hybridMultilevel"/>
    <w:tmpl w:val="AFB8B55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5E"/>
    <w:rsid w:val="0001655E"/>
    <w:rsid w:val="001970AB"/>
    <w:rsid w:val="003B2FA7"/>
    <w:rsid w:val="00744541"/>
    <w:rsid w:val="00783D2C"/>
    <w:rsid w:val="00924221"/>
    <w:rsid w:val="009F465B"/>
    <w:rsid w:val="00AB2AA0"/>
    <w:rsid w:val="00EF3B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A989"/>
  <w15:chartTrackingRefBased/>
  <w15:docId w15:val="{7C6C3A77-2780-4DDA-BAD8-D3D706BA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655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83D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783D2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83D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3734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SVRK</cp:lastModifiedBy>
  <cp:revision>2</cp:revision>
  <dcterms:created xsi:type="dcterms:W3CDTF">2022-10-26T07:57:00Z</dcterms:created>
  <dcterms:modified xsi:type="dcterms:W3CDTF">2022-10-26T08:01:00Z</dcterms:modified>
</cp:coreProperties>
</file>