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245A6" w14:textId="47CFD1B3" w:rsidR="00063F6C" w:rsidRDefault="00063F6C" w:rsidP="00E2796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sl-SI" w:eastAsia="sl-SI"/>
        </w:rPr>
      </w:pPr>
      <w:r>
        <w:rPr>
          <w:rFonts w:asciiTheme="minorHAnsi" w:hAnsiTheme="minorHAnsi" w:cstheme="minorHAnsi"/>
          <w:b/>
          <w:sz w:val="20"/>
          <w:szCs w:val="20"/>
          <w:lang w:val="sl-SI" w:eastAsia="sl-SI"/>
        </w:rPr>
        <w:t>SPP SPECIFIČNI KAZALNIKI</w:t>
      </w:r>
      <w:r w:rsidR="00DA4E80">
        <w:rPr>
          <w:rFonts w:asciiTheme="minorHAnsi" w:hAnsiTheme="minorHAnsi" w:cstheme="minorHAnsi"/>
          <w:b/>
          <w:sz w:val="20"/>
          <w:szCs w:val="20"/>
          <w:lang w:val="sl-SI" w:eastAsia="sl-SI"/>
        </w:rPr>
        <w:t xml:space="preserve"> za ONPP ZASAVJE</w:t>
      </w:r>
    </w:p>
    <w:p w14:paraId="16B7D8F2" w14:textId="7AE10D34" w:rsidR="00E2796D" w:rsidRDefault="00E2796D" w:rsidP="00E2796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sl-SI" w:eastAsia="sl-SI"/>
        </w:rPr>
      </w:pPr>
      <w:r w:rsidRPr="00AE4DE1">
        <w:rPr>
          <w:rFonts w:asciiTheme="minorHAnsi" w:hAnsiTheme="minorHAnsi" w:cstheme="minorHAnsi"/>
          <w:b/>
          <w:sz w:val="20"/>
          <w:szCs w:val="20"/>
          <w:lang w:val="sl-SI" w:eastAsia="sl-SI"/>
        </w:rPr>
        <w:t>Metodologija za določanje okvira smotrnosti</w:t>
      </w:r>
      <w:r w:rsidRPr="00AE4DE1">
        <w:rPr>
          <w:rFonts w:asciiTheme="minorHAnsi" w:hAnsiTheme="minorHAnsi" w:cstheme="minorHAnsi"/>
          <w:b/>
          <w:sz w:val="20"/>
          <w:szCs w:val="20"/>
          <w:vertAlign w:val="superscript"/>
          <w:lang w:val="sl-SI" w:eastAsia="sl-SI"/>
        </w:rPr>
        <w:footnoteReference w:id="1"/>
      </w:r>
      <w:r w:rsidR="008E6F58">
        <w:rPr>
          <w:rFonts w:asciiTheme="minorHAnsi" w:hAnsiTheme="minorHAnsi" w:cstheme="minorHAnsi"/>
          <w:b/>
          <w:sz w:val="20"/>
          <w:szCs w:val="20"/>
          <w:lang w:val="sl-SI" w:eastAsia="sl-SI"/>
        </w:rPr>
        <w:t xml:space="preserve"> </w:t>
      </w:r>
    </w:p>
    <w:p w14:paraId="260A8678" w14:textId="77777777" w:rsidR="00E2796D" w:rsidRPr="00AE4DE1" w:rsidRDefault="00E2796D" w:rsidP="00E2796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tbl>
      <w:tblPr>
        <w:tblW w:w="89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83"/>
        <w:gridCol w:w="1099"/>
        <w:gridCol w:w="1182"/>
        <w:gridCol w:w="676"/>
        <w:gridCol w:w="1090"/>
        <w:gridCol w:w="1145"/>
        <w:gridCol w:w="919"/>
      </w:tblGrid>
      <w:tr w:rsidR="00E2796D" w:rsidRPr="00DA4E80" w14:paraId="32A40715" w14:textId="77777777" w:rsidTr="004D08F5">
        <w:trPr>
          <w:trHeight w:val="308"/>
        </w:trPr>
        <w:tc>
          <w:tcPr>
            <w:tcW w:w="2902" w:type="dxa"/>
            <w:shd w:val="clear" w:color="auto" w:fill="auto"/>
          </w:tcPr>
          <w:p w14:paraId="7CD5792A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0"/>
                <w:szCs w:val="20"/>
                <w:lang w:val="sl-SI" w:eastAsia="hu-HU"/>
              </w:rPr>
              <w:t>CILJ POLITIKE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24963CB7" w14:textId="5EFC4D4D" w:rsidR="00E2796D" w:rsidRPr="0064032E" w:rsidRDefault="00AE0BF3" w:rsidP="00B95CE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caps/>
                <w:sz w:val="20"/>
                <w:szCs w:val="20"/>
                <w:lang w:val="sl-SI" w:eastAsia="hu-HU"/>
              </w:rPr>
            </w:pPr>
            <w:r w:rsidRPr="0064032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CP 6: </w:t>
            </w:r>
            <w:r w:rsidR="005659DA" w:rsidRPr="0064032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Evropa</w:t>
            </w:r>
            <w:r w:rsidRPr="0064032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 za pravični prehod</w:t>
            </w:r>
          </w:p>
        </w:tc>
      </w:tr>
      <w:tr w:rsidR="00E2796D" w:rsidRPr="00AE4DE1" w14:paraId="0490A8CA" w14:textId="77777777" w:rsidTr="004D08F5">
        <w:trPr>
          <w:trHeight w:val="201"/>
        </w:trPr>
        <w:tc>
          <w:tcPr>
            <w:tcW w:w="2902" w:type="dxa"/>
            <w:shd w:val="clear" w:color="auto" w:fill="auto"/>
          </w:tcPr>
          <w:p w14:paraId="59B078DC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Sklad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62196DA8" w14:textId="77777777" w:rsidR="00E2796D" w:rsidRPr="00AE4DE1" w:rsidRDefault="000756AE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SPP</w:t>
            </w:r>
          </w:p>
        </w:tc>
      </w:tr>
      <w:tr w:rsidR="00E2796D" w:rsidRPr="00AE4DE1" w14:paraId="2B2CDB16" w14:textId="77777777" w:rsidTr="004D08F5">
        <w:trPr>
          <w:trHeight w:val="130"/>
        </w:trPr>
        <w:tc>
          <w:tcPr>
            <w:tcW w:w="2902" w:type="dxa"/>
            <w:shd w:val="clear" w:color="auto" w:fill="auto"/>
          </w:tcPr>
          <w:p w14:paraId="3CA8104B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Prednostna naloga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1685EEF5" w14:textId="77777777" w:rsidR="00E2796D" w:rsidRPr="00AE4DE1" w:rsidRDefault="008D1684" w:rsidP="000756A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PN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10</w:t>
            </w: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:</w:t>
            </w:r>
            <w:r w:rsidR="000F7D9C" w:rsidRPr="00AE4DE1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Prestrukturiranje premogovnih regij</w:t>
            </w:r>
          </w:p>
        </w:tc>
      </w:tr>
      <w:tr w:rsidR="00AB621B" w:rsidRPr="00AE4DE1" w14:paraId="1958277B" w14:textId="77777777" w:rsidTr="00F06FF5">
        <w:trPr>
          <w:trHeight w:val="924"/>
        </w:trPr>
        <w:tc>
          <w:tcPr>
            <w:tcW w:w="2902" w:type="dxa"/>
            <w:shd w:val="clear" w:color="auto" w:fill="auto"/>
          </w:tcPr>
          <w:p w14:paraId="72DDA9AA" w14:textId="77777777" w:rsidR="00AB621B" w:rsidRPr="00AE4DE1" w:rsidRDefault="00AB621B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Specifični cilj(i)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CC2D452" w14:textId="77777777" w:rsidR="00AB621B" w:rsidRPr="00AE4DE1" w:rsidRDefault="00AB621B" w:rsidP="000756A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SC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1.1</w:t>
            </w: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: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Sklad za pravični prehod</w:t>
            </w:r>
          </w:p>
        </w:tc>
      </w:tr>
      <w:tr w:rsidR="00E2796D" w:rsidRPr="00B27BA7" w14:paraId="189CC167" w14:textId="77777777" w:rsidTr="004D08F5">
        <w:trPr>
          <w:trHeight w:val="297"/>
        </w:trPr>
        <w:tc>
          <w:tcPr>
            <w:tcW w:w="2902" w:type="dxa"/>
            <w:shd w:val="clear" w:color="auto" w:fill="D9D9D9"/>
            <w:hideMark/>
          </w:tcPr>
          <w:p w14:paraId="65EF5D6B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1. Ime kazalnika</w:t>
            </w:r>
          </w:p>
        </w:tc>
        <w:tc>
          <w:tcPr>
            <w:tcW w:w="6092" w:type="dxa"/>
            <w:gridSpan w:val="6"/>
            <w:shd w:val="clear" w:color="auto" w:fill="D9D9D9"/>
          </w:tcPr>
          <w:p w14:paraId="6190DC5B" w14:textId="45F1E0CC" w:rsidR="005659DA" w:rsidRPr="00AE4DE1" w:rsidRDefault="005659DA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Urejene površine za gospodarsko dejavnost </w:t>
            </w:r>
          </w:p>
          <w:p w14:paraId="62F62956" w14:textId="60C85CCE" w:rsidR="00C0677E" w:rsidRPr="00AE4DE1" w:rsidRDefault="00C0677E" w:rsidP="006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</w:tr>
      <w:tr w:rsidR="00E2796D" w:rsidRPr="00AE4DE1" w14:paraId="63A4AD56" w14:textId="77777777" w:rsidTr="004D08F5">
        <w:trPr>
          <w:trHeight w:val="301"/>
        </w:trPr>
        <w:tc>
          <w:tcPr>
            <w:tcW w:w="2902" w:type="dxa"/>
            <w:shd w:val="clear" w:color="auto" w:fill="auto"/>
          </w:tcPr>
          <w:p w14:paraId="50B45B3E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2. Identifikator oz. šifra kazalnika</w:t>
            </w:r>
          </w:p>
          <w:p w14:paraId="321D36A9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1BF05445" w14:textId="639848B6" w:rsidR="00641C6A" w:rsidRPr="00AE4DE1" w:rsidRDefault="00AB621B" w:rsidP="00C51D9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Programsko</w:t>
            </w:r>
            <w:r w:rsidR="00B243E6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specifični kazalnik </w:t>
            </w:r>
          </w:p>
          <w:p w14:paraId="552ABD15" w14:textId="5825B9C1" w:rsidR="00AB621B" w:rsidRPr="00AE4DE1" w:rsidRDefault="00AB621B" w:rsidP="00641C6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</w:tr>
      <w:tr w:rsidR="00E2796D" w:rsidRPr="00DA4E80" w14:paraId="1665C615" w14:textId="77777777" w:rsidTr="004D08F5">
        <w:trPr>
          <w:trHeight w:val="278"/>
        </w:trPr>
        <w:tc>
          <w:tcPr>
            <w:tcW w:w="2902" w:type="dxa"/>
            <w:shd w:val="clear" w:color="auto" w:fill="auto"/>
            <w:hideMark/>
          </w:tcPr>
          <w:p w14:paraId="3F9AACDC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3. Definicija</w:t>
            </w:r>
          </w:p>
          <w:p w14:paraId="2BE64DFD" w14:textId="77777777" w:rsidR="00E2796D" w:rsidRPr="00AE4DE1" w:rsidRDefault="00E2796D" w:rsidP="00402A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K</w:t>
            </w:r>
            <w:r w:rsidR="000D25D6"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oga</w:t>
            </w: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 xml:space="preserve"> spremljamo, k</w:t>
            </w:r>
            <w:r w:rsidR="000D25D6"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aj</w:t>
            </w: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 xml:space="preserve"> merimo, katere podatke zbiramo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D4AA320" w14:textId="7EFC27D1" w:rsidR="00886627" w:rsidRPr="00AE4DE1" w:rsidRDefault="004C600E" w:rsidP="0088662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Kazalnik</w:t>
            </w:r>
            <w:r w:rsidR="00641C6A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: beleži obseg površin, urejenih za gospodarsko dejavnost </w:t>
            </w:r>
            <w:r w:rsidR="0088662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</w:p>
          <w:p w14:paraId="640B0904" w14:textId="5C331B39" w:rsidR="00E2796D" w:rsidRPr="00AE4DE1" w:rsidRDefault="00E2796D" w:rsidP="004C600E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</w:tr>
      <w:tr w:rsidR="00B243E6" w:rsidRPr="00DA4E80" w14:paraId="54455651" w14:textId="77777777" w:rsidTr="004D08F5">
        <w:trPr>
          <w:trHeight w:val="229"/>
        </w:trPr>
        <w:tc>
          <w:tcPr>
            <w:tcW w:w="2902" w:type="dxa"/>
            <w:shd w:val="clear" w:color="auto" w:fill="auto"/>
            <w:hideMark/>
          </w:tcPr>
          <w:p w14:paraId="596CCF1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4. Metodološka pojasnila</w:t>
            </w:r>
          </w:p>
          <w:p w14:paraId="3E52BAA5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Pojasnila, na kateri ravni  spremljamo  kazalnik (na ravni operacije, specifičnega cilja, prednostne naloge, cilja politike).</w:t>
            </w:r>
          </w:p>
          <w:p w14:paraId="06CF1261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Pogoji za doseganje kazalnika (npr. minimalno število ur  vključitve, sodelovanje skozi celotno obdobje izvajanja operacije…).</w:t>
            </w:r>
          </w:p>
          <w:p w14:paraId="5100BCD3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Dokazila za spremljanje kazalnika (s katerim se dokazuje dosežena vrednost kazalnika, npr.:  pogodba o zaposlitvi,  lista prisotnosti,   podpisan dogovor o sodelovanju.)</w:t>
            </w:r>
          </w:p>
          <w:p w14:paraId="2458BD3A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 xml:space="preserve">V primeru, da se kazalnik nanaša na osebe se navede ali se osebo šteje enkrat na operacijo ali se šteje ob vsaki vključitvi v posamezni program/usposabljanje. </w:t>
            </w:r>
          </w:p>
          <w:p w14:paraId="7B6013FD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Časovni okvir zajemanja podatkov (npr. ob vključitvi posameznika oz. ob začetku operacije, ob izstopu posameznika, zaključku operacije, po določenem časovnem obdobju.)</w:t>
            </w:r>
          </w:p>
          <w:p w14:paraId="2FEBBA69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lastRenderedPageBreak/>
              <w:t>Vrste podatkov (podatki iz operacije, statistični podatki, drugi podatki)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7560A23A" w14:textId="77777777" w:rsidR="00B243E6" w:rsidRPr="00AE4DE1" w:rsidRDefault="00B243E6" w:rsidP="00B243E6">
            <w:pPr>
              <w:pStyle w:val="Odstavekseznam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9D52A96" w14:textId="1FC8CCAC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Kazalnik spremljamo na ravni specifičnega cilja.</w:t>
            </w:r>
          </w:p>
          <w:p w14:paraId="31CFA3F8" w14:textId="77777777" w:rsidR="00B243E6" w:rsidRPr="00AE4DE1" w:rsidRDefault="00B243E6" w:rsidP="00B243E6">
            <w:pPr>
              <w:pStyle w:val="Odstavekseznam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C489EB6" w14:textId="013F311A" w:rsidR="00B243E6" w:rsidRPr="00AE4DE1" w:rsidRDefault="00F55C5D" w:rsidP="00F06FF5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Pogoj je urejena površina za gospodarsko dejavnost </w:t>
            </w:r>
          </w:p>
          <w:p w14:paraId="38FD982A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73C35A66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Dokazilo: Sklenjena pogodba o izvedbi projekta pri podprtih projektih</w:t>
            </w:r>
          </w:p>
          <w:p w14:paraId="286FDE69" w14:textId="77777777" w:rsidR="00B243E6" w:rsidRPr="00AE4DE1" w:rsidRDefault="00B243E6" w:rsidP="00B243E6">
            <w:pPr>
              <w:pStyle w:val="Odstavekseznam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6B43696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Kazalnik se ne nanaša na osebe.</w:t>
            </w:r>
          </w:p>
          <w:p w14:paraId="2A9F0D88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32D6E99B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Časovni okvir: Ob sklenitvi pogodbe, ob začetku/koncu operacije.</w:t>
            </w:r>
          </w:p>
          <w:p w14:paraId="79CCB8EB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3DDF18DD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Vrsta podatkov: Podatki iz operacije. </w:t>
            </w:r>
          </w:p>
          <w:p w14:paraId="21B5BDF6" w14:textId="30F60972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</w:tr>
      <w:tr w:rsidR="00B243E6" w:rsidRPr="007A08F6" w14:paraId="04DE3744" w14:textId="77777777" w:rsidTr="004D08F5">
        <w:trPr>
          <w:trHeight w:val="265"/>
        </w:trPr>
        <w:tc>
          <w:tcPr>
            <w:tcW w:w="2902" w:type="dxa"/>
            <w:shd w:val="clear" w:color="auto" w:fill="auto"/>
          </w:tcPr>
          <w:p w14:paraId="030D3400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5. Vir podatkov</w:t>
            </w:r>
          </w:p>
          <w:p w14:paraId="2C909DEC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Kdo je odgovoren za zbiranje podatkov (upravičenec, skrbnik pogodbe, druga oseba na posredniškem/izvajalskem telesu, SURS, AJPES, intervju, anketa med uporabniki, itd…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30729DF" w14:textId="74945B8F" w:rsidR="00B243E6" w:rsidRPr="00AE4DE1" w:rsidRDefault="006C3317" w:rsidP="006C331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Upravičenci, RRA Zasavje,</w:t>
            </w:r>
            <w:r w:rsidR="00F55C5D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MGRT</w:t>
            </w:r>
          </w:p>
        </w:tc>
      </w:tr>
      <w:tr w:rsidR="00B243E6" w:rsidRPr="00AE4DE1" w14:paraId="04407128" w14:textId="77777777" w:rsidTr="004D08F5">
        <w:trPr>
          <w:trHeight w:val="265"/>
        </w:trPr>
        <w:tc>
          <w:tcPr>
            <w:tcW w:w="2902" w:type="dxa"/>
            <w:shd w:val="clear" w:color="auto" w:fill="auto"/>
            <w:hideMark/>
          </w:tcPr>
          <w:p w14:paraId="5BFAEAB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6. Merska enota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40B6577" w14:textId="0BE5857D" w:rsidR="00B243E6" w:rsidRPr="00AE4DE1" w:rsidRDefault="008C68A4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ha</w:t>
            </w:r>
          </w:p>
        </w:tc>
      </w:tr>
      <w:tr w:rsidR="00B243E6" w:rsidRPr="00AE4DE1" w14:paraId="44002D38" w14:textId="77777777" w:rsidTr="00B243E6">
        <w:trPr>
          <w:trHeight w:val="210"/>
        </w:trPr>
        <w:tc>
          <w:tcPr>
            <w:tcW w:w="2902" w:type="dxa"/>
            <w:vMerge w:val="restart"/>
            <w:shd w:val="clear" w:color="auto" w:fill="D9D9D9" w:themeFill="background1" w:themeFillShade="D9"/>
          </w:tcPr>
          <w:p w14:paraId="3741C6BA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7.a Vrednost za kazalnik učinka</w:t>
            </w: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7171941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2024 </w:t>
            </w:r>
          </w:p>
          <w:p w14:paraId="2D4A9A2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2209CB8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6CD1B456" w14:textId="6A34A795" w:rsidR="00B243E6" w:rsidRPr="00AE4DE1" w:rsidRDefault="00593288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0</w:t>
            </w:r>
          </w:p>
        </w:tc>
      </w:tr>
      <w:tr w:rsidR="00B243E6" w:rsidRPr="00AE4DE1" w14:paraId="12632FA9" w14:textId="77777777" w:rsidTr="00B243E6">
        <w:trPr>
          <w:trHeight w:val="210"/>
        </w:trPr>
        <w:tc>
          <w:tcPr>
            <w:tcW w:w="2902" w:type="dxa"/>
            <w:vMerge/>
            <w:shd w:val="clear" w:color="auto" w:fill="D9D9D9" w:themeFill="background1" w:themeFillShade="D9"/>
            <w:hideMark/>
          </w:tcPr>
          <w:p w14:paraId="55D39F6D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hideMark/>
          </w:tcPr>
          <w:p w14:paraId="3297E98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08E673C1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0BF35DD3" w14:textId="754C938C" w:rsidR="00B243E6" w:rsidRPr="00AE4DE1" w:rsidRDefault="008C68A4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0</w:t>
            </w:r>
          </w:p>
        </w:tc>
      </w:tr>
      <w:tr w:rsidR="00B243E6" w:rsidRPr="00AE4DE1" w14:paraId="7D5C6337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02282F3B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5AA88CD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0F2F62C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27EE55C0" w14:textId="740453BF" w:rsidR="00B243E6" w:rsidRPr="00063F6C" w:rsidRDefault="00692D79" w:rsidP="00692D79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11,8</w:t>
            </w:r>
            <w:r w:rsidR="00045112" w:rsidRPr="00063F6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ha</w:t>
            </w:r>
          </w:p>
        </w:tc>
      </w:tr>
      <w:tr w:rsidR="00B243E6" w:rsidRPr="00B27BA7" w14:paraId="421211E1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5C572539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</w:tcPr>
          <w:p w14:paraId="163BD97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1111A6C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6D39161C" w14:textId="7629436F" w:rsidR="00B243E6" w:rsidRPr="00063F6C" w:rsidRDefault="00692D79" w:rsidP="00B27BA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11,8</w:t>
            </w:r>
            <w:r w:rsidR="00C31E01" w:rsidRPr="00063F6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ha</w:t>
            </w:r>
          </w:p>
        </w:tc>
      </w:tr>
      <w:tr w:rsidR="00B243E6" w:rsidRPr="00AE4DE1" w14:paraId="4061C0B6" w14:textId="77777777" w:rsidTr="00B243E6">
        <w:trPr>
          <w:trHeight w:val="265"/>
        </w:trPr>
        <w:tc>
          <w:tcPr>
            <w:tcW w:w="2902" w:type="dxa"/>
            <w:vMerge w:val="restart"/>
            <w:shd w:val="clear" w:color="auto" w:fill="D9D9D9" w:themeFill="background1" w:themeFillShade="D9"/>
          </w:tcPr>
          <w:p w14:paraId="4A44B92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7.b Vrednost za kazalnik rezultata</w:t>
            </w:r>
          </w:p>
          <w:p w14:paraId="49810EC0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  <w:p w14:paraId="771FAAF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14EE05E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color w:val="FF000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Izhodiščno leto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A64DEF6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5ACA42C1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2022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1C6FD99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Izhodiščna vrednost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9FAD916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7766DE0E" w14:textId="4035F68D" w:rsidR="00B243E6" w:rsidRPr="00AE4DE1" w:rsidRDefault="0098059D" w:rsidP="00B243E6">
            <w:pPr>
              <w:spacing w:after="0" w:line="36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0</w:t>
            </w:r>
          </w:p>
        </w:tc>
      </w:tr>
      <w:tr w:rsidR="00B243E6" w:rsidRPr="00B27BA7" w14:paraId="55A8E87D" w14:textId="77777777" w:rsidTr="00B243E6">
        <w:trPr>
          <w:trHeight w:val="26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012AE940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6642FBA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2029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3A3D633C" w14:textId="77777777" w:rsidR="005871B7" w:rsidRDefault="00B243E6" w:rsidP="005871B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  <w:p w14:paraId="32BC8FAF" w14:textId="4BE12BE0" w:rsidR="00B243E6" w:rsidRPr="00AE4DE1" w:rsidRDefault="00B243E6" w:rsidP="005871B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884" w:type="dxa"/>
            <w:gridSpan w:val="4"/>
            <w:shd w:val="clear" w:color="auto" w:fill="D9D9D9" w:themeFill="background1" w:themeFillShade="D9"/>
          </w:tcPr>
          <w:p w14:paraId="3B577403" w14:textId="0126E9EA" w:rsidR="005871B7" w:rsidRDefault="005871B7" w:rsidP="000B25D6">
            <w:pPr>
              <w:spacing w:after="0" w:line="36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7D30D6AF" w14:textId="67699AE2" w:rsidR="00B243E6" w:rsidRPr="005716CF" w:rsidRDefault="00B243E6" w:rsidP="000B25D6">
            <w:pPr>
              <w:spacing w:after="0" w:line="360" w:lineRule="auto"/>
              <w:rPr>
                <w:rFonts w:asciiTheme="minorHAnsi" w:eastAsia="Times New Roman" w:hAnsiTheme="minorHAnsi" w:cstheme="minorHAnsi"/>
                <w:iCs/>
                <w:color w:val="0070C0"/>
                <w:sz w:val="20"/>
                <w:szCs w:val="20"/>
                <w:lang w:val="sl-SI" w:eastAsia="hu-HU"/>
              </w:rPr>
            </w:pPr>
          </w:p>
        </w:tc>
      </w:tr>
      <w:tr w:rsidR="00B243E6" w:rsidRPr="00AE4DE1" w14:paraId="7259DD92" w14:textId="77777777" w:rsidTr="00B243E6">
        <w:trPr>
          <w:trHeight w:val="195"/>
        </w:trPr>
        <w:tc>
          <w:tcPr>
            <w:tcW w:w="2902" w:type="dxa"/>
            <w:vMerge w:val="restart"/>
            <w:shd w:val="clear" w:color="auto" w:fill="D9D9D9" w:themeFill="background1" w:themeFillShade="D9"/>
          </w:tcPr>
          <w:p w14:paraId="4BEBF96C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 xml:space="preserve">8. Finančna vrednost </w:t>
            </w:r>
          </w:p>
          <w:p w14:paraId="36CC814C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5E890B0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2024</w:t>
            </w: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 xml:space="preserve"> </w:t>
            </w:r>
            <w:r w:rsidRPr="00AE4DE1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sl-SI" w:eastAsia="hu-HU"/>
              </w:rPr>
              <w:t>(le za kazalnik učinka)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4A785A1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54E50E13" w14:textId="010DE8EF" w:rsidR="00B243E6" w:rsidRPr="00AE4DE1" w:rsidRDefault="008C68A4" w:rsidP="00593288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EUR</w:t>
            </w:r>
            <w:r w:rsidR="005929A5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</w:p>
        </w:tc>
      </w:tr>
      <w:tr w:rsidR="00B243E6" w:rsidRPr="00AE4DE1" w14:paraId="283CFDF2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7C960EBD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</w:tcPr>
          <w:p w14:paraId="23C06DA9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283BAFC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665D66C8" w14:textId="4B4E2127" w:rsidR="00B243E6" w:rsidRPr="00AE4DE1" w:rsidRDefault="008C68A4" w:rsidP="008C68A4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EUR</w:t>
            </w:r>
          </w:p>
        </w:tc>
      </w:tr>
      <w:tr w:rsidR="00B243E6" w:rsidRPr="00AD3CBA" w14:paraId="59022159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46E6E6FC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2338229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3B94F5C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4CE3C4CF" w14:textId="3083C212" w:rsidR="00B243E6" w:rsidRPr="00AE4DE1" w:rsidRDefault="004C72E9" w:rsidP="00F4037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EUR </w:t>
            </w:r>
            <w:r w:rsidR="00F4037A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8.800.000,00</w:t>
            </w:r>
          </w:p>
        </w:tc>
      </w:tr>
      <w:tr w:rsidR="00B243E6" w:rsidRPr="00AD3CBA" w14:paraId="2B72CB9E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41C63F9B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</w:tcPr>
          <w:p w14:paraId="6D82E2D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51454186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495DB843" w14:textId="12F8BEFF" w:rsidR="00B243E6" w:rsidRPr="00AE4DE1" w:rsidRDefault="004C72E9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EUR</w:t>
            </w: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 w:rsidR="00F4037A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8.800.000,00</w:t>
            </w:r>
          </w:p>
        </w:tc>
      </w:tr>
      <w:tr w:rsidR="00B243E6" w:rsidRPr="00AD3CBA" w14:paraId="30D37878" w14:textId="77777777" w:rsidTr="004D08F5">
        <w:trPr>
          <w:trHeight w:val="263"/>
        </w:trPr>
        <w:tc>
          <w:tcPr>
            <w:tcW w:w="8994" w:type="dxa"/>
            <w:gridSpan w:val="7"/>
            <w:shd w:val="clear" w:color="auto" w:fill="D9D9D9"/>
          </w:tcPr>
          <w:p w14:paraId="6DFA27BD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PODATKI ZA OKVIR SMOTRNOSTI</w:t>
            </w:r>
          </w:p>
        </w:tc>
      </w:tr>
      <w:tr w:rsidR="00B243E6" w:rsidRPr="00DA4E80" w14:paraId="043C50AD" w14:textId="77777777" w:rsidTr="004D08F5">
        <w:trPr>
          <w:trHeight w:val="2595"/>
        </w:trPr>
        <w:tc>
          <w:tcPr>
            <w:tcW w:w="2902" w:type="dxa"/>
            <w:shd w:val="clear" w:color="auto" w:fill="auto"/>
          </w:tcPr>
          <w:p w14:paraId="3BC16258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Metoda izračuna:</w:t>
            </w:r>
          </w:p>
          <w:p w14:paraId="04E6A024" w14:textId="77777777" w:rsidR="00B243E6" w:rsidRPr="00AE4DE1" w:rsidRDefault="00B243E6" w:rsidP="00B243E6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Podatki ali ugotovitve, uporabljene za oceno vrednosti mejnikov, izhodiščnih  in ciljnih vrednosti</w:t>
            </w:r>
          </w:p>
          <w:p w14:paraId="1E9A3436" w14:textId="77777777" w:rsidR="00B243E6" w:rsidRPr="00AE4DE1" w:rsidRDefault="00B243E6" w:rsidP="00B243E6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Metoda izračuna ciljne vrednosti, na primer podatke o stroških na enoto, referenčnih vrednostih, standardni ali pretekli stopnji izvajanja, strokovnem svetovanju in zaključkih preteklih vrednotenj</w:t>
            </w:r>
          </w:p>
          <w:p w14:paraId="1CD1B8C3" w14:textId="77777777" w:rsidR="00B243E6" w:rsidRPr="00AE4DE1" w:rsidRDefault="00B243E6" w:rsidP="00B243E6">
            <w:p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4265D4D0" w14:textId="77777777" w:rsidR="00B3636A" w:rsidRPr="00AE4DE1" w:rsidRDefault="00B3636A" w:rsidP="00B363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Za izračun kazalnika </w:t>
            </w: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Urejene površine za gospodarsko dejavnost </w:t>
            </w:r>
          </w:p>
          <w:p w14:paraId="18A363F3" w14:textId="0381C551" w:rsidR="00616A9E" w:rsidRPr="00AE4DE1" w:rsidRDefault="00B3636A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so bili upoštevani zgodovinski podatki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 površini izgradnje in opremljanje ekonomsko-poslovne infrastrukture 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 okviru projektov (NPO) iz dogovor za razvoj regij</w:t>
            </w:r>
            <w:r w:rsidR="00F06FF5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izgradnje, širitve in komunalno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oprem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ljanje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ekonomsko-poslovne infrastruktur</w:t>
            </w:r>
            <w:r w:rsidR="0099195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 (poslovne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cone, industrijske cone, obrtne cone</w:t>
            </w:r>
            <w:r w:rsidR="0099195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, podjetniški inkubatorji, poslovni center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) v obdobju 2014-2020</w:t>
            </w:r>
            <w:r w:rsidR="0099195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v Zasavski regiji in Savinjski regiji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. </w:t>
            </w:r>
          </w:p>
          <w:p w14:paraId="56DFABB5" w14:textId="5DCB3092" w:rsidR="00616A9E" w:rsidRPr="00AE4DE1" w:rsidRDefault="00616A9E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8F505C1" w14:textId="27B68333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1. Podprtih je b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ilo </w:t>
            </w:r>
            <w:r w:rsidR="005716CF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10 PC v velikosti 37,5</w:t>
            </w:r>
            <w:r w:rsidR="009D149B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ha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.</w:t>
            </w:r>
          </w:p>
          <w:p w14:paraId="376860E3" w14:textId="2915D3EE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Skupna vrednost projektov je znašala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18,5 mio EUR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, skupna v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rednost sofinanciranja, 75 % celotne vrednosti projekta (EU+ SLO),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je znaš</w:t>
            </w:r>
            <w:r w:rsidR="005716CF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ala 14,14</w:t>
            </w:r>
            <w:r w:rsidR="008007F9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mio EUR </w:t>
            </w:r>
          </w:p>
          <w:p w14:paraId="78403966" w14:textId="46F67308" w:rsidR="00B3636A" w:rsidRDefault="00B3636A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Povprečna vrednost (strošek) izgradnje/širitve in komunalnega opremljanja PC je znašala </w:t>
            </w:r>
            <w:r w:rsidR="00FD737C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495 tisoč EUR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/ha (celotna vrednost projekta) oz. </w:t>
            </w:r>
            <w:r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377 tisoč EUR/ha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113B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če se upošteva sredstva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sofinanciranja </w:t>
            </w:r>
            <w:r w:rsidR="00FD737C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EU + SLO del</w:t>
            </w:r>
            <w:r w:rsidR="00113B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(75 % 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celotne vrednosti projektov)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. </w:t>
            </w:r>
          </w:p>
          <w:p w14:paraId="564E6729" w14:textId="55A91FF9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2F4C512C" w14:textId="77777777" w:rsidR="00B3636A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2. Podprti so bili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3 inkubatorji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v skupni površini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6943 m2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oz. 0,</w:t>
            </w:r>
            <w:r w:rsidR="008007F9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69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63 ha. </w:t>
            </w:r>
          </w:p>
          <w:p w14:paraId="191E61A6" w14:textId="7DA4620A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Skupna vrednost projektov je znašala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5,1</w:t>
            </w:r>
            <w:r w:rsidR="00B3636A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0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mio EUR</w:t>
            </w:r>
            <w:r w:rsidR="00B3636A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,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vrednost sofinanciranja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75 %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celotne vrednosti projektov 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(EU+SLO) 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je bil 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3,8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0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mio EUR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,</w:t>
            </w:r>
            <w:r w:rsidR="001D317F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)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.</w:t>
            </w:r>
          </w:p>
          <w:p w14:paraId="6CE9A224" w14:textId="636C8F1B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Povprečna vrednost projekta izgradnje 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in/ali opremljanja</w:t>
            </w:r>
            <w:r w:rsidR="00B3636A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inkubatorjev</w:t>
            </w:r>
            <w:r w:rsidR="00FB4170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je znašala 735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EUR/m2</w:t>
            </w:r>
            <w:r w:rsidR="00113B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(celotna vrednost projekta) oziroma </w:t>
            </w:r>
            <w:r w:rsidR="00FB4170"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548</w:t>
            </w:r>
            <w:r w:rsidR="00804E9F"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</w:t>
            </w:r>
            <w:r w:rsidR="009D149B"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EUR/m2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, če se upošteva 75 % vrednosti projektov, k predstavlja EU + Slo sofinanciranje. </w:t>
            </w:r>
          </w:p>
          <w:p w14:paraId="0B227333" w14:textId="4A015997" w:rsidR="005F6052" w:rsidRDefault="005F6052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0BBC1A93" w14:textId="77777777" w:rsidR="00995E2B" w:rsidRDefault="009D149B" w:rsidP="00277C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Na osnovi zgoraj n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avedenih podatkov in upoštevaje</w:t>
            </w:r>
            <w:r w:rsidR="00995E2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: </w:t>
            </w:r>
          </w:p>
          <w:p w14:paraId="729261F3" w14:textId="141C62FF" w:rsidR="009D149B" w:rsidRDefault="00995E2B" w:rsidP="00277C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-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30 % povečanje stroškov zaradi povečanje cen gradbenega materiala, storitev in opreme</w:t>
            </w:r>
          </w:p>
          <w:p w14:paraId="1C80CBEF" w14:textId="265CF88C" w:rsidR="00995E2B" w:rsidRDefault="00995E2B" w:rsidP="00277C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- povprečno 80 % stopnjo financiranja glede na vrednost projekta</w:t>
            </w:r>
          </w:p>
          <w:p w14:paraId="14EDC5B4" w14:textId="0760F122" w:rsidR="009D149B" w:rsidRDefault="005C0455" w:rsidP="009D149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lastRenderedPageBreak/>
              <w:t>b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i povprečni strošek izgradnje in komunalnega opremljanja PC znašal </w:t>
            </w:r>
            <w:r w:rsidR="00995E2B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sl-SI"/>
              </w:rPr>
              <w:t>514</w:t>
            </w:r>
            <w:r w:rsidR="00FB4170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sl-SI"/>
              </w:rPr>
              <w:t xml:space="preserve"> </w:t>
            </w:r>
            <w:r w:rsidR="009D149B" w:rsidRPr="005C0455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sl-SI"/>
              </w:rPr>
              <w:t>tisoč EUR/ha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, povprečni strošek izgradnj</w:t>
            </w:r>
            <w:r w:rsidR="00FB4170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e in opremljanja inkubatorja pa </w:t>
            </w:r>
            <w:r w:rsidR="00BE2036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764</w:t>
            </w:r>
            <w:r w:rsidR="009D149B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EUR /m2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. </w:t>
            </w:r>
          </w:p>
          <w:p w14:paraId="5AE9736E" w14:textId="48FE28DD" w:rsidR="009D149B" w:rsidRDefault="009D149B" w:rsidP="009D149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109890A9" w14:textId="4E2B9FAA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Pri določitvi razmerja med poslovnimi conami in inkubatorji tj. kolikšen del sredstev bo namenjen za poslovne cone in koliko za inkubatorje, smo izhajali iz vrednosti projektov s področ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ja podpornega okolja, ki so bil predlagani s strani premogovnih regij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. </w:t>
            </w:r>
          </w:p>
          <w:p w14:paraId="47F2670E" w14:textId="77777777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39685EC0" w14:textId="10BEE134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V Zasavju je razmerje vrednosti projektov na področju podpornega okolja 67 % 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vrednosti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za poslovne con in 33 % za inkubatorje. S sredstvi SPP za podporno okolje 8,8 mio EUR bi bilo mogoče podpreti:</w:t>
            </w:r>
          </w:p>
          <w:p w14:paraId="7407BD58" w14:textId="58EA9BF3" w:rsidR="00014F7E" w:rsidRDefault="00BE2036" w:rsidP="00014F7E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11,5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ha poslovnih con (5,896 mio EUR /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514 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tisoč EUR/ha)</w:t>
            </w:r>
          </w:p>
          <w:p w14:paraId="67F7D1C0" w14:textId="5C365581" w:rsidR="00014F7E" w:rsidRPr="005D0FF6" w:rsidRDefault="00BE2036" w:rsidP="00014F7E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3.799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m2 i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nkubatorjev (2,904 mio EUR / 764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EUR/m2)</w:t>
            </w:r>
          </w:p>
          <w:p w14:paraId="2936AB76" w14:textId="670F475B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Skupaj: </w:t>
            </w:r>
            <w:r w:rsidR="00BE2036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11,8</w:t>
            </w:r>
            <w:r w:rsidRPr="00F862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ha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urejenih površin za gospodarsko dejavnost</w:t>
            </w:r>
            <w:r w:rsidR="0031523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.</w:t>
            </w:r>
          </w:p>
          <w:p w14:paraId="315C993F" w14:textId="77777777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7CF1FCEA" w14:textId="47410186" w:rsidR="001C2BEC" w:rsidRDefault="00361BCF" w:rsidP="0099195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Podroben izračun je v prilogi. </w:t>
            </w:r>
          </w:p>
          <w:p w14:paraId="23E45C28" w14:textId="09CACFA8" w:rsidR="005F6052" w:rsidRDefault="005F6052" w:rsidP="0099195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221FDD07" w14:textId="52EF0E49" w:rsidR="00B243E6" w:rsidRDefault="001F67E5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59328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Navedeni izračuni ne vključujejo </w:t>
            </w:r>
            <w:r w:rsidRPr="00593288">
              <w:rPr>
                <w:rFonts w:asciiTheme="minorHAnsi" w:eastAsiaTheme="minorHAnsi" w:hAnsiTheme="minorHAnsi" w:cstheme="minorHAnsi"/>
                <w:sz w:val="20"/>
                <w:szCs w:val="20"/>
                <w:lang w:val="sl-SI"/>
              </w:rPr>
              <w:t xml:space="preserve">stroškov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sl-SI"/>
              </w:rPr>
              <w:t xml:space="preserve">obsežnejše </w:t>
            </w:r>
            <w:r w:rsidRPr="00593288">
              <w:rPr>
                <w:rFonts w:asciiTheme="minorHAnsi" w:eastAsiaTheme="minorHAnsi" w:hAnsiTheme="minorHAnsi" w:cstheme="minorHAnsi"/>
                <w:sz w:val="20"/>
                <w:szCs w:val="20"/>
                <w:lang w:val="sl-SI"/>
              </w:rPr>
              <w:t>prostorske in okoljske sanacije degradiranih površin, ki so posledica premogovne dejavnosti.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786124">
              <w:rPr>
                <w:rFonts w:asciiTheme="minorHAnsi" w:eastAsiaTheme="minorHAnsi" w:hAnsiTheme="minorHAnsi" w:cstheme="minorHAnsi"/>
                <w:sz w:val="20"/>
                <w:szCs w:val="20"/>
                <w:lang w:val="sl-SI"/>
              </w:rPr>
              <w:t>Projekti še niso razdelani do te mere, da bi bilo mogoče oceniti</w:t>
            </w:r>
            <w:r w:rsidR="00786124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, koliko bodo znašali / kolikšen delež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bodo predstavljali stroški okolijske in prostorske sanacije in kako obsežna dela bodo potrebna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val="sl-SI"/>
              </w:rPr>
              <w:t xml:space="preserve">Glede na obseg in višino teh stroškov se ciljna vrednost kazalnika </w:t>
            </w:r>
            <w:r w:rsidRPr="0078612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sl-SI" w:eastAsia="hu-HU"/>
              </w:rPr>
              <w:t>Urejene površine za gospodarsko dejavnost</w:t>
            </w:r>
            <w:r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 </w:t>
            </w:r>
            <w:r w:rsidRPr="0059328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ustrezno zmanjša</w:t>
            </w:r>
            <w:r w:rsidR="0030617D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la. </w:t>
            </w:r>
          </w:p>
          <w:p w14:paraId="5CFA3AF0" w14:textId="06B3EBDF" w:rsidR="00E20951" w:rsidRDefault="00E20951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417C934E" w14:textId="1655DB88" w:rsidR="0030617D" w:rsidRDefault="0030617D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Na spremembo kazalnika bo vplivalo tudi morebitno drugačno razmerje med podprtimi poslovnimi conami in inkubatorji kot je bilo upoštevano v izračunu.</w:t>
            </w:r>
          </w:p>
          <w:p w14:paraId="120C7DA1" w14:textId="3B6F2A36" w:rsidR="005F6052" w:rsidRPr="00AE4DE1" w:rsidRDefault="005F6052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color w:val="002060"/>
                <w:sz w:val="20"/>
                <w:szCs w:val="20"/>
                <w:lang w:val="sl-SI" w:eastAsia="hu-HU"/>
              </w:rPr>
            </w:pPr>
          </w:p>
        </w:tc>
      </w:tr>
      <w:tr w:rsidR="00B243E6" w:rsidRPr="00DA4E80" w14:paraId="79E214FC" w14:textId="77777777" w:rsidTr="004D08F5">
        <w:trPr>
          <w:trHeight w:val="982"/>
        </w:trPr>
        <w:tc>
          <w:tcPr>
            <w:tcW w:w="2902" w:type="dxa"/>
            <w:shd w:val="clear" w:color="auto" w:fill="auto"/>
          </w:tcPr>
          <w:p w14:paraId="18EF9F64" w14:textId="35354F61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lastRenderedPageBreak/>
              <w:t>Utemeljitev izbora/merila za izbor kazalnika/ glede na relevantnost intervencije ali glede upravičencev/uporabnikov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95F1165" w14:textId="77777777" w:rsidR="00E2273C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Izbor kazalnika je narejen na podlagi namena in cilja ukrepov ter </w:t>
            </w:r>
            <w:r w:rsidR="00E2273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na osnovi podatkov o podprtih projektih izgradnje in komunalnega opremljanja poslovnih con ter izgradnje in opremljanja inkubatorjev v regiji Zasavje in Savinjska regija. </w:t>
            </w:r>
          </w:p>
          <w:p w14:paraId="63A6B765" w14:textId="3066549A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0DD6861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2060"/>
                <w:sz w:val="20"/>
                <w:szCs w:val="20"/>
                <w:lang w:val="sl-SI" w:eastAsia="hu-HU"/>
              </w:rPr>
            </w:pPr>
          </w:p>
        </w:tc>
      </w:tr>
      <w:tr w:rsidR="00B243E6" w:rsidRPr="00DA4E80" w14:paraId="12C56448" w14:textId="77777777" w:rsidTr="004D08F5">
        <w:trPr>
          <w:trHeight w:val="562"/>
        </w:trPr>
        <w:tc>
          <w:tcPr>
            <w:tcW w:w="2902" w:type="dxa"/>
            <w:shd w:val="clear" w:color="auto" w:fill="auto"/>
          </w:tcPr>
          <w:p w14:paraId="714C0D71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Tveganje:</w:t>
            </w:r>
          </w:p>
          <w:p w14:paraId="0DAC98AC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Dejavniki, ki lahko vplivajo na doseganje mejnikov in ciljev in navedba načinov, kako bodo ti upoštevani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E617BF4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Možna tveganja so:</w:t>
            </w:r>
          </w:p>
          <w:p w14:paraId="0CDD2493" w14:textId="686150E3" w:rsidR="00B243E6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- negotove razmere za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radi energetske krize,</w:t>
            </w:r>
            <w:r w:rsidR="00B355F4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nadaljnja rast cen</w:t>
            </w: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itd.</w:t>
            </w:r>
          </w:p>
          <w:p w14:paraId="0A810C37" w14:textId="4FDA0057" w:rsidR="006254F0" w:rsidRDefault="006254F0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- 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projekti še niso natančno razdelani, zato še ni znan natančen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obseg in strošek okoljske in prostorske sanacije </w:t>
            </w:r>
            <w:r w:rsidR="00424C3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degradiranih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območij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zaradi premogovn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e dejavnosti </w:t>
            </w:r>
            <w:r w:rsidR="00424C3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(kot predpogoj za ureditev površin – PC /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inkubatorje</w:t>
            </w:r>
            <w:r w:rsidR="00424C3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 za gospodarsko dejavnost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)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</w:p>
          <w:p w14:paraId="3E8BFFCB" w14:textId="3D83D7E7" w:rsidR="00277273" w:rsidRDefault="00277273" w:rsidP="00277273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- velikost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in zahtevnost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projektov: metodologija ne vključuje velikih zahtevnih projektov</w:t>
            </w:r>
            <w:r w:rsidR="00B9455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(</w:t>
            </w:r>
            <w:r w:rsidR="00B9455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npr.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pametni objekti, nizkoenergijski in samooskrbni objekti, objekti kulturne dediščine)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, ki imajo višje povprečne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stroške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kot manjši, enostavnejši projekti, ki s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o bili podprti do sedaj in so bili vključeni v metodologijo</w:t>
            </w:r>
          </w:p>
          <w:p w14:paraId="34DCBEA8" w14:textId="77777777" w:rsidR="00DC3D86" w:rsidRPr="00AE4DE1" w:rsidRDefault="00DC3D86" w:rsidP="00DC3D8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- zapiranje finančne konstrukcije - zagotovitev manjkajočih sredstev iz drugih virov (integralni proračun, občinski proračun, …)</w:t>
            </w:r>
          </w:p>
          <w:p w14:paraId="138B0754" w14:textId="29F01020" w:rsidR="00DC3D86" w:rsidRDefault="00DC3D86" w:rsidP="00DC3D8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- zamik pričetka izvajanja ukrepa zaradi uvrščanje projektov v prostor,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</w:t>
            </w: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ridobivanje ustreznih dovoljenj in soglasij</w:t>
            </w:r>
          </w:p>
          <w:p w14:paraId="79A76A4C" w14:textId="3233F684" w:rsidR="008047EA" w:rsidRDefault="008047EA" w:rsidP="00DC3D8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- drugačno razmerje med poslovnimi conami in inkubat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orji (povprečni stroški inkubatorjev so </w:t>
            </w:r>
            <w:r w:rsidR="00584FBA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že po metodologiji 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zaradi drage opreme približno 14x višji od stroškov komunalnega opremljanja poslovnih con).</w:t>
            </w:r>
          </w:p>
          <w:p w14:paraId="48DE49E3" w14:textId="3336914B" w:rsidR="00B243E6" w:rsidRPr="00AE4DE1" w:rsidRDefault="00B243E6" w:rsidP="00277273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B050"/>
                <w:sz w:val="20"/>
                <w:szCs w:val="20"/>
                <w:lang w:val="sl-SI" w:eastAsia="hu-HU"/>
              </w:rPr>
            </w:pPr>
          </w:p>
        </w:tc>
      </w:tr>
    </w:tbl>
    <w:p w14:paraId="6DFC71D6" w14:textId="29D9E233" w:rsidR="006F7CD6" w:rsidRDefault="006F7CD6" w:rsidP="00E85D3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40346884" w14:textId="77777777" w:rsidR="006F7CD6" w:rsidRPr="006D06D5" w:rsidRDefault="006F7CD6" w:rsidP="006F7CD6">
      <w:pPr>
        <w:spacing w:after="0" w:line="240" w:lineRule="auto"/>
        <w:jc w:val="both"/>
        <w:rPr>
          <w:rFonts w:cs="Calibri"/>
          <w:b/>
          <w:sz w:val="18"/>
          <w:szCs w:val="18"/>
          <w:lang w:val="sl-SI"/>
        </w:rPr>
      </w:pPr>
    </w:p>
    <w:tbl>
      <w:tblPr>
        <w:tblW w:w="89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02"/>
        <w:gridCol w:w="1011"/>
        <w:gridCol w:w="1197"/>
        <w:gridCol w:w="679"/>
        <w:gridCol w:w="1051"/>
        <w:gridCol w:w="1197"/>
        <w:gridCol w:w="957"/>
      </w:tblGrid>
      <w:tr w:rsidR="006F7CD6" w:rsidRPr="00D27454" w14:paraId="1ED8126D" w14:textId="77777777" w:rsidTr="002E29C3">
        <w:trPr>
          <w:trHeight w:val="308"/>
        </w:trPr>
        <w:tc>
          <w:tcPr>
            <w:tcW w:w="2902" w:type="dxa"/>
            <w:shd w:val="clear" w:color="auto" w:fill="auto"/>
          </w:tcPr>
          <w:p w14:paraId="359A593C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sl-SI" w:eastAsia="hu-HU"/>
              </w:rPr>
              <w:t>CILJ POLITIKE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7D5E1EFF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caps/>
                <w:sz w:val="18"/>
                <w:szCs w:val="18"/>
                <w:lang w:val="sl-SI" w:eastAsia="hu-HU"/>
              </w:rPr>
            </w:pPr>
            <w:r w:rsidRPr="001B1438">
              <w:rPr>
                <w:rFonts w:eastAsia="Times New Roman"/>
                <w:b/>
                <w:iCs/>
                <w:caps/>
                <w:sz w:val="18"/>
                <w:szCs w:val="18"/>
                <w:lang w:val="sl-SI" w:eastAsia="hu-HU"/>
              </w:rPr>
              <w:t>CP4 BOLJ SOCIALNA EVROPA - IZVAJANJE EVROPSKEGA STEBRA SOCIALNIH PRAVIC</w:t>
            </w:r>
          </w:p>
        </w:tc>
      </w:tr>
      <w:tr w:rsidR="006F7CD6" w:rsidRPr="006D06D5" w14:paraId="55B3379D" w14:textId="77777777" w:rsidTr="002E29C3">
        <w:trPr>
          <w:trHeight w:val="201"/>
        </w:trPr>
        <w:tc>
          <w:tcPr>
            <w:tcW w:w="2902" w:type="dxa"/>
            <w:shd w:val="clear" w:color="auto" w:fill="auto"/>
          </w:tcPr>
          <w:p w14:paraId="6247A7C0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Sklad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71FB6DE1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SPP</w:t>
            </w:r>
          </w:p>
        </w:tc>
      </w:tr>
      <w:tr w:rsidR="006F7CD6" w:rsidRPr="008E1EE4" w14:paraId="30119DAA" w14:textId="77777777" w:rsidTr="002E29C3">
        <w:trPr>
          <w:trHeight w:val="130"/>
        </w:trPr>
        <w:tc>
          <w:tcPr>
            <w:tcW w:w="2902" w:type="dxa"/>
            <w:shd w:val="clear" w:color="auto" w:fill="auto"/>
          </w:tcPr>
          <w:p w14:paraId="57696B02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Prednostna naloga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023B17ED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PN 10:</w:t>
            </w:r>
            <w:r w:rsidRPr="000F7D9C">
              <w:rPr>
                <w:lang w:val="sl-SI"/>
              </w:rPr>
              <w:t xml:space="preserve"> </w:t>
            </w:r>
            <w:r w:rsidRPr="000756A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Prestrukturiranje premogovnih regij</w:t>
            </w:r>
          </w:p>
        </w:tc>
      </w:tr>
      <w:tr w:rsidR="006F7CD6" w:rsidRPr="008E1EE4" w14:paraId="1FC1C6C8" w14:textId="77777777" w:rsidTr="002E29C3">
        <w:trPr>
          <w:trHeight w:val="924"/>
        </w:trPr>
        <w:tc>
          <w:tcPr>
            <w:tcW w:w="2902" w:type="dxa"/>
            <w:shd w:val="clear" w:color="auto" w:fill="auto"/>
          </w:tcPr>
          <w:p w14:paraId="2EDA4FF0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Specifični cilj(i)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0839781E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SC 1.1: </w:t>
            </w:r>
            <w:r w:rsidRPr="000756A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Sklad za pravični prehod</w:t>
            </w:r>
          </w:p>
        </w:tc>
      </w:tr>
      <w:tr w:rsidR="006F7CD6" w:rsidRPr="00D27454" w14:paraId="43CEC55C" w14:textId="77777777" w:rsidTr="002E29C3">
        <w:trPr>
          <w:trHeight w:val="297"/>
        </w:trPr>
        <w:tc>
          <w:tcPr>
            <w:tcW w:w="2902" w:type="dxa"/>
            <w:shd w:val="clear" w:color="auto" w:fill="D9D9D9"/>
            <w:hideMark/>
          </w:tcPr>
          <w:p w14:paraId="67F39CC1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1. Ime kazalnika</w:t>
            </w:r>
          </w:p>
        </w:tc>
        <w:tc>
          <w:tcPr>
            <w:tcW w:w="6092" w:type="dxa"/>
            <w:gridSpan w:val="6"/>
            <w:shd w:val="clear" w:color="auto" w:fill="D9D9D9"/>
          </w:tcPr>
          <w:p w14:paraId="07D17780" w14:textId="77777777" w:rsidR="006F7CD6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Kazalnik učinka: </w:t>
            </w:r>
            <w:r w:rsidRPr="008E1EE4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Število organizacij</w:t>
            </w: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, </w:t>
            </w:r>
            <w:r w:rsidRPr="008E1EE4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 ki so vključene  v razvojne projekte za izboljšanje znanja spretnosti in kompetenc</w:t>
            </w:r>
          </w:p>
          <w:p w14:paraId="09E225BF" w14:textId="77777777" w:rsidR="006F7CD6" w:rsidRPr="00ED0056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Kazalnik rezultata: </w:t>
            </w:r>
            <w:r w:rsidRPr="008E1EE4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Delež podprtih organizacij, ki so uspešno vključile rezultate projektov za izboljšanje znanj, spretnosti in kompetenc v svoje razvojne načrte</w:t>
            </w:r>
          </w:p>
        </w:tc>
      </w:tr>
      <w:tr w:rsidR="006F7CD6" w:rsidRPr="00D27454" w14:paraId="4F17389F" w14:textId="77777777" w:rsidTr="002E29C3">
        <w:trPr>
          <w:trHeight w:val="301"/>
        </w:trPr>
        <w:tc>
          <w:tcPr>
            <w:tcW w:w="2902" w:type="dxa"/>
            <w:shd w:val="clear" w:color="auto" w:fill="auto"/>
          </w:tcPr>
          <w:p w14:paraId="6E76445E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2. Identifikator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oz. šifra 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kazalnika</w:t>
            </w:r>
          </w:p>
          <w:p w14:paraId="4A29C435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3F58FB0C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Beleži število organizacij, ki so vključeni v različne aktivnosti na področju povečevanje kakovosti izobraževalnega sistema.</w:t>
            </w:r>
          </w:p>
          <w:p w14:paraId="53A3D460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Programsko specifični kazalnik rezultata: Število</w:t>
            </w:r>
            <w:r w:rsidRPr="0019446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podprtih </w:t>
            </w:r>
            <w:r w:rsidRPr="0019446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organizacij, ki so uspešno vključile rezultate projektov za izboljšanje znanj, spretnosti in kompetenc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v svoje razvojne načrte</w:t>
            </w:r>
          </w:p>
        </w:tc>
      </w:tr>
      <w:tr w:rsidR="006F7CD6" w:rsidRPr="00D27454" w14:paraId="4FFEF96F" w14:textId="77777777" w:rsidTr="002E29C3">
        <w:trPr>
          <w:trHeight w:val="278"/>
        </w:trPr>
        <w:tc>
          <w:tcPr>
            <w:tcW w:w="2902" w:type="dxa"/>
            <w:shd w:val="clear" w:color="auto" w:fill="auto"/>
            <w:hideMark/>
          </w:tcPr>
          <w:p w14:paraId="48E40C1F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3. Definicija</w:t>
            </w:r>
          </w:p>
          <w:p w14:paraId="6FB1CB5D" w14:textId="77777777" w:rsidR="006F7CD6" w:rsidRPr="006D06D5" w:rsidRDefault="006F7CD6" w:rsidP="002E29C3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K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oga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spremljamo, k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aj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merimo, katere podatke zbiramo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12D3A147" w14:textId="77777777" w:rsidR="006F7CD6" w:rsidRPr="00886627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Kazalnik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učinka 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zajema število organizacij, ki so vključene  v razvojne projekte za izboljšanje znanja, spretnosti in kompetenc. </w:t>
            </w:r>
          </w:p>
          <w:p w14:paraId="5BDEE93F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11A70888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Kazalnik rezultata meri delež podprtih organizacij, ki so uspešno zaključile projekte.</w:t>
            </w:r>
          </w:p>
        </w:tc>
      </w:tr>
      <w:tr w:rsidR="006F7CD6" w:rsidRPr="001B1438" w14:paraId="6120C46C" w14:textId="77777777" w:rsidTr="002E29C3">
        <w:trPr>
          <w:trHeight w:val="229"/>
        </w:trPr>
        <w:tc>
          <w:tcPr>
            <w:tcW w:w="2902" w:type="dxa"/>
            <w:shd w:val="clear" w:color="auto" w:fill="auto"/>
            <w:hideMark/>
          </w:tcPr>
          <w:p w14:paraId="03B401BA" w14:textId="77777777" w:rsidR="006F7CD6" w:rsidRPr="00E2796D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4. </w:t>
            </w:r>
            <w:r w:rsidRPr="00E2796D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Metodološka pojasnila</w:t>
            </w:r>
          </w:p>
          <w:p w14:paraId="2BB2ED5A" w14:textId="77777777" w:rsidR="006F7CD6" w:rsidRPr="00E2796D" w:rsidRDefault="006F7CD6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Pojasnila, na kateri ravni  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spremljamo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 kazalnik (na ravni operacije, specifičnega cilja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, prednostne naloge, cilja politike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).</w:t>
            </w:r>
          </w:p>
          <w:p w14:paraId="0A4852B1" w14:textId="77777777" w:rsidR="006F7CD6" w:rsidRPr="00E2796D" w:rsidRDefault="006F7CD6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Pogoji za doseganje kazalnika (npr. minimalno število ur  vključitve, sodelovanje skozi celotno obdobje izvajanja operacije…).</w:t>
            </w:r>
          </w:p>
          <w:p w14:paraId="1398FE3C" w14:textId="77777777" w:rsidR="006F7CD6" w:rsidRPr="00E2796D" w:rsidRDefault="006F7CD6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Dokazila za spremljanje kazalnika (s katerim se dokazuje dosežena vrednost kazalnika, npr.:  pogodba o zaposlitvi,  lista prisotnosti,   podpisan dogovor o sodelovanju.)</w:t>
            </w:r>
          </w:p>
          <w:p w14:paraId="6F5E0488" w14:textId="77777777" w:rsidR="006F7CD6" w:rsidRPr="00E2796D" w:rsidRDefault="006F7CD6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V primeru, da se kazalnik nanaša na osebe se navede ali se osebo šteje enkrat na operacijo ali se šteje ob vsaki vključitvi v posamezni program/usposabljanje. </w:t>
            </w:r>
          </w:p>
          <w:p w14:paraId="04E0D337" w14:textId="77777777" w:rsidR="006F7CD6" w:rsidRPr="00402A9A" w:rsidRDefault="006F7CD6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Časovni okvir</w:t>
            </w:r>
            <w:r w:rsidRPr="005F0276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zajema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nja</w:t>
            </w:r>
            <w:r w:rsidRPr="005F0276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podatk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ov</w:t>
            </w:r>
            <w:r w:rsidRPr="005F0276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(npr. ob vključitvi posameznika oz. ob začetku operacije, ob izstopu posameznika, zaključku operacije, po določenem časovnem obdobju.)</w:t>
            </w:r>
          </w:p>
          <w:p w14:paraId="4013978F" w14:textId="77777777" w:rsidR="006F7CD6" w:rsidRPr="00E2796D" w:rsidRDefault="006F7CD6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Vrste podatkov (podatki iz operacije, statistični podatki, drugi podatki)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AAA13BA" w14:textId="77777777" w:rsidR="006F7CD6" w:rsidRPr="00886627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a)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</w:r>
            <w:r w:rsidRPr="00F578B1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Kazalnik učinka se spremlja na ravni specifičnega cilja.</w:t>
            </w:r>
          </w:p>
          <w:p w14:paraId="79C3AB0C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b)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 xml:space="preserve">Operacije se bodo izvajale na različnih vsebinskih področjih. Pogoj za doseganje kazalnika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učinka 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bo, da je organizacija aktivno vključena v izvajanje aktivnosti operacije. </w:t>
            </w:r>
          </w:p>
          <w:p w14:paraId="6285DB73" w14:textId="77777777" w:rsidR="006F7CD6" w:rsidRPr="00886627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               </w:t>
            </w:r>
            <w:r w:rsidRPr="00AB621B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Pogoj za doseganje kazalnika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rezultata</w:t>
            </w:r>
            <w:r w:rsidRPr="00AB621B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je vključitev rezultatov projekta v razvojne načrte organizacij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.</w:t>
            </w:r>
          </w:p>
          <w:p w14:paraId="4440C0CA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c)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</w:r>
            <w:r w:rsidRPr="00A8346B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Dokazilo za kazalnik učinka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bo podpisana konzorcijska pogodba ali drug ustrezen akt, ki izkazuj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e dogovor o aktivnem sodelovanju, </w:t>
            </w:r>
          </w:p>
          <w:p w14:paraId="0330E273" w14:textId="77777777" w:rsidR="006F7CD6" w:rsidRDefault="006F7CD6" w:rsidP="002E29C3">
            <w:pPr>
              <w:spacing w:after="0" w:line="240" w:lineRule="auto"/>
              <w:ind w:left="-56" w:firstLine="567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A8346B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Dokazilo za kazalnik rezultata bo razvojni načrt/načrt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razvoja posameznih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VIZ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, ki bo pripravljen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do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zaključk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a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operacije. Razvojni načrt/načrt razvoja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posameznega VIZ bo lahko tudi del celovitejšega načrta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, ki ga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pripravi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VIZ in v katerem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opredeli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prednostne naloge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in cilje za nadaljnjo transformacijo 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na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področju operacije.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Bistveni element tega načrta bo integracija dobre prakse (učni scenariji, didaktični pristopi, fleksibilna organizacija, inovativno učno okolje), razvite in preverjene v okviru operacije, v celovito transformacijo, ki se bo na VIZ dogajala tudi po zaključku operacije (npr. vsaj nekaj let), kar zajema 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vključitev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vseh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ključnih deležniko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 na VIZ (strokovni delavci VIZ, vodstveni delavci, otroci/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učenci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/dijaki) in zunanjih deležnikov). Z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a ostale organizacije bo razvojni načrt/načrt razvoja smiselno pripravljen glede na njihova notranja pravila oziroma nači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n delovanja same organizacije, ki bo vključeval tudi prednostne naloge in cilje za nadaljnjo transformacijo na področju operacije.</w:t>
            </w:r>
          </w:p>
          <w:p w14:paraId="056BF9D2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1A5BAEEE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4A52AF6D" w14:textId="77777777" w:rsidR="006F7CD6" w:rsidRPr="007449EC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f)</w:t>
            </w:r>
            <w:r w:rsidRPr="007449E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Podatki iz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operacij.</w:t>
            </w:r>
          </w:p>
        </w:tc>
      </w:tr>
      <w:tr w:rsidR="006F7CD6" w:rsidRPr="001B1438" w14:paraId="0E4E3F51" w14:textId="77777777" w:rsidTr="002E29C3">
        <w:trPr>
          <w:trHeight w:val="265"/>
        </w:trPr>
        <w:tc>
          <w:tcPr>
            <w:tcW w:w="2902" w:type="dxa"/>
            <w:shd w:val="clear" w:color="auto" w:fill="auto"/>
          </w:tcPr>
          <w:p w14:paraId="411C40E5" w14:textId="77777777" w:rsidR="006F7CD6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5. Vir podatkov</w:t>
            </w:r>
          </w:p>
          <w:p w14:paraId="73F26CFA" w14:textId="77777777" w:rsidR="006F7CD6" w:rsidRPr="00402A9A" w:rsidRDefault="006F7CD6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402A9A">
              <w:rPr>
                <w:rFonts w:eastAsia="Times New Roman"/>
                <w:bCs/>
                <w:iCs/>
                <w:color w:val="808080"/>
                <w:sz w:val="18"/>
                <w:szCs w:val="18"/>
                <w:lang w:val="sl-SI" w:eastAsia="hu-HU"/>
              </w:rPr>
              <w:t xml:space="preserve">Kdo je odgovoren za zbiranje podatkov (upravičenec, skrbnik pogodbe, druga oseba na posredniškem/izvajalskem telesu, </w:t>
            </w:r>
            <w:r w:rsidRPr="00402A9A">
              <w:rPr>
                <w:rFonts w:eastAsia="Times New Roman"/>
                <w:bCs/>
                <w:iCs/>
                <w:color w:val="808080"/>
                <w:sz w:val="18"/>
                <w:szCs w:val="18"/>
                <w:lang w:val="sl-SI" w:eastAsia="hu-HU"/>
              </w:rPr>
              <w:lastRenderedPageBreak/>
              <w:t>SURS, AJPES, intervju, anketa med uporabniki, itd…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64BA037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lastRenderedPageBreak/>
              <w:t>Upravičenci, skrbniki pogodbe (MIZŠ)</w:t>
            </w:r>
          </w:p>
        </w:tc>
      </w:tr>
      <w:tr w:rsidR="006F7CD6" w:rsidRPr="006D06D5" w14:paraId="5D35B70D" w14:textId="77777777" w:rsidTr="002E29C3">
        <w:trPr>
          <w:trHeight w:val="265"/>
        </w:trPr>
        <w:tc>
          <w:tcPr>
            <w:tcW w:w="2902" w:type="dxa"/>
            <w:shd w:val="clear" w:color="auto" w:fill="auto"/>
            <w:hideMark/>
          </w:tcPr>
          <w:p w14:paraId="6ADFB807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6.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Merska e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nota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23A3C7D3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število</w:t>
            </w:r>
          </w:p>
        </w:tc>
      </w:tr>
      <w:tr w:rsidR="006F7CD6" w:rsidRPr="006D06D5" w14:paraId="2137361E" w14:textId="77777777" w:rsidTr="002E29C3">
        <w:trPr>
          <w:trHeight w:val="210"/>
        </w:trPr>
        <w:tc>
          <w:tcPr>
            <w:tcW w:w="2902" w:type="dxa"/>
            <w:vMerge w:val="restart"/>
            <w:shd w:val="clear" w:color="auto" w:fill="auto"/>
          </w:tcPr>
          <w:p w14:paraId="70BC5FE9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7.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a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Vrednost za kazalnik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učinka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05B866F5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2024</w:t>
            </w:r>
            <w:r w:rsidRPr="006D06D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 </w:t>
            </w:r>
          </w:p>
          <w:p w14:paraId="0E527B7B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0D57D330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7D4D8012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4</w:t>
            </w:r>
          </w:p>
        </w:tc>
      </w:tr>
      <w:tr w:rsidR="006F7CD6" w:rsidRPr="006D06D5" w14:paraId="1BD739B2" w14:textId="77777777" w:rsidTr="002E29C3">
        <w:trPr>
          <w:trHeight w:val="210"/>
        </w:trPr>
        <w:tc>
          <w:tcPr>
            <w:tcW w:w="2902" w:type="dxa"/>
            <w:vMerge/>
            <w:shd w:val="clear" w:color="auto" w:fill="auto"/>
            <w:hideMark/>
          </w:tcPr>
          <w:p w14:paraId="5E23CEE0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  <w:hideMark/>
          </w:tcPr>
          <w:p w14:paraId="1EC44723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6AE9C26F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24D5096C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4</w:t>
            </w:r>
          </w:p>
        </w:tc>
      </w:tr>
      <w:tr w:rsidR="006F7CD6" w:rsidRPr="006D06D5" w14:paraId="38481A0B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2ACD23C1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14:paraId="1AE15E89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52F462D1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047FDCD9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16</w:t>
            </w:r>
          </w:p>
        </w:tc>
      </w:tr>
      <w:tr w:rsidR="006F7CD6" w:rsidRPr="006D06D5" w14:paraId="70C7C7F5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411BEE17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6789B6E1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2939BD5E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27227AA5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16</w:t>
            </w:r>
          </w:p>
        </w:tc>
      </w:tr>
      <w:tr w:rsidR="006F7CD6" w:rsidRPr="00D54BB8" w14:paraId="57AE5FCE" w14:textId="77777777" w:rsidTr="002E29C3">
        <w:trPr>
          <w:trHeight w:val="265"/>
        </w:trPr>
        <w:tc>
          <w:tcPr>
            <w:tcW w:w="2902" w:type="dxa"/>
            <w:vMerge w:val="restart"/>
            <w:shd w:val="clear" w:color="auto" w:fill="auto"/>
          </w:tcPr>
          <w:p w14:paraId="3B4EEECD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7</w:t>
            </w:r>
            <w:r w:rsidRPr="004D08F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.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b</w:t>
            </w:r>
            <w:r w:rsidRPr="004D08F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Vrednost za kazalnik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rezultata</w:t>
            </w:r>
          </w:p>
          <w:p w14:paraId="5E2BFE6B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  <w:p w14:paraId="58CC47CE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shd w:val="clear" w:color="auto" w:fill="auto"/>
          </w:tcPr>
          <w:p w14:paraId="2FEB8A1F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color w:val="FF0000"/>
                <w:sz w:val="18"/>
                <w:szCs w:val="18"/>
                <w:lang w:val="sl-SI" w:eastAsia="hu-HU"/>
              </w:rPr>
            </w:pPr>
            <w:r w:rsidRPr="004D08F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Izhodiščno leto</w:t>
            </w:r>
          </w:p>
        </w:tc>
        <w:tc>
          <w:tcPr>
            <w:tcW w:w="1197" w:type="dxa"/>
            <w:shd w:val="clear" w:color="auto" w:fill="auto"/>
          </w:tcPr>
          <w:p w14:paraId="7A1E8A65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679" w:type="dxa"/>
            <w:shd w:val="clear" w:color="auto" w:fill="auto"/>
          </w:tcPr>
          <w:p w14:paraId="00B03B4F" w14:textId="77777777" w:rsidR="006F7CD6" w:rsidRPr="00224C87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2022</w:t>
            </w:r>
          </w:p>
        </w:tc>
        <w:tc>
          <w:tcPr>
            <w:tcW w:w="1051" w:type="dxa"/>
            <w:shd w:val="clear" w:color="auto" w:fill="auto"/>
          </w:tcPr>
          <w:p w14:paraId="03DFE77F" w14:textId="77777777" w:rsidR="006F7CD6" w:rsidRPr="00224C87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224C87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Izhodiščna vrednost</w:t>
            </w:r>
          </w:p>
        </w:tc>
        <w:tc>
          <w:tcPr>
            <w:tcW w:w="1197" w:type="dxa"/>
            <w:shd w:val="clear" w:color="auto" w:fill="auto"/>
          </w:tcPr>
          <w:p w14:paraId="3FC0A38B" w14:textId="77777777" w:rsidR="006F7CD6" w:rsidRPr="00224C87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957" w:type="dxa"/>
            <w:shd w:val="clear" w:color="auto" w:fill="auto"/>
          </w:tcPr>
          <w:p w14:paraId="5C4ED781" w14:textId="77777777" w:rsidR="006F7CD6" w:rsidRPr="00224C87" w:rsidRDefault="006F7CD6" w:rsidP="002E29C3">
            <w:pPr>
              <w:spacing w:after="0" w:line="36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85%</w:t>
            </w:r>
          </w:p>
        </w:tc>
      </w:tr>
      <w:tr w:rsidR="006F7CD6" w:rsidRPr="00D54BB8" w14:paraId="556E5247" w14:textId="77777777" w:rsidTr="002E29C3">
        <w:trPr>
          <w:trHeight w:val="265"/>
        </w:trPr>
        <w:tc>
          <w:tcPr>
            <w:tcW w:w="2902" w:type="dxa"/>
            <w:vMerge/>
            <w:shd w:val="clear" w:color="auto" w:fill="auto"/>
          </w:tcPr>
          <w:p w14:paraId="579E49E9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shd w:val="clear" w:color="auto" w:fill="auto"/>
          </w:tcPr>
          <w:p w14:paraId="6E8654F2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4D08F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2029</w:t>
            </w:r>
          </w:p>
        </w:tc>
        <w:tc>
          <w:tcPr>
            <w:tcW w:w="1197" w:type="dxa"/>
            <w:shd w:val="clear" w:color="auto" w:fill="auto"/>
          </w:tcPr>
          <w:p w14:paraId="3275B7EF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D08F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Slovenija/V/Z</w:t>
            </w:r>
          </w:p>
        </w:tc>
        <w:tc>
          <w:tcPr>
            <w:tcW w:w="3884" w:type="dxa"/>
            <w:gridSpan w:val="4"/>
            <w:shd w:val="clear" w:color="auto" w:fill="auto"/>
          </w:tcPr>
          <w:p w14:paraId="691E1494" w14:textId="77777777" w:rsidR="006F7CD6" w:rsidRPr="00224C87" w:rsidRDefault="006F7CD6" w:rsidP="002E29C3">
            <w:pPr>
              <w:spacing w:after="0" w:line="36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80%</w:t>
            </w:r>
          </w:p>
          <w:p w14:paraId="420859EB" w14:textId="77777777" w:rsidR="006F7CD6" w:rsidRPr="004D08F5" w:rsidRDefault="006F7CD6" w:rsidP="002E29C3">
            <w:pPr>
              <w:spacing w:after="0" w:line="240" w:lineRule="auto"/>
              <w:rPr>
                <w:rFonts w:eastAsia="Times New Roman"/>
                <w:iCs/>
                <w:color w:val="0070C0"/>
                <w:sz w:val="18"/>
                <w:szCs w:val="18"/>
                <w:lang w:val="sl-SI" w:eastAsia="hu-HU"/>
              </w:rPr>
            </w:pPr>
          </w:p>
        </w:tc>
      </w:tr>
      <w:tr w:rsidR="006F7CD6" w:rsidRPr="001F6655" w14:paraId="10F8B61D" w14:textId="77777777" w:rsidTr="002E29C3">
        <w:trPr>
          <w:trHeight w:val="195"/>
        </w:trPr>
        <w:tc>
          <w:tcPr>
            <w:tcW w:w="2902" w:type="dxa"/>
            <w:vMerge w:val="restart"/>
            <w:shd w:val="clear" w:color="auto" w:fill="auto"/>
          </w:tcPr>
          <w:p w14:paraId="045759B2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8. Finančn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a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vrednost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</w:t>
            </w:r>
          </w:p>
          <w:p w14:paraId="2618A45C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14:paraId="1A6614B9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2024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</w:t>
            </w:r>
            <w:r w:rsidRPr="004D08F5">
              <w:rPr>
                <w:rFonts w:eastAsia="Times New Roman"/>
                <w:bCs/>
                <w:iCs/>
                <w:sz w:val="18"/>
                <w:szCs w:val="18"/>
                <w:lang w:val="sl-SI" w:eastAsia="hu-HU"/>
              </w:rPr>
              <w:t>(le za kazalnik učinka)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5935B2A1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7C12B7E1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Zasavje</w:t>
            </w:r>
          </w:p>
          <w:p w14:paraId="75253A6E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0,43 MIO EUR (EU del) </w:t>
            </w:r>
          </w:p>
          <w:p w14:paraId="303F8C5E" w14:textId="189347BE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EU+SI: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0,5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MIO EUR</w:t>
            </w:r>
          </w:p>
        </w:tc>
      </w:tr>
      <w:tr w:rsidR="006F7CD6" w:rsidRPr="00D27454" w14:paraId="2CA256DA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306F2059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3238B772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44E26455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3C2FFB81" w14:textId="77777777" w:rsidR="006F7CD6" w:rsidRPr="007001F0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0,43 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MIO EUR (EU del) </w:t>
            </w:r>
          </w:p>
          <w:p w14:paraId="17D0498D" w14:textId="5BED3C24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EU+SI: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0,5 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MIO EUR</w:t>
            </w:r>
          </w:p>
        </w:tc>
      </w:tr>
      <w:tr w:rsidR="006F7CD6" w:rsidRPr="00D27454" w14:paraId="6CC6050F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6AEABE9C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14:paraId="4A9F6992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60A1EC77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3EF976AF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1,70 </w:t>
            </w:r>
            <w:r w:rsidRPr="00502614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MIO EUR (EU del)</w:t>
            </w:r>
          </w:p>
          <w:p w14:paraId="034AEF2B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EU+SI: 2,00  </w:t>
            </w:r>
            <w:r w:rsidRPr="005723AE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MIO EUR</w:t>
            </w:r>
          </w:p>
        </w:tc>
      </w:tr>
      <w:tr w:rsidR="006F7CD6" w:rsidRPr="00D27454" w14:paraId="1913CFFA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03BCF263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02AB7398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067E4778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35887162" w14:textId="77777777" w:rsidR="006F7CD6" w:rsidRPr="007001F0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1,70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MIO EUR (EU del)</w:t>
            </w:r>
          </w:p>
          <w:p w14:paraId="4E727C35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EU+SI: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2,00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MIO EUR</w:t>
            </w:r>
          </w:p>
        </w:tc>
      </w:tr>
      <w:tr w:rsidR="006F7CD6" w:rsidRPr="006D06D5" w14:paraId="32FBDB1B" w14:textId="77777777" w:rsidTr="002E29C3">
        <w:trPr>
          <w:trHeight w:val="263"/>
        </w:trPr>
        <w:tc>
          <w:tcPr>
            <w:tcW w:w="8994" w:type="dxa"/>
            <w:gridSpan w:val="7"/>
            <w:shd w:val="clear" w:color="auto" w:fill="D9D9D9"/>
          </w:tcPr>
          <w:p w14:paraId="281E71AE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PODATKI ZA OKVIR </w:t>
            </w: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SMOTRNOSTI</w:t>
            </w:r>
          </w:p>
        </w:tc>
      </w:tr>
      <w:tr w:rsidR="006F7CD6" w:rsidRPr="00D27454" w14:paraId="4F0DFEB4" w14:textId="77777777" w:rsidTr="002E29C3">
        <w:trPr>
          <w:trHeight w:val="2595"/>
        </w:trPr>
        <w:tc>
          <w:tcPr>
            <w:tcW w:w="2902" w:type="dxa"/>
            <w:shd w:val="clear" w:color="auto" w:fill="auto"/>
          </w:tcPr>
          <w:p w14:paraId="03116BCF" w14:textId="77777777" w:rsidR="006F7CD6" w:rsidRPr="00E2796D" w:rsidRDefault="006F7CD6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Metoda izračuna:</w:t>
            </w:r>
          </w:p>
          <w:p w14:paraId="4E61A53D" w14:textId="77777777" w:rsidR="006F7CD6" w:rsidRPr="00E2796D" w:rsidRDefault="006F7CD6" w:rsidP="002E29C3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Podatki ali ugotovitve, uporabljene za oceno vrednosti mejnikov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, izhodiščnih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 in ciljnih vrednosti</w:t>
            </w:r>
          </w:p>
          <w:p w14:paraId="130CE21E" w14:textId="77777777" w:rsidR="006F7CD6" w:rsidRDefault="006F7CD6" w:rsidP="002E29C3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Metoda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izračuna ciljne vrednosti, na primer podatke o stroških na enoto, referenčnih vrednostih, standardni ali pretekli stopnji izvajanja, strokovnem svetovanju in zaključkih preteklih vrednotenj</w:t>
            </w:r>
          </w:p>
          <w:p w14:paraId="704B51EB" w14:textId="77777777" w:rsidR="006F7CD6" w:rsidRPr="00E2796D" w:rsidRDefault="006F7CD6" w:rsidP="002E29C3">
            <w:p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149286FB" w14:textId="77777777" w:rsidR="006F7CD6" w:rsidRPr="0094457E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94457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Podatki oz. rezultati iz 2014-2020:</w:t>
            </w:r>
            <w:r w:rsidRPr="0094457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ab/>
            </w:r>
          </w:p>
          <w:p w14:paraId="54510028" w14:textId="77777777" w:rsidR="006F7CD6" w:rsidRPr="00AF61DC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AF61D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V obdobju 2021-27 bomo nadgrajevali aktivnosti/vsebine operacij, ki smo jih izvajali v programskem obdobju 2014-2020. Podatki o ocenjeni ciljni vrednosti kazalnika učinka in finančni vrednosti temeljijo na dosedanji doseženi vrednosti operacij, v katere je bilo v obdobju od 2014 do leta 2020 vključenih 446 VIZ (pri čemer smo šteli kot samostojne tudi posamezne srednje šole v okviru šolskih centrov ter vrtce pri OŠ).  </w:t>
            </w:r>
          </w:p>
          <w:p w14:paraId="427FE87B" w14:textId="77777777" w:rsidR="006F7CD6" w:rsidRDefault="006F7CD6" w:rsidP="002E29C3">
            <w:pPr>
              <w:spacing w:after="0" w:line="240" w:lineRule="auto"/>
              <w:rPr>
                <w:lang w:val="sl-SI"/>
              </w:rPr>
            </w:pPr>
            <w:r w:rsidRPr="00AF61D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Glede na to, da bodo operacije pokrivale vsebinsko različna področja ključnih kompetenc in se bodo organizacije štele 1x na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specifični cilj</w:t>
            </w:r>
            <w:r w:rsidRPr="00AF61D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se v letu 2024 pričakuje vključitev 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predvidoma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4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organizacij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(25% predvidenih)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, do zaključka operacij pa se predvideva vključenost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16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javnih zavodov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(kar predstavlja 80% vseh VIZ v regiji </w:t>
            </w:r>
            <w:bookmarkStart w:id="0" w:name="_GoBack"/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Zasa</w:t>
            </w:r>
            <w:bookmarkEnd w:id="0"/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vje.</w:t>
            </w:r>
          </w:p>
          <w:p w14:paraId="40068A61" w14:textId="77777777" w:rsidR="006F7CD6" w:rsidRDefault="006F7CD6" w:rsidP="002E29C3">
            <w:pPr>
              <w:spacing w:after="0" w:line="240" w:lineRule="auto"/>
              <w:rPr>
                <w:lang w:val="sl-SI"/>
              </w:rPr>
            </w:pPr>
          </w:p>
          <w:p w14:paraId="55F780F5" w14:textId="77777777" w:rsidR="006F7CD6" w:rsidRPr="00A24818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A24818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Izhodiščna vrednost kazalnika rezultata</w:t>
            </w:r>
            <w:r w:rsidRPr="00A24818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izhaja iz podobnih aktivnosti/vsebin operacij v programskem obdobju 2014-2020, v katere so vključeni VIZ (kazalnik rezultata, opredeljen v Operativnem programu: Delež šol, ki so uspešno izvedle strategije prožnih oblik učenja). V tem obdobju je bila predvidena ciljna vrednost kazalnika 85 %, kar pomeni 85 % šol, ki so uspešno izvedle strategijo prožnih oblik učenja. VIZ so v tem obdobju preizkušali in razvijali strategije prožnih oblik učenja, s čimer so vpeljali aktivnosti v svoj del pedagoškega procesa, vendar niso bili tako zavezani k trajnosti po zaključku operacij. </w:t>
            </w:r>
          </w:p>
          <w:p w14:paraId="131B090E" w14:textId="77777777" w:rsidR="006F7CD6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94457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Z  vključitvijo rezultatov projektov v razvojni načrt pa bodo organizacije v obdobju 2021-2027 zagotavljale trajnost tako, da le-te sistematično vključijo v svoj razvojni načrt. S tem kazalnikom rezultata ocenjujemo, da bo dolgoročni učinek bistveno večji. </w:t>
            </w:r>
          </w:p>
          <w:p w14:paraId="0F370D98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4E1139D7" w14:textId="77777777" w:rsidR="006F7CD6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2A765D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Če se bo pri izvajanju projektov izkazalo, da je delež drugačen za več kot 10%, bomo kazalnik ustrezno prilagodili.</w:t>
            </w:r>
          </w:p>
          <w:p w14:paraId="05E4BABC" w14:textId="77777777" w:rsidR="006F7CD6" w:rsidRPr="002A765D" w:rsidRDefault="006F7CD6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  <w:p w14:paraId="32DC78AB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</w:tc>
      </w:tr>
      <w:tr w:rsidR="006F7CD6" w:rsidRPr="00D27454" w14:paraId="1FC3C1A7" w14:textId="77777777" w:rsidTr="002E29C3">
        <w:trPr>
          <w:trHeight w:val="982"/>
        </w:trPr>
        <w:tc>
          <w:tcPr>
            <w:tcW w:w="2902" w:type="dxa"/>
            <w:shd w:val="clear" w:color="auto" w:fill="auto"/>
          </w:tcPr>
          <w:p w14:paraId="66F11D46" w14:textId="77777777" w:rsidR="006F7CD6" w:rsidRPr="00A25F30" w:rsidRDefault="006F7CD6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Utemeljitev izbora/merila za izbor kazalnika/ glede na relevantnost intervencije ali glede upravičencev/uporabnikov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AFCF71F" w14:textId="77777777" w:rsidR="006F7CD6" w:rsidRPr="00C55E29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Izbor kazalnika je primeren za izvajanje razvojnih ukrepov za krepitev kakovosti vzgoje in izobraževanja, pri čemer so pomembni vsešolski pristop, podpora strokovnim in pedagoškim delavcem ter odpiranje VIZ v lokalni in širši prostor. Pri načrtovanju, izvajanju in evalvaciji sodobnih pristopov učenja in poučevanja oz. izvajanja pouka in drugih šolskih dejavnosti, bo sodelovalo veliko številko ključnih deležnikov oz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.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organizacij. </w:t>
            </w:r>
          </w:p>
          <w:p w14:paraId="65A1414B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7652BCB3" w14:textId="77777777" w:rsidR="006F7CD6" w:rsidRPr="004C6E00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S kazalnikom bomo prispevali k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strateškemu </w:t>
            </w: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cilju </w:t>
            </w:r>
            <w:r w:rsidRPr="009A7D9E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Zaposlitve in veščine za vse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.</w:t>
            </w:r>
            <w:r w:rsidRPr="009A7D9E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</w:p>
          <w:p w14:paraId="5F1E12CA" w14:textId="77777777" w:rsidR="006F7CD6" w:rsidRPr="006D06D5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</w:tc>
      </w:tr>
      <w:tr w:rsidR="006F7CD6" w:rsidRPr="00D27454" w14:paraId="41C02638" w14:textId="77777777" w:rsidTr="002E29C3">
        <w:trPr>
          <w:trHeight w:val="562"/>
        </w:trPr>
        <w:tc>
          <w:tcPr>
            <w:tcW w:w="2902" w:type="dxa"/>
            <w:shd w:val="clear" w:color="auto" w:fill="auto"/>
          </w:tcPr>
          <w:p w14:paraId="33E8D738" w14:textId="77777777" w:rsidR="006F7CD6" w:rsidRPr="00A25F30" w:rsidRDefault="006F7CD6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A25F30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lastRenderedPageBreak/>
              <w:t>Tveganje:</w:t>
            </w:r>
          </w:p>
          <w:p w14:paraId="069557FD" w14:textId="77777777" w:rsidR="006F7CD6" w:rsidRPr="006D06D5" w:rsidRDefault="006F7CD6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A25F30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Dejavniki, ki lahko vplivajo na doseganje mejnikov in ciljev in navedba načinov, kako bodo ti upoštevani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2A5D33D1" w14:textId="77777777" w:rsidR="006F7CD6" w:rsidRPr="00C55E29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Tveganje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1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: dejavniki, ki lahko vplivajo na doseganje mejnikov in ciljev:</w:t>
            </w:r>
          </w:p>
          <w:p w14:paraId="5499A786" w14:textId="77777777" w:rsidR="006F7CD6" w:rsidRPr="00C55E29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-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 xml:space="preserve">Preobremenjenost upravičencev ob potrebni vključitvi v operacije. Ukrep: časovno smiselno in zaporedno objavljanje instrumentov. </w:t>
            </w:r>
          </w:p>
          <w:p w14:paraId="25BCAE47" w14:textId="77777777" w:rsidR="006F7CD6" w:rsidRPr="00C55E29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-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>Sprememba zakonodaje oz. povišanje plač zaposlenih (povišanje urne postavke - vrednost SSE), kar lahko vpliva na doseganje kazalnika zaradi potrebnih več sredstev na posameznega vključenega. Ukrep: metodologija izračuna SSE vključuje več mejnikov.</w:t>
            </w:r>
          </w:p>
          <w:p w14:paraId="5276912A" w14:textId="77777777" w:rsidR="006F7CD6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-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 xml:space="preserve">Zamik pričetka izvajanja instrumentov lahko predstavlja tveganje za doseganje mejnika v letu 2024. Ukrep: predhodna priprava operacij z namenom čim hitrejšega začetka izvajanja.  </w:t>
            </w:r>
          </w:p>
          <w:p w14:paraId="29ABDB04" w14:textId="77777777" w:rsidR="006F7CD6" w:rsidRPr="004C6E00" w:rsidRDefault="006F7CD6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40FDEB5D" w14:textId="77777777" w:rsidR="006F7CD6" w:rsidRDefault="006F7CD6" w:rsidP="002E29C3">
            <w:pPr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Tveganje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2</w:t>
            </w: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: negotove razmere zaradi COVID-19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in </w:t>
            </w:r>
            <w:r w:rsidRPr="000E7AD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i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nestabilnih političn</w:t>
            </w:r>
            <w:r w:rsidRPr="000E7AD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o- varnostnih razmer (posledica inflacija, višji stroški, itd).</w:t>
            </w:r>
          </w:p>
          <w:p w14:paraId="683B307D" w14:textId="77777777" w:rsidR="006F7CD6" w:rsidRPr="006D06D5" w:rsidRDefault="006F7CD6" w:rsidP="002E29C3">
            <w:pPr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Tveganje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3</w:t>
            </w: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: zamude pri objavi javnega razpisa ali NPO.</w:t>
            </w:r>
          </w:p>
        </w:tc>
      </w:tr>
    </w:tbl>
    <w:p w14:paraId="03870106" w14:textId="77777777" w:rsidR="006F7CD6" w:rsidRPr="00E2796D" w:rsidRDefault="006F7CD6" w:rsidP="006F7CD6">
      <w:pPr>
        <w:rPr>
          <w:lang w:val="sl-SI"/>
        </w:rPr>
      </w:pPr>
    </w:p>
    <w:p w14:paraId="26C78809" w14:textId="37291BDA" w:rsidR="006F7CD6" w:rsidRDefault="006F7CD6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sl-SI"/>
        </w:rPr>
      </w:pPr>
    </w:p>
    <w:p w14:paraId="5E70D64B" w14:textId="77777777" w:rsidR="00C536C4" w:rsidRPr="007A08F6" w:rsidRDefault="00C536C4" w:rsidP="00E85D3D">
      <w:pPr>
        <w:rPr>
          <w:rFonts w:asciiTheme="minorHAnsi" w:hAnsiTheme="minorHAnsi" w:cstheme="minorHAnsi"/>
          <w:sz w:val="20"/>
          <w:szCs w:val="20"/>
          <w:lang w:val="sl-SI"/>
        </w:rPr>
      </w:pPr>
    </w:p>
    <w:sectPr w:rsidR="00C536C4" w:rsidRPr="007A0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3A5F6" w14:textId="77777777" w:rsidR="006A6A3C" w:rsidRDefault="006A6A3C" w:rsidP="00E2796D">
      <w:pPr>
        <w:spacing w:after="0" w:line="240" w:lineRule="auto"/>
      </w:pPr>
      <w:r>
        <w:separator/>
      </w:r>
    </w:p>
  </w:endnote>
  <w:endnote w:type="continuationSeparator" w:id="0">
    <w:p w14:paraId="2B280D41" w14:textId="77777777" w:rsidR="006A6A3C" w:rsidRDefault="006A6A3C" w:rsidP="00E2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FA25" w14:textId="77777777" w:rsidR="006A6A3C" w:rsidRDefault="006A6A3C" w:rsidP="00E2796D">
      <w:pPr>
        <w:spacing w:after="0" w:line="240" w:lineRule="auto"/>
      </w:pPr>
      <w:r>
        <w:separator/>
      </w:r>
    </w:p>
  </w:footnote>
  <w:footnote w:type="continuationSeparator" w:id="0">
    <w:p w14:paraId="37E24A36" w14:textId="77777777" w:rsidR="006A6A3C" w:rsidRDefault="006A6A3C" w:rsidP="00E2796D">
      <w:pPr>
        <w:spacing w:after="0" w:line="240" w:lineRule="auto"/>
      </w:pPr>
      <w:r>
        <w:continuationSeparator/>
      </w:r>
    </w:p>
  </w:footnote>
  <w:footnote w:id="1">
    <w:p w14:paraId="47BAC8DE" w14:textId="77777777" w:rsidR="005929A5" w:rsidRPr="00595AA9" w:rsidRDefault="005929A5" w:rsidP="00E2796D">
      <w:pPr>
        <w:pStyle w:val="Sprotnaopomba-besedilo"/>
        <w:rPr>
          <w:sz w:val="16"/>
          <w:szCs w:val="16"/>
        </w:rPr>
      </w:pPr>
      <w:r w:rsidRPr="00595AA9"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17</w:t>
      </w:r>
      <w:r w:rsidRPr="00595AA9">
        <w:rPr>
          <w:sz w:val="16"/>
          <w:szCs w:val="16"/>
        </w:rPr>
        <w:t>. člen Uredbe (EU) 2021/1060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C0"/>
    <w:multiLevelType w:val="hybridMultilevel"/>
    <w:tmpl w:val="2E526B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03EA"/>
    <w:multiLevelType w:val="hybridMultilevel"/>
    <w:tmpl w:val="C2E2CDDE"/>
    <w:lvl w:ilvl="0" w:tplc="615804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4BD"/>
    <w:multiLevelType w:val="hybridMultilevel"/>
    <w:tmpl w:val="39F27E0E"/>
    <w:lvl w:ilvl="0" w:tplc="120A7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66359"/>
    <w:multiLevelType w:val="hybridMultilevel"/>
    <w:tmpl w:val="F7F072DE"/>
    <w:lvl w:ilvl="0" w:tplc="36EEBCA8">
      <w:start w:val="1"/>
      <w:numFmt w:val="lowerLetter"/>
      <w:lvlText w:val="%1)"/>
      <w:lvlJc w:val="left"/>
      <w:pPr>
        <w:ind w:left="720" w:hanging="360"/>
      </w:pPr>
      <w:rPr>
        <w:b w:val="0"/>
        <w:color w:val="808080" w:themeColor="background1" w:themeShade="8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7442"/>
    <w:multiLevelType w:val="hybridMultilevel"/>
    <w:tmpl w:val="47BEAFCA"/>
    <w:lvl w:ilvl="0" w:tplc="6756D13A">
      <w:start w:val="1"/>
      <w:numFmt w:val="lowerLetter"/>
      <w:lvlText w:val="%1)"/>
      <w:lvlJc w:val="left"/>
      <w:pPr>
        <w:ind w:left="720" w:hanging="360"/>
      </w:pPr>
      <w:rPr>
        <w:color w:val="808080" w:themeColor="background1" w:themeShade="8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C5967"/>
    <w:multiLevelType w:val="hybridMultilevel"/>
    <w:tmpl w:val="7766F3DC"/>
    <w:lvl w:ilvl="0" w:tplc="BA9A48B4">
      <w:start w:val="2"/>
      <w:numFmt w:val="bullet"/>
      <w:lvlText w:val="-"/>
      <w:lvlJc w:val="left"/>
      <w:pPr>
        <w:ind w:left="360" w:hanging="360"/>
      </w:pPr>
      <w:rPr>
        <w:rFonts w:ascii="Helv" w:eastAsiaTheme="minorHAnsi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9437D2"/>
    <w:multiLevelType w:val="hybridMultilevel"/>
    <w:tmpl w:val="119CDB08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A53"/>
    <w:multiLevelType w:val="hybridMultilevel"/>
    <w:tmpl w:val="51A813AE"/>
    <w:lvl w:ilvl="0" w:tplc="ABEAC1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6D"/>
    <w:rsid w:val="00005F1C"/>
    <w:rsid w:val="00014F7E"/>
    <w:rsid w:val="00036BE6"/>
    <w:rsid w:val="00045112"/>
    <w:rsid w:val="00063F6C"/>
    <w:rsid w:val="000756AE"/>
    <w:rsid w:val="000A655F"/>
    <w:rsid w:val="000B25D6"/>
    <w:rsid w:val="000D25D6"/>
    <w:rsid w:val="000E7959"/>
    <w:rsid w:val="000E7AD9"/>
    <w:rsid w:val="000F705C"/>
    <w:rsid w:val="000F7D9C"/>
    <w:rsid w:val="001003B5"/>
    <w:rsid w:val="001048C8"/>
    <w:rsid w:val="00113BDB"/>
    <w:rsid w:val="001354AE"/>
    <w:rsid w:val="001A265D"/>
    <w:rsid w:val="001A59A0"/>
    <w:rsid w:val="001B1438"/>
    <w:rsid w:val="001C02BB"/>
    <w:rsid w:val="001C06C8"/>
    <w:rsid w:val="001C0B60"/>
    <w:rsid w:val="001C2BEC"/>
    <w:rsid w:val="001D317F"/>
    <w:rsid w:val="001E1435"/>
    <w:rsid w:val="001F4E85"/>
    <w:rsid w:val="001F67E5"/>
    <w:rsid w:val="00210965"/>
    <w:rsid w:val="002129B9"/>
    <w:rsid w:val="00224C87"/>
    <w:rsid w:val="0025744B"/>
    <w:rsid w:val="00277273"/>
    <w:rsid w:val="00277C46"/>
    <w:rsid w:val="0028162C"/>
    <w:rsid w:val="00285B3D"/>
    <w:rsid w:val="002A765D"/>
    <w:rsid w:val="002D2131"/>
    <w:rsid w:val="002E7F74"/>
    <w:rsid w:val="0030617D"/>
    <w:rsid w:val="00315236"/>
    <w:rsid w:val="00361BCF"/>
    <w:rsid w:val="00377D3E"/>
    <w:rsid w:val="003B27D7"/>
    <w:rsid w:val="003D0096"/>
    <w:rsid w:val="003E182E"/>
    <w:rsid w:val="003E2AF3"/>
    <w:rsid w:val="003E7516"/>
    <w:rsid w:val="00402A9A"/>
    <w:rsid w:val="004075BA"/>
    <w:rsid w:val="004130AB"/>
    <w:rsid w:val="00415439"/>
    <w:rsid w:val="00422B58"/>
    <w:rsid w:val="00424C35"/>
    <w:rsid w:val="00443ED4"/>
    <w:rsid w:val="0049691A"/>
    <w:rsid w:val="004C600E"/>
    <w:rsid w:val="004C6E00"/>
    <w:rsid w:val="004C72E9"/>
    <w:rsid w:val="004D08F5"/>
    <w:rsid w:val="00502614"/>
    <w:rsid w:val="005159C1"/>
    <w:rsid w:val="00533305"/>
    <w:rsid w:val="00540AD2"/>
    <w:rsid w:val="005426B8"/>
    <w:rsid w:val="00550653"/>
    <w:rsid w:val="00553FB4"/>
    <w:rsid w:val="005640CA"/>
    <w:rsid w:val="005659DA"/>
    <w:rsid w:val="0056669D"/>
    <w:rsid w:val="005716CF"/>
    <w:rsid w:val="005723AE"/>
    <w:rsid w:val="0057271A"/>
    <w:rsid w:val="005819C8"/>
    <w:rsid w:val="00584FBA"/>
    <w:rsid w:val="005871B7"/>
    <w:rsid w:val="0059144A"/>
    <w:rsid w:val="005929A5"/>
    <w:rsid w:val="00593288"/>
    <w:rsid w:val="005C0455"/>
    <w:rsid w:val="005C4A6E"/>
    <w:rsid w:val="005D57B5"/>
    <w:rsid w:val="005F6052"/>
    <w:rsid w:val="00616A9E"/>
    <w:rsid w:val="006254F0"/>
    <w:rsid w:val="00630735"/>
    <w:rsid w:val="00632304"/>
    <w:rsid w:val="0064032E"/>
    <w:rsid w:val="00641C6A"/>
    <w:rsid w:val="00680E58"/>
    <w:rsid w:val="0068759C"/>
    <w:rsid w:val="00692D79"/>
    <w:rsid w:val="006A6A3C"/>
    <w:rsid w:val="006C3317"/>
    <w:rsid w:val="006F7CD6"/>
    <w:rsid w:val="007322F4"/>
    <w:rsid w:val="007449EC"/>
    <w:rsid w:val="0078099F"/>
    <w:rsid w:val="00786124"/>
    <w:rsid w:val="007A08F6"/>
    <w:rsid w:val="008007F9"/>
    <w:rsid w:val="00800AA6"/>
    <w:rsid w:val="008047EA"/>
    <w:rsid w:val="00804E9F"/>
    <w:rsid w:val="008344F6"/>
    <w:rsid w:val="0086632B"/>
    <w:rsid w:val="0087288C"/>
    <w:rsid w:val="00873B96"/>
    <w:rsid w:val="00886627"/>
    <w:rsid w:val="008920DA"/>
    <w:rsid w:val="008925FA"/>
    <w:rsid w:val="008941C2"/>
    <w:rsid w:val="008B1F2A"/>
    <w:rsid w:val="008B4694"/>
    <w:rsid w:val="008B5D6A"/>
    <w:rsid w:val="008C68A4"/>
    <w:rsid w:val="008C7A29"/>
    <w:rsid w:val="008D1684"/>
    <w:rsid w:val="008D33DA"/>
    <w:rsid w:val="008E1EE4"/>
    <w:rsid w:val="008E6F58"/>
    <w:rsid w:val="008F5100"/>
    <w:rsid w:val="009058FC"/>
    <w:rsid w:val="00914A02"/>
    <w:rsid w:val="00915796"/>
    <w:rsid w:val="0094457E"/>
    <w:rsid w:val="009562C8"/>
    <w:rsid w:val="00974057"/>
    <w:rsid w:val="00977DA4"/>
    <w:rsid w:val="0098059D"/>
    <w:rsid w:val="009805F8"/>
    <w:rsid w:val="00991957"/>
    <w:rsid w:val="00995E2B"/>
    <w:rsid w:val="009A7D9E"/>
    <w:rsid w:val="009B4674"/>
    <w:rsid w:val="009B5C83"/>
    <w:rsid w:val="009D149B"/>
    <w:rsid w:val="00A04138"/>
    <w:rsid w:val="00A15A66"/>
    <w:rsid w:val="00A24818"/>
    <w:rsid w:val="00A25F30"/>
    <w:rsid w:val="00A73326"/>
    <w:rsid w:val="00A77FDA"/>
    <w:rsid w:val="00A8346B"/>
    <w:rsid w:val="00A9726A"/>
    <w:rsid w:val="00AB621B"/>
    <w:rsid w:val="00AD11CB"/>
    <w:rsid w:val="00AD3CBA"/>
    <w:rsid w:val="00AE0BF3"/>
    <w:rsid w:val="00AE4DE1"/>
    <w:rsid w:val="00AF0FE9"/>
    <w:rsid w:val="00AF61DC"/>
    <w:rsid w:val="00B024B9"/>
    <w:rsid w:val="00B06E21"/>
    <w:rsid w:val="00B243E6"/>
    <w:rsid w:val="00B27BA7"/>
    <w:rsid w:val="00B355F4"/>
    <w:rsid w:val="00B3636A"/>
    <w:rsid w:val="00B80191"/>
    <w:rsid w:val="00B94556"/>
    <w:rsid w:val="00B95CE1"/>
    <w:rsid w:val="00BE2036"/>
    <w:rsid w:val="00BF65E0"/>
    <w:rsid w:val="00C0677E"/>
    <w:rsid w:val="00C15CBC"/>
    <w:rsid w:val="00C267FF"/>
    <w:rsid w:val="00C31E01"/>
    <w:rsid w:val="00C51D9A"/>
    <w:rsid w:val="00C536C4"/>
    <w:rsid w:val="00C55E29"/>
    <w:rsid w:val="00C96F66"/>
    <w:rsid w:val="00C9768C"/>
    <w:rsid w:val="00CB48A9"/>
    <w:rsid w:val="00CC2C03"/>
    <w:rsid w:val="00CF2BB1"/>
    <w:rsid w:val="00D51999"/>
    <w:rsid w:val="00D91B20"/>
    <w:rsid w:val="00DA4E80"/>
    <w:rsid w:val="00DB07CD"/>
    <w:rsid w:val="00DB0B0E"/>
    <w:rsid w:val="00DB5AE9"/>
    <w:rsid w:val="00DC3D86"/>
    <w:rsid w:val="00DE5712"/>
    <w:rsid w:val="00E14D0F"/>
    <w:rsid w:val="00E20951"/>
    <w:rsid w:val="00E2273C"/>
    <w:rsid w:val="00E2796D"/>
    <w:rsid w:val="00E41C46"/>
    <w:rsid w:val="00E46CF7"/>
    <w:rsid w:val="00E8418C"/>
    <w:rsid w:val="00E85D3D"/>
    <w:rsid w:val="00ED0056"/>
    <w:rsid w:val="00ED56B9"/>
    <w:rsid w:val="00ED7B19"/>
    <w:rsid w:val="00F03F95"/>
    <w:rsid w:val="00F06FF5"/>
    <w:rsid w:val="00F317A9"/>
    <w:rsid w:val="00F4037A"/>
    <w:rsid w:val="00F55C5D"/>
    <w:rsid w:val="00F578B1"/>
    <w:rsid w:val="00F62C82"/>
    <w:rsid w:val="00F77DC7"/>
    <w:rsid w:val="00F86270"/>
    <w:rsid w:val="00FB2417"/>
    <w:rsid w:val="00FB4170"/>
    <w:rsid w:val="00FB576F"/>
    <w:rsid w:val="00FD737C"/>
    <w:rsid w:val="00FE4FF9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AE05"/>
  <w15:docId w15:val="{561F072E-BA51-429B-9285-2056EB1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796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E2796D"/>
    <w:rPr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E2796D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qFormat/>
    <w:rsid w:val="00E2796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1999"/>
    <w:rPr>
      <w:rFonts w:ascii="Segoe UI" w:eastAsia="Calibri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519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199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1999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19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1999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59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07E05A-7286-43C2-BDED-C4E4BD95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TŠ</dc:creator>
  <cp:lastModifiedBy>SVRK</cp:lastModifiedBy>
  <cp:revision>2</cp:revision>
  <cp:lastPrinted>2022-10-26T07:23:00Z</cp:lastPrinted>
  <dcterms:created xsi:type="dcterms:W3CDTF">2022-10-26T11:32:00Z</dcterms:created>
  <dcterms:modified xsi:type="dcterms:W3CDTF">2022-10-26T11:32:00Z</dcterms:modified>
</cp:coreProperties>
</file>